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C7A" w:rsidRDefault="00D02C7A" w:rsidP="00D02C7A">
      <w:pPr>
        <w:pStyle w:val="a3"/>
        <w:spacing w:before="93"/>
        <w:jc w:val="center"/>
        <w:rPr>
          <w:rFonts w:ascii="方正小标宋简体" w:eastAsia="方正小标宋简体" w:hAnsi="宋体"/>
          <w:kern w:val="2"/>
          <w:sz w:val="44"/>
          <w:szCs w:val="44"/>
          <w:lang w:val="en-US" w:eastAsia="zh-CN"/>
        </w:rPr>
      </w:pPr>
    </w:p>
    <w:p w:rsidR="00381EFD" w:rsidRDefault="00D02C7A" w:rsidP="00D02C7A">
      <w:pPr>
        <w:pStyle w:val="a3"/>
        <w:spacing w:before="93"/>
        <w:jc w:val="center"/>
        <w:rPr>
          <w:rFonts w:ascii="方正小标宋简体" w:eastAsia="方正小标宋简体" w:hAnsi="宋体" w:hint="eastAsia"/>
          <w:sz w:val="44"/>
          <w:szCs w:val="44"/>
          <w:lang w:eastAsia="zh-CN"/>
        </w:rPr>
      </w:pPr>
      <w:r>
        <w:rPr>
          <w:rFonts w:ascii="方正小标宋简体" w:eastAsia="方正小标宋简体" w:hAnsi="宋体" w:hint="eastAsia"/>
          <w:kern w:val="2"/>
          <w:sz w:val="44"/>
          <w:szCs w:val="44"/>
          <w:lang w:val="en-US" w:eastAsia="zh-CN"/>
        </w:rPr>
        <w:t>2023年度四川省</w:t>
      </w:r>
      <w:r>
        <w:rPr>
          <w:rFonts w:ascii="方正小标宋简体" w:eastAsia="方正小标宋简体" w:hAnsi="宋体" w:hint="eastAsia"/>
          <w:sz w:val="44"/>
          <w:szCs w:val="44"/>
        </w:rPr>
        <w:t>阿坝州驻郫都区</w:t>
      </w:r>
    </w:p>
    <w:p w:rsidR="00D02C7A" w:rsidRDefault="00D02C7A" w:rsidP="00D02C7A">
      <w:pPr>
        <w:pStyle w:val="a3"/>
        <w:spacing w:before="93"/>
        <w:jc w:val="center"/>
        <w:rPr>
          <w:rFonts w:ascii="方正小标宋简体" w:eastAsia="方正小标宋简体" w:hAnsi="宋体"/>
          <w:kern w:val="2"/>
          <w:sz w:val="44"/>
          <w:szCs w:val="44"/>
          <w:lang w:val="en-US" w:eastAsia="zh-CN"/>
        </w:rPr>
      </w:pPr>
      <w:r>
        <w:rPr>
          <w:rFonts w:ascii="方正小标宋简体" w:eastAsia="方正小标宋简体" w:hAnsi="宋体" w:hint="eastAsia"/>
          <w:sz w:val="44"/>
          <w:szCs w:val="44"/>
        </w:rPr>
        <w:t>老干部休养所</w:t>
      </w:r>
      <w:r>
        <w:rPr>
          <w:rFonts w:ascii="方正小标宋简体" w:eastAsia="方正小标宋简体" w:hAnsi="宋体" w:hint="eastAsia"/>
          <w:kern w:val="2"/>
          <w:sz w:val="44"/>
          <w:szCs w:val="44"/>
          <w:lang w:val="en-US" w:eastAsia="zh-CN"/>
        </w:rPr>
        <w:t>单位决算</w:t>
      </w:r>
      <w:r>
        <w:rPr>
          <w:rFonts w:ascii="方正小标宋简体" w:eastAsia="方正小标宋简体" w:hAnsi="宋体" w:hint="eastAsia"/>
          <w:sz w:val="44"/>
          <w:szCs w:val="44"/>
        </w:rPr>
        <w:t>公开</w:t>
      </w:r>
    </w:p>
    <w:p w:rsidR="00D02C7A" w:rsidRDefault="00D02C7A" w:rsidP="00D02C7A">
      <w:pPr>
        <w:widowControl/>
        <w:jc w:val="center"/>
        <w:rPr>
          <w:rFonts w:ascii="黑体" w:eastAsia="黑体" w:hAnsi="黑体"/>
          <w:sz w:val="48"/>
          <w:szCs w:val="48"/>
        </w:rPr>
      </w:pPr>
      <w:r>
        <w:rPr>
          <w:rFonts w:ascii="方正小标宋简体" w:eastAsia="方正小标宋简体" w:hAnsi="宋体"/>
          <w:sz w:val="36"/>
          <w:szCs w:val="36"/>
        </w:rPr>
        <w:br w:type="page"/>
      </w:r>
      <w:r>
        <w:rPr>
          <w:rFonts w:ascii="黑体" w:eastAsia="黑体" w:hAnsi="黑体" w:hint="eastAsia"/>
          <w:sz w:val="48"/>
          <w:szCs w:val="48"/>
        </w:rPr>
        <w:lastRenderedPageBreak/>
        <w:t>目录</w:t>
      </w:r>
    </w:p>
    <w:p w:rsidR="00D02C7A" w:rsidRDefault="00D02C7A" w:rsidP="00D02C7A">
      <w:pPr>
        <w:widowControl/>
        <w:jc w:val="center"/>
        <w:rPr>
          <w:rFonts w:ascii="黑体" w:eastAsia="黑体" w:hAnsi="黑体"/>
          <w:sz w:val="28"/>
          <w:szCs w:val="28"/>
        </w:rPr>
      </w:pPr>
    </w:p>
    <w:p w:rsidR="00D02C7A" w:rsidRDefault="00D02C7A" w:rsidP="00D02C7A">
      <w:pPr>
        <w:pStyle w:val="10"/>
        <w:tabs>
          <w:tab w:val="right" w:leader="dot" w:pos="8296"/>
        </w:tabs>
      </w:pPr>
      <w:r>
        <w:rPr>
          <w:rFonts w:hint="eastAsia"/>
        </w:rPr>
        <w:t xml:space="preserve">公开时间：2023年9月 </w:t>
      </w:r>
      <w:r w:rsidR="00381EFD">
        <w:rPr>
          <w:rFonts w:hint="eastAsia"/>
        </w:rPr>
        <w:t>6</w:t>
      </w:r>
      <w:bookmarkStart w:id="0" w:name="_GoBack"/>
      <w:bookmarkEnd w:id="0"/>
      <w:r>
        <w:rPr>
          <w:rFonts w:hint="eastAsia"/>
        </w:rPr>
        <w:t>日</w:t>
      </w:r>
    </w:p>
    <w:p w:rsidR="00D02C7A" w:rsidRDefault="00D02C7A" w:rsidP="00D02C7A"/>
    <w:p w:rsidR="00D02C7A" w:rsidRDefault="00D02C7A" w:rsidP="00D02C7A">
      <w:pPr>
        <w:pStyle w:val="10"/>
        <w:tabs>
          <w:tab w:val="right" w:leader="dot" w:pos="8296"/>
        </w:tabs>
        <w:adjustRightInd w:val="0"/>
        <w:snapToGrid w:val="0"/>
        <w:spacing w:before="0" w:line="440" w:lineRule="exact"/>
        <w:rPr>
          <w:sz w:val="24"/>
          <w:szCs w:val="24"/>
        </w:rPr>
      </w:pPr>
      <w:r>
        <w:rPr>
          <w:rFonts w:hint="eastAsia"/>
          <w:sz w:val="24"/>
        </w:rPr>
        <w:t>第一部分</w:t>
      </w:r>
      <w:r>
        <w:rPr>
          <w:sz w:val="24"/>
        </w:rPr>
        <w:t xml:space="preserve"> </w:t>
      </w:r>
      <w:r>
        <w:rPr>
          <w:rFonts w:hint="eastAsia"/>
          <w:sz w:val="24"/>
        </w:rPr>
        <w:t>单位概况</w:t>
      </w:r>
    </w:p>
    <w:p w:rsidR="00D02C7A" w:rsidRDefault="00D02C7A" w:rsidP="00D02C7A">
      <w:pPr>
        <w:pStyle w:val="20"/>
        <w:tabs>
          <w:tab w:val="right" w:leader="dot" w:pos="8296"/>
        </w:tabs>
        <w:adjustRightInd w:val="0"/>
        <w:snapToGrid w:val="0"/>
        <w:spacing w:line="440" w:lineRule="exact"/>
        <w:rPr>
          <w:rFonts w:eastAsia="宋体"/>
          <w:sz w:val="24"/>
        </w:rPr>
      </w:pPr>
      <w:r>
        <w:rPr>
          <w:rFonts w:hint="eastAsia"/>
          <w:sz w:val="24"/>
        </w:rPr>
        <w:t>一、主要职责</w:t>
      </w:r>
    </w:p>
    <w:p w:rsidR="00D02C7A" w:rsidRDefault="00D02C7A" w:rsidP="00D02C7A">
      <w:pPr>
        <w:pStyle w:val="20"/>
        <w:tabs>
          <w:tab w:val="right" w:leader="dot" w:pos="8296"/>
        </w:tabs>
        <w:adjustRightInd w:val="0"/>
        <w:snapToGrid w:val="0"/>
        <w:spacing w:line="440" w:lineRule="exact"/>
        <w:rPr>
          <w:rFonts w:eastAsia="宋体"/>
        </w:rPr>
      </w:pPr>
      <w:r>
        <w:rPr>
          <w:rFonts w:hint="eastAsia"/>
          <w:sz w:val="24"/>
        </w:rPr>
        <w:t>二、机构设置</w:t>
      </w:r>
    </w:p>
    <w:p w:rsidR="00D02C7A" w:rsidRDefault="00D02C7A" w:rsidP="00D02C7A">
      <w:pPr>
        <w:pStyle w:val="10"/>
        <w:tabs>
          <w:tab w:val="right" w:leader="dot" w:pos="8296"/>
        </w:tabs>
        <w:adjustRightInd w:val="0"/>
        <w:snapToGrid w:val="0"/>
        <w:spacing w:before="0" w:line="440" w:lineRule="exact"/>
        <w:rPr>
          <w:sz w:val="24"/>
          <w:szCs w:val="24"/>
        </w:rPr>
      </w:pPr>
      <w:r>
        <w:rPr>
          <w:rFonts w:hint="eastAsia"/>
          <w:sz w:val="24"/>
        </w:rPr>
        <w:t>第二部分 2023年度单位决算情况说明</w:t>
      </w:r>
    </w:p>
    <w:p w:rsidR="00D02C7A" w:rsidRDefault="00D02C7A" w:rsidP="00D02C7A">
      <w:pPr>
        <w:pStyle w:val="20"/>
        <w:tabs>
          <w:tab w:val="right" w:leader="dot" w:pos="8296"/>
        </w:tabs>
        <w:adjustRightInd w:val="0"/>
        <w:snapToGrid w:val="0"/>
        <w:spacing w:line="440" w:lineRule="exact"/>
        <w:rPr>
          <w:rFonts w:ascii="仿宋" w:eastAsia="仿宋" w:hAnsi="仿宋"/>
          <w:sz w:val="24"/>
        </w:rPr>
      </w:pPr>
      <w:r>
        <w:rPr>
          <w:rFonts w:hint="eastAsia"/>
          <w:sz w:val="24"/>
        </w:rPr>
        <w:t>一、收入支出决算总体情况说明</w:t>
      </w:r>
    </w:p>
    <w:p w:rsidR="00D02C7A" w:rsidRDefault="00D02C7A" w:rsidP="00D02C7A">
      <w:pPr>
        <w:pStyle w:val="20"/>
        <w:tabs>
          <w:tab w:val="right" w:leader="dot" w:pos="8296"/>
        </w:tabs>
        <w:adjustRightInd w:val="0"/>
        <w:snapToGrid w:val="0"/>
        <w:spacing w:line="440" w:lineRule="exact"/>
        <w:rPr>
          <w:rFonts w:ascii="仿宋" w:eastAsia="仿宋" w:hAnsi="仿宋"/>
          <w:sz w:val="24"/>
        </w:rPr>
      </w:pPr>
      <w:r>
        <w:rPr>
          <w:rFonts w:hint="eastAsia"/>
          <w:sz w:val="24"/>
        </w:rPr>
        <w:t>二、收入决算情况说明</w:t>
      </w:r>
    </w:p>
    <w:p w:rsidR="00D02C7A" w:rsidRDefault="00D02C7A" w:rsidP="00D02C7A">
      <w:pPr>
        <w:pStyle w:val="20"/>
        <w:tabs>
          <w:tab w:val="right" w:leader="dot" w:pos="8296"/>
        </w:tabs>
        <w:adjustRightInd w:val="0"/>
        <w:snapToGrid w:val="0"/>
        <w:spacing w:line="440" w:lineRule="exact"/>
        <w:rPr>
          <w:rFonts w:ascii="仿宋" w:eastAsia="仿宋" w:hAnsi="仿宋"/>
          <w:sz w:val="24"/>
        </w:rPr>
      </w:pPr>
      <w:r>
        <w:rPr>
          <w:rFonts w:hint="eastAsia"/>
          <w:sz w:val="24"/>
        </w:rPr>
        <w:t>三、支出决算情况说明</w:t>
      </w:r>
    </w:p>
    <w:p w:rsidR="00D02C7A" w:rsidRDefault="00D02C7A" w:rsidP="00D02C7A">
      <w:pPr>
        <w:pStyle w:val="20"/>
        <w:tabs>
          <w:tab w:val="right" w:leader="dot" w:pos="8296"/>
        </w:tabs>
        <w:adjustRightInd w:val="0"/>
        <w:snapToGrid w:val="0"/>
        <w:spacing w:line="440" w:lineRule="exact"/>
        <w:rPr>
          <w:rFonts w:ascii="仿宋" w:eastAsia="仿宋" w:hAnsi="仿宋"/>
          <w:sz w:val="24"/>
        </w:rPr>
      </w:pPr>
      <w:r>
        <w:rPr>
          <w:rFonts w:hint="eastAsia"/>
          <w:sz w:val="24"/>
        </w:rPr>
        <w:t>四、财政拨款收入支出决算总体情况说明</w:t>
      </w:r>
    </w:p>
    <w:p w:rsidR="00D02C7A" w:rsidRDefault="00D02C7A" w:rsidP="00D02C7A">
      <w:pPr>
        <w:pStyle w:val="20"/>
        <w:tabs>
          <w:tab w:val="right" w:leader="dot" w:pos="8296"/>
        </w:tabs>
        <w:adjustRightInd w:val="0"/>
        <w:snapToGrid w:val="0"/>
        <w:spacing w:line="440" w:lineRule="exact"/>
        <w:rPr>
          <w:rFonts w:ascii="仿宋" w:eastAsia="仿宋" w:hAnsi="仿宋"/>
          <w:sz w:val="24"/>
        </w:rPr>
      </w:pPr>
      <w:r>
        <w:rPr>
          <w:rFonts w:hint="eastAsia"/>
          <w:sz w:val="24"/>
        </w:rPr>
        <w:t>五、一般公共预算财政拨款支出决算情况说明</w:t>
      </w:r>
    </w:p>
    <w:p w:rsidR="00D02C7A" w:rsidRDefault="00D02C7A" w:rsidP="00D02C7A">
      <w:pPr>
        <w:pStyle w:val="20"/>
        <w:tabs>
          <w:tab w:val="right" w:leader="dot" w:pos="8296"/>
        </w:tabs>
        <w:adjustRightInd w:val="0"/>
        <w:snapToGrid w:val="0"/>
        <w:spacing w:line="440" w:lineRule="exact"/>
        <w:rPr>
          <w:rFonts w:ascii="仿宋" w:eastAsia="仿宋" w:hAnsi="仿宋"/>
          <w:sz w:val="24"/>
        </w:rPr>
      </w:pPr>
      <w:r>
        <w:rPr>
          <w:rFonts w:hint="eastAsia"/>
          <w:sz w:val="24"/>
        </w:rPr>
        <w:t>六、一般公共预算财政拨款基本支出决算情况说明</w:t>
      </w:r>
    </w:p>
    <w:p w:rsidR="00D02C7A" w:rsidRDefault="00D02C7A" w:rsidP="00D02C7A">
      <w:pPr>
        <w:pStyle w:val="20"/>
        <w:tabs>
          <w:tab w:val="right" w:leader="dot" w:pos="8296"/>
        </w:tabs>
        <w:adjustRightInd w:val="0"/>
        <w:snapToGrid w:val="0"/>
        <w:spacing w:line="440" w:lineRule="exact"/>
        <w:rPr>
          <w:rFonts w:ascii="仿宋" w:eastAsia="仿宋" w:hAnsi="仿宋"/>
          <w:sz w:val="24"/>
        </w:rPr>
      </w:pPr>
      <w:r>
        <w:rPr>
          <w:rFonts w:hint="eastAsia"/>
          <w:sz w:val="24"/>
        </w:rPr>
        <w:t>七、财政拨款“三公”经费支出决算情况说明</w:t>
      </w:r>
    </w:p>
    <w:p w:rsidR="00D02C7A" w:rsidRDefault="00D02C7A" w:rsidP="00D02C7A">
      <w:pPr>
        <w:pStyle w:val="20"/>
        <w:tabs>
          <w:tab w:val="right" w:leader="dot" w:pos="8296"/>
        </w:tabs>
        <w:adjustRightInd w:val="0"/>
        <w:snapToGrid w:val="0"/>
        <w:spacing w:line="440" w:lineRule="exact"/>
        <w:rPr>
          <w:rFonts w:ascii="仿宋" w:eastAsia="仿宋" w:hAnsi="仿宋"/>
          <w:sz w:val="24"/>
        </w:rPr>
      </w:pPr>
      <w:r>
        <w:rPr>
          <w:rFonts w:hint="eastAsia"/>
          <w:sz w:val="24"/>
        </w:rPr>
        <w:t>八、政府性基金预算支出决算情况说明</w:t>
      </w:r>
    </w:p>
    <w:p w:rsidR="00D02C7A" w:rsidRDefault="00D02C7A" w:rsidP="00D02C7A">
      <w:pPr>
        <w:pStyle w:val="20"/>
        <w:tabs>
          <w:tab w:val="right" w:leader="dot" w:pos="8296"/>
        </w:tabs>
        <w:adjustRightInd w:val="0"/>
        <w:snapToGrid w:val="0"/>
        <w:spacing w:line="440" w:lineRule="exact"/>
        <w:rPr>
          <w:sz w:val="24"/>
        </w:rPr>
      </w:pPr>
      <w:r>
        <w:rPr>
          <w:rFonts w:hint="eastAsia"/>
          <w:sz w:val="24"/>
        </w:rPr>
        <w:t>九、国有资本经营预算支出决算情况说明</w:t>
      </w:r>
    </w:p>
    <w:p w:rsidR="00D02C7A" w:rsidRDefault="00D02C7A" w:rsidP="00D02C7A">
      <w:pPr>
        <w:pStyle w:val="20"/>
        <w:tabs>
          <w:tab w:val="right" w:leader="dot" w:pos="8296"/>
        </w:tabs>
        <w:adjustRightInd w:val="0"/>
        <w:snapToGrid w:val="0"/>
        <w:spacing w:line="440" w:lineRule="exact"/>
        <w:rPr>
          <w:sz w:val="24"/>
        </w:rPr>
      </w:pPr>
      <w:r>
        <w:rPr>
          <w:rFonts w:hint="eastAsia"/>
          <w:sz w:val="24"/>
        </w:rPr>
        <w:t>十、其他重要事项的情况说明</w:t>
      </w:r>
    </w:p>
    <w:p w:rsidR="00D02C7A" w:rsidRDefault="00D02C7A" w:rsidP="00D02C7A">
      <w:pPr>
        <w:pStyle w:val="10"/>
        <w:tabs>
          <w:tab w:val="right" w:leader="dot" w:pos="8296"/>
        </w:tabs>
        <w:adjustRightInd w:val="0"/>
        <w:snapToGrid w:val="0"/>
        <w:spacing w:before="0" w:line="440" w:lineRule="exact"/>
        <w:rPr>
          <w:sz w:val="24"/>
          <w:szCs w:val="24"/>
        </w:rPr>
      </w:pPr>
      <w:r>
        <w:rPr>
          <w:rFonts w:hint="eastAsia"/>
          <w:sz w:val="24"/>
        </w:rPr>
        <w:t>第三部分</w:t>
      </w:r>
      <w:r>
        <w:rPr>
          <w:sz w:val="24"/>
        </w:rPr>
        <w:t xml:space="preserve"> </w:t>
      </w:r>
      <w:r>
        <w:rPr>
          <w:rFonts w:hint="eastAsia"/>
          <w:sz w:val="24"/>
        </w:rPr>
        <w:t>名词解释</w:t>
      </w:r>
    </w:p>
    <w:p w:rsidR="00D02C7A" w:rsidRDefault="00D02C7A" w:rsidP="00D02C7A">
      <w:pPr>
        <w:pStyle w:val="10"/>
        <w:tabs>
          <w:tab w:val="right" w:leader="dot" w:pos="8296"/>
        </w:tabs>
        <w:adjustRightInd w:val="0"/>
        <w:snapToGrid w:val="0"/>
        <w:spacing w:before="0" w:line="440" w:lineRule="exact"/>
        <w:rPr>
          <w:sz w:val="24"/>
          <w:szCs w:val="24"/>
        </w:rPr>
      </w:pPr>
      <w:r>
        <w:rPr>
          <w:rFonts w:hint="eastAsia"/>
          <w:sz w:val="24"/>
        </w:rPr>
        <w:t>第四部分</w:t>
      </w:r>
      <w:r>
        <w:rPr>
          <w:sz w:val="24"/>
        </w:rPr>
        <w:t xml:space="preserve"> </w:t>
      </w:r>
      <w:r>
        <w:rPr>
          <w:rFonts w:hint="eastAsia"/>
          <w:sz w:val="24"/>
        </w:rPr>
        <w:t>附件</w:t>
      </w:r>
    </w:p>
    <w:p w:rsidR="00D02C7A" w:rsidRDefault="00D02C7A" w:rsidP="00D02C7A">
      <w:pPr>
        <w:pStyle w:val="10"/>
        <w:tabs>
          <w:tab w:val="right" w:leader="dot" w:pos="8296"/>
        </w:tabs>
        <w:adjustRightInd w:val="0"/>
        <w:snapToGrid w:val="0"/>
        <w:spacing w:before="0" w:line="440" w:lineRule="exact"/>
        <w:rPr>
          <w:sz w:val="24"/>
          <w:szCs w:val="24"/>
        </w:rPr>
      </w:pPr>
      <w:r>
        <w:rPr>
          <w:rFonts w:hint="eastAsia"/>
          <w:sz w:val="24"/>
        </w:rPr>
        <w:t>第五部分</w:t>
      </w:r>
      <w:r>
        <w:rPr>
          <w:sz w:val="24"/>
        </w:rPr>
        <w:t xml:space="preserve"> </w:t>
      </w:r>
      <w:r>
        <w:rPr>
          <w:rFonts w:hint="eastAsia"/>
          <w:sz w:val="24"/>
        </w:rPr>
        <w:t>附表</w:t>
      </w:r>
    </w:p>
    <w:p w:rsidR="00D02C7A" w:rsidRDefault="00D02C7A" w:rsidP="00D02C7A">
      <w:pPr>
        <w:pStyle w:val="20"/>
        <w:tabs>
          <w:tab w:val="right" w:leader="dot" w:pos="8296"/>
        </w:tabs>
        <w:adjustRightInd w:val="0"/>
        <w:snapToGrid w:val="0"/>
        <w:spacing w:line="440" w:lineRule="exact"/>
        <w:rPr>
          <w:sz w:val="24"/>
        </w:rPr>
      </w:pPr>
      <w:r>
        <w:rPr>
          <w:rFonts w:hint="eastAsia"/>
          <w:sz w:val="24"/>
        </w:rPr>
        <w:t>一、收入支出决算总表</w:t>
      </w:r>
    </w:p>
    <w:p w:rsidR="00D02C7A" w:rsidRDefault="00D02C7A" w:rsidP="00D02C7A">
      <w:pPr>
        <w:pStyle w:val="20"/>
        <w:tabs>
          <w:tab w:val="right" w:leader="dot" w:pos="8296"/>
        </w:tabs>
        <w:adjustRightInd w:val="0"/>
        <w:snapToGrid w:val="0"/>
        <w:spacing w:line="440" w:lineRule="exact"/>
        <w:rPr>
          <w:sz w:val="24"/>
        </w:rPr>
      </w:pPr>
      <w:r>
        <w:rPr>
          <w:rFonts w:hint="eastAsia"/>
          <w:sz w:val="24"/>
        </w:rPr>
        <w:t>二、收入决算表</w:t>
      </w:r>
    </w:p>
    <w:p w:rsidR="00D02C7A" w:rsidRDefault="00D02C7A" w:rsidP="00D02C7A">
      <w:pPr>
        <w:pStyle w:val="20"/>
        <w:tabs>
          <w:tab w:val="right" w:leader="dot" w:pos="8296"/>
        </w:tabs>
        <w:adjustRightInd w:val="0"/>
        <w:snapToGrid w:val="0"/>
        <w:spacing w:line="440" w:lineRule="exact"/>
        <w:rPr>
          <w:sz w:val="24"/>
        </w:rPr>
      </w:pPr>
      <w:r>
        <w:rPr>
          <w:rFonts w:hint="eastAsia"/>
          <w:sz w:val="24"/>
        </w:rPr>
        <w:t>三、支出决算表</w:t>
      </w:r>
    </w:p>
    <w:p w:rsidR="00D02C7A" w:rsidRDefault="00D02C7A" w:rsidP="00D02C7A">
      <w:pPr>
        <w:pStyle w:val="20"/>
        <w:tabs>
          <w:tab w:val="right" w:leader="dot" w:pos="8296"/>
        </w:tabs>
        <w:adjustRightInd w:val="0"/>
        <w:snapToGrid w:val="0"/>
        <w:spacing w:line="440" w:lineRule="exact"/>
        <w:rPr>
          <w:sz w:val="24"/>
        </w:rPr>
      </w:pPr>
      <w:r>
        <w:rPr>
          <w:rFonts w:hint="eastAsia"/>
          <w:sz w:val="24"/>
        </w:rPr>
        <w:t>四、财政拨款收入支出决算总表</w:t>
      </w:r>
    </w:p>
    <w:p w:rsidR="00D02C7A" w:rsidRDefault="00D02C7A" w:rsidP="00D02C7A">
      <w:pPr>
        <w:pStyle w:val="20"/>
        <w:tabs>
          <w:tab w:val="right" w:leader="dot" w:pos="8296"/>
        </w:tabs>
        <w:adjustRightInd w:val="0"/>
        <w:snapToGrid w:val="0"/>
        <w:spacing w:line="440" w:lineRule="exact"/>
        <w:rPr>
          <w:sz w:val="24"/>
        </w:rPr>
      </w:pPr>
      <w:r>
        <w:rPr>
          <w:rFonts w:hint="eastAsia"/>
          <w:sz w:val="24"/>
        </w:rPr>
        <w:t>五、财政拨款支出决算明细表</w:t>
      </w:r>
    </w:p>
    <w:p w:rsidR="00D02C7A" w:rsidRDefault="00D02C7A" w:rsidP="00D02C7A">
      <w:pPr>
        <w:pStyle w:val="20"/>
        <w:tabs>
          <w:tab w:val="right" w:leader="dot" w:pos="8296"/>
        </w:tabs>
        <w:adjustRightInd w:val="0"/>
        <w:snapToGrid w:val="0"/>
        <w:spacing w:line="440" w:lineRule="exact"/>
        <w:rPr>
          <w:sz w:val="24"/>
        </w:rPr>
      </w:pPr>
      <w:r>
        <w:rPr>
          <w:rFonts w:hint="eastAsia"/>
          <w:sz w:val="24"/>
        </w:rPr>
        <w:t>六、一般公共预算财政拨款支出决算表</w:t>
      </w:r>
    </w:p>
    <w:p w:rsidR="00D02C7A" w:rsidRDefault="00D02C7A" w:rsidP="00D02C7A">
      <w:pPr>
        <w:pStyle w:val="20"/>
        <w:tabs>
          <w:tab w:val="right" w:leader="dot" w:pos="8296"/>
        </w:tabs>
        <w:adjustRightInd w:val="0"/>
        <w:snapToGrid w:val="0"/>
        <w:spacing w:line="440" w:lineRule="exact"/>
        <w:rPr>
          <w:sz w:val="24"/>
        </w:rPr>
      </w:pPr>
      <w:r>
        <w:rPr>
          <w:rFonts w:hint="eastAsia"/>
          <w:sz w:val="24"/>
        </w:rPr>
        <w:t>七、一般公共预算财政拨款支出决算明细表</w:t>
      </w:r>
    </w:p>
    <w:p w:rsidR="00D02C7A" w:rsidRDefault="00D02C7A" w:rsidP="00D02C7A">
      <w:pPr>
        <w:pStyle w:val="20"/>
        <w:tabs>
          <w:tab w:val="right" w:leader="dot" w:pos="8296"/>
        </w:tabs>
        <w:adjustRightInd w:val="0"/>
        <w:snapToGrid w:val="0"/>
        <w:spacing w:line="440" w:lineRule="exact"/>
        <w:rPr>
          <w:sz w:val="24"/>
        </w:rPr>
      </w:pPr>
      <w:r>
        <w:rPr>
          <w:rFonts w:hint="eastAsia"/>
          <w:sz w:val="24"/>
        </w:rPr>
        <w:t>八、一般公共预算财政拨款基本支出决算明细表</w:t>
      </w:r>
    </w:p>
    <w:p w:rsidR="00D02C7A" w:rsidRDefault="00D02C7A" w:rsidP="00D02C7A">
      <w:pPr>
        <w:pStyle w:val="20"/>
        <w:tabs>
          <w:tab w:val="right" w:leader="dot" w:pos="8296"/>
        </w:tabs>
        <w:adjustRightInd w:val="0"/>
        <w:snapToGrid w:val="0"/>
        <w:spacing w:line="440" w:lineRule="exact"/>
        <w:rPr>
          <w:sz w:val="24"/>
        </w:rPr>
      </w:pPr>
      <w:r>
        <w:rPr>
          <w:rFonts w:hint="eastAsia"/>
          <w:sz w:val="24"/>
        </w:rPr>
        <w:lastRenderedPageBreak/>
        <w:t>九、一般公共预算财政拨款项目支出决算表</w:t>
      </w:r>
    </w:p>
    <w:p w:rsidR="00D02C7A" w:rsidRDefault="00D02C7A" w:rsidP="00D02C7A">
      <w:pPr>
        <w:pStyle w:val="20"/>
        <w:tabs>
          <w:tab w:val="right" w:leader="dot" w:pos="8296"/>
        </w:tabs>
        <w:adjustRightInd w:val="0"/>
        <w:snapToGrid w:val="0"/>
        <w:spacing w:line="440" w:lineRule="exact"/>
        <w:rPr>
          <w:sz w:val="24"/>
        </w:rPr>
      </w:pPr>
      <w:r>
        <w:rPr>
          <w:rFonts w:hint="eastAsia"/>
          <w:sz w:val="24"/>
        </w:rPr>
        <w:t>十、政府性基金预算财政拨款收入支出决算表</w:t>
      </w:r>
    </w:p>
    <w:p w:rsidR="00D02C7A" w:rsidRDefault="00D02C7A" w:rsidP="00D02C7A">
      <w:pPr>
        <w:pStyle w:val="20"/>
        <w:tabs>
          <w:tab w:val="right" w:leader="dot" w:pos="8296"/>
        </w:tabs>
        <w:adjustRightInd w:val="0"/>
        <w:snapToGrid w:val="0"/>
        <w:spacing w:line="440" w:lineRule="exact"/>
        <w:rPr>
          <w:sz w:val="24"/>
        </w:rPr>
      </w:pPr>
      <w:r>
        <w:rPr>
          <w:rFonts w:hint="eastAsia"/>
          <w:sz w:val="24"/>
        </w:rPr>
        <w:t>十一、国有资本经营预算财政拨款收入支出决算表</w:t>
      </w:r>
    </w:p>
    <w:p w:rsidR="00D02C7A" w:rsidRDefault="00D02C7A" w:rsidP="00D02C7A">
      <w:pPr>
        <w:pStyle w:val="20"/>
        <w:tabs>
          <w:tab w:val="right" w:leader="dot" w:pos="8296"/>
        </w:tabs>
        <w:adjustRightInd w:val="0"/>
        <w:snapToGrid w:val="0"/>
        <w:spacing w:line="440" w:lineRule="exact"/>
        <w:rPr>
          <w:sz w:val="24"/>
        </w:rPr>
      </w:pPr>
      <w:r>
        <w:rPr>
          <w:rFonts w:hint="eastAsia"/>
          <w:sz w:val="24"/>
        </w:rPr>
        <w:t>十二、国有资本经营预算财政拨款支出决算表</w:t>
      </w:r>
    </w:p>
    <w:p w:rsidR="00D02C7A" w:rsidRDefault="00D02C7A" w:rsidP="00D02C7A">
      <w:pPr>
        <w:pStyle w:val="20"/>
        <w:tabs>
          <w:tab w:val="right" w:leader="dot" w:pos="8296"/>
        </w:tabs>
        <w:adjustRightInd w:val="0"/>
        <w:snapToGrid w:val="0"/>
        <w:spacing w:line="440" w:lineRule="exact"/>
        <w:rPr>
          <w:sz w:val="24"/>
        </w:rPr>
      </w:pPr>
      <w:r>
        <w:rPr>
          <w:rFonts w:hint="eastAsia"/>
          <w:sz w:val="24"/>
        </w:rPr>
        <w:t>十三、财政拨款“三公”经费支出决算表</w:t>
      </w:r>
    </w:p>
    <w:p w:rsidR="00D02C7A" w:rsidRDefault="00D02C7A" w:rsidP="00D02C7A">
      <w:pPr>
        <w:widowControl/>
        <w:adjustRightInd w:val="0"/>
        <w:snapToGrid w:val="0"/>
        <w:spacing w:line="440" w:lineRule="exact"/>
        <w:ind w:firstLineChars="550" w:firstLine="1320"/>
        <w:jc w:val="left"/>
        <w:rPr>
          <w:rFonts w:ascii="仿宋" w:eastAsia="仿宋" w:hAnsi="仿宋"/>
          <w:sz w:val="24"/>
        </w:rPr>
      </w:pPr>
      <w:r>
        <w:rPr>
          <w:rFonts w:ascii="仿宋" w:eastAsia="仿宋" w:hAnsi="仿宋"/>
          <w:sz w:val="24"/>
        </w:rPr>
        <w:t>(注：</w:t>
      </w:r>
      <w:r>
        <w:rPr>
          <w:rFonts w:ascii="仿宋" w:eastAsia="仿宋" w:hAnsi="仿宋" w:hint="eastAsia"/>
          <w:sz w:val="24"/>
        </w:rPr>
        <w:t>请单位根据实际注明页码</w:t>
      </w:r>
      <w:r>
        <w:rPr>
          <w:rFonts w:ascii="仿宋" w:eastAsia="仿宋" w:hAnsi="仿宋"/>
          <w:sz w:val="24"/>
        </w:rPr>
        <w:t>)</w:t>
      </w:r>
    </w:p>
    <w:p w:rsidR="00D02C7A" w:rsidRDefault="00D02C7A" w:rsidP="00D02C7A">
      <w:pPr>
        <w:widowControl/>
        <w:spacing w:line="440" w:lineRule="exact"/>
        <w:jc w:val="left"/>
        <w:rPr>
          <w:rFonts w:ascii="仿宋" w:eastAsia="仿宋" w:hAnsi="仿宋"/>
          <w:bCs/>
          <w:kern w:val="44"/>
          <w:sz w:val="24"/>
        </w:rPr>
      </w:pPr>
      <w:r>
        <w:rPr>
          <w:rFonts w:ascii="仿宋" w:eastAsia="仿宋" w:hAnsi="仿宋"/>
          <w:b/>
          <w:sz w:val="24"/>
        </w:rPr>
        <w:br w:type="page"/>
      </w:r>
    </w:p>
    <w:p w:rsidR="00D02C7A" w:rsidRDefault="00D02C7A" w:rsidP="00D02C7A">
      <w:pPr>
        <w:pStyle w:val="1"/>
        <w:jc w:val="center"/>
        <w:rPr>
          <w:rStyle w:val="1Char"/>
          <w:rFonts w:ascii="黑体" w:eastAsia="黑体" w:hAnsi="黑体"/>
          <w:bCs/>
        </w:rPr>
      </w:pPr>
      <w:r>
        <w:rPr>
          <w:rFonts w:ascii="黑体" w:eastAsia="黑体" w:hAnsi="黑体" w:hint="eastAsia"/>
          <w:b w:val="0"/>
        </w:rPr>
        <w:lastRenderedPageBreak/>
        <w:t>第一部分 单位</w:t>
      </w:r>
      <w:r>
        <w:rPr>
          <w:rStyle w:val="1Char"/>
          <w:rFonts w:ascii="黑体" w:eastAsia="黑体" w:hAnsi="黑体" w:hint="eastAsia"/>
          <w:b/>
          <w:bCs/>
        </w:rPr>
        <w:t>概况</w:t>
      </w:r>
    </w:p>
    <w:p w:rsidR="00D02C7A" w:rsidRDefault="00D02C7A" w:rsidP="00D02C7A">
      <w:pPr>
        <w:widowControl/>
        <w:jc w:val="left"/>
        <w:rPr>
          <w:rFonts w:ascii="黑体" w:eastAsia="黑体"/>
          <w:sz w:val="32"/>
          <w:szCs w:val="32"/>
        </w:rPr>
      </w:pPr>
    </w:p>
    <w:p w:rsidR="00D02C7A" w:rsidRDefault="00D02C7A" w:rsidP="00D02C7A">
      <w:pPr>
        <w:pStyle w:val="2"/>
        <w:numPr>
          <w:ilvl w:val="0"/>
          <w:numId w:val="6"/>
        </w:numPr>
        <w:suppressAutoHyphens/>
        <w:rPr>
          <w:rStyle w:val="2Char"/>
          <w:rFonts w:ascii="黑体" w:eastAsia="黑体" w:hAnsi="黑体"/>
          <w:b/>
          <w:bCs/>
        </w:rPr>
      </w:pPr>
      <w:r>
        <w:rPr>
          <w:rStyle w:val="2Char"/>
          <w:rFonts w:ascii="黑体" w:eastAsia="黑体" w:hAnsi="黑体" w:hint="eastAsia"/>
          <w:b/>
          <w:bCs/>
        </w:rPr>
        <w:t>主要职责</w:t>
      </w:r>
    </w:p>
    <w:p w:rsidR="00D02C7A" w:rsidRPr="0049739A" w:rsidRDefault="00D02C7A" w:rsidP="00D02C7A">
      <w:pPr>
        <w:ind w:firstLineChars="200" w:firstLine="640"/>
        <w:rPr>
          <w:rFonts w:ascii="仿宋_GB2312" w:eastAsia="仿宋_GB2312"/>
          <w:sz w:val="32"/>
          <w:szCs w:val="32"/>
        </w:rPr>
      </w:pPr>
      <w:r w:rsidRPr="0049739A">
        <w:rPr>
          <w:rFonts w:ascii="仿宋_GB2312" w:eastAsia="仿宋_GB2312" w:hint="eastAsia"/>
          <w:sz w:val="32"/>
          <w:szCs w:val="32"/>
        </w:rPr>
        <w:t>在州委老干部局的领导下，履行好对阿坝州驻郫都区老干部休养所、老干部管理服务中心工作的职责，贯彻落实党中央、国务院和省委、省政府、州委、州政府关于老干部工作的各项方针政策，协同组织部门抓好老干部党支部建设，加强对阿坝州驻郫都区离休老干部、厅级退休干部等的管理和服务工作，组织指导老干部协会开展各项活动。</w:t>
      </w:r>
    </w:p>
    <w:p w:rsidR="00D02C7A" w:rsidRPr="00A7798B" w:rsidRDefault="00D02C7A" w:rsidP="00D02C7A"/>
    <w:p w:rsidR="00D02C7A" w:rsidRDefault="00D02C7A" w:rsidP="00D02C7A">
      <w:pPr>
        <w:pStyle w:val="2"/>
        <w:rPr>
          <w:rFonts w:ascii="黑体" w:eastAsia="黑体" w:hAnsi="黑体"/>
          <w:b w:val="0"/>
        </w:rPr>
      </w:pPr>
      <w:r>
        <w:rPr>
          <w:rFonts w:ascii="黑体" w:eastAsia="黑体" w:hAnsi="黑体" w:hint="eastAsia"/>
          <w:b w:val="0"/>
        </w:rPr>
        <w:t>二、机构设置</w:t>
      </w:r>
    </w:p>
    <w:p w:rsidR="00D02C7A" w:rsidRPr="00A7798B" w:rsidRDefault="00D02C7A" w:rsidP="00D02C7A"/>
    <w:p w:rsidR="00D02C7A" w:rsidRPr="0049739A" w:rsidRDefault="00D02C7A" w:rsidP="00D02C7A">
      <w:pPr>
        <w:ind w:firstLineChars="250" w:firstLine="800"/>
        <w:rPr>
          <w:rFonts w:ascii="仿宋_GB2312" w:eastAsia="仿宋_GB2312"/>
          <w:sz w:val="32"/>
          <w:szCs w:val="32"/>
        </w:rPr>
      </w:pPr>
      <w:r w:rsidRPr="0049739A">
        <w:rPr>
          <w:rFonts w:ascii="仿宋_GB2312" w:eastAsia="仿宋_GB2312"/>
          <w:sz w:val="32"/>
          <w:szCs w:val="32"/>
        </w:rPr>
        <w:t>阿坝州驻郫都区老干部休养所</w:t>
      </w:r>
      <w:r w:rsidRPr="0049739A">
        <w:rPr>
          <w:rFonts w:ascii="仿宋_GB2312" w:eastAsia="仿宋_GB2312" w:hint="eastAsia"/>
          <w:sz w:val="32"/>
          <w:szCs w:val="32"/>
        </w:rPr>
        <w:t>属</w:t>
      </w:r>
      <w:r>
        <w:rPr>
          <w:rFonts w:ascii="仿宋_GB2312" w:eastAsia="仿宋_GB2312" w:hint="eastAsia"/>
          <w:sz w:val="32"/>
          <w:szCs w:val="32"/>
        </w:rPr>
        <w:t>中共阿坝州委老干部局</w:t>
      </w:r>
      <w:r w:rsidRPr="0049739A">
        <w:rPr>
          <w:rFonts w:ascii="仿宋_GB2312" w:eastAsia="仿宋_GB2312" w:hint="eastAsia"/>
          <w:sz w:val="32"/>
          <w:szCs w:val="32"/>
        </w:rPr>
        <w:t>二级</w:t>
      </w:r>
      <w:r>
        <w:rPr>
          <w:rFonts w:ascii="仿宋_GB2312" w:eastAsia="仿宋_GB2312" w:hint="eastAsia"/>
          <w:sz w:val="32"/>
          <w:szCs w:val="32"/>
        </w:rPr>
        <w:t>预算</w:t>
      </w:r>
      <w:r w:rsidRPr="0049739A">
        <w:rPr>
          <w:rFonts w:ascii="仿宋_GB2312" w:eastAsia="仿宋_GB2312" w:hint="eastAsia"/>
          <w:sz w:val="32"/>
          <w:szCs w:val="32"/>
        </w:rPr>
        <w:t>单位</w:t>
      </w:r>
      <w:r>
        <w:rPr>
          <w:rFonts w:ascii="仿宋_GB2312" w:eastAsia="仿宋_GB2312" w:hint="eastAsia"/>
          <w:sz w:val="32"/>
          <w:szCs w:val="32"/>
        </w:rPr>
        <w:t>，参照公务员管理的事业单位</w:t>
      </w:r>
      <w:r w:rsidRPr="0049739A">
        <w:rPr>
          <w:rFonts w:ascii="仿宋_GB2312" w:eastAsia="仿宋_GB2312" w:hint="eastAsia"/>
          <w:sz w:val="32"/>
          <w:szCs w:val="32"/>
        </w:rPr>
        <w:t>。</w:t>
      </w:r>
    </w:p>
    <w:p w:rsidR="00D02C7A" w:rsidRDefault="00D02C7A" w:rsidP="00D02C7A">
      <w:pPr>
        <w:widowControl/>
        <w:jc w:val="left"/>
        <w:rPr>
          <w:rFonts w:ascii="仿宋" w:eastAsia="仿宋" w:hAnsi="仿宋"/>
          <w:kern w:val="0"/>
          <w:sz w:val="32"/>
          <w:szCs w:val="32"/>
        </w:rPr>
      </w:pPr>
      <w:r>
        <w:rPr>
          <w:rFonts w:ascii="仿宋" w:eastAsia="仿宋" w:hAnsi="仿宋"/>
          <w:sz w:val="32"/>
          <w:szCs w:val="32"/>
        </w:rPr>
        <w:br w:type="page"/>
      </w:r>
    </w:p>
    <w:p w:rsidR="00D02C7A" w:rsidRDefault="00D02C7A" w:rsidP="00D02C7A">
      <w:pPr>
        <w:pStyle w:val="1"/>
        <w:ind w:right="440"/>
        <w:jc w:val="center"/>
        <w:rPr>
          <w:rStyle w:val="1Char"/>
          <w:rFonts w:ascii="黑体" w:eastAsia="黑体" w:hAnsi="黑体"/>
          <w:b/>
        </w:rPr>
      </w:pPr>
      <w:r>
        <w:rPr>
          <w:rFonts w:ascii="黑体" w:eastAsia="黑体" w:hAnsi="黑体" w:hint="eastAsia"/>
          <w:b w:val="0"/>
        </w:rPr>
        <w:lastRenderedPageBreak/>
        <w:t>第二部分 2023年度</w:t>
      </w:r>
      <w:r>
        <w:rPr>
          <w:rStyle w:val="1Char"/>
          <w:rFonts w:ascii="黑体" w:eastAsia="黑体" w:hAnsi="黑体" w:hint="eastAsia"/>
          <w:b/>
        </w:rPr>
        <w:t>单位决算情况说明</w:t>
      </w:r>
    </w:p>
    <w:p w:rsidR="00D02C7A" w:rsidRDefault="00D02C7A" w:rsidP="00D02C7A"/>
    <w:p w:rsidR="00D02C7A" w:rsidRDefault="00D02C7A" w:rsidP="00D02C7A">
      <w:pPr>
        <w:pStyle w:val="a9"/>
        <w:spacing w:line="600" w:lineRule="exact"/>
        <w:ind w:left="640" w:firstLineChars="0" w:firstLine="0"/>
        <w:outlineLvl w:val="1"/>
        <w:rPr>
          <w:rStyle w:val="2Char"/>
          <w:rFonts w:ascii="黑体" w:eastAsia="黑体" w:hAnsi="黑体"/>
        </w:rPr>
      </w:pPr>
      <w:r>
        <w:rPr>
          <w:rFonts w:ascii="黑体" w:eastAsia="黑体" w:hAnsi="黑体" w:hint="eastAsia"/>
          <w:sz w:val="32"/>
          <w:szCs w:val="32"/>
        </w:rPr>
        <w:t>一、收</w:t>
      </w:r>
      <w:r>
        <w:rPr>
          <w:rStyle w:val="2Char"/>
          <w:rFonts w:ascii="黑体" w:eastAsia="黑体" w:hAnsi="黑体" w:hint="eastAsia"/>
        </w:rPr>
        <w:t>入支出决算总体情况说明</w:t>
      </w:r>
    </w:p>
    <w:p w:rsidR="00D02C7A" w:rsidRDefault="00D02C7A" w:rsidP="00D02C7A">
      <w:pPr>
        <w:spacing w:line="600" w:lineRule="exact"/>
        <w:ind w:firstLineChars="200" w:firstLine="640"/>
        <w:rPr>
          <w:rFonts w:ascii="仿宋" w:eastAsia="仿宋" w:hAnsi="仿宋"/>
          <w:sz w:val="32"/>
          <w:szCs w:val="32"/>
        </w:rPr>
      </w:pPr>
      <w:r>
        <w:rPr>
          <w:rFonts w:ascii="仿宋" w:eastAsia="仿宋" w:hAnsi="仿宋" w:hint="eastAsia"/>
          <w:sz w:val="32"/>
          <w:szCs w:val="32"/>
        </w:rPr>
        <w:t>2023年度收、支总计均为164.71万元。与2022年度相比，收、支总计各增加10.15万元，增长6.6</w:t>
      </w:r>
      <w:r>
        <w:rPr>
          <w:rFonts w:ascii="仿宋" w:eastAsia="仿宋" w:hAnsi="仿宋"/>
          <w:sz w:val="32"/>
          <w:szCs w:val="32"/>
        </w:rPr>
        <w:t>%</w:t>
      </w:r>
      <w:r>
        <w:rPr>
          <w:rFonts w:ascii="仿宋" w:eastAsia="仿宋" w:hAnsi="仿宋" w:hint="eastAsia"/>
          <w:sz w:val="32"/>
          <w:szCs w:val="32"/>
        </w:rPr>
        <w:t>。主要变动原因</w:t>
      </w:r>
      <w:r w:rsidRPr="00A15781">
        <w:rPr>
          <w:rFonts w:ascii="仿宋" w:eastAsia="仿宋" w:hAnsi="仿宋" w:hint="eastAsia"/>
          <w:sz w:val="32"/>
          <w:szCs w:val="32"/>
        </w:rPr>
        <w:t>工资正常调整，社会保障和就业支出、住房保障支出因基数增加，缴费增加</w:t>
      </w:r>
      <w:r>
        <w:rPr>
          <w:rFonts w:ascii="仿宋" w:eastAsia="仿宋" w:hAnsi="仿宋" w:hint="eastAsia"/>
          <w:sz w:val="32"/>
          <w:szCs w:val="32"/>
        </w:rPr>
        <w:t>。</w:t>
      </w:r>
    </w:p>
    <w:p w:rsidR="00D02C7A" w:rsidRPr="00A15781" w:rsidRDefault="00D02C7A" w:rsidP="00D02C7A">
      <w:pPr>
        <w:pStyle w:val="21"/>
      </w:pPr>
    </w:p>
    <w:p w:rsidR="004830EB" w:rsidRPr="0049739A" w:rsidRDefault="004830EB" w:rsidP="006E0118">
      <w:pPr>
        <w:spacing w:line="360" w:lineRule="auto"/>
        <w:ind w:firstLineChars="200" w:firstLine="640"/>
        <w:rPr>
          <w:rFonts w:ascii="仿宋_GB2312" w:eastAsia="仿宋_GB2312"/>
          <w:sz w:val="32"/>
          <w:szCs w:val="32"/>
        </w:rPr>
      </w:pPr>
      <w:r w:rsidRPr="0049739A">
        <w:rPr>
          <w:rFonts w:ascii="仿宋_GB2312" w:eastAsia="仿宋_GB2312" w:hint="eastAsia"/>
          <w:noProof/>
          <w:sz w:val="32"/>
          <w:szCs w:val="32"/>
        </w:rPr>
        <w:drawing>
          <wp:inline distT="0" distB="0" distL="0" distR="0" wp14:anchorId="65EE30F6" wp14:editId="7DD94B51">
            <wp:extent cx="4425043" cy="2988129"/>
            <wp:effectExtent l="0" t="0" r="13970" b="222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56262" w:rsidRPr="0049739A" w:rsidRDefault="00256262">
      <w:pPr>
        <w:spacing w:line="600" w:lineRule="exact"/>
        <w:ind w:firstLineChars="200" w:firstLine="640"/>
        <w:rPr>
          <w:rFonts w:ascii="仿宋_GB2312" w:eastAsia="仿宋_GB2312"/>
          <w:sz w:val="32"/>
          <w:szCs w:val="32"/>
        </w:rPr>
      </w:pPr>
      <w:r w:rsidRPr="0049739A">
        <w:rPr>
          <w:rFonts w:ascii="仿宋_GB2312" w:eastAsia="仿宋_GB2312" w:hint="eastAsia"/>
          <w:sz w:val="32"/>
          <w:szCs w:val="32"/>
        </w:rPr>
        <w:t>（图</w:t>
      </w:r>
      <w:r w:rsidRPr="0049739A">
        <w:rPr>
          <w:rFonts w:ascii="仿宋_GB2312" w:eastAsia="仿宋_GB2312"/>
          <w:sz w:val="32"/>
          <w:szCs w:val="32"/>
        </w:rPr>
        <w:t>1</w:t>
      </w:r>
      <w:r w:rsidRPr="0049739A">
        <w:rPr>
          <w:rFonts w:ascii="仿宋_GB2312" w:eastAsia="仿宋_GB2312" w:hint="eastAsia"/>
          <w:sz w:val="32"/>
          <w:szCs w:val="32"/>
        </w:rPr>
        <w:t>：收、支决算总计变动情况图）（柱状图）</w:t>
      </w:r>
    </w:p>
    <w:p w:rsidR="00256262" w:rsidRPr="0049739A" w:rsidRDefault="00256262" w:rsidP="000823CA">
      <w:pPr>
        <w:spacing w:line="240" w:lineRule="exact"/>
        <w:ind w:firstLineChars="200" w:firstLine="640"/>
        <w:jc w:val="left"/>
        <w:rPr>
          <w:rFonts w:ascii="仿宋_GB2312" w:eastAsia="仿宋_GB2312"/>
          <w:sz w:val="32"/>
          <w:szCs w:val="32"/>
        </w:rPr>
      </w:pPr>
    </w:p>
    <w:p w:rsidR="00D02C7A" w:rsidRDefault="00D02C7A" w:rsidP="00D02C7A">
      <w:pPr>
        <w:pStyle w:val="a9"/>
        <w:spacing w:line="600" w:lineRule="exact"/>
        <w:ind w:left="640" w:firstLineChars="0" w:firstLine="0"/>
        <w:outlineLvl w:val="1"/>
        <w:rPr>
          <w:rStyle w:val="2Char"/>
          <w:rFonts w:ascii="黑体" w:eastAsia="黑体" w:hAnsi="黑体"/>
        </w:rPr>
      </w:pPr>
      <w:r>
        <w:rPr>
          <w:rFonts w:ascii="黑体" w:eastAsia="黑体" w:hAnsi="黑体" w:hint="eastAsia"/>
          <w:sz w:val="32"/>
          <w:szCs w:val="32"/>
        </w:rPr>
        <w:t>二、收</w:t>
      </w:r>
      <w:r>
        <w:rPr>
          <w:rStyle w:val="2Char"/>
          <w:rFonts w:ascii="黑体" w:eastAsia="黑体" w:hAnsi="黑体" w:hint="eastAsia"/>
        </w:rPr>
        <w:t>入决算情况说明</w:t>
      </w:r>
    </w:p>
    <w:p w:rsidR="00D02C7A" w:rsidRDefault="00D02C7A" w:rsidP="00D02C7A">
      <w:pPr>
        <w:spacing w:line="600" w:lineRule="exact"/>
        <w:ind w:firstLineChars="200" w:firstLine="640"/>
        <w:outlineLvl w:val="1"/>
        <w:rPr>
          <w:rFonts w:ascii="仿宋" w:eastAsia="仿宋" w:hAnsi="仿宋"/>
          <w:sz w:val="32"/>
          <w:szCs w:val="32"/>
        </w:rPr>
      </w:pPr>
      <w:r>
        <w:rPr>
          <w:rFonts w:ascii="仿宋" w:eastAsia="仿宋" w:hAnsi="仿宋" w:hint="eastAsia"/>
          <w:sz w:val="32"/>
          <w:szCs w:val="32"/>
        </w:rPr>
        <w:t>2023年度本年收入合计164.71万元，其中：一般公共预算财政拨款收入164.71万元，占100</w:t>
      </w:r>
      <w:r>
        <w:rPr>
          <w:rFonts w:ascii="仿宋" w:eastAsia="仿宋" w:hAnsi="仿宋"/>
          <w:sz w:val="32"/>
          <w:szCs w:val="32"/>
        </w:rPr>
        <w:t>%</w:t>
      </w:r>
      <w:r>
        <w:rPr>
          <w:rFonts w:ascii="仿宋" w:eastAsia="仿宋" w:hAnsi="仿宋" w:hint="eastAsia"/>
          <w:sz w:val="32"/>
          <w:szCs w:val="32"/>
        </w:rPr>
        <w:t>；政府性基金预算财政拨款收入0万元，占0</w:t>
      </w:r>
      <w:r>
        <w:rPr>
          <w:rFonts w:ascii="仿宋" w:eastAsia="仿宋" w:hAnsi="仿宋"/>
          <w:sz w:val="32"/>
          <w:szCs w:val="32"/>
        </w:rPr>
        <w:t>%</w:t>
      </w:r>
      <w:r>
        <w:rPr>
          <w:rFonts w:ascii="仿宋" w:eastAsia="仿宋" w:hAnsi="仿宋" w:hint="eastAsia"/>
          <w:sz w:val="32"/>
          <w:szCs w:val="32"/>
        </w:rPr>
        <w:t>；国有资本经营预算财政拨款收入0万元，占0</w:t>
      </w:r>
      <w:r>
        <w:rPr>
          <w:rFonts w:ascii="仿宋" w:eastAsia="仿宋" w:hAnsi="仿宋"/>
          <w:sz w:val="32"/>
          <w:szCs w:val="32"/>
        </w:rPr>
        <w:t>%</w:t>
      </w:r>
      <w:r>
        <w:rPr>
          <w:rFonts w:ascii="仿宋" w:eastAsia="仿宋" w:hAnsi="仿宋" w:hint="eastAsia"/>
          <w:sz w:val="32"/>
          <w:szCs w:val="32"/>
        </w:rPr>
        <w:t>；上级补助收入0万元，占0</w:t>
      </w:r>
      <w:r>
        <w:rPr>
          <w:rFonts w:ascii="仿宋" w:eastAsia="仿宋" w:hAnsi="仿宋"/>
          <w:sz w:val="32"/>
          <w:szCs w:val="32"/>
        </w:rPr>
        <w:t>%</w:t>
      </w:r>
      <w:r>
        <w:rPr>
          <w:rFonts w:ascii="仿宋" w:eastAsia="仿宋" w:hAnsi="仿宋" w:hint="eastAsia"/>
          <w:sz w:val="32"/>
          <w:szCs w:val="32"/>
        </w:rPr>
        <w:t>；事业收入0</w:t>
      </w:r>
      <w:r>
        <w:rPr>
          <w:rFonts w:ascii="仿宋" w:eastAsia="仿宋" w:hAnsi="仿宋" w:hint="eastAsia"/>
          <w:sz w:val="32"/>
          <w:szCs w:val="32"/>
        </w:rPr>
        <w:lastRenderedPageBreak/>
        <w:t>万元，占0</w:t>
      </w:r>
      <w:r>
        <w:rPr>
          <w:rFonts w:ascii="仿宋" w:eastAsia="仿宋" w:hAnsi="仿宋"/>
          <w:sz w:val="32"/>
          <w:szCs w:val="32"/>
        </w:rPr>
        <w:t>%</w:t>
      </w:r>
      <w:r>
        <w:rPr>
          <w:rFonts w:ascii="仿宋" w:eastAsia="仿宋" w:hAnsi="仿宋" w:hint="eastAsia"/>
          <w:sz w:val="32"/>
          <w:szCs w:val="32"/>
        </w:rPr>
        <w:t>；经营收入0万元，占0</w:t>
      </w:r>
      <w:r>
        <w:rPr>
          <w:rFonts w:ascii="仿宋" w:eastAsia="仿宋" w:hAnsi="仿宋"/>
          <w:sz w:val="32"/>
          <w:szCs w:val="32"/>
        </w:rPr>
        <w:t>%</w:t>
      </w:r>
      <w:r>
        <w:rPr>
          <w:rFonts w:ascii="仿宋" w:eastAsia="仿宋" w:hAnsi="仿宋" w:hint="eastAsia"/>
          <w:sz w:val="32"/>
          <w:szCs w:val="32"/>
        </w:rPr>
        <w:t>；附属单位上缴收入0万元，占0</w:t>
      </w:r>
      <w:r>
        <w:rPr>
          <w:rFonts w:ascii="仿宋" w:eastAsia="仿宋" w:hAnsi="仿宋"/>
          <w:sz w:val="32"/>
          <w:szCs w:val="32"/>
        </w:rPr>
        <w:t>%</w:t>
      </w:r>
      <w:r>
        <w:rPr>
          <w:rFonts w:ascii="仿宋" w:eastAsia="仿宋" w:hAnsi="仿宋" w:hint="eastAsia"/>
          <w:sz w:val="32"/>
          <w:szCs w:val="32"/>
        </w:rPr>
        <w:t>；其他收入0万元，占0</w:t>
      </w:r>
      <w:r>
        <w:rPr>
          <w:rFonts w:ascii="仿宋" w:eastAsia="仿宋" w:hAnsi="仿宋"/>
          <w:sz w:val="32"/>
          <w:szCs w:val="32"/>
        </w:rPr>
        <w:t>%</w:t>
      </w:r>
      <w:r>
        <w:rPr>
          <w:rFonts w:ascii="仿宋" w:eastAsia="仿宋" w:hAnsi="仿宋" w:hint="eastAsia"/>
          <w:sz w:val="32"/>
          <w:szCs w:val="32"/>
        </w:rPr>
        <w:t>。</w:t>
      </w:r>
    </w:p>
    <w:p w:rsidR="00D02C7A" w:rsidRDefault="00D02C7A" w:rsidP="00D02C7A">
      <w:pPr>
        <w:spacing w:line="600" w:lineRule="exact"/>
        <w:ind w:firstLineChars="200" w:firstLine="643"/>
        <w:outlineLvl w:val="1"/>
        <w:rPr>
          <w:rFonts w:ascii="仿宋" w:eastAsia="仿宋" w:hAnsi="仿宋"/>
          <w:b/>
          <w:sz w:val="32"/>
          <w:szCs w:val="32"/>
        </w:rPr>
      </w:pPr>
      <w:r>
        <w:rPr>
          <w:rFonts w:ascii="仿宋" w:eastAsia="仿宋" w:hAnsi="仿宋" w:hint="eastAsia"/>
          <w:b/>
          <w:sz w:val="32"/>
          <w:szCs w:val="32"/>
        </w:rPr>
        <w:t>（注：数据来源于财决</w:t>
      </w:r>
      <w:r>
        <w:rPr>
          <w:rFonts w:ascii="仿宋" w:eastAsia="仿宋" w:hAnsi="仿宋"/>
          <w:b/>
          <w:sz w:val="32"/>
          <w:szCs w:val="32"/>
        </w:rPr>
        <w:t>01表</w:t>
      </w:r>
      <w:r>
        <w:rPr>
          <w:rFonts w:ascii="仿宋" w:eastAsia="仿宋" w:hAnsi="仿宋" w:hint="eastAsia"/>
          <w:b/>
          <w:sz w:val="32"/>
          <w:szCs w:val="32"/>
        </w:rPr>
        <w:t>，仅罗列本单位涉及的收入。</w:t>
      </w:r>
      <w:r>
        <w:rPr>
          <w:rFonts w:ascii="仿宋" w:eastAsia="仿宋" w:hAnsi="仿宋"/>
          <w:b/>
          <w:sz w:val="32"/>
          <w:szCs w:val="32"/>
        </w:rPr>
        <w:t>）</w:t>
      </w:r>
    </w:p>
    <w:p w:rsidR="00256262" w:rsidRPr="0049739A" w:rsidRDefault="000823CA" w:rsidP="00EC667C">
      <w:pPr>
        <w:tabs>
          <w:tab w:val="left" w:pos="5349"/>
        </w:tabs>
        <w:spacing w:line="360" w:lineRule="auto"/>
        <w:rPr>
          <w:rFonts w:ascii="仿宋_GB2312" w:eastAsia="仿宋_GB2312"/>
          <w:sz w:val="32"/>
          <w:szCs w:val="32"/>
        </w:rPr>
      </w:pPr>
      <w:r w:rsidRPr="0049739A">
        <w:rPr>
          <w:rFonts w:ascii="仿宋_GB2312" w:eastAsia="仿宋_GB2312"/>
          <w:noProof/>
          <w:sz w:val="32"/>
          <w:szCs w:val="32"/>
        </w:rPr>
        <w:drawing>
          <wp:inline distT="0" distB="0" distL="0" distR="0" wp14:anchorId="7DE8129C" wp14:editId="4B1EDF1C">
            <wp:extent cx="5274310" cy="3076575"/>
            <wp:effectExtent l="0" t="0" r="21590" b="952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256262" w:rsidRPr="0049739A">
        <w:rPr>
          <w:rFonts w:ascii="仿宋_GB2312" w:eastAsia="仿宋_GB2312" w:hint="eastAsia"/>
          <w:sz w:val="32"/>
          <w:szCs w:val="32"/>
        </w:rPr>
        <w:t>（图</w:t>
      </w:r>
      <w:r w:rsidR="00256262" w:rsidRPr="0049739A">
        <w:rPr>
          <w:rFonts w:ascii="仿宋_GB2312" w:eastAsia="仿宋_GB2312"/>
          <w:sz w:val="32"/>
          <w:szCs w:val="32"/>
        </w:rPr>
        <w:t>2</w:t>
      </w:r>
      <w:r w:rsidR="00256262" w:rsidRPr="0049739A">
        <w:rPr>
          <w:rFonts w:ascii="仿宋_GB2312" w:eastAsia="仿宋_GB2312" w:hint="eastAsia"/>
          <w:sz w:val="32"/>
          <w:szCs w:val="32"/>
        </w:rPr>
        <w:t>：收入决算结构图）（饼状图）</w:t>
      </w:r>
    </w:p>
    <w:p w:rsidR="00256262" w:rsidRPr="0049739A" w:rsidRDefault="00256262">
      <w:pPr>
        <w:spacing w:line="600" w:lineRule="exact"/>
        <w:ind w:firstLineChars="200" w:firstLine="640"/>
        <w:rPr>
          <w:rFonts w:ascii="仿宋_GB2312" w:eastAsia="仿宋_GB2312"/>
          <w:sz w:val="32"/>
          <w:szCs w:val="32"/>
        </w:rPr>
      </w:pPr>
    </w:p>
    <w:p w:rsidR="00186335" w:rsidRDefault="00186335" w:rsidP="00186335">
      <w:pPr>
        <w:pStyle w:val="a9"/>
        <w:spacing w:line="600" w:lineRule="exact"/>
        <w:ind w:left="640" w:firstLineChars="0" w:firstLine="0"/>
        <w:outlineLvl w:val="1"/>
        <w:rPr>
          <w:rStyle w:val="2Char"/>
          <w:rFonts w:ascii="黑体" w:eastAsia="黑体" w:hAnsi="黑体"/>
        </w:rPr>
      </w:pPr>
      <w:r>
        <w:rPr>
          <w:rFonts w:ascii="黑体" w:eastAsia="黑体" w:hAnsi="黑体" w:hint="eastAsia"/>
          <w:sz w:val="32"/>
          <w:szCs w:val="32"/>
        </w:rPr>
        <w:t>三、支</w:t>
      </w:r>
      <w:r>
        <w:rPr>
          <w:rStyle w:val="2Char"/>
          <w:rFonts w:ascii="黑体" w:eastAsia="黑体" w:hAnsi="黑体" w:hint="eastAsia"/>
        </w:rPr>
        <w:t>出决算情况说明</w:t>
      </w:r>
    </w:p>
    <w:p w:rsidR="00186335" w:rsidRDefault="00186335" w:rsidP="00186335">
      <w:pPr>
        <w:spacing w:line="600" w:lineRule="exact"/>
        <w:ind w:firstLineChars="200" w:firstLine="640"/>
        <w:outlineLvl w:val="1"/>
        <w:rPr>
          <w:rFonts w:ascii="仿宋" w:eastAsia="仿宋" w:hAnsi="仿宋"/>
          <w:sz w:val="32"/>
          <w:szCs w:val="32"/>
        </w:rPr>
      </w:pPr>
      <w:r>
        <w:rPr>
          <w:rFonts w:ascii="仿宋" w:eastAsia="仿宋" w:hAnsi="仿宋" w:hint="eastAsia"/>
          <w:sz w:val="32"/>
          <w:szCs w:val="32"/>
        </w:rPr>
        <w:t>2023年度本年支出合计164.71万元，其中：基本支出128.8万元，占78.</w:t>
      </w:r>
      <w:r w:rsidR="00D14416">
        <w:rPr>
          <w:rFonts w:ascii="仿宋" w:eastAsia="仿宋" w:hAnsi="仿宋" w:hint="eastAsia"/>
          <w:sz w:val="32"/>
          <w:szCs w:val="32"/>
        </w:rPr>
        <w:t>19</w:t>
      </w:r>
      <w:r>
        <w:rPr>
          <w:rFonts w:ascii="仿宋" w:eastAsia="仿宋" w:hAnsi="仿宋"/>
          <w:sz w:val="32"/>
          <w:szCs w:val="32"/>
        </w:rPr>
        <w:t>%</w:t>
      </w:r>
      <w:r>
        <w:rPr>
          <w:rFonts w:ascii="仿宋" w:eastAsia="仿宋" w:hAnsi="仿宋" w:hint="eastAsia"/>
          <w:sz w:val="32"/>
          <w:szCs w:val="32"/>
        </w:rPr>
        <w:t>；项目支出35.91万元，占21.8</w:t>
      </w:r>
      <w:r>
        <w:rPr>
          <w:rFonts w:ascii="仿宋" w:eastAsia="仿宋" w:hAnsi="仿宋"/>
          <w:sz w:val="32"/>
          <w:szCs w:val="32"/>
        </w:rPr>
        <w:t>%</w:t>
      </w:r>
      <w:r>
        <w:rPr>
          <w:rFonts w:ascii="仿宋" w:eastAsia="仿宋" w:hAnsi="仿宋" w:hint="eastAsia"/>
          <w:sz w:val="32"/>
          <w:szCs w:val="32"/>
        </w:rPr>
        <w:t>；上缴上级支出0万元，占0</w:t>
      </w:r>
      <w:r>
        <w:rPr>
          <w:rFonts w:ascii="仿宋" w:eastAsia="仿宋" w:hAnsi="仿宋"/>
          <w:sz w:val="32"/>
          <w:szCs w:val="32"/>
        </w:rPr>
        <w:t>%</w:t>
      </w:r>
      <w:r>
        <w:rPr>
          <w:rFonts w:ascii="仿宋" w:eastAsia="仿宋" w:hAnsi="仿宋" w:hint="eastAsia"/>
          <w:sz w:val="32"/>
          <w:szCs w:val="32"/>
        </w:rPr>
        <w:t>；经营支出0万元，占0</w:t>
      </w:r>
      <w:r>
        <w:rPr>
          <w:rFonts w:ascii="仿宋" w:eastAsia="仿宋" w:hAnsi="仿宋"/>
          <w:sz w:val="32"/>
          <w:szCs w:val="32"/>
        </w:rPr>
        <w:t>%</w:t>
      </w:r>
      <w:r>
        <w:rPr>
          <w:rFonts w:ascii="仿宋" w:eastAsia="仿宋" w:hAnsi="仿宋" w:hint="eastAsia"/>
          <w:sz w:val="32"/>
          <w:szCs w:val="32"/>
        </w:rPr>
        <w:t>；对附属单位补助支出0万元，占0</w:t>
      </w:r>
      <w:r>
        <w:rPr>
          <w:rFonts w:ascii="仿宋" w:eastAsia="仿宋" w:hAnsi="仿宋"/>
          <w:sz w:val="32"/>
          <w:szCs w:val="32"/>
        </w:rPr>
        <w:t>%</w:t>
      </w:r>
      <w:r>
        <w:rPr>
          <w:rFonts w:ascii="仿宋" w:eastAsia="仿宋" w:hAnsi="仿宋" w:hint="eastAsia"/>
          <w:sz w:val="32"/>
          <w:szCs w:val="32"/>
        </w:rPr>
        <w:t>。</w:t>
      </w:r>
    </w:p>
    <w:p w:rsidR="00186335" w:rsidRDefault="00186335" w:rsidP="00186335">
      <w:pPr>
        <w:spacing w:line="600" w:lineRule="exact"/>
        <w:ind w:firstLineChars="200" w:firstLine="643"/>
        <w:outlineLvl w:val="1"/>
        <w:rPr>
          <w:rFonts w:ascii="仿宋" w:eastAsia="仿宋" w:hAnsi="仿宋"/>
          <w:b/>
          <w:sz w:val="32"/>
          <w:szCs w:val="32"/>
        </w:rPr>
      </w:pPr>
      <w:r>
        <w:rPr>
          <w:rFonts w:ascii="仿宋" w:eastAsia="仿宋" w:hAnsi="仿宋" w:hint="eastAsia"/>
          <w:b/>
          <w:sz w:val="32"/>
          <w:szCs w:val="32"/>
        </w:rPr>
        <w:t>（注：数据来源于财决</w:t>
      </w:r>
      <w:r>
        <w:rPr>
          <w:rFonts w:ascii="仿宋" w:eastAsia="仿宋" w:hAnsi="仿宋"/>
          <w:b/>
          <w:sz w:val="32"/>
          <w:szCs w:val="32"/>
        </w:rPr>
        <w:t>04</w:t>
      </w:r>
      <w:r>
        <w:rPr>
          <w:rFonts w:ascii="仿宋" w:eastAsia="仿宋" w:hAnsi="仿宋" w:hint="eastAsia"/>
          <w:b/>
          <w:sz w:val="32"/>
          <w:szCs w:val="32"/>
        </w:rPr>
        <w:t>表，仅罗列本单位涉及的支出。）</w:t>
      </w:r>
    </w:p>
    <w:p w:rsidR="00186335" w:rsidRDefault="00186335" w:rsidP="00186335">
      <w:pPr>
        <w:spacing w:line="600" w:lineRule="exact"/>
        <w:ind w:firstLine="640"/>
        <w:rPr>
          <w:rFonts w:ascii="仿宋" w:eastAsia="仿宋" w:hAnsi="仿宋"/>
          <w:sz w:val="32"/>
          <w:szCs w:val="32"/>
          <w:shd w:val="pct10" w:color="auto" w:fill="FFFFFF"/>
        </w:rPr>
      </w:pPr>
    </w:p>
    <w:p w:rsidR="00256262" w:rsidRPr="0049739A" w:rsidRDefault="00256262">
      <w:pPr>
        <w:spacing w:line="600" w:lineRule="exact"/>
        <w:ind w:firstLineChars="200" w:firstLine="640"/>
        <w:rPr>
          <w:rFonts w:ascii="仿宋_GB2312" w:eastAsia="仿宋_GB2312"/>
          <w:sz w:val="32"/>
          <w:szCs w:val="32"/>
        </w:rPr>
      </w:pPr>
      <w:r w:rsidRPr="0049739A">
        <w:rPr>
          <w:rFonts w:ascii="仿宋_GB2312" w:eastAsia="仿宋_GB2312" w:hint="eastAsia"/>
          <w:sz w:val="32"/>
          <w:szCs w:val="32"/>
        </w:rPr>
        <w:lastRenderedPageBreak/>
        <w:t>（图</w:t>
      </w:r>
      <w:r w:rsidRPr="0049739A">
        <w:rPr>
          <w:rFonts w:ascii="仿宋_GB2312" w:eastAsia="仿宋_GB2312"/>
          <w:sz w:val="32"/>
          <w:szCs w:val="32"/>
        </w:rPr>
        <w:t>3</w:t>
      </w:r>
      <w:r w:rsidRPr="0049739A">
        <w:rPr>
          <w:rFonts w:ascii="仿宋_GB2312" w:eastAsia="仿宋_GB2312" w:hint="eastAsia"/>
          <w:sz w:val="32"/>
          <w:szCs w:val="32"/>
        </w:rPr>
        <w:t>：支出决算结构图）（饼状图）</w:t>
      </w:r>
    </w:p>
    <w:p w:rsidR="00256262" w:rsidRPr="0049739A" w:rsidRDefault="00EC667C" w:rsidP="00EC667C">
      <w:pPr>
        <w:spacing w:line="360" w:lineRule="auto"/>
        <w:ind w:firstLineChars="200" w:firstLine="640"/>
        <w:rPr>
          <w:rFonts w:ascii="仿宋_GB2312" w:eastAsia="仿宋_GB2312"/>
          <w:sz w:val="32"/>
          <w:szCs w:val="32"/>
        </w:rPr>
      </w:pPr>
      <w:r w:rsidRPr="0049739A">
        <w:rPr>
          <w:rFonts w:ascii="仿宋_GB2312" w:eastAsia="仿宋_GB2312"/>
          <w:noProof/>
          <w:sz w:val="32"/>
          <w:szCs w:val="32"/>
        </w:rPr>
        <w:drawing>
          <wp:inline distT="0" distB="0" distL="0" distR="0" wp14:anchorId="79B8D435" wp14:editId="42B1E725">
            <wp:extent cx="4354286" cy="3254829"/>
            <wp:effectExtent l="0" t="0" r="27305" b="2222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43427" w:rsidRDefault="00F43427" w:rsidP="00F43427">
      <w:pPr>
        <w:spacing w:line="600" w:lineRule="exact"/>
        <w:ind w:firstLineChars="200" w:firstLine="640"/>
        <w:outlineLvl w:val="1"/>
        <w:rPr>
          <w:rStyle w:val="2Char"/>
          <w:rFonts w:ascii="黑体" w:eastAsia="黑体" w:hAnsi="黑体"/>
        </w:rPr>
      </w:pPr>
      <w:r>
        <w:rPr>
          <w:rFonts w:ascii="黑体" w:eastAsia="黑体" w:hAnsi="黑体" w:hint="eastAsia"/>
          <w:sz w:val="32"/>
          <w:szCs w:val="32"/>
        </w:rPr>
        <w:t>四、财</w:t>
      </w:r>
      <w:r>
        <w:rPr>
          <w:rStyle w:val="2Char"/>
          <w:rFonts w:ascii="黑体" w:eastAsia="黑体" w:hAnsi="黑体" w:hint="eastAsia"/>
        </w:rPr>
        <w:t>政拨款收入支出决算总体情况说明</w:t>
      </w:r>
    </w:p>
    <w:p w:rsidR="00F43427" w:rsidRDefault="00F43427" w:rsidP="00F43427">
      <w:pPr>
        <w:spacing w:line="600" w:lineRule="exact"/>
        <w:ind w:firstLineChars="200" w:firstLine="640"/>
        <w:rPr>
          <w:rFonts w:ascii="仿宋" w:eastAsia="仿宋" w:hAnsi="仿宋"/>
          <w:sz w:val="32"/>
          <w:szCs w:val="32"/>
        </w:rPr>
      </w:pPr>
      <w:r>
        <w:rPr>
          <w:rFonts w:ascii="仿宋" w:eastAsia="仿宋" w:hAnsi="仿宋" w:hint="eastAsia"/>
          <w:sz w:val="32"/>
          <w:szCs w:val="32"/>
        </w:rPr>
        <w:t>2023年度财政拨款收、支总计均为164.71万元。与2022年度相比，财政拨款收、支总计各10.15万元，增长6.6</w:t>
      </w:r>
      <w:r>
        <w:rPr>
          <w:rFonts w:ascii="仿宋" w:eastAsia="仿宋" w:hAnsi="仿宋"/>
          <w:sz w:val="32"/>
          <w:szCs w:val="32"/>
        </w:rPr>
        <w:t>%</w:t>
      </w:r>
      <w:r>
        <w:rPr>
          <w:rFonts w:ascii="仿宋" w:eastAsia="仿宋" w:hAnsi="仿宋" w:hint="eastAsia"/>
          <w:sz w:val="32"/>
          <w:szCs w:val="32"/>
        </w:rPr>
        <w:t>。主要变动原因</w:t>
      </w:r>
      <w:r w:rsidRPr="00A15781">
        <w:rPr>
          <w:rFonts w:ascii="仿宋" w:eastAsia="仿宋" w:hAnsi="仿宋" w:hint="eastAsia"/>
          <w:sz w:val="32"/>
          <w:szCs w:val="32"/>
        </w:rPr>
        <w:t>工资正常调整，社会保障和就业支出、住房保障支出因基数增加，缴费增加</w:t>
      </w:r>
      <w:r>
        <w:rPr>
          <w:rFonts w:ascii="仿宋" w:eastAsia="仿宋" w:hAnsi="仿宋" w:hint="eastAsia"/>
          <w:sz w:val="32"/>
          <w:szCs w:val="32"/>
        </w:rPr>
        <w:t>。</w:t>
      </w:r>
    </w:p>
    <w:p w:rsidR="00F43427" w:rsidRDefault="00F43427" w:rsidP="00F43427">
      <w:pPr>
        <w:spacing w:line="600" w:lineRule="exact"/>
        <w:ind w:firstLine="640"/>
        <w:rPr>
          <w:rFonts w:ascii="仿宋" w:eastAsia="仿宋" w:hAnsi="仿宋"/>
          <w:b/>
          <w:sz w:val="32"/>
          <w:szCs w:val="32"/>
        </w:rPr>
      </w:pPr>
      <w:r>
        <w:rPr>
          <w:rFonts w:ascii="仿宋" w:eastAsia="仿宋" w:hAnsi="仿宋" w:hint="eastAsia"/>
          <w:b/>
          <w:sz w:val="32"/>
          <w:szCs w:val="32"/>
        </w:rPr>
        <w:t>（注：数据来源于财决</w:t>
      </w:r>
      <w:r>
        <w:rPr>
          <w:rFonts w:ascii="仿宋" w:eastAsia="仿宋" w:hAnsi="仿宋"/>
          <w:b/>
          <w:sz w:val="32"/>
          <w:szCs w:val="32"/>
        </w:rPr>
        <w:t>01-1</w:t>
      </w:r>
      <w:r>
        <w:rPr>
          <w:rFonts w:ascii="仿宋" w:eastAsia="仿宋" w:hAnsi="仿宋" w:hint="eastAsia"/>
          <w:b/>
          <w:sz w:val="32"/>
          <w:szCs w:val="32"/>
        </w:rPr>
        <w:t>表</w:t>
      </w:r>
      <w:r>
        <w:rPr>
          <w:rFonts w:ascii="仿宋" w:eastAsia="仿宋" w:hAnsi="仿宋"/>
          <w:b/>
          <w:sz w:val="32"/>
          <w:szCs w:val="32"/>
        </w:rPr>
        <w:t>）</w:t>
      </w:r>
    </w:p>
    <w:p w:rsidR="00EC667C" w:rsidRPr="0049739A" w:rsidRDefault="00EC667C" w:rsidP="00EC667C">
      <w:pPr>
        <w:spacing w:line="360" w:lineRule="auto"/>
        <w:rPr>
          <w:rFonts w:ascii="仿宋_GB2312" w:eastAsia="仿宋_GB2312"/>
          <w:sz w:val="32"/>
          <w:szCs w:val="32"/>
        </w:rPr>
      </w:pPr>
      <w:r w:rsidRPr="0049739A">
        <w:rPr>
          <w:rFonts w:ascii="仿宋_GB2312" w:eastAsia="仿宋_GB2312"/>
          <w:noProof/>
          <w:sz w:val="32"/>
          <w:szCs w:val="32"/>
        </w:rPr>
        <w:lastRenderedPageBreak/>
        <w:drawing>
          <wp:inline distT="0" distB="0" distL="0" distR="0" wp14:anchorId="5C943506" wp14:editId="3CC31134">
            <wp:extent cx="4762500" cy="3249386"/>
            <wp:effectExtent l="0" t="0" r="19050" b="273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56262" w:rsidRPr="0049739A" w:rsidRDefault="00256262">
      <w:pPr>
        <w:spacing w:line="600" w:lineRule="exact"/>
        <w:ind w:firstLineChars="200" w:firstLine="640"/>
        <w:rPr>
          <w:rFonts w:ascii="仿宋_GB2312" w:eastAsia="仿宋_GB2312"/>
          <w:sz w:val="32"/>
          <w:szCs w:val="32"/>
        </w:rPr>
      </w:pPr>
      <w:r w:rsidRPr="0049739A">
        <w:rPr>
          <w:rFonts w:ascii="仿宋_GB2312" w:eastAsia="仿宋_GB2312" w:hint="eastAsia"/>
          <w:sz w:val="32"/>
          <w:szCs w:val="32"/>
        </w:rPr>
        <w:t>（图</w:t>
      </w:r>
      <w:r w:rsidRPr="0049739A">
        <w:rPr>
          <w:rFonts w:ascii="仿宋_GB2312" w:eastAsia="仿宋_GB2312"/>
          <w:sz w:val="32"/>
          <w:szCs w:val="32"/>
        </w:rPr>
        <w:t>4</w:t>
      </w:r>
      <w:r w:rsidRPr="0049739A">
        <w:rPr>
          <w:rFonts w:ascii="仿宋_GB2312" w:eastAsia="仿宋_GB2312" w:hint="eastAsia"/>
          <w:sz w:val="32"/>
          <w:szCs w:val="32"/>
        </w:rPr>
        <w:t>：财政拨款收、支决算总计变动情况）（柱状图）</w:t>
      </w:r>
    </w:p>
    <w:p w:rsidR="00256262" w:rsidRPr="0049739A" w:rsidRDefault="00256262">
      <w:pPr>
        <w:spacing w:line="600" w:lineRule="exact"/>
        <w:ind w:firstLine="640"/>
        <w:rPr>
          <w:rFonts w:ascii="仿宋_GB2312" w:eastAsia="仿宋_GB2312"/>
          <w:sz w:val="32"/>
          <w:szCs w:val="32"/>
        </w:rPr>
      </w:pPr>
    </w:p>
    <w:p w:rsidR="00AA6E90" w:rsidRDefault="00AA6E90" w:rsidP="00AA6E90">
      <w:pPr>
        <w:spacing w:line="600" w:lineRule="exact"/>
        <w:ind w:firstLineChars="200" w:firstLine="640"/>
        <w:outlineLvl w:val="1"/>
        <w:rPr>
          <w:rStyle w:val="2Char"/>
          <w:rFonts w:ascii="黑体" w:eastAsia="黑体" w:hAnsi="黑体"/>
        </w:rPr>
      </w:pPr>
      <w:r>
        <w:rPr>
          <w:rFonts w:ascii="黑体" w:eastAsia="黑体" w:hAnsi="黑体" w:hint="eastAsia"/>
          <w:sz w:val="32"/>
          <w:szCs w:val="32"/>
        </w:rPr>
        <w:t>五、</w:t>
      </w:r>
      <w:r>
        <w:rPr>
          <w:rFonts w:ascii="黑体" w:eastAsia="黑体" w:hAnsi="黑体" w:hint="eastAsia"/>
          <w:b/>
          <w:sz w:val="32"/>
          <w:szCs w:val="32"/>
        </w:rPr>
        <w:t>一</w:t>
      </w:r>
      <w:r>
        <w:rPr>
          <w:rStyle w:val="2Char"/>
          <w:rFonts w:ascii="黑体" w:eastAsia="黑体" w:hAnsi="黑体" w:hint="eastAsia"/>
        </w:rPr>
        <w:t>般公共预算财政拨款支出决算情况说明</w:t>
      </w:r>
    </w:p>
    <w:p w:rsidR="00AA6E90" w:rsidRDefault="00AA6E90" w:rsidP="00AA6E90">
      <w:pPr>
        <w:spacing w:line="600" w:lineRule="exact"/>
        <w:ind w:firstLineChars="200" w:firstLine="643"/>
        <w:outlineLvl w:val="2"/>
        <w:rPr>
          <w:rFonts w:ascii="仿宋" w:eastAsia="仿宋" w:hAnsi="仿宋"/>
          <w:b/>
          <w:sz w:val="32"/>
          <w:szCs w:val="32"/>
        </w:rPr>
      </w:pPr>
      <w:r>
        <w:rPr>
          <w:rFonts w:ascii="仿宋" w:eastAsia="仿宋" w:hAnsi="仿宋" w:hint="eastAsia"/>
          <w:b/>
          <w:sz w:val="32"/>
          <w:szCs w:val="32"/>
        </w:rPr>
        <w:t>（一）一般公共预算财政拨款支出决算总体情况</w:t>
      </w:r>
    </w:p>
    <w:p w:rsidR="00AA6E90" w:rsidRDefault="00AA6E90" w:rsidP="00AA6E90">
      <w:pPr>
        <w:spacing w:line="600" w:lineRule="exact"/>
        <w:ind w:firstLineChars="200" w:firstLine="640"/>
        <w:rPr>
          <w:rFonts w:ascii="仿宋" w:eastAsia="仿宋" w:hAnsi="仿宋"/>
          <w:sz w:val="32"/>
          <w:szCs w:val="32"/>
        </w:rPr>
      </w:pPr>
      <w:r>
        <w:rPr>
          <w:rFonts w:ascii="仿宋" w:eastAsia="仿宋" w:hAnsi="仿宋" w:hint="eastAsia"/>
          <w:sz w:val="32"/>
          <w:szCs w:val="32"/>
        </w:rPr>
        <w:t>2023年度一般公共预算财政拨款支出164.71万元，占本年支出合计的100</w:t>
      </w:r>
      <w:r>
        <w:rPr>
          <w:rFonts w:ascii="仿宋" w:eastAsia="仿宋" w:hAnsi="仿宋"/>
          <w:sz w:val="32"/>
          <w:szCs w:val="32"/>
        </w:rPr>
        <w:t>%</w:t>
      </w:r>
      <w:r>
        <w:rPr>
          <w:rFonts w:ascii="仿宋" w:eastAsia="仿宋" w:hAnsi="仿宋" w:hint="eastAsia"/>
          <w:sz w:val="32"/>
          <w:szCs w:val="32"/>
        </w:rPr>
        <w:t>。与2022年度相比，一般公共预算财政拨款支出增加10.51万元，增长6.6</w:t>
      </w:r>
      <w:r>
        <w:rPr>
          <w:rFonts w:ascii="仿宋" w:eastAsia="仿宋" w:hAnsi="仿宋"/>
          <w:sz w:val="32"/>
          <w:szCs w:val="32"/>
        </w:rPr>
        <w:t>%</w:t>
      </w:r>
      <w:r>
        <w:rPr>
          <w:rFonts w:ascii="仿宋" w:eastAsia="仿宋" w:hAnsi="仿宋" w:hint="eastAsia"/>
          <w:sz w:val="32"/>
          <w:szCs w:val="32"/>
        </w:rPr>
        <w:t>。主要变动原因是</w:t>
      </w:r>
      <w:r w:rsidRPr="00A15781">
        <w:rPr>
          <w:rFonts w:ascii="仿宋" w:eastAsia="仿宋" w:hAnsi="仿宋" w:hint="eastAsia"/>
          <w:sz w:val="32"/>
          <w:szCs w:val="32"/>
        </w:rPr>
        <w:t>工资正常调整，社会保障和就业支出、住房保障支出因基数增加，缴费增加</w:t>
      </w:r>
      <w:r>
        <w:rPr>
          <w:rFonts w:ascii="仿宋" w:eastAsia="仿宋" w:hAnsi="仿宋" w:hint="eastAsia"/>
          <w:sz w:val="32"/>
          <w:szCs w:val="32"/>
        </w:rPr>
        <w:t>。</w:t>
      </w:r>
    </w:p>
    <w:p w:rsidR="009D19BB" w:rsidRPr="0049739A" w:rsidRDefault="009D19BB" w:rsidP="003B6B3E">
      <w:pPr>
        <w:snapToGrid w:val="0"/>
        <w:spacing w:line="520" w:lineRule="exact"/>
        <w:ind w:firstLineChars="200" w:firstLine="640"/>
        <w:rPr>
          <w:rFonts w:ascii="仿宋_GB2312" w:eastAsia="仿宋_GB2312"/>
          <w:sz w:val="32"/>
          <w:szCs w:val="32"/>
        </w:rPr>
      </w:pPr>
    </w:p>
    <w:p w:rsidR="009D19BB" w:rsidRPr="0049739A" w:rsidRDefault="009D19BB" w:rsidP="003B6B3E">
      <w:pPr>
        <w:snapToGrid w:val="0"/>
        <w:spacing w:line="520" w:lineRule="exact"/>
        <w:ind w:firstLineChars="200" w:firstLine="640"/>
        <w:rPr>
          <w:rFonts w:ascii="仿宋_GB2312" w:eastAsia="仿宋_GB2312"/>
          <w:sz w:val="32"/>
          <w:szCs w:val="32"/>
        </w:rPr>
      </w:pPr>
    </w:p>
    <w:p w:rsidR="009D19BB" w:rsidRPr="0049739A" w:rsidRDefault="009D19BB" w:rsidP="003B6B3E">
      <w:pPr>
        <w:snapToGrid w:val="0"/>
        <w:spacing w:line="520" w:lineRule="exact"/>
        <w:ind w:firstLineChars="200" w:firstLine="640"/>
        <w:rPr>
          <w:rFonts w:ascii="仿宋_GB2312" w:eastAsia="仿宋_GB2312"/>
          <w:sz w:val="32"/>
          <w:szCs w:val="32"/>
        </w:rPr>
      </w:pPr>
    </w:p>
    <w:p w:rsidR="009D19BB" w:rsidRPr="0049739A" w:rsidRDefault="009D19BB" w:rsidP="003B6B3E">
      <w:pPr>
        <w:snapToGrid w:val="0"/>
        <w:spacing w:line="520" w:lineRule="exact"/>
        <w:ind w:firstLineChars="200" w:firstLine="640"/>
        <w:rPr>
          <w:rFonts w:ascii="仿宋_GB2312" w:eastAsia="仿宋_GB2312"/>
          <w:sz w:val="32"/>
          <w:szCs w:val="32"/>
        </w:rPr>
      </w:pPr>
    </w:p>
    <w:p w:rsidR="009D19BB" w:rsidRPr="0049739A" w:rsidRDefault="009D19BB" w:rsidP="003B6B3E">
      <w:pPr>
        <w:snapToGrid w:val="0"/>
        <w:spacing w:line="520" w:lineRule="exact"/>
        <w:ind w:firstLineChars="200" w:firstLine="640"/>
        <w:rPr>
          <w:rFonts w:ascii="仿宋_GB2312" w:eastAsia="仿宋_GB2312"/>
          <w:sz w:val="32"/>
          <w:szCs w:val="32"/>
        </w:rPr>
      </w:pPr>
    </w:p>
    <w:p w:rsidR="00256262" w:rsidRPr="0049739A" w:rsidRDefault="0083429A" w:rsidP="0083429A">
      <w:pPr>
        <w:spacing w:line="360" w:lineRule="auto"/>
        <w:ind w:firstLineChars="200" w:firstLine="640"/>
        <w:rPr>
          <w:rFonts w:ascii="仿宋_GB2312" w:eastAsia="仿宋_GB2312"/>
          <w:sz w:val="32"/>
          <w:szCs w:val="32"/>
        </w:rPr>
      </w:pPr>
      <w:r w:rsidRPr="0049739A">
        <w:rPr>
          <w:rFonts w:ascii="仿宋_GB2312" w:eastAsia="仿宋_GB2312"/>
          <w:noProof/>
          <w:sz w:val="32"/>
          <w:szCs w:val="32"/>
        </w:rPr>
        <w:lastRenderedPageBreak/>
        <w:drawing>
          <wp:inline distT="0" distB="0" distL="0" distR="0" wp14:anchorId="325C086A" wp14:editId="0FBB9F1B">
            <wp:extent cx="4751294" cy="3203388"/>
            <wp:effectExtent l="0" t="0" r="11430" b="1651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56262" w:rsidRPr="0049739A" w:rsidRDefault="00256262">
      <w:pPr>
        <w:spacing w:line="600" w:lineRule="exact"/>
        <w:ind w:firstLineChars="200" w:firstLine="640"/>
        <w:rPr>
          <w:rFonts w:ascii="仿宋_GB2312" w:eastAsia="仿宋_GB2312"/>
          <w:sz w:val="32"/>
          <w:szCs w:val="32"/>
        </w:rPr>
      </w:pPr>
      <w:r w:rsidRPr="0049739A">
        <w:rPr>
          <w:rFonts w:ascii="仿宋_GB2312" w:eastAsia="仿宋_GB2312" w:hint="eastAsia"/>
          <w:sz w:val="32"/>
          <w:szCs w:val="32"/>
        </w:rPr>
        <w:t>（图</w:t>
      </w:r>
      <w:r w:rsidRPr="0049739A">
        <w:rPr>
          <w:rFonts w:ascii="仿宋_GB2312" w:eastAsia="仿宋_GB2312"/>
          <w:sz w:val="32"/>
          <w:szCs w:val="32"/>
        </w:rPr>
        <w:t>5</w:t>
      </w:r>
      <w:r w:rsidRPr="0049739A">
        <w:rPr>
          <w:rFonts w:ascii="仿宋_GB2312" w:eastAsia="仿宋_GB2312" w:hint="eastAsia"/>
          <w:sz w:val="32"/>
          <w:szCs w:val="32"/>
        </w:rPr>
        <w:t>：一般公共预算财政拨款支出决算变动情况）（柱状图）</w:t>
      </w:r>
    </w:p>
    <w:p w:rsidR="00256262" w:rsidRPr="0049739A" w:rsidRDefault="00256262">
      <w:pPr>
        <w:spacing w:line="600" w:lineRule="exact"/>
        <w:ind w:firstLineChars="200" w:firstLine="640"/>
        <w:rPr>
          <w:rFonts w:ascii="仿宋_GB2312" w:eastAsia="仿宋_GB2312"/>
          <w:sz w:val="32"/>
          <w:szCs w:val="32"/>
        </w:rPr>
      </w:pPr>
    </w:p>
    <w:p w:rsidR="004C61DD" w:rsidRDefault="004C61DD" w:rsidP="004C61DD">
      <w:pPr>
        <w:spacing w:line="600" w:lineRule="exact"/>
        <w:ind w:firstLineChars="200" w:firstLine="643"/>
        <w:outlineLvl w:val="2"/>
        <w:rPr>
          <w:rFonts w:ascii="仿宋" w:eastAsia="仿宋" w:hAnsi="仿宋"/>
          <w:b/>
          <w:sz w:val="32"/>
          <w:szCs w:val="32"/>
        </w:rPr>
      </w:pPr>
      <w:r>
        <w:rPr>
          <w:rFonts w:ascii="仿宋" w:eastAsia="仿宋" w:hAnsi="仿宋" w:hint="eastAsia"/>
          <w:b/>
          <w:sz w:val="32"/>
          <w:szCs w:val="32"/>
        </w:rPr>
        <w:t>（二）一般公共预算财政拨款支出决算结构情况</w:t>
      </w:r>
    </w:p>
    <w:p w:rsidR="004C61DD" w:rsidRDefault="004C61DD" w:rsidP="004C61DD">
      <w:pPr>
        <w:spacing w:line="600" w:lineRule="exact"/>
        <w:ind w:firstLine="640"/>
        <w:rPr>
          <w:rFonts w:ascii="仿宋" w:eastAsia="仿宋" w:hAnsi="仿宋"/>
          <w:b/>
          <w:sz w:val="32"/>
          <w:szCs w:val="32"/>
        </w:rPr>
      </w:pPr>
      <w:r>
        <w:rPr>
          <w:rFonts w:ascii="仿宋" w:eastAsia="仿宋" w:hAnsi="仿宋" w:hint="eastAsia"/>
          <w:sz w:val="32"/>
          <w:szCs w:val="32"/>
        </w:rPr>
        <w:t>2023年度一般公共预算财政拨款支出164.71万元，主要用于以下方面</w:t>
      </w:r>
      <w:r>
        <w:rPr>
          <w:rFonts w:ascii="仿宋" w:eastAsia="仿宋" w:hAnsi="仿宋"/>
          <w:sz w:val="32"/>
          <w:szCs w:val="32"/>
        </w:rPr>
        <w:t>:</w:t>
      </w:r>
      <w:r>
        <w:rPr>
          <w:rFonts w:ascii="仿宋" w:eastAsia="仿宋" w:hAnsi="仿宋" w:hint="eastAsia"/>
          <w:b/>
          <w:sz w:val="32"/>
          <w:szCs w:val="32"/>
        </w:rPr>
        <w:t>一般公共服务</w:t>
      </w:r>
      <w:r>
        <w:rPr>
          <w:rFonts w:ascii="仿宋" w:eastAsia="仿宋" w:hAnsi="仿宋" w:hint="eastAsia"/>
          <w:b/>
          <w:bCs/>
          <w:sz w:val="32"/>
          <w:szCs w:val="32"/>
        </w:rPr>
        <w:t>支出</w:t>
      </w:r>
      <w:r>
        <w:rPr>
          <w:rFonts w:ascii="仿宋" w:eastAsia="仿宋" w:hAnsi="仿宋" w:hint="eastAsia"/>
          <w:sz w:val="32"/>
          <w:szCs w:val="32"/>
        </w:rPr>
        <w:t>128.81万元，占78.2</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b/>
          <w:sz w:val="32"/>
          <w:szCs w:val="32"/>
        </w:rPr>
        <w:t>教育支出</w:t>
      </w:r>
      <w:r>
        <w:rPr>
          <w:rFonts w:ascii="仿宋" w:eastAsia="仿宋" w:hAnsi="仿宋" w:hint="eastAsia"/>
          <w:sz w:val="32"/>
          <w:szCs w:val="32"/>
        </w:rPr>
        <w:t>0万元，占0</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b/>
          <w:sz w:val="32"/>
          <w:szCs w:val="32"/>
        </w:rPr>
        <w:t>科学技术</w:t>
      </w:r>
      <w:r>
        <w:rPr>
          <w:rFonts w:ascii="仿宋" w:eastAsia="仿宋" w:hAnsi="仿宋" w:hint="eastAsia"/>
          <w:b/>
          <w:bCs/>
          <w:sz w:val="32"/>
          <w:szCs w:val="32"/>
        </w:rPr>
        <w:t>支出</w:t>
      </w:r>
      <w:r>
        <w:rPr>
          <w:rFonts w:ascii="仿宋" w:eastAsia="仿宋" w:hAnsi="仿宋" w:hint="eastAsia"/>
          <w:sz w:val="32"/>
          <w:szCs w:val="32"/>
        </w:rPr>
        <w:t>0万元，占0</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b/>
          <w:bCs/>
          <w:sz w:val="32"/>
          <w:szCs w:val="32"/>
        </w:rPr>
        <w:t>文化旅游体育与传媒支出0万元，占0</w:t>
      </w:r>
      <w:r>
        <w:rPr>
          <w:rFonts w:ascii="仿宋" w:eastAsia="仿宋" w:hAnsi="仿宋"/>
          <w:b/>
          <w:bCs/>
          <w:sz w:val="32"/>
          <w:szCs w:val="32"/>
        </w:rPr>
        <w:t>%</w:t>
      </w:r>
      <w:r>
        <w:rPr>
          <w:rFonts w:ascii="仿宋" w:eastAsia="仿宋" w:hAnsi="仿宋" w:hint="eastAsia"/>
          <w:sz w:val="32"/>
          <w:szCs w:val="32"/>
        </w:rPr>
        <w:t>；</w:t>
      </w:r>
      <w:r>
        <w:rPr>
          <w:rFonts w:ascii="仿宋" w:eastAsia="仿宋" w:hAnsi="仿宋" w:hint="eastAsia"/>
          <w:b/>
          <w:sz w:val="32"/>
          <w:szCs w:val="32"/>
        </w:rPr>
        <w:t>社会保障和就业</w:t>
      </w:r>
      <w:r>
        <w:rPr>
          <w:rFonts w:ascii="仿宋" w:eastAsia="仿宋" w:hAnsi="仿宋" w:hint="eastAsia"/>
          <w:b/>
          <w:bCs/>
          <w:sz w:val="32"/>
          <w:szCs w:val="32"/>
        </w:rPr>
        <w:t>支出</w:t>
      </w:r>
      <w:r>
        <w:rPr>
          <w:rFonts w:ascii="仿宋" w:eastAsia="仿宋" w:hAnsi="仿宋" w:hint="eastAsia"/>
          <w:sz w:val="32"/>
          <w:szCs w:val="32"/>
        </w:rPr>
        <w:t>12万元，占7.3</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b/>
          <w:bCs/>
          <w:sz w:val="32"/>
          <w:szCs w:val="32"/>
        </w:rPr>
        <w:t>卫生健康支出</w:t>
      </w:r>
      <w:r>
        <w:rPr>
          <w:rFonts w:ascii="仿宋" w:eastAsia="仿宋" w:hAnsi="仿宋" w:hint="eastAsia"/>
          <w:sz w:val="32"/>
          <w:szCs w:val="32"/>
        </w:rPr>
        <w:t>6.18万元，占3.76</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b/>
          <w:bCs/>
          <w:sz w:val="32"/>
          <w:szCs w:val="32"/>
        </w:rPr>
        <w:t>住房保障支出</w:t>
      </w:r>
      <w:r>
        <w:rPr>
          <w:rFonts w:ascii="仿宋" w:eastAsia="仿宋" w:hAnsi="仿宋" w:hint="eastAsia"/>
          <w:sz w:val="32"/>
          <w:szCs w:val="32"/>
        </w:rPr>
        <w:t>7.82万元，占4.74</w:t>
      </w:r>
      <w:r>
        <w:rPr>
          <w:rFonts w:ascii="仿宋" w:eastAsia="仿宋" w:hAnsi="仿宋"/>
          <w:sz w:val="32"/>
          <w:szCs w:val="32"/>
        </w:rPr>
        <w:t>%</w:t>
      </w:r>
      <w:r>
        <w:rPr>
          <w:rFonts w:ascii="仿宋" w:eastAsia="仿宋" w:hAnsi="仿宋" w:hint="eastAsia"/>
          <w:sz w:val="32"/>
          <w:szCs w:val="32"/>
        </w:rPr>
        <w:t>；</w:t>
      </w:r>
      <w:r>
        <w:rPr>
          <w:rFonts w:ascii="仿宋" w:eastAsia="仿宋" w:hAnsi="仿宋"/>
          <w:sz w:val="32"/>
          <w:szCs w:val="32"/>
        </w:rPr>
        <w:t>…</w:t>
      </w:r>
      <w:r>
        <w:rPr>
          <w:rFonts w:ascii="仿宋" w:eastAsia="仿宋" w:hAnsi="仿宋" w:hint="eastAsia"/>
          <w:sz w:val="32"/>
          <w:szCs w:val="32"/>
        </w:rPr>
        <w:t>。</w:t>
      </w:r>
    </w:p>
    <w:p w:rsidR="004C61DD" w:rsidRDefault="004C61DD" w:rsidP="004C61DD">
      <w:pPr>
        <w:spacing w:line="600" w:lineRule="exact"/>
        <w:ind w:firstLine="640"/>
        <w:rPr>
          <w:rFonts w:ascii="仿宋" w:eastAsia="仿宋" w:hAnsi="仿宋"/>
          <w:b/>
          <w:sz w:val="32"/>
          <w:szCs w:val="32"/>
        </w:rPr>
      </w:pPr>
      <w:r>
        <w:rPr>
          <w:rFonts w:ascii="仿宋" w:eastAsia="仿宋" w:hAnsi="仿宋" w:hint="eastAsia"/>
          <w:b/>
          <w:sz w:val="32"/>
          <w:szCs w:val="32"/>
        </w:rPr>
        <w:t>（注：数据来源于财决01-1表，仅罗列本单位涉及的全部功能分类科目，至类级。）</w:t>
      </w:r>
    </w:p>
    <w:p w:rsidR="00256262" w:rsidRPr="0049739A" w:rsidRDefault="00D07853" w:rsidP="00D07853">
      <w:pPr>
        <w:spacing w:line="360" w:lineRule="auto"/>
        <w:ind w:firstLine="641"/>
        <w:rPr>
          <w:rFonts w:ascii="仿宋_GB2312" w:eastAsia="仿宋_GB2312"/>
          <w:sz w:val="32"/>
          <w:szCs w:val="32"/>
        </w:rPr>
      </w:pPr>
      <w:r w:rsidRPr="0049739A">
        <w:rPr>
          <w:rFonts w:ascii="仿宋_GB2312" w:eastAsia="仿宋_GB2312"/>
          <w:noProof/>
          <w:sz w:val="32"/>
          <w:szCs w:val="32"/>
        </w:rPr>
        <w:lastRenderedPageBreak/>
        <w:drawing>
          <wp:inline distT="0" distB="0" distL="0" distR="0" wp14:anchorId="305B941D" wp14:editId="444DDB40">
            <wp:extent cx="5274310" cy="3076575"/>
            <wp:effectExtent l="0" t="0" r="2159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56262" w:rsidRPr="0049739A" w:rsidRDefault="00256262">
      <w:pPr>
        <w:spacing w:line="600" w:lineRule="exact"/>
        <w:ind w:firstLineChars="200" w:firstLine="640"/>
        <w:rPr>
          <w:rFonts w:ascii="仿宋_GB2312" w:eastAsia="仿宋_GB2312"/>
          <w:sz w:val="32"/>
          <w:szCs w:val="32"/>
        </w:rPr>
      </w:pPr>
      <w:r w:rsidRPr="0049739A">
        <w:rPr>
          <w:rFonts w:ascii="仿宋_GB2312" w:eastAsia="仿宋_GB2312" w:hint="eastAsia"/>
          <w:sz w:val="32"/>
          <w:szCs w:val="32"/>
        </w:rPr>
        <w:t>（图</w:t>
      </w:r>
      <w:r w:rsidRPr="0049739A">
        <w:rPr>
          <w:rFonts w:ascii="仿宋_GB2312" w:eastAsia="仿宋_GB2312"/>
          <w:sz w:val="32"/>
          <w:szCs w:val="32"/>
        </w:rPr>
        <w:t>6</w:t>
      </w:r>
      <w:r w:rsidRPr="0049739A">
        <w:rPr>
          <w:rFonts w:ascii="仿宋_GB2312" w:eastAsia="仿宋_GB2312" w:hint="eastAsia"/>
          <w:sz w:val="32"/>
          <w:szCs w:val="32"/>
        </w:rPr>
        <w:t>：一般公共预算财政拨款支出决算结构）（饼状图）</w:t>
      </w:r>
    </w:p>
    <w:p w:rsidR="00256262" w:rsidRPr="0049739A" w:rsidRDefault="00256262">
      <w:pPr>
        <w:spacing w:line="600" w:lineRule="exact"/>
        <w:ind w:firstLineChars="200" w:firstLine="640"/>
        <w:rPr>
          <w:rFonts w:ascii="仿宋_GB2312" w:eastAsia="仿宋_GB2312"/>
          <w:sz w:val="32"/>
          <w:szCs w:val="32"/>
        </w:rPr>
      </w:pPr>
    </w:p>
    <w:p w:rsidR="006B65A1" w:rsidRDefault="006B65A1" w:rsidP="006B65A1">
      <w:pPr>
        <w:spacing w:line="600" w:lineRule="exact"/>
        <w:ind w:firstLineChars="200" w:firstLine="643"/>
        <w:outlineLvl w:val="2"/>
        <w:rPr>
          <w:rFonts w:ascii="仿宋" w:eastAsia="仿宋" w:hAnsi="仿宋"/>
          <w:b/>
          <w:sz w:val="32"/>
          <w:szCs w:val="32"/>
        </w:rPr>
      </w:pPr>
      <w:bookmarkStart w:id="1" w:name="_Toc15396608"/>
      <w:bookmarkStart w:id="2" w:name="_Toc15377214"/>
      <w:bookmarkStart w:id="3" w:name="_Toc79163618"/>
      <w:bookmarkStart w:id="4" w:name="_Toc79163868"/>
      <w:r>
        <w:rPr>
          <w:rFonts w:ascii="仿宋" w:eastAsia="仿宋" w:hAnsi="仿宋" w:hint="eastAsia"/>
          <w:b/>
          <w:sz w:val="32"/>
          <w:szCs w:val="32"/>
        </w:rPr>
        <w:t>（三）一般公共预算财政拨款支出决算具体情况</w:t>
      </w:r>
    </w:p>
    <w:p w:rsidR="006B65A1" w:rsidRPr="0049739A" w:rsidRDefault="006B65A1" w:rsidP="006B65A1">
      <w:pPr>
        <w:spacing w:line="600" w:lineRule="exact"/>
        <w:ind w:firstLineChars="200" w:firstLine="640"/>
        <w:rPr>
          <w:rFonts w:ascii="仿宋_GB2312" w:eastAsia="仿宋_GB2312"/>
          <w:sz w:val="32"/>
          <w:szCs w:val="32"/>
        </w:rPr>
      </w:pPr>
      <w:bookmarkStart w:id="5" w:name="_Toc15377213"/>
      <w:bookmarkStart w:id="6" w:name="_Toc15378460"/>
      <w:bookmarkStart w:id="7" w:name="_Toc15377444"/>
      <w:r w:rsidRPr="0049739A">
        <w:rPr>
          <w:rFonts w:ascii="仿宋_GB2312" w:eastAsia="仿宋_GB2312"/>
          <w:sz w:val="32"/>
          <w:szCs w:val="32"/>
        </w:rPr>
        <w:t>202</w:t>
      </w:r>
      <w:r>
        <w:rPr>
          <w:rFonts w:ascii="仿宋_GB2312" w:eastAsia="仿宋_GB2312" w:hint="eastAsia"/>
          <w:sz w:val="32"/>
          <w:szCs w:val="32"/>
        </w:rPr>
        <w:t>3</w:t>
      </w:r>
      <w:r w:rsidRPr="0049739A">
        <w:rPr>
          <w:rFonts w:ascii="仿宋_GB2312" w:eastAsia="仿宋_GB2312" w:hint="eastAsia"/>
          <w:sz w:val="32"/>
          <w:szCs w:val="32"/>
        </w:rPr>
        <w:t>年一般公共预算支出决算数为</w:t>
      </w:r>
      <w:r>
        <w:rPr>
          <w:rFonts w:ascii="仿宋_GB2312" w:eastAsia="仿宋_GB2312" w:hint="eastAsia"/>
          <w:sz w:val="32"/>
          <w:szCs w:val="32"/>
        </w:rPr>
        <w:t>164.71万元</w:t>
      </w:r>
      <w:r w:rsidRPr="0049739A">
        <w:rPr>
          <w:rFonts w:ascii="仿宋_GB2312" w:eastAsia="仿宋_GB2312" w:hint="eastAsia"/>
          <w:sz w:val="32"/>
          <w:szCs w:val="32"/>
        </w:rPr>
        <w:t>，完成预算100</w:t>
      </w:r>
      <w:r w:rsidRPr="0049739A">
        <w:rPr>
          <w:rFonts w:ascii="仿宋_GB2312" w:eastAsia="仿宋_GB2312"/>
          <w:sz w:val="32"/>
          <w:szCs w:val="32"/>
        </w:rPr>
        <w:t>%</w:t>
      </w:r>
      <w:r w:rsidRPr="0049739A">
        <w:rPr>
          <w:rFonts w:ascii="仿宋_GB2312" w:eastAsia="仿宋_GB2312" w:hint="eastAsia"/>
          <w:sz w:val="32"/>
          <w:szCs w:val="32"/>
        </w:rPr>
        <w:t>。其中：</w:t>
      </w:r>
      <w:bookmarkEnd w:id="5"/>
      <w:bookmarkEnd w:id="6"/>
      <w:bookmarkEnd w:id="7"/>
    </w:p>
    <w:p w:rsidR="006B65A1" w:rsidRDefault="006B65A1" w:rsidP="006B65A1">
      <w:pPr>
        <w:spacing w:line="600" w:lineRule="exact"/>
        <w:ind w:firstLineChars="200" w:firstLine="640"/>
        <w:rPr>
          <w:rFonts w:ascii="仿宋_GB2312" w:eastAsia="仿宋_GB2312"/>
          <w:sz w:val="32"/>
          <w:szCs w:val="32"/>
        </w:rPr>
      </w:pPr>
      <w:r w:rsidRPr="0049739A">
        <w:rPr>
          <w:rFonts w:ascii="仿宋_GB2312" w:eastAsia="仿宋_GB2312"/>
          <w:sz w:val="32"/>
          <w:szCs w:val="32"/>
        </w:rPr>
        <w:t>1.</w:t>
      </w:r>
      <w:r w:rsidRPr="0049739A">
        <w:rPr>
          <w:rFonts w:ascii="仿宋_GB2312" w:eastAsia="仿宋_GB2312" w:hint="eastAsia"/>
          <w:sz w:val="32"/>
          <w:szCs w:val="32"/>
        </w:rPr>
        <w:t>一般公共服务210（类）</w:t>
      </w:r>
      <w:r w:rsidRPr="0049739A">
        <w:rPr>
          <w:rFonts w:ascii="仿宋_GB2312" w:eastAsia="仿宋_GB2312"/>
          <w:sz w:val="32"/>
          <w:szCs w:val="32"/>
        </w:rPr>
        <w:t>36</w:t>
      </w:r>
      <w:r w:rsidRPr="0049739A">
        <w:rPr>
          <w:rFonts w:ascii="仿宋_GB2312" w:eastAsia="仿宋_GB2312" w:hint="eastAsia"/>
          <w:sz w:val="32"/>
          <w:szCs w:val="32"/>
        </w:rPr>
        <w:t>（款）01（项）（类）201（款）36（项）</w:t>
      </w:r>
      <w:r w:rsidRPr="0049739A">
        <w:rPr>
          <w:rFonts w:ascii="仿宋_GB2312" w:eastAsia="仿宋_GB2312"/>
          <w:sz w:val="32"/>
          <w:szCs w:val="32"/>
        </w:rPr>
        <w:t xml:space="preserve">: </w:t>
      </w:r>
      <w:r w:rsidRPr="0049739A">
        <w:rPr>
          <w:rFonts w:ascii="仿宋_GB2312" w:eastAsia="仿宋_GB2312" w:hint="eastAsia"/>
          <w:sz w:val="32"/>
          <w:szCs w:val="32"/>
        </w:rPr>
        <w:t>支出决算为</w:t>
      </w:r>
      <w:r>
        <w:rPr>
          <w:rFonts w:ascii="仿宋_GB2312" w:eastAsia="仿宋_GB2312" w:hint="eastAsia"/>
          <w:sz w:val="32"/>
          <w:szCs w:val="32"/>
        </w:rPr>
        <w:t>97.42万元；</w:t>
      </w:r>
      <w:r w:rsidRPr="0049739A">
        <w:rPr>
          <w:rFonts w:ascii="仿宋_GB2312" w:eastAsia="仿宋_GB2312" w:hint="eastAsia"/>
          <w:sz w:val="32"/>
          <w:szCs w:val="32"/>
        </w:rPr>
        <w:t>210（类）</w:t>
      </w:r>
      <w:r w:rsidRPr="0049739A">
        <w:rPr>
          <w:rFonts w:ascii="仿宋_GB2312" w:eastAsia="仿宋_GB2312"/>
          <w:sz w:val="32"/>
          <w:szCs w:val="32"/>
        </w:rPr>
        <w:t>36</w:t>
      </w:r>
      <w:r w:rsidRPr="0049739A">
        <w:rPr>
          <w:rFonts w:ascii="仿宋_GB2312" w:eastAsia="仿宋_GB2312" w:hint="eastAsia"/>
          <w:sz w:val="32"/>
          <w:szCs w:val="32"/>
        </w:rPr>
        <w:t>（款）</w:t>
      </w:r>
      <w:r>
        <w:rPr>
          <w:rFonts w:ascii="仿宋_GB2312" w:eastAsia="仿宋_GB2312" w:hint="eastAsia"/>
          <w:sz w:val="32"/>
          <w:szCs w:val="32"/>
        </w:rPr>
        <w:t>02</w:t>
      </w:r>
      <w:r w:rsidRPr="0049739A">
        <w:rPr>
          <w:rFonts w:ascii="仿宋_GB2312" w:eastAsia="仿宋_GB2312" w:hint="eastAsia"/>
          <w:sz w:val="32"/>
          <w:szCs w:val="32"/>
        </w:rPr>
        <w:t>（项）（类）201（款）36（项）</w:t>
      </w:r>
      <w:r w:rsidRPr="0049739A">
        <w:rPr>
          <w:rFonts w:ascii="仿宋_GB2312" w:eastAsia="仿宋_GB2312"/>
          <w:sz w:val="32"/>
          <w:szCs w:val="32"/>
        </w:rPr>
        <w:t xml:space="preserve">: </w:t>
      </w:r>
      <w:r w:rsidRPr="0049739A">
        <w:rPr>
          <w:rFonts w:ascii="仿宋_GB2312" w:eastAsia="仿宋_GB2312" w:hint="eastAsia"/>
          <w:sz w:val="32"/>
          <w:szCs w:val="32"/>
        </w:rPr>
        <w:t>支出决算为</w:t>
      </w:r>
      <w:r>
        <w:rPr>
          <w:rFonts w:ascii="仿宋_GB2312" w:eastAsia="仿宋_GB2312" w:hint="eastAsia"/>
          <w:sz w:val="32"/>
          <w:szCs w:val="32"/>
        </w:rPr>
        <w:t>35.91</w:t>
      </w:r>
      <w:r w:rsidRPr="0049739A">
        <w:rPr>
          <w:rFonts w:ascii="仿宋_GB2312" w:eastAsia="仿宋_GB2312" w:hint="eastAsia"/>
          <w:sz w:val="32"/>
          <w:szCs w:val="32"/>
        </w:rPr>
        <w:t>万元，完成预算100</w:t>
      </w:r>
      <w:r w:rsidRPr="0049739A">
        <w:rPr>
          <w:rFonts w:ascii="仿宋_GB2312" w:eastAsia="仿宋_GB2312"/>
          <w:sz w:val="32"/>
          <w:szCs w:val="32"/>
        </w:rPr>
        <w:t>%。</w:t>
      </w:r>
    </w:p>
    <w:p w:rsidR="006B65A1" w:rsidRDefault="006B65A1" w:rsidP="006B65A1">
      <w:pPr>
        <w:spacing w:line="600" w:lineRule="exact"/>
        <w:ind w:firstLineChars="200" w:firstLine="643"/>
        <w:rPr>
          <w:rFonts w:ascii="仿宋" w:eastAsia="仿宋" w:hAnsi="仿宋"/>
          <w:b/>
          <w:sz w:val="32"/>
          <w:szCs w:val="32"/>
        </w:rPr>
      </w:pPr>
      <w:r>
        <w:rPr>
          <w:rStyle w:val="a7"/>
          <w:rFonts w:ascii="仿宋" w:eastAsia="仿宋" w:hAnsi="仿宋" w:hint="eastAsia"/>
          <w:bCs/>
          <w:sz w:val="32"/>
          <w:szCs w:val="32"/>
        </w:rPr>
        <w:t>2</w:t>
      </w:r>
      <w:r>
        <w:rPr>
          <w:rStyle w:val="a7"/>
          <w:rFonts w:ascii="仿宋" w:eastAsia="仿宋" w:hAnsi="仿宋"/>
          <w:bCs/>
          <w:sz w:val="32"/>
          <w:szCs w:val="32"/>
        </w:rPr>
        <w:t>.</w:t>
      </w:r>
      <w:r w:rsidRPr="002447E8">
        <w:rPr>
          <w:rFonts w:ascii="仿宋_GB2312" w:eastAsia="仿宋_GB2312" w:hint="eastAsia"/>
          <w:sz w:val="32"/>
          <w:szCs w:val="32"/>
        </w:rPr>
        <w:t xml:space="preserve"> </w:t>
      </w:r>
      <w:r w:rsidRPr="0049739A">
        <w:rPr>
          <w:rFonts w:ascii="仿宋_GB2312" w:eastAsia="仿宋_GB2312" w:hint="eastAsia"/>
          <w:sz w:val="32"/>
          <w:szCs w:val="32"/>
        </w:rPr>
        <w:t>社会保障和就业208（类）05（款）05（项）机关行政事业单位基本养老保障缴费</w:t>
      </w:r>
      <w:r w:rsidRPr="0049739A">
        <w:rPr>
          <w:rFonts w:ascii="仿宋_GB2312" w:eastAsia="仿宋_GB2312"/>
          <w:sz w:val="32"/>
          <w:szCs w:val="32"/>
        </w:rPr>
        <w:t>:</w:t>
      </w:r>
      <w:r w:rsidRPr="0049739A">
        <w:rPr>
          <w:rFonts w:ascii="仿宋_GB2312" w:eastAsia="仿宋_GB2312" w:hint="eastAsia"/>
          <w:sz w:val="32"/>
          <w:szCs w:val="32"/>
        </w:rPr>
        <w:t>支出决算为</w:t>
      </w:r>
      <w:r>
        <w:rPr>
          <w:rFonts w:ascii="仿宋_GB2312" w:eastAsia="仿宋_GB2312" w:hint="eastAsia"/>
          <w:sz w:val="32"/>
          <w:szCs w:val="32"/>
        </w:rPr>
        <w:t>10.71</w:t>
      </w:r>
      <w:r w:rsidRPr="0049739A">
        <w:rPr>
          <w:rFonts w:ascii="仿宋_GB2312" w:eastAsia="仿宋_GB2312" w:hint="eastAsia"/>
          <w:sz w:val="32"/>
          <w:szCs w:val="32"/>
        </w:rPr>
        <w:t>万元；208（类）05（款）06（项）机关行政事业单位职业年金缴费</w:t>
      </w:r>
      <w:r w:rsidRPr="0049739A">
        <w:rPr>
          <w:rFonts w:ascii="仿宋_GB2312" w:eastAsia="仿宋_GB2312"/>
          <w:sz w:val="32"/>
          <w:szCs w:val="32"/>
        </w:rPr>
        <w:t>:</w:t>
      </w:r>
      <w:r w:rsidRPr="0049739A">
        <w:rPr>
          <w:rFonts w:ascii="仿宋_GB2312" w:eastAsia="仿宋_GB2312" w:hint="eastAsia"/>
          <w:sz w:val="32"/>
          <w:szCs w:val="32"/>
        </w:rPr>
        <w:t>支出决算为</w:t>
      </w:r>
      <w:r>
        <w:rPr>
          <w:rFonts w:ascii="仿宋_GB2312" w:eastAsia="仿宋_GB2312" w:hint="eastAsia"/>
          <w:sz w:val="32"/>
          <w:szCs w:val="32"/>
        </w:rPr>
        <w:t>5.35</w:t>
      </w:r>
      <w:r w:rsidRPr="0049739A">
        <w:rPr>
          <w:rFonts w:ascii="仿宋_GB2312" w:eastAsia="仿宋_GB2312" w:hint="eastAsia"/>
          <w:sz w:val="32"/>
          <w:szCs w:val="32"/>
        </w:rPr>
        <w:t>万元，完成预算100</w:t>
      </w:r>
      <w:r w:rsidRPr="0049739A">
        <w:rPr>
          <w:rFonts w:ascii="仿宋_GB2312" w:eastAsia="仿宋_GB2312"/>
          <w:sz w:val="32"/>
          <w:szCs w:val="32"/>
        </w:rPr>
        <w:t>%</w:t>
      </w:r>
      <w:r>
        <w:rPr>
          <w:rStyle w:val="a7"/>
          <w:rFonts w:ascii="仿宋" w:eastAsia="仿宋" w:hAnsi="仿宋" w:hint="eastAsia"/>
          <w:bCs/>
          <w:sz w:val="32"/>
          <w:szCs w:val="32"/>
        </w:rPr>
        <w:t>。</w:t>
      </w:r>
    </w:p>
    <w:p w:rsidR="006B65A1" w:rsidRPr="007B349D" w:rsidRDefault="006B65A1" w:rsidP="006B65A1">
      <w:pPr>
        <w:spacing w:line="600" w:lineRule="exact"/>
        <w:ind w:firstLineChars="200" w:firstLine="643"/>
      </w:pPr>
      <w:r>
        <w:rPr>
          <w:rStyle w:val="a7"/>
          <w:rFonts w:ascii="仿宋" w:eastAsia="仿宋" w:hAnsi="仿宋" w:hint="eastAsia"/>
          <w:bCs/>
          <w:sz w:val="32"/>
          <w:szCs w:val="32"/>
        </w:rPr>
        <w:t>3</w:t>
      </w:r>
      <w:r>
        <w:rPr>
          <w:rStyle w:val="a7"/>
          <w:rFonts w:ascii="仿宋" w:eastAsia="仿宋" w:hAnsi="仿宋"/>
          <w:bCs/>
          <w:sz w:val="32"/>
          <w:szCs w:val="32"/>
        </w:rPr>
        <w:t>.</w:t>
      </w:r>
      <w:r w:rsidRPr="002447E8">
        <w:rPr>
          <w:rFonts w:ascii="仿宋_GB2312" w:eastAsia="仿宋_GB2312" w:hint="eastAsia"/>
          <w:sz w:val="32"/>
          <w:szCs w:val="32"/>
        </w:rPr>
        <w:t xml:space="preserve"> </w:t>
      </w:r>
      <w:r w:rsidRPr="0049739A">
        <w:rPr>
          <w:rFonts w:ascii="仿宋_GB2312" w:eastAsia="仿宋_GB2312" w:hint="eastAsia"/>
          <w:sz w:val="32"/>
          <w:szCs w:val="32"/>
        </w:rPr>
        <w:t>卫生健康210（类）11（款）01（项）</w:t>
      </w:r>
      <w:r w:rsidRPr="0049739A">
        <w:rPr>
          <w:rFonts w:ascii="仿宋_GB2312" w:eastAsia="仿宋_GB2312"/>
          <w:sz w:val="32"/>
          <w:szCs w:val="32"/>
        </w:rPr>
        <w:t>:</w:t>
      </w:r>
      <w:r w:rsidRPr="0049739A">
        <w:rPr>
          <w:rFonts w:ascii="仿宋_GB2312" w:eastAsia="仿宋_GB2312" w:hint="eastAsia"/>
          <w:sz w:val="32"/>
          <w:szCs w:val="32"/>
        </w:rPr>
        <w:t>行政单位医</w:t>
      </w:r>
      <w:r w:rsidRPr="0049739A">
        <w:rPr>
          <w:rFonts w:ascii="仿宋_GB2312" w:eastAsia="仿宋_GB2312" w:hint="eastAsia"/>
          <w:sz w:val="32"/>
          <w:szCs w:val="32"/>
        </w:rPr>
        <w:lastRenderedPageBreak/>
        <w:t>疗支出决算为</w:t>
      </w:r>
      <w:r>
        <w:rPr>
          <w:rFonts w:ascii="仿宋_GB2312" w:eastAsia="仿宋_GB2312" w:hint="eastAsia"/>
          <w:sz w:val="32"/>
          <w:szCs w:val="32"/>
        </w:rPr>
        <w:t>5.54</w:t>
      </w:r>
      <w:r w:rsidRPr="0049739A">
        <w:rPr>
          <w:rFonts w:ascii="仿宋_GB2312" w:eastAsia="仿宋_GB2312" w:hint="eastAsia"/>
          <w:sz w:val="32"/>
          <w:szCs w:val="32"/>
        </w:rPr>
        <w:t>万元，210（类）11（款）03（项）：公务员医疗补助</w:t>
      </w:r>
      <w:r>
        <w:rPr>
          <w:rFonts w:ascii="仿宋_GB2312" w:eastAsia="仿宋_GB2312" w:hint="eastAsia"/>
          <w:sz w:val="32"/>
          <w:szCs w:val="32"/>
        </w:rPr>
        <w:t>1.51</w:t>
      </w:r>
      <w:r w:rsidRPr="0049739A">
        <w:rPr>
          <w:rFonts w:ascii="仿宋_GB2312" w:eastAsia="仿宋_GB2312" w:hint="eastAsia"/>
          <w:sz w:val="32"/>
          <w:szCs w:val="32"/>
        </w:rPr>
        <w:t>万元，完成预算100</w:t>
      </w:r>
      <w:r w:rsidRPr="0049739A">
        <w:rPr>
          <w:rFonts w:ascii="仿宋_GB2312" w:eastAsia="仿宋_GB2312"/>
          <w:sz w:val="32"/>
          <w:szCs w:val="32"/>
        </w:rPr>
        <w:t>%</w:t>
      </w:r>
      <w:r w:rsidRPr="0049739A">
        <w:rPr>
          <w:rFonts w:ascii="仿宋_GB2312" w:eastAsia="仿宋_GB2312" w:hint="eastAsia"/>
          <w:sz w:val="32"/>
          <w:szCs w:val="32"/>
        </w:rPr>
        <w:t>。</w:t>
      </w:r>
    </w:p>
    <w:p w:rsidR="006B65A1" w:rsidRPr="0049739A" w:rsidRDefault="006B65A1" w:rsidP="006B65A1">
      <w:pPr>
        <w:spacing w:line="600" w:lineRule="exact"/>
        <w:ind w:firstLineChars="200" w:firstLine="640"/>
        <w:rPr>
          <w:rFonts w:ascii="仿宋_GB2312" w:eastAsia="仿宋_GB2312"/>
          <w:sz w:val="32"/>
          <w:szCs w:val="32"/>
        </w:rPr>
      </w:pPr>
      <w:r>
        <w:rPr>
          <w:rFonts w:ascii="仿宋_GB2312" w:eastAsia="仿宋_GB2312" w:hint="eastAsia"/>
          <w:sz w:val="32"/>
          <w:szCs w:val="32"/>
        </w:rPr>
        <w:t>4</w:t>
      </w:r>
      <w:r w:rsidRPr="0049739A">
        <w:rPr>
          <w:rFonts w:ascii="仿宋_GB2312" w:eastAsia="仿宋_GB2312" w:hint="eastAsia"/>
          <w:sz w:val="32"/>
          <w:szCs w:val="32"/>
        </w:rPr>
        <w:t>.221（类）02（款）01（项）住房公积金</w:t>
      </w:r>
      <w:r w:rsidRPr="0049739A">
        <w:rPr>
          <w:rFonts w:ascii="仿宋_GB2312" w:eastAsia="仿宋_GB2312"/>
          <w:sz w:val="32"/>
          <w:szCs w:val="32"/>
        </w:rPr>
        <w:t>:</w:t>
      </w:r>
      <w:r w:rsidRPr="0049739A">
        <w:rPr>
          <w:rFonts w:ascii="仿宋_GB2312" w:eastAsia="仿宋_GB2312" w:hint="eastAsia"/>
          <w:sz w:val="32"/>
          <w:szCs w:val="32"/>
        </w:rPr>
        <w:t>支出决算为</w:t>
      </w:r>
      <w:r>
        <w:rPr>
          <w:rFonts w:ascii="仿宋_GB2312" w:eastAsia="仿宋_GB2312" w:hint="eastAsia"/>
          <w:sz w:val="32"/>
          <w:szCs w:val="32"/>
        </w:rPr>
        <w:t>8.26</w:t>
      </w:r>
      <w:r w:rsidRPr="0049739A">
        <w:rPr>
          <w:rFonts w:ascii="仿宋_GB2312" w:eastAsia="仿宋_GB2312" w:hint="eastAsia"/>
          <w:sz w:val="32"/>
          <w:szCs w:val="32"/>
        </w:rPr>
        <w:t>万元，完成预算100</w:t>
      </w:r>
      <w:r w:rsidRPr="0049739A">
        <w:rPr>
          <w:rFonts w:ascii="仿宋_GB2312" w:eastAsia="仿宋_GB2312"/>
          <w:sz w:val="32"/>
          <w:szCs w:val="32"/>
        </w:rPr>
        <w:t>%。</w:t>
      </w:r>
    </w:p>
    <w:p w:rsidR="006B65A1" w:rsidRDefault="006B65A1" w:rsidP="006B65A1">
      <w:pPr>
        <w:tabs>
          <w:tab w:val="right" w:pos="8306"/>
        </w:tabs>
        <w:spacing w:line="600" w:lineRule="exact"/>
        <w:ind w:firstLine="640"/>
        <w:outlineLvl w:val="1"/>
        <w:rPr>
          <w:rFonts w:ascii="仿宋" w:eastAsia="仿宋" w:hAnsi="仿宋"/>
          <w:b/>
          <w:sz w:val="32"/>
          <w:szCs w:val="32"/>
        </w:rPr>
      </w:pPr>
      <w:r>
        <w:rPr>
          <w:rFonts w:ascii="仿宋" w:eastAsia="仿宋" w:hAnsi="仿宋" w:hint="eastAsia"/>
          <w:b/>
          <w:sz w:val="32"/>
          <w:szCs w:val="32"/>
        </w:rPr>
        <w:t>（注：数据来源于财决</w:t>
      </w:r>
      <w:r>
        <w:rPr>
          <w:rFonts w:ascii="仿宋" w:eastAsia="仿宋" w:hAnsi="仿宋"/>
          <w:b/>
          <w:sz w:val="32"/>
          <w:szCs w:val="32"/>
        </w:rPr>
        <w:t>0</w:t>
      </w:r>
      <w:r>
        <w:rPr>
          <w:rFonts w:ascii="仿宋" w:eastAsia="仿宋" w:hAnsi="仿宋" w:hint="eastAsia"/>
          <w:b/>
          <w:sz w:val="32"/>
          <w:szCs w:val="32"/>
        </w:rPr>
        <w:t>1-1表和财决08表，仅罗列本单位涉及的全部功能分类科目，至项级。上述“预算”口径为全年预算数。增减变动原因为决算数</w:t>
      </w:r>
      <w:r>
        <w:rPr>
          <w:rFonts w:ascii="仿宋" w:eastAsia="仿宋" w:hAnsi="仿宋"/>
          <w:b/>
          <w:sz w:val="32"/>
          <w:szCs w:val="32"/>
        </w:rPr>
        <w:t>&lt;</w:t>
      </w:r>
      <w:r>
        <w:rPr>
          <w:rFonts w:ascii="仿宋" w:eastAsia="仿宋" w:hAnsi="仿宋" w:hint="eastAsia"/>
          <w:b/>
          <w:sz w:val="32"/>
          <w:szCs w:val="32"/>
        </w:rPr>
        <w:t>项级</w:t>
      </w:r>
      <w:r>
        <w:rPr>
          <w:rFonts w:ascii="仿宋" w:eastAsia="仿宋" w:hAnsi="仿宋"/>
          <w:b/>
          <w:sz w:val="32"/>
          <w:szCs w:val="32"/>
        </w:rPr>
        <w:t>&gt;</w:t>
      </w:r>
      <w:r>
        <w:rPr>
          <w:rFonts w:ascii="仿宋" w:eastAsia="仿宋" w:hAnsi="仿宋" w:hint="eastAsia"/>
          <w:b/>
          <w:sz w:val="32"/>
          <w:szCs w:val="32"/>
        </w:rPr>
        <w:t>和全年预算数</w:t>
      </w:r>
      <w:r>
        <w:rPr>
          <w:rFonts w:ascii="仿宋" w:eastAsia="仿宋" w:hAnsi="仿宋"/>
          <w:b/>
          <w:sz w:val="32"/>
          <w:szCs w:val="32"/>
        </w:rPr>
        <w:t>&lt;</w:t>
      </w:r>
      <w:r>
        <w:rPr>
          <w:rFonts w:ascii="仿宋" w:eastAsia="仿宋" w:hAnsi="仿宋" w:hint="eastAsia"/>
          <w:b/>
          <w:sz w:val="32"/>
          <w:szCs w:val="32"/>
        </w:rPr>
        <w:t>项级</w:t>
      </w:r>
      <w:r>
        <w:rPr>
          <w:rFonts w:ascii="仿宋" w:eastAsia="仿宋" w:hAnsi="仿宋"/>
          <w:b/>
          <w:sz w:val="32"/>
          <w:szCs w:val="32"/>
        </w:rPr>
        <w:t>&gt;</w:t>
      </w:r>
      <w:r>
        <w:rPr>
          <w:rFonts w:ascii="仿宋" w:eastAsia="仿宋" w:hAnsi="仿宋" w:hint="eastAsia"/>
          <w:b/>
          <w:sz w:val="32"/>
          <w:szCs w:val="32"/>
        </w:rPr>
        <w:t>比较，与预算数持平可以不写原因。）</w:t>
      </w:r>
    </w:p>
    <w:bookmarkEnd w:id="1"/>
    <w:bookmarkEnd w:id="2"/>
    <w:bookmarkEnd w:id="3"/>
    <w:bookmarkEnd w:id="4"/>
    <w:p w:rsidR="006B65A1" w:rsidRDefault="006B65A1" w:rsidP="006B65A1">
      <w:pPr>
        <w:tabs>
          <w:tab w:val="right" w:pos="8306"/>
        </w:tabs>
        <w:spacing w:line="600" w:lineRule="exact"/>
        <w:ind w:firstLine="640"/>
        <w:outlineLvl w:val="1"/>
        <w:rPr>
          <w:rStyle w:val="2Char"/>
        </w:rPr>
      </w:pPr>
      <w:r>
        <w:rPr>
          <w:rFonts w:ascii="黑体" w:eastAsia="黑体" w:hint="eastAsia"/>
          <w:sz w:val="32"/>
          <w:szCs w:val="32"/>
        </w:rPr>
        <w:t>六</w:t>
      </w:r>
      <w:r>
        <w:rPr>
          <w:rFonts w:ascii="黑体" w:eastAsia="黑体" w:hint="eastAsia"/>
          <w:b/>
          <w:sz w:val="32"/>
          <w:szCs w:val="32"/>
        </w:rPr>
        <w:t>、</w:t>
      </w:r>
      <w:r>
        <w:rPr>
          <w:rFonts w:ascii="黑体" w:eastAsia="黑体" w:hAnsi="黑体" w:hint="eastAsia"/>
          <w:b/>
          <w:sz w:val="32"/>
          <w:szCs w:val="32"/>
        </w:rPr>
        <w:t>一</w:t>
      </w:r>
      <w:r>
        <w:rPr>
          <w:rStyle w:val="2Char"/>
          <w:rFonts w:ascii="黑体" w:eastAsia="黑体" w:hAnsi="黑体" w:hint="eastAsia"/>
        </w:rPr>
        <w:t>般公共预算财政拨款基本支出决算情况说明</w:t>
      </w:r>
      <w:r>
        <w:rPr>
          <w:rStyle w:val="2Char"/>
          <w:rFonts w:ascii="黑体" w:eastAsia="黑体" w:hAnsi="黑体"/>
        </w:rPr>
        <w:tab/>
      </w:r>
    </w:p>
    <w:p w:rsidR="006B65A1" w:rsidRDefault="006B65A1" w:rsidP="006B65A1">
      <w:pPr>
        <w:spacing w:line="600" w:lineRule="exact"/>
        <w:ind w:firstLine="645"/>
        <w:rPr>
          <w:rFonts w:ascii="仿宋" w:eastAsia="仿宋" w:hAnsi="仿宋"/>
          <w:sz w:val="32"/>
          <w:szCs w:val="32"/>
        </w:rPr>
      </w:pPr>
      <w:r>
        <w:rPr>
          <w:rFonts w:ascii="仿宋" w:eastAsia="仿宋" w:hAnsi="仿宋" w:hint="eastAsia"/>
          <w:sz w:val="32"/>
          <w:szCs w:val="32"/>
        </w:rPr>
        <w:t>2023年度一般公共预算财政拨款基本支出164.71万元，其中：</w:t>
      </w:r>
    </w:p>
    <w:p w:rsidR="006B65A1" w:rsidRDefault="006B65A1" w:rsidP="006B65A1">
      <w:pPr>
        <w:spacing w:line="600" w:lineRule="exact"/>
        <w:ind w:firstLine="645"/>
        <w:rPr>
          <w:rFonts w:ascii="仿宋" w:eastAsia="仿宋" w:hAnsi="仿宋"/>
          <w:sz w:val="32"/>
          <w:szCs w:val="32"/>
        </w:rPr>
      </w:pPr>
      <w:r>
        <w:rPr>
          <w:rFonts w:ascii="仿宋" w:eastAsia="仿宋" w:hAnsi="仿宋" w:hint="eastAsia"/>
          <w:sz w:val="32"/>
          <w:szCs w:val="32"/>
        </w:rPr>
        <w:t>人员经费117.69万元，主要包括：基本工资24.44万元、津贴补贴22.23万元、奖金30.52万、元机关事业单位基本养老保险缴费10.71万元、职业年金缴费5.35万元、其他社会保障缴费1.11万元、生活补助8万元、住房公积金8.26万元等。</w:t>
      </w:r>
      <w:r>
        <w:rPr>
          <w:rFonts w:ascii="仿宋" w:eastAsia="仿宋" w:hAnsi="仿宋"/>
          <w:sz w:val="32"/>
          <w:szCs w:val="32"/>
        </w:rPr>
        <w:br/>
      </w:r>
      <w:r>
        <w:rPr>
          <w:rFonts w:ascii="仿宋" w:eastAsia="仿宋" w:hAnsi="仿宋" w:hint="eastAsia"/>
          <w:sz w:val="32"/>
          <w:szCs w:val="32"/>
        </w:rPr>
        <w:t xml:space="preserve">　　公用经费11.11万元，主要包括：办公费13252.4元、手续费360元、水费307元、电费2000元、邮电费14826元、差旅费18352元、、维修（护）费1070元、培训费4353元、福利费13939.08元、公务用车运行维护费29343.96元、其他商品和服务支出13276.78元等。</w:t>
      </w:r>
    </w:p>
    <w:p w:rsidR="006B65A1" w:rsidRDefault="006B65A1" w:rsidP="006B65A1">
      <w:pPr>
        <w:spacing w:line="600" w:lineRule="exact"/>
        <w:ind w:firstLine="645"/>
        <w:rPr>
          <w:rFonts w:ascii="仿宋" w:eastAsia="仿宋" w:hAnsi="仿宋"/>
          <w:b/>
          <w:sz w:val="32"/>
          <w:szCs w:val="32"/>
        </w:rPr>
      </w:pPr>
      <w:r>
        <w:rPr>
          <w:rFonts w:ascii="仿宋" w:eastAsia="仿宋" w:hAnsi="仿宋" w:hint="eastAsia"/>
          <w:b/>
          <w:sz w:val="32"/>
          <w:szCs w:val="32"/>
        </w:rPr>
        <w:t>（注：数据来源于财决</w:t>
      </w:r>
      <w:r>
        <w:rPr>
          <w:rFonts w:ascii="仿宋" w:eastAsia="仿宋" w:hAnsi="仿宋"/>
          <w:b/>
          <w:sz w:val="32"/>
          <w:szCs w:val="32"/>
        </w:rPr>
        <w:t>0</w:t>
      </w:r>
      <w:r>
        <w:rPr>
          <w:rFonts w:ascii="仿宋" w:eastAsia="仿宋" w:hAnsi="仿宋" w:hint="eastAsia"/>
          <w:b/>
          <w:sz w:val="32"/>
          <w:szCs w:val="32"/>
        </w:rPr>
        <w:t>7表和财决08-1表，仅罗列本单位实际支出涉及的经济分类科目。）</w:t>
      </w:r>
    </w:p>
    <w:p w:rsidR="00256262" w:rsidRPr="0049739A" w:rsidRDefault="00256262">
      <w:pPr>
        <w:spacing w:line="600" w:lineRule="exact"/>
        <w:ind w:firstLine="640"/>
        <w:rPr>
          <w:rFonts w:ascii="仿宋_GB2312" w:eastAsia="仿宋_GB2312"/>
          <w:sz w:val="32"/>
          <w:szCs w:val="32"/>
        </w:rPr>
      </w:pPr>
    </w:p>
    <w:p w:rsidR="006B65A1" w:rsidRDefault="006B65A1" w:rsidP="006B65A1">
      <w:pPr>
        <w:spacing w:line="600" w:lineRule="exact"/>
        <w:ind w:firstLine="640"/>
        <w:outlineLvl w:val="1"/>
        <w:rPr>
          <w:rStyle w:val="2Char"/>
          <w:rFonts w:ascii="黑体" w:eastAsia="黑体" w:hAnsi="黑体"/>
        </w:rPr>
      </w:pPr>
      <w:r>
        <w:rPr>
          <w:rFonts w:ascii="黑体" w:eastAsia="黑体" w:hint="eastAsia"/>
          <w:sz w:val="32"/>
          <w:szCs w:val="32"/>
        </w:rPr>
        <w:t>七、</w:t>
      </w:r>
      <w:r>
        <w:rPr>
          <w:rStyle w:val="2Char"/>
          <w:rFonts w:ascii="黑体" w:eastAsia="黑体" w:hAnsi="黑体" w:hint="eastAsia"/>
        </w:rPr>
        <w:t>财政拨款“三公”经费支出决算情况说明</w:t>
      </w:r>
    </w:p>
    <w:p w:rsidR="006B65A1" w:rsidRDefault="006B65A1" w:rsidP="006B65A1">
      <w:pPr>
        <w:spacing w:line="600" w:lineRule="exact"/>
        <w:ind w:firstLine="640"/>
        <w:outlineLvl w:val="2"/>
        <w:rPr>
          <w:rFonts w:ascii="仿宋" w:eastAsia="仿宋" w:hAnsi="仿宋"/>
          <w:b/>
          <w:sz w:val="32"/>
          <w:szCs w:val="32"/>
        </w:rPr>
      </w:pPr>
      <w:r>
        <w:rPr>
          <w:rFonts w:ascii="仿宋" w:eastAsia="仿宋" w:hAnsi="仿宋" w:hint="eastAsia"/>
          <w:b/>
          <w:sz w:val="32"/>
          <w:szCs w:val="32"/>
        </w:rPr>
        <w:t>（一）“三公”经费财政拨款支出决算总体情况说明</w:t>
      </w:r>
    </w:p>
    <w:p w:rsidR="006B65A1" w:rsidRDefault="006B65A1" w:rsidP="006B65A1">
      <w:pPr>
        <w:spacing w:line="600" w:lineRule="exact"/>
        <w:ind w:firstLine="640"/>
        <w:rPr>
          <w:rFonts w:ascii="仿宋" w:eastAsia="仿宋" w:hAnsi="仿宋"/>
          <w:sz w:val="32"/>
          <w:szCs w:val="32"/>
        </w:rPr>
      </w:pPr>
      <w:r>
        <w:rPr>
          <w:rFonts w:ascii="仿宋" w:eastAsia="仿宋" w:hAnsi="仿宋" w:hint="eastAsia"/>
          <w:sz w:val="32"/>
          <w:szCs w:val="32"/>
        </w:rPr>
        <w:t>2023年度“三公”经费财政拨款支出决算为2.93万元，完成预算100</w:t>
      </w:r>
      <w:r>
        <w:rPr>
          <w:rFonts w:ascii="仿宋" w:eastAsia="仿宋" w:hAnsi="仿宋"/>
          <w:sz w:val="32"/>
          <w:szCs w:val="32"/>
        </w:rPr>
        <w:t>%</w:t>
      </w:r>
      <w:r>
        <w:rPr>
          <w:rFonts w:ascii="仿宋" w:eastAsia="仿宋" w:hAnsi="仿宋" w:hint="eastAsia"/>
          <w:sz w:val="32"/>
          <w:szCs w:val="32"/>
        </w:rPr>
        <w:t>，较上年度增加0.68万元，增长30.2%。</w:t>
      </w:r>
    </w:p>
    <w:p w:rsidR="006B65A1" w:rsidRDefault="006B65A1" w:rsidP="006B65A1">
      <w:pPr>
        <w:spacing w:line="600" w:lineRule="exact"/>
        <w:ind w:firstLine="640"/>
        <w:rPr>
          <w:rFonts w:ascii="仿宋" w:eastAsia="仿宋" w:hAnsi="仿宋"/>
          <w:b/>
          <w:sz w:val="32"/>
          <w:szCs w:val="32"/>
        </w:rPr>
      </w:pPr>
      <w:r>
        <w:rPr>
          <w:rFonts w:ascii="仿宋" w:eastAsia="仿宋" w:hAnsi="仿宋" w:hint="eastAsia"/>
          <w:b/>
          <w:sz w:val="32"/>
          <w:szCs w:val="32"/>
        </w:rPr>
        <w:t>（注：上述“预算”口径为全年预算数，包括一般公共预算和政府性基金预算财政拨款支出决算情况。）</w:t>
      </w:r>
    </w:p>
    <w:p w:rsidR="006B65A1" w:rsidRDefault="006B65A1" w:rsidP="006B65A1">
      <w:pPr>
        <w:spacing w:line="600" w:lineRule="exact"/>
        <w:ind w:firstLine="640"/>
        <w:outlineLvl w:val="2"/>
        <w:rPr>
          <w:rFonts w:ascii="仿宋" w:eastAsia="仿宋" w:hAnsi="仿宋"/>
          <w:b/>
          <w:sz w:val="32"/>
          <w:szCs w:val="32"/>
        </w:rPr>
      </w:pPr>
      <w:r>
        <w:rPr>
          <w:rFonts w:ascii="仿宋" w:eastAsia="仿宋" w:hAnsi="仿宋" w:hint="eastAsia"/>
          <w:b/>
          <w:sz w:val="32"/>
          <w:szCs w:val="32"/>
        </w:rPr>
        <w:t>（二）“三公”经费财政拨款支出决算具体情况说明</w:t>
      </w:r>
    </w:p>
    <w:p w:rsidR="006B65A1" w:rsidRDefault="006B65A1" w:rsidP="006B65A1">
      <w:pPr>
        <w:spacing w:line="600" w:lineRule="exact"/>
        <w:ind w:firstLine="640"/>
        <w:rPr>
          <w:rFonts w:ascii="仿宋" w:eastAsia="仿宋" w:hAnsi="仿宋"/>
          <w:sz w:val="32"/>
          <w:szCs w:val="32"/>
        </w:rPr>
      </w:pPr>
      <w:r>
        <w:rPr>
          <w:rFonts w:ascii="仿宋" w:eastAsia="仿宋" w:hAnsi="仿宋" w:hint="eastAsia"/>
          <w:sz w:val="32"/>
          <w:szCs w:val="32"/>
        </w:rPr>
        <w:t>2023年度“三公”经费财政拨款支出决算中，因公出国（境）费支出决算0万元，占0</w:t>
      </w:r>
      <w:r>
        <w:rPr>
          <w:rFonts w:ascii="仿宋" w:eastAsia="仿宋" w:hAnsi="仿宋"/>
          <w:sz w:val="32"/>
          <w:szCs w:val="32"/>
        </w:rPr>
        <w:t>%</w:t>
      </w:r>
      <w:r>
        <w:rPr>
          <w:rFonts w:ascii="仿宋" w:eastAsia="仿宋" w:hAnsi="仿宋" w:hint="eastAsia"/>
          <w:sz w:val="32"/>
          <w:szCs w:val="32"/>
        </w:rPr>
        <w:t>；公务用车购置及运行维护费支出决算2.93万元，占100</w:t>
      </w:r>
      <w:r>
        <w:rPr>
          <w:rFonts w:ascii="仿宋" w:eastAsia="仿宋" w:hAnsi="仿宋"/>
          <w:sz w:val="32"/>
          <w:szCs w:val="32"/>
        </w:rPr>
        <w:t>%</w:t>
      </w:r>
      <w:r>
        <w:rPr>
          <w:rFonts w:ascii="仿宋" w:eastAsia="仿宋" w:hAnsi="仿宋" w:hint="eastAsia"/>
          <w:sz w:val="32"/>
          <w:szCs w:val="32"/>
        </w:rPr>
        <w:t>；公务接待费支出决算0万元，占</w:t>
      </w:r>
      <w:r>
        <w:rPr>
          <w:rFonts w:ascii="仿宋" w:eastAsia="仿宋" w:hAnsi="仿宋"/>
          <w:sz w:val="32"/>
          <w:szCs w:val="32"/>
        </w:rPr>
        <w:t>**%</w:t>
      </w:r>
      <w:r>
        <w:rPr>
          <w:rFonts w:ascii="仿宋" w:eastAsia="仿宋" w:hAnsi="仿宋" w:hint="eastAsia"/>
          <w:sz w:val="32"/>
          <w:szCs w:val="32"/>
        </w:rPr>
        <w:t>。具体情况如下：</w:t>
      </w:r>
    </w:p>
    <w:p w:rsidR="006B65A1" w:rsidRDefault="006B65A1" w:rsidP="006B65A1">
      <w:pPr>
        <w:spacing w:line="600" w:lineRule="exact"/>
        <w:ind w:firstLine="640"/>
        <w:rPr>
          <w:rFonts w:ascii="仿宋_GB2312" w:eastAsia="仿宋_GB2312"/>
          <w:b/>
          <w:sz w:val="32"/>
          <w:szCs w:val="32"/>
        </w:rPr>
      </w:pPr>
      <w:r>
        <w:rPr>
          <w:rFonts w:ascii="仿宋_GB2312" w:eastAsia="仿宋_GB2312"/>
          <w:b/>
          <w:sz w:val="32"/>
          <w:szCs w:val="32"/>
        </w:rPr>
        <w:t>1.</w:t>
      </w:r>
      <w:r>
        <w:rPr>
          <w:rFonts w:ascii="仿宋_GB2312" w:eastAsia="仿宋_GB2312" w:hint="eastAsia"/>
          <w:b/>
          <w:sz w:val="32"/>
          <w:szCs w:val="32"/>
        </w:rPr>
        <w:t>因公出国（境）经费支出</w:t>
      </w:r>
      <w:r>
        <w:rPr>
          <w:rFonts w:ascii="仿宋_GB2312" w:eastAsia="仿宋_GB2312" w:hint="eastAsia"/>
          <w:sz w:val="32"/>
          <w:szCs w:val="32"/>
        </w:rPr>
        <w:t>0万元，</w:t>
      </w:r>
      <w:r>
        <w:rPr>
          <w:rStyle w:val="a7"/>
          <w:rFonts w:ascii="仿宋" w:eastAsia="仿宋" w:hAnsi="仿宋" w:hint="eastAsia"/>
          <w:bCs/>
          <w:sz w:val="32"/>
          <w:szCs w:val="32"/>
        </w:rPr>
        <w:t>完成预算</w:t>
      </w:r>
      <w:r>
        <w:rPr>
          <w:rStyle w:val="a7"/>
          <w:rFonts w:ascii="仿宋" w:eastAsia="仿宋" w:hAnsi="仿宋"/>
          <w:bCs/>
          <w:sz w:val="32"/>
          <w:szCs w:val="32"/>
        </w:rPr>
        <w:t>**%</w:t>
      </w:r>
      <w:r>
        <w:rPr>
          <w:rStyle w:val="a7"/>
          <w:rFonts w:ascii="仿宋" w:eastAsia="仿宋" w:hAnsi="仿宋" w:hint="eastAsia"/>
          <w:bCs/>
          <w:sz w:val="32"/>
          <w:szCs w:val="32"/>
        </w:rPr>
        <w:t>。</w:t>
      </w:r>
      <w:r>
        <w:rPr>
          <w:rFonts w:ascii="仿宋_GB2312" w:eastAsia="仿宋_GB2312" w:hint="eastAsia"/>
          <w:sz w:val="32"/>
          <w:szCs w:val="32"/>
        </w:rPr>
        <w:t>全年安排因公出国（境）团组0次，出国（境）0人。因公出国（境）支出决算比2022年度增加</w:t>
      </w:r>
      <w:r>
        <w:rPr>
          <w:rFonts w:ascii="仿宋_GB2312" w:eastAsia="仿宋_GB2312"/>
          <w:sz w:val="32"/>
          <w:szCs w:val="32"/>
        </w:rPr>
        <w:t>/</w:t>
      </w:r>
      <w:r>
        <w:rPr>
          <w:rFonts w:ascii="仿宋_GB2312" w:eastAsia="仿宋_GB2312" w:hint="eastAsia"/>
          <w:sz w:val="32"/>
          <w:szCs w:val="32"/>
        </w:rPr>
        <w:t>减少0万元，增长</w:t>
      </w:r>
      <w:r>
        <w:rPr>
          <w:rFonts w:ascii="仿宋_GB2312" w:eastAsia="仿宋_GB2312"/>
          <w:sz w:val="32"/>
          <w:szCs w:val="32"/>
        </w:rPr>
        <w:t>/</w:t>
      </w:r>
      <w:r>
        <w:rPr>
          <w:rFonts w:ascii="仿宋_GB2312" w:eastAsia="仿宋_GB2312" w:hint="eastAsia"/>
          <w:sz w:val="32"/>
          <w:szCs w:val="32"/>
        </w:rPr>
        <w:t>下降0</w:t>
      </w:r>
      <w:r>
        <w:rPr>
          <w:rFonts w:ascii="仿宋_GB2312" w:eastAsia="仿宋_GB2312"/>
          <w:sz w:val="32"/>
          <w:szCs w:val="32"/>
        </w:rPr>
        <w:t>%</w:t>
      </w:r>
      <w:r>
        <w:rPr>
          <w:rFonts w:ascii="仿宋_GB2312" w:eastAsia="仿宋_GB2312" w:hint="eastAsia"/>
          <w:sz w:val="32"/>
          <w:szCs w:val="32"/>
        </w:rPr>
        <w:t>。</w:t>
      </w:r>
    </w:p>
    <w:p w:rsidR="006B65A1" w:rsidRDefault="006B65A1" w:rsidP="006B65A1">
      <w:pPr>
        <w:spacing w:line="600" w:lineRule="exact"/>
        <w:ind w:firstLine="640"/>
        <w:rPr>
          <w:rFonts w:ascii="仿宋_GB2312" w:eastAsia="仿宋_GB2312"/>
          <w:b/>
          <w:sz w:val="32"/>
          <w:szCs w:val="32"/>
        </w:rPr>
      </w:pPr>
      <w:r>
        <w:rPr>
          <w:rFonts w:ascii="仿宋_GB2312" w:eastAsia="仿宋_GB2312"/>
          <w:b/>
          <w:sz w:val="32"/>
          <w:szCs w:val="32"/>
        </w:rPr>
        <w:t>2.</w:t>
      </w:r>
      <w:r>
        <w:rPr>
          <w:rFonts w:ascii="仿宋_GB2312" w:eastAsia="仿宋_GB2312" w:hint="eastAsia"/>
          <w:b/>
          <w:sz w:val="32"/>
          <w:szCs w:val="32"/>
        </w:rPr>
        <w:t>公务用车购置及运行维护费支出</w:t>
      </w:r>
      <w:r>
        <w:rPr>
          <w:rFonts w:ascii="仿宋_GB2312" w:eastAsia="仿宋_GB2312" w:hint="eastAsia"/>
          <w:sz w:val="32"/>
          <w:szCs w:val="32"/>
        </w:rPr>
        <w:t>2.93万元,</w:t>
      </w:r>
      <w:r>
        <w:rPr>
          <w:rStyle w:val="a7"/>
          <w:rFonts w:ascii="仿宋" w:eastAsia="仿宋" w:hAnsi="仿宋" w:hint="eastAsia"/>
          <w:bCs/>
          <w:sz w:val="32"/>
          <w:szCs w:val="32"/>
        </w:rPr>
        <w:t>完成预算</w:t>
      </w:r>
      <w:r>
        <w:rPr>
          <w:rStyle w:val="a7"/>
          <w:rFonts w:ascii="仿宋" w:eastAsia="仿宋" w:hAnsi="仿宋" w:hint="eastAsia"/>
          <w:b w:val="0"/>
          <w:bCs/>
          <w:sz w:val="32"/>
          <w:szCs w:val="32"/>
        </w:rPr>
        <w:t>100</w:t>
      </w:r>
      <w:r>
        <w:rPr>
          <w:rStyle w:val="a7"/>
          <w:rFonts w:ascii="仿宋" w:eastAsia="仿宋" w:hAnsi="仿宋"/>
          <w:bCs/>
          <w:sz w:val="32"/>
          <w:szCs w:val="32"/>
        </w:rPr>
        <w:t>%</w:t>
      </w:r>
      <w:r>
        <w:rPr>
          <w:rStyle w:val="a7"/>
          <w:rFonts w:ascii="仿宋" w:eastAsia="仿宋" w:hAnsi="仿宋" w:hint="eastAsia"/>
          <w:bCs/>
          <w:sz w:val="32"/>
          <w:szCs w:val="32"/>
        </w:rPr>
        <w:t>。</w:t>
      </w:r>
      <w:r>
        <w:rPr>
          <w:rFonts w:ascii="仿宋_GB2312" w:eastAsia="仿宋_GB2312" w:hint="eastAsia"/>
          <w:sz w:val="32"/>
          <w:szCs w:val="32"/>
        </w:rPr>
        <w:t>公务用车购置及运行维护费支出决算比2022年度增加</w:t>
      </w:r>
      <w:r>
        <w:rPr>
          <w:rFonts w:ascii="仿宋_GB2312" w:eastAsia="仿宋_GB2312"/>
          <w:sz w:val="32"/>
          <w:szCs w:val="32"/>
        </w:rPr>
        <w:t>/</w:t>
      </w:r>
      <w:r>
        <w:rPr>
          <w:rFonts w:ascii="仿宋_GB2312" w:eastAsia="仿宋_GB2312" w:hint="eastAsia"/>
          <w:sz w:val="32"/>
          <w:szCs w:val="32"/>
        </w:rPr>
        <w:t>0.68万元，增长30</w:t>
      </w:r>
      <w:r>
        <w:rPr>
          <w:rFonts w:ascii="仿宋_GB2312" w:eastAsia="仿宋_GB2312"/>
          <w:sz w:val="32"/>
          <w:szCs w:val="32"/>
        </w:rPr>
        <w:t>%</w:t>
      </w:r>
      <w:r>
        <w:rPr>
          <w:rFonts w:ascii="仿宋_GB2312" w:eastAsia="仿宋_GB2312" w:hint="eastAsia"/>
          <w:sz w:val="32"/>
          <w:szCs w:val="32"/>
        </w:rPr>
        <w:t>。主要原因是公务出差增加，油价上涨等因素。</w:t>
      </w:r>
    </w:p>
    <w:p w:rsidR="006B65A1" w:rsidRDefault="006B65A1" w:rsidP="006B65A1">
      <w:pPr>
        <w:spacing w:line="600" w:lineRule="exact"/>
        <w:ind w:firstLineChars="200" w:firstLine="640"/>
        <w:rPr>
          <w:rFonts w:ascii="仿宋_GB2312" w:eastAsia="仿宋_GB2312"/>
          <w:b/>
          <w:sz w:val="32"/>
          <w:szCs w:val="32"/>
        </w:rPr>
      </w:pPr>
      <w:r>
        <w:rPr>
          <w:rFonts w:ascii="仿宋_GB2312" w:eastAsia="仿宋_GB2312" w:hint="eastAsia"/>
          <w:sz w:val="32"/>
          <w:szCs w:val="32"/>
        </w:rPr>
        <w:t>其中：</w:t>
      </w:r>
      <w:r>
        <w:rPr>
          <w:rFonts w:ascii="仿宋_GB2312" w:eastAsia="仿宋_GB2312" w:hint="eastAsia"/>
          <w:b/>
          <w:sz w:val="32"/>
          <w:szCs w:val="32"/>
        </w:rPr>
        <w:t>公务用车购置支出</w:t>
      </w:r>
      <w:r>
        <w:rPr>
          <w:rFonts w:ascii="仿宋_GB2312" w:eastAsia="仿宋_GB2312" w:hint="eastAsia"/>
          <w:sz w:val="32"/>
          <w:szCs w:val="32"/>
        </w:rPr>
        <w:t>0万元。全年按规定更新购置公务用车0辆。截至2023年</w:t>
      </w:r>
      <w:r>
        <w:rPr>
          <w:rFonts w:ascii="仿宋_GB2312" w:eastAsia="仿宋_GB2312"/>
          <w:sz w:val="32"/>
          <w:szCs w:val="32"/>
        </w:rPr>
        <w:t>12</w:t>
      </w:r>
      <w:r>
        <w:rPr>
          <w:rFonts w:ascii="仿宋_GB2312" w:eastAsia="仿宋_GB2312" w:hint="eastAsia"/>
          <w:sz w:val="32"/>
          <w:szCs w:val="32"/>
        </w:rPr>
        <w:t>月31日，单位共有公务用车1辆，其中：载客汽车1辆。</w:t>
      </w:r>
    </w:p>
    <w:p w:rsidR="006B65A1" w:rsidRDefault="006B65A1" w:rsidP="006B65A1">
      <w:pPr>
        <w:spacing w:line="600" w:lineRule="exact"/>
        <w:ind w:firstLine="640"/>
        <w:rPr>
          <w:rFonts w:ascii="仿宋_GB2312" w:eastAsia="仿宋_GB2312"/>
          <w:sz w:val="32"/>
          <w:szCs w:val="32"/>
        </w:rPr>
      </w:pPr>
      <w:r>
        <w:rPr>
          <w:rFonts w:ascii="仿宋_GB2312" w:eastAsia="仿宋_GB2312" w:hint="eastAsia"/>
          <w:b/>
          <w:sz w:val="32"/>
          <w:szCs w:val="32"/>
        </w:rPr>
        <w:lastRenderedPageBreak/>
        <w:t>公务用车运行维护费支出</w:t>
      </w:r>
      <w:r>
        <w:rPr>
          <w:rFonts w:ascii="仿宋_GB2312" w:eastAsia="仿宋_GB2312" w:hint="eastAsia"/>
          <w:sz w:val="32"/>
          <w:szCs w:val="32"/>
        </w:rPr>
        <w:t>2.93万元。主要用于</w:t>
      </w:r>
      <w:r>
        <w:rPr>
          <w:rFonts w:ascii="仿宋_GB2312" w:eastAsia="仿宋_GB2312"/>
          <w:sz w:val="32"/>
          <w:szCs w:val="32"/>
        </w:rPr>
        <w:t>老干部用车、单位公务用车</w:t>
      </w:r>
      <w:r>
        <w:rPr>
          <w:rFonts w:ascii="仿宋_GB2312" w:eastAsia="仿宋_GB2312" w:hint="eastAsia"/>
          <w:sz w:val="32"/>
          <w:szCs w:val="32"/>
        </w:rPr>
        <w:t>等所需的公务用车燃料费、维修费、过路过桥费、保险费等支出。</w:t>
      </w:r>
    </w:p>
    <w:p w:rsidR="006B65A1" w:rsidRDefault="006B65A1" w:rsidP="006B65A1">
      <w:pPr>
        <w:spacing w:line="600" w:lineRule="exact"/>
        <w:ind w:firstLine="640"/>
        <w:rPr>
          <w:rFonts w:ascii="仿宋_GB2312" w:eastAsia="仿宋_GB2312"/>
          <w:sz w:val="32"/>
          <w:szCs w:val="32"/>
        </w:rPr>
      </w:pPr>
      <w:r>
        <w:rPr>
          <w:rFonts w:ascii="仿宋_GB2312" w:eastAsia="仿宋_GB2312"/>
          <w:b/>
          <w:sz w:val="32"/>
          <w:szCs w:val="32"/>
        </w:rPr>
        <w:t>3.</w:t>
      </w:r>
      <w:r>
        <w:rPr>
          <w:rFonts w:ascii="仿宋_GB2312" w:eastAsia="仿宋_GB2312" w:hint="eastAsia"/>
          <w:b/>
          <w:sz w:val="32"/>
          <w:szCs w:val="32"/>
        </w:rPr>
        <w:t>公务接待费支出</w:t>
      </w:r>
      <w:r>
        <w:rPr>
          <w:rFonts w:ascii="仿宋_GB2312" w:eastAsia="仿宋_GB2312" w:hint="eastAsia"/>
          <w:sz w:val="32"/>
          <w:szCs w:val="32"/>
        </w:rPr>
        <w:t>0万元，</w:t>
      </w:r>
      <w:r>
        <w:rPr>
          <w:rStyle w:val="a7"/>
          <w:rFonts w:ascii="仿宋" w:eastAsia="仿宋" w:hAnsi="仿宋" w:hint="eastAsia"/>
          <w:bCs/>
          <w:sz w:val="32"/>
          <w:szCs w:val="32"/>
        </w:rPr>
        <w:t>完成预算</w:t>
      </w:r>
      <w:r>
        <w:rPr>
          <w:rStyle w:val="a7"/>
          <w:rFonts w:ascii="仿宋" w:eastAsia="仿宋" w:hAnsi="仿宋" w:hint="eastAsia"/>
          <w:b w:val="0"/>
          <w:bCs/>
          <w:sz w:val="32"/>
          <w:szCs w:val="32"/>
        </w:rPr>
        <w:t>0</w:t>
      </w:r>
      <w:r>
        <w:rPr>
          <w:rStyle w:val="a7"/>
          <w:rFonts w:ascii="仿宋" w:eastAsia="仿宋" w:hAnsi="仿宋"/>
          <w:bCs/>
          <w:sz w:val="32"/>
          <w:szCs w:val="32"/>
        </w:rPr>
        <w:t>%</w:t>
      </w:r>
      <w:r>
        <w:rPr>
          <w:rStyle w:val="a7"/>
          <w:rFonts w:ascii="仿宋" w:eastAsia="仿宋" w:hAnsi="仿宋" w:hint="eastAsia"/>
          <w:bCs/>
          <w:sz w:val="32"/>
          <w:szCs w:val="32"/>
        </w:rPr>
        <w:t>。</w:t>
      </w:r>
      <w:r>
        <w:rPr>
          <w:rFonts w:ascii="仿宋_GB2312" w:eastAsia="仿宋_GB2312" w:hint="eastAsia"/>
          <w:sz w:val="32"/>
          <w:szCs w:val="32"/>
        </w:rPr>
        <w:t>公务接待费支出决算比2022年度增加</w:t>
      </w:r>
      <w:r>
        <w:rPr>
          <w:rFonts w:ascii="仿宋_GB2312" w:eastAsia="仿宋_GB2312"/>
          <w:sz w:val="32"/>
          <w:szCs w:val="32"/>
        </w:rPr>
        <w:t>/</w:t>
      </w:r>
      <w:r>
        <w:rPr>
          <w:rFonts w:ascii="仿宋_GB2312" w:eastAsia="仿宋_GB2312" w:hint="eastAsia"/>
          <w:sz w:val="32"/>
          <w:szCs w:val="32"/>
        </w:rPr>
        <w:t>减少0万元，增长</w:t>
      </w:r>
      <w:r>
        <w:rPr>
          <w:rFonts w:ascii="仿宋_GB2312" w:eastAsia="仿宋_GB2312"/>
          <w:sz w:val="32"/>
          <w:szCs w:val="32"/>
        </w:rPr>
        <w:t>/</w:t>
      </w:r>
      <w:r>
        <w:rPr>
          <w:rFonts w:ascii="仿宋_GB2312" w:eastAsia="仿宋_GB2312" w:hint="eastAsia"/>
          <w:sz w:val="32"/>
          <w:szCs w:val="32"/>
        </w:rPr>
        <w:t>下降0</w:t>
      </w:r>
      <w:r>
        <w:rPr>
          <w:rFonts w:ascii="仿宋_GB2312" w:eastAsia="仿宋_GB2312"/>
          <w:sz w:val="32"/>
          <w:szCs w:val="32"/>
        </w:rPr>
        <w:t>%</w:t>
      </w:r>
      <w:r>
        <w:rPr>
          <w:rFonts w:ascii="仿宋_GB2312" w:eastAsia="仿宋_GB2312" w:hint="eastAsia"/>
          <w:sz w:val="32"/>
          <w:szCs w:val="32"/>
        </w:rPr>
        <w:t>。</w:t>
      </w:r>
    </w:p>
    <w:p w:rsidR="006B65A1" w:rsidRDefault="006B65A1" w:rsidP="006B65A1">
      <w:pPr>
        <w:spacing w:line="600" w:lineRule="exact"/>
        <w:ind w:firstLine="640"/>
        <w:rPr>
          <w:rFonts w:ascii="仿宋_GB2312" w:eastAsia="仿宋_GB2312"/>
          <w:sz w:val="32"/>
          <w:szCs w:val="32"/>
        </w:rPr>
      </w:pPr>
      <w:r>
        <w:rPr>
          <w:rFonts w:ascii="仿宋" w:eastAsia="仿宋" w:hAnsi="仿宋" w:hint="eastAsia"/>
          <w:b/>
          <w:sz w:val="32"/>
          <w:szCs w:val="32"/>
        </w:rPr>
        <w:t>国内公务接待支出</w:t>
      </w:r>
      <w:r>
        <w:rPr>
          <w:rFonts w:ascii="仿宋" w:eastAsia="仿宋" w:hAnsi="仿宋" w:hint="eastAsia"/>
          <w:sz w:val="32"/>
          <w:szCs w:val="32"/>
        </w:rPr>
        <w:t>0</w:t>
      </w:r>
      <w:r>
        <w:rPr>
          <w:rFonts w:ascii="仿宋_GB2312" w:eastAsia="仿宋_GB2312" w:hint="eastAsia"/>
          <w:sz w:val="32"/>
          <w:szCs w:val="32"/>
        </w:rPr>
        <w:t>万元。</w:t>
      </w:r>
    </w:p>
    <w:p w:rsidR="006B65A1" w:rsidRDefault="006B65A1" w:rsidP="006B65A1">
      <w:pPr>
        <w:spacing w:line="600" w:lineRule="exact"/>
        <w:ind w:firstLine="640"/>
        <w:rPr>
          <w:rFonts w:ascii="仿宋_GB2312" w:eastAsia="仿宋_GB2312"/>
          <w:sz w:val="32"/>
          <w:szCs w:val="32"/>
        </w:rPr>
      </w:pPr>
      <w:r>
        <w:rPr>
          <w:rFonts w:ascii="仿宋" w:eastAsia="仿宋" w:hAnsi="仿宋" w:hint="eastAsia"/>
          <w:b/>
          <w:sz w:val="32"/>
          <w:szCs w:val="32"/>
        </w:rPr>
        <w:t>外事接待支出</w:t>
      </w:r>
      <w:r>
        <w:rPr>
          <w:rFonts w:ascii="仿宋" w:eastAsia="仿宋" w:hAnsi="仿宋" w:hint="eastAsia"/>
          <w:sz w:val="32"/>
          <w:szCs w:val="32"/>
        </w:rPr>
        <w:t>0</w:t>
      </w:r>
      <w:r>
        <w:rPr>
          <w:rFonts w:ascii="仿宋_GB2312" w:eastAsia="仿宋_GB2312" w:hint="eastAsia"/>
          <w:sz w:val="32"/>
          <w:szCs w:val="32"/>
        </w:rPr>
        <w:t>万元。</w:t>
      </w:r>
    </w:p>
    <w:p w:rsidR="006B65A1" w:rsidRDefault="006B65A1" w:rsidP="006B65A1">
      <w:pPr>
        <w:spacing w:line="600" w:lineRule="exact"/>
        <w:ind w:firstLine="640"/>
        <w:outlineLvl w:val="1"/>
        <w:rPr>
          <w:rStyle w:val="2Char"/>
          <w:rFonts w:ascii="黑体" w:eastAsia="黑体" w:hAnsi="黑体"/>
        </w:rPr>
      </w:pPr>
      <w:r>
        <w:rPr>
          <w:rFonts w:ascii="黑体" w:eastAsia="黑体" w:hint="eastAsia"/>
          <w:sz w:val="32"/>
          <w:szCs w:val="32"/>
        </w:rPr>
        <w:t>八、</w:t>
      </w:r>
      <w:r>
        <w:rPr>
          <w:rStyle w:val="2Char"/>
          <w:rFonts w:ascii="黑体" w:eastAsia="黑体" w:hAnsi="黑体" w:hint="eastAsia"/>
        </w:rPr>
        <w:t>政府性基金预算支出决算情况说明</w:t>
      </w:r>
    </w:p>
    <w:p w:rsidR="006B65A1" w:rsidRDefault="006B65A1" w:rsidP="006B65A1">
      <w:pPr>
        <w:spacing w:line="600" w:lineRule="exact"/>
        <w:ind w:firstLine="640"/>
        <w:rPr>
          <w:rFonts w:ascii="仿宋_GB2312" w:eastAsia="仿宋_GB2312"/>
          <w:sz w:val="32"/>
          <w:szCs w:val="32"/>
        </w:rPr>
      </w:pPr>
      <w:r>
        <w:rPr>
          <w:rFonts w:ascii="仿宋_GB2312" w:eastAsia="仿宋_GB2312" w:hint="eastAsia"/>
          <w:sz w:val="32"/>
          <w:szCs w:val="32"/>
        </w:rPr>
        <w:t>2023年度政府性基金预算财政拨款支出0万元。</w:t>
      </w:r>
    </w:p>
    <w:p w:rsidR="006B65A1" w:rsidRDefault="006B65A1" w:rsidP="006B65A1">
      <w:pPr>
        <w:spacing w:line="600" w:lineRule="exact"/>
        <w:ind w:firstLine="640"/>
        <w:rPr>
          <w:rFonts w:ascii="仿宋_GB2312" w:eastAsia="仿宋_GB2312"/>
          <w:sz w:val="32"/>
          <w:szCs w:val="32"/>
        </w:rPr>
      </w:pPr>
    </w:p>
    <w:p w:rsidR="006B65A1" w:rsidRDefault="006B65A1" w:rsidP="006B65A1">
      <w:pPr>
        <w:spacing w:line="600" w:lineRule="exact"/>
        <w:ind w:firstLineChars="200" w:firstLine="643"/>
        <w:outlineLvl w:val="1"/>
        <w:rPr>
          <w:rStyle w:val="2Char"/>
          <w:rFonts w:ascii="黑体" w:eastAsia="黑体" w:hAnsi="黑体"/>
        </w:rPr>
      </w:pPr>
      <w:r>
        <w:rPr>
          <w:rStyle w:val="2Char"/>
          <w:rFonts w:ascii="黑体" w:eastAsia="黑体" w:hAnsi="黑体" w:hint="eastAsia"/>
        </w:rPr>
        <w:t>九、国有资本经营预算支出决算情况说明</w:t>
      </w:r>
    </w:p>
    <w:p w:rsidR="006B65A1" w:rsidRDefault="006B65A1" w:rsidP="006B65A1">
      <w:pPr>
        <w:spacing w:line="600" w:lineRule="exact"/>
        <w:ind w:firstLine="640"/>
        <w:rPr>
          <w:rFonts w:ascii="仿宋_GB2312" w:eastAsia="仿宋_GB2312"/>
          <w:sz w:val="32"/>
          <w:szCs w:val="32"/>
        </w:rPr>
      </w:pPr>
      <w:r>
        <w:rPr>
          <w:rFonts w:ascii="仿宋_GB2312" w:eastAsia="仿宋_GB2312" w:hint="eastAsia"/>
          <w:sz w:val="32"/>
          <w:szCs w:val="32"/>
        </w:rPr>
        <w:t>2023年度国有资本经营预算财政拨款支出0万元。</w:t>
      </w:r>
    </w:p>
    <w:p w:rsidR="006B65A1" w:rsidRDefault="006B65A1" w:rsidP="006B65A1">
      <w:pPr>
        <w:spacing w:line="580" w:lineRule="exact"/>
        <w:ind w:firstLineChars="200" w:firstLine="880"/>
        <w:jc w:val="center"/>
        <w:rPr>
          <w:rFonts w:ascii="方正小标宋简体" w:eastAsia="方正小标宋简体" w:hAnsi="方正小标宋简体" w:cs="方正小标宋简体"/>
          <w:sz w:val="44"/>
          <w:szCs w:val="44"/>
        </w:rPr>
      </w:pPr>
    </w:p>
    <w:p w:rsidR="006B65A1" w:rsidRDefault="006B65A1" w:rsidP="006B65A1">
      <w:pPr>
        <w:spacing w:line="600" w:lineRule="exact"/>
        <w:ind w:firstLineChars="200" w:firstLine="643"/>
        <w:outlineLvl w:val="1"/>
        <w:rPr>
          <w:rStyle w:val="2Char"/>
          <w:rFonts w:ascii="黑体" w:eastAsia="黑体" w:hAnsi="黑体"/>
        </w:rPr>
      </w:pPr>
      <w:r>
        <w:rPr>
          <w:rStyle w:val="2Char"/>
          <w:rFonts w:ascii="黑体" w:eastAsia="黑体" w:hAnsi="黑体" w:hint="eastAsia"/>
        </w:rPr>
        <w:t>十、其他重要事项的情况说明</w:t>
      </w:r>
    </w:p>
    <w:p w:rsidR="006B65A1" w:rsidRDefault="006B65A1" w:rsidP="006B65A1">
      <w:pPr>
        <w:spacing w:line="600" w:lineRule="exact"/>
        <w:ind w:firstLineChars="200" w:firstLine="643"/>
        <w:outlineLvl w:val="2"/>
        <w:rPr>
          <w:rFonts w:ascii="仿宋" w:eastAsia="仿宋" w:hAnsi="仿宋"/>
          <w:sz w:val="32"/>
          <w:szCs w:val="32"/>
        </w:rPr>
      </w:pPr>
      <w:r>
        <w:rPr>
          <w:rFonts w:ascii="仿宋" w:eastAsia="仿宋" w:hAnsi="仿宋" w:hint="eastAsia"/>
          <w:b/>
          <w:sz w:val="32"/>
          <w:szCs w:val="32"/>
        </w:rPr>
        <w:t>（一）机关运行经费支出情况</w:t>
      </w:r>
    </w:p>
    <w:p w:rsidR="006B65A1" w:rsidRDefault="006B65A1" w:rsidP="006B65A1">
      <w:pPr>
        <w:spacing w:line="600" w:lineRule="exact"/>
        <w:ind w:firstLineChars="200" w:firstLine="640"/>
        <w:rPr>
          <w:rFonts w:ascii="仿宋_GB2312" w:eastAsia="仿宋_GB2312"/>
          <w:sz w:val="32"/>
          <w:szCs w:val="32"/>
        </w:rPr>
      </w:pPr>
      <w:r>
        <w:rPr>
          <w:rFonts w:ascii="仿宋_GB2312" w:eastAsia="仿宋_GB2312" w:hint="eastAsia"/>
          <w:sz w:val="32"/>
          <w:szCs w:val="32"/>
        </w:rPr>
        <w:t>2023年度，</w:t>
      </w:r>
      <w:r>
        <w:rPr>
          <w:rFonts w:ascii="仿宋_GB2312" w:eastAsia="仿宋_GB2312"/>
          <w:sz w:val="32"/>
          <w:szCs w:val="32"/>
        </w:rPr>
        <w:t>阿坝州驻郫都区老干部休养所</w:t>
      </w:r>
      <w:r>
        <w:rPr>
          <w:rFonts w:ascii="仿宋_GB2312" w:eastAsia="仿宋_GB2312" w:hint="eastAsia"/>
          <w:sz w:val="32"/>
          <w:szCs w:val="32"/>
        </w:rPr>
        <w:t>机关运行经费支出11.11万元，比2022年度增加2.2万元，增长24.69</w:t>
      </w:r>
      <w:r>
        <w:rPr>
          <w:rFonts w:ascii="仿宋_GB2312" w:eastAsia="仿宋_GB2312"/>
          <w:sz w:val="32"/>
          <w:szCs w:val="32"/>
        </w:rPr>
        <w:t>%，</w:t>
      </w:r>
      <w:r>
        <w:rPr>
          <w:rFonts w:ascii="仿宋_GB2312" w:eastAsia="仿宋_GB2312" w:hint="eastAsia"/>
          <w:sz w:val="32"/>
          <w:szCs w:val="32"/>
        </w:rPr>
        <w:t>主要原因是单位运行日常支出增加。</w:t>
      </w:r>
    </w:p>
    <w:p w:rsidR="006B65A1" w:rsidRDefault="006B65A1" w:rsidP="006B65A1">
      <w:pPr>
        <w:spacing w:line="600" w:lineRule="exact"/>
        <w:ind w:firstLineChars="200" w:firstLine="643"/>
        <w:rPr>
          <w:rFonts w:ascii="仿宋" w:eastAsia="仿宋" w:hAnsi="仿宋"/>
          <w:b/>
          <w:sz w:val="32"/>
          <w:szCs w:val="32"/>
        </w:rPr>
      </w:pPr>
      <w:r>
        <w:rPr>
          <w:rFonts w:ascii="仿宋" w:eastAsia="仿宋" w:hAnsi="仿宋" w:hint="eastAsia"/>
          <w:b/>
          <w:sz w:val="32"/>
          <w:szCs w:val="32"/>
        </w:rPr>
        <w:t>（注：数据来源于财决附</w:t>
      </w:r>
      <w:r>
        <w:rPr>
          <w:rFonts w:ascii="仿宋" w:eastAsia="仿宋" w:hAnsi="仿宋"/>
          <w:b/>
          <w:sz w:val="32"/>
          <w:szCs w:val="32"/>
        </w:rPr>
        <w:t>03</w:t>
      </w:r>
      <w:r>
        <w:rPr>
          <w:rFonts w:ascii="仿宋" w:eastAsia="仿宋" w:hAnsi="仿宋" w:hint="eastAsia"/>
          <w:b/>
          <w:sz w:val="32"/>
          <w:szCs w:val="32"/>
        </w:rPr>
        <w:t>表）</w:t>
      </w:r>
    </w:p>
    <w:p w:rsidR="006B65A1" w:rsidRDefault="006B65A1" w:rsidP="006B65A1">
      <w:pPr>
        <w:autoSpaceDE w:val="0"/>
        <w:autoSpaceDN w:val="0"/>
        <w:adjustRightInd w:val="0"/>
        <w:spacing w:line="600" w:lineRule="exact"/>
        <w:ind w:firstLineChars="200" w:firstLine="643"/>
        <w:jc w:val="left"/>
        <w:outlineLvl w:val="2"/>
        <w:rPr>
          <w:rFonts w:ascii="仿宋" w:eastAsia="仿宋" w:hAnsi="仿宋"/>
          <w:b/>
          <w:sz w:val="32"/>
          <w:szCs w:val="32"/>
        </w:rPr>
      </w:pPr>
      <w:r>
        <w:rPr>
          <w:rFonts w:ascii="仿宋" w:eastAsia="仿宋" w:hAnsi="仿宋" w:hint="eastAsia"/>
          <w:b/>
          <w:sz w:val="32"/>
          <w:szCs w:val="32"/>
        </w:rPr>
        <w:t>（二）政府采购支出情况</w:t>
      </w:r>
    </w:p>
    <w:p w:rsidR="006B65A1" w:rsidRDefault="006B65A1" w:rsidP="006B65A1">
      <w:pPr>
        <w:spacing w:line="600" w:lineRule="exact"/>
        <w:ind w:firstLineChars="200" w:firstLine="640"/>
        <w:rPr>
          <w:rFonts w:ascii="仿宋_GB2312" w:eastAsia="仿宋_GB2312"/>
          <w:sz w:val="32"/>
          <w:szCs w:val="32"/>
        </w:rPr>
      </w:pPr>
      <w:r>
        <w:rPr>
          <w:rFonts w:ascii="仿宋_GB2312" w:eastAsia="仿宋_GB2312" w:hint="eastAsia"/>
          <w:sz w:val="32"/>
          <w:szCs w:val="32"/>
        </w:rPr>
        <w:t>2023年度，</w:t>
      </w:r>
      <w:r>
        <w:rPr>
          <w:rFonts w:ascii="仿宋_GB2312" w:eastAsia="仿宋_GB2312"/>
          <w:sz w:val="32"/>
          <w:szCs w:val="32"/>
        </w:rPr>
        <w:t>阿坝州驻郫都区老干部休养所</w:t>
      </w:r>
      <w:r>
        <w:rPr>
          <w:rFonts w:ascii="仿宋_GB2312" w:eastAsia="仿宋_GB2312" w:hint="eastAsia"/>
          <w:sz w:val="32"/>
          <w:szCs w:val="32"/>
        </w:rPr>
        <w:t>政府采购支出总额0万元，其中：政府采购货物支出0万元、政府采购工程支出0万元、政府采购服务支出0万元。授予中小企业合</w:t>
      </w:r>
      <w:r>
        <w:rPr>
          <w:rFonts w:ascii="仿宋_GB2312" w:eastAsia="仿宋_GB2312" w:hint="eastAsia"/>
          <w:sz w:val="32"/>
          <w:szCs w:val="32"/>
        </w:rPr>
        <w:lastRenderedPageBreak/>
        <w:t>同金额0万元，占政府采购支出总额的0</w:t>
      </w:r>
      <w:r>
        <w:rPr>
          <w:rFonts w:ascii="仿宋_GB2312" w:eastAsia="仿宋_GB2312"/>
          <w:sz w:val="32"/>
          <w:szCs w:val="32"/>
        </w:rPr>
        <w:t>%</w:t>
      </w:r>
      <w:r>
        <w:rPr>
          <w:rFonts w:ascii="仿宋_GB2312" w:eastAsia="仿宋_GB2312" w:hint="eastAsia"/>
          <w:sz w:val="32"/>
          <w:szCs w:val="32"/>
        </w:rPr>
        <w:t>，其中：授予小微企业合同金额0万元，占政府采购支出总额的0</w:t>
      </w:r>
      <w:r>
        <w:rPr>
          <w:rFonts w:ascii="仿宋_GB2312" w:eastAsia="仿宋_GB2312"/>
          <w:sz w:val="32"/>
          <w:szCs w:val="32"/>
        </w:rPr>
        <w:t>%</w:t>
      </w:r>
      <w:r>
        <w:rPr>
          <w:rFonts w:ascii="仿宋_GB2312" w:eastAsia="仿宋_GB2312" w:hint="eastAsia"/>
          <w:sz w:val="32"/>
          <w:szCs w:val="32"/>
        </w:rPr>
        <w:t>。</w:t>
      </w:r>
    </w:p>
    <w:p w:rsidR="006B65A1" w:rsidRDefault="006B65A1" w:rsidP="006B65A1">
      <w:pPr>
        <w:spacing w:line="600" w:lineRule="exact"/>
        <w:ind w:firstLineChars="200" w:firstLine="643"/>
        <w:rPr>
          <w:rFonts w:ascii="仿宋" w:eastAsia="仿宋" w:hAnsi="仿宋"/>
          <w:b/>
          <w:sz w:val="32"/>
          <w:szCs w:val="32"/>
        </w:rPr>
      </w:pPr>
      <w:r>
        <w:rPr>
          <w:rFonts w:ascii="仿宋" w:eastAsia="仿宋" w:hAnsi="仿宋" w:hint="eastAsia"/>
          <w:b/>
          <w:sz w:val="32"/>
          <w:szCs w:val="32"/>
        </w:rPr>
        <w:t>（注：数据来源于财决附</w:t>
      </w:r>
      <w:r>
        <w:rPr>
          <w:rFonts w:ascii="仿宋" w:eastAsia="仿宋" w:hAnsi="仿宋"/>
          <w:b/>
          <w:sz w:val="32"/>
          <w:szCs w:val="32"/>
        </w:rPr>
        <w:t>03</w:t>
      </w:r>
      <w:r>
        <w:rPr>
          <w:rFonts w:ascii="仿宋" w:eastAsia="仿宋" w:hAnsi="仿宋" w:hint="eastAsia"/>
          <w:b/>
          <w:sz w:val="32"/>
          <w:szCs w:val="32"/>
        </w:rPr>
        <w:t>表）</w:t>
      </w:r>
    </w:p>
    <w:p w:rsidR="006B65A1" w:rsidRDefault="006B65A1" w:rsidP="006B65A1">
      <w:pPr>
        <w:autoSpaceDE w:val="0"/>
        <w:autoSpaceDN w:val="0"/>
        <w:adjustRightInd w:val="0"/>
        <w:spacing w:line="600" w:lineRule="exact"/>
        <w:ind w:firstLineChars="200" w:firstLine="643"/>
        <w:jc w:val="left"/>
        <w:outlineLvl w:val="2"/>
        <w:rPr>
          <w:rFonts w:ascii="仿宋" w:eastAsia="仿宋" w:hAnsi="仿宋"/>
          <w:b/>
          <w:sz w:val="32"/>
          <w:szCs w:val="32"/>
        </w:rPr>
      </w:pPr>
      <w:r>
        <w:rPr>
          <w:rFonts w:ascii="仿宋" w:eastAsia="仿宋" w:hAnsi="仿宋" w:hint="eastAsia"/>
          <w:b/>
          <w:sz w:val="32"/>
          <w:szCs w:val="32"/>
        </w:rPr>
        <w:t>（三）国有资产占有使用情况</w:t>
      </w:r>
    </w:p>
    <w:p w:rsidR="006B65A1" w:rsidRDefault="006B65A1" w:rsidP="006B65A1">
      <w:pPr>
        <w:autoSpaceDE w:val="0"/>
        <w:autoSpaceDN w:val="0"/>
        <w:adjustRightInd w:val="0"/>
        <w:spacing w:line="600" w:lineRule="exact"/>
        <w:ind w:firstLineChars="200" w:firstLine="640"/>
        <w:jc w:val="left"/>
        <w:rPr>
          <w:rFonts w:ascii="仿宋_GB2312" w:eastAsia="仿宋_GB2312"/>
          <w:sz w:val="32"/>
          <w:szCs w:val="32"/>
        </w:rPr>
      </w:pPr>
      <w:r>
        <w:rPr>
          <w:rFonts w:ascii="仿宋_GB2312" w:eastAsia="仿宋_GB2312" w:hint="eastAsia"/>
          <w:sz w:val="32"/>
          <w:szCs w:val="32"/>
        </w:rPr>
        <w:t>截至2023年</w:t>
      </w:r>
      <w:r>
        <w:rPr>
          <w:rFonts w:ascii="仿宋_GB2312" w:eastAsia="仿宋_GB2312"/>
          <w:sz w:val="32"/>
          <w:szCs w:val="32"/>
        </w:rPr>
        <w:t>12</w:t>
      </w:r>
      <w:r>
        <w:rPr>
          <w:rFonts w:ascii="仿宋_GB2312" w:eastAsia="仿宋_GB2312" w:hint="eastAsia"/>
          <w:sz w:val="32"/>
          <w:szCs w:val="32"/>
        </w:rPr>
        <w:t>月</w:t>
      </w:r>
      <w:r>
        <w:rPr>
          <w:rFonts w:ascii="仿宋_GB2312" w:eastAsia="仿宋_GB2312"/>
          <w:sz w:val="32"/>
          <w:szCs w:val="32"/>
        </w:rPr>
        <w:t>31</w:t>
      </w:r>
      <w:r>
        <w:rPr>
          <w:rFonts w:ascii="仿宋_GB2312" w:eastAsia="仿宋_GB2312" w:hint="eastAsia"/>
          <w:sz w:val="32"/>
          <w:szCs w:val="32"/>
        </w:rPr>
        <w:t>日，</w:t>
      </w:r>
      <w:r>
        <w:rPr>
          <w:rFonts w:ascii="仿宋_GB2312" w:eastAsia="仿宋_GB2312"/>
          <w:sz w:val="32"/>
          <w:szCs w:val="32"/>
        </w:rPr>
        <w:t>阿坝州驻郫都区老干部休养所</w:t>
      </w:r>
      <w:r>
        <w:rPr>
          <w:rFonts w:ascii="仿宋_GB2312" w:eastAsia="仿宋_GB2312" w:hint="eastAsia"/>
          <w:sz w:val="32"/>
          <w:szCs w:val="32"/>
        </w:rPr>
        <w:t>共有车辆1辆，其中：主要领导干部用车0辆、机要通信用车0辆、应急保障用车1辆、其他用车0辆。单价</w:t>
      </w:r>
      <w:r>
        <w:rPr>
          <w:rFonts w:ascii="仿宋_GB2312" w:eastAsia="仿宋_GB2312"/>
          <w:sz w:val="32"/>
          <w:szCs w:val="32"/>
        </w:rPr>
        <w:t>50</w:t>
      </w:r>
      <w:r>
        <w:rPr>
          <w:rFonts w:ascii="仿宋_GB2312" w:eastAsia="仿宋_GB2312" w:hint="eastAsia"/>
          <w:sz w:val="32"/>
          <w:szCs w:val="32"/>
        </w:rPr>
        <w:t>万元以上通用设备0台（套），单价</w:t>
      </w:r>
      <w:r>
        <w:rPr>
          <w:rFonts w:ascii="仿宋_GB2312" w:eastAsia="仿宋_GB2312"/>
          <w:sz w:val="32"/>
          <w:szCs w:val="32"/>
        </w:rPr>
        <w:t>100</w:t>
      </w:r>
      <w:r>
        <w:rPr>
          <w:rFonts w:ascii="仿宋_GB2312" w:eastAsia="仿宋_GB2312" w:hint="eastAsia"/>
          <w:sz w:val="32"/>
          <w:szCs w:val="32"/>
        </w:rPr>
        <w:t>万元以上专用设备（不含车辆）0台（套）。</w:t>
      </w:r>
    </w:p>
    <w:p w:rsidR="006B65A1" w:rsidRDefault="006B65A1" w:rsidP="006B65A1">
      <w:pPr>
        <w:autoSpaceDE w:val="0"/>
        <w:autoSpaceDN w:val="0"/>
        <w:adjustRightInd w:val="0"/>
        <w:spacing w:line="600" w:lineRule="exact"/>
        <w:ind w:firstLineChars="200" w:firstLine="643"/>
        <w:jc w:val="left"/>
        <w:rPr>
          <w:rFonts w:ascii="仿宋" w:eastAsia="仿宋" w:hAnsi="仿宋"/>
          <w:b/>
          <w:sz w:val="32"/>
          <w:szCs w:val="32"/>
        </w:rPr>
      </w:pPr>
      <w:r>
        <w:rPr>
          <w:rFonts w:ascii="仿宋" w:eastAsia="仿宋" w:hAnsi="仿宋" w:hint="eastAsia"/>
          <w:b/>
          <w:sz w:val="32"/>
          <w:szCs w:val="32"/>
        </w:rPr>
        <w:t>（注：数据来源于财决附</w:t>
      </w:r>
      <w:r>
        <w:rPr>
          <w:rFonts w:ascii="仿宋" w:eastAsia="仿宋" w:hAnsi="仿宋"/>
          <w:b/>
          <w:sz w:val="32"/>
          <w:szCs w:val="32"/>
        </w:rPr>
        <w:t>03</w:t>
      </w:r>
      <w:r>
        <w:rPr>
          <w:rFonts w:ascii="仿宋" w:eastAsia="仿宋" w:hAnsi="仿宋" w:hint="eastAsia"/>
          <w:b/>
          <w:sz w:val="32"/>
          <w:szCs w:val="32"/>
        </w:rPr>
        <w:t>表，按单位决算报表填报数据罗列车辆情况。）</w:t>
      </w:r>
    </w:p>
    <w:p w:rsidR="006B65A1" w:rsidRDefault="006B65A1" w:rsidP="006B65A1">
      <w:pPr>
        <w:autoSpaceDE w:val="0"/>
        <w:autoSpaceDN w:val="0"/>
        <w:adjustRightInd w:val="0"/>
        <w:spacing w:line="600" w:lineRule="exact"/>
        <w:ind w:firstLineChars="200" w:firstLine="643"/>
        <w:jc w:val="left"/>
        <w:outlineLvl w:val="2"/>
        <w:rPr>
          <w:rFonts w:ascii="仿宋" w:eastAsia="仿宋" w:hAnsi="仿宋"/>
          <w:b/>
          <w:sz w:val="32"/>
          <w:szCs w:val="32"/>
        </w:rPr>
      </w:pPr>
      <w:r>
        <w:rPr>
          <w:rFonts w:ascii="仿宋" w:eastAsia="仿宋" w:hAnsi="仿宋" w:hint="eastAsia"/>
          <w:b/>
          <w:sz w:val="32"/>
          <w:szCs w:val="32"/>
        </w:rPr>
        <w:t>（四）预算绩效管理情况</w:t>
      </w:r>
    </w:p>
    <w:p w:rsidR="006B65A1" w:rsidRDefault="006B65A1" w:rsidP="006B65A1">
      <w:pPr>
        <w:spacing w:line="600" w:lineRule="exact"/>
        <w:ind w:firstLineChars="200" w:firstLine="640"/>
        <w:rPr>
          <w:rFonts w:ascii="仿宋_GB2312" w:eastAsia="仿宋_GB2312"/>
          <w:sz w:val="32"/>
          <w:szCs w:val="32"/>
        </w:rPr>
      </w:pPr>
      <w:r>
        <w:rPr>
          <w:rFonts w:ascii="仿宋_GB2312" w:eastAsia="仿宋_GB2312" w:hint="eastAsia"/>
          <w:sz w:val="32"/>
          <w:szCs w:val="32"/>
        </w:rPr>
        <w:t>根据预算绩效管理要求，本单位在2023年度预算编制阶段，组织对</w:t>
      </w:r>
      <w:r w:rsidR="008D6268">
        <w:rPr>
          <w:rFonts w:ascii="仿宋_GB2312" w:eastAsia="仿宋_GB2312" w:hint="eastAsia"/>
          <w:sz w:val="32"/>
          <w:szCs w:val="32"/>
        </w:rPr>
        <w:t>老干部活动、党建活动经费、管理服务中心运行费、管理服务中心白蚁防治</w:t>
      </w:r>
      <w:r>
        <w:rPr>
          <w:rFonts w:ascii="仿宋_GB2312" w:eastAsia="仿宋_GB2312" w:hint="eastAsia"/>
          <w:sz w:val="32"/>
          <w:szCs w:val="32"/>
        </w:rPr>
        <w:t>等</w:t>
      </w:r>
      <w:r w:rsidR="008D6268">
        <w:rPr>
          <w:rFonts w:ascii="仿宋_GB2312" w:eastAsia="仿宋_GB2312" w:hint="eastAsia"/>
          <w:sz w:val="32"/>
          <w:szCs w:val="32"/>
        </w:rPr>
        <w:t>6</w:t>
      </w:r>
      <w:r>
        <w:rPr>
          <w:rFonts w:ascii="仿宋_GB2312" w:eastAsia="仿宋_GB2312" w:hint="eastAsia"/>
          <w:sz w:val="32"/>
          <w:szCs w:val="32"/>
        </w:rPr>
        <w:t>个项目开展了预算事前绩效评估，对</w:t>
      </w:r>
      <w:r w:rsidR="00D467C8">
        <w:rPr>
          <w:rFonts w:ascii="仿宋_GB2312" w:eastAsia="仿宋_GB2312" w:hint="eastAsia"/>
          <w:sz w:val="32"/>
          <w:szCs w:val="32"/>
        </w:rPr>
        <w:t>6</w:t>
      </w:r>
      <w:r>
        <w:rPr>
          <w:rFonts w:ascii="仿宋_GB2312" w:eastAsia="仿宋_GB2312" w:hint="eastAsia"/>
          <w:sz w:val="32"/>
          <w:szCs w:val="32"/>
        </w:rPr>
        <w:t>个项目编制了绩效目标，预算执行过程中，选取</w:t>
      </w:r>
      <w:r w:rsidR="00D14416">
        <w:rPr>
          <w:rFonts w:ascii="仿宋_GB2312" w:eastAsia="仿宋_GB2312" w:hint="eastAsia"/>
          <w:sz w:val="32"/>
          <w:szCs w:val="32"/>
        </w:rPr>
        <w:t>6</w:t>
      </w:r>
      <w:r>
        <w:rPr>
          <w:rFonts w:ascii="仿宋_GB2312" w:eastAsia="仿宋_GB2312" w:hint="eastAsia"/>
          <w:sz w:val="32"/>
          <w:szCs w:val="32"/>
        </w:rPr>
        <w:t>个项目开展绩效监控，组织对</w:t>
      </w:r>
      <w:r w:rsidR="00D14416">
        <w:rPr>
          <w:rFonts w:ascii="仿宋_GB2312" w:eastAsia="仿宋_GB2312" w:hint="eastAsia"/>
          <w:sz w:val="32"/>
          <w:szCs w:val="32"/>
        </w:rPr>
        <w:t>6</w:t>
      </w:r>
      <w:r>
        <w:rPr>
          <w:rFonts w:ascii="仿宋_GB2312" w:eastAsia="仿宋_GB2312" w:hint="eastAsia"/>
          <w:sz w:val="32"/>
          <w:szCs w:val="32"/>
        </w:rPr>
        <w:t>个项目开展绩效自评，绩效自评表详见第四部分附件。</w:t>
      </w:r>
    </w:p>
    <w:p w:rsidR="00E03927" w:rsidRPr="0049739A" w:rsidRDefault="006B65A1" w:rsidP="00D467C8">
      <w:pPr>
        <w:spacing w:line="580" w:lineRule="exact"/>
        <w:ind w:firstLineChars="200" w:firstLine="640"/>
        <w:rPr>
          <w:rFonts w:ascii="仿宋_GB2312" w:eastAsia="仿宋_GB2312"/>
          <w:sz w:val="32"/>
          <w:szCs w:val="32"/>
        </w:rPr>
      </w:pPr>
      <w:r>
        <w:rPr>
          <w:rFonts w:ascii="仿宋_GB2312" w:eastAsia="仿宋_GB2312" w:hint="eastAsia"/>
          <w:sz w:val="32"/>
          <w:szCs w:val="32"/>
        </w:rPr>
        <w:br w:type="page"/>
      </w:r>
    </w:p>
    <w:p w:rsidR="00256262" w:rsidRPr="0049739A" w:rsidRDefault="00256262">
      <w:pPr>
        <w:spacing w:line="580" w:lineRule="exact"/>
        <w:ind w:left="630"/>
        <w:rPr>
          <w:rFonts w:ascii="仿宋_GB2312" w:eastAsia="仿宋_GB2312"/>
          <w:sz w:val="32"/>
          <w:szCs w:val="32"/>
        </w:rPr>
      </w:pPr>
    </w:p>
    <w:p w:rsidR="00256262" w:rsidRPr="0049739A" w:rsidRDefault="00256262">
      <w:pPr>
        <w:spacing w:line="580" w:lineRule="exact"/>
        <w:ind w:left="630"/>
        <w:rPr>
          <w:rFonts w:ascii="仿宋_GB2312" w:eastAsia="仿宋_GB2312"/>
          <w:sz w:val="32"/>
          <w:szCs w:val="32"/>
        </w:rPr>
      </w:pPr>
    </w:p>
    <w:p w:rsidR="00256262" w:rsidRPr="0049739A" w:rsidRDefault="00256262" w:rsidP="0049739A">
      <w:pPr>
        <w:numPr>
          <w:ilvl w:val="0"/>
          <w:numId w:val="4"/>
        </w:numPr>
        <w:spacing w:line="600" w:lineRule="exact"/>
        <w:ind w:firstLineChars="150" w:firstLine="480"/>
        <w:jc w:val="center"/>
        <w:outlineLvl w:val="0"/>
        <w:rPr>
          <w:rFonts w:ascii="黑体" w:eastAsia="黑体" w:hAnsi="黑体"/>
          <w:bCs/>
          <w:sz w:val="32"/>
          <w:szCs w:val="32"/>
        </w:rPr>
      </w:pPr>
      <w:bookmarkStart w:id="8" w:name="_Toc15396613"/>
      <w:bookmarkStart w:id="9" w:name="_Toc15377225"/>
      <w:bookmarkStart w:id="10" w:name="_Toc79163629"/>
      <w:bookmarkStart w:id="11" w:name="_Toc79163879"/>
      <w:r w:rsidRPr="0049739A">
        <w:rPr>
          <w:rFonts w:ascii="黑体" w:eastAsia="黑体" w:hAnsi="黑体" w:hint="eastAsia"/>
          <w:sz w:val="32"/>
          <w:szCs w:val="32"/>
        </w:rPr>
        <w:t>名</w:t>
      </w:r>
      <w:r w:rsidRPr="0049739A">
        <w:rPr>
          <w:rFonts w:ascii="黑体" w:eastAsia="黑体" w:hAnsi="黑体" w:hint="eastAsia"/>
          <w:bCs/>
          <w:sz w:val="32"/>
          <w:szCs w:val="32"/>
        </w:rPr>
        <w:t>词解释</w:t>
      </w:r>
      <w:bookmarkEnd w:id="8"/>
      <w:bookmarkEnd w:id="9"/>
      <w:bookmarkEnd w:id="10"/>
      <w:bookmarkEnd w:id="11"/>
    </w:p>
    <w:p w:rsidR="00256262" w:rsidRPr="0049739A" w:rsidRDefault="00256262">
      <w:pPr>
        <w:spacing w:line="600" w:lineRule="exact"/>
        <w:jc w:val="left"/>
        <w:rPr>
          <w:rFonts w:ascii="仿宋_GB2312" w:eastAsia="仿宋_GB2312"/>
          <w:sz w:val="32"/>
          <w:szCs w:val="32"/>
        </w:rPr>
      </w:pPr>
    </w:p>
    <w:p w:rsidR="006936A8" w:rsidRPr="0049739A" w:rsidRDefault="006936A8" w:rsidP="006936A8">
      <w:pPr>
        <w:pStyle w:val="Default"/>
        <w:spacing w:line="560" w:lineRule="exact"/>
        <w:ind w:firstLineChars="200" w:firstLine="640"/>
        <w:rPr>
          <w:rFonts w:ascii="仿宋_GB2312" w:eastAsia="仿宋_GB2312" w:hAnsi="Times New Roman" w:cs="Times New Roman"/>
          <w:color w:val="auto"/>
          <w:kern w:val="2"/>
          <w:sz w:val="32"/>
          <w:szCs w:val="32"/>
        </w:rPr>
      </w:pPr>
      <w:r w:rsidRPr="0049739A">
        <w:rPr>
          <w:rFonts w:ascii="仿宋_GB2312" w:eastAsia="仿宋_GB2312" w:hAnsi="Times New Roman" w:cs="Times New Roman"/>
          <w:color w:val="auto"/>
          <w:kern w:val="2"/>
          <w:sz w:val="32"/>
          <w:szCs w:val="32"/>
        </w:rPr>
        <w:t>1.</w:t>
      </w:r>
      <w:r w:rsidRPr="0049739A">
        <w:rPr>
          <w:rFonts w:ascii="仿宋_GB2312" w:eastAsia="仿宋_GB2312" w:hAnsi="Times New Roman" w:cs="Times New Roman" w:hint="eastAsia"/>
          <w:color w:val="auto"/>
          <w:kern w:val="2"/>
          <w:sz w:val="32"/>
          <w:szCs w:val="32"/>
        </w:rPr>
        <w:t>财政拨款收入：指单位从同级财政部门取得的财政预算资金。</w:t>
      </w:r>
    </w:p>
    <w:p w:rsidR="006936A8" w:rsidRPr="0049739A" w:rsidRDefault="006936A8" w:rsidP="006936A8">
      <w:pPr>
        <w:pStyle w:val="Default"/>
        <w:spacing w:line="560" w:lineRule="exact"/>
        <w:ind w:firstLineChars="200" w:firstLine="640"/>
        <w:rPr>
          <w:rFonts w:ascii="仿宋_GB2312" w:eastAsia="仿宋_GB2312" w:hAnsi="Times New Roman" w:cs="Times New Roman"/>
          <w:color w:val="auto"/>
          <w:kern w:val="2"/>
          <w:sz w:val="32"/>
          <w:szCs w:val="32"/>
        </w:rPr>
      </w:pPr>
      <w:r w:rsidRPr="0049739A">
        <w:rPr>
          <w:rFonts w:ascii="仿宋_GB2312" w:eastAsia="仿宋_GB2312" w:hAnsi="Times New Roman" w:cs="Times New Roman"/>
          <w:color w:val="auto"/>
          <w:kern w:val="2"/>
          <w:sz w:val="32"/>
          <w:szCs w:val="32"/>
        </w:rPr>
        <w:t>2.</w:t>
      </w:r>
      <w:r w:rsidR="00163D73">
        <w:rPr>
          <w:rFonts w:ascii="仿宋_GB2312" w:eastAsia="仿宋_GB2312" w:hAnsi="Times New Roman" w:cs="Times New Roman" w:hint="eastAsia"/>
          <w:color w:val="auto"/>
          <w:kern w:val="2"/>
          <w:sz w:val="32"/>
          <w:szCs w:val="32"/>
        </w:rPr>
        <w:t>事业收入：指事业单位开展专业业务活动及辅助活动取得的收入</w:t>
      </w:r>
      <w:r w:rsidRPr="0049739A">
        <w:rPr>
          <w:rFonts w:ascii="仿宋_GB2312" w:eastAsia="仿宋_GB2312" w:hAnsi="Times New Roman" w:cs="Times New Roman" w:hint="eastAsia"/>
          <w:color w:val="auto"/>
          <w:kern w:val="2"/>
          <w:sz w:val="32"/>
          <w:szCs w:val="32"/>
        </w:rPr>
        <w:t>。</w:t>
      </w:r>
    </w:p>
    <w:p w:rsidR="00163D73" w:rsidRDefault="006936A8" w:rsidP="006936A8">
      <w:pPr>
        <w:pStyle w:val="Default"/>
        <w:spacing w:line="560" w:lineRule="exact"/>
        <w:ind w:firstLineChars="200" w:firstLine="640"/>
        <w:rPr>
          <w:rFonts w:ascii="仿宋_GB2312" w:eastAsia="仿宋_GB2312" w:hAnsi="Times New Roman" w:cs="Times New Roman"/>
          <w:color w:val="auto"/>
          <w:kern w:val="2"/>
          <w:sz w:val="32"/>
          <w:szCs w:val="32"/>
        </w:rPr>
      </w:pPr>
      <w:r w:rsidRPr="0049739A">
        <w:rPr>
          <w:rFonts w:ascii="仿宋_GB2312" w:eastAsia="仿宋_GB2312" w:hAnsi="Times New Roman" w:cs="Times New Roman"/>
          <w:color w:val="auto"/>
          <w:kern w:val="2"/>
          <w:sz w:val="32"/>
          <w:szCs w:val="32"/>
        </w:rPr>
        <w:t>3.</w:t>
      </w:r>
      <w:r w:rsidRPr="0049739A">
        <w:rPr>
          <w:rFonts w:ascii="仿宋_GB2312" w:eastAsia="仿宋_GB2312" w:hAnsi="Times New Roman" w:cs="Times New Roman" w:hint="eastAsia"/>
          <w:color w:val="auto"/>
          <w:kern w:val="2"/>
          <w:sz w:val="32"/>
          <w:szCs w:val="32"/>
        </w:rPr>
        <w:t>经营收入：指事业单位在专业业务活动及其辅助活动之外开展非独立核算经营活动取得的收入。</w:t>
      </w:r>
    </w:p>
    <w:p w:rsidR="006936A8" w:rsidRPr="0049739A" w:rsidRDefault="006936A8" w:rsidP="006936A8">
      <w:pPr>
        <w:pStyle w:val="Default"/>
        <w:spacing w:line="560" w:lineRule="exact"/>
        <w:ind w:firstLineChars="200" w:firstLine="640"/>
        <w:rPr>
          <w:rFonts w:ascii="仿宋_GB2312" w:eastAsia="仿宋_GB2312" w:hAnsi="Times New Roman" w:cs="Times New Roman"/>
          <w:color w:val="auto"/>
          <w:kern w:val="2"/>
          <w:sz w:val="32"/>
          <w:szCs w:val="32"/>
        </w:rPr>
      </w:pPr>
      <w:r w:rsidRPr="0049739A">
        <w:rPr>
          <w:rFonts w:ascii="仿宋_GB2312" w:eastAsia="仿宋_GB2312" w:hAnsi="Times New Roman" w:cs="Times New Roman"/>
          <w:color w:val="auto"/>
          <w:kern w:val="2"/>
          <w:sz w:val="32"/>
          <w:szCs w:val="32"/>
        </w:rPr>
        <w:t>4.</w:t>
      </w:r>
      <w:r w:rsidRPr="0049739A">
        <w:rPr>
          <w:rFonts w:ascii="仿宋_GB2312" w:eastAsia="仿宋_GB2312" w:hAnsi="Times New Roman" w:cs="Times New Roman" w:hint="eastAsia"/>
          <w:color w:val="auto"/>
          <w:kern w:val="2"/>
          <w:sz w:val="32"/>
          <w:szCs w:val="32"/>
        </w:rPr>
        <w:t>其他收入：指单位取得的除上述收入以外的各项收入。</w:t>
      </w:r>
    </w:p>
    <w:p w:rsidR="006936A8" w:rsidRDefault="006936A8" w:rsidP="006936A8">
      <w:pPr>
        <w:pStyle w:val="Default"/>
        <w:spacing w:line="560" w:lineRule="exact"/>
        <w:ind w:firstLineChars="200" w:firstLine="640"/>
        <w:rPr>
          <w:rFonts w:ascii="仿宋_GB2312" w:eastAsia="仿宋_GB2312"/>
          <w:sz w:val="32"/>
          <w:szCs w:val="32"/>
        </w:rPr>
      </w:pPr>
      <w:r w:rsidRPr="0049739A">
        <w:rPr>
          <w:rFonts w:ascii="仿宋_GB2312" w:eastAsia="仿宋_GB2312" w:hAnsi="Times New Roman" w:cs="Times New Roman"/>
          <w:color w:val="auto"/>
          <w:kern w:val="2"/>
          <w:sz w:val="32"/>
          <w:szCs w:val="32"/>
        </w:rPr>
        <w:t>5.</w:t>
      </w:r>
      <w:r w:rsidRPr="0049739A">
        <w:rPr>
          <w:rFonts w:ascii="仿宋_GB2312" w:eastAsia="仿宋_GB2312" w:hAnsi="Times New Roman" w:cs="Times New Roman" w:hint="eastAsia"/>
          <w:color w:val="auto"/>
          <w:kern w:val="2"/>
          <w:sz w:val="32"/>
          <w:szCs w:val="32"/>
        </w:rPr>
        <w:t>用事业基金弥补收支差额：指事业单位在当年的财政拨款收入、事业收入、经营收入</w:t>
      </w:r>
      <w:r>
        <w:rPr>
          <w:rFonts w:ascii="仿宋_GB2312" w:eastAsia="仿宋_GB2312" w:hint="eastAsia"/>
          <w:sz w:val="32"/>
          <w:szCs w:val="32"/>
        </w:rPr>
        <w:t>、其他收入不足以安排当年支出的情况下，使用以前年度积累的事业基金（事业单位当年收支相抵后按国家规定提取、用于弥补以后年度收支差额的基金）弥补本年度收支缺口的资金。</w:t>
      </w:r>
    </w:p>
    <w:p w:rsidR="006936A8" w:rsidRDefault="006936A8" w:rsidP="006936A8">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p>
    <w:p w:rsidR="006936A8" w:rsidRDefault="006936A8" w:rsidP="006936A8">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6936A8" w:rsidRDefault="006936A8" w:rsidP="006936A8">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6936A8" w:rsidRDefault="006936A8" w:rsidP="006936A8">
      <w:pPr>
        <w:ind w:firstLineChars="200" w:firstLine="640"/>
        <w:rPr>
          <w:rFonts w:ascii="仿宋_GB2312" w:eastAsia="仿宋_GB2312"/>
          <w:color w:val="000000"/>
          <w:sz w:val="32"/>
          <w:szCs w:val="32"/>
        </w:rPr>
      </w:pPr>
      <w:r>
        <w:rPr>
          <w:rFonts w:ascii="仿宋_GB2312" w:eastAsia="仿宋_GB2312"/>
          <w:color w:val="000000"/>
          <w:sz w:val="32"/>
          <w:szCs w:val="32"/>
        </w:rPr>
        <w:t>9.</w:t>
      </w:r>
      <w:r>
        <w:rPr>
          <w:rFonts w:ascii="仿宋_GB2312" w:eastAsia="仿宋_GB2312" w:hint="eastAsia"/>
          <w:color w:val="000000"/>
          <w:sz w:val="32"/>
          <w:szCs w:val="32"/>
        </w:rPr>
        <w:t>一般公共服务201（类）36（款）01（项）：指行政运行。</w:t>
      </w:r>
    </w:p>
    <w:p w:rsidR="006936A8" w:rsidRDefault="006936A8" w:rsidP="006936A8">
      <w:pPr>
        <w:ind w:firstLineChars="200" w:firstLine="640"/>
        <w:rPr>
          <w:rFonts w:ascii="仿宋_GB2312" w:eastAsia="仿宋_GB2312"/>
          <w:color w:val="000000"/>
          <w:sz w:val="32"/>
          <w:szCs w:val="32"/>
        </w:rPr>
      </w:pPr>
      <w:r>
        <w:rPr>
          <w:rFonts w:ascii="仿宋_GB2312" w:eastAsia="仿宋_GB2312"/>
          <w:color w:val="000000"/>
          <w:sz w:val="32"/>
          <w:szCs w:val="32"/>
        </w:rPr>
        <w:lastRenderedPageBreak/>
        <w:t>10.</w:t>
      </w:r>
      <w:r>
        <w:rPr>
          <w:rFonts w:ascii="仿宋_GB2312" w:eastAsia="仿宋_GB2312" w:hint="eastAsia"/>
          <w:color w:val="000000"/>
          <w:sz w:val="32"/>
          <w:szCs w:val="32"/>
        </w:rPr>
        <w:t>社会保障和就业208（类）05（款）05（项）：指机关事业单位基本养老保险缴费支出。208（类）05（款）05（项）：指机关事业单位职业年金缴费支出。</w:t>
      </w:r>
    </w:p>
    <w:p w:rsidR="006936A8" w:rsidRDefault="006936A8" w:rsidP="006936A8">
      <w:pPr>
        <w:ind w:firstLineChars="200" w:firstLine="640"/>
        <w:rPr>
          <w:rFonts w:ascii="仿宋_GB2312" w:eastAsia="仿宋_GB2312"/>
          <w:color w:val="000000"/>
          <w:sz w:val="32"/>
          <w:szCs w:val="32"/>
        </w:rPr>
      </w:pPr>
      <w:r>
        <w:rPr>
          <w:rFonts w:ascii="仿宋_GB2312" w:eastAsia="仿宋_GB2312"/>
          <w:color w:val="000000"/>
          <w:sz w:val="32"/>
          <w:szCs w:val="32"/>
        </w:rPr>
        <w:t>11.</w:t>
      </w:r>
      <w:r>
        <w:rPr>
          <w:rFonts w:ascii="仿宋_GB2312" w:eastAsia="仿宋_GB2312" w:hint="eastAsia"/>
          <w:color w:val="000000"/>
          <w:sz w:val="32"/>
          <w:szCs w:val="32"/>
        </w:rPr>
        <w:t>医疗卫生与计划生育210（类）11（款）01（项）：指行政单位医疗，210（类）11（款）03（项）：指公务员医疗补助。</w:t>
      </w:r>
    </w:p>
    <w:p w:rsidR="006936A8" w:rsidRDefault="006936A8" w:rsidP="006936A8">
      <w:pPr>
        <w:ind w:firstLineChars="200" w:firstLine="640"/>
        <w:rPr>
          <w:rFonts w:ascii="仿宋_GB2312" w:eastAsia="仿宋_GB2312"/>
          <w:color w:val="000000"/>
          <w:sz w:val="32"/>
          <w:szCs w:val="32"/>
        </w:rPr>
      </w:pPr>
      <w:r>
        <w:rPr>
          <w:rFonts w:ascii="仿宋_GB2312" w:eastAsia="仿宋_GB2312"/>
          <w:color w:val="000000"/>
          <w:sz w:val="32"/>
          <w:szCs w:val="32"/>
        </w:rPr>
        <w:t>12.</w:t>
      </w:r>
      <w:r>
        <w:rPr>
          <w:rFonts w:ascii="仿宋_GB2312" w:eastAsia="仿宋_GB2312" w:hint="eastAsia"/>
          <w:color w:val="000000"/>
          <w:sz w:val="32"/>
          <w:szCs w:val="32"/>
        </w:rPr>
        <w:t>住房保障221（类）02（款）01（项）：指住房公积金。</w:t>
      </w:r>
    </w:p>
    <w:p w:rsidR="006936A8" w:rsidRDefault="006936A8" w:rsidP="006936A8">
      <w:pPr>
        <w:ind w:firstLineChars="200" w:firstLine="640"/>
        <w:rPr>
          <w:rFonts w:ascii="仿宋_GB2312" w:eastAsia="仿宋_GB2312"/>
          <w:color w:val="000000"/>
          <w:sz w:val="32"/>
          <w:szCs w:val="32"/>
        </w:rPr>
      </w:pPr>
      <w:r>
        <w:rPr>
          <w:rFonts w:ascii="仿宋_GB2312" w:eastAsia="仿宋_GB2312"/>
          <w:color w:val="000000"/>
          <w:sz w:val="32"/>
          <w:szCs w:val="32"/>
        </w:rPr>
        <w:t>13.</w:t>
      </w:r>
      <w:r>
        <w:rPr>
          <w:rFonts w:ascii="仿宋_GB2312" w:eastAsia="仿宋_GB2312" w:hint="eastAsia"/>
          <w:color w:val="000000"/>
          <w:sz w:val="32"/>
          <w:szCs w:val="32"/>
        </w:rPr>
        <w:t>基本支出：指为保障机构正常运转、完成日常工作任务而发生的人员支出和公用支出。</w:t>
      </w:r>
    </w:p>
    <w:p w:rsidR="006936A8" w:rsidRDefault="006936A8" w:rsidP="006936A8">
      <w:pPr>
        <w:ind w:firstLineChars="200" w:firstLine="640"/>
        <w:rPr>
          <w:rFonts w:ascii="仿宋_GB2312" w:eastAsia="仿宋_GB2312"/>
          <w:color w:val="000000"/>
          <w:sz w:val="32"/>
          <w:szCs w:val="32"/>
        </w:rPr>
      </w:pPr>
      <w:r>
        <w:rPr>
          <w:rFonts w:ascii="仿宋_GB2312" w:eastAsia="仿宋_GB2312"/>
          <w:color w:val="000000"/>
          <w:sz w:val="32"/>
          <w:szCs w:val="32"/>
        </w:rPr>
        <w:t>14.</w:t>
      </w:r>
      <w:r>
        <w:rPr>
          <w:rFonts w:ascii="仿宋_GB2312" w:eastAsia="仿宋_GB2312" w:hint="eastAsia"/>
          <w:color w:val="000000"/>
          <w:sz w:val="32"/>
          <w:szCs w:val="32"/>
        </w:rPr>
        <w:t>项目支出：指在基本支出之外为完成特定行政任务和事业发展目标所发生的支出。</w:t>
      </w:r>
    </w:p>
    <w:p w:rsidR="006936A8" w:rsidRDefault="006936A8" w:rsidP="006936A8">
      <w:pPr>
        <w:ind w:firstLineChars="200" w:firstLine="640"/>
        <w:rPr>
          <w:rFonts w:ascii="仿宋_GB2312" w:eastAsia="仿宋_GB2312"/>
          <w:color w:val="000000"/>
          <w:sz w:val="32"/>
          <w:szCs w:val="32"/>
        </w:rPr>
      </w:pPr>
      <w:r>
        <w:rPr>
          <w:rFonts w:ascii="仿宋_GB2312" w:eastAsia="仿宋_GB2312"/>
          <w:color w:val="000000"/>
          <w:sz w:val="32"/>
          <w:szCs w:val="32"/>
        </w:rPr>
        <w:t>15.</w:t>
      </w:r>
      <w:r>
        <w:rPr>
          <w:rFonts w:ascii="仿宋_GB2312" w:eastAsia="仿宋_GB2312" w:hint="eastAsia"/>
          <w:color w:val="000000"/>
          <w:sz w:val="32"/>
          <w:szCs w:val="32"/>
        </w:rPr>
        <w:t>经营支出：指事业单位在专业业务活动及其辅助活动之外开展非独立核算经营活动发生的支出。</w:t>
      </w:r>
    </w:p>
    <w:p w:rsidR="006936A8" w:rsidRDefault="006936A8" w:rsidP="006936A8">
      <w:pPr>
        <w:pStyle w:val="Default"/>
        <w:spacing w:line="560" w:lineRule="exact"/>
        <w:ind w:firstLineChars="200" w:firstLine="640"/>
        <w:rPr>
          <w:rFonts w:ascii="仿宋_GB2312" w:eastAsia="仿宋_GB2312"/>
          <w:sz w:val="32"/>
          <w:szCs w:val="32"/>
        </w:rPr>
      </w:pPr>
      <w:r>
        <w:rPr>
          <w:rFonts w:ascii="仿宋_GB2312" w:eastAsia="仿宋_GB2312"/>
          <w:sz w:val="32"/>
          <w:szCs w:val="32"/>
        </w:rPr>
        <w:t>16.</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6936A8" w:rsidRDefault="006936A8" w:rsidP="006936A8">
      <w:pPr>
        <w:pStyle w:val="Default"/>
        <w:spacing w:line="560" w:lineRule="exact"/>
        <w:ind w:firstLineChars="200" w:firstLine="640"/>
        <w:rPr>
          <w:rFonts w:ascii="仿宋_GB2312" w:eastAsia="仿宋_GB2312"/>
          <w:sz w:val="32"/>
          <w:szCs w:val="32"/>
        </w:rPr>
      </w:pPr>
      <w:r>
        <w:rPr>
          <w:rFonts w:ascii="仿宋_GB2312" w:eastAsia="仿宋_GB2312"/>
          <w:sz w:val="32"/>
          <w:szCs w:val="32"/>
        </w:rPr>
        <w:t>17.</w:t>
      </w:r>
      <w:r>
        <w:rPr>
          <w:rFonts w:ascii="仿宋_GB2312" w:eastAsia="仿宋_GB2312" w:hint="eastAsia"/>
          <w:sz w:val="32"/>
          <w:szCs w:val="32"/>
        </w:rPr>
        <w:t>机关运行经费：为保障行政单位（含参照公务员法</w:t>
      </w:r>
      <w:r>
        <w:rPr>
          <w:rFonts w:ascii="仿宋_GB2312" w:eastAsia="仿宋_GB2312" w:hint="eastAsia"/>
          <w:sz w:val="32"/>
          <w:szCs w:val="32"/>
        </w:rPr>
        <w:lastRenderedPageBreak/>
        <w:t>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6936A8" w:rsidRDefault="006936A8" w:rsidP="006936A8">
      <w:pPr>
        <w:spacing w:line="600" w:lineRule="exact"/>
        <w:ind w:firstLine="640"/>
        <w:rPr>
          <w:rFonts w:ascii="黑体" w:eastAsia="黑体" w:hAnsi="黑体"/>
          <w:color w:val="000000"/>
          <w:sz w:val="44"/>
          <w:szCs w:val="44"/>
        </w:rPr>
      </w:pPr>
      <w:r>
        <w:rPr>
          <w:rFonts w:ascii="宋体"/>
          <w:b/>
          <w:color w:val="000000"/>
          <w:sz w:val="44"/>
          <w:szCs w:val="44"/>
        </w:rPr>
        <w:br w:type="page"/>
      </w:r>
      <w:bookmarkStart w:id="12" w:name="_Toc15396614"/>
      <w:bookmarkStart w:id="13" w:name="_Toc79163630"/>
      <w:bookmarkStart w:id="14" w:name="_Toc79163880"/>
      <w:bookmarkStart w:id="15" w:name="_Toc15377226"/>
    </w:p>
    <w:p w:rsidR="00256262" w:rsidRDefault="00256262">
      <w:pPr>
        <w:spacing w:line="600" w:lineRule="exact"/>
        <w:jc w:val="center"/>
        <w:outlineLvl w:val="0"/>
        <w:rPr>
          <w:rStyle w:val="1Char"/>
          <w:rFonts w:ascii="黑体" w:eastAsia="黑体" w:hAnsi="黑体"/>
          <w:b w:val="0"/>
        </w:rPr>
      </w:pPr>
      <w:bookmarkStart w:id="16" w:name="_Toc15396618"/>
      <w:bookmarkStart w:id="17" w:name="_Toc79163635"/>
      <w:bookmarkStart w:id="18" w:name="_Toc79163885"/>
      <w:bookmarkEnd w:id="12"/>
      <w:bookmarkEnd w:id="13"/>
      <w:bookmarkEnd w:id="14"/>
      <w:r>
        <w:rPr>
          <w:rFonts w:ascii="黑体" w:eastAsia="黑体" w:hAnsi="黑体" w:hint="eastAsia"/>
          <w:color w:val="000000"/>
          <w:sz w:val="44"/>
          <w:szCs w:val="44"/>
        </w:rPr>
        <w:lastRenderedPageBreak/>
        <w:t>第</w:t>
      </w:r>
      <w:r>
        <w:rPr>
          <w:rStyle w:val="1Char"/>
          <w:rFonts w:ascii="黑体" w:eastAsia="黑体" w:hAnsi="黑体" w:hint="eastAsia"/>
          <w:b w:val="0"/>
        </w:rPr>
        <w:t>五部分</w:t>
      </w:r>
      <w:r>
        <w:rPr>
          <w:rStyle w:val="1Char"/>
          <w:rFonts w:ascii="黑体" w:eastAsia="黑体" w:hAnsi="黑体"/>
          <w:b w:val="0"/>
        </w:rPr>
        <w:t xml:space="preserve"> </w:t>
      </w:r>
      <w:r>
        <w:rPr>
          <w:rStyle w:val="1Char"/>
          <w:rFonts w:ascii="黑体" w:eastAsia="黑体" w:hAnsi="黑体" w:hint="eastAsia"/>
          <w:b w:val="0"/>
        </w:rPr>
        <w:t>附表</w:t>
      </w:r>
      <w:bookmarkEnd w:id="15"/>
      <w:bookmarkEnd w:id="16"/>
      <w:bookmarkEnd w:id="17"/>
      <w:bookmarkEnd w:id="18"/>
    </w:p>
    <w:p w:rsidR="00256262" w:rsidRDefault="00256262">
      <w:pPr>
        <w:pStyle w:val="2"/>
        <w:rPr>
          <w:rFonts w:ascii="仿宋" w:eastAsia="仿宋" w:hAnsi="仿宋"/>
          <w:color w:val="000000"/>
        </w:rPr>
      </w:pPr>
      <w:bookmarkStart w:id="19" w:name="_Toc15396619"/>
      <w:bookmarkStart w:id="20" w:name="_Toc79163636"/>
      <w:bookmarkStart w:id="21" w:name="_Toc79163886"/>
      <w:r>
        <w:rPr>
          <w:rFonts w:ascii="仿宋" w:eastAsia="仿宋" w:hAnsi="仿宋" w:hint="eastAsia"/>
          <w:b w:val="0"/>
          <w:color w:val="000000"/>
        </w:rPr>
        <w:t>一、收</w:t>
      </w:r>
      <w:r>
        <w:rPr>
          <w:rStyle w:val="2Char"/>
          <w:rFonts w:ascii="仿宋" w:eastAsia="仿宋" w:hAnsi="仿宋" w:hint="eastAsia"/>
        </w:rPr>
        <w:t>入支出决算总表</w:t>
      </w:r>
      <w:bookmarkEnd w:id="19"/>
      <w:bookmarkEnd w:id="20"/>
      <w:bookmarkEnd w:id="21"/>
    </w:p>
    <w:p w:rsidR="00256262" w:rsidRDefault="00256262">
      <w:pPr>
        <w:pStyle w:val="2"/>
        <w:rPr>
          <w:rFonts w:ascii="仿宋" w:eastAsia="仿宋" w:hAnsi="仿宋"/>
          <w:color w:val="000000"/>
        </w:rPr>
      </w:pPr>
      <w:bookmarkStart w:id="22" w:name="_Toc15396620"/>
      <w:bookmarkStart w:id="23" w:name="_Toc79163637"/>
      <w:bookmarkStart w:id="24" w:name="_Toc79163887"/>
      <w:r>
        <w:rPr>
          <w:rFonts w:ascii="仿宋" w:eastAsia="仿宋" w:hAnsi="仿宋" w:hint="eastAsia"/>
          <w:b w:val="0"/>
          <w:color w:val="000000"/>
        </w:rPr>
        <w:t>二、收</w:t>
      </w:r>
      <w:r>
        <w:rPr>
          <w:rStyle w:val="2Char"/>
          <w:rFonts w:ascii="仿宋" w:eastAsia="仿宋" w:hAnsi="仿宋" w:hint="eastAsia"/>
        </w:rPr>
        <w:t>入决算表</w:t>
      </w:r>
      <w:bookmarkEnd w:id="22"/>
      <w:bookmarkEnd w:id="23"/>
      <w:bookmarkEnd w:id="24"/>
    </w:p>
    <w:p w:rsidR="00256262" w:rsidRDefault="00256262">
      <w:pPr>
        <w:pStyle w:val="2"/>
        <w:rPr>
          <w:rFonts w:ascii="仿宋" w:eastAsia="仿宋" w:hAnsi="仿宋"/>
          <w:color w:val="000000"/>
        </w:rPr>
      </w:pPr>
      <w:bookmarkStart w:id="25" w:name="_Toc15396621"/>
      <w:bookmarkStart w:id="26" w:name="_Toc79163638"/>
      <w:bookmarkStart w:id="27" w:name="_Toc79163888"/>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出决算表</w:t>
      </w:r>
      <w:bookmarkEnd w:id="25"/>
      <w:bookmarkEnd w:id="26"/>
      <w:bookmarkEnd w:id="27"/>
    </w:p>
    <w:p w:rsidR="00256262" w:rsidRDefault="00256262">
      <w:pPr>
        <w:pStyle w:val="2"/>
        <w:rPr>
          <w:rFonts w:ascii="仿宋" w:eastAsia="仿宋" w:hAnsi="仿宋"/>
          <w:b w:val="0"/>
          <w:color w:val="000000"/>
        </w:rPr>
      </w:pPr>
      <w:bookmarkStart w:id="28" w:name="_Toc15396622"/>
      <w:bookmarkStart w:id="29" w:name="_Toc79163639"/>
      <w:bookmarkStart w:id="30" w:name="_Toc79163889"/>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28"/>
      <w:bookmarkEnd w:id="29"/>
      <w:bookmarkEnd w:id="30"/>
    </w:p>
    <w:p w:rsidR="00256262" w:rsidRDefault="00256262">
      <w:pPr>
        <w:pStyle w:val="2"/>
        <w:rPr>
          <w:rStyle w:val="2Char"/>
          <w:rFonts w:ascii="仿宋" w:eastAsia="仿宋" w:hAnsi="仿宋"/>
        </w:rPr>
      </w:pPr>
      <w:bookmarkStart w:id="31" w:name="_Toc15396623"/>
      <w:bookmarkStart w:id="32" w:name="_Toc79163640"/>
      <w:bookmarkStart w:id="33" w:name="_Toc79163890"/>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w:t>
      </w:r>
      <w:bookmarkStart w:id="34" w:name="_Toc15396624"/>
      <w:bookmarkEnd w:id="31"/>
      <w:bookmarkEnd w:id="32"/>
      <w:bookmarkEnd w:id="33"/>
    </w:p>
    <w:p w:rsidR="00256262" w:rsidRDefault="00256262">
      <w:pPr>
        <w:pStyle w:val="2"/>
        <w:rPr>
          <w:rFonts w:ascii="仿宋" w:eastAsia="仿宋" w:hAnsi="仿宋"/>
          <w:color w:val="000000"/>
        </w:rPr>
      </w:pPr>
      <w:bookmarkStart w:id="35" w:name="_Toc79163641"/>
      <w:bookmarkStart w:id="36" w:name="_Toc79163891"/>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34"/>
      <w:bookmarkEnd w:id="35"/>
      <w:bookmarkEnd w:id="36"/>
    </w:p>
    <w:p w:rsidR="00256262" w:rsidRDefault="00256262">
      <w:pPr>
        <w:pStyle w:val="2"/>
        <w:rPr>
          <w:rFonts w:ascii="仿宋" w:eastAsia="仿宋" w:hAnsi="仿宋"/>
          <w:color w:val="000000"/>
        </w:rPr>
      </w:pPr>
      <w:bookmarkStart w:id="37" w:name="_Toc15396625"/>
      <w:bookmarkStart w:id="38" w:name="_Toc79163642"/>
      <w:bookmarkStart w:id="39" w:name="_Toc79163892"/>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37"/>
      <w:bookmarkEnd w:id="38"/>
      <w:bookmarkEnd w:id="39"/>
    </w:p>
    <w:p w:rsidR="00256262" w:rsidRDefault="00256262">
      <w:pPr>
        <w:pStyle w:val="2"/>
        <w:rPr>
          <w:rFonts w:ascii="仿宋" w:eastAsia="仿宋" w:hAnsi="仿宋"/>
          <w:color w:val="000000"/>
        </w:rPr>
      </w:pPr>
      <w:bookmarkStart w:id="40" w:name="_Toc15396626"/>
      <w:bookmarkStart w:id="41" w:name="_Toc79163643"/>
      <w:bookmarkStart w:id="42" w:name="_Toc79163893"/>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40"/>
      <w:bookmarkEnd w:id="41"/>
      <w:bookmarkEnd w:id="42"/>
    </w:p>
    <w:p w:rsidR="00256262" w:rsidRDefault="00256262">
      <w:pPr>
        <w:pStyle w:val="2"/>
        <w:rPr>
          <w:rFonts w:ascii="仿宋" w:eastAsia="仿宋" w:hAnsi="仿宋"/>
          <w:color w:val="000000"/>
        </w:rPr>
      </w:pPr>
      <w:bookmarkStart w:id="43" w:name="_Toc15396627"/>
      <w:bookmarkStart w:id="44" w:name="_Toc79163644"/>
      <w:bookmarkStart w:id="45" w:name="_Toc79163894"/>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43"/>
      <w:bookmarkEnd w:id="44"/>
      <w:bookmarkEnd w:id="45"/>
    </w:p>
    <w:p w:rsidR="00256262" w:rsidRDefault="00256262">
      <w:pPr>
        <w:pStyle w:val="2"/>
        <w:rPr>
          <w:rFonts w:ascii="仿宋" w:eastAsia="仿宋" w:hAnsi="仿宋"/>
          <w:color w:val="000000"/>
        </w:rPr>
      </w:pPr>
      <w:bookmarkStart w:id="46" w:name="_Toc15396628"/>
      <w:bookmarkStart w:id="47" w:name="_Toc79163645"/>
      <w:bookmarkStart w:id="48" w:name="_Toc79163895"/>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46"/>
      <w:bookmarkEnd w:id="47"/>
      <w:bookmarkEnd w:id="48"/>
    </w:p>
    <w:p w:rsidR="00060E18" w:rsidRPr="00DC74B0" w:rsidRDefault="00060E18">
      <w:pPr>
        <w:pStyle w:val="2"/>
        <w:rPr>
          <w:rStyle w:val="2Char"/>
          <w:rFonts w:ascii="仿宋" w:eastAsia="仿宋" w:hAnsi="仿宋"/>
        </w:rPr>
      </w:pPr>
    </w:p>
    <w:sectPr w:rsidR="00060E18" w:rsidRPr="00DC74B0" w:rsidSect="00EF60EF">
      <w:headerReference w:type="default" r:id="rId15"/>
      <w:footerReference w:type="default" r:id="rId16"/>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28E" w:rsidRDefault="0097028E" w:rsidP="00EF60EF">
      <w:r>
        <w:separator/>
      </w:r>
    </w:p>
  </w:endnote>
  <w:endnote w:type="continuationSeparator" w:id="0">
    <w:p w:rsidR="0097028E" w:rsidRDefault="0097028E" w:rsidP="00EF6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1" w:usb1="080E0000" w:usb2="00000000" w:usb3="00000000" w:csb0="00040000" w:csb1="00000000"/>
  </w:font>
  <w:font w:name="等线">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小标宋简体">
    <w:altName w:val="Arial Unicode MS"/>
    <w:charset w:val="86"/>
    <w:family w:val="script"/>
    <w:pitch w:val="default"/>
    <w:sig w:usb0="00000000"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2C9" w:rsidRDefault="00CC404E">
    <w:pPr>
      <w:pStyle w:val="a5"/>
      <w:jc w:val="center"/>
    </w:pPr>
    <w:r>
      <w:fldChar w:fldCharType="begin"/>
    </w:r>
    <w:r w:rsidR="002F02C9">
      <w:instrText>PAGE   \* MERGEFORMAT</w:instrText>
    </w:r>
    <w:r>
      <w:fldChar w:fldCharType="separate"/>
    </w:r>
    <w:r w:rsidR="00381EFD" w:rsidRPr="00381EFD">
      <w:rPr>
        <w:noProof/>
        <w:lang w:val="zh-CN"/>
      </w:rPr>
      <w:t>14</w:t>
    </w:r>
    <w:r>
      <w:fldChar w:fldCharType="end"/>
    </w:r>
  </w:p>
  <w:p w:rsidR="002F02C9" w:rsidRDefault="002F02C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28E" w:rsidRDefault="0097028E" w:rsidP="00EF60EF">
      <w:r>
        <w:separator/>
      </w:r>
    </w:p>
  </w:footnote>
  <w:footnote w:type="continuationSeparator" w:id="0">
    <w:p w:rsidR="0097028E" w:rsidRDefault="0097028E" w:rsidP="00EF60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2C9" w:rsidRDefault="002F02C9">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start w:val="9"/>
      <w:numFmt w:val="chineseCounting"/>
      <w:suff w:val="nothing"/>
      <w:lvlText w:val="%1、"/>
      <w:lvlJc w:val="left"/>
      <w:rPr>
        <w:rFonts w:cs="Times New Roman" w:hint="eastAsia"/>
      </w:rPr>
    </w:lvl>
  </w:abstractNum>
  <w:abstractNum w:abstractNumId="1">
    <w:nsid w:val="E2FA047D"/>
    <w:multiLevelType w:val="singleLevel"/>
    <w:tmpl w:val="E2FA047D"/>
    <w:lvl w:ilvl="0">
      <w:start w:val="3"/>
      <w:numFmt w:val="chineseCounting"/>
      <w:suff w:val="space"/>
      <w:lvlText w:val="第%1部分"/>
      <w:lvlJc w:val="left"/>
      <w:rPr>
        <w:rFonts w:cs="Times New Roman" w:hint="eastAsia"/>
      </w:rPr>
    </w:lvl>
  </w:abstractNum>
  <w:abstractNum w:abstractNumId="2">
    <w:nsid w:val="0B7B1788"/>
    <w:multiLevelType w:val="hybridMultilevel"/>
    <w:tmpl w:val="A7AE2C78"/>
    <w:lvl w:ilvl="0" w:tplc="180A873C">
      <w:start w:val="1"/>
      <w:numFmt w:val="japaneseCounting"/>
      <w:lvlText w:val="（%1）"/>
      <w:lvlJc w:val="left"/>
      <w:pPr>
        <w:ind w:left="1567" w:hanging="866"/>
      </w:pPr>
      <w:rPr>
        <w:rFonts w:hint="default"/>
      </w:rPr>
    </w:lvl>
    <w:lvl w:ilvl="1" w:tplc="04090019" w:tentative="1">
      <w:start w:val="1"/>
      <w:numFmt w:val="lowerLetter"/>
      <w:lvlText w:val="%2)"/>
      <w:lvlJc w:val="left"/>
      <w:pPr>
        <w:ind w:left="1541" w:hanging="420"/>
      </w:pPr>
    </w:lvl>
    <w:lvl w:ilvl="2" w:tplc="0409001B" w:tentative="1">
      <w:start w:val="1"/>
      <w:numFmt w:val="lowerRoman"/>
      <w:lvlText w:val="%3."/>
      <w:lvlJc w:val="right"/>
      <w:pPr>
        <w:ind w:left="1961" w:hanging="420"/>
      </w:pPr>
    </w:lvl>
    <w:lvl w:ilvl="3" w:tplc="0409000F" w:tentative="1">
      <w:start w:val="1"/>
      <w:numFmt w:val="decimal"/>
      <w:lvlText w:val="%4."/>
      <w:lvlJc w:val="left"/>
      <w:pPr>
        <w:ind w:left="2381" w:hanging="420"/>
      </w:pPr>
    </w:lvl>
    <w:lvl w:ilvl="4" w:tplc="04090019" w:tentative="1">
      <w:start w:val="1"/>
      <w:numFmt w:val="lowerLetter"/>
      <w:lvlText w:val="%5)"/>
      <w:lvlJc w:val="left"/>
      <w:pPr>
        <w:ind w:left="2801" w:hanging="420"/>
      </w:pPr>
    </w:lvl>
    <w:lvl w:ilvl="5" w:tplc="0409001B" w:tentative="1">
      <w:start w:val="1"/>
      <w:numFmt w:val="lowerRoman"/>
      <w:lvlText w:val="%6."/>
      <w:lvlJc w:val="right"/>
      <w:pPr>
        <w:ind w:left="3221" w:hanging="420"/>
      </w:pPr>
    </w:lvl>
    <w:lvl w:ilvl="6" w:tplc="0409000F" w:tentative="1">
      <w:start w:val="1"/>
      <w:numFmt w:val="decimal"/>
      <w:lvlText w:val="%7."/>
      <w:lvlJc w:val="left"/>
      <w:pPr>
        <w:ind w:left="3641" w:hanging="420"/>
      </w:pPr>
    </w:lvl>
    <w:lvl w:ilvl="7" w:tplc="04090019" w:tentative="1">
      <w:start w:val="1"/>
      <w:numFmt w:val="lowerLetter"/>
      <w:lvlText w:val="%8)"/>
      <w:lvlJc w:val="left"/>
      <w:pPr>
        <w:ind w:left="4061" w:hanging="420"/>
      </w:pPr>
    </w:lvl>
    <w:lvl w:ilvl="8" w:tplc="0409001B" w:tentative="1">
      <w:start w:val="1"/>
      <w:numFmt w:val="lowerRoman"/>
      <w:lvlText w:val="%9."/>
      <w:lvlJc w:val="right"/>
      <w:pPr>
        <w:ind w:left="4481" w:hanging="420"/>
      </w:pPr>
    </w:lvl>
  </w:abstractNum>
  <w:abstractNum w:abstractNumId="3">
    <w:nsid w:val="1272550B"/>
    <w:multiLevelType w:val="multilevel"/>
    <w:tmpl w:val="1272550B"/>
    <w:lvl w:ilvl="0">
      <w:start w:val="1"/>
      <w:numFmt w:val="japaneseCounting"/>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4">
    <w:nsid w:val="3818A09A"/>
    <w:multiLevelType w:val="singleLevel"/>
    <w:tmpl w:val="3818A09A"/>
    <w:lvl w:ilvl="0">
      <w:start w:val="1"/>
      <w:numFmt w:val="chineseCounting"/>
      <w:suff w:val="nothing"/>
      <w:lvlText w:val="%1、"/>
      <w:lvlJc w:val="left"/>
      <w:rPr>
        <w:rFonts w:hint="eastAsia"/>
      </w:rPr>
    </w:lvl>
  </w:abstractNum>
  <w:abstractNum w:abstractNumId="5">
    <w:nsid w:val="62621CDC"/>
    <w:multiLevelType w:val="multilevel"/>
    <w:tmpl w:val="62621CDC"/>
    <w:lvl w:ilvl="0">
      <w:start w:val="1"/>
      <w:numFmt w:val="decimal"/>
      <w:lvlText w:val="%1."/>
      <w:lvlJc w:val="left"/>
      <w:pPr>
        <w:ind w:left="1152" w:hanging="480"/>
      </w:pPr>
      <w:rPr>
        <w:rFonts w:cs="Times New Roman" w:hint="default"/>
      </w:rPr>
    </w:lvl>
    <w:lvl w:ilvl="1">
      <w:start w:val="1"/>
      <w:numFmt w:val="lowerLetter"/>
      <w:lvlText w:val="%2)"/>
      <w:lvlJc w:val="left"/>
      <w:pPr>
        <w:ind w:left="1512" w:hanging="420"/>
      </w:pPr>
      <w:rPr>
        <w:rFonts w:cs="Times New Roman"/>
      </w:rPr>
    </w:lvl>
    <w:lvl w:ilvl="2">
      <w:start w:val="1"/>
      <w:numFmt w:val="lowerRoman"/>
      <w:lvlText w:val="%3."/>
      <w:lvlJc w:val="right"/>
      <w:pPr>
        <w:ind w:left="1932" w:hanging="420"/>
      </w:pPr>
      <w:rPr>
        <w:rFonts w:cs="Times New Roman"/>
      </w:rPr>
    </w:lvl>
    <w:lvl w:ilvl="3">
      <w:start w:val="1"/>
      <w:numFmt w:val="decimal"/>
      <w:lvlText w:val="%4."/>
      <w:lvlJc w:val="left"/>
      <w:pPr>
        <w:ind w:left="2352" w:hanging="420"/>
      </w:pPr>
      <w:rPr>
        <w:rFonts w:cs="Times New Roman"/>
      </w:rPr>
    </w:lvl>
    <w:lvl w:ilvl="4">
      <w:start w:val="1"/>
      <w:numFmt w:val="lowerLetter"/>
      <w:lvlText w:val="%5)"/>
      <w:lvlJc w:val="left"/>
      <w:pPr>
        <w:ind w:left="2772" w:hanging="420"/>
      </w:pPr>
      <w:rPr>
        <w:rFonts w:cs="Times New Roman"/>
      </w:rPr>
    </w:lvl>
    <w:lvl w:ilvl="5">
      <w:start w:val="1"/>
      <w:numFmt w:val="lowerRoman"/>
      <w:lvlText w:val="%6."/>
      <w:lvlJc w:val="right"/>
      <w:pPr>
        <w:ind w:left="3192" w:hanging="420"/>
      </w:pPr>
      <w:rPr>
        <w:rFonts w:cs="Times New Roman"/>
      </w:rPr>
    </w:lvl>
    <w:lvl w:ilvl="6">
      <w:start w:val="1"/>
      <w:numFmt w:val="decimal"/>
      <w:lvlText w:val="%7."/>
      <w:lvlJc w:val="left"/>
      <w:pPr>
        <w:ind w:left="3612" w:hanging="420"/>
      </w:pPr>
      <w:rPr>
        <w:rFonts w:cs="Times New Roman"/>
      </w:rPr>
    </w:lvl>
    <w:lvl w:ilvl="7">
      <w:start w:val="1"/>
      <w:numFmt w:val="lowerLetter"/>
      <w:lvlText w:val="%8)"/>
      <w:lvlJc w:val="left"/>
      <w:pPr>
        <w:ind w:left="4032" w:hanging="420"/>
      </w:pPr>
      <w:rPr>
        <w:rFonts w:cs="Times New Roman"/>
      </w:rPr>
    </w:lvl>
    <w:lvl w:ilvl="8">
      <w:start w:val="1"/>
      <w:numFmt w:val="lowerRoman"/>
      <w:lvlText w:val="%9."/>
      <w:lvlJc w:val="right"/>
      <w:pPr>
        <w:ind w:left="4452" w:hanging="420"/>
      </w:pPr>
      <w:rPr>
        <w:rFonts w:cs="Times New Roman"/>
      </w:rPr>
    </w:lvl>
  </w:abstractNum>
  <w:num w:numId="1">
    <w:abstractNumId w:val="5"/>
  </w:num>
  <w:num w:numId="2">
    <w:abstractNumId w:val="3"/>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4653"/>
    <w:rsid w:val="000222C6"/>
    <w:rsid w:val="0002549F"/>
    <w:rsid w:val="000468DB"/>
    <w:rsid w:val="00047663"/>
    <w:rsid w:val="00060E18"/>
    <w:rsid w:val="00061BE7"/>
    <w:rsid w:val="0006487A"/>
    <w:rsid w:val="00065F8F"/>
    <w:rsid w:val="00070A43"/>
    <w:rsid w:val="000768F2"/>
    <w:rsid w:val="000823CA"/>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540C"/>
    <w:rsid w:val="000E6613"/>
    <w:rsid w:val="000E6D05"/>
    <w:rsid w:val="000E7119"/>
    <w:rsid w:val="0010253E"/>
    <w:rsid w:val="00114E9B"/>
    <w:rsid w:val="00115301"/>
    <w:rsid w:val="00117FE6"/>
    <w:rsid w:val="001319E1"/>
    <w:rsid w:val="00137D98"/>
    <w:rsid w:val="00142216"/>
    <w:rsid w:val="00144D6A"/>
    <w:rsid w:val="0014729F"/>
    <w:rsid w:val="001507B2"/>
    <w:rsid w:val="00157BAB"/>
    <w:rsid w:val="00163D73"/>
    <w:rsid w:val="001654D1"/>
    <w:rsid w:val="00174518"/>
    <w:rsid w:val="0018106D"/>
    <w:rsid w:val="00186027"/>
    <w:rsid w:val="00186335"/>
    <w:rsid w:val="001877A7"/>
    <w:rsid w:val="00191536"/>
    <w:rsid w:val="00192308"/>
    <w:rsid w:val="00196687"/>
    <w:rsid w:val="001A7B1E"/>
    <w:rsid w:val="001C0962"/>
    <w:rsid w:val="001C0FD1"/>
    <w:rsid w:val="001C12AA"/>
    <w:rsid w:val="001C49E9"/>
    <w:rsid w:val="001D7531"/>
    <w:rsid w:val="001E737D"/>
    <w:rsid w:val="001F0592"/>
    <w:rsid w:val="001F7506"/>
    <w:rsid w:val="002006CD"/>
    <w:rsid w:val="00202B36"/>
    <w:rsid w:val="0020414E"/>
    <w:rsid w:val="00204B7A"/>
    <w:rsid w:val="00204CDE"/>
    <w:rsid w:val="0021101A"/>
    <w:rsid w:val="00220536"/>
    <w:rsid w:val="0022570D"/>
    <w:rsid w:val="00235629"/>
    <w:rsid w:val="0025131D"/>
    <w:rsid w:val="00256262"/>
    <w:rsid w:val="00260C38"/>
    <w:rsid w:val="002616C0"/>
    <w:rsid w:val="00265372"/>
    <w:rsid w:val="002662AA"/>
    <w:rsid w:val="0027224D"/>
    <w:rsid w:val="0027541D"/>
    <w:rsid w:val="00280496"/>
    <w:rsid w:val="00282D0F"/>
    <w:rsid w:val="002854AD"/>
    <w:rsid w:val="00294DC9"/>
    <w:rsid w:val="00295495"/>
    <w:rsid w:val="002A31DE"/>
    <w:rsid w:val="002B2613"/>
    <w:rsid w:val="002B2FF7"/>
    <w:rsid w:val="002C5BDE"/>
    <w:rsid w:val="002D6D05"/>
    <w:rsid w:val="002E7315"/>
    <w:rsid w:val="002F02C9"/>
    <w:rsid w:val="002F1818"/>
    <w:rsid w:val="002F567B"/>
    <w:rsid w:val="003216A9"/>
    <w:rsid w:val="00325AAD"/>
    <w:rsid w:val="00335A74"/>
    <w:rsid w:val="0036561B"/>
    <w:rsid w:val="0037013F"/>
    <w:rsid w:val="00380C92"/>
    <w:rsid w:val="00381EFD"/>
    <w:rsid w:val="003841C0"/>
    <w:rsid w:val="003A484F"/>
    <w:rsid w:val="003A4883"/>
    <w:rsid w:val="003B0BE0"/>
    <w:rsid w:val="003B0C1B"/>
    <w:rsid w:val="003B688C"/>
    <w:rsid w:val="003B6B3E"/>
    <w:rsid w:val="003C0291"/>
    <w:rsid w:val="003C39AE"/>
    <w:rsid w:val="003C7B60"/>
    <w:rsid w:val="003D0C0F"/>
    <w:rsid w:val="003D1FB2"/>
    <w:rsid w:val="003D66DA"/>
    <w:rsid w:val="003E1310"/>
    <w:rsid w:val="003E2776"/>
    <w:rsid w:val="003E6F55"/>
    <w:rsid w:val="003E6FE4"/>
    <w:rsid w:val="00406254"/>
    <w:rsid w:val="0040703D"/>
    <w:rsid w:val="004223DE"/>
    <w:rsid w:val="00427C5B"/>
    <w:rsid w:val="00434489"/>
    <w:rsid w:val="00437085"/>
    <w:rsid w:val="00443880"/>
    <w:rsid w:val="00445607"/>
    <w:rsid w:val="004464F4"/>
    <w:rsid w:val="00466796"/>
    <w:rsid w:val="00471401"/>
    <w:rsid w:val="00473F31"/>
    <w:rsid w:val="0048263A"/>
    <w:rsid w:val="004830EB"/>
    <w:rsid w:val="00487E5D"/>
    <w:rsid w:val="004906AA"/>
    <w:rsid w:val="00492DE4"/>
    <w:rsid w:val="0049739A"/>
    <w:rsid w:val="004A711F"/>
    <w:rsid w:val="004B199D"/>
    <w:rsid w:val="004B4690"/>
    <w:rsid w:val="004C4D46"/>
    <w:rsid w:val="004C61DD"/>
    <w:rsid w:val="004D5479"/>
    <w:rsid w:val="004E0A2D"/>
    <w:rsid w:val="004E206B"/>
    <w:rsid w:val="004E6DF7"/>
    <w:rsid w:val="004F0FBD"/>
    <w:rsid w:val="005031C4"/>
    <w:rsid w:val="00505A47"/>
    <w:rsid w:val="00512FDA"/>
    <w:rsid w:val="00520DA0"/>
    <w:rsid w:val="00521E95"/>
    <w:rsid w:val="005269A7"/>
    <w:rsid w:val="005269D7"/>
    <w:rsid w:val="00543963"/>
    <w:rsid w:val="005664BB"/>
    <w:rsid w:val="00566FFA"/>
    <w:rsid w:val="0057296F"/>
    <w:rsid w:val="0057481D"/>
    <w:rsid w:val="00577C30"/>
    <w:rsid w:val="0058486E"/>
    <w:rsid w:val="00585B33"/>
    <w:rsid w:val="0059014D"/>
    <w:rsid w:val="005B294E"/>
    <w:rsid w:val="005B5C64"/>
    <w:rsid w:val="005C5337"/>
    <w:rsid w:val="005C6BD0"/>
    <w:rsid w:val="005D1C8B"/>
    <w:rsid w:val="005D468D"/>
    <w:rsid w:val="005D5CED"/>
    <w:rsid w:val="005F1A4C"/>
    <w:rsid w:val="005F55C5"/>
    <w:rsid w:val="00605688"/>
    <w:rsid w:val="006070AF"/>
    <w:rsid w:val="00607E6C"/>
    <w:rsid w:val="006101B1"/>
    <w:rsid w:val="00614E44"/>
    <w:rsid w:val="00616DFC"/>
    <w:rsid w:val="0062270A"/>
    <w:rsid w:val="00622830"/>
    <w:rsid w:val="00623DA0"/>
    <w:rsid w:val="00630AEF"/>
    <w:rsid w:val="006325F8"/>
    <w:rsid w:val="00633463"/>
    <w:rsid w:val="00634C9A"/>
    <w:rsid w:val="00635BBA"/>
    <w:rsid w:val="006440E4"/>
    <w:rsid w:val="00645F81"/>
    <w:rsid w:val="0065680A"/>
    <w:rsid w:val="0066343B"/>
    <w:rsid w:val="00664777"/>
    <w:rsid w:val="006748A4"/>
    <w:rsid w:val="00681A31"/>
    <w:rsid w:val="006822FB"/>
    <w:rsid w:val="00683E73"/>
    <w:rsid w:val="00685B26"/>
    <w:rsid w:val="006936A8"/>
    <w:rsid w:val="006A3141"/>
    <w:rsid w:val="006A5E34"/>
    <w:rsid w:val="006B2422"/>
    <w:rsid w:val="006B2B9A"/>
    <w:rsid w:val="006B3E5C"/>
    <w:rsid w:val="006B65A1"/>
    <w:rsid w:val="006C1937"/>
    <w:rsid w:val="006E0118"/>
    <w:rsid w:val="006F020C"/>
    <w:rsid w:val="007127B7"/>
    <w:rsid w:val="0071798E"/>
    <w:rsid w:val="00726D2A"/>
    <w:rsid w:val="0073132A"/>
    <w:rsid w:val="00735F83"/>
    <w:rsid w:val="007416B6"/>
    <w:rsid w:val="00743F6C"/>
    <w:rsid w:val="00746F48"/>
    <w:rsid w:val="0075190D"/>
    <w:rsid w:val="0075404D"/>
    <w:rsid w:val="0076182A"/>
    <w:rsid w:val="00767B7E"/>
    <w:rsid w:val="007770C3"/>
    <w:rsid w:val="00784D24"/>
    <w:rsid w:val="00785FBA"/>
    <w:rsid w:val="00786E4A"/>
    <w:rsid w:val="007875EB"/>
    <w:rsid w:val="0079426B"/>
    <w:rsid w:val="007D1682"/>
    <w:rsid w:val="007D2F69"/>
    <w:rsid w:val="007D312A"/>
    <w:rsid w:val="007D3D9C"/>
    <w:rsid w:val="007D3F19"/>
    <w:rsid w:val="007E23B0"/>
    <w:rsid w:val="007E23E5"/>
    <w:rsid w:val="007F1991"/>
    <w:rsid w:val="007F2C2F"/>
    <w:rsid w:val="007F55FC"/>
    <w:rsid w:val="007F5665"/>
    <w:rsid w:val="00800112"/>
    <w:rsid w:val="00813348"/>
    <w:rsid w:val="008253BB"/>
    <w:rsid w:val="00830F53"/>
    <w:rsid w:val="0083429A"/>
    <w:rsid w:val="0083706E"/>
    <w:rsid w:val="008408F6"/>
    <w:rsid w:val="008423A5"/>
    <w:rsid w:val="00850625"/>
    <w:rsid w:val="00853718"/>
    <w:rsid w:val="00855221"/>
    <w:rsid w:val="008577C9"/>
    <w:rsid w:val="00860645"/>
    <w:rsid w:val="00871F71"/>
    <w:rsid w:val="00872FD8"/>
    <w:rsid w:val="00885AF4"/>
    <w:rsid w:val="00892977"/>
    <w:rsid w:val="008939CD"/>
    <w:rsid w:val="008B768C"/>
    <w:rsid w:val="008C4DB1"/>
    <w:rsid w:val="008C4EAF"/>
    <w:rsid w:val="008C5176"/>
    <w:rsid w:val="008C76F0"/>
    <w:rsid w:val="008C7FD0"/>
    <w:rsid w:val="008D06C8"/>
    <w:rsid w:val="008D621A"/>
    <w:rsid w:val="008D6268"/>
    <w:rsid w:val="008E1DE7"/>
    <w:rsid w:val="008E707C"/>
    <w:rsid w:val="008F55F2"/>
    <w:rsid w:val="008F5E6B"/>
    <w:rsid w:val="00900B08"/>
    <w:rsid w:val="00902155"/>
    <w:rsid w:val="00902FA3"/>
    <w:rsid w:val="00923564"/>
    <w:rsid w:val="0092392E"/>
    <w:rsid w:val="009315F9"/>
    <w:rsid w:val="00933499"/>
    <w:rsid w:val="009334D8"/>
    <w:rsid w:val="00935C98"/>
    <w:rsid w:val="00942A81"/>
    <w:rsid w:val="00943D1B"/>
    <w:rsid w:val="00946945"/>
    <w:rsid w:val="00951248"/>
    <w:rsid w:val="0095152F"/>
    <w:rsid w:val="00954C49"/>
    <w:rsid w:val="00955E37"/>
    <w:rsid w:val="00962656"/>
    <w:rsid w:val="0097028E"/>
    <w:rsid w:val="0097099F"/>
    <w:rsid w:val="00971997"/>
    <w:rsid w:val="00971FFC"/>
    <w:rsid w:val="0098660A"/>
    <w:rsid w:val="009931C3"/>
    <w:rsid w:val="009B2C43"/>
    <w:rsid w:val="009B4EAE"/>
    <w:rsid w:val="009B7573"/>
    <w:rsid w:val="009C22F4"/>
    <w:rsid w:val="009C2A4B"/>
    <w:rsid w:val="009C2E98"/>
    <w:rsid w:val="009D19BB"/>
    <w:rsid w:val="009D3447"/>
    <w:rsid w:val="009D35FE"/>
    <w:rsid w:val="009D4711"/>
    <w:rsid w:val="009E2FC0"/>
    <w:rsid w:val="009F1185"/>
    <w:rsid w:val="009F18CD"/>
    <w:rsid w:val="009F2A13"/>
    <w:rsid w:val="009F7527"/>
    <w:rsid w:val="00A04EB0"/>
    <w:rsid w:val="00A10BCD"/>
    <w:rsid w:val="00A13CC1"/>
    <w:rsid w:val="00A16847"/>
    <w:rsid w:val="00A237D8"/>
    <w:rsid w:val="00A268C4"/>
    <w:rsid w:val="00A307CD"/>
    <w:rsid w:val="00A331C8"/>
    <w:rsid w:val="00A40086"/>
    <w:rsid w:val="00A40A00"/>
    <w:rsid w:val="00A4142F"/>
    <w:rsid w:val="00A422EB"/>
    <w:rsid w:val="00A447E3"/>
    <w:rsid w:val="00A45BB7"/>
    <w:rsid w:val="00A56DF2"/>
    <w:rsid w:val="00A56E6E"/>
    <w:rsid w:val="00A67AB5"/>
    <w:rsid w:val="00A733B2"/>
    <w:rsid w:val="00A741C2"/>
    <w:rsid w:val="00A77F0A"/>
    <w:rsid w:val="00A85DB4"/>
    <w:rsid w:val="00A91760"/>
    <w:rsid w:val="00A93B00"/>
    <w:rsid w:val="00A93C21"/>
    <w:rsid w:val="00AA6E90"/>
    <w:rsid w:val="00AB3C20"/>
    <w:rsid w:val="00AB64C9"/>
    <w:rsid w:val="00AC3C6A"/>
    <w:rsid w:val="00AD5620"/>
    <w:rsid w:val="00AD656B"/>
    <w:rsid w:val="00AD7C1B"/>
    <w:rsid w:val="00AE16BA"/>
    <w:rsid w:val="00AE1EBE"/>
    <w:rsid w:val="00B011E4"/>
    <w:rsid w:val="00B03C9D"/>
    <w:rsid w:val="00B060AE"/>
    <w:rsid w:val="00B10517"/>
    <w:rsid w:val="00B14E76"/>
    <w:rsid w:val="00B161B8"/>
    <w:rsid w:val="00B16956"/>
    <w:rsid w:val="00B2048C"/>
    <w:rsid w:val="00B2490E"/>
    <w:rsid w:val="00B310B9"/>
    <w:rsid w:val="00B35F3F"/>
    <w:rsid w:val="00B36CBB"/>
    <w:rsid w:val="00B425E0"/>
    <w:rsid w:val="00B440AA"/>
    <w:rsid w:val="00B44B70"/>
    <w:rsid w:val="00B53C56"/>
    <w:rsid w:val="00B57DAF"/>
    <w:rsid w:val="00B76CDA"/>
    <w:rsid w:val="00B77EA6"/>
    <w:rsid w:val="00B81598"/>
    <w:rsid w:val="00B841F1"/>
    <w:rsid w:val="00B90E4E"/>
    <w:rsid w:val="00B944D6"/>
    <w:rsid w:val="00B965DC"/>
    <w:rsid w:val="00BB2A20"/>
    <w:rsid w:val="00BB4DF0"/>
    <w:rsid w:val="00BC2148"/>
    <w:rsid w:val="00BC289F"/>
    <w:rsid w:val="00BC2D50"/>
    <w:rsid w:val="00BC5361"/>
    <w:rsid w:val="00BC5460"/>
    <w:rsid w:val="00BC6B50"/>
    <w:rsid w:val="00BD0E25"/>
    <w:rsid w:val="00BF5BD6"/>
    <w:rsid w:val="00BF5D07"/>
    <w:rsid w:val="00C03E31"/>
    <w:rsid w:val="00C33E72"/>
    <w:rsid w:val="00C354B2"/>
    <w:rsid w:val="00C35554"/>
    <w:rsid w:val="00C42709"/>
    <w:rsid w:val="00C51EBB"/>
    <w:rsid w:val="00C533CC"/>
    <w:rsid w:val="00C5751C"/>
    <w:rsid w:val="00C61BFC"/>
    <w:rsid w:val="00C62B85"/>
    <w:rsid w:val="00C65438"/>
    <w:rsid w:val="00C84F29"/>
    <w:rsid w:val="00C87FD8"/>
    <w:rsid w:val="00C91381"/>
    <w:rsid w:val="00C91CBB"/>
    <w:rsid w:val="00C97AFC"/>
    <w:rsid w:val="00CA05ED"/>
    <w:rsid w:val="00CA2714"/>
    <w:rsid w:val="00CB2651"/>
    <w:rsid w:val="00CB4E70"/>
    <w:rsid w:val="00CC09B6"/>
    <w:rsid w:val="00CC404E"/>
    <w:rsid w:val="00CC666F"/>
    <w:rsid w:val="00CD1E3F"/>
    <w:rsid w:val="00CE44F6"/>
    <w:rsid w:val="00CE49A7"/>
    <w:rsid w:val="00CE49DA"/>
    <w:rsid w:val="00CE7B61"/>
    <w:rsid w:val="00D00095"/>
    <w:rsid w:val="00D02C7A"/>
    <w:rsid w:val="00D07853"/>
    <w:rsid w:val="00D114F0"/>
    <w:rsid w:val="00D14416"/>
    <w:rsid w:val="00D20620"/>
    <w:rsid w:val="00D248C6"/>
    <w:rsid w:val="00D254F7"/>
    <w:rsid w:val="00D26091"/>
    <w:rsid w:val="00D2685C"/>
    <w:rsid w:val="00D27E24"/>
    <w:rsid w:val="00D33771"/>
    <w:rsid w:val="00D34E7C"/>
    <w:rsid w:val="00D35489"/>
    <w:rsid w:val="00D36AFE"/>
    <w:rsid w:val="00D467C8"/>
    <w:rsid w:val="00D51276"/>
    <w:rsid w:val="00D52682"/>
    <w:rsid w:val="00D7035F"/>
    <w:rsid w:val="00DA4958"/>
    <w:rsid w:val="00DA634F"/>
    <w:rsid w:val="00DA65AC"/>
    <w:rsid w:val="00DB1913"/>
    <w:rsid w:val="00DC410D"/>
    <w:rsid w:val="00DC5571"/>
    <w:rsid w:val="00DC5A81"/>
    <w:rsid w:val="00DC68CA"/>
    <w:rsid w:val="00DC74B0"/>
    <w:rsid w:val="00DC7CBA"/>
    <w:rsid w:val="00DD5561"/>
    <w:rsid w:val="00DD73B7"/>
    <w:rsid w:val="00DE7696"/>
    <w:rsid w:val="00DF28BC"/>
    <w:rsid w:val="00DF34B9"/>
    <w:rsid w:val="00E01053"/>
    <w:rsid w:val="00E03927"/>
    <w:rsid w:val="00E0768B"/>
    <w:rsid w:val="00E07ACF"/>
    <w:rsid w:val="00E17C19"/>
    <w:rsid w:val="00E32CAD"/>
    <w:rsid w:val="00E331A1"/>
    <w:rsid w:val="00E33202"/>
    <w:rsid w:val="00E336A9"/>
    <w:rsid w:val="00E472B1"/>
    <w:rsid w:val="00E50624"/>
    <w:rsid w:val="00E54E37"/>
    <w:rsid w:val="00E568DF"/>
    <w:rsid w:val="00E64269"/>
    <w:rsid w:val="00E70975"/>
    <w:rsid w:val="00E82267"/>
    <w:rsid w:val="00E853CE"/>
    <w:rsid w:val="00E867B6"/>
    <w:rsid w:val="00E922CE"/>
    <w:rsid w:val="00E936CF"/>
    <w:rsid w:val="00EA010F"/>
    <w:rsid w:val="00EC667C"/>
    <w:rsid w:val="00EC79E3"/>
    <w:rsid w:val="00ED1B63"/>
    <w:rsid w:val="00ED3C1F"/>
    <w:rsid w:val="00ED4085"/>
    <w:rsid w:val="00ED420E"/>
    <w:rsid w:val="00ED6FBE"/>
    <w:rsid w:val="00EE2F57"/>
    <w:rsid w:val="00EF4C34"/>
    <w:rsid w:val="00EF60EF"/>
    <w:rsid w:val="00EF77C6"/>
    <w:rsid w:val="00F05438"/>
    <w:rsid w:val="00F1361C"/>
    <w:rsid w:val="00F140CD"/>
    <w:rsid w:val="00F15314"/>
    <w:rsid w:val="00F156F0"/>
    <w:rsid w:val="00F15951"/>
    <w:rsid w:val="00F160C7"/>
    <w:rsid w:val="00F17CC0"/>
    <w:rsid w:val="00F2408F"/>
    <w:rsid w:val="00F240E9"/>
    <w:rsid w:val="00F36D8F"/>
    <w:rsid w:val="00F37480"/>
    <w:rsid w:val="00F417B1"/>
    <w:rsid w:val="00F43427"/>
    <w:rsid w:val="00F45853"/>
    <w:rsid w:val="00F50C14"/>
    <w:rsid w:val="00F55DF3"/>
    <w:rsid w:val="00F602DF"/>
    <w:rsid w:val="00F67211"/>
    <w:rsid w:val="00F74267"/>
    <w:rsid w:val="00F75116"/>
    <w:rsid w:val="00F754A1"/>
    <w:rsid w:val="00F81FD9"/>
    <w:rsid w:val="00F841AA"/>
    <w:rsid w:val="00F84A94"/>
    <w:rsid w:val="00F87E96"/>
    <w:rsid w:val="00FA23E8"/>
    <w:rsid w:val="00FA5D56"/>
    <w:rsid w:val="00FD3CC1"/>
    <w:rsid w:val="00FF1E02"/>
    <w:rsid w:val="00FF30B4"/>
    <w:rsid w:val="00FF6EC9"/>
    <w:rsid w:val="0A2032A3"/>
    <w:rsid w:val="10C055FF"/>
    <w:rsid w:val="118107EC"/>
    <w:rsid w:val="16BB723D"/>
    <w:rsid w:val="1D155CEE"/>
    <w:rsid w:val="240371BF"/>
    <w:rsid w:val="29FD04D3"/>
    <w:rsid w:val="319F7F4E"/>
    <w:rsid w:val="4ECE2238"/>
    <w:rsid w:val="6C4A05C8"/>
    <w:rsid w:val="72734D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qFormat="1"/>
    <w:lsdException w:name="Body Text" w:semiHidden="0" w:unhideWhenUsed="0" w:qFormat="1"/>
    <w:lsdException w:name="Subtitle" w:semiHidden="0" w:uiPriority="11" w:unhideWhenUsed="0" w:qFormat="1"/>
    <w:lsdException w:name="Hyperlink" w:semiHidden="0" w:qFormat="1"/>
    <w:lsdException w:name="Strong" w:semiHidden="0"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0EF"/>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EF60EF"/>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EF60EF"/>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rsid w:val="00EF60E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locked/>
    <w:rsid w:val="00EF60EF"/>
    <w:rPr>
      <w:rFonts w:ascii="Times New Roman" w:hAnsi="Times New Roman" w:cs="Times New Roman"/>
      <w:b/>
      <w:bCs/>
      <w:kern w:val="44"/>
      <w:sz w:val="44"/>
      <w:szCs w:val="44"/>
    </w:rPr>
  </w:style>
  <w:style w:type="character" w:customStyle="1" w:styleId="2Char">
    <w:name w:val="标题 2 Char"/>
    <w:basedOn w:val="a0"/>
    <w:link w:val="2"/>
    <w:uiPriority w:val="9"/>
    <w:qFormat/>
    <w:locked/>
    <w:rsid w:val="00EF60EF"/>
    <w:rPr>
      <w:rFonts w:ascii="Cambria" w:eastAsia="宋体" w:hAnsi="Cambria" w:cs="Times New Roman"/>
      <w:b/>
      <w:bCs/>
      <w:kern w:val="2"/>
      <w:sz w:val="32"/>
      <w:szCs w:val="32"/>
    </w:rPr>
  </w:style>
  <w:style w:type="character" w:customStyle="1" w:styleId="3Char">
    <w:name w:val="标题 3 Char"/>
    <w:basedOn w:val="a0"/>
    <w:link w:val="3"/>
    <w:uiPriority w:val="9"/>
    <w:qFormat/>
    <w:locked/>
    <w:rsid w:val="00EF60EF"/>
    <w:rPr>
      <w:rFonts w:ascii="Times New Roman" w:hAnsi="Times New Roman" w:cs="Times New Roman"/>
      <w:b/>
      <w:bCs/>
      <w:kern w:val="2"/>
      <w:sz w:val="32"/>
      <w:szCs w:val="32"/>
    </w:rPr>
  </w:style>
  <w:style w:type="paragraph" w:styleId="a3">
    <w:name w:val="Body Text"/>
    <w:basedOn w:val="a"/>
    <w:link w:val="Char"/>
    <w:uiPriority w:val="99"/>
    <w:qFormat/>
    <w:rsid w:val="00EF60EF"/>
    <w:pPr>
      <w:spacing w:beforeLines="30"/>
    </w:pPr>
    <w:rPr>
      <w:rFonts w:ascii="仿宋_GB2312" w:eastAsia="仿宋_GB2312"/>
      <w:kern w:val="0"/>
      <w:sz w:val="24"/>
      <w:szCs w:val="20"/>
      <w:lang w:val="x-none" w:eastAsia="x-none"/>
    </w:rPr>
  </w:style>
  <w:style w:type="character" w:customStyle="1" w:styleId="BodyTextChar">
    <w:name w:val="Body Text Char"/>
    <w:basedOn w:val="a0"/>
    <w:uiPriority w:val="99"/>
    <w:semiHidden/>
    <w:qFormat/>
    <w:rsid w:val="00EF60EF"/>
    <w:rPr>
      <w:rFonts w:ascii="Times New Roman" w:hAnsi="Times New Roman" w:cs="Times New Roman"/>
      <w:sz w:val="24"/>
      <w:szCs w:val="24"/>
    </w:rPr>
  </w:style>
  <w:style w:type="paragraph" w:styleId="30">
    <w:name w:val="toc 3"/>
    <w:basedOn w:val="a"/>
    <w:next w:val="a"/>
    <w:uiPriority w:val="39"/>
    <w:unhideWhenUsed/>
    <w:qFormat/>
    <w:rsid w:val="00EF60EF"/>
    <w:pPr>
      <w:ind w:left="420"/>
      <w:jc w:val="left"/>
    </w:pPr>
    <w:rPr>
      <w:rFonts w:asciiTheme="minorHAnsi" w:eastAsiaTheme="minorHAnsi"/>
      <w:i/>
      <w:iCs/>
      <w:sz w:val="20"/>
      <w:szCs w:val="20"/>
    </w:rPr>
  </w:style>
  <w:style w:type="paragraph" w:styleId="a4">
    <w:name w:val="Balloon Text"/>
    <w:basedOn w:val="a"/>
    <w:link w:val="Char0"/>
    <w:uiPriority w:val="99"/>
    <w:semiHidden/>
    <w:unhideWhenUsed/>
    <w:qFormat/>
    <w:rsid w:val="00EF60EF"/>
    <w:rPr>
      <w:sz w:val="18"/>
      <w:szCs w:val="18"/>
    </w:rPr>
  </w:style>
  <w:style w:type="character" w:customStyle="1" w:styleId="Char0">
    <w:name w:val="批注框文本 Char"/>
    <w:basedOn w:val="a0"/>
    <w:link w:val="a4"/>
    <w:uiPriority w:val="99"/>
    <w:semiHidden/>
    <w:qFormat/>
    <w:locked/>
    <w:rsid w:val="00EF60EF"/>
    <w:rPr>
      <w:rFonts w:ascii="Times New Roman" w:hAnsi="Times New Roman" w:cs="Times New Roman"/>
      <w:kern w:val="2"/>
      <w:sz w:val="18"/>
      <w:szCs w:val="18"/>
    </w:rPr>
  </w:style>
  <w:style w:type="paragraph" w:styleId="a5">
    <w:name w:val="footer"/>
    <w:basedOn w:val="a"/>
    <w:link w:val="Char1"/>
    <w:uiPriority w:val="99"/>
    <w:qFormat/>
    <w:rsid w:val="00EF60EF"/>
    <w:pPr>
      <w:tabs>
        <w:tab w:val="center" w:pos="4153"/>
        <w:tab w:val="right" w:pos="8306"/>
      </w:tabs>
      <w:snapToGrid w:val="0"/>
      <w:jc w:val="left"/>
    </w:pPr>
    <w:rPr>
      <w:rFonts w:ascii="Calibri" w:hAnsi="Calibri"/>
      <w:kern w:val="0"/>
      <w:sz w:val="18"/>
      <w:szCs w:val="20"/>
      <w:lang w:val="x-none" w:eastAsia="x-none"/>
    </w:rPr>
  </w:style>
  <w:style w:type="character" w:customStyle="1" w:styleId="FooterChar">
    <w:name w:val="Footer Char"/>
    <w:basedOn w:val="a0"/>
    <w:uiPriority w:val="99"/>
    <w:semiHidden/>
    <w:qFormat/>
    <w:rsid w:val="00EF60EF"/>
    <w:rPr>
      <w:rFonts w:ascii="Times New Roman" w:hAnsi="Times New Roman" w:cs="Times New Roman"/>
      <w:sz w:val="18"/>
      <w:szCs w:val="18"/>
    </w:rPr>
  </w:style>
  <w:style w:type="paragraph" w:styleId="a6">
    <w:name w:val="header"/>
    <w:basedOn w:val="a"/>
    <w:link w:val="Char2"/>
    <w:uiPriority w:val="99"/>
    <w:semiHidden/>
    <w:qFormat/>
    <w:rsid w:val="00EF60EF"/>
    <w:pPr>
      <w:pBdr>
        <w:bottom w:val="single" w:sz="6" w:space="1" w:color="auto"/>
      </w:pBdr>
      <w:tabs>
        <w:tab w:val="center" w:pos="4153"/>
        <w:tab w:val="right" w:pos="8306"/>
      </w:tabs>
      <w:snapToGrid w:val="0"/>
      <w:jc w:val="center"/>
    </w:pPr>
    <w:rPr>
      <w:rFonts w:ascii="Calibri" w:hAnsi="Calibri"/>
      <w:kern w:val="0"/>
      <w:sz w:val="18"/>
      <w:szCs w:val="20"/>
      <w:lang w:val="x-none" w:eastAsia="x-none"/>
    </w:rPr>
  </w:style>
  <w:style w:type="character" w:customStyle="1" w:styleId="HeaderChar">
    <w:name w:val="Header Char"/>
    <w:basedOn w:val="a0"/>
    <w:uiPriority w:val="99"/>
    <w:semiHidden/>
    <w:qFormat/>
    <w:rsid w:val="00EF60EF"/>
    <w:rPr>
      <w:rFonts w:ascii="Times New Roman" w:hAnsi="Times New Roman" w:cs="Times New Roman"/>
      <w:sz w:val="18"/>
      <w:szCs w:val="18"/>
    </w:rPr>
  </w:style>
  <w:style w:type="paragraph" w:styleId="10">
    <w:name w:val="toc 1"/>
    <w:basedOn w:val="a"/>
    <w:next w:val="a"/>
    <w:uiPriority w:val="39"/>
    <w:unhideWhenUsed/>
    <w:qFormat/>
    <w:rsid w:val="00EF60EF"/>
    <w:pPr>
      <w:spacing w:before="120" w:after="120"/>
      <w:jc w:val="left"/>
    </w:pPr>
    <w:rPr>
      <w:rFonts w:asciiTheme="minorHAnsi" w:eastAsiaTheme="minorHAnsi"/>
      <w:b/>
      <w:bCs/>
      <w:caps/>
      <w:sz w:val="20"/>
      <w:szCs w:val="20"/>
    </w:rPr>
  </w:style>
  <w:style w:type="paragraph" w:styleId="20">
    <w:name w:val="toc 2"/>
    <w:basedOn w:val="a"/>
    <w:next w:val="a"/>
    <w:uiPriority w:val="39"/>
    <w:unhideWhenUsed/>
    <w:qFormat/>
    <w:rsid w:val="00EF60EF"/>
    <w:pPr>
      <w:ind w:left="210"/>
      <w:jc w:val="left"/>
    </w:pPr>
    <w:rPr>
      <w:rFonts w:asciiTheme="minorHAnsi" w:eastAsiaTheme="minorHAnsi"/>
      <w:smallCaps/>
      <w:sz w:val="20"/>
      <w:szCs w:val="20"/>
    </w:rPr>
  </w:style>
  <w:style w:type="character" w:styleId="a7">
    <w:name w:val="Strong"/>
    <w:basedOn w:val="a0"/>
    <w:uiPriority w:val="99"/>
    <w:qFormat/>
    <w:rsid w:val="00EF60EF"/>
    <w:rPr>
      <w:rFonts w:cs="Times New Roman"/>
      <w:b/>
    </w:rPr>
  </w:style>
  <w:style w:type="character" w:styleId="a8">
    <w:name w:val="Hyperlink"/>
    <w:basedOn w:val="a0"/>
    <w:uiPriority w:val="99"/>
    <w:unhideWhenUsed/>
    <w:qFormat/>
    <w:rsid w:val="00EF60EF"/>
    <w:rPr>
      <w:rFonts w:cs="Times New Roman"/>
      <w:color w:val="0000FF"/>
      <w:u w:val="single"/>
    </w:rPr>
  </w:style>
  <w:style w:type="character" w:customStyle="1" w:styleId="Char2">
    <w:name w:val="页眉 Char"/>
    <w:link w:val="a6"/>
    <w:uiPriority w:val="99"/>
    <w:semiHidden/>
    <w:qFormat/>
    <w:locked/>
    <w:rsid w:val="00EF60EF"/>
    <w:rPr>
      <w:sz w:val="18"/>
    </w:rPr>
  </w:style>
  <w:style w:type="character" w:customStyle="1" w:styleId="Char1">
    <w:name w:val="页脚 Char"/>
    <w:link w:val="a5"/>
    <w:uiPriority w:val="99"/>
    <w:qFormat/>
    <w:locked/>
    <w:rsid w:val="00EF60EF"/>
    <w:rPr>
      <w:sz w:val="18"/>
    </w:rPr>
  </w:style>
  <w:style w:type="character" w:customStyle="1" w:styleId="Char">
    <w:name w:val="正文文本 Char"/>
    <w:link w:val="a3"/>
    <w:uiPriority w:val="99"/>
    <w:qFormat/>
    <w:locked/>
    <w:rsid w:val="00EF60EF"/>
    <w:rPr>
      <w:rFonts w:ascii="仿宋_GB2312" w:eastAsia="仿宋_GB2312" w:hAnsi="Times New Roman"/>
      <w:sz w:val="24"/>
    </w:rPr>
  </w:style>
  <w:style w:type="paragraph" w:customStyle="1" w:styleId="Default">
    <w:name w:val="Default"/>
    <w:uiPriority w:val="99"/>
    <w:qFormat/>
    <w:rsid w:val="00EF60EF"/>
    <w:pPr>
      <w:widowControl w:val="0"/>
      <w:autoSpaceDE w:val="0"/>
      <w:autoSpaceDN w:val="0"/>
      <w:adjustRightInd w:val="0"/>
    </w:pPr>
    <w:rPr>
      <w:rFonts w:ascii="仿宋" w:eastAsia="仿宋" w:cs="仿宋"/>
      <w:color w:val="000000"/>
      <w:sz w:val="24"/>
      <w:szCs w:val="24"/>
    </w:rPr>
  </w:style>
  <w:style w:type="paragraph" w:customStyle="1" w:styleId="11">
    <w:name w:val="列表段落1"/>
    <w:basedOn w:val="a"/>
    <w:uiPriority w:val="34"/>
    <w:qFormat/>
    <w:rsid w:val="00EF60EF"/>
    <w:pPr>
      <w:ind w:firstLineChars="200" w:firstLine="420"/>
    </w:pPr>
  </w:style>
  <w:style w:type="paragraph" w:customStyle="1" w:styleId="TOC1">
    <w:name w:val="TOC 标题1"/>
    <w:basedOn w:val="1"/>
    <w:next w:val="a"/>
    <w:uiPriority w:val="39"/>
    <w:unhideWhenUsed/>
    <w:qFormat/>
    <w:rsid w:val="00EF60EF"/>
    <w:pPr>
      <w:widowControl/>
      <w:spacing w:before="480" w:after="0" w:line="276" w:lineRule="auto"/>
      <w:jc w:val="left"/>
      <w:outlineLvl w:val="9"/>
    </w:pPr>
    <w:rPr>
      <w:rFonts w:ascii="Cambria" w:hAnsi="Cambria"/>
      <w:color w:val="365F91"/>
      <w:kern w:val="0"/>
      <w:sz w:val="28"/>
      <w:szCs w:val="28"/>
    </w:rPr>
  </w:style>
  <w:style w:type="paragraph" w:customStyle="1" w:styleId="TOCHeading1">
    <w:name w:val="TOC Heading1"/>
    <w:basedOn w:val="1"/>
    <w:next w:val="a"/>
    <w:uiPriority w:val="39"/>
    <w:unhideWhenUsed/>
    <w:qFormat/>
    <w:rsid w:val="00EF60EF"/>
    <w:pPr>
      <w:widowControl/>
      <w:spacing w:before="480" w:after="0" w:line="276" w:lineRule="auto"/>
      <w:jc w:val="left"/>
      <w:outlineLvl w:val="9"/>
    </w:pPr>
    <w:rPr>
      <w:rFonts w:ascii="Cambria" w:hAnsi="Cambria"/>
      <w:color w:val="365F91"/>
      <w:kern w:val="0"/>
      <w:sz w:val="28"/>
      <w:szCs w:val="28"/>
    </w:rPr>
  </w:style>
  <w:style w:type="paragraph" w:styleId="4">
    <w:name w:val="toc 4"/>
    <w:basedOn w:val="a"/>
    <w:next w:val="a"/>
    <w:autoRedefine/>
    <w:uiPriority w:val="39"/>
    <w:unhideWhenUsed/>
    <w:rsid w:val="003E6FE4"/>
    <w:pPr>
      <w:ind w:left="630"/>
      <w:jc w:val="left"/>
    </w:pPr>
    <w:rPr>
      <w:rFonts w:asciiTheme="minorHAnsi" w:eastAsiaTheme="minorHAnsi"/>
      <w:sz w:val="18"/>
      <w:szCs w:val="18"/>
    </w:rPr>
  </w:style>
  <w:style w:type="paragraph" w:styleId="5">
    <w:name w:val="toc 5"/>
    <w:basedOn w:val="a"/>
    <w:next w:val="a"/>
    <w:autoRedefine/>
    <w:uiPriority w:val="39"/>
    <w:unhideWhenUsed/>
    <w:rsid w:val="003E6FE4"/>
    <w:pPr>
      <w:ind w:left="840"/>
      <w:jc w:val="left"/>
    </w:pPr>
    <w:rPr>
      <w:rFonts w:asciiTheme="minorHAnsi" w:eastAsiaTheme="minorHAnsi"/>
      <w:sz w:val="18"/>
      <w:szCs w:val="18"/>
    </w:rPr>
  </w:style>
  <w:style w:type="paragraph" w:styleId="6">
    <w:name w:val="toc 6"/>
    <w:basedOn w:val="a"/>
    <w:next w:val="a"/>
    <w:autoRedefine/>
    <w:uiPriority w:val="39"/>
    <w:unhideWhenUsed/>
    <w:rsid w:val="003E6FE4"/>
    <w:pPr>
      <w:ind w:left="1050"/>
      <w:jc w:val="left"/>
    </w:pPr>
    <w:rPr>
      <w:rFonts w:asciiTheme="minorHAnsi" w:eastAsiaTheme="minorHAnsi"/>
      <w:sz w:val="18"/>
      <w:szCs w:val="18"/>
    </w:rPr>
  </w:style>
  <w:style w:type="paragraph" w:styleId="7">
    <w:name w:val="toc 7"/>
    <w:basedOn w:val="a"/>
    <w:next w:val="a"/>
    <w:autoRedefine/>
    <w:uiPriority w:val="39"/>
    <w:unhideWhenUsed/>
    <w:rsid w:val="003E6FE4"/>
    <w:pPr>
      <w:ind w:left="1260"/>
      <w:jc w:val="left"/>
    </w:pPr>
    <w:rPr>
      <w:rFonts w:asciiTheme="minorHAnsi" w:eastAsiaTheme="minorHAnsi"/>
      <w:sz w:val="18"/>
      <w:szCs w:val="18"/>
    </w:rPr>
  </w:style>
  <w:style w:type="paragraph" w:styleId="8">
    <w:name w:val="toc 8"/>
    <w:basedOn w:val="a"/>
    <w:next w:val="a"/>
    <w:autoRedefine/>
    <w:uiPriority w:val="39"/>
    <w:unhideWhenUsed/>
    <w:rsid w:val="003E6FE4"/>
    <w:pPr>
      <w:ind w:left="1470"/>
      <w:jc w:val="left"/>
    </w:pPr>
    <w:rPr>
      <w:rFonts w:asciiTheme="minorHAnsi" w:eastAsiaTheme="minorHAnsi"/>
      <w:sz w:val="18"/>
      <w:szCs w:val="18"/>
    </w:rPr>
  </w:style>
  <w:style w:type="paragraph" w:styleId="9">
    <w:name w:val="toc 9"/>
    <w:basedOn w:val="a"/>
    <w:next w:val="a"/>
    <w:autoRedefine/>
    <w:uiPriority w:val="39"/>
    <w:unhideWhenUsed/>
    <w:rsid w:val="003E6FE4"/>
    <w:pPr>
      <w:ind w:left="1680"/>
      <w:jc w:val="left"/>
    </w:pPr>
    <w:rPr>
      <w:rFonts w:asciiTheme="minorHAnsi" w:eastAsiaTheme="minorHAnsi"/>
      <w:sz w:val="18"/>
      <w:szCs w:val="18"/>
    </w:rPr>
  </w:style>
  <w:style w:type="paragraph" w:styleId="TOC">
    <w:name w:val="TOC Heading"/>
    <w:basedOn w:val="1"/>
    <w:next w:val="a"/>
    <w:uiPriority w:val="39"/>
    <w:unhideWhenUsed/>
    <w:qFormat/>
    <w:rsid w:val="00E70975"/>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a9">
    <w:name w:val="List Paragraph"/>
    <w:basedOn w:val="a"/>
    <w:uiPriority w:val="34"/>
    <w:qFormat/>
    <w:rsid w:val="008F55F2"/>
    <w:pPr>
      <w:ind w:firstLineChars="200" w:firstLine="420"/>
    </w:pPr>
  </w:style>
  <w:style w:type="paragraph" w:styleId="aa">
    <w:name w:val="Normal (Web)"/>
    <w:basedOn w:val="a"/>
    <w:uiPriority w:val="99"/>
    <w:unhideWhenUsed/>
    <w:qFormat/>
    <w:rsid w:val="008F55F2"/>
    <w:pPr>
      <w:jc w:val="left"/>
    </w:pPr>
    <w:rPr>
      <w:kern w:val="0"/>
      <w:sz w:val="24"/>
      <w:szCs w:val="22"/>
    </w:rPr>
  </w:style>
  <w:style w:type="paragraph" w:styleId="ab">
    <w:name w:val="No Spacing"/>
    <w:uiPriority w:val="1"/>
    <w:qFormat/>
    <w:rsid w:val="008F55F2"/>
    <w:pPr>
      <w:jc w:val="both"/>
      <w:textAlignment w:val="baseline"/>
    </w:pPr>
    <w:rPr>
      <w:rFonts w:ascii="Times New Roman" w:hAnsi="Times New Roman"/>
      <w:color w:val="000000"/>
      <w:sz w:val="21"/>
      <w:u w:color="000000"/>
    </w:rPr>
  </w:style>
  <w:style w:type="paragraph" w:customStyle="1" w:styleId="12">
    <w:name w:val="正文文本1"/>
    <w:basedOn w:val="a"/>
    <w:rsid w:val="00004653"/>
    <w:pPr>
      <w:spacing w:before="93"/>
    </w:pPr>
    <w:rPr>
      <w:rFonts w:ascii="仿宋_GB2312" w:eastAsia="仿宋_GB2312" w:hAnsi="仿宋_GB2312"/>
      <w:kern w:val="0"/>
      <w:sz w:val="30"/>
      <w:szCs w:val="20"/>
    </w:rPr>
  </w:style>
  <w:style w:type="paragraph" w:styleId="ac">
    <w:name w:val="Body Text Indent"/>
    <w:basedOn w:val="a"/>
    <w:link w:val="Char3"/>
    <w:uiPriority w:val="99"/>
    <w:semiHidden/>
    <w:unhideWhenUsed/>
    <w:rsid w:val="00D02C7A"/>
    <w:pPr>
      <w:spacing w:after="120"/>
      <w:ind w:leftChars="200" w:left="420"/>
    </w:pPr>
  </w:style>
  <w:style w:type="character" w:customStyle="1" w:styleId="Char3">
    <w:name w:val="正文文本缩进 Char"/>
    <w:basedOn w:val="a0"/>
    <w:link w:val="ac"/>
    <w:uiPriority w:val="99"/>
    <w:semiHidden/>
    <w:rsid w:val="00D02C7A"/>
    <w:rPr>
      <w:rFonts w:ascii="Times New Roman" w:hAnsi="Times New Roman"/>
      <w:kern w:val="2"/>
      <w:sz w:val="21"/>
      <w:szCs w:val="24"/>
    </w:rPr>
  </w:style>
  <w:style w:type="paragraph" w:styleId="21">
    <w:name w:val="Body Text First Indent 2"/>
    <w:basedOn w:val="ac"/>
    <w:link w:val="2Char0"/>
    <w:uiPriority w:val="99"/>
    <w:semiHidden/>
    <w:unhideWhenUsed/>
    <w:rsid w:val="00D02C7A"/>
    <w:pPr>
      <w:ind w:firstLineChars="200" w:firstLine="420"/>
    </w:pPr>
  </w:style>
  <w:style w:type="character" w:customStyle="1" w:styleId="2Char0">
    <w:name w:val="正文首行缩进 2 Char"/>
    <w:basedOn w:val="Char3"/>
    <w:link w:val="21"/>
    <w:uiPriority w:val="99"/>
    <w:semiHidden/>
    <w:rsid w:val="00D02C7A"/>
    <w:rPr>
      <w:rFonts w:ascii="Times New Roman" w:hAnsi="Times New Roman"/>
      <w:kern w:val="2"/>
      <w:sz w:val="21"/>
      <w:szCs w:val="24"/>
    </w:rPr>
  </w:style>
  <w:style w:type="paragraph" w:styleId="ad">
    <w:name w:val="footnote text"/>
    <w:basedOn w:val="a"/>
    <w:next w:val="21"/>
    <w:link w:val="Char4"/>
    <w:semiHidden/>
    <w:qFormat/>
    <w:rsid w:val="006B65A1"/>
    <w:pPr>
      <w:suppressAutoHyphens/>
      <w:snapToGrid w:val="0"/>
      <w:jc w:val="left"/>
    </w:pPr>
    <w:rPr>
      <w:rFonts w:ascii="Calibri" w:hAnsi="Calibri"/>
      <w:sz w:val="18"/>
      <w:szCs w:val="18"/>
    </w:rPr>
  </w:style>
  <w:style w:type="character" w:customStyle="1" w:styleId="Char4">
    <w:name w:val="脚注文本 Char"/>
    <w:basedOn w:val="a0"/>
    <w:link w:val="ad"/>
    <w:semiHidden/>
    <w:rsid w:val="006B65A1"/>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qFormat="1"/>
    <w:lsdException w:name="Body Text" w:semiHidden="0" w:unhideWhenUsed="0" w:qFormat="1"/>
    <w:lsdException w:name="Subtitle" w:semiHidden="0" w:uiPriority="11" w:unhideWhenUsed="0" w:qFormat="1"/>
    <w:lsdException w:name="Hyperlink" w:semiHidden="0" w:qFormat="1"/>
    <w:lsdException w:name="Strong" w:semiHidden="0"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0EF"/>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EF60EF"/>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EF60EF"/>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rsid w:val="00EF60E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locked/>
    <w:rsid w:val="00EF60EF"/>
    <w:rPr>
      <w:rFonts w:ascii="Times New Roman" w:hAnsi="Times New Roman" w:cs="Times New Roman"/>
      <w:b/>
      <w:bCs/>
      <w:kern w:val="44"/>
      <w:sz w:val="44"/>
      <w:szCs w:val="44"/>
    </w:rPr>
  </w:style>
  <w:style w:type="character" w:customStyle="1" w:styleId="2Char">
    <w:name w:val="标题 2 Char"/>
    <w:basedOn w:val="a0"/>
    <w:link w:val="2"/>
    <w:uiPriority w:val="9"/>
    <w:qFormat/>
    <w:locked/>
    <w:rsid w:val="00EF60EF"/>
    <w:rPr>
      <w:rFonts w:ascii="Cambria" w:eastAsia="宋体" w:hAnsi="Cambria" w:cs="Times New Roman"/>
      <w:b/>
      <w:bCs/>
      <w:kern w:val="2"/>
      <w:sz w:val="32"/>
      <w:szCs w:val="32"/>
    </w:rPr>
  </w:style>
  <w:style w:type="character" w:customStyle="1" w:styleId="3Char">
    <w:name w:val="标题 3 Char"/>
    <w:basedOn w:val="a0"/>
    <w:link w:val="3"/>
    <w:uiPriority w:val="9"/>
    <w:qFormat/>
    <w:locked/>
    <w:rsid w:val="00EF60EF"/>
    <w:rPr>
      <w:rFonts w:ascii="Times New Roman" w:hAnsi="Times New Roman" w:cs="Times New Roman"/>
      <w:b/>
      <w:bCs/>
      <w:kern w:val="2"/>
      <w:sz w:val="32"/>
      <w:szCs w:val="32"/>
    </w:rPr>
  </w:style>
  <w:style w:type="paragraph" w:styleId="a3">
    <w:name w:val="Body Text"/>
    <w:basedOn w:val="a"/>
    <w:link w:val="Char"/>
    <w:uiPriority w:val="99"/>
    <w:qFormat/>
    <w:rsid w:val="00EF60EF"/>
    <w:pPr>
      <w:spacing w:beforeLines="30"/>
    </w:pPr>
    <w:rPr>
      <w:rFonts w:ascii="仿宋_GB2312" w:eastAsia="仿宋_GB2312"/>
      <w:kern w:val="0"/>
      <w:sz w:val="24"/>
      <w:szCs w:val="20"/>
      <w:lang w:val="x-none" w:eastAsia="x-none"/>
    </w:rPr>
  </w:style>
  <w:style w:type="character" w:customStyle="1" w:styleId="BodyTextChar">
    <w:name w:val="Body Text Char"/>
    <w:basedOn w:val="a0"/>
    <w:uiPriority w:val="99"/>
    <w:semiHidden/>
    <w:qFormat/>
    <w:rsid w:val="00EF60EF"/>
    <w:rPr>
      <w:rFonts w:ascii="Times New Roman" w:hAnsi="Times New Roman" w:cs="Times New Roman"/>
      <w:sz w:val="24"/>
      <w:szCs w:val="24"/>
    </w:rPr>
  </w:style>
  <w:style w:type="paragraph" w:styleId="30">
    <w:name w:val="toc 3"/>
    <w:basedOn w:val="a"/>
    <w:next w:val="a"/>
    <w:uiPriority w:val="39"/>
    <w:unhideWhenUsed/>
    <w:qFormat/>
    <w:rsid w:val="00EF60EF"/>
    <w:pPr>
      <w:ind w:left="420"/>
      <w:jc w:val="left"/>
    </w:pPr>
    <w:rPr>
      <w:rFonts w:asciiTheme="minorHAnsi" w:eastAsiaTheme="minorHAnsi"/>
      <w:i/>
      <w:iCs/>
      <w:sz w:val="20"/>
      <w:szCs w:val="20"/>
    </w:rPr>
  </w:style>
  <w:style w:type="paragraph" w:styleId="a4">
    <w:name w:val="Balloon Text"/>
    <w:basedOn w:val="a"/>
    <w:link w:val="Char0"/>
    <w:uiPriority w:val="99"/>
    <w:semiHidden/>
    <w:unhideWhenUsed/>
    <w:qFormat/>
    <w:rsid w:val="00EF60EF"/>
    <w:rPr>
      <w:sz w:val="18"/>
      <w:szCs w:val="18"/>
    </w:rPr>
  </w:style>
  <w:style w:type="character" w:customStyle="1" w:styleId="Char0">
    <w:name w:val="批注框文本 Char"/>
    <w:basedOn w:val="a0"/>
    <w:link w:val="a4"/>
    <w:uiPriority w:val="99"/>
    <w:semiHidden/>
    <w:qFormat/>
    <w:locked/>
    <w:rsid w:val="00EF60EF"/>
    <w:rPr>
      <w:rFonts w:ascii="Times New Roman" w:hAnsi="Times New Roman" w:cs="Times New Roman"/>
      <w:kern w:val="2"/>
      <w:sz w:val="18"/>
      <w:szCs w:val="18"/>
    </w:rPr>
  </w:style>
  <w:style w:type="paragraph" w:styleId="a5">
    <w:name w:val="footer"/>
    <w:basedOn w:val="a"/>
    <w:link w:val="Char1"/>
    <w:uiPriority w:val="99"/>
    <w:qFormat/>
    <w:rsid w:val="00EF60EF"/>
    <w:pPr>
      <w:tabs>
        <w:tab w:val="center" w:pos="4153"/>
        <w:tab w:val="right" w:pos="8306"/>
      </w:tabs>
      <w:snapToGrid w:val="0"/>
      <w:jc w:val="left"/>
    </w:pPr>
    <w:rPr>
      <w:rFonts w:ascii="Calibri" w:hAnsi="Calibri"/>
      <w:kern w:val="0"/>
      <w:sz w:val="18"/>
      <w:szCs w:val="20"/>
      <w:lang w:val="x-none" w:eastAsia="x-none"/>
    </w:rPr>
  </w:style>
  <w:style w:type="character" w:customStyle="1" w:styleId="FooterChar">
    <w:name w:val="Footer Char"/>
    <w:basedOn w:val="a0"/>
    <w:uiPriority w:val="99"/>
    <w:semiHidden/>
    <w:qFormat/>
    <w:rsid w:val="00EF60EF"/>
    <w:rPr>
      <w:rFonts w:ascii="Times New Roman" w:hAnsi="Times New Roman" w:cs="Times New Roman"/>
      <w:sz w:val="18"/>
      <w:szCs w:val="18"/>
    </w:rPr>
  </w:style>
  <w:style w:type="paragraph" w:styleId="a6">
    <w:name w:val="header"/>
    <w:basedOn w:val="a"/>
    <w:link w:val="Char2"/>
    <w:uiPriority w:val="99"/>
    <w:semiHidden/>
    <w:qFormat/>
    <w:rsid w:val="00EF60EF"/>
    <w:pPr>
      <w:pBdr>
        <w:bottom w:val="single" w:sz="6" w:space="1" w:color="auto"/>
      </w:pBdr>
      <w:tabs>
        <w:tab w:val="center" w:pos="4153"/>
        <w:tab w:val="right" w:pos="8306"/>
      </w:tabs>
      <w:snapToGrid w:val="0"/>
      <w:jc w:val="center"/>
    </w:pPr>
    <w:rPr>
      <w:rFonts w:ascii="Calibri" w:hAnsi="Calibri"/>
      <w:kern w:val="0"/>
      <w:sz w:val="18"/>
      <w:szCs w:val="20"/>
      <w:lang w:val="x-none" w:eastAsia="x-none"/>
    </w:rPr>
  </w:style>
  <w:style w:type="character" w:customStyle="1" w:styleId="HeaderChar">
    <w:name w:val="Header Char"/>
    <w:basedOn w:val="a0"/>
    <w:uiPriority w:val="99"/>
    <w:semiHidden/>
    <w:qFormat/>
    <w:rsid w:val="00EF60EF"/>
    <w:rPr>
      <w:rFonts w:ascii="Times New Roman" w:hAnsi="Times New Roman" w:cs="Times New Roman"/>
      <w:sz w:val="18"/>
      <w:szCs w:val="18"/>
    </w:rPr>
  </w:style>
  <w:style w:type="paragraph" w:styleId="10">
    <w:name w:val="toc 1"/>
    <w:basedOn w:val="a"/>
    <w:next w:val="a"/>
    <w:uiPriority w:val="39"/>
    <w:unhideWhenUsed/>
    <w:qFormat/>
    <w:rsid w:val="00EF60EF"/>
    <w:pPr>
      <w:spacing w:before="120" w:after="120"/>
      <w:jc w:val="left"/>
    </w:pPr>
    <w:rPr>
      <w:rFonts w:asciiTheme="minorHAnsi" w:eastAsiaTheme="minorHAnsi"/>
      <w:b/>
      <w:bCs/>
      <w:caps/>
      <w:sz w:val="20"/>
      <w:szCs w:val="20"/>
    </w:rPr>
  </w:style>
  <w:style w:type="paragraph" w:styleId="20">
    <w:name w:val="toc 2"/>
    <w:basedOn w:val="a"/>
    <w:next w:val="a"/>
    <w:uiPriority w:val="39"/>
    <w:unhideWhenUsed/>
    <w:qFormat/>
    <w:rsid w:val="00EF60EF"/>
    <w:pPr>
      <w:ind w:left="210"/>
      <w:jc w:val="left"/>
    </w:pPr>
    <w:rPr>
      <w:rFonts w:asciiTheme="minorHAnsi" w:eastAsiaTheme="minorHAnsi"/>
      <w:smallCaps/>
      <w:sz w:val="20"/>
      <w:szCs w:val="20"/>
    </w:rPr>
  </w:style>
  <w:style w:type="character" w:styleId="a7">
    <w:name w:val="Strong"/>
    <w:basedOn w:val="a0"/>
    <w:uiPriority w:val="99"/>
    <w:qFormat/>
    <w:rsid w:val="00EF60EF"/>
    <w:rPr>
      <w:rFonts w:cs="Times New Roman"/>
      <w:b/>
    </w:rPr>
  </w:style>
  <w:style w:type="character" w:styleId="a8">
    <w:name w:val="Hyperlink"/>
    <w:basedOn w:val="a0"/>
    <w:uiPriority w:val="99"/>
    <w:unhideWhenUsed/>
    <w:qFormat/>
    <w:rsid w:val="00EF60EF"/>
    <w:rPr>
      <w:rFonts w:cs="Times New Roman"/>
      <w:color w:val="0000FF"/>
      <w:u w:val="single"/>
    </w:rPr>
  </w:style>
  <w:style w:type="character" w:customStyle="1" w:styleId="Char2">
    <w:name w:val="页眉 Char"/>
    <w:link w:val="a6"/>
    <w:uiPriority w:val="99"/>
    <w:semiHidden/>
    <w:qFormat/>
    <w:locked/>
    <w:rsid w:val="00EF60EF"/>
    <w:rPr>
      <w:sz w:val="18"/>
    </w:rPr>
  </w:style>
  <w:style w:type="character" w:customStyle="1" w:styleId="Char1">
    <w:name w:val="页脚 Char"/>
    <w:link w:val="a5"/>
    <w:uiPriority w:val="99"/>
    <w:qFormat/>
    <w:locked/>
    <w:rsid w:val="00EF60EF"/>
    <w:rPr>
      <w:sz w:val="18"/>
    </w:rPr>
  </w:style>
  <w:style w:type="character" w:customStyle="1" w:styleId="Char">
    <w:name w:val="正文文本 Char"/>
    <w:link w:val="a3"/>
    <w:uiPriority w:val="99"/>
    <w:qFormat/>
    <w:locked/>
    <w:rsid w:val="00EF60EF"/>
    <w:rPr>
      <w:rFonts w:ascii="仿宋_GB2312" w:eastAsia="仿宋_GB2312" w:hAnsi="Times New Roman"/>
      <w:sz w:val="24"/>
    </w:rPr>
  </w:style>
  <w:style w:type="paragraph" w:customStyle="1" w:styleId="Default">
    <w:name w:val="Default"/>
    <w:uiPriority w:val="99"/>
    <w:qFormat/>
    <w:rsid w:val="00EF60EF"/>
    <w:pPr>
      <w:widowControl w:val="0"/>
      <w:autoSpaceDE w:val="0"/>
      <w:autoSpaceDN w:val="0"/>
      <w:adjustRightInd w:val="0"/>
    </w:pPr>
    <w:rPr>
      <w:rFonts w:ascii="仿宋" w:eastAsia="仿宋" w:cs="仿宋"/>
      <w:color w:val="000000"/>
      <w:sz w:val="24"/>
      <w:szCs w:val="24"/>
    </w:rPr>
  </w:style>
  <w:style w:type="paragraph" w:customStyle="1" w:styleId="11">
    <w:name w:val="列表段落1"/>
    <w:basedOn w:val="a"/>
    <w:uiPriority w:val="34"/>
    <w:qFormat/>
    <w:rsid w:val="00EF60EF"/>
    <w:pPr>
      <w:ind w:firstLineChars="200" w:firstLine="420"/>
    </w:pPr>
  </w:style>
  <w:style w:type="paragraph" w:customStyle="1" w:styleId="TOC1">
    <w:name w:val="TOC 标题1"/>
    <w:basedOn w:val="1"/>
    <w:next w:val="a"/>
    <w:uiPriority w:val="39"/>
    <w:unhideWhenUsed/>
    <w:qFormat/>
    <w:rsid w:val="00EF60EF"/>
    <w:pPr>
      <w:widowControl/>
      <w:spacing w:before="480" w:after="0" w:line="276" w:lineRule="auto"/>
      <w:jc w:val="left"/>
      <w:outlineLvl w:val="9"/>
    </w:pPr>
    <w:rPr>
      <w:rFonts w:ascii="Cambria" w:hAnsi="Cambria"/>
      <w:color w:val="365F91"/>
      <w:kern w:val="0"/>
      <w:sz w:val="28"/>
      <w:szCs w:val="28"/>
    </w:rPr>
  </w:style>
  <w:style w:type="paragraph" w:customStyle="1" w:styleId="TOCHeading1">
    <w:name w:val="TOC Heading1"/>
    <w:basedOn w:val="1"/>
    <w:next w:val="a"/>
    <w:uiPriority w:val="39"/>
    <w:unhideWhenUsed/>
    <w:qFormat/>
    <w:rsid w:val="00EF60EF"/>
    <w:pPr>
      <w:widowControl/>
      <w:spacing w:before="480" w:after="0" w:line="276" w:lineRule="auto"/>
      <w:jc w:val="left"/>
      <w:outlineLvl w:val="9"/>
    </w:pPr>
    <w:rPr>
      <w:rFonts w:ascii="Cambria" w:hAnsi="Cambria"/>
      <w:color w:val="365F91"/>
      <w:kern w:val="0"/>
      <w:sz w:val="28"/>
      <w:szCs w:val="28"/>
    </w:rPr>
  </w:style>
  <w:style w:type="paragraph" w:styleId="4">
    <w:name w:val="toc 4"/>
    <w:basedOn w:val="a"/>
    <w:next w:val="a"/>
    <w:autoRedefine/>
    <w:uiPriority w:val="39"/>
    <w:unhideWhenUsed/>
    <w:rsid w:val="003E6FE4"/>
    <w:pPr>
      <w:ind w:left="630"/>
      <w:jc w:val="left"/>
    </w:pPr>
    <w:rPr>
      <w:rFonts w:asciiTheme="minorHAnsi" w:eastAsiaTheme="minorHAnsi"/>
      <w:sz w:val="18"/>
      <w:szCs w:val="18"/>
    </w:rPr>
  </w:style>
  <w:style w:type="paragraph" w:styleId="5">
    <w:name w:val="toc 5"/>
    <w:basedOn w:val="a"/>
    <w:next w:val="a"/>
    <w:autoRedefine/>
    <w:uiPriority w:val="39"/>
    <w:unhideWhenUsed/>
    <w:rsid w:val="003E6FE4"/>
    <w:pPr>
      <w:ind w:left="840"/>
      <w:jc w:val="left"/>
    </w:pPr>
    <w:rPr>
      <w:rFonts w:asciiTheme="minorHAnsi" w:eastAsiaTheme="minorHAnsi"/>
      <w:sz w:val="18"/>
      <w:szCs w:val="18"/>
    </w:rPr>
  </w:style>
  <w:style w:type="paragraph" w:styleId="6">
    <w:name w:val="toc 6"/>
    <w:basedOn w:val="a"/>
    <w:next w:val="a"/>
    <w:autoRedefine/>
    <w:uiPriority w:val="39"/>
    <w:unhideWhenUsed/>
    <w:rsid w:val="003E6FE4"/>
    <w:pPr>
      <w:ind w:left="1050"/>
      <w:jc w:val="left"/>
    </w:pPr>
    <w:rPr>
      <w:rFonts w:asciiTheme="minorHAnsi" w:eastAsiaTheme="minorHAnsi"/>
      <w:sz w:val="18"/>
      <w:szCs w:val="18"/>
    </w:rPr>
  </w:style>
  <w:style w:type="paragraph" w:styleId="7">
    <w:name w:val="toc 7"/>
    <w:basedOn w:val="a"/>
    <w:next w:val="a"/>
    <w:autoRedefine/>
    <w:uiPriority w:val="39"/>
    <w:unhideWhenUsed/>
    <w:rsid w:val="003E6FE4"/>
    <w:pPr>
      <w:ind w:left="1260"/>
      <w:jc w:val="left"/>
    </w:pPr>
    <w:rPr>
      <w:rFonts w:asciiTheme="minorHAnsi" w:eastAsiaTheme="minorHAnsi"/>
      <w:sz w:val="18"/>
      <w:szCs w:val="18"/>
    </w:rPr>
  </w:style>
  <w:style w:type="paragraph" w:styleId="8">
    <w:name w:val="toc 8"/>
    <w:basedOn w:val="a"/>
    <w:next w:val="a"/>
    <w:autoRedefine/>
    <w:uiPriority w:val="39"/>
    <w:unhideWhenUsed/>
    <w:rsid w:val="003E6FE4"/>
    <w:pPr>
      <w:ind w:left="1470"/>
      <w:jc w:val="left"/>
    </w:pPr>
    <w:rPr>
      <w:rFonts w:asciiTheme="minorHAnsi" w:eastAsiaTheme="minorHAnsi"/>
      <w:sz w:val="18"/>
      <w:szCs w:val="18"/>
    </w:rPr>
  </w:style>
  <w:style w:type="paragraph" w:styleId="9">
    <w:name w:val="toc 9"/>
    <w:basedOn w:val="a"/>
    <w:next w:val="a"/>
    <w:autoRedefine/>
    <w:uiPriority w:val="39"/>
    <w:unhideWhenUsed/>
    <w:rsid w:val="003E6FE4"/>
    <w:pPr>
      <w:ind w:left="1680"/>
      <w:jc w:val="left"/>
    </w:pPr>
    <w:rPr>
      <w:rFonts w:asciiTheme="minorHAnsi" w:eastAsiaTheme="minorHAnsi"/>
      <w:sz w:val="18"/>
      <w:szCs w:val="18"/>
    </w:rPr>
  </w:style>
  <w:style w:type="paragraph" w:styleId="TOC">
    <w:name w:val="TOC Heading"/>
    <w:basedOn w:val="1"/>
    <w:next w:val="a"/>
    <w:uiPriority w:val="39"/>
    <w:unhideWhenUsed/>
    <w:qFormat/>
    <w:rsid w:val="00E70975"/>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a9">
    <w:name w:val="List Paragraph"/>
    <w:basedOn w:val="a"/>
    <w:uiPriority w:val="34"/>
    <w:qFormat/>
    <w:rsid w:val="008F55F2"/>
    <w:pPr>
      <w:ind w:firstLineChars="200" w:firstLine="420"/>
    </w:pPr>
  </w:style>
  <w:style w:type="paragraph" w:styleId="aa">
    <w:name w:val="Normal (Web)"/>
    <w:basedOn w:val="a"/>
    <w:uiPriority w:val="99"/>
    <w:unhideWhenUsed/>
    <w:qFormat/>
    <w:rsid w:val="008F55F2"/>
    <w:pPr>
      <w:jc w:val="left"/>
    </w:pPr>
    <w:rPr>
      <w:kern w:val="0"/>
      <w:sz w:val="24"/>
      <w:szCs w:val="22"/>
    </w:rPr>
  </w:style>
  <w:style w:type="paragraph" w:styleId="ab">
    <w:name w:val="No Spacing"/>
    <w:uiPriority w:val="1"/>
    <w:qFormat/>
    <w:rsid w:val="008F55F2"/>
    <w:pPr>
      <w:jc w:val="both"/>
      <w:textAlignment w:val="baseline"/>
    </w:pPr>
    <w:rPr>
      <w:rFonts w:ascii="Times New Roman" w:hAnsi="Times New Roman"/>
      <w:color w:val="000000"/>
      <w:sz w:val="21"/>
      <w:u w:color="000000"/>
    </w:rPr>
  </w:style>
  <w:style w:type="paragraph" w:customStyle="1" w:styleId="12">
    <w:name w:val="正文文本1"/>
    <w:basedOn w:val="a"/>
    <w:rsid w:val="00004653"/>
    <w:pPr>
      <w:spacing w:before="93"/>
    </w:pPr>
    <w:rPr>
      <w:rFonts w:ascii="仿宋_GB2312" w:eastAsia="仿宋_GB2312" w:hAnsi="仿宋_GB2312"/>
      <w:kern w:val="0"/>
      <w:sz w:val="30"/>
      <w:szCs w:val="20"/>
    </w:rPr>
  </w:style>
  <w:style w:type="paragraph" w:styleId="ac">
    <w:name w:val="Body Text Indent"/>
    <w:basedOn w:val="a"/>
    <w:link w:val="Char3"/>
    <w:uiPriority w:val="99"/>
    <w:semiHidden/>
    <w:unhideWhenUsed/>
    <w:rsid w:val="00D02C7A"/>
    <w:pPr>
      <w:spacing w:after="120"/>
      <w:ind w:leftChars="200" w:left="420"/>
    </w:pPr>
  </w:style>
  <w:style w:type="character" w:customStyle="1" w:styleId="Char3">
    <w:name w:val="正文文本缩进 Char"/>
    <w:basedOn w:val="a0"/>
    <w:link w:val="ac"/>
    <w:uiPriority w:val="99"/>
    <w:semiHidden/>
    <w:rsid w:val="00D02C7A"/>
    <w:rPr>
      <w:rFonts w:ascii="Times New Roman" w:hAnsi="Times New Roman"/>
      <w:kern w:val="2"/>
      <w:sz w:val="21"/>
      <w:szCs w:val="24"/>
    </w:rPr>
  </w:style>
  <w:style w:type="paragraph" w:styleId="21">
    <w:name w:val="Body Text First Indent 2"/>
    <w:basedOn w:val="ac"/>
    <w:link w:val="2Char0"/>
    <w:uiPriority w:val="99"/>
    <w:semiHidden/>
    <w:unhideWhenUsed/>
    <w:rsid w:val="00D02C7A"/>
    <w:pPr>
      <w:ind w:firstLineChars="200" w:firstLine="420"/>
    </w:pPr>
  </w:style>
  <w:style w:type="character" w:customStyle="1" w:styleId="2Char0">
    <w:name w:val="正文首行缩进 2 Char"/>
    <w:basedOn w:val="Char3"/>
    <w:link w:val="21"/>
    <w:uiPriority w:val="99"/>
    <w:semiHidden/>
    <w:rsid w:val="00D02C7A"/>
    <w:rPr>
      <w:rFonts w:ascii="Times New Roman" w:hAnsi="Times New Roman"/>
      <w:kern w:val="2"/>
      <w:sz w:val="21"/>
      <w:szCs w:val="24"/>
    </w:rPr>
  </w:style>
  <w:style w:type="paragraph" w:styleId="ad">
    <w:name w:val="footnote text"/>
    <w:basedOn w:val="a"/>
    <w:next w:val="21"/>
    <w:link w:val="Char4"/>
    <w:semiHidden/>
    <w:qFormat/>
    <w:rsid w:val="006B65A1"/>
    <w:pPr>
      <w:suppressAutoHyphens/>
      <w:snapToGrid w:val="0"/>
      <w:jc w:val="left"/>
    </w:pPr>
    <w:rPr>
      <w:rFonts w:ascii="Calibri" w:hAnsi="Calibri"/>
      <w:sz w:val="18"/>
      <w:szCs w:val="18"/>
    </w:rPr>
  </w:style>
  <w:style w:type="character" w:customStyle="1" w:styleId="Char4">
    <w:name w:val="脚注文本 Char"/>
    <w:basedOn w:val="a0"/>
    <w:link w:val="ad"/>
    <w:semiHidden/>
    <w:rsid w:val="006B65A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11111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212121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313131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1414141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1515151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16161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2023年</c:v>
                </c:pt>
              </c:strCache>
            </c:strRef>
          </c:tx>
          <c:invertIfNegative val="0"/>
          <c:cat>
            <c:strRef>
              <c:f>Sheet1!$A$2:$A$3</c:f>
              <c:strCache>
                <c:ptCount val="2"/>
                <c:pt idx="0">
                  <c:v>收入</c:v>
                </c:pt>
                <c:pt idx="1">
                  <c:v>支出</c:v>
                </c:pt>
              </c:strCache>
            </c:strRef>
          </c:cat>
          <c:val>
            <c:numRef>
              <c:f>Sheet1!$B$2:$B$3</c:f>
              <c:numCache>
                <c:formatCode>General</c:formatCode>
                <c:ptCount val="2"/>
                <c:pt idx="0">
                  <c:v>164.71</c:v>
                </c:pt>
                <c:pt idx="1">
                  <c:v>164.71</c:v>
                </c:pt>
              </c:numCache>
            </c:numRef>
          </c:val>
        </c:ser>
        <c:ser>
          <c:idx val="1"/>
          <c:order val="1"/>
          <c:tx>
            <c:strRef>
              <c:f>Sheet1!$C$1</c:f>
              <c:strCache>
                <c:ptCount val="1"/>
                <c:pt idx="0">
                  <c:v>2022年</c:v>
                </c:pt>
              </c:strCache>
            </c:strRef>
          </c:tx>
          <c:invertIfNegative val="0"/>
          <c:cat>
            <c:strRef>
              <c:f>Sheet1!$A$2:$A$3</c:f>
              <c:strCache>
                <c:ptCount val="2"/>
                <c:pt idx="0">
                  <c:v>收入</c:v>
                </c:pt>
                <c:pt idx="1">
                  <c:v>支出</c:v>
                </c:pt>
              </c:strCache>
            </c:strRef>
          </c:cat>
          <c:val>
            <c:numRef>
              <c:f>Sheet1!$C$2:$C$3</c:f>
              <c:numCache>
                <c:formatCode>General</c:formatCode>
                <c:ptCount val="2"/>
                <c:pt idx="0">
                  <c:v>154.56</c:v>
                </c:pt>
                <c:pt idx="1">
                  <c:v>154.56</c:v>
                </c:pt>
              </c:numCache>
            </c:numRef>
          </c:val>
        </c:ser>
        <c:dLbls>
          <c:showLegendKey val="0"/>
          <c:showVal val="0"/>
          <c:showCatName val="0"/>
          <c:showSerName val="0"/>
          <c:showPercent val="0"/>
          <c:showBubbleSize val="0"/>
        </c:dLbls>
        <c:gapWidth val="150"/>
        <c:axId val="58397440"/>
        <c:axId val="58398976"/>
      </c:barChart>
      <c:catAx>
        <c:axId val="58397440"/>
        <c:scaling>
          <c:orientation val="minMax"/>
        </c:scaling>
        <c:delete val="0"/>
        <c:axPos val="b"/>
        <c:majorTickMark val="out"/>
        <c:minorTickMark val="none"/>
        <c:tickLblPos val="nextTo"/>
        <c:crossAx val="58398976"/>
        <c:crosses val="autoZero"/>
        <c:auto val="1"/>
        <c:lblAlgn val="ctr"/>
        <c:lblOffset val="100"/>
        <c:noMultiLvlLbl val="0"/>
      </c:catAx>
      <c:valAx>
        <c:axId val="58398976"/>
        <c:scaling>
          <c:orientation val="minMax"/>
        </c:scaling>
        <c:delete val="0"/>
        <c:axPos val="l"/>
        <c:majorGridlines/>
        <c:numFmt formatCode="General" sourceLinked="1"/>
        <c:majorTickMark val="out"/>
        <c:minorTickMark val="none"/>
        <c:tickLblPos val="nextTo"/>
        <c:crossAx val="5839744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2023年收入</c:v>
                </c:pt>
              </c:strCache>
            </c:strRef>
          </c:tx>
          <c:cat>
            <c:strRef>
              <c:f>Sheet1!$A$2:$A$3</c:f>
              <c:strCache>
                <c:ptCount val="1"/>
                <c:pt idx="0">
                  <c:v>一般公共预算</c:v>
                </c:pt>
              </c:strCache>
            </c:strRef>
          </c:cat>
          <c:val>
            <c:numRef>
              <c:f>Sheet1!$B$2:$B$3</c:f>
              <c:numCache>
                <c:formatCode>General</c:formatCode>
                <c:ptCount val="2"/>
                <c:pt idx="0">
                  <c:v>164.71</c:v>
                </c:pt>
              </c:numCache>
            </c:numRef>
          </c:val>
        </c:ser>
        <c:dLbls>
          <c:showLegendKey val="0"/>
          <c:showVal val="0"/>
          <c:showCatName val="0"/>
          <c:showSerName val="0"/>
          <c:showPercent val="0"/>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2023年支出</c:v>
                </c:pt>
              </c:strCache>
            </c:strRef>
          </c:tx>
          <c:explosion val="25"/>
          <c:dLbls>
            <c:dLbl>
              <c:idx val="0"/>
              <c:layout>
                <c:manualLayout>
                  <c:x val="9.6148943822247784E-2"/>
                  <c:y val="-1.70174838678161E-2"/>
                </c:manualLayout>
              </c:layout>
              <c:showLegendKey val="0"/>
              <c:showVal val="1"/>
              <c:showCatName val="0"/>
              <c:showSerName val="0"/>
              <c:showPercent val="0"/>
              <c:showBubbleSize val="0"/>
            </c:dLbl>
            <c:showLegendKey val="0"/>
            <c:showVal val="1"/>
            <c:showCatName val="0"/>
            <c:showSerName val="0"/>
            <c:showPercent val="0"/>
            <c:showBubbleSize val="0"/>
            <c:showLeaderLines val="1"/>
          </c:dLbls>
          <c:cat>
            <c:strRef>
              <c:f>Sheet1!$A$2:$A$3</c:f>
              <c:strCache>
                <c:ptCount val="2"/>
                <c:pt idx="0">
                  <c:v>基本支出</c:v>
                </c:pt>
                <c:pt idx="1">
                  <c:v>项目支出</c:v>
                </c:pt>
              </c:strCache>
            </c:strRef>
          </c:cat>
          <c:val>
            <c:numRef>
              <c:f>Sheet1!$B$2:$B$3</c:f>
              <c:numCache>
                <c:formatCode>General</c:formatCode>
                <c:ptCount val="2"/>
                <c:pt idx="0">
                  <c:v>128.80000000000001</c:v>
                </c:pt>
                <c:pt idx="1">
                  <c:v>35.909999999999997</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2023年</c:v>
                </c:pt>
              </c:strCache>
            </c:strRef>
          </c:tx>
          <c:invertIfNegative val="0"/>
          <c:cat>
            <c:strRef>
              <c:f>Sheet1!$A$2:$A$3</c:f>
              <c:strCache>
                <c:ptCount val="2"/>
                <c:pt idx="0">
                  <c:v>收入</c:v>
                </c:pt>
                <c:pt idx="1">
                  <c:v>支出</c:v>
                </c:pt>
              </c:strCache>
            </c:strRef>
          </c:cat>
          <c:val>
            <c:numRef>
              <c:f>Sheet1!$B$2:$B$3</c:f>
              <c:numCache>
                <c:formatCode>General</c:formatCode>
                <c:ptCount val="2"/>
                <c:pt idx="0">
                  <c:v>164.71</c:v>
                </c:pt>
                <c:pt idx="1">
                  <c:v>164.71</c:v>
                </c:pt>
              </c:numCache>
            </c:numRef>
          </c:val>
        </c:ser>
        <c:ser>
          <c:idx val="1"/>
          <c:order val="1"/>
          <c:tx>
            <c:strRef>
              <c:f>Sheet1!$C$1</c:f>
              <c:strCache>
                <c:ptCount val="1"/>
                <c:pt idx="0">
                  <c:v>2022年</c:v>
                </c:pt>
              </c:strCache>
            </c:strRef>
          </c:tx>
          <c:invertIfNegative val="0"/>
          <c:cat>
            <c:strRef>
              <c:f>Sheet1!$A$2:$A$3</c:f>
              <c:strCache>
                <c:ptCount val="2"/>
                <c:pt idx="0">
                  <c:v>收入</c:v>
                </c:pt>
                <c:pt idx="1">
                  <c:v>支出</c:v>
                </c:pt>
              </c:strCache>
            </c:strRef>
          </c:cat>
          <c:val>
            <c:numRef>
              <c:f>Sheet1!$C$2:$C$3</c:f>
              <c:numCache>
                <c:formatCode>General</c:formatCode>
                <c:ptCount val="2"/>
                <c:pt idx="0">
                  <c:v>154.56</c:v>
                </c:pt>
                <c:pt idx="1">
                  <c:v>154.56</c:v>
                </c:pt>
              </c:numCache>
            </c:numRef>
          </c:val>
        </c:ser>
        <c:dLbls>
          <c:showLegendKey val="0"/>
          <c:showVal val="0"/>
          <c:showCatName val="0"/>
          <c:showSerName val="0"/>
          <c:showPercent val="0"/>
          <c:showBubbleSize val="0"/>
        </c:dLbls>
        <c:gapWidth val="150"/>
        <c:shape val="cylinder"/>
        <c:axId val="276095360"/>
        <c:axId val="276096896"/>
        <c:axId val="0"/>
      </c:bar3DChart>
      <c:catAx>
        <c:axId val="276095360"/>
        <c:scaling>
          <c:orientation val="minMax"/>
        </c:scaling>
        <c:delete val="0"/>
        <c:axPos val="b"/>
        <c:majorTickMark val="out"/>
        <c:minorTickMark val="none"/>
        <c:tickLblPos val="nextTo"/>
        <c:crossAx val="276096896"/>
        <c:crosses val="autoZero"/>
        <c:auto val="1"/>
        <c:lblAlgn val="ctr"/>
        <c:lblOffset val="100"/>
        <c:noMultiLvlLbl val="0"/>
      </c:catAx>
      <c:valAx>
        <c:axId val="276096896"/>
        <c:scaling>
          <c:orientation val="minMax"/>
        </c:scaling>
        <c:delete val="0"/>
        <c:axPos val="l"/>
        <c:majorGridlines/>
        <c:numFmt formatCode="General" sourceLinked="1"/>
        <c:majorTickMark val="out"/>
        <c:minorTickMark val="none"/>
        <c:tickLblPos val="nextTo"/>
        <c:crossAx val="276095360"/>
        <c:crosses val="autoZero"/>
        <c:crossBetween val="between"/>
      </c:valAx>
    </c:plotArea>
    <c:legend>
      <c:legendPos val="r"/>
      <c:overlay val="0"/>
      <c:txPr>
        <a:bodyPr/>
        <a:lstStyle/>
        <a:p>
          <a:pPr>
            <a:defRPr>
              <a:solidFill>
                <a:srgbClr val="FF0000"/>
              </a:solidFill>
            </a:defRPr>
          </a:pPr>
          <a:endParaRPr lang="zh-CN"/>
        </a:p>
      </c:txPr>
    </c:legend>
    <c:plotVisOnly val="1"/>
    <c:dispBlanksAs val="gap"/>
    <c:showDLblsOverMax val="0"/>
  </c:chart>
  <c:spPr>
    <a:ln>
      <a:solidFill>
        <a:schemeClr val="accent1"/>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2023年一般公共预算支出</c:v>
                </c:pt>
              </c:strCache>
            </c:strRef>
          </c:tx>
          <c:invertIfNegative val="0"/>
          <c:cat>
            <c:strRef>
              <c:f>Sheet1!$A$2</c:f>
              <c:strCache>
                <c:ptCount val="1"/>
                <c:pt idx="0">
                  <c:v>一般公共预算支出</c:v>
                </c:pt>
              </c:strCache>
            </c:strRef>
          </c:cat>
          <c:val>
            <c:numRef>
              <c:f>Sheet1!$B$2</c:f>
              <c:numCache>
                <c:formatCode>General</c:formatCode>
                <c:ptCount val="1"/>
                <c:pt idx="0">
                  <c:v>164.71</c:v>
                </c:pt>
              </c:numCache>
            </c:numRef>
          </c:val>
        </c:ser>
        <c:dLbls>
          <c:showLegendKey val="0"/>
          <c:showVal val="0"/>
          <c:showCatName val="0"/>
          <c:showSerName val="0"/>
          <c:showPercent val="0"/>
          <c:showBubbleSize val="0"/>
        </c:dLbls>
        <c:gapWidth val="150"/>
        <c:shape val="cone"/>
        <c:axId val="210200448"/>
        <c:axId val="210201984"/>
        <c:axId val="0"/>
      </c:bar3DChart>
      <c:catAx>
        <c:axId val="210200448"/>
        <c:scaling>
          <c:orientation val="minMax"/>
        </c:scaling>
        <c:delete val="0"/>
        <c:axPos val="b"/>
        <c:majorTickMark val="out"/>
        <c:minorTickMark val="none"/>
        <c:tickLblPos val="nextTo"/>
        <c:crossAx val="210201984"/>
        <c:crosses val="autoZero"/>
        <c:auto val="1"/>
        <c:lblAlgn val="ctr"/>
        <c:lblOffset val="100"/>
        <c:noMultiLvlLbl val="0"/>
      </c:catAx>
      <c:valAx>
        <c:axId val="210201984"/>
        <c:scaling>
          <c:orientation val="minMax"/>
        </c:scaling>
        <c:delete val="0"/>
        <c:axPos val="l"/>
        <c:majorGridlines/>
        <c:numFmt formatCode="General" sourceLinked="1"/>
        <c:majorTickMark val="out"/>
        <c:minorTickMark val="none"/>
        <c:tickLblPos val="nextTo"/>
        <c:crossAx val="210200448"/>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2023年支出</c:v>
                </c:pt>
              </c:strCache>
            </c:strRef>
          </c:tx>
          <c:explosion val="25"/>
          <c:cat>
            <c:strRef>
              <c:f>Sheet1!$A$2:$A$5</c:f>
              <c:strCache>
                <c:ptCount val="4"/>
                <c:pt idx="0">
                  <c:v>一般公共服务（类）</c:v>
                </c:pt>
                <c:pt idx="1">
                  <c:v>社会保障和就业（类）</c:v>
                </c:pt>
                <c:pt idx="2">
                  <c:v>卫生健康支出</c:v>
                </c:pt>
                <c:pt idx="3">
                  <c:v>住房保障支出</c:v>
                </c:pt>
              </c:strCache>
            </c:strRef>
          </c:cat>
          <c:val>
            <c:numRef>
              <c:f>Sheet1!$B$2:$B$5</c:f>
              <c:numCache>
                <c:formatCode>General</c:formatCode>
                <c:ptCount val="4"/>
                <c:pt idx="0">
                  <c:v>128.81</c:v>
                </c:pt>
                <c:pt idx="1">
                  <c:v>12</c:v>
                </c:pt>
                <c:pt idx="2">
                  <c:v>6.19</c:v>
                </c:pt>
                <c:pt idx="3">
                  <c:v>7.82</c:v>
                </c:pt>
              </c:numCache>
            </c:numRef>
          </c:val>
        </c:ser>
        <c:dLbls>
          <c:showLegendKey val="0"/>
          <c:showVal val="0"/>
          <c:showCatName val="0"/>
          <c:showSerName val="0"/>
          <c:showPercent val="0"/>
          <c:showBubbleSize val="0"/>
          <c:showLeaderLines val="0"/>
        </c:dLbls>
        <c:firstSliceAng val="0"/>
      </c:pieChart>
    </c:plotArea>
    <c:legend>
      <c:legendPos val="r"/>
      <c:layout>
        <c:manualLayout>
          <c:xMode val="edge"/>
          <c:yMode val="edge"/>
          <c:x val="0.7221721349629483"/>
          <c:y val="0.4381112113307819"/>
          <c:w val="0.27782786503705176"/>
          <c:h val="0.26952270638726289"/>
        </c:manualLayout>
      </c:layout>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0C626-5D1D-4C9A-8D7C-727D8AAB7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18</Pages>
  <Words>803</Words>
  <Characters>4582</Characters>
  <Application>Microsoft Office Word</Application>
  <DocSecurity>0</DocSecurity>
  <Lines>38</Lines>
  <Paragraphs>10</Paragraphs>
  <ScaleCrop>false</ScaleCrop>
  <Company>四川省财政厅</Company>
  <LinksUpToDate>false</LinksUpToDate>
  <CharactersWithSpaces>5375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阿坝州部门决算说明</dc:title>
  <dc:creator>曹颖</dc:creator>
  <cp:lastModifiedBy>xb21cn</cp:lastModifiedBy>
  <cp:revision>31</cp:revision>
  <cp:lastPrinted>2023-09-14T02:03:00Z</cp:lastPrinted>
  <dcterms:created xsi:type="dcterms:W3CDTF">2022-09-22T02:48:00Z</dcterms:created>
  <dcterms:modified xsi:type="dcterms:W3CDTF">2024-08-29T08:36:00Z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