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hint="default" w:ascii="Times New Roman" w:hAnsi="Times New Roman" w:eastAsia="方正小标宋简体" w:cs="Times New Roman"/>
          <w:color w:val="auto"/>
          <w:sz w:val="21"/>
          <w:szCs w:val="21"/>
          <w:highlight w:val="none"/>
        </w:rPr>
      </w:pPr>
      <w:bookmarkStart w:id="0" w:name="_Toc15306267"/>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spacing w:line="600" w:lineRule="exact"/>
        <w:jc w:val="center"/>
        <w:outlineLvl w:val="0"/>
        <w:rPr>
          <w:rFonts w:hint="default" w:ascii="Times New Roman" w:hAnsi="Times New Roman" w:eastAsia="方正小标宋简体" w:cs="Times New Roman"/>
          <w:color w:val="auto"/>
          <w:sz w:val="72"/>
          <w:szCs w:val="72"/>
          <w:highlight w:val="none"/>
        </w:rPr>
      </w:pPr>
    </w:p>
    <w:p>
      <w:pPr>
        <w:adjustRightInd w:val="0"/>
        <w:snapToGrid w:val="0"/>
        <w:spacing w:line="360" w:lineRule="auto"/>
        <w:jc w:val="center"/>
        <w:outlineLvl w:val="0"/>
        <w:rPr>
          <w:rFonts w:hint="default" w:ascii="Times New Roman" w:hAnsi="Times New Roman" w:eastAsia="方正小标宋简体" w:cs="Times New Roman"/>
          <w:color w:val="auto"/>
          <w:sz w:val="44"/>
          <w:szCs w:val="44"/>
          <w:highlight w:val="none"/>
        </w:rPr>
      </w:pPr>
      <w:bookmarkStart w:id="1" w:name="_Toc15396475"/>
      <w:bookmarkStart w:id="2" w:name="_Toc15378441"/>
      <w:bookmarkStart w:id="3" w:name="_Toc15377193"/>
      <w:bookmarkStart w:id="4" w:name="_Toc15377425"/>
      <w:bookmarkStart w:id="5" w:name="_Toc15396597"/>
    </w:p>
    <w:p>
      <w:pPr>
        <w:adjustRightInd w:val="0"/>
        <w:snapToGrid w:val="0"/>
        <w:spacing w:line="360" w:lineRule="auto"/>
        <w:jc w:val="center"/>
        <w:outlineLvl w:val="0"/>
        <w:rPr>
          <w:rFonts w:hint="default" w:ascii="Times New Roman" w:hAnsi="Times New Roman" w:eastAsia="方正小标宋简体" w:cs="Times New Roman"/>
          <w:color w:val="auto"/>
          <w:sz w:val="44"/>
          <w:szCs w:val="44"/>
          <w:highlight w:val="none"/>
        </w:rPr>
      </w:pPr>
    </w:p>
    <w:p>
      <w:pPr>
        <w:adjustRightInd w:val="0"/>
        <w:snapToGrid w:val="0"/>
        <w:spacing w:line="360" w:lineRule="auto"/>
        <w:jc w:val="center"/>
        <w:outlineLvl w:val="0"/>
        <w:rPr>
          <w:rFonts w:hint="default" w:ascii="Times New Roman" w:hAnsi="Times New Roman" w:eastAsia="方正小标宋简体" w:cs="Times New Roman"/>
          <w:color w:val="auto"/>
          <w:sz w:val="44"/>
          <w:szCs w:val="44"/>
          <w:highlight w:val="none"/>
        </w:rPr>
      </w:pP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rPr>
      </w:pPr>
      <w:r>
        <w:rPr>
          <w:rFonts w:hint="default" w:ascii="Times New Roman" w:hAnsi="Times New Roman" w:eastAsia="方正小标宋简体" w:cs="Times New Roman"/>
          <w:color w:val="auto"/>
          <w:sz w:val="72"/>
          <w:szCs w:val="72"/>
          <w:highlight w:val="none"/>
        </w:rPr>
        <w:t>20</w:t>
      </w:r>
      <w:r>
        <w:rPr>
          <w:rFonts w:hint="default" w:ascii="Times New Roman" w:hAnsi="Times New Roman" w:eastAsia="方正小标宋简体" w:cs="Times New Roman"/>
          <w:color w:val="auto"/>
          <w:sz w:val="72"/>
          <w:szCs w:val="72"/>
          <w:highlight w:val="none"/>
          <w:lang w:val="en-US" w:eastAsia="zh-CN"/>
        </w:rPr>
        <w:t>2</w:t>
      </w:r>
      <w:r>
        <w:rPr>
          <w:rFonts w:hint="eastAsia" w:eastAsia="方正小标宋简体" w:cs="Times New Roman"/>
          <w:color w:val="auto"/>
          <w:sz w:val="72"/>
          <w:szCs w:val="72"/>
          <w:highlight w:val="none"/>
          <w:lang w:val="en-US" w:eastAsia="zh-CN"/>
        </w:rPr>
        <w:t>4</w:t>
      </w:r>
      <w:r>
        <w:rPr>
          <w:rFonts w:hint="default" w:ascii="Times New Roman" w:hAnsi="Times New Roman" w:eastAsia="方正小标宋简体" w:cs="Times New Roman"/>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bookmarkStart w:id="6" w:name="_Toc15377194"/>
      <w:bookmarkStart w:id="7" w:name="_Toc15396598"/>
      <w:bookmarkStart w:id="8" w:name="_Toc15377426"/>
      <w:bookmarkStart w:id="9" w:name="_Toc15378442"/>
      <w:bookmarkStart w:id="10" w:name="_Toc15396476"/>
      <w:r>
        <w:rPr>
          <w:rFonts w:hint="default" w:ascii="Times New Roman" w:hAnsi="Times New Roman" w:eastAsia="方正小标宋简体" w:cs="Times New Roman"/>
          <w:color w:val="auto"/>
          <w:sz w:val="72"/>
          <w:szCs w:val="72"/>
          <w:highlight w:val="none"/>
        </w:rPr>
        <w:t>阿坝州</w:t>
      </w:r>
      <w:bookmarkEnd w:id="0"/>
      <w:bookmarkStart w:id="11" w:name="_Toc15306268"/>
      <w:r>
        <w:rPr>
          <w:rFonts w:hint="default" w:ascii="Times New Roman" w:hAnsi="Times New Roman" w:eastAsia="方正小标宋简体" w:cs="Times New Roman"/>
          <w:color w:val="auto"/>
          <w:sz w:val="72"/>
          <w:szCs w:val="72"/>
          <w:highlight w:val="none"/>
          <w:lang w:eastAsia="zh-CN"/>
        </w:rPr>
        <w:t>改革研究中心</w:t>
      </w:r>
      <w:r>
        <w:rPr>
          <w:rFonts w:hint="eastAsia" w:eastAsia="方正小标宋简体" w:cs="Times New Roman"/>
          <w:color w:val="auto"/>
          <w:sz w:val="72"/>
          <w:szCs w:val="72"/>
          <w:highlight w:val="none"/>
          <w:lang w:eastAsia="zh-CN"/>
        </w:rPr>
        <w:t>（单位）</w:t>
      </w:r>
    </w:p>
    <w:p>
      <w:pPr>
        <w:adjustRightInd w:val="0"/>
        <w:snapToGrid w:val="0"/>
        <w:spacing w:line="360" w:lineRule="auto"/>
        <w:jc w:val="center"/>
        <w:outlineLvl w:val="0"/>
        <w:rPr>
          <w:rFonts w:hint="default" w:ascii="Times New Roman" w:hAnsi="Times New Roman" w:eastAsia="方正小标宋简体" w:cs="Times New Roman"/>
          <w:color w:val="auto"/>
          <w:sz w:val="72"/>
          <w:szCs w:val="72"/>
          <w:highlight w:val="none"/>
          <w:lang w:eastAsia="zh-CN"/>
        </w:rPr>
      </w:pPr>
      <w:r>
        <w:rPr>
          <w:rFonts w:hint="default" w:ascii="Times New Roman" w:hAnsi="Times New Roman" w:eastAsia="方正小标宋简体" w:cs="Times New Roman"/>
          <w:color w:val="auto"/>
          <w:sz w:val="72"/>
          <w:szCs w:val="72"/>
          <w:highlight w:val="none"/>
        </w:rPr>
        <w:t>决算</w:t>
      </w:r>
      <w:bookmarkEnd w:id="6"/>
      <w:bookmarkEnd w:id="7"/>
      <w:bookmarkEnd w:id="8"/>
      <w:bookmarkEnd w:id="9"/>
      <w:bookmarkEnd w:id="10"/>
      <w:bookmarkEnd w:id="11"/>
      <w:r>
        <w:rPr>
          <w:rFonts w:hint="default" w:ascii="Times New Roman" w:hAnsi="Times New Roman" w:eastAsia="方正小标宋简体" w:cs="Times New Roman"/>
          <w:color w:val="auto"/>
          <w:sz w:val="72"/>
          <w:szCs w:val="72"/>
          <w:highlight w:val="none"/>
          <w:lang w:eastAsia="zh-CN"/>
        </w:rPr>
        <w:t>公开</w:t>
      </w:r>
      <w:bookmarkStart w:id="54" w:name="_GoBack"/>
      <w:bookmarkEnd w:id="54"/>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autoSpaceDE w:val="0"/>
        <w:autoSpaceDN w:val="0"/>
        <w:adjustRightInd w:val="0"/>
        <w:ind w:firstLine="1276"/>
        <w:jc w:val="left"/>
        <w:rPr>
          <w:rFonts w:hint="default" w:ascii="Times New Roman" w:hAnsi="Times New Roman" w:eastAsia="仿宋_GB2312" w:cs="Times New Roman"/>
          <w:sz w:val="32"/>
          <w:szCs w:val="32"/>
        </w:rPr>
      </w:pPr>
    </w:p>
    <w:p>
      <w:pPr>
        <w:widowControl/>
        <w:jc w:val="center"/>
        <w:rPr>
          <w:rFonts w:hint="default" w:ascii="Times New Roman" w:hAnsi="Times New Roman" w:eastAsia="黑体" w:cs="Times New Roman"/>
          <w:color w:val="auto"/>
          <w:sz w:val="48"/>
          <w:szCs w:val="48"/>
          <w:highlight w:val="none"/>
        </w:rPr>
        <w:sectPr>
          <w:headerReference r:id="rId3" w:type="default"/>
          <w:pgSz w:w="11906" w:h="16838"/>
          <w:pgMar w:top="1440" w:right="1800" w:bottom="1440" w:left="1800" w:header="851" w:footer="992" w:gutter="0"/>
          <w:pgNumType w:fmt="numberInDash" w:start="1"/>
          <w:cols w:space="720" w:num="1"/>
          <w:titlePg/>
          <w:docGrid w:type="lines" w:linePitch="312" w:charSpace="0"/>
        </w:sectPr>
      </w:pPr>
    </w:p>
    <w:p>
      <w:pPr>
        <w:widowControl/>
        <w:jc w:val="center"/>
        <w:rPr>
          <w:rFonts w:hint="default" w:ascii="Times New Roman" w:hAnsi="Times New Roman" w:eastAsia="黑体" w:cs="Times New Roman"/>
          <w:color w:val="auto"/>
          <w:sz w:val="48"/>
          <w:szCs w:val="48"/>
          <w:highlight w:val="none"/>
        </w:rPr>
      </w:pPr>
      <w:r>
        <w:rPr>
          <w:rFonts w:hint="default" w:ascii="Times New Roman" w:hAnsi="Times New Roman" w:eastAsia="黑体" w:cs="Times New Roman"/>
          <w:color w:val="auto"/>
          <w:sz w:val="48"/>
          <w:szCs w:val="48"/>
          <w:highlight w:val="none"/>
        </w:rPr>
        <w:t>目录</w:t>
      </w:r>
    </w:p>
    <w:p>
      <w:pPr>
        <w:widowControl/>
        <w:jc w:val="center"/>
        <w:rPr>
          <w:rFonts w:hint="default" w:ascii="Times New Roman" w:hAnsi="Times New Roman" w:eastAsia="黑体" w:cs="Times New Roman"/>
          <w:color w:val="auto"/>
          <w:sz w:val="28"/>
          <w:szCs w:val="28"/>
          <w:highlight w:val="none"/>
        </w:rPr>
      </w:pPr>
    </w:p>
    <w:p>
      <w:pPr>
        <w:pStyle w:val="13"/>
        <w:rPr>
          <w:rFonts w:hint="default" w:ascii="Times New Roman" w:hAnsi="Times New Roman" w:cs="Times New Roman"/>
          <w:color w:val="auto"/>
          <w:highlight w:val="none"/>
        </w:rPr>
      </w:pPr>
      <w:r>
        <w:rPr>
          <w:rFonts w:hint="default" w:ascii="Times New Roman" w:hAnsi="Times New Roman" w:cs="Times New Roman"/>
          <w:color w:val="auto"/>
          <w:highlight w:val="none"/>
        </w:rPr>
        <w:t>公开时间：20</w:t>
      </w:r>
      <w:r>
        <w:rPr>
          <w:rFonts w:hint="default" w:ascii="Times New Roman" w:hAnsi="Times New Roman" w:cs="Times New Roman"/>
          <w:color w:val="auto"/>
          <w:highlight w:val="none"/>
          <w:lang w:val="en-US" w:eastAsia="zh-CN"/>
        </w:rPr>
        <w:t>2</w:t>
      </w:r>
      <w:r>
        <w:rPr>
          <w:rFonts w:hint="eastAsia" w:ascii="Times New Roman" w:cs="Times New Roman"/>
          <w:color w:val="auto"/>
          <w:highlight w:val="none"/>
          <w:lang w:val="en-US" w:eastAsia="zh-CN"/>
        </w:rPr>
        <w:t>5</w:t>
      </w:r>
      <w:r>
        <w:rPr>
          <w:rFonts w:hint="default" w:ascii="Times New Roman" w:hAnsi="Times New Roman" w:cs="Times New Roman"/>
          <w:color w:val="auto"/>
          <w:highlight w:val="none"/>
        </w:rPr>
        <w:t>年</w:t>
      </w:r>
      <w:r>
        <w:rPr>
          <w:rFonts w:hint="default" w:ascii="Times New Roman" w:hAnsi="Times New Roman" w:cs="Times New Roman"/>
          <w:color w:val="auto"/>
          <w:highlight w:val="none"/>
          <w:lang w:val="en-US" w:eastAsia="zh-CN"/>
        </w:rPr>
        <w:t>9</w:t>
      </w:r>
      <w:r>
        <w:rPr>
          <w:rFonts w:hint="default" w:ascii="Times New Roman" w:hAnsi="Times New Roman" w:cs="Times New Roman"/>
          <w:color w:val="auto"/>
          <w:highlight w:val="none"/>
        </w:rPr>
        <w:t>月</w:t>
      </w:r>
      <w:r>
        <w:rPr>
          <w:rFonts w:hint="eastAsia" w:ascii="Times New Roman" w:cs="Times New Roman"/>
          <w:color w:val="auto"/>
          <w:highlight w:val="none"/>
          <w:lang w:val="en-US" w:eastAsia="zh-CN"/>
        </w:rPr>
        <w:t>17</w:t>
      </w:r>
      <w:r>
        <w:rPr>
          <w:rFonts w:hint="default" w:ascii="Times New Roman" w:hAnsi="Times New Roman" w:cs="Times New Roman"/>
          <w:color w:val="auto"/>
          <w:highlight w:val="none"/>
        </w:rPr>
        <w:t>日</w:t>
      </w:r>
    </w:p>
    <w:p>
      <w:pPr>
        <w:rPr>
          <w:rFonts w:hint="default" w:ascii="Times New Roman" w:hAnsi="Times New Roman" w:cs="Times New Roman"/>
          <w:color w:val="auto"/>
          <w:highlight w:val="none"/>
        </w:rPr>
      </w:pP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 xml:space="preserve">第一部分 </w:t>
      </w:r>
      <w:r>
        <w:rPr>
          <w:rFonts w:hint="default" w:ascii="Times New Roman" w:hAnsi="Times New Roman" w:cs="Times New Roman"/>
          <w:color w:val="auto"/>
          <w:sz w:val="28"/>
          <w:szCs w:val="28"/>
          <w:highlight w:val="none"/>
          <w:lang w:eastAsia="zh-CN"/>
        </w:rPr>
        <w:t>单位</w:t>
      </w:r>
      <w:r>
        <w:rPr>
          <w:rFonts w:hint="default" w:ascii="Times New Roman" w:hAnsi="Times New Roman" w:cs="Times New Roman"/>
          <w:color w:val="auto"/>
          <w:sz w:val="28"/>
          <w:szCs w:val="28"/>
          <w:highlight w:val="none"/>
        </w:rPr>
        <w:t>概况</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......................................01</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w:t>
      </w:r>
      <w:r>
        <w:rPr>
          <w:rFonts w:hint="default" w:ascii="Times New Roman" w:hAnsi="Times New Roman" w:cs="Times New Roman"/>
          <w:color w:val="auto"/>
          <w:sz w:val="28"/>
          <w:szCs w:val="28"/>
          <w:highlight w:val="none"/>
          <w:lang w:eastAsia="zh-CN"/>
        </w:rPr>
        <w:t>主要职责</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........01</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lang w:val="en-US" w:eastAsia="zh-CN"/>
        </w:rPr>
      </w:pPr>
      <w:r>
        <w:rPr>
          <w:rFonts w:hint="default" w:ascii="Times New Roman" w:hAnsi="Times New Roman" w:cs="Times New Roman"/>
          <w:color w:val="auto"/>
          <w:sz w:val="28"/>
          <w:szCs w:val="28"/>
          <w:highlight w:val="none"/>
          <w:lang w:eastAsia="zh-CN"/>
        </w:rPr>
        <w:t>二</w:t>
      </w:r>
      <w:r>
        <w:rPr>
          <w:rFonts w:hint="default" w:ascii="Times New Roman" w:hAnsi="Times New Roman" w:cs="Times New Roman"/>
          <w:color w:val="auto"/>
          <w:sz w:val="28"/>
          <w:szCs w:val="28"/>
          <w:highlight w:val="none"/>
        </w:rPr>
        <w:t>、</w:t>
      </w:r>
      <w:r>
        <w:rPr>
          <w:rFonts w:hint="default" w:ascii="Times New Roman" w:hAnsi="Times New Roman" w:cs="Times New Roman"/>
          <w:color w:val="auto"/>
          <w:sz w:val="28"/>
          <w:szCs w:val="28"/>
          <w:highlight w:val="none"/>
          <w:lang w:eastAsia="zh-CN"/>
        </w:rPr>
        <w:t>机构设置</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.....01</w:t>
      </w: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第二部分</w:t>
      </w:r>
      <w:r>
        <w:rPr>
          <w:rFonts w:hint="default" w:ascii="Times New Roman" w:hAnsi="Times New Roman" w:cs="Times New Roman"/>
          <w:color w:val="auto"/>
          <w:sz w:val="28"/>
          <w:szCs w:val="28"/>
          <w:highlight w:val="none"/>
          <w:lang w:val="en-US" w:eastAsia="zh-CN"/>
        </w:rPr>
        <w:t xml:space="preserve"> 202</w:t>
      </w:r>
      <w:r>
        <w:rPr>
          <w:rFonts w:hint="eastAsia" w:ascii="Times New Roman" w:cs="Times New Roman"/>
          <w:color w:val="auto"/>
          <w:sz w:val="28"/>
          <w:szCs w:val="28"/>
          <w:highlight w:val="none"/>
          <w:lang w:val="en-US" w:eastAsia="zh-CN"/>
        </w:rPr>
        <w:t>4</w:t>
      </w:r>
      <w:r>
        <w:rPr>
          <w:rFonts w:hint="default" w:ascii="Times New Roman" w:hAnsi="Times New Roman" w:cs="Times New Roman"/>
          <w:color w:val="auto"/>
          <w:sz w:val="28"/>
          <w:szCs w:val="28"/>
          <w:highlight w:val="none"/>
          <w:lang w:val="en-US" w:eastAsia="zh-CN"/>
        </w:rPr>
        <w:t>年度</w:t>
      </w:r>
      <w:r>
        <w:rPr>
          <w:rFonts w:hint="default" w:ascii="Times New Roman" w:hAnsi="Times New Roman" w:cs="Times New Roman"/>
          <w:color w:val="auto"/>
          <w:sz w:val="28"/>
          <w:szCs w:val="28"/>
          <w:highlight w:val="none"/>
          <w:lang w:eastAsia="zh-CN"/>
        </w:rPr>
        <w:t>单位</w:t>
      </w:r>
      <w:r>
        <w:rPr>
          <w:rFonts w:hint="default" w:ascii="Times New Roman" w:hAnsi="Times New Roman" w:cs="Times New Roman"/>
          <w:color w:val="auto"/>
          <w:sz w:val="28"/>
          <w:szCs w:val="28"/>
          <w:highlight w:val="none"/>
        </w:rPr>
        <w:t>决算情况说明</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......................02</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一、收入支出决算总体情况说明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02</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........02</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03</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四、财政拨款收入支出决算总体情况说明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04</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五、一般公共预算财政拨款支出决算情况说明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........04</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六、一般公共预算财政拨款基本支出决算情况说明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07</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七、财政拨款</w:t>
      </w:r>
      <w:r>
        <w:rPr>
          <w:rFonts w:hint="default" w:ascii="Times New Roman" w:hAnsi="Times New Roman" w:cs="Times New Roman"/>
          <w:color w:val="auto"/>
          <w:sz w:val="28"/>
          <w:szCs w:val="28"/>
          <w:highlight w:val="none"/>
          <w:lang w:eastAsia="zh-CN"/>
        </w:rPr>
        <w:t>“</w:t>
      </w:r>
      <w:r>
        <w:rPr>
          <w:rFonts w:hint="default" w:ascii="Times New Roman" w:hAnsi="Times New Roman" w:cs="Times New Roman"/>
          <w:color w:val="auto"/>
          <w:sz w:val="28"/>
          <w:szCs w:val="28"/>
          <w:highlight w:val="none"/>
        </w:rPr>
        <w:t>三公”经费支出决算情况说明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.............08</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八、政府性基金预算支出决算情况说明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10</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九、国有资本经营预算支出决算情况说明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10</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十、其他重要事项的情况说明</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....10</w:t>
      </w: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第三部分 名词解释</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......................................12</w:t>
      </w: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第四部分 附件</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..........................................15</w:t>
      </w: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第五部分 附表</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..........................................21</w:t>
      </w:r>
    </w:p>
    <w:p>
      <w:pPr>
        <w:pStyle w:val="13"/>
        <w:pageBreakBefore w:val="0"/>
        <w:kinsoku/>
        <w:wordWrap/>
        <w:overflowPunct/>
        <w:topLinePunct w:val="0"/>
        <w:autoSpaceDE/>
        <w:autoSpaceDN/>
        <w:bidi w:val="0"/>
        <w:adjustRightInd w:val="0"/>
        <w:snapToGrid w:val="0"/>
        <w:spacing w:before="0" w:line="576" w:lineRule="exact"/>
        <w:ind w:left="0" w:leftChars="0"/>
        <w:jc w:val="left"/>
        <w:textAlignment w:val="auto"/>
        <w:rPr>
          <w:rFonts w:hint="default" w:ascii="Times New Roman" w:hAnsi="Times New Roman" w:eastAsia="仿宋"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一、收入支出决算总表</w:t>
      </w:r>
      <w:r>
        <w:rPr>
          <w:rFonts w:hint="default" w:ascii="Times New Roman" w:hAnsi="Times New Roman" w:cs="Times New Roman"/>
          <w:color w:val="auto"/>
          <w:sz w:val="28"/>
          <w:szCs w:val="28"/>
          <w:highlight w:val="none"/>
          <w:lang w:val="en-US" w:eastAsia="zh-CN"/>
        </w:rPr>
        <w:t>......................................................................</w:t>
      </w:r>
      <w:r>
        <w:rPr>
          <w:rFonts w:hint="eastAsia" w:ascii="Times New Roman" w:cs="Times New Roman"/>
          <w:color w:val="auto"/>
          <w:sz w:val="28"/>
          <w:szCs w:val="28"/>
          <w:highlight w:val="none"/>
          <w:lang w:val="en-US" w:eastAsia="zh-CN"/>
        </w:rPr>
        <w:t>......22</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二、收入决算表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....23</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三、支出决算表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24</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highlight w:val="none"/>
        </w:rPr>
        <w:t>四、财政拨款收入支出决算总表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25</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highlight w:val="none"/>
        </w:rPr>
        <w:t>五、财政拨款支出决算明细表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......26</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六、一般公共预算财政拨款支出决算表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.....27</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七、一般公共预算财政拨款支出决算明细表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28</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八、一般公共预算财政拨款基本支出决算</w:t>
      </w:r>
      <w:r>
        <w:rPr>
          <w:rFonts w:hint="default" w:ascii="Times New Roman" w:hAnsi="Times New Roman" w:cs="Times New Roman"/>
          <w:color w:val="auto"/>
          <w:sz w:val="28"/>
          <w:szCs w:val="28"/>
          <w:highlight w:val="none"/>
          <w:lang w:eastAsia="zh-CN"/>
        </w:rPr>
        <w:t>明细</w:t>
      </w:r>
      <w:r>
        <w:rPr>
          <w:rFonts w:hint="default" w:ascii="Times New Roman" w:hAnsi="Times New Roman" w:cs="Times New Roman"/>
          <w:color w:val="auto"/>
          <w:sz w:val="28"/>
          <w:szCs w:val="28"/>
          <w:highlight w:val="none"/>
        </w:rPr>
        <w:t>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.....29</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九、一般公共预算财政拨款项目支出决算表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......30</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十、政府性基金预算财政拨款收入支出决算表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31</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十一、国有资本经营预算财政拨款收入支出决算表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32</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cs="Times New Roman"/>
          <w:color w:val="auto"/>
          <w:sz w:val="28"/>
          <w:szCs w:val="28"/>
          <w:highlight w:val="none"/>
          <w:lang w:val="en-US"/>
        </w:rPr>
      </w:pPr>
      <w:r>
        <w:rPr>
          <w:rFonts w:hint="default" w:ascii="Times New Roman" w:hAnsi="Times New Roman" w:cs="Times New Roman"/>
          <w:color w:val="auto"/>
          <w:sz w:val="28"/>
          <w:szCs w:val="28"/>
          <w:highlight w:val="none"/>
        </w:rPr>
        <w:t>十二、</w:t>
      </w:r>
      <w:r>
        <w:rPr>
          <w:rFonts w:hint="default" w:ascii="Times New Roman" w:hAnsi="Times New Roman" w:cs="Times New Roman"/>
          <w:color w:val="auto"/>
          <w:sz w:val="28"/>
          <w:szCs w:val="28"/>
          <w:highlight w:val="none"/>
          <w:lang w:val="en-US" w:eastAsia="zh-CN"/>
        </w:rPr>
        <w:t>国有资本经营预算财政拨款支出决算表...............................</w:t>
      </w:r>
      <w:r>
        <w:rPr>
          <w:rFonts w:hint="eastAsia" w:cs="Times New Roman"/>
          <w:color w:val="auto"/>
          <w:sz w:val="28"/>
          <w:szCs w:val="28"/>
          <w:highlight w:val="none"/>
          <w:lang w:val="en-US" w:eastAsia="zh-CN"/>
        </w:rPr>
        <w:t>.....33</w:t>
      </w:r>
    </w:p>
    <w:p>
      <w:pPr>
        <w:pStyle w:val="15"/>
        <w:pageBreakBefore w:val="0"/>
        <w:kinsoku/>
        <w:wordWrap/>
        <w:overflowPunct/>
        <w:topLinePunct w:val="0"/>
        <w:autoSpaceDE/>
        <w:autoSpaceDN/>
        <w:bidi w:val="0"/>
        <w:adjustRightInd w:val="0"/>
        <w:snapToGrid w:val="0"/>
        <w:spacing w:line="576" w:lineRule="exact"/>
        <w:ind w:left="0" w:leftChars="0"/>
        <w:jc w:val="left"/>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cs="Times New Roman"/>
          <w:color w:val="auto"/>
          <w:sz w:val="28"/>
          <w:szCs w:val="28"/>
          <w:highlight w:val="none"/>
        </w:rPr>
        <w:t>十三、财政拨款“三公”经费支出决算表</w:t>
      </w:r>
      <w:r>
        <w:rPr>
          <w:rFonts w:hint="default" w:ascii="Times New Roman" w:hAnsi="Times New Roman" w:cs="Times New Roman"/>
          <w:color w:val="auto"/>
          <w:sz w:val="28"/>
          <w:szCs w:val="28"/>
          <w:highlight w:val="none"/>
          <w:lang w:val="en-US" w:eastAsia="zh-CN"/>
        </w:rPr>
        <w:t>....................................</w:t>
      </w:r>
      <w:r>
        <w:rPr>
          <w:rFonts w:hint="eastAsia" w:cs="Times New Roman"/>
          <w:color w:val="auto"/>
          <w:sz w:val="28"/>
          <w:szCs w:val="28"/>
          <w:highlight w:val="none"/>
          <w:lang w:val="en-US" w:eastAsia="zh-CN"/>
        </w:rPr>
        <w:t>.............34</w:t>
      </w:r>
    </w:p>
    <w:p>
      <w:pPr>
        <w:pStyle w:val="5"/>
        <w:pageBreakBefore w:val="0"/>
        <w:kinsoku/>
        <w:wordWrap/>
        <w:overflowPunct/>
        <w:topLinePunct w:val="0"/>
        <w:autoSpaceDE/>
        <w:autoSpaceDN/>
        <w:bidi w:val="0"/>
        <w:spacing w:after="0" w:line="576" w:lineRule="exact"/>
        <w:ind w:left="0" w:leftChars="0"/>
        <w:jc w:val="center"/>
        <w:textAlignment w:val="auto"/>
        <w:rPr>
          <w:rFonts w:hint="eastAsia" w:ascii="Times New Roman" w:hAnsi="Times New Roman" w:eastAsia="黑体" w:cs="Times New Roman"/>
          <w:b w:val="0"/>
          <w:color w:val="auto"/>
          <w:highlight w:val="none"/>
          <w:lang w:val="en-US" w:eastAsia="zh-CN"/>
        </w:rPr>
        <w:sectPr>
          <w:footerReference r:id="rId4" w:type="default"/>
          <w:pgSz w:w="11906" w:h="16838"/>
          <w:pgMar w:top="1440" w:right="1800" w:bottom="1440" w:left="1800" w:header="851" w:footer="992" w:gutter="0"/>
          <w:pgNumType w:fmt="numberInDash" w:start="1"/>
          <w:cols w:space="720" w:num="1"/>
          <w:docGrid w:type="lines" w:linePitch="312" w:charSpace="0"/>
        </w:sectPr>
      </w:pPr>
      <w:bookmarkStart w:id="12" w:name="_Toc15396599"/>
      <w:bookmarkStart w:id="13" w:name="_Toc15377196"/>
    </w:p>
    <w:p>
      <w:pPr>
        <w:pStyle w:val="5"/>
        <w:jc w:val="center"/>
        <w:rPr>
          <w:rStyle w:val="20"/>
          <w:rFonts w:hint="default" w:ascii="Times New Roman" w:hAnsi="Times New Roman" w:eastAsia="黑体" w:cs="Times New Roman"/>
          <w:b/>
          <w:bCs w:val="0"/>
          <w:color w:val="auto"/>
          <w:highlight w:val="none"/>
        </w:rPr>
      </w:pPr>
      <w:r>
        <w:rPr>
          <w:rFonts w:hint="default" w:ascii="Times New Roman" w:hAnsi="Times New Roman" w:eastAsia="黑体" w:cs="Times New Roman"/>
          <w:b w:val="0"/>
          <w:color w:val="auto"/>
          <w:highlight w:val="none"/>
        </w:rPr>
        <w:t xml:space="preserve">第一部分 </w:t>
      </w:r>
      <w:r>
        <w:rPr>
          <w:rFonts w:hint="default" w:ascii="Times New Roman" w:hAnsi="Times New Roman" w:eastAsia="黑体" w:cs="Times New Roman"/>
          <w:b w:val="0"/>
          <w:color w:val="auto"/>
          <w:highlight w:val="none"/>
          <w:lang w:eastAsia="zh-CN"/>
        </w:rPr>
        <w:t>单位</w:t>
      </w:r>
      <w:r>
        <w:rPr>
          <w:rStyle w:val="20"/>
          <w:rFonts w:hint="default" w:ascii="Times New Roman" w:hAnsi="Times New Roman" w:eastAsia="黑体" w:cs="Times New Roman"/>
          <w:b w:val="0"/>
          <w:bCs w:val="0"/>
          <w:color w:val="auto"/>
          <w:highlight w:val="none"/>
        </w:rPr>
        <w:t>概况</w:t>
      </w:r>
      <w:bookmarkEnd w:id="12"/>
      <w:bookmarkEnd w:id="13"/>
    </w:p>
    <w:p>
      <w:pPr>
        <w:widowControl/>
        <w:jc w:val="left"/>
        <w:rPr>
          <w:rFonts w:hint="default" w:ascii="Times New Roman" w:hAnsi="Times New Roman" w:eastAsia="黑体" w:cs="Times New Roman"/>
          <w:color w:val="auto"/>
          <w:sz w:val="32"/>
          <w:szCs w:val="32"/>
          <w:highlight w:val="none"/>
        </w:rPr>
      </w:pPr>
    </w:p>
    <w:p>
      <w:pPr>
        <w:pStyle w:val="6"/>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Chars="0" w:firstLine="640" w:firstLineChars="200"/>
        <w:textAlignment w:val="auto"/>
        <w:rPr>
          <w:rStyle w:val="21"/>
          <w:rFonts w:hint="default" w:ascii="Times New Roman" w:hAnsi="Times New Roman" w:eastAsia="黑体" w:cs="Times New Roman"/>
          <w:b w:val="0"/>
          <w:bCs w:val="0"/>
          <w:color w:val="auto"/>
          <w:highlight w:val="none"/>
          <w:lang w:eastAsia="zh-CN"/>
        </w:rPr>
      </w:pPr>
      <w:bookmarkStart w:id="14" w:name="_Toc15377197"/>
      <w:bookmarkStart w:id="15" w:name="_Toc15396600"/>
      <w:r>
        <w:rPr>
          <w:rStyle w:val="21"/>
          <w:rFonts w:hint="default" w:ascii="Times New Roman" w:hAnsi="Times New Roman" w:eastAsia="黑体" w:cs="Times New Roman"/>
          <w:b w:val="0"/>
          <w:bCs w:val="0"/>
          <w:color w:val="auto"/>
          <w:highlight w:val="none"/>
          <w:lang w:eastAsia="zh-CN"/>
        </w:rPr>
        <w:t>一、主要职责</w:t>
      </w:r>
    </w:p>
    <w:p>
      <w:pPr>
        <w:pStyle w:val="6"/>
        <w:keepNext/>
        <w:keepLines/>
        <w:pageBreakBefore w:val="0"/>
        <w:widowControl w:val="0"/>
        <w:numPr>
          <w:ilvl w:val="0"/>
          <w:numId w:val="0"/>
        </w:numPr>
        <w:kinsoku/>
        <w:wordWrap/>
        <w:overflowPunct/>
        <w:topLinePunct w:val="0"/>
        <w:autoSpaceDE/>
        <w:autoSpaceDN/>
        <w:bidi w:val="0"/>
        <w:adjustRightInd/>
        <w:snapToGrid/>
        <w:spacing w:before="0" w:after="0" w:line="576" w:lineRule="exact"/>
        <w:ind w:leftChars="0" w:firstLine="640" w:firstLineChars="200"/>
        <w:textAlignment w:val="auto"/>
        <w:rPr>
          <w:rStyle w:val="21"/>
          <w:rFonts w:hint="default" w:ascii="Times New Roman" w:hAnsi="Times New Roman" w:eastAsia="黑体" w:cs="Times New Roman"/>
          <w:b w:val="0"/>
          <w:bCs w:val="0"/>
          <w:color w:val="auto"/>
          <w:highlight w:val="none"/>
          <w:lang w:eastAsia="zh-CN"/>
        </w:rPr>
      </w:pPr>
      <w:r>
        <w:rPr>
          <w:rFonts w:hint="default" w:ascii="Times New Roman" w:hAnsi="Times New Roman" w:eastAsia="仿宋_GB2312" w:cs="Times New Roman"/>
          <w:b w:val="0"/>
          <w:bCs w:val="0"/>
          <w:sz w:val="32"/>
          <w:szCs w:val="32"/>
        </w:rPr>
        <w:t>按照州委全面深化改革委员会的安排，收集9个改革专项小组开展全面深化改革重大问题的政策研究问题及成果；汇总有关改革问题的信息资料，及时跟踪改革热点、追踪理论前沿、解读重大政策、展示基层亮点；收集编发州内外深化改革工作经验；协调或参与有关研究机构和专家学者就改革重要问题进行研究和咨询；完成州委全面深化改革委员会交办的其他工作。</w:t>
      </w:r>
    </w:p>
    <w:p>
      <w:pPr>
        <w:pStyle w:val="6"/>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default" w:ascii="Times New Roman" w:hAnsi="Times New Roman" w:eastAsia="黑体" w:cs="Times New Roman"/>
          <w:b w:val="0"/>
          <w:color w:val="auto"/>
          <w:highlight w:val="none"/>
          <w:lang w:val="en-US" w:eastAsia="zh-CN"/>
        </w:rPr>
      </w:pPr>
      <w:r>
        <w:rPr>
          <w:rFonts w:hint="default" w:ascii="Times New Roman" w:hAnsi="Times New Roman" w:eastAsia="黑体" w:cs="Times New Roman"/>
          <w:b w:val="0"/>
          <w:color w:val="auto"/>
          <w:highlight w:val="none"/>
          <w:lang w:val="en-US" w:eastAsia="zh-CN"/>
        </w:rPr>
        <w:t>二、机构设置</w:t>
      </w:r>
      <w:bookmarkEnd w:id="14"/>
      <w:bookmarkEnd w:id="15"/>
    </w:p>
    <w:p>
      <w:pPr>
        <w:pStyle w:val="6"/>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default" w:ascii="Times New Roman" w:hAnsi="Times New Roman" w:eastAsia="仿宋" w:cs="Times New Roman"/>
          <w:b w:val="0"/>
          <w:bCs w:val="0"/>
          <w:color w:val="auto"/>
          <w:sz w:val="32"/>
          <w:szCs w:val="32"/>
          <w:highlight w:val="none"/>
        </w:rPr>
      </w:pPr>
      <w:r>
        <w:rPr>
          <w:rFonts w:hint="default" w:ascii="Times New Roman" w:hAnsi="Times New Roman" w:eastAsia="仿宋" w:cs="Times New Roman"/>
          <w:b w:val="0"/>
          <w:bCs w:val="0"/>
          <w:color w:val="auto"/>
          <w:sz w:val="32"/>
          <w:szCs w:val="32"/>
          <w:highlight w:val="none"/>
        </w:rPr>
        <w:t>本</w:t>
      </w:r>
      <w:r>
        <w:rPr>
          <w:rFonts w:hint="eastAsia" w:ascii="Times New Roman" w:hAnsi="Times New Roman" w:eastAsia="仿宋" w:cs="Times New Roman"/>
          <w:b w:val="0"/>
          <w:bCs w:val="0"/>
          <w:color w:val="auto"/>
          <w:sz w:val="32"/>
          <w:szCs w:val="32"/>
          <w:highlight w:val="none"/>
          <w:lang w:eastAsia="zh-CN"/>
        </w:rPr>
        <w:t>单位</w:t>
      </w:r>
      <w:r>
        <w:rPr>
          <w:rFonts w:hint="default" w:ascii="Times New Roman" w:hAnsi="Times New Roman" w:eastAsia="仿宋" w:cs="Times New Roman"/>
          <w:b w:val="0"/>
          <w:bCs w:val="0"/>
          <w:color w:val="auto"/>
          <w:sz w:val="32"/>
          <w:szCs w:val="32"/>
          <w:highlight w:val="none"/>
        </w:rPr>
        <w:t>属二级预算单位，编制数为4名，202</w:t>
      </w:r>
      <w:r>
        <w:rPr>
          <w:rFonts w:hint="eastAsia" w:ascii="Times New Roman" w:hAnsi="Times New Roman" w:eastAsia="仿宋" w:cs="Times New Roman"/>
          <w:b w:val="0"/>
          <w:bCs w:val="0"/>
          <w:color w:val="auto"/>
          <w:sz w:val="32"/>
          <w:szCs w:val="32"/>
          <w:highlight w:val="none"/>
          <w:lang w:val="en-US" w:eastAsia="zh-CN"/>
        </w:rPr>
        <w:t>4</w:t>
      </w:r>
      <w:r>
        <w:rPr>
          <w:rFonts w:hint="default" w:ascii="Times New Roman" w:hAnsi="Times New Roman" w:eastAsia="仿宋" w:cs="Times New Roman"/>
          <w:b w:val="0"/>
          <w:bCs w:val="0"/>
          <w:color w:val="auto"/>
          <w:sz w:val="32"/>
          <w:szCs w:val="32"/>
          <w:highlight w:val="none"/>
        </w:rPr>
        <w:t>年年末在职职工</w:t>
      </w:r>
      <w:r>
        <w:rPr>
          <w:rFonts w:hint="eastAsia" w:ascii="Times New Roman" w:hAnsi="Times New Roman" w:eastAsia="仿宋" w:cs="Times New Roman"/>
          <w:b w:val="0"/>
          <w:bCs w:val="0"/>
          <w:color w:val="auto"/>
          <w:sz w:val="32"/>
          <w:szCs w:val="32"/>
          <w:highlight w:val="none"/>
          <w:lang w:val="en-US" w:eastAsia="zh-CN"/>
        </w:rPr>
        <w:t>2</w:t>
      </w:r>
      <w:r>
        <w:rPr>
          <w:rFonts w:hint="default" w:ascii="Times New Roman" w:hAnsi="Times New Roman" w:eastAsia="仿宋" w:cs="Times New Roman"/>
          <w:b w:val="0"/>
          <w:bCs w:val="0"/>
          <w:color w:val="auto"/>
          <w:sz w:val="32"/>
          <w:szCs w:val="32"/>
          <w:highlight w:val="none"/>
        </w:rPr>
        <w:t>人。</w: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rPr>
      </w:pPr>
    </w:p>
    <w:p>
      <w:pPr>
        <w:widowControl/>
        <w:jc w:val="left"/>
        <w:rPr>
          <w:rFonts w:hint="default" w:ascii="Times New Roman" w:hAnsi="Times New Roman" w:eastAsia="仿宋" w:cs="Times New Roman"/>
          <w:color w:val="auto"/>
          <w:kern w:val="0"/>
          <w:sz w:val="32"/>
          <w:szCs w:val="32"/>
          <w:highlight w:val="none"/>
        </w:rPr>
      </w:pPr>
    </w:p>
    <w:p>
      <w:pPr>
        <w:pStyle w:val="5"/>
        <w:ind w:right="440"/>
        <w:jc w:val="center"/>
        <w:rPr>
          <w:rStyle w:val="20"/>
          <w:rFonts w:hint="default" w:ascii="Times New Roman" w:hAnsi="Times New Roman" w:eastAsia="黑体" w:cs="Times New Roman"/>
          <w:b w:val="0"/>
          <w:bCs/>
          <w:color w:val="auto"/>
          <w:highlight w:val="none"/>
        </w:rPr>
      </w:pPr>
      <w:bookmarkStart w:id="16" w:name="_Toc15377204"/>
      <w:bookmarkStart w:id="17" w:name="_Toc15396602"/>
      <w:r>
        <w:rPr>
          <w:rFonts w:hint="default" w:ascii="Times New Roman" w:hAnsi="Times New Roman" w:eastAsia="黑体" w:cs="Times New Roman"/>
          <w:b w:val="0"/>
          <w:bCs/>
          <w:color w:val="auto"/>
          <w:highlight w:val="none"/>
        </w:rPr>
        <w:t xml:space="preserve">第二部分 </w:t>
      </w:r>
      <w:r>
        <w:rPr>
          <w:rFonts w:hint="default" w:ascii="Times New Roman" w:hAnsi="Times New Roman" w:eastAsia="黑体" w:cs="Times New Roman"/>
          <w:b w:val="0"/>
          <w:bCs/>
          <w:color w:val="auto"/>
          <w:highlight w:val="none"/>
          <w:lang w:val="en-US" w:eastAsia="zh-CN"/>
        </w:rPr>
        <w:t>202</w:t>
      </w:r>
      <w:r>
        <w:rPr>
          <w:rFonts w:hint="eastAsia" w:eastAsia="黑体" w:cs="Times New Roman"/>
          <w:b w:val="0"/>
          <w:bCs/>
          <w:color w:val="auto"/>
          <w:highlight w:val="none"/>
          <w:lang w:val="en-US" w:eastAsia="zh-CN"/>
        </w:rPr>
        <w:t>4</w:t>
      </w:r>
      <w:r>
        <w:rPr>
          <w:rFonts w:hint="default" w:ascii="Times New Roman" w:hAnsi="Times New Roman" w:eastAsia="黑体" w:cs="Times New Roman"/>
          <w:b w:val="0"/>
          <w:bCs/>
          <w:color w:val="auto"/>
          <w:highlight w:val="none"/>
          <w:lang w:val="en-US" w:eastAsia="zh-CN"/>
        </w:rPr>
        <w:t>年度</w:t>
      </w:r>
      <w:r>
        <w:rPr>
          <w:rStyle w:val="20"/>
          <w:rFonts w:hint="default" w:ascii="Times New Roman" w:hAnsi="Times New Roman" w:eastAsia="黑体" w:cs="Times New Roman"/>
          <w:b w:val="0"/>
          <w:bCs/>
          <w:color w:val="auto"/>
          <w:highlight w:val="none"/>
          <w:lang w:eastAsia="zh-CN"/>
        </w:rPr>
        <w:t>单位</w:t>
      </w:r>
      <w:r>
        <w:rPr>
          <w:rStyle w:val="20"/>
          <w:rFonts w:hint="default" w:ascii="Times New Roman" w:hAnsi="Times New Roman" w:eastAsia="黑体" w:cs="Times New Roman"/>
          <w:b w:val="0"/>
          <w:bCs/>
          <w:color w:val="auto"/>
          <w:highlight w:val="none"/>
        </w:rPr>
        <w:t>决算情况说明</w:t>
      </w:r>
      <w:bookmarkEnd w:id="16"/>
      <w:bookmarkEnd w:id="17"/>
    </w:p>
    <w:p>
      <w:pPr>
        <w:rPr>
          <w:rFonts w:hint="default" w:ascii="Times New Roman" w:hAnsi="Times New Roman" w:cs="Times New Roman"/>
          <w:color w:val="auto"/>
          <w:highlight w:val="none"/>
        </w:rPr>
      </w:pPr>
    </w:p>
    <w:p>
      <w:pPr>
        <w:pStyle w:val="26"/>
        <w:numPr>
          <w:ilvl w:val="0"/>
          <w:numId w:val="0"/>
        </w:numPr>
        <w:spacing w:line="600" w:lineRule="exact"/>
        <w:ind w:left="640" w:leftChars="0"/>
        <w:outlineLvl w:val="1"/>
        <w:rPr>
          <w:rStyle w:val="21"/>
          <w:rFonts w:hint="default" w:ascii="Times New Roman" w:hAnsi="Times New Roman" w:eastAsia="黑体" w:cs="Times New Roman"/>
          <w:b w:val="0"/>
          <w:color w:val="auto"/>
          <w:highlight w:val="none"/>
        </w:rPr>
      </w:pPr>
      <w:bookmarkStart w:id="18" w:name="_Toc15377205"/>
      <w:bookmarkStart w:id="19" w:name="_Toc15396603"/>
      <w:r>
        <w:rPr>
          <w:rFonts w:hint="eastAsia"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21"/>
          <w:rFonts w:hint="default" w:ascii="Times New Roman" w:hAnsi="Times New Roman" w:eastAsia="黑体" w:cs="Times New Roman"/>
          <w:b w:val="0"/>
          <w:color w:val="auto"/>
          <w:highlight w:val="none"/>
        </w:rPr>
        <w:t>入支出决算总体情况说明</w:t>
      </w:r>
      <w:bookmarkEnd w:id="18"/>
      <w:bookmarkEnd w:id="19"/>
    </w:p>
    <w:p>
      <w:pPr>
        <w:spacing w:line="600" w:lineRule="exact"/>
        <w:ind w:firstLine="640"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eastAsia="zh-CN"/>
        </w:rPr>
        <w:t>2024年度收入</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支出</w:t>
      </w:r>
      <w:r>
        <w:rPr>
          <w:rFonts w:hint="default" w:ascii="Times New Roman" w:hAnsi="Times New Roman" w:eastAsia="仿宋" w:cs="Times New Roman"/>
          <w:color w:val="auto"/>
          <w:sz w:val="32"/>
          <w:szCs w:val="32"/>
          <w:highlight w:val="none"/>
        </w:rPr>
        <w:t>总计</w:t>
      </w:r>
      <w:r>
        <w:rPr>
          <w:rFonts w:hint="default" w:ascii="Times New Roman" w:hAnsi="Times New Roman" w:eastAsia="仿宋" w:cs="Times New Roman"/>
          <w:color w:val="auto"/>
          <w:sz w:val="32"/>
          <w:szCs w:val="32"/>
          <w:highlight w:val="none"/>
          <w:lang w:eastAsia="zh-CN"/>
        </w:rPr>
        <w:t>均为</w:t>
      </w:r>
      <w:r>
        <w:rPr>
          <w:rFonts w:hint="default" w:ascii="Times New Roman" w:hAnsi="Times New Roman" w:eastAsia="仿宋" w:cs="Times New Roman"/>
          <w:color w:val="auto"/>
          <w:sz w:val="32"/>
          <w:szCs w:val="32"/>
          <w:highlight w:val="none"/>
        </w:rPr>
        <w:t>2.88万元</w:t>
      </w:r>
      <w:r>
        <w:rPr>
          <w:rFonts w:hint="eastAsia"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年度收、支总计</w:t>
      </w:r>
      <w:r>
        <w:rPr>
          <w:rFonts w:hint="eastAsia" w:eastAsia="仿宋" w:cs="Times New Roman"/>
          <w:color w:val="auto"/>
          <w:sz w:val="32"/>
          <w:szCs w:val="32"/>
          <w:highlight w:val="none"/>
          <w:lang w:val="en-US" w:eastAsia="zh-CN"/>
        </w:rPr>
        <w:t>1.91</w:t>
      </w:r>
      <w:r>
        <w:rPr>
          <w:rFonts w:hint="default" w:ascii="Times New Roman" w:hAnsi="Times New Roman" w:eastAsia="仿宋" w:cs="Times New Roman"/>
          <w:color w:val="auto"/>
          <w:sz w:val="32"/>
          <w:szCs w:val="32"/>
          <w:highlight w:val="none"/>
        </w:rPr>
        <w:t>万元。与20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年相比，收、支总计各</w:t>
      </w:r>
      <w:r>
        <w:rPr>
          <w:rFonts w:hint="eastAsia" w:eastAsia="仿宋" w:cs="Times New Roman"/>
          <w:color w:val="auto"/>
          <w:sz w:val="32"/>
          <w:szCs w:val="32"/>
          <w:highlight w:val="none"/>
          <w:lang w:val="en-US" w:eastAsia="zh-CN"/>
        </w:rPr>
        <w:t>0.97</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增长</w:t>
      </w:r>
      <w:r>
        <w:rPr>
          <w:rFonts w:hint="eastAsia" w:eastAsia="仿宋" w:cs="Times New Roman"/>
          <w:color w:val="auto"/>
          <w:sz w:val="32"/>
          <w:szCs w:val="32"/>
          <w:highlight w:val="none"/>
          <w:lang w:val="en-US" w:eastAsia="zh-CN"/>
        </w:rPr>
        <w:t>50.78</w:t>
      </w:r>
      <w:r>
        <w:rPr>
          <w:rFonts w:hint="default" w:ascii="Times New Roman" w:hAnsi="Times New Roman" w:eastAsia="仿宋" w:cs="Times New Roman"/>
          <w:color w:val="auto"/>
          <w:sz w:val="32"/>
          <w:szCs w:val="32"/>
          <w:highlight w:val="none"/>
        </w:rPr>
        <w:t>%。主要变动原因是</w:t>
      </w:r>
      <w:r>
        <w:rPr>
          <w:rFonts w:hint="eastAsia"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202</w:t>
      </w:r>
      <w:r>
        <w:rPr>
          <w:rFonts w:hint="eastAsia" w:eastAsia="仿宋" w:cs="Times New Roman"/>
          <w:color w:val="auto"/>
          <w:sz w:val="32"/>
          <w:szCs w:val="32"/>
          <w:highlight w:val="none"/>
          <w:lang w:val="en-US" w:eastAsia="zh-CN"/>
        </w:rPr>
        <w:t>4年底新进人员2名</w:t>
      </w:r>
      <w:r>
        <w:rPr>
          <w:rFonts w:hint="default" w:ascii="Times New Roman" w:hAnsi="Times New Roman" w:eastAsia="仿宋" w:cs="Times New Roman"/>
          <w:color w:val="auto"/>
          <w:sz w:val="32"/>
          <w:szCs w:val="32"/>
          <w:highlight w:val="none"/>
          <w:lang w:eastAsia="zh-CN"/>
        </w:rPr>
        <w:t>。</w:t>
      </w:r>
    </w:p>
    <w:p>
      <w:pPr>
        <w:pStyle w:val="14"/>
        <w:rPr>
          <w:rFonts w:hint="default" w:ascii="Times New Roman" w:hAnsi="Times New Roman" w:eastAsia="仿宋_GB2312" w:cs="Times New Roman"/>
          <w:color w:val="auto"/>
          <w:sz w:val="32"/>
          <w:szCs w:val="32"/>
          <w:highlight w:val="none"/>
        </w:rPr>
      </w:pPr>
    </w:p>
    <w:p>
      <w:pPr>
        <w:rPr>
          <w:rFonts w:hint="default"/>
        </w:rPr>
      </w:pPr>
      <w:r>
        <w:drawing>
          <wp:inline distT="0" distB="0" distL="114300" distR="114300">
            <wp:extent cx="4173855" cy="2515235"/>
            <wp:effectExtent l="4445" t="4445" r="12700"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hint="default" w:ascii="Times New Roman" w:hAnsi="Times New Roman" w:eastAsia="仿宋" w:cs="Times New Roman"/>
          <w:color w:val="auto"/>
          <w:sz w:val="32"/>
          <w:szCs w:val="32"/>
          <w:highlight w:val="none"/>
        </w:rPr>
      </w:pPr>
      <w:bookmarkStart w:id="20" w:name="_Toc15377206"/>
      <w:bookmarkStart w:id="21" w:name="_Toc15396604"/>
      <w:r>
        <w:rPr>
          <w:rFonts w:hint="default" w:ascii="Times New Roman" w:hAnsi="Times New Roman" w:eastAsia="仿宋" w:cs="Times New Roman"/>
          <w:color w:val="auto"/>
          <w:sz w:val="32"/>
          <w:szCs w:val="32"/>
          <w:highlight w:val="none"/>
        </w:rPr>
        <w:t>（图1：收、支决算总计变动情况图）（柱状图）</w:t>
      </w:r>
    </w:p>
    <w:p>
      <w:pPr>
        <w:pStyle w:val="26"/>
        <w:numPr>
          <w:ilvl w:val="0"/>
          <w:numId w:val="0"/>
        </w:numPr>
        <w:spacing w:line="600" w:lineRule="exact"/>
        <w:ind w:left="640" w:leftChars="0"/>
        <w:outlineLvl w:val="1"/>
        <w:rPr>
          <w:rFonts w:hint="eastAsia" w:eastAsia="黑体" w:cs="Times New Roman"/>
          <w:color w:val="auto"/>
          <w:sz w:val="32"/>
          <w:szCs w:val="32"/>
          <w:highlight w:val="none"/>
          <w:lang w:eastAsia="zh-CN"/>
        </w:rPr>
      </w:pPr>
    </w:p>
    <w:p>
      <w:pPr>
        <w:pStyle w:val="26"/>
        <w:numPr>
          <w:ilvl w:val="0"/>
          <w:numId w:val="0"/>
        </w:numPr>
        <w:spacing w:line="600" w:lineRule="exact"/>
        <w:ind w:left="640" w:leftChars="0"/>
        <w:outlineLvl w:val="1"/>
        <w:rPr>
          <w:rStyle w:val="21"/>
          <w:rFonts w:hint="default" w:ascii="Times New Roman" w:hAnsi="Times New Roman" w:eastAsia="黑体" w:cs="Times New Roman"/>
          <w:b w:val="0"/>
          <w:color w:val="auto"/>
          <w:highlight w:val="none"/>
        </w:rPr>
      </w:pPr>
      <w:r>
        <w:rPr>
          <w:rFonts w:hint="eastAsia" w:eastAsia="黑体" w:cs="Times New Roman"/>
          <w:color w:val="auto"/>
          <w:sz w:val="32"/>
          <w:szCs w:val="32"/>
          <w:highlight w:val="none"/>
          <w:lang w:eastAsia="zh-CN"/>
        </w:rPr>
        <w:t>二、</w:t>
      </w:r>
      <w:r>
        <w:rPr>
          <w:rFonts w:hint="default" w:ascii="Times New Roman" w:hAnsi="Times New Roman" w:eastAsia="黑体" w:cs="Times New Roman"/>
          <w:color w:val="auto"/>
          <w:sz w:val="32"/>
          <w:szCs w:val="32"/>
          <w:highlight w:val="none"/>
        </w:rPr>
        <w:t>收</w:t>
      </w:r>
      <w:r>
        <w:rPr>
          <w:rStyle w:val="21"/>
          <w:rFonts w:hint="default" w:ascii="Times New Roman" w:hAnsi="Times New Roman" w:eastAsia="黑体" w:cs="Times New Roman"/>
          <w:b w:val="0"/>
          <w:color w:val="auto"/>
          <w:highlight w:val="none"/>
        </w:rPr>
        <w:t>入决算情况说明</w:t>
      </w:r>
      <w:bookmarkEnd w:id="20"/>
      <w:bookmarkEnd w:id="21"/>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年本年收入合计</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万元，其中：一般公共预算财政拨款收入</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%；政府性基金预算财政拨款收入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eastAsia="zh-CN"/>
        </w:rPr>
        <w:t>国有资本经营预算财政拨款收入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%；上级补助收入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%；事业收入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%；经营收入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%；附属单位上缴收入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%；其他收入</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p>
    <w:p>
      <w:pPr>
        <w:spacing w:line="600" w:lineRule="exact"/>
        <w:outlineLvl w:val="1"/>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（注：数据来源于财决01表</w:t>
      </w:r>
      <w:r>
        <w:rPr>
          <w:rFonts w:hint="default" w:ascii="Times New Roman" w:hAnsi="Times New Roman" w:eastAsia="仿宋" w:cs="Times New Roman"/>
          <w:b/>
          <w:color w:val="auto"/>
          <w:sz w:val="32"/>
          <w:szCs w:val="32"/>
          <w:highlight w:val="none"/>
          <w:lang w:eastAsia="zh-CN"/>
        </w:rPr>
        <w:t>，仅罗列本单位涉及的收入。</w:t>
      </w:r>
      <w:r>
        <w:rPr>
          <w:rFonts w:hint="default" w:ascii="Times New Roman" w:hAnsi="Times New Roman" w:eastAsia="仿宋" w:cs="Times New Roman"/>
          <w:b/>
          <w:color w:val="auto"/>
          <w:sz w:val="32"/>
          <w:szCs w:val="32"/>
          <w:highlight w:val="none"/>
        </w:rPr>
        <w:t>）</w:t>
      </w:r>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eastAsia="仿宋_GB2312"/>
          <w:color w:val="000000"/>
          <w:sz w:val="32"/>
          <w:szCs w:val="32"/>
        </w:rPr>
        <w:pict>
          <v:shape id="_x0000_s1026" o:spid="_x0000_s1026" o:spt="75" alt="olechartimg_1694998841997357_1020478464" type="#_x0000_t75" style="position:absolute;left:0pt;margin-left:12.45pt;margin-top:19.15pt;height:199.7pt;width:370.9pt;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v:imagedata r:id="rId9" o:title=""/>
            <o:lock v:ext="edit" aspectratio="t"/>
            <w10:wrap type="tight"/>
          </v:shape>
          <o:OLEObject Type="Embed" ProgID="Excel.Chart.8" ShapeID="_x0000_s1026" DrawAspect="Content" ObjectID="_1468075725" r:id="rId8">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（图2：收入决算结构图）（饼状图）</w:t>
      </w:r>
    </w:p>
    <w:p>
      <w:pPr>
        <w:spacing w:line="600" w:lineRule="exact"/>
        <w:ind w:firstLine="640" w:firstLineChars="200"/>
        <w:rPr>
          <w:rFonts w:hint="default" w:ascii="Times New Roman" w:hAnsi="Times New Roman" w:eastAsia="仿宋_GB2312" w:cs="Times New Roman"/>
          <w:color w:val="auto"/>
          <w:sz w:val="32"/>
          <w:szCs w:val="32"/>
          <w:highlight w:val="none"/>
        </w:rPr>
      </w:pPr>
    </w:p>
    <w:p>
      <w:pPr>
        <w:pStyle w:val="26"/>
        <w:numPr>
          <w:ilvl w:val="0"/>
          <w:numId w:val="0"/>
        </w:numPr>
        <w:spacing w:line="600" w:lineRule="exact"/>
        <w:ind w:left="640" w:leftChars="0"/>
        <w:outlineLvl w:val="1"/>
        <w:rPr>
          <w:rStyle w:val="21"/>
          <w:rFonts w:hint="default" w:ascii="Times New Roman" w:hAnsi="Times New Roman" w:eastAsia="黑体" w:cs="Times New Roman"/>
          <w:b w:val="0"/>
          <w:color w:val="auto"/>
          <w:highlight w:val="none"/>
        </w:rPr>
      </w:pPr>
      <w:bookmarkStart w:id="22" w:name="_Toc15396605"/>
      <w:bookmarkStart w:id="23" w:name="_Toc15377207"/>
      <w:r>
        <w:rPr>
          <w:rFonts w:hint="eastAsia"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21"/>
          <w:rFonts w:hint="default" w:ascii="Times New Roman" w:hAnsi="Times New Roman" w:eastAsia="黑体" w:cs="Times New Roman"/>
          <w:b w:val="0"/>
          <w:color w:val="auto"/>
          <w:highlight w:val="none"/>
        </w:rPr>
        <w:t>出决算情况说明</w:t>
      </w:r>
      <w:bookmarkEnd w:id="22"/>
      <w:bookmarkEnd w:id="23"/>
    </w:p>
    <w:p>
      <w:pPr>
        <w:spacing w:line="600" w:lineRule="exact"/>
        <w:ind w:firstLine="640" w:firstLineChars="200"/>
        <w:outlineLvl w:val="1"/>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年本年支出合计</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万元，其中：基本支出</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%；项目支出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%；上缴上级支出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%；经营支出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%；对附属单位补助支出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w:t>
      </w:r>
    </w:p>
    <w:p>
      <w:pPr>
        <w:spacing w:line="600" w:lineRule="exact"/>
        <w:outlineLvl w:val="1"/>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（注：数据来源于财决04表</w:t>
      </w:r>
      <w:r>
        <w:rPr>
          <w:rFonts w:hint="default" w:ascii="Times New Roman" w:hAnsi="Times New Roman" w:eastAsia="仿宋" w:cs="Times New Roman"/>
          <w:b/>
          <w:color w:val="auto"/>
          <w:sz w:val="32"/>
          <w:szCs w:val="32"/>
          <w:highlight w:val="none"/>
          <w:lang w:eastAsia="zh-CN"/>
        </w:rPr>
        <w:t>，仅罗列本单位涉及的支出。</w:t>
      </w:r>
      <w:r>
        <w:rPr>
          <w:rFonts w:hint="default" w:ascii="Times New Roman" w:hAnsi="Times New Roman" w:eastAsia="仿宋" w:cs="Times New Roman"/>
          <w:b/>
          <w:color w:val="auto"/>
          <w:sz w:val="32"/>
          <w:szCs w:val="32"/>
          <w:highlight w:val="none"/>
        </w:rPr>
        <w:t>）</w:t>
      </w:r>
    </w:p>
    <w:p>
      <w:pPr>
        <w:spacing w:line="600" w:lineRule="exact"/>
        <w:ind w:firstLine="640"/>
        <w:rPr>
          <w:rFonts w:hint="default" w:ascii="Times New Roman" w:hAnsi="Times New Roman" w:eastAsia="仿宋" w:cs="Times New Roman"/>
          <w:color w:val="auto"/>
          <w:sz w:val="32"/>
          <w:szCs w:val="32"/>
          <w:highlight w:val="none"/>
          <w:shd w:val="pct10" w:color="auto" w:fill="FFFFFF"/>
        </w:rPr>
      </w:pPr>
      <w:r>
        <w:rPr>
          <w:rFonts w:eastAsia="仿宋_GB2312"/>
          <w:color w:val="000000"/>
          <w:sz w:val="32"/>
          <w:szCs w:val="32"/>
        </w:rPr>
        <w:pict>
          <v:shape id="_x0000_s1027" o:spid="_x0000_s1027" o:spt="75" alt="olechartimg_1694998952107519_634348544" type="#_x0000_t75" style="position:absolute;left:0pt;margin-left:57.75pt;margin-top:564.25pt;height:208pt;width:272.3pt;mso-position-vertical-relative:page;mso-wrap-distance-bottom:0pt;mso-wrap-distance-left:9pt;mso-wrap-distance-right:9pt;mso-wrap-distance-top:0pt;z-index:251660288;mso-width-relative:page;mso-height-relative:page;" o:ole="t" filled="f" o:preferrelative="t" stroked="f" coordsize="21600,21600">
            <v:path/>
            <v:fill on="f" focussize="0,0"/>
            <v:stroke on="f"/>
            <v:imagedata r:id="rId11" o:title=""/>
            <o:lock v:ext="edit" aspectratio="t"/>
            <w10:wrap type="square"/>
          </v:shape>
          <o:OLEObject Type="Embed" ProgID="Excel.Chart.8" ShapeID="_x0000_s1027" DrawAspect="Content" ObjectID="_1468075726" r:id="rId10">
            <o:LockedField>false</o:LockedField>
          </o:OLEObject>
        </w:pict>
      </w:r>
    </w:p>
    <w:p>
      <w:pPr>
        <w:pStyle w:val="14"/>
        <w:rPr>
          <w:rFonts w:hint="default" w:ascii="Times New Roman" w:hAnsi="Times New Roman" w:eastAsia="仿宋" w:cs="Times New Roman"/>
          <w:color w:val="auto"/>
          <w:sz w:val="32"/>
          <w:szCs w:val="32"/>
          <w:highlight w:val="none"/>
          <w:shd w:val="pct10" w:color="auto" w:fill="FFFFFF"/>
        </w:rPr>
      </w:pPr>
    </w:p>
    <w:p>
      <w:pPr>
        <w:rPr>
          <w:rFonts w:hint="default" w:ascii="Times New Roman" w:hAnsi="Times New Roman" w:eastAsia="仿宋" w:cs="Times New Roman"/>
          <w:color w:val="auto"/>
          <w:sz w:val="32"/>
          <w:szCs w:val="32"/>
          <w:highlight w:val="none"/>
          <w:shd w:val="pct10" w:color="auto" w:fill="FFFFFF"/>
        </w:rPr>
      </w:pPr>
    </w:p>
    <w:p>
      <w:pPr>
        <w:pStyle w:val="14"/>
        <w:rPr>
          <w:rFonts w:hint="default" w:ascii="Times New Roman" w:hAnsi="Times New Roman" w:eastAsia="仿宋" w:cs="Times New Roman"/>
          <w:color w:val="auto"/>
          <w:sz w:val="32"/>
          <w:szCs w:val="32"/>
          <w:highlight w:val="none"/>
          <w:shd w:val="pct10" w:color="auto" w:fill="FFFFFF"/>
        </w:rPr>
      </w:pPr>
    </w:p>
    <w:p>
      <w:pPr>
        <w:rPr>
          <w:rFonts w:hint="default" w:ascii="Times New Roman" w:hAnsi="Times New Roman" w:eastAsia="仿宋" w:cs="Times New Roman"/>
          <w:color w:val="auto"/>
          <w:sz w:val="32"/>
          <w:szCs w:val="32"/>
          <w:highlight w:val="none"/>
          <w:shd w:val="pct10" w:color="auto" w:fill="FFFFFF"/>
        </w:rPr>
      </w:pPr>
    </w:p>
    <w:p>
      <w:pPr>
        <w:pStyle w:val="14"/>
        <w:rPr>
          <w:rFonts w:hint="default"/>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（图3：支出决算结构图）（饼状图）</w:t>
      </w:r>
    </w:p>
    <w:p>
      <w:pPr>
        <w:spacing w:line="600" w:lineRule="exact"/>
        <w:ind w:firstLine="640" w:firstLineChars="200"/>
        <w:outlineLvl w:val="1"/>
        <w:rPr>
          <w:rStyle w:val="21"/>
          <w:rFonts w:hint="default" w:ascii="Times New Roman" w:hAnsi="Times New Roman" w:eastAsia="黑体" w:cs="Times New Roman"/>
          <w:b w:val="0"/>
          <w:color w:val="auto"/>
          <w:highlight w:val="none"/>
        </w:rPr>
      </w:pPr>
      <w:bookmarkStart w:id="24" w:name="_Toc15377208"/>
      <w:bookmarkStart w:id="25" w:name="_Toc15396606"/>
      <w:r>
        <w:rPr>
          <w:rFonts w:hint="default" w:ascii="Times New Roman" w:hAnsi="Times New Roman" w:eastAsia="黑体" w:cs="Times New Roman"/>
          <w:color w:val="auto"/>
          <w:sz w:val="32"/>
          <w:szCs w:val="32"/>
          <w:highlight w:val="none"/>
        </w:rPr>
        <w:t>四、财</w:t>
      </w:r>
      <w:r>
        <w:rPr>
          <w:rStyle w:val="21"/>
          <w:rFonts w:hint="default" w:ascii="Times New Roman" w:hAnsi="Times New Roman" w:eastAsia="黑体" w:cs="Times New Roman"/>
          <w:b w:val="0"/>
          <w:color w:val="auto"/>
          <w:highlight w:val="none"/>
        </w:rPr>
        <w:t>政拨款收入支出决算总体情况说明</w:t>
      </w:r>
      <w:bookmarkEnd w:id="24"/>
      <w:bookmarkEnd w:id="25"/>
    </w:p>
    <w:p>
      <w:pPr>
        <w:spacing w:line="600" w:lineRule="exact"/>
        <w:ind w:firstLine="640"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年财政拨款收、支总计</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万元。与20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年相比，财政拨款收、支总计各</w:t>
      </w:r>
      <w:r>
        <w:rPr>
          <w:rFonts w:hint="eastAsia" w:eastAsia="仿宋" w:cs="Times New Roman"/>
          <w:color w:val="auto"/>
          <w:sz w:val="32"/>
          <w:szCs w:val="32"/>
          <w:highlight w:val="none"/>
          <w:lang w:val="en-US" w:eastAsia="zh-CN"/>
        </w:rPr>
        <w:t>增加0.97</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val="en-US" w:eastAsia="zh-CN"/>
        </w:rPr>
        <w:t>增长50.78</w:t>
      </w:r>
      <w:r>
        <w:rPr>
          <w:rFonts w:hint="default" w:ascii="Times New Roman" w:hAnsi="Times New Roman" w:eastAsia="仿宋" w:cs="Times New Roman"/>
          <w:color w:val="auto"/>
          <w:sz w:val="32"/>
          <w:szCs w:val="32"/>
          <w:highlight w:val="none"/>
        </w:rPr>
        <w:t>%。主要变动原因是</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202</w:t>
      </w:r>
      <w:r>
        <w:rPr>
          <w:rFonts w:hint="eastAsia" w:eastAsia="仿宋" w:cs="Times New Roman"/>
          <w:color w:val="auto"/>
          <w:sz w:val="32"/>
          <w:szCs w:val="32"/>
          <w:highlight w:val="none"/>
          <w:lang w:val="en-US" w:eastAsia="zh-CN"/>
        </w:rPr>
        <w:t>4年底新进2名事业人员</w:t>
      </w:r>
      <w:r>
        <w:rPr>
          <w:rFonts w:hint="default" w:ascii="Times New Roman" w:hAnsi="Times New Roman" w:eastAsia="仿宋" w:cs="Times New Roman"/>
          <w:color w:val="auto"/>
          <w:sz w:val="32"/>
          <w:szCs w:val="32"/>
          <w:highlight w:val="none"/>
          <w:lang w:eastAsia="zh-CN"/>
        </w:rPr>
        <w:t>。</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（注：数据来源于财决01-1表）</w:t>
      </w:r>
    </w:p>
    <w:p>
      <w:pPr>
        <w:spacing w:line="600" w:lineRule="exact"/>
        <w:rPr>
          <w:rFonts w:hint="default" w:ascii="Times New Roman" w:hAnsi="Times New Roman" w:eastAsia="仿宋" w:cs="Times New Roman"/>
          <w:color w:val="auto"/>
          <w:sz w:val="32"/>
          <w:szCs w:val="32"/>
          <w:highlight w:val="none"/>
        </w:rPr>
      </w:pPr>
      <w:r>
        <w:rPr>
          <w:rFonts w:eastAsia="仿宋_GB2312"/>
          <w:color w:val="000000"/>
          <w:sz w:val="32"/>
          <w:szCs w:val="32"/>
        </w:rPr>
        <w:pict>
          <v:shape id="_x0000_s1028" o:spid="_x0000_s1028" o:spt="75" alt="olechartimg_1694999094977954_481969152" type="#_x0000_t75" style="position:absolute;left:0pt;margin-left:36.85pt;margin-top:6.1pt;height:230.8pt;width:333.5pt;mso-wrap-distance-bottom:0pt;mso-wrap-distance-left:9pt;mso-wrap-distance-right:9pt;mso-wrap-distance-top:0pt;z-index:251661312;mso-width-relative:page;mso-height-relative:page;" o:ole="t" filled="f" o:preferrelative="t" stroked="f" coordsize="21600,21600">
            <v:path/>
            <v:fill on="f" focussize="0,0"/>
            <v:stroke on="f"/>
            <v:imagedata r:id="rId13" o:title=""/>
            <o:lock v:ext="edit" aspectratio="t"/>
            <w10:wrap type="square"/>
          </v:shape>
          <o:OLEObject Type="Embed" ProgID="Excel.Chart.8" ShapeID="_x0000_s1028" DrawAspect="Content" ObjectID="_1468075727" r:id="rId12">
            <o:LockedField>false</o:LockedField>
          </o:OLEObject>
        </w:pict>
      </w: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p>
    <w:p>
      <w:pPr>
        <w:spacing w:line="600" w:lineRule="exac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（图4：财政拨款收、支决算总计变动情况）（柱状图）</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firstLineChars="200"/>
        <w:outlineLvl w:val="1"/>
        <w:rPr>
          <w:rStyle w:val="21"/>
          <w:rFonts w:hint="default" w:ascii="Times New Roman" w:hAnsi="Times New Roman" w:eastAsia="黑体" w:cs="Times New Roman"/>
          <w:b w:val="0"/>
          <w:color w:val="auto"/>
          <w:highlight w:val="none"/>
        </w:rPr>
      </w:pPr>
      <w:bookmarkStart w:id="26" w:name="_Toc15396607"/>
      <w:bookmarkStart w:id="27" w:name="_Toc15377209"/>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b w:val="0"/>
          <w:bCs/>
          <w:color w:val="auto"/>
          <w:sz w:val="32"/>
          <w:szCs w:val="32"/>
          <w:highlight w:val="none"/>
        </w:rPr>
        <w:t>一</w:t>
      </w:r>
      <w:r>
        <w:rPr>
          <w:rStyle w:val="21"/>
          <w:rFonts w:hint="default" w:ascii="Times New Roman" w:hAnsi="Times New Roman" w:eastAsia="黑体" w:cs="Times New Roman"/>
          <w:b w:val="0"/>
          <w:color w:val="auto"/>
          <w:highlight w:val="none"/>
        </w:rPr>
        <w:t>般公共预算财政拨款支出决算情况说明</w:t>
      </w:r>
      <w:bookmarkEnd w:id="26"/>
      <w:bookmarkEnd w:id="27"/>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28" w:name="_Toc15377210"/>
      <w:r>
        <w:rPr>
          <w:rFonts w:hint="default" w:ascii="Times New Roman" w:hAnsi="Times New Roman" w:eastAsia="仿宋" w:cs="Times New Roman"/>
          <w:b/>
          <w:color w:val="auto"/>
          <w:sz w:val="32"/>
          <w:szCs w:val="32"/>
          <w:highlight w:val="none"/>
        </w:rPr>
        <w:t>（一）一般公共预算财政拨款支出决算总体情况</w:t>
      </w:r>
      <w:bookmarkEnd w:id="28"/>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年一般公共预算财政拨款支出</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万元，占本年支出合计的</w:t>
      </w:r>
      <w:r>
        <w:rPr>
          <w:rFonts w:hint="eastAsia"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%。与20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年相比，一般公共预算财政拨款</w:t>
      </w:r>
      <w:r>
        <w:rPr>
          <w:rFonts w:hint="default" w:ascii="Times New Roman" w:hAnsi="Times New Roman" w:eastAsia="仿宋" w:cs="Times New Roman"/>
          <w:color w:val="auto"/>
          <w:sz w:val="32"/>
          <w:szCs w:val="32"/>
          <w:highlight w:val="none"/>
          <w:lang w:eastAsia="zh-CN"/>
        </w:rPr>
        <w:t>支出</w:t>
      </w:r>
      <w:r>
        <w:rPr>
          <w:rFonts w:hint="eastAsia" w:eastAsia="仿宋" w:cs="Times New Roman"/>
          <w:color w:val="auto"/>
          <w:sz w:val="32"/>
          <w:szCs w:val="32"/>
          <w:highlight w:val="none"/>
          <w:lang w:val="en-US" w:eastAsia="zh-CN"/>
        </w:rPr>
        <w:t>增加0.97</w:t>
      </w:r>
      <w:r>
        <w:rPr>
          <w:rFonts w:hint="default" w:ascii="Times New Roman" w:hAnsi="Times New Roman" w:eastAsia="仿宋" w:cs="Times New Roman"/>
          <w:color w:val="auto"/>
          <w:sz w:val="32"/>
          <w:szCs w:val="32"/>
          <w:highlight w:val="none"/>
          <w:lang w:eastAsia="zh-CN"/>
        </w:rPr>
        <w:t>万元，增长</w:t>
      </w:r>
      <w:r>
        <w:rPr>
          <w:rFonts w:hint="eastAsia" w:eastAsia="仿宋" w:cs="Times New Roman"/>
          <w:color w:val="auto"/>
          <w:sz w:val="32"/>
          <w:szCs w:val="32"/>
          <w:highlight w:val="none"/>
          <w:lang w:val="en-US" w:eastAsia="zh-CN"/>
        </w:rPr>
        <w:t>50.78</w:t>
      </w:r>
      <w:r>
        <w:rPr>
          <w:rFonts w:hint="default" w:ascii="Times New Roman" w:hAnsi="Times New Roman" w:eastAsia="仿宋" w:cs="Times New Roman"/>
          <w:color w:val="auto"/>
          <w:sz w:val="32"/>
          <w:szCs w:val="32"/>
          <w:highlight w:val="none"/>
          <w:lang w:eastAsia="zh-CN"/>
        </w:rPr>
        <w:t>%。主要变动原因是</w:t>
      </w:r>
      <w:r>
        <w:rPr>
          <w:rFonts w:hint="default" w:ascii="Times New Roman" w:hAnsi="Times New Roman" w:eastAsia="仿宋" w:cs="Times New Roman"/>
          <w:color w:val="auto"/>
          <w:sz w:val="32"/>
          <w:szCs w:val="32"/>
          <w:highlight w:val="none"/>
          <w:lang w:val="en-US" w:eastAsia="zh-CN"/>
        </w:rPr>
        <w:t>2024年底新进2名事业人员</w:t>
      </w:r>
      <w:r>
        <w:rPr>
          <w:rFonts w:hint="default" w:ascii="Times New Roman" w:hAnsi="Times New Roman" w:eastAsia="仿宋" w:cs="Times New Roman"/>
          <w:color w:val="auto"/>
          <w:sz w:val="32"/>
          <w:szCs w:val="32"/>
          <w:highlight w:val="none"/>
          <w:lang w:eastAsia="zh-CN"/>
        </w:rPr>
        <w:t>。</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（图5：一般公共预算财政拨款支出决算变动情况）（柱状图）</w:t>
      </w:r>
    </w:p>
    <w:p>
      <w:pPr>
        <w:pStyle w:val="14"/>
        <w:rPr>
          <w:rFonts w:hint="default" w:ascii="Times New Roman" w:hAnsi="Times New Roman" w:eastAsia="仿宋" w:cs="Times New Roman"/>
          <w:color w:val="auto"/>
          <w:sz w:val="32"/>
          <w:szCs w:val="32"/>
          <w:highlight w:val="none"/>
        </w:rPr>
      </w:pPr>
      <w:r>
        <w:rPr>
          <w:rFonts w:eastAsia="仿宋_GB2312"/>
          <w:color w:val="000000"/>
          <w:sz w:val="32"/>
          <w:szCs w:val="32"/>
        </w:rPr>
        <w:pict>
          <v:shape id="_x0000_s1029" o:spid="_x0000_s1029" o:spt="75" alt="olechartimg_1694999240126118_1114981376" type="#_x0000_t75" style="position:absolute;left:0pt;margin-left:42.15pt;margin-top:14.3pt;height:252.55pt;width:343.75pt;mso-wrap-distance-left:9pt;mso-wrap-distance-right:9pt;z-index:-251654144;mso-width-relative:page;mso-height-relative:page;" o:ole="t" filled="f" o:preferrelative="t" stroked="f" coordsize="21600,21600" wrapcoords="21592 -2 0 0 0 21600 21592 21602 8 21602 21600 21600 21600 0 8 -2 21592 -2">
            <v:path/>
            <v:fill on="f" focussize="0,0"/>
            <v:stroke on="f"/>
            <v:imagedata r:id="rId15" o:title=""/>
            <o:lock v:ext="edit" aspectratio="t"/>
            <w10:wrap type="tight"/>
          </v:shape>
          <o:OLEObject Type="Embed" ProgID="Excel.Chart.8" ShapeID="_x0000_s1029" DrawAspect="Content" ObjectID="_1468075728" r:id="rId14">
            <o:LockedField>false</o:LockedField>
          </o:OLEObject>
        </w:pict>
      </w:r>
    </w:p>
    <w:p>
      <w:pPr>
        <w:rPr>
          <w:rFonts w:hint="default" w:ascii="Times New Roman" w:hAnsi="Times New Roman" w:eastAsia="仿宋" w:cs="Times New Roman"/>
          <w:color w:val="auto"/>
          <w:sz w:val="32"/>
          <w:szCs w:val="32"/>
          <w:highlight w:val="none"/>
        </w:rPr>
      </w:pPr>
    </w:p>
    <w:p>
      <w:pPr>
        <w:pStyle w:val="14"/>
        <w:rPr>
          <w:rFonts w:hint="default" w:ascii="Times New Roman" w:hAnsi="Times New Roman" w:eastAsia="仿宋" w:cs="Times New Roman"/>
          <w:color w:val="auto"/>
          <w:sz w:val="32"/>
          <w:szCs w:val="32"/>
          <w:highlight w:val="none"/>
        </w:rPr>
      </w:pPr>
    </w:p>
    <w:p>
      <w:pPr>
        <w:rPr>
          <w:rFonts w:hint="default" w:ascii="Times New Roman" w:hAnsi="Times New Roman" w:eastAsia="仿宋" w:cs="Times New Roman"/>
          <w:color w:val="auto"/>
          <w:sz w:val="32"/>
          <w:szCs w:val="32"/>
          <w:highlight w:val="none"/>
        </w:rPr>
      </w:pPr>
    </w:p>
    <w:p>
      <w:pPr>
        <w:pStyle w:val="14"/>
        <w:rPr>
          <w:rFonts w:hint="default"/>
        </w:rPr>
      </w:pPr>
    </w:p>
    <w:p>
      <w:pPr>
        <w:spacing w:line="600" w:lineRule="exact"/>
        <w:ind w:firstLine="640" w:firstLineChars="200"/>
        <w:rPr>
          <w:rFonts w:hint="default" w:ascii="Times New Roman" w:hAnsi="Times New Roman" w:eastAsia="仿宋" w:cs="Times New Roman"/>
          <w:color w:val="auto"/>
          <w:sz w:val="32"/>
          <w:szCs w:val="32"/>
          <w:highlight w:val="none"/>
        </w:rPr>
      </w:pP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29" w:name="_Toc15377211"/>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（二）一般公共预算财政拨款支出决算结构情况</w:t>
      </w:r>
      <w:bookmarkEnd w:id="29"/>
    </w:p>
    <w:p>
      <w:pPr>
        <w:keepNext w:val="0"/>
        <w:keepLines w:val="0"/>
        <w:pageBreakBefore w:val="0"/>
        <w:widowControl w:val="0"/>
        <w:kinsoku w:val="0"/>
        <w:wordWrap/>
        <w:overflowPunct w:val="0"/>
        <w:topLinePunct w:val="0"/>
        <w:autoSpaceDE w:val="0"/>
        <w:autoSpaceDN w:val="0"/>
        <w:bidi w:val="0"/>
        <w:adjustRightInd/>
        <w:snapToGrid/>
        <w:spacing w:line="600" w:lineRule="exact"/>
        <w:ind w:firstLine="641"/>
        <w:textAlignment w:val="auto"/>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年一般公共预算财政拨款支出</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万元，主要用于以下方面:</w:t>
      </w:r>
      <w:r>
        <w:rPr>
          <w:rFonts w:hint="default" w:ascii="Times New Roman" w:hAnsi="Times New Roman" w:eastAsia="仿宋" w:cs="Times New Roman"/>
          <w:b/>
          <w:color w:val="auto"/>
          <w:sz w:val="32"/>
          <w:szCs w:val="32"/>
          <w:highlight w:val="none"/>
        </w:rPr>
        <w:t>一般公共服务</w:t>
      </w:r>
      <w:r>
        <w:rPr>
          <w:rFonts w:hint="default" w:ascii="Times New Roman" w:hAnsi="Times New Roman" w:eastAsia="仿宋" w:cs="Times New Roman"/>
          <w:b/>
          <w:bCs/>
          <w:color w:val="auto"/>
          <w:sz w:val="32"/>
          <w:szCs w:val="32"/>
          <w:highlight w:val="none"/>
        </w:rPr>
        <w:t>支出</w:t>
      </w:r>
      <w:r>
        <w:rPr>
          <w:rFonts w:hint="eastAsia" w:eastAsia="仿宋" w:cs="Times New Roman"/>
          <w:color w:val="auto"/>
          <w:sz w:val="32"/>
          <w:szCs w:val="32"/>
          <w:highlight w:val="none"/>
          <w:lang w:val="en-US" w:eastAsia="zh-CN"/>
        </w:rPr>
        <w:t>2.08</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72.22</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教育支出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b/>
          <w:color w:val="auto"/>
          <w:sz w:val="32"/>
          <w:szCs w:val="32"/>
          <w:highlight w:val="none"/>
        </w:rPr>
        <w:t>科学技术</w:t>
      </w:r>
      <w:r>
        <w:rPr>
          <w:rFonts w:hint="default" w:ascii="Times New Roman" w:hAnsi="Times New Roman" w:eastAsia="仿宋" w:cs="Times New Roman"/>
          <w:b/>
          <w:bCs/>
          <w:color w:val="auto"/>
          <w:sz w:val="32"/>
          <w:szCs w:val="32"/>
          <w:highlight w:val="none"/>
        </w:rPr>
        <w:t>支出</w:t>
      </w:r>
      <w:r>
        <w:rPr>
          <w:rFonts w:hint="eastAsia"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rPr>
        <w:t>万元，占**%；</w:t>
      </w:r>
      <w:r>
        <w:rPr>
          <w:rFonts w:hint="default" w:ascii="Times New Roman" w:hAnsi="Times New Roman" w:eastAsia="仿宋" w:cs="Times New Roman"/>
          <w:b/>
          <w:bCs/>
          <w:color w:val="auto"/>
          <w:sz w:val="32"/>
          <w:szCs w:val="32"/>
          <w:highlight w:val="none"/>
        </w:rPr>
        <w:t>文化旅游体育与传媒支出</w:t>
      </w:r>
      <w:r>
        <w:rPr>
          <w:rFonts w:hint="eastAsia" w:eastAsia="仿宋" w:cs="Times New Roman"/>
          <w:b/>
          <w:bCs/>
          <w:color w:val="auto"/>
          <w:sz w:val="32"/>
          <w:szCs w:val="32"/>
          <w:highlight w:val="none"/>
          <w:lang w:val="en-US" w:eastAsia="zh-CN"/>
        </w:rPr>
        <w:t>0.00</w:t>
      </w:r>
      <w:r>
        <w:rPr>
          <w:rFonts w:hint="default" w:ascii="Times New Roman" w:hAnsi="Times New Roman" w:eastAsia="仿宋" w:cs="Times New Roman"/>
          <w:b/>
          <w:bCs/>
          <w:color w:val="auto"/>
          <w:sz w:val="32"/>
          <w:szCs w:val="32"/>
          <w:highlight w:val="none"/>
        </w:rPr>
        <w:t>万元，占**%</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color w:val="auto"/>
          <w:sz w:val="32"/>
          <w:szCs w:val="32"/>
          <w:highlight w:val="none"/>
        </w:rPr>
        <w:t>社会保障和就业</w:t>
      </w:r>
      <w:r>
        <w:rPr>
          <w:rFonts w:hint="default" w:ascii="Times New Roman" w:hAnsi="Times New Roman" w:eastAsia="仿宋" w:cs="Times New Roman"/>
          <w:b/>
          <w:bCs/>
          <w:color w:val="auto"/>
          <w:sz w:val="32"/>
          <w:szCs w:val="32"/>
          <w:highlight w:val="none"/>
        </w:rPr>
        <w:t>支出</w:t>
      </w:r>
      <w:r>
        <w:rPr>
          <w:rFonts w:hint="eastAsia" w:eastAsia="仿宋" w:cs="Times New Roman"/>
          <w:color w:val="auto"/>
          <w:sz w:val="32"/>
          <w:szCs w:val="32"/>
          <w:highlight w:val="none"/>
          <w:lang w:val="en-US" w:eastAsia="zh-CN"/>
        </w:rPr>
        <w:t>0.44</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15.28</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卫生健康支出</w:t>
      </w:r>
      <w:r>
        <w:rPr>
          <w:rFonts w:hint="eastAsia" w:eastAsia="仿宋" w:cs="Times New Roman"/>
          <w:color w:val="auto"/>
          <w:sz w:val="32"/>
          <w:szCs w:val="32"/>
          <w:highlight w:val="none"/>
          <w:lang w:val="en-US" w:eastAsia="zh-CN"/>
        </w:rPr>
        <w:t>0.16</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5.56</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b/>
          <w:bCs/>
          <w:color w:val="auto"/>
          <w:sz w:val="32"/>
          <w:szCs w:val="32"/>
          <w:highlight w:val="none"/>
        </w:rPr>
        <w:t>住房保障支出</w:t>
      </w:r>
      <w:r>
        <w:rPr>
          <w:rFonts w:hint="eastAsia" w:eastAsia="仿宋" w:cs="Times New Roman"/>
          <w:color w:val="auto"/>
          <w:sz w:val="32"/>
          <w:szCs w:val="32"/>
          <w:highlight w:val="none"/>
          <w:lang w:val="en-US" w:eastAsia="zh-CN"/>
        </w:rPr>
        <w:t>0.2</w:t>
      </w:r>
      <w:r>
        <w:rPr>
          <w:rFonts w:hint="default" w:ascii="Times New Roman" w:hAnsi="Times New Roman" w:eastAsia="仿宋" w:cs="Times New Roman"/>
          <w:color w:val="auto"/>
          <w:sz w:val="32"/>
          <w:szCs w:val="32"/>
          <w:highlight w:val="none"/>
        </w:rPr>
        <w:t>万元，占</w:t>
      </w:r>
      <w:r>
        <w:rPr>
          <w:rFonts w:hint="eastAsia" w:eastAsia="仿宋" w:cs="Times New Roman"/>
          <w:color w:val="auto"/>
          <w:sz w:val="32"/>
          <w:szCs w:val="32"/>
          <w:highlight w:val="none"/>
          <w:lang w:val="en-US" w:eastAsia="zh-CN"/>
        </w:rPr>
        <w:t>6.94</w:t>
      </w:r>
      <w:r>
        <w:rPr>
          <w:rFonts w:hint="default" w:ascii="Times New Roman" w:hAnsi="Times New Roman" w:eastAsia="仿宋" w:cs="Times New Roman"/>
          <w:color w:val="auto"/>
          <w:sz w:val="32"/>
          <w:szCs w:val="32"/>
          <w:highlight w:val="none"/>
        </w:rPr>
        <w:t>%。</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注：数据来源于财决</w:t>
      </w:r>
      <w:r>
        <w:rPr>
          <w:rFonts w:hint="default" w:ascii="Times New Roman" w:hAnsi="Times New Roman" w:eastAsia="仿宋" w:cs="Times New Roman"/>
          <w:b/>
          <w:color w:val="auto"/>
          <w:sz w:val="32"/>
          <w:szCs w:val="32"/>
          <w:highlight w:val="none"/>
          <w:lang w:val="en-US" w:eastAsia="zh-CN"/>
        </w:rPr>
        <w:t>01-1表，仅</w:t>
      </w:r>
      <w:r>
        <w:rPr>
          <w:rFonts w:hint="default" w:ascii="Times New Roman" w:hAnsi="Times New Roman" w:eastAsia="仿宋" w:cs="Times New Roman"/>
          <w:b/>
          <w:color w:val="auto"/>
          <w:sz w:val="32"/>
          <w:szCs w:val="32"/>
          <w:highlight w:val="none"/>
        </w:rPr>
        <w:t>罗列</w:t>
      </w:r>
      <w:r>
        <w:rPr>
          <w:rFonts w:hint="default" w:ascii="Times New Roman" w:hAnsi="Times New Roman" w:eastAsia="仿宋" w:cs="Times New Roman"/>
          <w:b/>
          <w:color w:val="auto"/>
          <w:sz w:val="32"/>
          <w:szCs w:val="32"/>
          <w:highlight w:val="none"/>
          <w:lang w:eastAsia="zh-CN"/>
        </w:rPr>
        <w:t>本单位涉及的</w:t>
      </w:r>
      <w:r>
        <w:rPr>
          <w:rFonts w:hint="default" w:ascii="Times New Roman" w:hAnsi="Times New Roman" w:eastAsia="仿宋" w:cs="Times New Roman"/>
          <w:b/>
          <w:color w:val="auto"/>
          <w:sz w:val="32"/>
          <w:szCs w:val="32"/>
          <w:highlight w:val="none"/>
        </w:rPr>
        <w:t>全部功能分类科目，至类级。）</w:t>
      </w:r>
    </w:p>
    <w:p>
      <w:pPr>
        <w:spacing w:line="600" w:lineRule="exact"/>
        <w:ind w:firstLine="640"/>
        <w:rPr>
          <w:rFonts w:hint="default" w:ascii="Times New Roman" w:hAnsi="Times New Roman" w:eastAsia="仿宋" w:cs="Times New Roman"/>
          <w:color w:val="auto"/>
          <w:sz w:val="32"/>
          <w:szCs w:val="32"/>
          <w:highlight w:val="none"/>
        </w:rPr>
      </w:pPr>
    </w:p>
    <w:p>
      <w:pPr>
        <w:pStyle w:val="2"/>
        <w:rPr>
          <w:rFonts w:hint="default"/>
        </w:rPr>
      </w:pPr>
    </w:p>
    <w:p>
      <w:pPr>
        <w:spacing w:line="600" w:lineRule="exact"/>
        <w:ind w:firstLine="640" w:firstLineChars="200"/>
        <w:rPr>
          <w:rFonts w:hint="default" w:ascii="Times New Roman" w:hAnsi="Times New Roman" w:eastAsia="仿宋" w:cs="Times New Roman"/>
          <w:color w:val="auto"/>
          <w:sz w:val="32"/>
          <w:szCs w:val="32"/>
          <w:highlight w:val="none"/>
        </w:rPr>
      </w:pPr>
      <w:r>
        <w:rPr>
          <w:rFonts w:eastAsia="仿宋_GB2312"/>
          <w:color w:val="000000"/>
          <w:sz w:val="32"/>
          <w:szCs w:val="32"/>
        </w:rPr>
        <w:pict>
          <v:shape id="_x0000_s1030" o:spid="_x0000_s1030" o:spt="75" alt="olechartimg_1694999640501241_556901376" type="#_x0000_t75" style="position:absolute;left:0pt;margin-left:31.4pt;margin-top:-559.95pt;height:243.95pt;width:375.25pt;mso-wrap-distance-left:9pt;mso-wrap-distance-right:9pt;z-index:-251652096;mso-width-relative:page;mso-height-relative:page;" o:ole="t" filled="f" o:preferrelative="t" stroked="f" coordsize="21600,21600" wrapcoords="21592 -2 0 0 0 21600 21592 21602 8 21602 21600 21600 21600 0 8 -2 21592 -2">
            <v:path/>
            <v:fill on="f" focussize="0,0"/>
            <v:stroke on="f"/>
            <v:imagedata r:id="rId17" o:title=""/>
            <o:lock v:ext="edit" aspectratio="t"/>
            <w10:wrap type="tight"/>
          </v:shape>
          <o:OLEObject Type="Embed" ProgID="Excel.Chart.8" ShapeID="_x0000_s1030" DrawAspect="Content" ObjectID="_1468075729" r:id="rId16">
            <o:LockedField>false</o:LockedField>
          </o:OLEObject>
        </w:pict>
      </w:r>
      <w:r>
        <w:rPr>
          <w:rFonts w:hint="default" w:ascii="Times New Roman" w:hAnsi="Times New Roman" w:eastAsia="仿宋" w:cs="Times New Roman"/>
          <w:color w:val="auto"/>
          <w:sz w:val="32"/>
          <w:szCs w:val="32"/>
          <w:highlight w:val="none"/>
        </w:rPr>
        <w:t>（图6：一般公共预算财政拨款支出决算结构）（饼状图）</w:t>
      </w:r>
    </w:p>
    <w:p>
      <w:pPr>
        <w:spacing w:line="600" w:lineRule="exact"/>
        <w:ind w:firstLine="642" w:firstLineChars="200"/>
        <w:outlineLvl w:val="2"/>
        <w:rPr>
          <w:rFonts w:hint="default" w:ascii="Times New Roman" w:hAnsi="Times New Roman" w:eastAsia="仿宋" w:cs="Times New Roman"/>
          <w:b/>
          <w:color w:val="auto"/>
          <w:sz w:val="32"/>
          <w:szCs w:val="32"/>
          <w:highlight w:val="none"/>
        </w:rPr>
      </w:pPr>
      <w:bookmarkStart w:id="30" w:name="_Toc15377212"/>
      <w:r>
        <w:rPr>
          <w:rFonts w:hint="default" w:ascii="Times New Roman" w:hAnsi="Times New Roman" w:eastAsia="仿宋" w:cs="Times New Roman"/>
          <w:b/>
          <w:color w:val="auto"/>
          <w:sz w:val="32"/>
          <w:szCs w:val="32"/>
          <w:highlight w:val="none"/>
        </w:rPr>
        <w:t>（三）一般公共预算财政拨款支出决算具体情况</w:t>
      </w:r>
      <w:bookmarkEnd w:id="30"/>
    </w:p>
    <w:p>
      <w:pPr>
        <w:spacing w:line="600" w:lineRule="exact"/>
        <w:ind w:firstLine="642" w:firstLineChars="200"/>
        <w:outlineLvl w:val="2"/>
        <w:rPr>
          <w:rFonts w:hint="default" w:ascii="Times New Roman" w:hAnsi="Times New Roman" w:eastAsia="仿宋" w:cs="Times New Roman"/>
          <w:color w:val="auto"/>
          <w:sz w:val="32"/>
          <w:szCs w:val="32"/>
          <w:highlight w:val="none"/>
        </w:rPr>
      </w:pPr>
      <w:bookmarkStart w:id="31" w:name="_Toc15377213"/>
      <w:bookmarkStart w:id="32" w:name="_Toc15377444"/>
      <w:bookmarkStart w:id="33" w:name="_Toc15378460"/>
      <w:r>
        <w:rPr>
          <w:rFonts w:hint="default" w:ascii="Times New Roman" w:hAnsi="Times New Roman" w:eastAsia="仿宋" w:cs="Times New Roman"/>
          <w:b/>
          <w:color w:val="auto"/>
          <w:sz w:val="32"/>
          <w:szCs w:val="32"/>
          <w:highlight w:val="none"/>
        </w:rPr>
        <w:t>20</w:t>
      </w:r>
      <w:r>
        <w:rPr>
          <w:rFonts w:hint="default" w:ascii="Times New Roman" w:hAnsi="Times New Roman" w:eastAsia="仿宋" w:cs="Times New Roman"/>
          <w:b/>
          <w:color w:val="auto"/>
          <w:sz w:val="32"/>
          <w:szCs w:val="32"/>
          <w:highlight w:val="none"/>
          <w:lang w:val="en-US" w:eastAsia="zh-CN"/>
        </w:rPr>
        <w:t>2</w:t>
      </w:r>
      <w:r>
        <w:rPr>
          <w:rFonts w:hint="eastAsia" w:eastAsia="仿宋" w:cs="Times New Roman"/>
          <w:b/>
          <w:color w:val="auto"/>
          <w:sz w:val="32"/>
          <w:szCs w:val="32"/>
          <w:highlight w:val="none"/>
          <w:lang w:val="en-US" w:eastAsia="zh-CN"/>
        </w:rPr>
        <w:t>4</w:t>
      </w:r>
      <w:r>
        <w:rPr>
          <w:rFonts w:hint="default" w:ascii="Times New Roman" w:hAnsi="Times New Roman" w:eastAsia="仿宋" w:cs="Times New Roman"/>
          <w:b/>
          <w:color w:val="auto"/>
          <w:sz w:val="32"/>
          <w:szCs w:val="32"/>
          <w:highlight w:val="none"/>
        </w:rPr>
        <w:t>年</w:t>
      </w:r>
      <w:r>
        <w:rPr>
          <w:rFonts w:hint="default" w:ascii="Times New Roman" w:hAnsi="Times New Roman" w:eastAsia="仿宋" w:cs="Times New Roman"/>
          <w:b/>
          <w:color w:val="auto"/>
          <w:sz w:val="32"/>
          <w:szCs w:val="32"/>
          <w:highlight w:val="none"/>
          <w:lang w:eastAsia="zh-CN"/>
        </w:rPr>
        <w:t>一</w:t>
      </w:r>
      <w:r>
        <w:rPr>
          <w:rFonts w:hint="default" w:ascii="Times New Roman" w:hAnsi="Times New Roman" w:eastAsia="仿宋" w:cs="Times New Roman"/>
          <w:b/>
          <w:color w:val="auto"/>
          <w:sz w:val="32"/>
          <w:szCs w:val="32"/>
          <w:highlight w:val="none"/>
        </w:rPr>
        <w:t>般公共预算支出决算数为</w:t>
      </w:r>
      <w:r>
        <w:rPr>
          <w:rFonts w:hint="eastAsia" w:eastAsia="仿宋" w:cs="Times New Roman"/>
          <w:b/>
          <w:color w:val="auto"/>
          <w:sz w:val="32"/>
          <w:szCs w:val="32"/>
          <w:highlight w:val="none"/>
          <w:lang w:val="en-US" w:eastAsia="zh-CN"/>
        </w:rPr>
        <w:t>2.88万元</w:t>
      </w:r>
      <w:r>
        <w:rPr>
          <w:rFonts w:hint="default" w:ascii="Times New Roman" w:hAnsi="Times New Roman" w:eastAsia="仿宋" w:cs="Times New Roman"/>
          <w:color w:val="auto"/>
          <w:sz w:val="32"/>
          <w:szCs w:val="32"/>
          <w:highlight w:val="none"/>
        </w:rPr>
        <w:t>，</w:t>
      </w:r>
      <w:r>
        <w:rPr>
          <w:rStyle w:val="18"/>
          <w:rFonts w:hint="default" w:ascii="Times New Roman" w:hAnsi="Times New Roman" w:eastAsia="仿宋" w:cs="Times New Roman"/>
          <w:bCs/>
          <w:color w:val="auto"/>
          <w:sz w:val="32"/>
          <w:szCs w:val="32"/>
          <w:highlight w:val="none"/>
        </w:rPr>
        <w:t>完成预算</w:t>
      </w:r>
      <w:r>
        <w:rPr>
          <w:rStyle w:val="18"/>
          <w:rFonts w:hint="eastAsia" w:eastAsia="仿宋" w:cs="Times New Roman"/>
          <w:bCs/>
          <w:color w:val="auto"/>
          <w:sz w:val="32"/>
          <w:szCs w:val="32"/>
          <w:highlight w:val="none"/>
          <w:lang w:val="en-US" w:eastAsia="zh-CN"/>
        </w:rPr>
        <w:t>100</w:t>
      </w:r>
      <w:r>
        <w:rPr>
          <w:rStyle w:val="18"/>
          <w:rFonts w:hint="default" w:ascii="Times New Roman" w:hAnsi="Times New Roman" w:eastAsia="仿宋" w:cs="Times New Roman"/>
          <w:bCs/>
          <w:color w:val="auto"/>
          <w:sz w:val="32"/>
          <w:szCs w:val="32"/>
          <w:highlight w:val="none"/>
        </w:rPr>
        <w:t>%。其中：</w:t>
      </w:r>
      <w:bookmarkEnd w:id="31"/>
      <w:bookmarkEnd w:id="32"/>
      <w:bookmarkEnd w:id="33"/>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rPr>
        <w:t>1.一般公共服务（类）</w:t>
      </w:r>
      <w:r>
        <w:rPr>
          <w:rStyle w:val="18"/>
          <w:rFonts w:eastAsia="仿宋_GB2312"/>
          <w:color w:val="000000"/>
          <w:sz w:val="32"/>
          <w:szCs w:val="32"/>
        </w:rPr>
        <w:t>党委办公厅及相关机构事务（款）</w:t>
      </w:r>
      <w:r>
        <w:rPr>
          <w:rFonts w:eastAsia="仿宋_GB2312"/>
          <w:b/>
          <w:bCs/>
          <w:color w:val="000000"/>
          <w:sz w:val="32"/>
          <w:szCs w:val="32"/>
        </w:rPr>
        <w:t>事业运行（项）</w:t>
      </w:r>
      <w:r>
        <w:rPr>
          <w:rStyle w:val="18"/>
          <w:rFonts w:hint="default" w:ascii="Times New Roman" w:hAnsi="Times New Roman" w:eastAsia="仿宋" w:cs="Times New Roman"/>
          <w:bCs/>
          <w:color w:val="auto"/>
          <w:sz w:val="32"/>
          <w:szCs w:val="32"/>
          <w:highlight w:val="none"/>
        </w:rPr>
        <w:t>:</w:t>
      </w:r>
      <w:r>
        <w:rPr>
          <w:rStyle w:val="18"/>
          <w:rFonts w:hint="default" w:ascii="Times New Roman" w:hAnsi="Times New Roman" w:eastAsia="仿宋" w:cs="Times New Roman"/>
          <w:b w:val="0"/>
          <w:bCs/>
          <w:color w:val="auto"/>
          <w:sz w:val="32"/>
          <w:szCs w:val="32"/>
          <w:highlight w:val="none"/>
        </w:rPr>
        <w:t xml:space="preserve"> 支出决算为</w:t>
      </w:r>
      <w:r>
        <w:rPr>
          <w:rStyle w:val="18"/>
          <w:rFonts w:hint="eastAsia" w:eastAsia="仿宋" w:cs="Times New Roman"/>
          <w:b w:val="0"/>
          <w:bCs/>
          <w:color w:val="auto"/>
          <w:sz w:val="32"/>
          <w:szCs w:val="32"/>
          <w:highlight w:val="none"/>
          <w:lang w:val="en-US" w:eastAsia="zh-CN"/>
        </w:rPr>
        <w:t>2.08</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rPr>
        <w:t>%。</w:t>
      </w:r>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rPr>
        <w:t>2.教育（类）***（款）***（项）:</w:t>
      </w:r>
      <w:r>
        <w:rPr>
          <w:rStyle w:val="18"/>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rPr>
        <w:t>3.科学技术（类）***（款）***（项）:</w:t>
      </w:r>
      <w:r>
        <w:rPr>
          <w:rStyle w:val="18"/>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rPr>
        <w:t>4.文化旅游体育与传媒（类）***（款）***（项）:</w:t>
      </w:r>
      <w:r>
        <w:rPr>
          <w:rStyle w:val="18"/>
          <w:rFonts w:hint="default" w:ascii="Times New Roman" w:hAnsi="Times New Roman" w:eastAsia="仿宋" w:cs="Times New Roman"/>
          <w:b w:val="0"/>
          <w:bCs/>
          <w:color w:val="auto"/>
          <w:sz w:val="32"/>
          <w:szCs w:val="32"/>
          <w:highlight w:val="none"/>
        </w:rPr>
        <w:t xml:space="preserve"> 支出决算为**万元，完成预算**%，决算数小于/等于预算数的主要原因是…。</w:t>
      </w:r>
    </w:p>
    <w:p>
      <w:pPr>
        <w:spacing w:line="600" w:lineRule="exact"/>
        <w:ind w:firstLine="642" w:firstLineChars="200"/>
        <w:rPr>
          <w:rStyle w:val="18"/>
          <w:rFonts w:eastAsia="仿宋"/>
          <w:b w:val="0"/>
          <w:bCs/>
          <w:color w:val="000000"/>
          <w:sz w:val="32"/>
          <w:szCs w:val="32"/>
        </w:rPr>
      </w:pPr>
      <w:r>
        <w:rPr>
          <w:rStyle w:val="18"/>
          <w:rFonts w:hint="default" w:ascii="Times New Roman" w:hAnsi="Times New Roman" w:eastAsia="仿宋" w:cs="Times New Roman"/>
          <w:bCs/>
          <w:color w:val="auto"/>
          <w:sz w:val="32"/>
          <w:szCs w:val="32"/>
          <w:highlight w:val="none"/>
        </w:rPr>
        <w:t>5.社会保障和就业（类）</w:t>
      </w:r>
      <w:r>
        <w:rPr>
          <w:rStyle w:val="18"/>
          <w:rFonts w:hint="eastAsia" w:eastAsia="仿宋_GB2312"/>
          <w:color w:val="000000"/>
          <w:sz w:val="32"/>
          <w:szCs w:val="32"/>
        </w:rPr>
        <w:t>行政事业单位养老支出</w:t>
      </w:r>
      <w:r>
        <w:rPr>
          <w:rStyle w:val="18"/>
          <w:rFonts w:eastAsia="仿宋_GB2312"/>
          <w:color w:val="000000"/>
          <w:sz w:val="32"/>
          <w:szCs w:val="32"/>
        </w:rPr>
        <w:t>（款）</w:t>
      </w:r>
      <w:r>
        <w:rPr>
          <w:rFonts w:eastAsia="仿宋_GB2312"/>
          <w:b/>
          <w:bCs/>
          <w:color w:val="000000"/>
          <w:sz w:val="32"/>
          <w:szCs w:val="32"/>
        </w:rPr>
        <w:t>机关事业单位基本养老保险缴费支出（项）</w:t>
      </w:r>
      <w:r>
        <w:rPr>
          <w:rStyle w:val="18"/>
          <w:rFonts w:eastAsia="仿宋_GB2312"/>
          <w:color w:val="000000"/>
          <w:sz w:val="32"/>
          <w:szCs w:val="32"/>
        </w:rPr>
        <w:t>:</w:t>
      </w:r>
      <w:r>
        <w:rPr>
          <w:rFonts w:hint="eastAsia" w:eastAsia="仿宋_GB2312"/>
          <w:color w:val="000000"/>
          <w:sz w:val="32"/>
          <w:szCs w:val="32"/>
          <w:lang w:eastAsia="zh-CN"/>
        </w:rPr>
        <w:t>支出</w:t>
      </w:r>
      <w:r>
        <w:rPr>
          <w:rFonts w:eastAsia="仿宋_GB2312"/>
          <w:color w:val="000000"/>
          <w:sz w:val="32"/>
          <w:szCs w:val="32"/>
        </w:rPr>
        <w:t>决算数为</w:t>
      </w:r>
      <w:r>
        <w:rPr>
          <w:rFonts w:hint="eastAsia" w:eastAsia="仿宋_GB2312"/>
          <w:color w:val="000000"/>
          <w:sz w:val="32"/>
          <w:szCs w:val="32"/>
          <w:lang w:val="en-US" w:eastAsia="zh-CN"/>
        </w:rPr>
        <w:t>0.29</w:t>
      </w:r>
      <w:r>
        <w:rPr>
          <w:rFonts w:eastAsia="仿宋_GB2312"/>
          <w:color w:val="000000"/>
          <w:sz w:val="32"/>
          <w:szCs w:val="32"/>
        </w:rPr>
        <w:t>万元，完成预算</w:t>
      </w:r>
      <w:r>
        <w:rPr>
          <w:rFonts w:hint="eastAsia" w:eastAsia="仿宋_GB2312"/>
          <w:color w:val="000000"/>
          <w:sz w:val="32"/>
          <w:szCs w:val="32"/>
          <w:lang w:val="en-US" w:eastAsia="zh-CN"/>
        </w:rPr>
        <w:t>1</w:t>
      </w:r>
      <w:r>
        <w:rPr>
          <w:rFonts w:eastAsia="仿宋_GB2312"/>
          <w:color w:val="000000"/>
          <w:sz w:val="32"/>
          <w:szCs w:val="32"/>
        </w:rPr>
        <w:t>00%</w:t>
      </w:r>
      <w:r>
        <w:rPr>
          <w:rStyle w:val="18"/>
          <w:rFonts w:eastAsia="仿宋"/>
          <w:b w:val="0"/>
          <w:bCs/>
          <w:color w:val="000000"/>
          <w:sz w:val="32"/>
          <w:szCs w:val="32"/>
        </w:rPr>
        <w:t>。</w:t>
      </w:r>
    </w:p>
    <w:p>
      <w:pPr>
        <w:spacing w:line="600" w:lineRule="exact"/>
        <w:ind w:firstLine="642" w:firstLineChars="200"/>
        <w:rPr>
          <w:rFonts w:eastAsia="仿宋_GB2312"/>
          <w:color w:val="000000"/>
          <w:sz w:val="32"/>
          <w:szCs w:val="32"/>
        </w:rPr>
      </w:pPr>
      <w:r>
        <w:rPr>
          <w:rStyle w:val="18"/>
          <w:rFonts w:eastAsia="仿宋_GB2312"/>
          <w:color w:val="000000"/>
          <w:sz w:val="32"/>
          <w:szCs w:val="32"/>
        </w:rPr>
        <w:t>社会保障和就业（类）</w:t>
      </w:r>
      <w:r>
        <w:rPr>
          <w:rStyle w:val="18"/>
          <w:rFonts w:hint="eastAsia" w:eastAsia="仿宋_GB2312"/>
          <w:color w:val="000000"/>
          <w:sz w:val="32"/>
          <w:szCs w:val="32"/>
        </w:rPr>
        <w:t>行政事业单位养老支出</w:t>
      </w:r>
      <w:r>
        <w:rPr>
          <w:rStyle w:val="18"/>
          <w:rFonts w:eastAsia="仿宋_GB2312"/>
          <w:color w:val="000000"/>
          <w:sz w:val="32"/>
          <w:szCs w:val="32"/>
        </w:rPr>
        <w:t>（款）</w:t>
      </w:r>
      <w:r>
        <w:rPr>
          <w:rFonts w:eastAsia="仿宋_GB2312"/>
          <w:b/>
          <w:bCs/>
          <w:color w:val="000000"/>
          <w:sz w:val="32"/>
          <w:szCs w:val="32"/>
        </w:rPr>
        <w:t>机关事业单位职业年金缴费支出（项）：</w:t>
      </w:r>
      <w:r>
        <w:rPr>
          <w:rFonts w:hint="eastAsia" w:eastAsia="仿宋_GB2312"/>
          <w:color w:val="000000"/>
          <w:sz w:val="32"/>
          <w:szCs w:val="32"/>
          <w:lang w:eastAsia="zh-CN"/>
        </w:rPr>
        <w:t>支出</w:t>
      </w:r>
      <w:r>
        <w:rPr>
          <w:rFonts w:eastAsia="仿宋_GB2312"/>
          <w:color w:val="000000"/>
          <w:sz w:val="32"/>
          <w:szCs w:val="32"/>
        </w:rPr>
        <w:t>决算数为</w:t>
      </w:r>
      <w:r>
        <w:rPr>
          <w:rFonts w:hint="eastAsia" w:eastAsia="仿宋_GB2312"/>
          <w:color w:val="000000"/>
          <w:sz w:val="32"/>
          <w:szCs w:val="32"/>
          <w:lang w:val="en-US" w:eastAsia="zh-CN"/>
        </w:rPr>
        <w:t>0.15</w:t>
      </w:r>
      <w:r>
        <w:rPr>
          <w:rFonts w:eastAsia="仿宋_GB2312"/>
          <w:color w:val="000000"/>
          <w:sz w:val="32"/>
          <w:szCs w:val="32"/>
        </w:rPr>
        <w:t>万元，完成预算</w:t>
      </w:r>
      <w:r>
        <w:rPr>
          <w:rFonts w:hint="eastAsia" w:eastAsia="仿宋_GB2312"/>
          <w:color w:val="000000"/>
          <w:sz w:val="32"/>
          <w:szCs w:val="32"/>
          <w:lang w:val="en-US" w:eastAsia="zh-CN"/>
        </w:rPr>
        <w:t>1</w:t>
      </w:r>
      <w:r>
        <w:rPr>
          <w:rFonts w:eastAsia="仿宋_GB2312"/>
          <w:color w:val="000000"/>
          <w:sz w:val="32"/>
          <w:szCs w:val="32"/>
        </w:rPr>
        <w:t>00%。</w:t>
      </w:r>
    </w:p>
    <w:p>
      <w:pPr>
        <w:spacing w:line="600" w:lineRule="exact"/>
        <w:ind w:firstLine="642" w:firstLineChars="200"/>
        <w:rPr>
          <w:rFonts w:hint="default" w:ascii="Times New Roman" w:hAnsi="Times New Roman" w:eastAsia="仿宋" w:cs="Times New Roman"/>
          <w:b/>
          <w:color w:val="auto"/>
          <w:sz w:val="32"/>
          <w:szCs w:val="32"/>
          <w:highlight w:val="none"/>
        </w:rPr>
      </w:pPr>
      <w:r>
        <w:rPr>
          <w:rStyle w:val="18"/>
          <w:rFonts w:hint="default" w:ascii="Times New Roman" w:hAnsi="Times New Roman" w:eastAsia="仿宋" w:cs="Times New Roman"/>
          <w:bCs/>
          <w:color w:val="auto"/>
          <w:sz w:val="32"/>
          <w:szCs w:val="32"/>
          <w:highlight w:val="none"/>
        </w:rPr>
        <w:t>6.</w:t>
      </w:r>
      <w:r>
        <w:rPr>
          <w:rFonts w:hint="default" w:ascii="Times New Roman" w:hAnsi="Times New Roman" w:eastAsia="仿宋" w:cs="Times New Roman"/>
          <w:b/>
          <w:bCs/>
          <w:color w:val="auto"/>
          <w:sz w:val="32"/>
          <w:szCs w:val="32"/>
          <w:highlight w:val="none"/>
        </w:rPr>
        <w:t>卫生健康</w:t>
      </w:r>
      <w:r>
        <w:rPr>
          <w:rStyle w:val="18"/>
          <w:rFonts w:hint="default" w:ascii="Times New Roman" w:hAnsi="Times New Roman" w:eastAsia="仿宋" w:cs="Times New Roman"/>
          <w:bCs/>
          <w:color w:val="auto"/>
          <w:sz w:val="32"/>
          <w:szCs w:val="32"/>
          <w:highlight w:val="none"/>
        </w:rPr>
        <w:t>（类）行政事业单位医疗（款）事业单位医疗（项）:</w:t>
      </w:r>
      <w:r>
        <w:rPr>
          <w:rStyle w:val="18"/>
          <w:rFonts w:hint="default" w:ascii="Times New Roman" w:hAnsi="Times New Roman" w:eastAsia="仿宋" w:cs="Times New Roman"/>
          <w:b w:val="0"/>
          <w:bCs/>
          <w:color w:val="auto"/>
          <w:sz w:val="32"/>
          <w:szCs w:val="32"/>
          <w:highlight w:val="none"/>
        </w:rPr>
        <w:t>支出决算为</w:t>
      </w:r>
      <w:r>
        <w:rPr>
          <w:rStyle w:val="18"/>
          <w:rFonts w:hint="eastAsia" w:eastAsia="仿宋" w:cs="Times New Roman"/>
          <w:b w:val="0"/>
          <w:bCs/>
          <w:color w:val="auto"/>
          <w:sz w:val="32"/>
          <w:szCs w:val="32"/>
          <w:highlight w:val="none"/>
          <w:lang w:val="en-US" w:eastAsia="zh-CN"/>
        </w:rPr>
        <w:t>0.16</w:t>
      </w:r>
      <w:r>
        <w:rPr>
          <w:rStyle w:val="18"/>
          <w:rFonts w:hint="default" w:ascii="Times New Roman" w:hAnsi="Times New Roman" w:eastAsia="仿宋" w:cs="Times New Roman"/>
          <w:b w:val="0"/>
          <w:bCs/>
          <w:color w:val="auto"/>
          <w:sz w:val="32"/>
          <w:szCs w:val="32"/>
          <w:highlight w:val="none"/>
        </w:rPr>
        <w:t>万元，完成预算</w:t>
      </w:r>
      <w:r>
        <w:rPr>
          <w:rStyle w:val="18"/>
          <w:rFonts w:hint="eastAsia" w:eastAsia="仿宋" w:cs="Times New Roman"/>
          <w:b w:val="0"/>
          <w:bCs/>
          <w:color w:val="auto"/>
          <w:sz w:val="32"/>
          <w:szCs w:val="32"/>
          <w:highlight w:val="none"/>
          <w:lang w:val="en-US" w:eastAsia="zh-CN"/>
        </w:rPr>
        <w:t>100</w:t>
      </w:r>
      <w:r>
        <w:rPr>
          <w:rStyle w:val="18"/>
          <w:rFonts w:hint="default" w:ascii="Times New Roman" w:hAnsi="Times New Roman" w:eastAsia="仿宋" w:cs="Times New Roman"/>
          <w:b w:val="0"/>
          <w:bCs/>
          <w:color w:val="auto"/>
          <w:sz w:val="32"/>
          <w:szCs w:val="32"/>
          <w:highlight w:val="none"/>
        </w:rPr>
        <w:t>%。</w:t>
      </w:r>
    </w:p>
    <w:p>
      <w:pPr>
        <w:spacing w:line="600" w:lineRule="exact"/>
        <w:ind w:firstLine="642" w:firstLineChars="200"/>
        <w:rPr>
          <w:rFonts w:eastAsia="仿宋"/>
          <w:color w:val="000000"/>
          <w:sz w:val="32"/>
          <w:szCs w:val="32"/>
        </w:rPr>
      </w:pPr>
      <w:r>
        <w:rPr>
          <w:rFonts w:hint="eastAsia" w:eastAsia="仿宋_GB2312"/>
          <w:b/>
          <w:bCs/>
          <w:color w:val="000000"/>
          <w:sz w:val="32"/>
          <w:szCs w:val="32"/>
          <w:lang w:val="en-US" w:eastAsia="zh-CN"/>
        </w:rPr>
        <w:t>7.</w:t>
      </w:r>
      <w:r>
        <w:rPr>
          <w:rFonts w:eastAsia="仿宋_GB2312"/>
          <w:b/>
          <w:bCs/>
          <w:color w:val="000000"/>
          <w:sz w:val="32"/>
          <w:szCs w:val="32"/>
        </w:rPr>
        <w:t>住房保障支出（类）住房改革支出（款）住房公积金（项）</w:t>
      </w:r>
      <w:r>
        <w:rPr>
          <w:rFonts w:eastAsia="仿宋_GB2312"/>
          <w:color w:val="000000"/>
          <w:sz w:val="32"/>
          <w:szCs w:val="32"/>
        </w:rPr>
        <w:t>：</w:t>
      </w:r>
      <w:r>
        <w:rPr>
          <w:rFonts w:hint="eastAsia" w:eastAsia="仿宋_GB2312"/>
          <w:color w:val="000000"/>
          <w:sz w:val="32"/>
          <w:szCs w:val="32"/>
          <w:lang w:eastAsia="zh-CN"/>
        </w:rPr>
        <w:t>支出</w:t>
      </w:r>
      <w:r>
        <w:rPr>
          <w:rFonts w:eastAsia="仿宋_GB2312"/>
          <w:color w:val="000000"/>
          <w:sz w:val="32"/>
          <w:szCs w:val="32"/>
        </w:rPr>
        <w:t>决算数为:</w:t>
      </w:r>
      <w:r>
        <w:rPr>
          <w:rFonts w:hint="eastAsia" w:eastAsia="仿宋_GB2312"/>
          <w:color w:val="000000"/>
          <w:sz w:val="32"/>
          <w:szCs w:val="32"/>
          <w:lang w:val="en-US" w:eastAsia="zh-CN"/>
        </w:rPr>
        <w:t>0.2</w:t>
      </w:r>
      <w:r>
        <w:rPr>
          <w:rFonts w:eastAsia="仿宋_GB2312"/>
          <w:color w:val="000000"/>
          <w:sz w:val="32"/>
          <w:szCs w:val="32"/>
        </w:rPr>
        <w:t>万元，完成预算</w:t>
      </w:r>
      <w:r>
        <w:rPr>
          <w:rFonts w:hint="eastAsia" w:eastAsia="仿宋_GB2312"/>
          <w:color w:val="000000"/>
          <w:sz w:val="32"/>
          <w:szCs w:val="32"/>
          <w:lang w:val="en-US" w:eastAsia="zh-CN"/>
        </w:rPr>
        <w:t>1</w:t>
      </w:r>
      <w:r>
        <w:rPr>
          <w:rFonts w:eastAsia="仿宋_GB2312"/>
          <w:color w:val="000000"/>
          <w:sz w:val="32"/>
          <w:szCs w:val="32"/>
        </w:rPr>
        <w:t>00%。</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（注：数据来源于财决01-1表</w:t>
      </w:r>
      <w:r>
        <w:rPr>
          <w:rFonts w:hint="default" w:ascii="Times New Roman" w:hAnsi="Times New Roman" w:eastAsia="仿宋" w:cs="Times New Roman"/>
          <w:b/>
          <w:color w:val="auto"/>
          <w:sz w:val="32"/>
          <w:szCs w:val="32"/>
          <w:highlight w:val="none"/>
          <w:lang w:eastAsia="zh-CN"/>
        </w:rPr>
        <w:t>和财决</w:t>
      </w:r>
      <w:r>
        <w:rPr>
          <w:rFonts w:hint="default" w:ascii="Times New Roman" w:hAnsi="Times New Roman" w:eastAsia="仿宋" w:cs="Times New Roman"/>
          <w:b/>
          <w:color w:val="auto"/>
          <w:sz w:val="32"/>
          <w:szCs w:val="32"/>
          <w:highlight w:val="none"/>
          <w:lang w:val="en-US" w:eastAsia="zh-CN"/>
        </w:rPr>
        <w:t>08表</w:t>
      </w: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仅</w:t>
      </w:r>
      <w:r>
        <w:rPr>
          <w:rFonts w:hint="default" w:ascii="Times New Roman" w:hAnsi="Times New Roman" w:eastAsia="仿宋" w:cs="Times New Roman"/>
          <w:b/>
          <w:color w:val="auto"/>
          <w:sz w:val="32"/>
          <w:szCs w:val="32"/>
          <w:highlight w:val="none"/>
        </w:rPr>
        <w:t>罗列</w:t>
      </w:r>
      <w:r>
        <w:rPr>
          <w:rFonts w:hint="default" w:ascii="Times New Roman" w:hAnsi="Times New Roman" w:eastAsia="仿宋" w:cs="Times New Roman"/>
          <w:b/>
          <w:color w:val="auto"/>
          <w:sz w:val="32"/>
          <w:szCs w:val="32"/>
          <w:highlight w:val="none"/>
          <w:lang w:eastAsia="zh-CN"/>
        </w:rPr>
        <w:t>本单位涉及的</w:t>
      </w:r>
      <w:r>
        <w:rPr>
          <w:rFonts w:hint="default" w:ascii="Times New Roman" w:hAnsi="Times New Roman" w:eastAsia="仿宋" w:cs="Times New Roman"/>
          <w:b/>
          <w:color w:val="auto"/>
          <w:sz w:val="32"/>
          <w:szCs w:val="32"/>
          <w:highlight w:val="none"/>
        </w:rPr>
        <w:t>全部功能分类科目</w:t>
      </w:r>
      <w:r>
        <w:rPr>
          <w:rFonts w:hint="default" w:ascii="Times New Roman" w:hAnsi="Times New Roman" w:eastAsia="仿宋" w:cs="Times New Roman"/>
          <w:b/>
          <w:color w:val="auto"/>
          <w:sz w:val="32"/>
          <w:szCs w:val="32"/>
          <w:highlight w:val="none"/>
          <w:lang w:eastAsia="zh-CN"/>
        </w:rPr>
        <w:t>，</w:t>
      </w:r>
      <w:r>
        <w:rPr>
          <w:rFonts w:hint="default" w:ascii="Times New Roman" w:hAnsi="Times New Roman" w:eastAsia="仿宋" w:cs="Times New Roman"/>
          <w:b/>
          <w:color w:val="auto"/>
          <w:sz w:val="32"/>
          <w:szCs w:val="32"/>
          <w:highlight w:val="none"/>
        </w:rPr>
        <w:t>至项级。上述“预算”口径为</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数。增减变动原因为决算数&lt;项级&gt;和</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数&lt;项级&gt;比较，与预算数持平可以不写原因。）</w:t>
      </w:r>
    </w:p>
    <w:p>
      <w:pPr>
        <w:spacing w:line="600" w:lineRule="exact"/>
        <w:ind w:firstLine="640"/>
        <w:rPr>
          <w:rFonts w:hint="default" w:ascii="Times New Roman" w:hAnsi="Times New Roman" w:eastAsia="仿宋" w:cs="Times New Roman"/>
          <w:b/>
          <w:color w:val="auto"/>
          <w:sz w:val="32"/>
          <w:szCs w:val="32"/>
          <w:highlight w:val="none"/>
        </w:rPr>
      </w:pPr>
    </w:p>
    <w:p>
      <w:pPr>
        <w:tabs>
          <w:tab w:val="right" w:pos="8306"/>
        </w:tabs>
        <w:spacing w:line="600" w:lineRule="exact"/>
        <w:ind w:firstLine="640"/>
        <w:outlineLvl w:val="1"/>
        <w:rPr>
          <w:rStyle w:val="21"/>
          <w:rFonts w:hint="default" w:ascii="Times New Roman" w:hAnsi="Times New Roman" w:cs="Times New Roman"/>
          <w:color w:val="auto"/>
          <w:highlight w:val="none"/>
        </w:rPr>
      </w:pPr>
      <w:bookmarkStart w:id="34" w:name="_Toc15396608"/>
      <w:bookmarkStart w:id="35" w:name="_Toc15377214"/>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val="0"/>
          <w:bCs/>
          <w:color w:val="auto"/>
          <w:sz w:val="32"/>
          <w:szCs w:val="32"/>
          <w:highlight w:val="none"/>
        </w:rPr>
        <w:t>、一</w:t>
      </w:r>
      <w:r>
        <w:rPr>
          <w:rStyle w:val="21"/>
          <w:rFonts w:hint="default" w:ascii="Times New Roman" w:hAnsi="Times New Roman" w:eastAsia="黑体" w:cs="Times New Roman"/>
          <w:b w:val="0"/>
          <w:color w:val="auto"/>
          <w:highlight w:val="none"/>
        </w:rPr>
        <w:t>般公共预算财政拨款基本支出决算情况说明</w:t>
      </w:r>
      <w:bookmarkEnd w:id="34"/>
      <w:bookmarkEnd w:id="35"/>
      <w:r>
        <w:rPr>
          <w:rStyle w:val="21"/>
          <w:rFonts w:hint="default" w:ascii="Times New Roman" w:hAnsi="Times New Roman" w:eastAsia="黑体" w:cs="Times New Roman"/>
          <w:b w:val="0"/>
          <w:color w:val="auto"/>
          <w:highlight w:val="none"/>
        </w:rPr>
        <w:tab/>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年一般公共预算财政拨款基本支出</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万元，其中：</w:t>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人员经费</w:t>
      </w:r>
      <w:r>
        <w:rPr>
          <w:rFonts w:hint="eastAsia" w:eastAsia="仿宋" w:cs="Times New Roman"/>
          <w:color w:val="auto"/>
          <w:sz w:val="32"/>
          <w:szCs w:val="32"/>
          <w:highlight w:val="none"/>
          <w:lang w:val="en-US" w:eastAsia="zh-CN"/>
        </w:rPr>
        <w:t>2.88</w:t>
      </w:r>
      <w:r>
        <w:rPr>
          <w:rFonts w:hint="default" w:ascii="Times New Roman" w:hAnsi="Times New Roman" w:eastAsia="仿宋" w:cs="Times New Roman"/>
          <w:color w:val="auto"/>
          <w:sz w:val="32"/>
          <w:szCs w:val="32"/>
          <w:highlight w:val="none"/>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公用经费</w:t>
      </w:r>
      <w:r>
        <w:rPr>
          <w:rFonts w:hint="eastAsia"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（注：数据来源于财决07表</w:t>
      </w:r>
      <w:r>
        <w:rPr>
          <w:rFonts w:hint="default" w:ascii="Times New Roman" w:hAnsi="Times New Roman" w:eastAsia="仿宋" w:cs="Times New Roman"/>
          <w:b/>
          <w:color w:val="auto"/>
          <w:sz w:val="32"/>
          <w:szCs w:val="32"/>
          <w:highlight w:val="none"/>
          <w:lang w:eastAsia="zh-CN"/>
        </w:rPr>
        <w:t>和财决</w:t>
      </w:r>
      <w:r>
        <w:rPr>
          <w:rFonts w:hint="default" w:ascii="Times New Roman" w:hAnsi="Times New Roman" w:eastAsia="仿宋" w:cs="Times New Roman"/>
          <w:b/>
          <w:color w:val="auto"/>
          <w:sz w:val="32"/>
          <w:szCs w:val="32"/>
          <w:highlight w:val="none"/>
          <w:lang w:val="en-US" w:eastAsia="zh-CN"/>
        </w:rPr>
        <w:t>08-1表</w:t>
      </w:r>
      <w:r>
        <w:rPr>
          <w:rFonts w:hint="default" w:ascii="Times New Roman" w:hAnsi="Times New Roman" w:eastAsia="仿宋" w:cs="Times New Roman"/>
          <w:b/>
          <w:color w:val="auto"/>
          <w:sz w:val="32"/>
          <w:szCs w:val="32"/>
          <w:highlight w:val="none"/>
        </w:rPr>
        <w:t>，</w:t>
      </w:r>
      <w:r>
        <w:rPr>
          <w:rFonts w:hint="default" w:ascii="Times New Roman" w:hAnsi="Times New Roman" w:eastAsia="仿宋" w:cs="Times New Roman"/>
          <w:b/>
          <w:color w:val="auto"/>
          <w:sz w:val="32"/>
          <w:szCs w:val="32"/>
          <w:highlight w:val="none"/>
          <w:lang w:eastAsia="zh-CN"/>
        </w:rPr>
        <w:t>仅罗列</w:t>
      </w:r>
      <w:r>
        <w:rPr>
          <w:rFonts w:hint="default" w:ascii="Times New Roman" w:hAnsi="Times New Roman" w:eastAsia="仿宋" w:cs="Times New Roman"/>
          <w:b/>
          <w:color w:val="auto"/>
          <w:sz w:val="32"/>
          <w:szCs w:val="32"/>
          <w:highlight w:val="none"/>
        </w:rPr>
        <w:t>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实际支出</w:t>
      </w:r>
      <w:r>
        <w:rPr>
          <w:rFonts w:hint="default" w:ascii="Times New Roman" w:hAnsi="Times New Roman" w:eastAsia="仿宋" w:cs="Times New Roman"/>
          <w:b/>
          <w:color w:val="auto"/>
          <w:sz w:val="32"/>
          <w:szCs w:val="32"/>
          <w:highlight w:val="none"/>
          <w:lang w:eastAsia="zh-CN"/>
        </w:rPr>
        <w:t>涉及的</w:t>
      </w:r>
      <w:r>
        <w:rPr>
          <w:rFonts w:hint="default" w:ascii="Times New Roman" w:hAnsi="Times New Roman" w:eastAsia="仿宋" w:cs="Times New Roman"/>
          <w:b/>
          <w:color w:val="auto"/>
          <w:sz w:val="32"/>
          <w:szCs w:val="32"/>
          <w:highlight w:val="none"/>
        </w:rPr>
        <w:t>经济分类科目。）</w:t>
      </w:r>
    </w:p>
    <w:p>
      <w:pPr>
        <w:spacing w:line="600" w:lineRule="exact"/>
        <w:ind w:firstLine="640"/>
        <w:rPr>
          <w:rFonts w:hint="default" w:ascii="Times New Roman" w:hAnsi="Times New Roman" w:eastAsia="仿宋" w:cs="Times New Roman"/>
          <w:b/>
          <w:color w:val="auto"/>
          <w:sz w:val="32"/>
          <w:szCs w:val="32"/>
          <w:highlight w:val="none"/>
        </w:rPr>
      </w:pPr>
    </w:p>
    <w:p>
      <w:pPr>
        <w:spacing w:line="600" w:lineRule="exact"/>
        <w:ind w:firstLine="640"/>
        <w:outlineLvl w:val="1"/>
        <w:rPr>
          <w:rStyle w:val="21"/>
          <w:rFonts w:hint="default" w:ascii="Times New Roman" w:hAnsi="Times New Roman" w:eastAsia="黑体" w:cs="Times New Roman"/>
          <w:b w:val="0"/>
          <w:color w:val="auto"/>
          <w:highlight w:val="none"/>
        </w:rPr>
      </w:pPr>
      <w:bookmarkStart w:id="36" w:name="_Toc15396609"/>
      <w:bookmarkStart w:id="37" w:name="_Toc15377215"/>
      <w:r>
        <w:rPr>
          <w:rFonts w:hint="default" w:ascii="Times New Roman" w:hAnsi="Times New Roman" w:eastAsia="黑体" w:cs="Times New Roman"/>
          <w:color w:val="auto"/>
          <w:sz w:val="32"/>
          <w:szCs w:val="32"/>
          <w:highlight w:val="none"/>
        </w:rPr>
        <w:t>七、</w:t>
      </w:r>
      <w:r>
        <w:rPr>
          <w:rStyle w:val="21"/>
          <w:rFonts w:hint="default" w:ascii="Times New Roman" w:hAnsi="Times New Roman" w:eastAsia="黑体" w:cs="Times New Roman"/>
          <w:b w:val="0"/>
          <w:color w:val="auto"/>
          <w:highlight w:val="none"/>
        </w:rPr>
        <w:t>财政拨款</w:t>
      </w:r>
      <w:r>
        <w:rPr>
          <w:rStyle w:val="21"/>
          <w:rFonts w:hint="default" w:ascii="Times New Roman" w:hAnsi="Times New Roman" w:eastAsia="黑体" w:cs="Times New Roman"/>
          <w:color w:val="auto"/>
          <w:highlight w:val="none"/>
        </w:rPr>
        <w:t>“</w:t>
      </w:r>
      <w:r>
        <w:rPr>
          <w:rStyle w:val="21"/>
          <w:rFonts w:hint="default" w:ascii="Times New Roman" w:hAnsi="Times New Roman" w:eastAsia="黑体" w:cs="Times New Roman"/>
          <w:b w:val="0"/>
          <w:color w:val="auto"/>
          <w:highlight w:val="none"/>
        </w:rPr>
        <w:t>三公”经费支出决算情况说明</w:t>
      </w:r>
      <w:bookmarkEnd w:id="36"/>
      <w:bookmarkEnd w:id="37"/>
    </w:p>
    <w:p>
      <w:pPr>
        <w:spacing w:line="600" w:lineRule="exact"/>
        <w:ind w:firstLine="640"/>
        <w:rPr>
          <w:rFonts w:hint="eastAsia" w:ascii="Times New Roman" w:hAnsi="Times New Roman" w:eastAsia="仿宋" w:cs="Times New Roman"/>
          <w:b/>
          <w:bCs/>
          <w:color w:val="auto"/>
          <w:sz w:val="32"/>
          <w:szCs w:val="32"/>
          <w:highlight w:val="none"/>
          <w:lang w:eastAsia="zh-CN"/>
        </w:rPr>
      </w:pPr>
      <w:bookmarkStart w:id="38" w:name="_Toc15377216"/>
      <w:r>
        <w:rPr>
          <w:rFonts w:hint="default" w:ascii="Times New Roman" w:hAnsi="Times New Roman" w:eastAsia="仿宋" w:cs="Times New Roman"/>
          <w:b/>
          <w:color w:val="auto"/>
          <w:sz w:val="32"/>
          <w:szCs w:val="32"/>
          <w:highlight w:val="none"/>
        </w:rPr>
        <w:t>（一）“三公”经费财政拨款支出决算总体情况说明</w:t>
      </w:r>
      <w:bookmarkEnd w:id="38"/>
      <w:r>
        <w:rPr>
          <w:rFonts w:hint="eastAsia" w:eastAsia="仿宋" w:cs="Times New Roman"/>
          <w:b/>
          <w:bCs/>
          <w:color w:val="auto"/>
          <w:sz w:val="32"/>
          <w:szCs w:val="32"/>
          <w:highlight w:val="none"/>
          <w:lang w:eastAsia="zh-CN"/>
        </w:rPr>
        <w:t>（当年无相关预算及支出）</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年“三公”经费财政拨款支出决算为**万元，完成预算**%，</w:t>
      </w:r>
      <w:r>
        <w:rPr>
          <w:rFonts w:hint="default" w:ascii="Times New Roman" w:hAnsi="Times New Roman" w:eastAsia="仿宋" w:cs="Times New Roman"/>
          <w:color w:val="auto"/>
          <w:sz w:val="32"/>
          <w:szCs w:val="32"/>
          <w:highlight w:val="none"/>
          <w:lang w:eastAsia="zh-CN"/>
        </w:rPr>
        <w:t>较上年增加</w:t>
      </w:r>
      <w:r>
        <w:rPr>
          <w:rFonts w:hint="default" w:ascii="Times New Roman" w:hAnsi="Times New Roman" w:eastAsia="仿宋" w:cs="Times New Roman"/>
          <w:color w:val="auto"/>
          <w:sz w:val="32"/>
          <w:szCs w:val="32"/>
          <w:highlight w:val="none"/>
          <w:lang w:val="en-US" w:eastAsia="zh-CN"/>
        </w:rPr>
        <w:t>/减少**万元，增长/下降**%。</w:t>
      </w:r>
      <w:r>
        <w:rPr>
          <w:rFonts w:hint="default" w:ascii="Times New Roman" w:hAnsi="Times New Roman" w:eastAsia="仿宋" w:cs="Times New Roman"/>
          <w:color w:val="auto"/>
          <w:sz w:val="32"/>
          <w:szCs w:val="32"/>
          <w:highlight w:val="none"/>
        </w:rPr>
        <w:t>决算数小于预算数（或与预算数持平）的主要原因是……。</w:t>
      </w:r>
      <w:r>
        <w:rPr>
          <w:rFonts w:hint="default" w:ascii="Times New Roman" w:hAnsi="Times New Roman" w:eastAsia="仿宋" w:cs="Times New Roman"/>
          <w:b/>
          <w:color w:val="auto"/>
          <w:sz w:val="32"/>
          <w:szCs w:val="32"/>
          <w:highlight w:val="none"/>
        </w:rPr>
        <w:t>（注：上述“预算”口径为</w:t>
      </w:r>
      <w:r>
        <w:rPr>
          <w:rFonts w:hint="default" w:ascii="Times New Roman" w:hAnsi="Times New Roman" w:eastAsia="仿宋" w:cs="Times New Roman"/>
          <w:b/>
          <w:color w:val="auto"/>
          <w:sz w:val="32"/>
          <w:szCs w:val="32"/>
          <w:highlight w:val="none"/>
          <w:lang w:eastAsia="zh-CN"/>
        </w:rPr>
        <w:t>全年预算</w:t>
      </w:r>
      <w:r>
        <w:rPr>
          <w:rFonts w:hint="default" w:ascii="Times New Roman" w:hAnsi="Times New Roman" w:eastAsia="仿宋" w:cs="Times New Roman"/>
          <w:b/>
          <w:color w:val="auto"/>
          <w:sz w:val="32"/>
          <w:szCs w:val="32"/>
          <w:highlight w:val="none"/>
        </w:rPr>
        <w:t>数，包括</w:t>
      </w:r>
      <w:r>
        <w:rPr>
          <w:rFonts w:hint="default" w:ascii="Times New Roman" w:hAnsi="Times New Roman" w:eastAsia="仿宋" w:cs="Times New Roman"/>
          <w:b/>
          <w:color w:val="auto"/>
          <w:sz w:val="32"/>
          <w:szCs w:val="32"/>
          <w:highlight w:val="none"/>
          <w:lang w:eastAsia="zh-CN"/>
        </w:rPr>
        <w:t>一般公共预算和</w:t>
      </w:r>
      <w:r>
        <w:rPr>
          <w:rFonts w:hint="default" w:ascii="Times New Roman" w:hAnsi="Times New Roman" w:eastAsia="仿宋" w:cs="Times New Roman"/>
          <w:b/>
          <w:color w:val="auto"/>
          <w:sz w:val="32"/>
          <w:szCs w:val="32"/>
          <w:highlight w:val="none"/>
        </w:rPr>
        <w:t>政府性基金</w:t>
      </w:r>
      <w:r>
        <w:rPr>
          <w:rFonts w:hint="default" w:ascii="Times New Roman" w:hAnsi="Times New Roman" w:eastAsia="仿宋" w:cs="Times New Roman"/>
          <w:b/>
          <w:color w:val="auto"/>
          <w:sz w:val="32"/>
          <w:szCs w:val="32"/>
          <w:highlight w:val="none"/>
          <w:lang w:eastAsia="zh-CN"/>
        </w:rPr>
        <w:t>预算财政拨款</w:t>
      </w:r>
      <w:r>
        <w:rPr>
          <w:rFonts w:hint="default" w:ascii="Times New Roman" w:hAnsi="Times New Roman" w:eastAsia="仿宋" w:cs="Times New Roman"/>
          <w:b/>
          <w:color w:val="auto"/>
          <w:sz w:val="32"/>
          <w:szCs w:val="32"/>
          <w:highlight w:val="none"/>
        </w:rPr>
        <w:t>支出决算情况。）</w:t>
      </w:r>
    </w:p>
    <w:p>
      <w:pPr>
        <w:spacing w:line="600" w:lineRule="exact"/>
        <w:ind w:firstLine="640"/>
        <w:rPr>
          <w:rFonts w:hint="eastAsia" w:ascii="Times New Roman" w:hAnsi="Times New Roman" w:eastAsia="仿宋" w:cs="Times New Roman"/>
          <w:b/>
          <w:bCs/>
          <w:color w:val="auto"/>
          <w:sz w:val="32"/>
          <w:szCs w:val="32"/>
          <w:highlight w:val="none"/>
          <w:lang w:eastAsia="zh-CN"/>
        </w:rPr>
      </w:pPr>
      <w:bookmarkStart w:id="39" w:name="_Toc15377217"/>
      <w:r>
        <w:rPr>
          <w:rFonts w:hint="default" w:ascii="Times New Roman" w:hAnsi="Times New Roman" w:eastAsia="仿宋" w:cs="Times New Roman"/>
          <w:b/>
          <w:color w:val="auto"/>
          <w:sz w:val="32"/>
          <w:szCs w:val="32"/>
          <w:highlight w:val="none"/>
        </w:rPr>
        <w:t>（二）“三公”经费财政拨款支出决算具体情况说明</w:t>
      </w:r>
      <w:bookmarkEnd w:id="39"/>
      <w:r>
        <w:rPr>
          <w:rFonts w:hint="eastAsia" w:eastAsia="仿宋" w:cs="Times New Roman"/>
          <w:b/>
          <w:bCs/>
          <w:color w:val="auto"/>
          <w:sz w:val="32"/>
          <w:szCs w:val="32"/>
          <w:highlight w:val="none"/>
          <w:lang w:eastAsia="zh-CN"/>
        </w:rPr>
        <w:t>（当年无相关预算及支出）</w:t>
      </w: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2</w:t>
      </w:r>
      <w:r>
        <w:rPr>
          <w:rFonts w:hint="eastAsia"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年“三公”经费财政拨款支出决算中，因公出国（境）费支出决算**万元，占**%；公务用车购置及运行维护费支出决算**万元，占**%；公务接待费支出决算**万元，占**%。具体情况如下：</w:t>
      </w:r>
    </w:p>
    <w:p>
      <w:pPr>
        <w:spacing w:line="600" w:lineRule="exact"/>
        <w:ind w:firstLine="64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（图7：“三公”经费财政拨款支出结构）（饼状图）</w:t>
      </w:r>
    </w:p>
    <w:p>
      <w:pPr>
        <w:spacing w:line="600" w:lineRule="exact"/>
        <w:ind w:firstLine="64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1.因公出国（境）经费支出</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完成预算**%。</w:t>
      </w:r>
      <w:r>
        <w:rPr>
          <w:rFonts w:hint="default" w:ascii="Times New Roman" w:hAnsi="Times New Roman" w:eastAsia="仿宋_GB2312" w:cs="Times New Roman"/>
          <w:color w:val="auto"/>
          <w:sz w:val="32"/>
          <w:szCs w:val="32"/>
          <w:highlight w:val="none"/>
        </w:rPr>
        <w:t>全年安排因公出国（境）团组**次，出国（境）**人。因公出国（境）支出决算比20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年增加/减少**万元，增长/下降**%。主要原因是……。</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开支内容包括：…（团组名称、出访地点、取得成效）等。</w:t>
      </w:r>
    </w:p>
    <w:p>
      <w:pPr>
        <w:spacing w:line="600" w:lineRule="exact"/>
        <w:ind w:firstLine="64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2.公务用车购置及运行维护费支出</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完成预算**%。</w:t>
      </w:r>
      <w:r>
        <w:rPr>
          <w:rFonts w:hint="default" w:ascii="Times New Roman" w:hAnsi="Times New Roman" w:eastAsia="仿宋_GB2312" w:cs="Times New Roman"/>
          <w:color w:val="auto"/>
          <w:sz w:val="32"/>
          <w:szCs w:val="32"/>
          <w:highlight w:val="none"/>
        </w:rPr>
        <w:t>公务用车购置及运行维护费支出决算比20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年增加/减少**万元，增长/下降**%。主要原因是……。</w:t>
      </w:r>
    </w:p>
    <w:p>
      <w:pPr>
        <w:spacing w:line="600" w:lineRule="exact"/>
        <w:ind w:firstLine="640"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b/>
          <w:color w:val="auto"/>
          <w:sz w:val="32"/>
          <w:szCs w:val="32"/>
          <w:highlight w:val="none"/>
        </w:rPr>
        <w:t>公务用车购置支出</w:t>
      </w:r>
      <w:r>
        <w:rPr>
          <w:rFonts w:hint="default" w:ascii="Times New Roman" w:hAnsi="Times New Roman" w:eastAsia="仿宋_GB2312" w:cs="Times New Roman"/>
          <w:color w:val="auto"/>
          <w:sz w:val="32"/>
          <w:szCs w:val="32"/>
          <w:highlight w:val="none"/>
        </w:rPr>
        <w:t>**万元。全年按规定更新购置公务用车**辆，其中：轿车**辆、金额**万元，越野车**辆、金额**万元，载客汽车**辆、金额**万元，主要用于…。截至20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年12月底，单位共有公务用车**辆，其中：轿车**辆、越野车**辆、载客汽车**辆。</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公务用车运行维护费支出</w:t>
      </w:r>
      <w:r>
        <w:rPr>
          <w:rFonts w:hint="default" w:ascii="Times New Roman" w:hAnsi="Times New Roman" w:eastAsia="仿宋_GB2312" w:cs="Times New Roman"/>
          <w:color w:val="auto"/>
          <w:sz w:val="32"/>
          <w:szCs w:val="32"/>
          <w:highlight w:val="none"/>
        </w:rPr>
        <w:t>**万元。主要用于…（具体工作）等所需的公务用车燃料费、维修费、过路过桥费、保险费等支出。</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color w:val="auto"/>
          <w:sz w:val="32"/>
          <w:szCs w:val="32"/>
          <w:highlight w:val="none"/>
        </w:rPr>
        <w:t>3.公务接待费支出</w:t>
      </w:r>
      <w:r>
        <w:rPr>
          <w:rFonts w:hint="default" w:ascii="Times New Roman" w:hAnsi="Times New Roman" w:eastAsia="仿宋_GB2312" w:cs="Times New Roman"/>
          <w:color w:val="auto"/>
          <w:sz w:val="32"/>
          <w:szCs w:val="32"/>
          <w:highlight w:val="none"/>
        </w:rPr>
        <w:t>**万元，</w:t>
      </w:r>
      <w:r>
        <w:rPr>
          <w:rStyle w:val="18"/>
          <w:rFonts w:hint="default" w:ascii="Times New Roman" w:hAnsi="Times New Roman" w:eastAsia="仿宋" w:cs="Times New Roman"/>
          <w:b w:val="0"/>
          <w:bCs/>
          <w:color w:val="auto"/>
          <w:sz w:val="32"/>
          <w:szCs w:val="32"/>
          <w:highlight w:val="none"/>
        </w:rPr>
        <w:t>完成预算**%。</w:t>
      </w:r>
      <w:r>
        <w:rPr>
          <w:rFonts w:hint="default" w:ascii="Times New Roman" w:hAnsi="Times New Roman" w:eastAsia="仿宋_GB2312" w:cs="Times New Roman"/>
          <w:color w:val="auto"/>
          <w:sz w:val="32"/>
          <w:szCs w:val="32"/>
          <w:highlight w:val="none"/>
        </w:rPr>
        <w:t>公务接待费支出决算比20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年增加/减少**万元，增长/下降**%。主要原因是……。其中：</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b/>
          <w:color w:val="auto"/>
          <w:sz w:val="32"/>
          <w:szCs w:val="32"/>
          <w:highlight w:val="none"/>
        </w:rPr>
        <w:t>国内公务接待支出</w:t>
      </w:r>
      <w:r>
        <w:rPr>
          <w:rFonts w:hint="default" w:ascii="Times New Roman" w:hAnsi="Times New Roman" w:eastAsia="仿宋" w:cs="Times New Roman"/>
          <w:color w:val="auto"/>
          <w:sz w:val="32"/>
          <w:szCs w:val="32"/>
          <w:highlight w:val="none"/>
        </w:rPr>
        <w:t>**</w:t>
      </w:r>
      <w:r>
        <w:rPr>
          <w:rFonts w:hint="default" w:ascii="Times New Roman" w:hAnsi="Times New Roman" w:eastAsia="仿宋_GB2312" w:cs="Times New Roman"/>
          <w:color w:val="auto"/>
          <w:sz w:val="32"/>
          <w:szCs w:val="32"/>
          <w:highlight w:val="none"/>
        </w:rPr>
        <w:t>万元，主要用于……(执行公务、开展业务活动开支的交通费、住宿费、用餐费等)。国内公务接待**批次，**人次（不包括陪同人员），共计支出**万元，具体内容包括：…（接待具体项目、金额）。</w:t>
      </w:r>
    </w:p>
    <w:p>
      <w:pPr>
        <w:spacing w:line="600" w:lineRule="exact"/>
        <w:ind w:firstLine="642"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 w:cs="Times New Roman"/>
          <w:b/>
          <w:color w:val="auto"/>
          <w:sz w:val="32"/>
          <w:szCs w:val="32"/>
          <w:highlight w:val="none"/>
        </w:rPr>
        <w:t>外事接待支出</w:t>
      </w:r>
      <w:r>
        <w:rPr>
          <w:rFonts w:hint="default" w:ascii="Times New Roman" w:hAnsi="Times New Roman" w:eastAsia="仿宋" w:cs="Times New Roman"/>
          <w:color w:val="auto"/>
          <w:sz w:val="32"/>
          <w:szCs w:val="32"/>
          <w:highlight w:val="none"/>
        </w:rPr>
        <w:t>**</w:t>
      </w:r>
      <w:r>
        <w:rPr>
          <w:rFonts w:hint="default" w:ascii="Times New Roman" w:hAnsi="Times New Roman" w:eastAsia="仿宋_GB2312" w:cs="Times New Roman"/>
          <w:color w:val="auto"/>
          <w:sz w:val="32"/>
          <w:szCs w:val="32"/>
          <w:highlight w:val="none"/>
        </w:rPr>
        <w:t>万元，主要用于接待…（具体项目）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外事接待**批次，**人</w:t>
      </w:r>
      <w:r>
        <w:rPr>
          <w:rFonts w:hint="default" w:ascii="Times New Roman" w:hAnsi="Times New Roman" w:eastAsia="仿宋_GB2312" w:cs="Times New Roman"/>
          <w:color w:val="auto"/>
          <w:sz w:val="32"/>
          <w:szCs w:val="32"/>
          <w:highlight w:val="none"/>
          <w:lang w:eastAsia="zh-CN"/>
        </w:rPr>
        <w:t>次（不包括陪同人员）</w:t>
      </w:r>
      <w:r>
        <w:rPr>
          <w:rFonts w:hint="default" w:ascii="Times New Roman" w:hAnsi="Times New Roman" w:eastAsia="仿宋_GB2312" w:cs="Times New Roman"/>
          <w:color w:val="auto"/>
          <w:sz w:val="32"/>
          <w:szCs w:val="32"/>
          <w:highlight w:val="none"/>
        </w:rPr>
        <w:t>，共计支出**万元。</w:t>
      </w:r>
    </w:p>
    <w:p>
      <w:pPr>
        <w:spacing w:line="600" w:lineRule="exact"/>
        <w:ind w:firstLine="640"/>
        <w:outlineLvl w:val="1"/>
        <w:rPr>
          <w:rFonts w:hint="default" w:ascii="Times New Roman" w:hAnsi="Times New Roman" w:eastAsia="黑体" w:cs="Times New Roman"/>
          <w:color w:val="auto"/>
          <w:sz w:val="32"/>
          <w:szCs w:val="32"/>
          <w:highlight w:val="none"/>
        </w:rPr>
      </w:pPr>
      <w:bookmarkStart w:id="40" w:name="_Toc15377218"/>
      <w:bookmarkStart w:id="41" w:name="_Toc15396610"/>
    </w:p>
    <w:p>
      <w:pPr>
        <w:spacing w:line="600" w:lineRule="exact"/>
        <w:ind w:firstLine="640"/>
        <w:rPr>
          <w:rFonts w:hint="eastAsia" w:ascii="Times New Roman" w:hAnsi="Times New Roman" w:eastAsia="仿宋" w:cs="Times New Roman"/>
          <w:b/>
          <w:bCs/>
          <w:color w:val="auto"/>
          <w:sz w:val="32"/>
          <w:szCs w:val="32"/>
          <w:highlight w:val="none"/>
          <w:lang w:eastAsia="zh-CN"/>
        </w:rPr>
      </w:pPr>
      <w:r>
        <w:rPr>
          <w:rFonts w:hint="default" w:ascii="Times New Roman" w:hAnsi="Times New Roman" w:eastAsia="黑体" w:cs="Times New Roman"/>
          <w:color w:val="auto"/>
          <w:sz w:val="32"/>
          <w:szCs w:val="32"/>
          <w:highlight w:val="none"/>
        </w:rPr>
        <w:t>八、</w:t>
      </w:r>
      <w:r>
        <w:rPr>
          <w:rStyle w:val="21"/>
          <w:rFonts w:hint="default" w:ascii="Times New Roman" w:hAnsi="Times New Roman" w:eastAsia="黑体" w:cs="Times New Roman"/>
          <w:b w:val="0"/>
          <w:color w:val="auto"/>
          <w:highlight w:val="none"/>
        </w:rPr>
        <w:t>政府性基金预算支出决算情况说明</w:t>
      </w:r>
      <w:bookmarkEnd w:id="40"/>
      <w:bookmarkEnd w:id="41"/>
      <w:r>
        <w:rPr>
          <w:rFonts w:hint="eastAsia" w:eastAsia="仿宋" w:cs="Times New Roman"/>
          <w:b/>
          <w:bCs/>
          <w:color w:val="auto"/>
          <w:sz w:val="32"/>
          <w:szCs w:val="32"/>
          <w:highlight w:val="none"/>
          <w:lang w:eastAsia="zh-CN"/>
        </w:rPr>
        <w:t>（当年无相关预算及支出）</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年政府性基金预算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拨款支出**万元。</w:t>
      </w:r>
    </w:p>
    <w:p>
      <w:pPr>
        <w:spacing w:line="600" w:lineRule="exact"/>
        <w:ind w:firstLine="640"/>
        <w:rPr>
          <w:rFonts w:hint="default" w:ascii="Times New Roman" w:hAnsi="Times New Roman" w:eastAsia="仿宋_GB2312" w:cs="Times New Roman"/>
          <w:color w:val="auto"/>
          <w:sz w:val="32"/>
          <w:szCs w:val="32"/>
          <w:highlight w:val="none"/>
        </w:rPr>
      </w:pPr>
    </w:p>
    <w:p>
      <w:pPr>
        <w:spacing w:line="600" w:lineRule="exact"/>
        <w:ind w:firstLine="640"/>
        <w:rPr>
          <w:rFonts w:hint="eastAsia" w:ascii="Times New Roman" w:hAnsi="Times New Roman" w:eastAsia="仿宋" w:cs="Times New Roman"/>
          <w:b/>
          <w:bCs/>
          <w:color w:val="auto"/>
          <w:sz w:val="32"/>
          <w:szCs w:val="32"/>
          <w:highlight w:val="none"/>
          <w:lang w:eastAsia="zh-CN"/>
        </w:rPr>
      </w:pPr>
      <w:bookmarkStart w:id="42" w:name="_Toc15377219"/>
      <w:bookmarkStart w:id="43" w:name="_Toc15396611"/>
      <w:r>
        <w:rPr>
          <w:rStyle w:val="21"/>
          <w:rFonts w:hint="eastAsia" w:eastAsia="黑体" w:cs="Times New Roman"/>
          <w:b w:val="0"/>
          <w:color w:val="auto"/>
          <w:highlight w:val="none"/>
        </w:rPr>
        <w:t>九、</w:t>
      </w:r>
      <w:r>
        <w:rPr>
          <w:rStyle w:val="21"/>
          <w:rFonts w:hint="default" w:ascii="Times New Roman" w:hAnsi="Times New Roman" w:eastAsia="黑体" w:cs="Times New Roman"/>
          <w:b w:val="0"/>
          <w:color w:val="auto"/>
          <w:highlight w:val="none"/>
        </w:rPr>
        <w:t>国有资本经营预算支出决算情况说明</w:t>
      </w:r>
      <w:bookmarkEnd w:id="42"/>
      <w:bookmarkEnd w:id="43"/>
      <w:r>
        <w:rPr>
          <w:rFonts w:hint="eastAsia" w:eastAsia="仿宋" w:cs="Times New Roman"/>
          <w:b/>
          <w:bCs/>
          <w:color w:val="auto"/>
          <w:sz w:val="32"/>
          <w:szCs w:val="32"/>
          <w:highlight w:val="none"/>
          <w:lang w:eastAsia="zh-CN"/>
        </w:rPr>
        <w:t>（当年无相关预算及支出）</w:t>
      </w:r>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拨款支出**万元。</w:t>
      </w:r>
    </w:p>
    <w:p>
      <w:pPr>
        <w:spacing w:line="580" w:lineRule="exact"/>
        <w:jc w:val="center"/>
        <w:rPr>
          <w:rFonts w:hint="default" w:ascii="Times New Roman" w:hAnsi="Times New Roman" w:eastAsia="方正小标宋简体" w:cs="Times New Roman"/>
          <w:color w:val="auto"/>
          <w:sz w:val="44"/>
          <w:szCs w:val="44"/>
          <w:highlight w:val="none"/>
        </w:rPr>
      </w:pPr>
    </w:p>
    <w:p>
      <w:pPr>
        <w:spacing w:line="600" w:lineRule="exact"/>
        <w:ind w:firstLine="640"/>
        <w:rPr>
          <w:rFonts w:hint="eastAsia" w:ascii="Times New Roman" w:hAnsi="Times New Roman" w:eastAsia="仿宋" w:cs="Times New Roman"/>
          <w:b/>
          <w:bCs/>
          <w:color w:val="auto"/>
          <w:sz w:val="32"/>
          <w:szCs w:val="32"/>
          <w:highlight w:val="none"/>
          <w:lang w:eastAsia="zh-CN"/>
        </w:rPr>
      </w:pPr>
      <w:bookmarkStart w:id="44" w:name="_Toc15396612"/>
      <w:bookmarkStart w:id="45" w:name="_Toc15377221"/>
      <w:r>
        <w:rPr>
          <w:rStyle w:val="21"/>
          <w:rFonts w:hint="eastAsia" w:eastAsia="黑体" w:cs="Times New Roman"/>
          <w:b w:val="0"/>
          <w:color w:val="auto"/>
          <w:highlight w:val="none"/>
        </w:rPr>
        <w:t>十、</w:t>
      </w:r>
      <w:r>
        <w:rPr>
          <w:rStyle w:val="21"/>
          <w:rFonts w:hint="default" w:ascii="Times New Roman" w:hAnsi="Times New Roman" w:eastAsia="黑体" w:cs="Times New Roman"/>
          <w:b w:val="0"/>
          <w:color w:val="auto"/>
          <w:highlight w:val="none"/>
        </w:rPr>
        <w:t>其他重要事项的情况说明</w:t>
      </w:r>
      <w:bookmarkEnd w:id="44"/>
      <w:bookmarkEnd w:id="45"/>
      <w:r>
        <w:rPr>
          <w:rFonts w:hint="eastAsia" w:eastAsia="仿宋" w:cs="Times New Roman"/>
          <w:b/>
          <w:bCs/>
          <w:color w:val="auto"/>
          <w:sz w:val="32"/>
          <w:szCs w:val="32"/>
          <w:highlight w:val="none"/>
          <w:lang w:eastAsia="zh-CN"/>
        </w:rPr>
        <w:t>（当年无相关预算及支出）</w:t>
      </w:r>
    </w:p>
    <w:p>
      <w:pPr>
        <w:spacing w:line="600" w:lineRule="exact"/>
        <w:ind w:firstLine="642" w:firstLineChars="200"/>
        <w:outlineLvl w:val="2"/>
        <w:rPr>
          <w:rFonts w:hint="default" w:ascii="Times New Roman" w:hAnsi="Times New Roman" w:eastAsia="仿宋" w:cs="Times New Roman"/>
          <w:color w:val="auto"/>
          <w:sz w:val="32"/>
          <w:szCs w:val="32"/>
          <w:highlight w:val="none"/>
        </w:rPr>
      </w:pPr>
      <w:bookmarkStart w:id="46" w:name="_Toc15377222"/>
      <w:r>
        <w:rPr>
          <w:rFonts w:hint="default" w:ascii="Times New Roman" w:hAnsi="Times New Roman" w:eastAsia="仿宋" w:cs="Times New Roman"/>
          <w:b/>
          <w:color w:val="auto"/>
          <w:sz w:val="32"/>
          <w:szCs w:val="32"/>
          <w:highlight w:val="none"/>
        </w:rPr>
        <w:t>（一）机关运行经费支出情况</w:t>
      </w:r>
      <w:bookmarkEnd w:id="46"/>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年，***机关运行经费支出**万元，比20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年增加/减少**万元，增长/下降**%（或与20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年决算数持平）。主要原因是……</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autoSpaceDE w:val="0"/>
        <w:autoSpaceDN w:val="0"/>
        <w:adjustRightInd w:val="0"/>
        <w:spacing w:line="600" w:lineRule="exact"/>
        <w:ind w:firstLine="642" w:firstLineChars="200"/>
        <w:jc w:val="left"/>
        <w:outlineLvl w:val="2"/>
        <w:rPr>
          <w:rFonts w:hint="default" w:ascii="Times New Roman" w:hAnsi="Times New Roman" w:eastAsia="仿宋" w:cs="Times New Roman"/>
          <w:b/>
          <w:color w:val="auto"/>
          <w:sz w:val="32"/>
          <w:szCs w:val="32"/>
          <w:highlight w:val="none"/>
        </w:rPr>
      </w:pPr>
      <w:bookmarkStart w:id="47" w:name="_Toc15377223"/>
      <w:r>
        <w:rPr>
          <w:rFonts w:hint="default" w:ascii="Times New Roman" w:hAnsi="Times New Roman" w:eastAsia="仿宋" w:cs="Times New Roman"/>
          <w:b/>
          <w:color w:val="auto"/>
          <w:sz w:val="32"/>
          <w:szCs w:val="32"/>
          <w:highlight w:val="none"/>
        </w:rPr>
        <w:t>（二）政府采购支出情况</w:t>
      </w:r>
      <w:bookmarkEnd w:id="47"/>
    </w:p>
    <w:p>
      <w:pPr>
        <w:spacing w:line="60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政府采购支出总额**万元，其中：政府采购货物支出**万元、政府采购工程支出**万元、政府采购服务支出**万元。主要用于…（具体工作）。授予中小企业合同金额**万元，占政府采购支出总额的**%，其中：授予小微企业合同金额**万元，占政府采购支出总额的**%。</w:t>
      </w:r>
    </w:p>
    <w:p>
      <w:pPr>
        <w:spacing w:line="600" w:lineRule="exact"/>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（注：数据来源于财决附03表）</w:t>
      </w:r>
    </w:p>
    <w:p>
      <w:pPr>
        <w:autoSpaceDE w:val="0"/>
        <w:autoSpaceDN w:val="0"/>
        <w:adjustRightInd w:val="0"/>
        <w:spacing w:line="600" w:lineRule="exact"/>
        <w:ind w:firstLine="642" w:firstLineChars="200"/>
        <w:jc w:val="left"/>
        <w:outlineLvl w:val="2"/>
        <w:rPr>
          <w:rFonts w:hint="default" w:ascii="Times New Roman" w:hAnsi="Times New Roman" w:eastAsia="仿宋" w:cs="Times New Roman"/>
          <w:b/>
          <w:color w:val="auto"/>
          <w:sz w:val="32"/>
          <w:szCs w:val="32"/>
          <w:highlight w:val="none"/>
        </w:rPr>
      </w:pPr>
      <w:bookmarkStart w:id="48" w:name="_Toc15377224"/>
      <w:r>
        <w:rPr>
          <w:rFonts w:hint="default" w:ascii="Times New Roman" w:hAnsi="Times New Roman" w:eastAsia="仿宋" w:cs="Times New Roman"/>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截至20</w:t>
      </w: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年12月31日，***共有车辆**辆，其中：主要领导干部用车**辆、机要通信用车**辆、应急保障用车**辆、其他用车**辆</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其他用车主要是用于……</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单价100万元以上专用设备**台（套）。</w:t>
      </w:r>
    </w:p>
    <w:p>
      <w:pPr>
        <w:autoSpaceDE w:val="0"/>
        <w:autoSpaceDN w:val="0"/>
        <w:adjustRightInd w:val="0"/>
        <w:spacing w:line="600" w:lineRule="exact"/>
        <w:ind w:firstLine="642" w:firstLineChars="200"/>
        <w:jc w:val="left"/>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（注：数据来源</w:t>
      </w:r>
      <w:r>
        <w:rPr>
          <w:rFonts w:hint="default" w:ascii="Times New Roman" w:hAnsi="Times New Roman" w:eastAsia="仿宋" w:cs="Times New Roman"/>
          <w:b/>
          <w:color w:val="auto"/>
          <w:sz w:val="32"/>
          <w:szCs w:val="32"/>
          <w:highlight w:val="none"/>
          <w:lang w:eastAsia="zh-CN"/>
        </w:rPr>
        <w:t>于</w:t>
      </w:r>
      <w:r>
        <w:rPr>
          <w:rFonts w:hint="default" w:ascii="Times New Roman" w:hAnsi="Times New Roman" w:eastAsia="仿宋" w:cs="Times New Roman"/>
          <w:b/>
          <w:color w:val="auto"/>
          <w:sz w:val="32"/>
          <w:szCs w:val="32"/>
          <w:highlight w:val="none"/>
        </w:rPr>
        <w:t>财决附03表，按</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决算报表填报数据罗列车辆情况。）</w:t>
      </w:r>
    </w:p>
    <w:p>
      <w:pPr>
        <w:spacing w:line="600" w:lineRule="exact"/>
        <w:ind w:firstLine="640"/>
        <w:rPr>
          <w:rFonts w:hint="eastAsia" w:ascii="Times New Roman" w:hAnsi="Times New Roman" w:eastAsia="仿宋" w:cs="Times New Roman"/>
          <w:b/>
          <w:bCs/>
          <w:color w:val="auto"/>
          <w:sz w:val="32"/>
          <w:szCs w:val="32"/>
          <w:highlight w:val="none"/>
          <w:lang w:eastAsia="zh-CN"/>
        </w:rPr>
      </w:pPr>
      <w:r>
        <w:rPr>
          <w:rFonts w:hint="default" w:ascii="Times New Roman" w:hAnsi="Times New Roman" w:eastAsia="仿宋" w:cs="Times New Roman"/>
          <w:b/>
          <w:color w:val="auto"/>
          <w:sz w:val="32"/>
          <w:szCs w:val="32"/>
          <w:highlight w:val="none"/>
        </w:rPr>
        <w:t>（四）预算绩效管理情况</w:t>
      </w:r>
      <w:r>
        <w:rPr>
          <w:rFonts w:hint="eastAsia" w:eastAsia="仿宋" w:cs="Times New Roman"/>
          <w:b/>
          <w:bCs/>
          <w:color w:val="auto"/>
          <w:sz w:val="32"/>
          <w:szCs w:val="32"/>
          <w:highlight w:val="none"/>
          <w:lang w:eastAsia="zh-CN"/>
        </w:rPr>
        <w:t>（当年无相关预算及支出）</w:t>
      </w:r>
    </w:p>
    <w:p>
      <w:pPr>
        <w:pStyle w:val="8"/>
        <w:ind w:firstLine="640" w:firstLineChars="200"/>
        <w:rPr>
          <w:rFonts w:hint="default" w:ascii="Times New Roman" w:hAnsi="Times New Roman" w:cs="Times New Roman"/>
          <w:color w:val="auto"/>
          <w:highlight w:val="yellow"/>
        </w:rPr>
      </w:pPr>
      <w:r>
        <w:rPr>
          <w:rFonts w:hint="default" w:ascii="Times New Roman" w:hAnsi="Times New Roman" w:eastAsia="仿宋_GB2312" w:cs="Times New Roman"/>
          <w:color w:val="auto"/>
          <w:sz w:val="32"/>
          <w:szCs w:val="32"/>
          <w:highlight w:val="none"/>
        </w:rPr>
        <w:t>根据预算绩效管理要求，本单位在202</w:t>
      </w:r>
      <w:r>
        <w:rPr>
          <w:rFonts w:hint="eastAsia" w:asci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年度预算编制阶段，组织对XXX项目（项目名称）等XX个项目开展了预算事前绩效评估，对XX个项目编制了绩效目标，预算执行过程中，选取XX个项目开展绩效监控，组织对XX个项目开展绩效自评，绩效自评表详见</w:t>
      </w:r>
      <w:r>
        <w:rPr>
          <w:rFonts w:hint="default" w:ascii="Times New Roman" w:hAnsi="Times New Roman" w:cs="Times New Roman"/>
          <w:color w:val="auto"/>
          <w:sz w:val="32"/>
          <w:szCs w:val="32"/>
          <w:highlight w:val="none"/>
          <w:lang w:eastAsia="zh-CN"/>
        </w:rPr>
        <w:t>第四部分</w:t>
      </w:r>
      <w:r>
        <w:rPr>
          <w:rFonts w:hint="default" w:ascii="Times New Roman" w:hAnsi="Times New Roman" w:eastAsia="仿宋_GB2312" w:cs="Times New Roman"/>
          <w:color w:val="auto"/>
          <w:sz w:val="32"/>
          <w:szCs w:val="32"/>
          <w:highlight w:val="none"/>
        </w:rPr>
        <w:t>附件。</w:t>
      </w:r>
    </w:p>
    <w:p>
      <w:pPr>
        <w:widowControl/>
        <w:jc w:val="left"/>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br w:type="page"/>
      </w:r>
    </w:p>
    <w:p>
      <w:pPr>
        <w:numPr>
          <w:ilvl w:val="0"/>
          <w:numId w:val="1"/>
        </w:numPr>
        <w:spacing w:line="600" w:lineRule="exact"/>
        <w:ind w:left="0" w:firstLine="660" w:firstLineChars="150"/>
        <w:jc w:val="center"/>
        <w:outlineLvl w:val="0"/>
        <w:rPr>
          <w:rStyle w:val="20"/>
          <w:rFonts w:hint="default" w:ascii="Times New Roman" w:hAnsi="Times New Roman" w:eastAsia="黑体" w:cs="Times New Roman"/>
          <w:b w:val="0"/>
          <w:color w:val="auto"/>
          <w:highlight w:val="none"/>
        </w:rPr>
      </w:pPr>
      <w:bookmarkStart w:id="49" w:name="_Toc15377225"/>
      <w:bookmarkStart w:id="50" w:name="_Toc15396613"/>
      <w:r>
        <w:rPr>
          <w:rFonts w:hint="default" w:ascii="Times New Roman" w:hAnsi="Times New Roman" w:eastAsia="黑体" w:cs="Times New Roman"/>
          <w:color w:val="auto"/>
          <w:sz w:val="44"/>
          <w:szCs w:val="44"/>
          <w:highlight w:val="none"/>
        </w:rPr>
        <w:t>名</w:t>
      </w:r>
      <w:r>
        <w:rPr>
          <w:rStyle w:val="20"/>
          <w:rFonts w:hint="default" w:ascii="Times New Roman" w:hAnsi="Times New Roman" w:eastAsia="黑体" w:cs="Times New Roman"/>
          <w:b w:val="0"/>
          <w:color w:val="auto"/>
          <w:highlight w:val="none"/>
        </w:rPr>
        <w:t>词解释</w:t>
      </w:r>
      <w:bookmarkEnd w:id="49"/>
      <w:bookmarkEnd w:id="50"/>
    </w:p>
    <w:p>
      <w:pPr>
        <w:spacing w:line="600" w:lineRule="exact"/>
        <w:jc w:val="left"/>
        <w:rPr>
          <w:rFonts w:hint="default" w:ascii="Times New Roman" w:hAnsi="Times New Roman" w:cs="Times New Roman"/>
          <w:b/>
          <w:color w:val="auto"/>
          <w:sz w:val="44"/>
          <w:szCs w:val="44"/>
          <w:highlight w:val="none"/>
        </w:rPr>
      </w:pP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1.财政拨款收入：指单位从同级财政部门取得的财政预算资金。</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2.事业收入：指事业单位开展专业业务活动及辅助活动取得的收入。如…（二级预算单位事业收入情况）等。</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3.经营收入：指事业单位在专业业务活动及其辅助活动之外开展非独立核算经营活动取得的收入。如…（二级预算单位经营收入情况）等。</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4.其他收入：指单位取得的除上述收入以外的各项收入。主要是…（收入类型）等。 </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w:t>
      </w:r>
      <w:r>
        <w:rPr>
          <w:rFonts w:hint="default" w:ascii="Times New Roman" w:hAnsi="Times New Roman" w:eastAsia="仿宋_GB2312" w:cs="Times New Roman"/>
          <w:color w:val="auto"/>
          <w:sz w:val="32"/>
          <w:szCs w:val="32"/>
          <w:highlight w:val="none"/>
          <w:lang w:eastAsia="zh-CN"/>
        </w:rPr>
        <w:t>使用非财政拨款结余</w:t>
      </w:r>
      <w:r>
        <w:rPr>
          <w:rFonts w:hint="default" w:ascii="Times New Roman" w:hAnsi="Times New Roman" w:eastAsia="仿宋_GB2312" w:cs="Times New Roman"/>
          <w:color w:val="auto"/>
          <w:sz w:val="32"/>
          <w:szCs w:val="32"/>
          <w:highlight w:val="none"/>
        </w:rPr>
        <w:t>：指事业单位</w:t>
      </w:r>
      <w:r>
        <w:rPr>
          <w:rFonts w:hint="default" w:ascii="Times New Roman" w:hAnsi="Times New Roman" w:eastAsia="仿宋_GB2312" w:cs="Times New Roman"/>
          <w:color w:val="auto"/>
          <w:sz w:val="32"/>
          <w:szCs w:val="32"/>
          <w:highlight w:val="none"/>
          <w:lang w:eastAsia="zh-CN"/>
        </w:rPr>
        <w:t>使用以前年度积累的非财政拨款结余弥补当年收支差额的金额。</w:t>
      </w:r>
      <w:r>
        <w:rPr>
          <w:rFonts w:hint="default" w:ascii="Times New Roman" w:hAnsi="Times New Roman" w:eastAsia="仿宋_GB2312" w:cs="Times New Roman"/>
          <w:color w:val="auto"/>
          <w:sz w:val="32"/>
          <w:szCs w:val="32"/>
          <w:highlight w:val="none"/>
        </w:rPr>
        <w:t xml:space="preserve"> </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6.年初结转和结余：指以前年度尚未完成、结转到本年按有关规定继续使用的资金。 </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7.结余分配：指事业单位按照会计制度规定</w:t>
      </w:r>
      <w:r>
        <w:rPr>
          <w:rFonts w:hint="default" w:ascii="Times New Roman" w:hAnsi="Times New Roman" w:eastAsia="仿宋_GB2312" w:cs="Times New Roman"/>
          <w:color w:val="auto"/>
          <w:sz w:val="32"/>
          <w:szCs w:val="32"/>
          <w:highlight w:val="none"/>
          <w:lang w:eastAsia="zh-CN"/>
        </w:rPr>
        <w:t>缴纳的所得税、提取的专用结余以及转入非财政拨款结余的金额</w:t>
      </w:r>
      <w:r>
        <w:rPr>
          <w:rFonts w:hint="default" w:ascii="Times New Roman" w:hAnsi="Times New Roman" w:eastAsia="仿宋_GB2312" w:cs="Times New Roman"/>
          <w:color w:val="auto"/>
          <w:sz w:val="32"/>
          <w:szCs w:val="32"/>
          <w:highlight w:val="none"/>
        </w:rPr>
        <w:t>等。</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年末结转和结余：指单位按有关规定结转到下年或以后年度继续使用的资金。</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9.一般公共服务（类）党委办公厅及相关机构事务（款）事业运行（项）:指反映</w:t>
      </w:r>
      <w:r>
        <w:rPr>
          <w:rFonts w:hint="eastAsia" w:eastAsia="仿宋_GB2312" w:cs="Times New Roman"/>
          <w:color w:val="auto"/>
          <w:sz w:val="32"/>
          <w:szCs w:val="32"/>
          <w:highlight w:val="none"/>
          <w:lang w:eastAsia="zh-CN"/>
        </w:rPr>
        <w:t>事业</w:t>
      </w:r>
      <w:r>
        <w:rPr>
          <w:rFonts w:hint="default" w:ascii="Times New Roman" w:hAnsi="Times New Roman" w:eastAsia="仿宋_GB2312" w:cs="Times New Roman"/>
          <w:color w:val="auto"/>
          <w:sz w:val="32"/>
          <w:szCs w:val="32"/>
          <w:highlight w:val="none"/>
        </w:rPr>
        <w:t>单位的基本支出。</w:t>
      </w:r>
    </w:p>
    <w:p>
      <w:pPr>
        <w:spacing w:line="576" w:lineRule="exact"/>
        <w:ind w:firstLine="640" w:firstLineChars="200"/>
        <w:rPr>
          <w:rFonts w:eastAsia="仿宋_GB2312"/>
          <w:color w:val="000000"/>
          <w:sz w:val="32"/>
          <w:szCs w:val="32"/>
        </w:rPr>
      </w:pPr>
      <w:r>
        <w:rPr>
          <w:rFonts w:eastAsia="仿宋_GB2312"/>
          <w:color w:val="000000"/>
          <w:sz w:val="32"/>
          <w:szCs w:val="32"/>
        </w:rPr>
        <w:t>10.社会保障和就业（类）</w:t>
      </w:r>
      <w:r>
        <w:rPr>
          <w:rFonts w:hint="eastAsia" w:eastAsia="仿宋_GB2312"/>
          <w:color w:val="000000"/>
          <w:sz w:val="32"/>
          <w:szCs w:val="32"/>
        </w:rPr>
        <w:t>行政事业单位养老支出</w:t>
      </w:r>
      <w:r>
        <w:rPr>
          <w:rFonts w:eastAsia="仿宋_GB2312"/>
          <w:color w:val="000000"/>
          <w:sz w:val="32"/>
          <w:szCs w:val="32"/>
        </w:rPr>
        <w:t>（款）机关事业单位基本养老保险缴费支出（项）：反映机关事业单位实施养老保险制度由单位缴纳的基本养老保险费支出。</w:t>
      </w:r>
    </w:p>
    <w:p>
      <w:pPr>
        <w:spacing w:line="576" w:lineRule="exact"/>
        <w:ind w:firstLine="640" w:firstLineChars="200"/>
        <w:rPr>
          <w:rFonts w:eastAsia="仿宋_GB2312"/>
          <w:color w:val="000000"/>
          <w:sz w:val="32"/>
          <w:szCs w:val="32"/>
        </w:rPr>
      </w:pPr>
      <w:r>
        <w:rPr>
          <w:rFonts w:eastAsia="仿宋_GB2312"/>
          <w:color w:val="000000"/>
          <w:sz w:val="32"/>
          <w:szCs w:val="32"/>
        </w:rPr>
        <w:t>11. 社会保障和就业（类）</w:t>
      </w:r>
      <w:r>
        <w:rPr>
          <w:rFonts w:hint="eastAsia" w:eastAsia="仿宋_GB2312"/>
          <w:color w:val="000000"/>
          <w:sz w:val="32"/>
          <w:szCs w:val="32"/>
        </w:rPr>
        <w:t>行政事业单位养老支出</w:t>
      </w:r>
      <w:r>
        <w:rPr>
          <w:rFonts w:eastAsia="仿宋_GB2312"/>
          <w:color w:val="000000"/>
          <w:sz w:val="32"/>
          <w:szCs w:val="32"/>
        </w:rPr>
        <w:t>（款）机关事业单位职业年金缴费支出（项）：反映机关事业单位实施养老保险制度由单位缴纳的职业年金支出。</w:t>
      </w:r>
    </w:p>
    <w:p>
      <w:pPr>
        <w:spacing w:line="576" w:lineRule="exact"/>
        <w:ind w:firstLine="640" w:firstLineChars="200"/>
        <w:rPr>
          <w:rFonts w:eastAsia="仿宋_GB2312"/>
          <w:color w:val="000000"/>
          <w:sz w:val="32"/>
          <w:szCs w:val="32"/>
        </w:rPr>
      </w:pPr>
      <w:r>
        <w:rPr>
          <w:rFonts w:eastAsia="仿宋_GB2312"/>
          <w:color w:val="000000"/>
          <w:sz w:val="32"/>
          <w:szCs w:val="32"/>
        </w:rPr>
        <w:t>12.社会保障和就业（类）其他社会保障和就业支出（款）其他社会保障和就业支出（项）：反映上述项目以外其他用于社会保障和就业方面的支出。</w:t>
      </w:r>
    </w:p>
    <w:p>
      <w:pPr>
        <w:spacing w:line="576" w:lineRule="exact"/>
        <w:ind w:firstLine="640" w:firstLineChars="200"/>
        <w:rPr>
          <w:rFonts w:eastAsia="仿宋_GB2312"/>
          <w:color w:val="000000"/>
          <w:sz w:val="32"/>
          <w:szCs w:val="32"/>
        </w:rPr>
      </w:pPr>
      <w:r>
        <w:rPr>
          <w:rFonts w:eastAsia="仿宋_GB2312"/>
          <w:color w:val="000000"/>
          <w:sz w:val="32"/>
          <w:szCs w:val="32"/>
        </w:rPr>
        <w:t>13.医疗卫生与计划生育（类）行政事业单位医疗（款）行政单位医疗（项）：反映财政部门集中安排的行政单位基本医疗保险缴费经费，未参加医疗保险的行政单位的公费医疗经费，按国家规定享受离休人员、红军老战士待遇人员的医疗经费。</w:t>
      </w:r>
    </w:p>
    <w:p>
      <w:pPr>
        <w:spacing w:line="576" w:lineRule="exact"/>
        <w:ind w:firstLine="640" w:firstLineChars="200"/>
        <w:rPr>
          <w:rFonts w:eastAsia="仿宋_GB2312"/>
          <w:color w:val="000000"/>
          <w:sz w:val="32"/>
          <w:szCs w:val="32"/>
        </w:rPr>
      </w:pPr>
      <w:r>
        <w:rPr>
          <w:rFonts w:eastAsia="仿宋_GB2312"/>
          <w:color w:val="000000"/>
          <w:sz w:val="32"/>
          <w:szCs w:val="32"/>
        </w:rPr>
        <w:t>14.医疗卫生与计划生育（类）行政事业单位医疗（款）公务员补充医疗补助（项）：反映财政部门集中安排的公务员医疗补助经费。</w:t>
      </w:r>
    </w:p>
    <w:p>
      <w:pPr>
        <w:spacing w:line="600" w:lineRule="exact"/>
        <w:ind w:firstLine="640"/>
        <w:rPr>
          <w:rFonts w:eastAsia="仿宋_GB2312"/>
          <w:color w:val="000000"/>
          <w:sz w:val="32"/>
          <w:szCs w:val="32"/>
        </w:rPr>
      </w:pPr>
      <w:r>
        <w:rPr>
          <w:rFonts w:eastAsia="仿宋_GB2312"/>
          <w:color w:val="000000"/>
          <w:sz w:val="32"/>
          <w:szCs w:val="32"/>
        </w:rPr>
        <w:t>15.住房保障（类）住房改革支出（款）住房公积金（项）：反映行政事业单位按人力资源和社会保障部、财政部规定的基本工资和津贴补贴以及规定比例为职工缴纳的住房公积金。</w:t>
      </w:r>
    </w:p>
    <w:p>
      <w:pPr>
        <w:spacing w:line="600" w:lineRule="exact"/>
        <w:ind w:firstLine="64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（解释本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决算报表中</w:t>
      </w:r>
      <w:r>
        <w:rPr>
          <w:rFonts w:hint="default" w:ascii="Times New Roman" w:hAnsi="Times New Roman" w:eastAsia="仿宋" w:cs="Times New Roman"/>
          <w:b/>
          <w:color w:val="auto"/>
          <w:sz w:val="32"/>
          <w:szCs w:val="32"/>
          <w:highlight w:val="none"/>
          <w:lang w:eastAsia="zh-CN"/>
        </w:rPr>
        <w:t>涉及的</w:t>
      </w:r>
      <w:r>
        <w:rPr>
          <w:rFonts w:hint="default" w:ascii="Times New Roman" w:hAnsi="Times New Roman" w:eastAsia="仿宋" w:cs="Times New Roman"/>
          <w:b/>
          <w:color w:val="auto"/>
          <w:sz w:val="32"/>
          <w:szCs w:val="32"/>
          <w:highlight w:val="none"/>
        </w:rPr>
        <w:t>全部功能分类科目至项级，</w:t>
      </w:r>
      <w:r>
        <w:rPr>
          <w:rFonts w:hint="default" w:ascii="Times New Roman" w:hAnsi="Times New Roman" w:eastAsia="仿宋" w:cs="Times New Roman"/>
          <w:b/>
          <w:color w:val="auto"/>
          <w:sz w:val="32"/>
          <w:szCs w:val="32"/>
          <w:highlight w:val="none"/>
          <w:lang w:eastAsia="zh-CN"/>
        </w:rPr>
        <w:t>不涉及的科目请自行删除。</w:t>
      </w:r>
      <w:r>
        <w:rPr>
          <w:rFonts w:hint="default" w:ascii="Times New Roman" w:hAnsi="Times New Roman" w:eastAsia="仿宋" w:cs="Times New Roman"/>
          <w:b/>
          <w:color w:val="auto"/>
          <w:sz w:val="32"/>
          <w:szCs w:val="32"/>
          <w:highlight w:val="none"/>
        </w:rPr>
        <w:t>请参照《20</w:t>
      </w:r>
      <w:r>
        <w:rPr>
          <w:rFonts w:hint="default" w:ascii="Times New Roman" w:hAnsi="Times New Roman" w:eastAsia="仿宋" w:cs="Times New Roman"/>
          <w:b/>
          <w:color w:val="auto"/>
          <w:sz w:val="32"/>
          <w:szCs w:val="32"/>
          <w:highlight w:val="none"/>
          <w:lang w:val="en-US" w:eastAsia="zh-CN"/>
        </w:rPr>
        <w:t>2</w:t>
      </w:r>
      <w:r>
        <w:rPr>
          <w:rFonts w:hint="eastAsia" w:eastAsia="仿宋" w:cs="Times New Roman"/>
          <w:b/>
          <w:color w:val="auto"/>
          <w:sz w:val="32"/>
          <w:szCs w:val="32"/>
          <w:highlight w:val="none"/>
          <w:lang w:val="en-US" w:eastAsia="zh-CN"/>
        </w:rPr>
        <w:t>4</w:t>
      </w:r>
      <w:r>
        <w:rPr>
          <w:rFonts w:hint="default" w:ascii="Times New Roman" w:hAnsi="Times New Roman" w:eastAsia="仿宋" w:cs="Times New Roman"/>
          <w:b/>
          <w:color w:val="auto"/>
          <w:sz w:val="32"/>
          <w:szCs w:val="32"/>
          <w:highlight w:val="none"/>
        </w:rPr>
        <w:t>年政府收支分类科目》增减内容。）</w:t>
      </w:r>
    </w:p>
    <w:p>
      <w:pPr>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16</w:t>
      </w:r>
      <w:r>
        <w:rPr>
          <w:rFonts w:hint="default" w:ascii="Times New Roman" w:hAnsi="Times New Roman" w:eastAsia="仿宋_GB2312" w:cs="Times New Roman"/>
          <w:color w:val="auto"/>
          <w:sz w:val="32"/>
          <w:szCs w:val="32"/>
          <w:highlight w:val="none"/>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17</w:t>
      </w:r>
      <w:r>
        <w:rPr>
          <w:rFonts w:hint="default" w:ascii="Times New Roman" w:hAnsi="Times New Roman" w:eastAsia="仿宋_GB2312" w:cs="Times New Roman"/>
          <w:color w:val="auto"/>
          <w:sz w:val="32"/>
          <w:szCs w:val="32"/>
          <w:highlight w:val="none"/>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18</w:t>
      </w:r>
      <w:r>
        <w:rPr>
          <w:rFonts w:hint="default" w:ascii="Times New Roman" w:hAnsi="Times New Roman" w:eastAsia="仿宋_GB2312" w:cs="Times New Roman"/>
          <w:color w:val="auto"/>
          <w:sz w:val="32"/>
          <w:szCs w:val="32"/>
          <w:highlight w:val="none"/>
        </w:rPr>
        <w:t>.经营支出：指事业单位在专业业务活动及其辅助活动之外开展非独立核算经营活动发生的支出。</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rPr>
        <w:t>.“三公”经费：指</w:t>
      </w:r>
      <w:r>
        <w:rPr>
          <w:rFonts w:hint="default" w:ascii="Times New Roman" w:hAnsi="Times New Roman" w:eastAsia="仿宋_GB2312" w:cs="Times New Roman"/>
          <w:color w:val="auto"/>
          <w:sz w:val="32"/>
          <w:szCs w:val="32"/>
          <w:highlight w:val="none"/>
          <w:lang w:eastAsia="zh-CN"/>
        </w:rPr>
        <w:t>单位</w:t>
      </w:r>
      <w:r>
        <w:rPr>
          <w:rFonts w:hint="default" w:ascii="Times New Roman" w:hAnsi="Times New Roman" w:eastAsia="仿宋_GB2312" w:cs="Times New Roman"/>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eastAsia="仿宋_GB2312" w:cs="Times New Roman"/>
          <w:color w:val="auto"/>
          <w:sz w:val="32"/>
          <w:szCs w:val="32"/>
          <w:highlight w:val="none"/>
          <w:lang w:val="en-US" w:eastAsia="zh-CN"/>
        </w:rPr>
        <w:t>21</w:t>
      </w:r>
      <w:r>
        <w:rPr>
          <w:rFonts w:hint="default" w:ascii="Times New Roman" w:hAnsi="Times New Roman" w:eastAsia="仿宋_GB2312" w:cs="Times New Roman"/>
          <w:color w:val="auto"/>
          <w:sz w:val="32"/>
          <w:szCs w:val="32"/>
          <w:highlight w:val="none"/>
        </w:rPr>
        <w:t>.……。</w:t>
      </w:r>
    </w:p>
    <w:p>
      <w:pPr>
        <w:pStyle w:val="25"/>
        <w:spacing w:line="560" w:lineRule="exact"/>
        <w:ind w:firstLine="640" w:firstLineChars="200"/>
        <w:rPr>
          <w:rFonts w:hint="default" w:ascii="Times New Roman" w:hAnsi="Times New Roman" w:eastAsia="仿宋_GB2312" w:cs="Times New Roman"/>
          <w:color w:val="auto"/>
          <w:sz w:val="32"/>
          <w:szCs w:val="32"/>
          <w:highlight w:val="none"/>
        </w:rPr>
      </w:pPr>
    </w:p>
    <w:p>
      <w:pPr>
        <w:ind w:firstLine="642" w:firstLineChars="200"/>
        <w:rPr>
          <w:rFonts w:hint="default" w:ascii="Times New Roman" w:hAnsi="Times New Roman" w:eastAsia="仿宋" w:cs="Times New Roman"/>
          <w:b/>
          <w:color w:val="auto"/>
          <w:sz w:val="32"/>
          <w:szCs w:val="32"/>
          <w:highlight w:val="none"/>
        </w:rPr>
      </w:pPr>
      <w:r>
        <w:rPr>
          <w:rFonts w:hint="default" w:ascii="Times New Roman" w:hAnsi="Times New Roman" w:eastAsia="仿宋" w:cs="Times New Roman"/>
          <w:b/>
          <w:color w:val="auto"/>
          <w:sz w:val="32"/>
          <w:szCs w:val="32"/>
          <w:highlight w:val="none"/>
        </w:rPr>
        <w:t>（名词解释部分请根据各</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实际列支情况罗列，并根据本</w:t>
      </w:r>
      <w:r>
        <w:rPr>
          <w:rFonts w:hint="default" w:ascii="Times New Roman" w:hAnsi="Times New Roman" w:eastAsia="仿宋" w:cs="Times New Roman"/>
          <w:b/>
          <w:color w:val="auto"/>
          <w:sz w:val="32"/>
          <w:szCs w:val="32"/>
          <w:highlight w:val="none"/>
          <w:lang w:eastAsia="zh-CN"/>
        </w:rPr>
        <w:t>单位</w:t>
      </w:r>
      <w:r>
        <w:rPr>
          <w:rFonts w:hint="default" w:ascii="Times New Roman" w:hAnsi="Times New Roman" w:eastAsia="仿宋" w:cs="Times New Roman"/>
          <w:b/>
          <w:color w:val="auto"/>
          <w:sz w:val="32"/>
          <w:szCs w:val="32"/>
          <w:highlight w:val="none"/>
        </w:rPr>
        <w:t>职责职能增减名词解释内容。）</w:t>
      </w:r>
    </w:p>
    <w:p>
      <w:pPr>
        <w:spacing w:line="600" w:lineRule="exact"/>
        <w:jc w:val="center"/>
        <w:outlineLvl w:val="0"/>
        <w:rPr>
          <w:rStyle w:val="20"/>
          <w:rFonts w:hint="default" w:ascii="Times New Roman" w:hAnsi="Times New Roman" w:eastAsia="黑体" w:cs="Times New Roman"/>
          <w:b w:val="0"/>
          <w:color w:val="auto"/>
          <w:highlight w:val="none"/>
        </w:rPr>
      </w:pPr>
      <w:bookmarkStart w:id="51" w:name="_Toc15377226"/>
      <w:r>
        <w:rPr>
          <w:rFonts w:hint="default" w:ascii="Times New Roman" w:hAnsi="Times New Roman" w:cs="Times New Roman"/>
          <w:b/>
          <w:color w:val="auto"/>
          <w:sz w:val="44"/>
          <w:szCs w:val="44"/>
          <w:highlight w:val="none"/>
        </w:rPr>
        <w:br w:type="page"/>
      </w:r>
      <w:bookmarkStart w:id="52" w:name="_Toc15396614"/>
    </w:p>
    <w:p>
      <w:pPr>
        <w:spacing w:line="600" w:lineRule="exact"/>
        <w:jc w:val="center"/>
        <w:outlineLvl w:val="0"/>
        <w:rPr>
          <w:rStyle w:val="29"/>
          <w:rFonts w:ascii="黑体" w:hAnsi="黑体" w:eastAsia="黑体"/>
          <w:b w:val="0"/>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ascii="Times New Roman" w:hAnsi="Times New Roman" w:eastAsia="方正小标宋简体" w:cs="Times New Roman"/>
          <w:b w:val="0"/>
          <w:bCs/>
          <w:sz w:val="44"/>
          <w:szCs w:val="44"/>
          <w:highlight w:val="none"/>
          <w:shd w:val="clear" w:color="auto" w:fill="FFFFFF"/>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ascii="Times New Roman" w:hAnsi="Times New Roman" w:eastAsia="方正小标宋简体" w:cs="Times New Roman"/>
          <w:b w:val="0"/>
          <w:bCs/>
          <w:sz w:val="44"/>
          <w:szCs w:val="44"/>
          <w:highlight w:val="none"/>
          <w:shd w:val="clear" w:color="auto" w:fill="FFFFFF"/>
        </w:rPr>
      </w:pPr>
      <w:r>
        <w:rPr>
          <w:rFonts w:ascii="Times New Roman" w:hAnsi="Times New Roman" w:eastAsia="方正小标宋简体" w:cs="Times New Roman"/>
          <w:b w:val="0"/>
          <w:bCs/>
          <w:sz w:val="44"/>
          <w:szCs w:val="44"/>
          <w:highlight w:val="none"/>
          <w:shd w:val="clear" w:color="auto" w:fill="FFFFFF"/>
        </w:rPr>
        <w:t>部门</w:t>
      </w:r>
      <w:r>
        <w:rPr>
          <w:rFonts w:ascii="Times New Roman" w:hAnsi="Times New Roman" w:eastAsia="方正小标宋简体" w:cs="Times New Roman"/>
          <w:b w:val="0"/>
          <w:bCs/>
          <w:sz w:val="44"/>
          <w:szCs w:val="44"/>
          <w:highlight w:val="none"/>
          <w:shd w:val="clear" w:color="auto" w:fill="FFFFFF"/>
          <w:lang w:eastAsia="zh-CN"/>
        </w:rPr>
        <w:t>预算</w:t>
      </w:r>
      <w:r>
        <w:rPr>
          <w:rFonts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ascii="Times New Roman" w:hAnsi="Times New Roman" w:eastAsia="方正小标宋简体" w:cs="Times New Roman"/>
          <w:b w:val="0"/>
          <w:bCs/>
          <w:sz w:val="44"/>
          <w:szCs w:val="44"/>
          <w:highlight w:val="none"/>
          <w:shd w:val="clear" w:color="auto" w:fill="FFFFFF"/>
        </w:rPr>
        <w:t>报告范本</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ascii="Times New Roman" w:hAnsi="Times New Roman" w:eastAsia="仿宋_GB2312" w:cs="Times New Roman"/>
          <w:sz w:val="32"/>
          <w:szCs w:val="32"/>
          <w:highlight w:val="none"/>
          <w:shd w:val="clear" w:color="auto" w:fill="FFFFFF"/>
        </w:rPr>
      </w:pPr>
      <w:r>
        <w:rPr>
          <w:rFonts w:ascii="Times New Roman" w:hAnsi="Times New Roman" w:eastAsia="仿宋_GB2312" w:cs="Times New Roman"/>
          <w:sz w:val="32"/>
          <w:szCs w:val="32"/>
          <w:highlight w:val="none"/>
          <w:shd w:val="clear" w:color="auto" w:fill="FFFFFF"/>
        </w:rPr>
        <w:t>（报告范围包括机关和下属单位）</w:t>
      </w:r>
    </w:p>
    <w:p>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ascii="Times New Roman" w:hAnsi="Times New Roman" w:eastAsia="黑体" w:cs="Times New Roman"/>
          <w:color w:val="000000"/>
          <w:kern w:val="0"/>
          <w:sz w:val="24"/>
          <w:szCs w:val="32"/>
          <w:highlight w:val="none"/>
          <w:shd w:val="clear" w:color="auto" w:fill="FFFFFF"/>
        </w:rPr>
      </w:pPr>
    </w:p>
    <w:p>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ascii="Times New Roman" w:hAnsi="Times New Roman" w:eastAsia="黑体" w:cs="Times New Roman"/>
          <w:color w:val="000000"/>
          <w:kern w:val="0"/>
          <w:sz w:val="32"/>
          <w:szCs w:val="32"/>
          <w:highlight w:val="none"/>
          <w:shd w:val="clear" w:color="auto" w:fill="FFFFFF"/>
          <w:lang w:val="zh-CN"/>
        </w:rPr>
        <w:t>部门（单位）基本情况</w:t>
      </w:r>
    </w:p>
    <w:p>
      <w:pPr>
        <w:keepNext w:val="0"/>
        <w:keepLines w:val="0"/>
        <w:pageBreakBefore w:val="0"/>
        <w:widowControl/>
        <w:kinsoku/>
        <w:wordWrap/>
        <w:overflowPunct/>
        <w:topLinePunct w:val="0"/>
        <w:autoSpaceDE/>
        <w:autoSpaceDN/>
        <w:bidi w:val="0"/>
        <w:adjustRightInd w:val="0"/>
        <w:snapToGrid w:val="0"/>
        <w:spacing w:line="578" w:lineRule="exact"/>
        <w:ind w:left="0" w:firstLine="642" w:firstLineChars="200"/>
        <w:contextualSpacing/>
        <w:jc w:val="left"/>
        <w:textAlignment w:val="auto"/>
        <w:outlineLvl w:val="9"/>
        <w:rPr>
          <w:rFonts w:ascii="Times New Roman" w:hAnsi="Times New Roman" w:cs="Times New Roman"/>
          <w:szCs w:val="32"/>
        </w:rPr>
      </w:pPr>
      <w:r>
        <w:rPr>
          <w:rFonts w:hint="eastAsia" w:ascii="Times New Roman" w:hAnsi="Times New Roman" w:eastAsia="楷体_GB2312" w:cs="楷体_GB2312"/>
          <w:b/>
          <w:color w:val="auto"/>
          <w:sz w:val="32"/>
          <w:szCs w:val="32"/>
          <w:highlight w:val="none"/>
          <w:lang w:val="zh-CN"/>
        </w:rPr>
        <w:t>（一）</w:t>
      </w:r>
      <w:r>
        <w:rPr>
          <w:rFonts w:ascii="Times New Roman" w:hAnsi="Times New Roman" w:eastAsia="楷体_GB2312" w:cs="楷体_GB2312"/>
          <w:b/>
          <w:color w:val="auto"/>
          <w:sz w:val="32"/>
          <w:szCs w:val="32"/>
          <w:highlight w:val="none"/>
          <w:lang w:val="zh-CN"/>
        </w:rPr>
        <w:t>机构组成。</w:t>
      </w:r>
      <w:r>
        <w:rPr>
          <w:rFonts w:hint="eastAsia" w:ascii="Times New Roman" w:hAnsi="Times New Roman" w:eastAsia="仿宋_GB2312" w:cs="仿宋_GB2312"/>
          <w:color w:val="auto"/>
          <w:kern w:val="2"/>
          <w:sz w:val="32"/>
          <w:szCs w:val="32"/>
          <w:highlight w:val="none"/>
          <w:lang w:val="en-US" w:eastAsia="zh-CN" w:bidi="ar-SA"/>
        </w:rPr>
        <w:t>***内设</w:t>
      </w:r>
      <w:r>
        <w:rPr>
          <w:rFonts w:ascii="Times New Roman" w:hAnsi="Times New Roman" w:eastAsia="仿宋_GB2312" w:cs="仿宋_GB2312"/>
          <w:color w:val="auto"/>
          <w:kern w:val="2"/>
          <w:sz w:val="32"/>
          <w:szCs w:val="32"/>
          <w:highlight w:val="none"/>
          <w:lang w:val="en-US" w:eastAsia="zh-CN" w:bidi="ar-SA"/>
        </w:rPr>
        <w:t>处室</w:t>
      </w:r>
      <w:r>
        <w:rPr>
          <w:rFonts w:hint="eastAsia" w:ascii="Times New Roman" w:hAnsi="Times New Roman" w:eastAsia="仿宋_GB2312" w:cs="仿宋_GB2312"/>
          <w:color w:val="auto"/>
          <w:kern w:val="2"/>
          <w:sz w:val="32"/>
          <w:szCs w:val="32"/>
          <w:highlight w:val="none"/>
          <w:lang w:val="en-US" w:eastAsia="zh-CN" w:bidi="ar-SA"/>
        </w:rPr>
        <w:t>及下属单位情况</w:t>
      </w:r>
      <w:r>
        <w:rPr>
          <w:rFonts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ascii="Times New Roman" w:hAnsi="Times New Roman" w:eastAsia="楷体_GB2312" w:cs="Times New Roman"/>
          <w:b/>
          <w:bCs/>
          <w:color w:val="000000"/>
          <w:kern w:val="0"/>
          <w:szCs w:val="32"/>
          <w:highlight w:val="none"/>
          <w:shd w:val="clear" w:color="auto" w:fill="FFFFFF"/>
          <w:lang w:val="zh-CN"/>
        </w:rPr>
      </w:pPr>
      <w:r>
        <w:rPr>
          <w:rFonts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职责和功能。</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ascii="Times New Roman" w:hAnsi="Times New Roman" w:cs="Times New Roman"/>
          <w:szCs w:val="32"/>
        </w:rPr>
      </w:pP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lang w:val="en-US" w:eastAsia="zh-CN"/>
        </w:rPr>
        <w:t>年末，</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Times New Roman"/>
          <w:sz w:val="32"/>
          <w:szCs w:val="32"/>
          <w:lang w:val="en-US" w:eastAsia="zh-CN"/>
        </w:rPr>
        <w:t>及下属单位编制</w:t>
      </w:r>
      <w:r>
        <w:rPr>
          <w:rFonts w:hint="eastAsia" w:ascii="Times New Roman" w:hAnsi="Times New Roman" w:eastAsia="仿宋_GB2312" w:cs="Times New Roman"/>
          <w:sz w:val="32"/>
          <w:szCs w:val="32"/>
          <w:lang w:val="en-US" w:eastAsia="zh-CN"/>
        </w:rPr>
        <w:t>情况、</w:t>
      </w:r>
      <w:r>
        <w:rPr>
          <w:rFonts w:ascii="Times New Roman" w:hAnsi="Times New Roman" w:eastAsia="仿宋_GB2312" w:cs="Times New Roman"/>
          <w:sz w:val="32"/>
          <w:szCs w:val="32"/>
          <w:lang w:val="en-US" w:eastAsia="zh-CN"/>
        </w:rPr>
        <w:t>年末实有人数</w:t>
      </w:r>
      <w:r>
        <w:rPr>
          <w:rFonts w:hint="eastAsia" w:ascii="Times New Roman" w:hAnsi="Times New Roman" w:eastAsia="仿宋_GB2312" w:cs="Times New Roman"/>
          <w:sz w:val="32"/>
          <w:szCs w:val="32"/>
          <w:lang w:val="en-US" w:eastAsia="zh-CN"/>
        </w:rPr>
        <w:t>情况。</w:t>
      </w:r>
    </w:p>
    <w:p>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ascii="Times New Roman" w:hAnsi="Times New Roman" w:eastAsia="黑体" w:cs="Times New Roman"/>
          <w:color w:val="000000"/>
          <w:kern w:val="0"/>
          <w:sz w:val="32"/>
          <w:szCs w:val="32"/>
          <w:highlight w:val="none"/>
          <w:shd w:val="clear" w:color="auto" w:fill="FFFFFF"/>
          <w:lang w:val="zh-CN" w:eastAsia="zh-CN"/>
        </w:rPr>
      </w:pPr>
      <w:r>
        <w:rPr>
          <w:rFonts w:ascii="Times New Roman" w:hAnsi="Times New Roman" w:eastAsia="黑体" w:cs="Times New Roman"/>
          <w:color w:val="000000"/>
          <w:kern w:val="0"/>
          <w:sz w:val="32"/>
          <w:szCs w:val="32"/>
          <w:highlight w:val="none"/>
          <w:shd w:val="clear" w:color="auto" w:fill="FFFFFF"/>
          <w:lang w:val="zh-CN" w:eastAsia="zh-CN"/>
        </w:rPr>
        <w:t>二、部门资金收支情况</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ascii="Times New Roman" w:hAnsi="Times New Roman" w:eastAsia="楷体_GB2312" w:cs="Times New Roman"/>
          <w:b/>
          <w:bCs/>
          <w:color w:val="000000"/>
          <w:kern w:val="0"/>
          <w:szCs w:val="32"/>
          <w:highlight w:val="none"/>
          <w:shd w:val="clear" w:color="auto" w:fill="FFFFFF"/>
          <w:lang w:val="en-US"/>
        </w:rPr>
      </w:pPr>
      <w:r>
        <w:rPr>
          <w:rFonts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2024年年初预算收入情况、决算报表收入情况。</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ascii="Times New Roman" w:hAnsi="Times New Roman" w:cs="Times New Roman"/>
          <w:szCs w:val="32"/>
          <w:lang w:val="zh-CN" w:eastAsia="zh-CN"/>
        </w:rPr>
      </w:pP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2024年年初预算支出情况、决算报表支出情况。</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ascii="Times New Roman" w:hAnsi="Times New Roman" w:eastAsia="仿宋_GB2312" w:cs="Times New Roman"/>
          <w:b w:val="0"/>
          <w:bCs w:val="0"/>
          <w:color w:val="000000"/>
          <w:kern w:val="0"/>
          <w:szCs w:val="32"/>
          <w:highlight w:val="none"/>
          <w:shd w:val="clear" w:color="auto" w:fill="FFFFFF"/>
          <w:lang w:val="zh-CN" w:eastAsia="zh-CN"/>
        </w:rPr>
      </w:pPr>
      <w:r>
        <w:rPr>
          <w:rFonts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sz w:val="32"/>
          <w:szCs w:val="32"/>
          <w:lang w:val="en-US" w:eastAsia="zh-CN"/>
        </w:rPr>
        <w:t>2024年决算报表</w:t>
      </w:r>
      <w:r>
        <w:rPr>
          <w:rFonts w:ascii="Times New Roman" w:hAnsi="Times New Roman" w:eastAsia="仿宋_GB2312" w:cs="Times New Roman"/>
          <w:sz w:val="32"/>
          <w:szCs w:val="32"/>
          <w:lang w:val="en-US" w:eastAsia="zh-CN"/>
        </w:rPr>
        <w:t>结转结余</w:t>
      </w:r>
      <w:r>
        <w:rPr>
          <w:rFonts w:hint="eastAsia" w:ascii="Times New Roman" w:hAnsi="Times New Roman" w:eastAsia="仿宋_GB2312" w:cs="Times New Roman"/>
          <w:sz w:val="32"/>
          <w:szCs w:val="32"/>
          <w:lang w:val="en-US" w:eastAsia="zh-CN"/>
        </w:rPr>
        <w:t>情况</w:t>
      </w:r>
      <w:r>
        <w:rPr>
          <w:rFonts w:ascii="Times New Roman" w:hAnsi="Times New Roman" w:eastAsia="仿宋_GB2312" w:cs="Times New Roman"/>
          <w:sz w:val="32"/>
          <w:szCs w:val="32"/>
          <w:lang w:val="en-US" w:eastAsia="zh-CN"/>
        </w:rPr>
        <w:t>。</w:t>
      </w:r>
    </w:p>
    <w:p>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ascii="Times New Roman" w:hAnsi="Times New Roman" w:eastAsia="黑体" w:cs="Times New Roman"/>
          <w:color w:val="000000"/>
          <w:kern w:val="0"/>
          <w:sz w:val="32"/>
          <w:szCs w:val="32"/>
          <w:highlight w:val="none"/>
          <w:shd w:val="clear" w:color="auto" w:fill="FFFFFF"/>
          <w:lang w:val="zh-CN" w:eastAsia="zh-CN"/>
        </w:rPr>
      </w:pPr>
      <w:r>
        <w:rPr>
          <w:rFonts w:ascii="Times New Roman" w:hAnsi="Times New Roman"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2" w:firstLineChars="200"/>
        <w:contextualSpacing/>
        <w:jc w:val="left"/>
        <w:textAlignment w:val="auto"/>
        <w:outlineLvl w:val="9"/>
        <w:rPr>
          <w:rFonts w:ascii="Times New Roman" w:hAnsi="Times New Roman" w:eastAsia="仿宋_GB2312" w:cs="仿宋_GB2312"/>
          <w:color w:val="auto"/>
          <w:kern w:val="2"/>
          <w:sz w:val="32"/>
          <w:szCs w:val="32"/>
          <w:highlight w:val="none"/>
          <w:lang w:val="zh-CN" w:eastAsia="zh-CN" w:bidi="ar-SA"/>
        </w:rPr>
      </w:pPr>
      <w:r>
        <w:rPr>
          <w:rFonts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ascii="Times New Roman" w:hAnsi="Times New Roman" w:eastAsia="楷体_GB2312" w:cs="Times New Roman"/>
          <w:b/>
          <w:bCs/>
          <w:color w:val="000000"/>
          <w:kern w:val="0"/>
          <w:sz w:val="32"/>
          <w:szCs w:val="32"/>
          <w:highlight w:val="none"/>
          <w:shd w:val="clear" w:color="auto" w:fill="FFFFFF"/>
          <w:lang w:val="zh-CN"/>
        </w:rPr>
        <w:t>总体绩效分析。</w:t>
      </w:r>
      <w:r>
        <w:rPr>
          <w:rFonts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总体绩效</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ascii="Times New Roman" w:hAnsi="Times New Roman" w:eastAsia="仿宋_GB2312" w:cs="仿宋_GB2312"/>
          <w:color w:val="auto"/>
          <w:kern w:val="2"/>
          <w:sz w:val="32"/>
          <w:szCs w:val="32"/>
          <w:highlight w:val="none"/>
          <w:lang w:val="zh-CN" w:eastAsia="zh-CN" w:bidi="ar-SA"/>
        </w:rPr>
        <w:t>，依次包括履职效能、预算管理、财务管理、资产管理、采购管理等情况。</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履职效能。部门整体绩效目标中选定3-5个核心职能目标，对职能目标完成效果情况绩效分析。</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。围绕预算编制质量、单位收入统筹、支出执行进度、预算年终结余、严控一般性支出</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。围绕财务管理制度、财务岗位设置、资金使用规范</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。围绕人均资产变化率、资产利用率、资产盘活率</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。围绕支持中小企业发展、采购执行率</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2" w:firstLineChars="200"/>
        <w:contextualSpacing/>
        <w:jc w:val="both"/>
        <w:textAlignment w:val="auto"/>
        <w:outlineLvl w:val="9"/>
        <w:rPr>
          <w:rFonts w:ascii="Times New Roman" w:hAnsi="Times New Roman" w:eastAsia="仿宋_GB2312" w:cs="仿宋_GB2312"/>
          <w:color w:val="auto"/>
          <w:kern w:val="2"/>
          <w:sz w:val="32"/>
          <w:szCs w:val="32"/>
          <w:highlight w:val="none"/>
          <w:lang w:val="en-US" w:eastAsia="zh-CN" w:bidi="ar-SA"/>
        </w:rPr>
      </w:pPr>
      <w:r>
        <w:rPr>
          <w:rFonts w:ascii="Times New Roman" w:hAnsi="Times New Roman" w:eastAsia="楷体_GB2312" w:cs="Times New Roman"/>
          <w:b/>
          <w:bCs/>
          <w:color w:val="000000"/>
          <w:kern w:val="0"/>
          <w:sz w:val="32"/>
          <w:szCs w:val="32"/>
          <w:highlight w:val="none"/>
          <w:shd w:val="clear" w:color="auto" w:fill="FFFFFF"/>
          <w:lang w:val="zh-CN"/>
        </w:rPr>
        <w:t>（二）部门预算项目绩效分析。</w:t>
      </w:r>
      <w:r>
        <w:rPr>
          <w:rFonts w:hint="eastAsia" w:ascii="Times New Roman" w:hAnsi="Times New Roman" w:eastAsia="仿宋_GB2312" w:cs="仿宋_GB2312"/>
          <w:color w:val="auto"/>
          <w:kern w:val="2"/>
          <w:sz w:val="32"/>
          <w:szCs w:val="32"/>
          <w:highlight w:val="none"/>
          <w:lang w:val="zh-CN" w:eastAsia="zh-CN" w:bidi="ar-SA"/>
        </w:rPr>
        <w:t>填报以下数据，并</w:t>
      </w:r>
      <w:r>
        <w:rPr>
          <w:rFonts w:ascii="Times New Roman" w:hAnsi="Times New Roman" w:eastAsia="仿宋_GB2312" w:cs="仿宋_GB2312"/>
          <w:color w:val="auto"/>
          <w:kern w:val="2"/>
          <w:sz w:val="32"/>
          <w:szCs w:val="32"/>
          <w:highlight w:val="none"/>
          <w:lang w:val="zh-CN" w:eastAsia="zh-CN" w:bidi="ar-SA"/>
        </w:rPr>
        <w:t>根据部门预算绩效评价指标体系</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项目绩效</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涉及</w:t>
      </w:r>
      <w:r>
        <w:rPr>
          <w:rFonts w:hint="eastAsia" w:ascii="Times New Roman" w:hAnsi="Times New Roman" w:eastAsia="仿宋_GB2312" w:cs="仿宋_GB2312"/>
          <w:color w:val="auto"/>
          <w:kern w:val="2"/>
          <w:sz w:val="32"/>
          <w:szCs w:val="32"/>
          <w:highlight w:val="none"/>
          <w:lang w:val="zh-CN" w:eastAsia="zh-CN" w:bidi="ar-SA"/>
        </w:rPr>
        <w:t>二、三级</w:t>
      </w:r>
      <w:r>
        <w:rPr>
          <w:rFonts w:ascii="Times New Roman" w:hAnsi="Times New Roman" w:eastAsia="仿宋_GB2312" w:cs="仿宋_GB2312"/>
          <w:color w:val="auto"/>
          <w:kern w:val="2"/>
          <w:sz w:val="32"/>
          <w:szCs w:val="32"/>
          <w:highlight w:val="none"/>
          <w:lang w:val="zh-CN" w:eastAsia="zh-CN" w:bidi="ar-SA"/>
        </w:rPr>
        <w:t>指标进行</w:t>
      </w:r>
      <w:r>
        <w:rPr>
          <w:rFonts w:hint="eastAsia" w:ascii="Times New Roman" w:hAnsi="Times New Roman" w:eastAsia="仿宋_GB2312" w:cs="仿宋_GB2312"/>
          <w:color w:val="auto"/>
          <w:kern w:val="2"/>
          <w:sz w:val="32"/>
          <w:szCs w:val="32"/>
          <w:highlight w:val="none"/>
          <w:lang w:val="zh-CN" w:eastAsia="zh-CN" w:bidi="ar-SA"/>
        </w:rPr>
        <w:t>逐项</w:t>
      </w:r>
      <w:r>
        <w:rPr>
          <w:rFonts w:ascii="Times New Roman" w:hAnsi="Times New Roman" w:eastAsia="仿宋_GB2312" w:cs="仿宋_GB2312"/>
          <w:color w:val="auto"/>
          <w:kern w:val="2"/>
          <w:sz w:val="32"/>
          <w:szCs w:val="32"/>
          <w:highlight w:val="none"/>
          <w:lang w:val="zh-CN" w:eastAsia="zh-CN" w:bidi="ar-SA"/>
        </w:rPr>
        <w:t>绩效分析</w:t>
      </w:r>
      <w:r>
        <w:rPr>
          <w:rFonts w:hint="eastAsia" w:ascii="Times New Roman" w:hAnsi="Times New Roman" w:eastAsia="仿宋_GB2312" w:cs="仿宋_GB2312"/>
          <w:color w:val="auto"/>
          <w:kern w:val="2"/>
          <w:sz w:val="32"/>
          <w:szCs w:val="32"/>
          <w:highlight w:val="none"/>
          <w:lang w:val="zh-CN" w:eastAsia="zh-CN" w:bidi="ar-SA"/>
        </w:rPr>
        <w:t>并评分</w:t>
      </w:r>
      <w:r>
        <w:rPr>
          <w:rFonts w:ascii="Times New Roman" w:hAnsi="Times New Roman" w:eastAsia="仿宋_GB2312" w:cs="仿宋_GB2312"/>
          <w:color w:val="auto"/>
          <w:kern w:val="2"/>
          <w:sz w:val="32"/>
          <w:szCs w:val="32"/>
          <w:highlight w:val="none"/>
          <w:lang w:val="zh-CN" w:eastAsia="zh-CN" w:bidi="ar-SA"/>
        </w:rPr>
        <w:t>，依次包括项目</w:t>
      </w:r>
      <w:r>
        <w:rPr>
          <w:rFonts w:ascii="Times New Roman" w:hAnsi="Times New Roman" w:eastAsia="仿宋_GB2312" w:cs="仿宋_GB2312"/>
          <w:color w:val="auto"/>
          <w:kern w:val="2"/>
          <w:sz w:val="32"/>
          <w:szCs w:val="32"/>
          <w:highlight w:val="none"/>
          <w:lang w:val="en-US" w:eastAsia="zh-CN" w:bidi="ar-SA"/>
        </w:rPr>
        <w:t>决策、项目执行、目标实现等情况</w:t>
      </w:r>
      <w:r>
        <w:rPr>
          <w:rFonts w:hint="eastAsia" w:ascii="Times New Roman" w:hAnsi="Times New Roman" w:eastAsia="仿宋_GB2312" w:cs="仿宋_GB2312"/>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both"/>
        <w:textAlignment w:val="auto"/>
        <w:outlineLvl w:val="9"/>
        <w:rPr>
          <w:rFonts w:ascii="Times New Roman" w:hAnsi="Times New Roman" w:eastAsia="仿宋_GB2312" w:cs="仿宋_GB2312"/>
          <w:color w:val="auto"/>
          <w:kern w:val="2"/>
          <w:sz w:val="32"/>
          <w:szCs w:val="32"/>
          <w:highlight w:val="none"/>
          <w:lang w:val="zh-CN" w:eastAsia="zh-CN" w:bidi="ar-SA"/>
        </w:rPr>
      </w:pPr>
      <w:r>
        <w:rPr>
          <w:rFonts w:ascii="Times New Roman" w:hAnsi="Times New Roman" w:eastAsia="仿宋_GB2312" w:cs="仿宋_GB2312"/>
          <w:color w:val="auto"/>
          <w:kern w:val="2"/>
          <w:sz w:val="32"/>
          <w:szCs w:val="32"/>
          <w:highlight w:val="none"/>
          <w:lang w:val="en-US" w:eastAsia="zh-CN" w:bidi="ar-SA"/>
        </w:rPr>
        <w:t>常年项目绩效分析。</w:t>
      </w:r>
      <w:r>
        <w:rPr>
          <w:rFonts w:ascii="Times New Roman" w:hAnsi="Times New Roman" w:eastAsia="仿宋_GB2312" w:cs="仿宋_GB2312"/>
          <w:color w:val="auto"/>
          <w:kern w:val="2"/>
          <w:sz w:val="32"/>
          <w:szCs w:val="32"/>
          <w:highlight w:val="none"/>
          <w:lang w:val="zh-CN" w:eastAsia="zh-CN" w:bidi="ar-SA"/>
        </w:rPr>
        <w:t>该类项目总数</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个，涉及预算总金额</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1</w:t>
      </w:r>
      <w:r>
        <w:rPr>
          <w:rFonts w:ascii="Times New Roman" w:hAnsi="Times New Roman" w:eastAsia="仿宋_GB2312" w:cs="仿宋_GB2312"/>
          <w:color w:val="auto"/>
          <w:kern w:val="2"/>
          <w:sz w:val="32"/>
          <w:szCs w:val="32"/>
          <w:highlight w:val="none"/>
          <w:lang w:val="en-US" w:eastAsia="zh-CN" w:bidi="ar-SA"/>
        </w:rPr>
        <w:t>2</w:t>
      </w:r>
      <w:r>
        <w:rPr>
          <w:rFonts w:ascii="Times New Roman" w:hAnsi="Times New Roman" w:eastAsia="仿宋_GB2312" w:cs="仿宋_GB2312"/>
          <w:color w:val="auto"/>
          <w:kern w:val="2"/>
          <w:sz w:val="32"/>
          <w:szCs w:val="32"/>
          <w:highlight w:val="none"/>
          <w:lang w:val="zh-CN" w:eastAsia="zh-CN" w:bidi="ar-SA"/>
        </w:rPr>
        <w:t>月预算执行总体进度为</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%，其中：预算结余率大于</w:t>
      </w:r>
      <w:r>
        <w:rPr>
          <w:rFonts w:ascii="Times New Roman" w:hAnsi="Times New Roman" w:eastAsia="仿宋_GB2312" w:cs="仿宋_GB2312"/>
          <w:color w:val="auto"/>
          <w:kern w:val="2"/>
          <w:sz w:val="32"/>
          <w:szCs w:val="32"/>
          <w:highlight w:val="none"/>
          <w:lang w:val="en-US" w:eastAsia="zh-CN" w:bidi="ar-SA"/>
        </w:rPr>
        <w:t>10%</w:t>
      </w:r>
      <w:r>
        <w:rPr>
          <w:rFonts w:ascii="Times New Roman" w:hAnsi="Times New Roman" w:eastAsia="仿宋_GB2312" w:cs="仿宋_GB2312"/>
          <w:color w:val="auto"/>
          <w:kern w:val="2"/>
          <w:sz w:val="32"/>
          <w:szCs w:val="32"/>
          <w:highlight w:val="none"/>
          <w:lang w:val="zh-CN" w:eastAsia="zh-CN" w:bidi="ar-SA"/>
        </w:rPr>
        <w:t>的项目共计</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both"/>
        <w:textAlignment w:val="auto"/>
        <w:outlineLvl w:val="9"/>
        <w:rPr>
          <w:rFonts w:ascii="Times New Roman" w:hAnsi="Times New Roman" w:eastAsia="仿宋_GB2312" w:cs="仿宋_GB2312"/>
          <w:color w:val="auto"/>
          <w:kern w:val="2"/>
          <w:sz w:val="32"/>
          <w:szCs w:val="32"/>
          <w:highlight w:val="none"/>
          <w:lang w:val="zh-CN" w:eastAsia="zh-CN" w:bidi="ar-SA"/>
        </w:rPr>
      </w:pPr>
      <w:r>
        <w:rPr>
          <w:rFonts w:ascii="Times New Roman" w:hAnsi="Times New Roman" w:eastAsia="仿宋_GB2312" w:cs="仿宋_GB2312"/>
          <w:color w:val="auto"/>
          <w:kern w:val="2"/>
          <w:sz w:val="32"/>
          <w:szCs w:val="32"/>
          <w:highlight w:val="none"/>
          <w:lang w:val="en-US" w:eastAsia="zh-CN" w:bidi="ar-SA"/>
        </w:rPr>
        <w:t>阶段</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en-US" w:eastAsia="zh-CN" w:bidi="ar-SA"/>
        </w:rPr>
        <w:t>一次性</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en-US" w:eastAsia="zh-CN" w:bidi="ar-SA"/>
        </w:rPr>
        <w:t>项目绩效分析。</w:t>
      </w:r>
      <w:r>
        <w:rPr>
          <w:rFonts w:ascii="Times New Roman" w:hAnsi="Times New Roman" w:eastAsia="仿宋_GB2312" w:cs="仿宋_GB2312"/>
          <w:color w:val="auto"/>
          <w:kern w:val="2"/>
          <w:sz w:val="32"/>
          <w:szCs w:val="32"/>
          <w:highlight w:val="none"/>
          <w:lang w:val="zh-CN" w:eastAsia="zh-CN" w:bidi="ar-SA"/>
        </w:rPr>
        <w:t>该类项目总数</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个，涉及预算总金额</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ascii="Times New Roman" w:hAnsi="Times New Roman" w:eastAsia="仿宋_GB2312" w:cs="仿宋_GB2312"/>
          <w:color w:val="auto"/>
          <w:kern w:val="2"/>
          <w:sz w:val="32"/>
          <w:szCs w:val="32"/>
          <w:highlight w:val="none"/>
          <w:lang w:val="zh-CN" w:eastAsia="zh-CN" w:bidi="ar-SA"/>
        </w:rPr>
        <w:t>1</w:t>
      </w:r>
      <w:r>
        <w:rPr>
          <w:rFonts w:ascii="Times New Roman" w:hAnsi="Times New Roman" w:eastAsia="仿宋_GB2312" w:cs="仿宋_GB2312"/>
          <w:color w:val="auto"/>
          <w:kern w:val="2"/>
          <w:sz w:val="32"/>
          <w:szCs w:val="32"/>
          <w:highlight w:val="none"/>
          <w:lang w:val="en-US" w:eastAsia="zh-CN" w:bidi="ar-SA"/>
        </w:rPr>
        <w:t>2</w:t>
      </w:r>
      <w:r>
        <w:rPr>
          <w:rFonts w:ascii="Times New Roman" w:hAnsi="Times New Roman" w:eastAsia="仿宋_GB2312" w:cs="仿宋_GB2312"/>
          <w:color w:val="auto"/>
          <w:kern w:val="2"/>
          <w:sz w:val="32"/>
          <w:szCs w:val="32"/>
          <w:highlight w:val="none"/>
          <w:lang w:val="zh-CN" w:eastAsia="zh-CN" w:bidi="ar-SA"/>
        </w:rPr>
        <w:t>月预算执行总体进度为</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%，其中：预算结余率大于</w:t>
      </w:r>
      <w:r>
        <w:rPr>
          <w:rFonts w:ascii="Times New Roman" w:hAnsi="Times New Roman" w:eastAsia="仿宋_GB2312" w:cs="仿宋_GB2312"/>
          <w:color w:val="auto"/>
          <w:kern w:val="2"/>
          <w:sz w:val="32"/>
          <w:szCs w:val="32"/>
          <w:highlight w:val="none"/>
          <w:lang w:val="en-US" w:eastAsia="zh-CN" w:bidi="ar-SA"/>
        </w:rPr>
        <w:t>10%</w:t>
      </w:r>
      <w:r>
        <w:rPr>
          <w:rFonts w:ascii="Times New Roman" w:hAnsi="Times New Roman" w:eastAsia="仿宋_GB2312" w:cs="仿宋_GB2312"/>
          <w:color w:val="auto"/>
          <w:kern w:val="2"/>
          <w:sz w:val="32"/>
          <w:szCs w:val="32"/>
          <w:highlight w:val="none"/>
          <w:lang w:val="zh-CN" w:eastAsia="zh-CN" w:bidi="ar-SA"/>
        </w:rPr>
        <w:t>的项目共计</w:t>
      </w:r>
      <w:r>
        <w:rPr>
          <w:rFonts w:hint="eastAsia" w:ascii="Times New Roman" w:hAnsi="Times New Roman" w:eastAsia="仿宋_GB2312" w:cs="仿宋_GB2312"/>
          <w:color w:val="auto"/>
          <w:kern w:val="2"/>
          <w:sz w:val="32"/>
          <w:szCs w:val="32"/>
          <w:highlight w:val="none"/>
          <w:lang w:val="en-US" w:eastAsia="zh-CN" w:bidi="ar-SA"/>
        </w:rPr>
        <w:t>***</w:t>
      </w:r>
      <w:r>
        <w:rPr>
          <w:rFonts w:ascii="Times New Roman" w:hAnsi="Times New Roman" w:eastAsia="仿宋_GB2312" w:cs="仿宋_GB2312"/>
          <w:color w:val="auto"/>
          <w:kern w:val="2"/>
          <w:sz w:val="32"/>
          <w:szCs w:val="32"/>
          <w:highlight w:val="none"/>
          <w:lang w:val="zh-CN" w:eastAsia="zh-CN" w:bidi="ar-SA"/>
        </w:rPr>
        <w:t>个。</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项目决策。围绕决策程序、目标设置、项目入库</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。围绕资金执行同向、项目调整、执行结果</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目标实现。围绕目标完成、目标偏离、实现效果</w:t>
      </w:r>
      <w:r>
        <w:rPr>
          <w:rFonts w:ascii="Times New Roman" w:hAnsi="Times New Roman" w:eastAsia="仿宋_GB2312" w:cs="仿宋_GB2312"/>
          <w:color w:val="auto"/>
          <w:kern w:val="2"/>
          <w:sz w:val="32"/>
          <w:szCs w:val="32"/>
          <w:highlight w:val="none"/>
          <w:lang w:val="zh-CN" w:eastAsia="zh-CN" w:bidi="ar-SA"/>
        </w:rPr>
        <w:t>进行绩效分析</w:t>
      </w:r>
      <w:r>
        <w:rPr>
          <w:rFonts w:hint="eastAsia" w:ascii="Times New Roman" w:hAnsi="Times New Roman"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lang w:val="en-US" w:eastAsia="zh-CN"/>
        </w:rPr>
        <w:t>省级部门对2024年度一般公共预算、政府性基金预算、国有资本经营预算安排的常年项目、阶段项目绩效目标完成情况，以及债券资金、政府购买服务有关情况进行梳理阐述</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snapToGrid w:val="0"/>
        <w:spacing w:line="600" w:lineRule="exact"/>
        <w:ind w:firstLine="642" w:firstLineChars="200"/>
        <w:textAlignment w:val="auto"/>
        <w:rPr>
          <w:rFonts w:ascii="Times New Roman" w:hAnsi="Times New Roman" w:eastAsia="仿宋_GB2312" w:cs="Times New Roman"/>
          <w:sz w:val="32"/>
          <w:szCs w:val="32"/>
          <w:highlight w:val="none"/>
          <w:u w:val="none"/>
        </w:rPr>
      </w:pPr>
      <w:r>
        <w:rPr>
          <w:rFonts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Times New Roman" w:hAnsi="Times New Roman" w:eastAsia="仿宋_GB2312" w:cs="Times New Roman"/>
          <w:sz w:val="32"/>
          <w:szCs w:val="32"/>
          <w:highlight w:val="none"/>
          <w:u w:val="none"/>
          <w:lang w:val="zh-CN" w:eastAsia="zh-CN"/>
        </w:rPr>
        <w:t>围绕内部应用情况、</w:t>
      </w:r>
      <w:r>
        <w:rPr>
          <w:rFonts w:ascii="Times New Roman" w:hAnsi="Times New Roman" w:eastAsia="仿宋_GB2312" w:cs="Times New Roman"/>
          <w:sz w:val="32"/>
          <w:szCs w:val="32"/>
          <w:highlight w:val="none"/>
          <w:u w:val="none"/>
          <w:lang w:val="zh-CN" w:eastAsia="zh-CN"/>
        </w:rPr>
        <w:t>信息公开情况</w:t>
      </w:r>
      <w:r>
        <w:rPr>
          <w:rFonts w:hint="eastAsia" w:ascii="Times New Roman" w:hAnsi="Times New Roman" w:eastAsia="仿宋_GB2312" w:cs="Times New Roman"/>
          <w:sz w:val="32"/>
          <w:szCs w:val="32"/>
          <w:highlight w:val="none"/>
          <w:u w:val="none"/>
          <w:lang w:val="zh-CN" w:eastAsia="zh-CN"/>
        </w:rPr>
        <w:t>、</w:t>
      </w:r>
      <w:r>
        <w:rPr>
          <w:rFonts w:ascii="Times New Roman" w:hAnsi="Times New Roman" w:eastAsia="仿宋_GB2312" w:cs="Times New Roman"/>
          <w:sz w:val="32"/>
          <w:szCs w:val="32"/>
          <w:highlight w:val="none"/>
          <w:u w:val="none"/>
          <w:lang w:val="zh-CN" w:eastAsia="zh-CN"/>
        </w:rPr>
        <w:t>整改反馈情况</w:t>
      </w:r>
      <w:r>
        <w:rPr>
          <w:rFonts w:hint="eastAsia" w:ascii="Times New Roman" w:hAnsi="Times New Roman" w:eastAsia="仿宋_GB2312" w:cs="Times New Roman"/>
          <w:sz w:val="32"/>
          <w:szCs w:val="32"/>
          <w:highlight w:val="none"/>
          <w:u w:val="none"/>
          <w:lang w:val="zh-CN" w:eastAsia="zh-CN"/>
        </w:rPr>
        <w:t>进行分析。</w:t>
      </w:r>
    </w:p>
    <w:p>
      <w:pPr>
        <w:keepNext w:val="0"/>
        <w:keepLines w:val="0"/>
        <w:pageBreakBefore w:val="0"/>
        <w:widowControl/>
        <w:kinsoku/>
        <w:wordWrap/>
        <w:overflowPunct/>
        <w:topLinePunct w:val="0"/>
        <w:autoSpaceDE/>
        <w:autoSpaceDN/>
        <w:bidi w:val="0"/>
        <w:adjustRightInd w:val="0"/>
        <w:snapToGrid w:val="0"/>
        <w:spacing w:line="578" w:lineRule="exact"/>
        <w:ind w:left="0" w:firstLine="640" w:firstLineChars="200"/>
        <w:contextualSpacing/>
        <w:jc w:val="left"/>
        <w:textAlignment w:val="auto"/>
        <w:outlineLvl w:val="9"/>
        <w:rPr>
          <w:rFonts w:ascii="Times New Roman" w:hAnsi="Times New Roman" w:eastAsia="黑体" w:cs="Times New Roman"/>
          <w:color w:val="000000"/>
          <w:kern w:val="0"/>
          <w:sz w:val="32"/>
          <w:szCs w:val="32"/>
          <w:highlight w:val="none"/>
          <w:shd w:val="clear" w:color="auto" w:fill="FFFFFF"/>
          <w:lang w:val="zh-CN"/>
        </w:rPr>
      </w:pPr>
      <w:r>
        <w:rPr>
          <w:rFonts w:ascii="Times New Roman" w:hAnsi="Times New Roman" w:eastAsia="黑体" w:cs="Times New Roman"/>
          <w:color w:val="000000"/>
          <w:kern w:val="0"/>
          <w:sz w:val="32"/>
          <w:szCs w:val="32"/>
          <w:highlight w:val="none"/>
          <w:shd w:val="clear" w:color="auto" w:fill="FFFFFF"/>
          <w:lang w:val="zh-CN" w:eastAsia="zh-CN"/>
        </w:rPr>
        <w:t>四、</w:t>
      </w:r>
      <w:r>
        <w:rPr>
          <w:rFonts w:ascii="Times New Roman" w:hAnsi="Times New Roman" w:eastAsia="黑体" w:cs="Times New Roman"/>
          <w:color w:val="000000"/>
          <w:kern w:val="0"/>
          <w:sz w:val="32"/>
          <w:szCs w:val="32"/>
          <w:highlight w:val="none"/>
          <w:shd w:val="clear" w:color="auto" w:fill="FFFFFF"/>
          <w:lang w:val="zh-CN"/>
        </w:rPr>
        <w:t>评价结论及建议</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ascii="Times New Roman" w:hAnsi="Times New Roman" w:eastAsia="仿宋_GB2312" w:cs="Times New Roman"/>
          <w:sz w:val="32"/>
          <w:szCs w:val="32"/>
          <w:u w:val="none"/>
          <w:lang w:val="en-US" w:eastAsia="zh-CN"/>
        </w:rPr>
      </w:pPr>
      <w:r>
        <w:rPr>
          <w:rFonts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ascii="Times New Roman" w:hAnsi="Times New Roman" w:eastAsia="仿宋_GB2312" w:cs="Times New Roman"/>
          <w:sz w:val="32"/>
          <w:szCs w:val="32"/>
          <w:u w:val="none"/>
          <w:lang w:val="en-US" w:eastAsia="zh-CN"/>
        </w:rPr>
        <w:t>简要阐述部门预算绩效自评总体结论，其中必须包含自评得分。</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eastAsia" w:ascii="Times New Roman" w:hAnsi="Times New Roman" w:eastAsia="仿宋_GB2312" w:cs="Times New Roman"/>
          <w:sz w:val="32"/>
          <w:szCs w:val="32"/>
          <w:u w:val="none"/>
          <w:lang w:val="en-US" w:eastAsia="zh-CN"/>
        </w:rPr>
      </w:pPr>
      <w:r>
        <w:rPr>
          <w:rFonts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ascii="Times New Roman" w:hAnsi="Times New Roman" w:eastAsia="仿宋_GB2312" w:cs="Times New Roman"/>
          <w:sz w:val="32"/>
          <w:szCs w:val="32"/>
          <w:u w:val="none"/>
          <w:lang w:val="en-US" w:eastAsia="zh-CN"/>
        </w:rPr>
        <w:t>简要阐述部门预算绩效自评发现的主要问题。</w:t>
      </w:r>
    </w:p>
    <w:p>
      <w:pPr>
        <w:keepNext w:val="0"/>
        <w:keepLines w:val="0"/>
        <w:pageBreakBefore w:val="0"/>
        <w:widowControl/>
        <w:kinsoku/>
        <w:wordWrap/>
        <w:overflowPunct/>
        <w:topLinePunct w:val="0"/>
        <w:autoSpaceDE/>
        <w:autoSpaceDN/>
        <w:bidi w:val="0"/>
        <w:adjustRightInd w:val="0"/>
        <w:snapToGrid w:val="0"/>
        <w:spacing w:line="578" w:lineRule="exact"/>
        <w:ind w:firstLine="642" w:firstLineChars="200"/>
        <w:contextualSpacing/>
        <w:jc w:val="left"/>
        <w:textAlignment w:val="auto"/>
        <w:outlineLvl w:val="9"/>
        <w:rPr>
          <w:rFonts w:hint="eastAsia" w:ascii="Times New Roman" w:hAnsi="Times New Roman" w:eastAsia="仿宋_GB2312" w:cs="Times New Roman"/>
          <w:sz w:val="32"/>
          <w:szCs w:val="32"/>
          <w:u w:val="none"/>
          <w:lang w:eastAsia="zh-CN"/>
        </w:rPr>
      </w:pPr>
      <w:r>
        <w:rPr>
          <w:rFonts w:ascii="Times New Roman" w:hAnsi="Times New Roman" w:eastAsia="楷体_GB2312" w:cs="Times New Roman"/>
          <w:b/>
          <w:bCs/>
          <w:color w:val="000000"/>
          <w:kern w:val="0"/>
          <w:sz w:val="32"/>
          <w:szCs w:val="32"/>
          <w:highlight w:val="none"/>
          <w:shd w:val="clear" w:color="auto" w:fill="FFFFFF"/>
          <w:lang w:val="zh-CN" w:eastAsia="zh-CN"/>
        </w:rPr>
        <w:t>（三）改进建议。</w:t>
      </w:r>
      <w:r>
        <w:rPr>
          <w:rFonts w:hint="eastAsia" w:ascii="Times New Roman" w:hAnsi="Times New Roman" w:eastAsia="仿宋_GB2312" w:cs="Times New Roman"/>
          <w:sz w:val="32"/>
          <w:szCs w:val="32"/>
          <w:u w:val="none"/>
          <w:lang w:val="en-US" w:eastAsia="zh-CN"/>
        </w:rPr>
        <w:t>简要阐述</w:t>
      </w:r>
      <w:bookmarkStart w:id="53" w:name="_Hlk110546638"/>
      <w:r>
        <w:rPr>
          <w:rFonts w:hint="eastAsia" w:ascii="Times New Roman" w:hAnsi="Times New Roman" w:eastAsia="仿宋_GB2312" w:cs="Times New Roman"/>
          <w:sz w:val="32"/>
          <w:szCs w:val="32"/>
          <w:u w:val="none"/>
          <w:lang w:eastAsia="zh-CN"/>
        </w:rPr>
        <w:t>预算安排、完善政策、改进管理等方面的</w:t>
      </w:r>
      <w:r>
        <w:rPr>
          <w:rFonts w:hint="eastAsia" w:ascii="Times New Roman" w:hAnsi="Times New Roman" w:eastAsia="仿宋_GB2312" w:cs="Times New Roman"/>
          <w:sz w:val="32"/>
          <w:szCs w:val="32"/>
          <w:u w:val="none"/>
          <w:lang w:val="en-US" w:eastAsia="zh-CN"/>
        </w:rPr>
        <w:t>措施</w:t>
      </w:r>
      <w:r>
        <w:rPr>
          <w:rFonts w:hint="eastAsia" w:ascii="Times New Roman" w:hAnsi="Times New Roman" w:eastAsia="仿宋_GB2312" w:cs="Times New Roman"/>
          <w:sz w:val="32"/>
          <w:szCs w:val="32"/>
          <w:u w:val="none"/>
          <w:lang w:eastAsia="zh-CN"/>
        </w:rPr>
        <w:t>建议，其中</w:t>
      </w:r>
      <w:r>
        <w:rPr>
          <w:rFonts w:hint="eastAsia" w:ascii="Times New Roman" w:hAnsi="Times New Roman" w:eastAsia="仿宋_GB2312" w:cs="Times New Roman"/>
          <w:sz w:val="32"/>
          <w:szCs w:val="32"/>
          <w:u w:val="none"/>
          <w:lang w:val="en-US" w:eastAsia="zh-CN"/>
        </w:rPr>
        <w:t>必须对应评价发现的主要问题一一提出措施建议。</w:t>
      </w:r>
    </w:p>
    <w:bookmarkEnd w:id="53"/>
    <w:p>
      <w:pPr>
        <w:pStyle w:val="3"/>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仿宋_GB2312" w:cs="Times New Roman"/>
          <w:kern w:val="2"/>
          <w:sz w:val="32"/>
          <w:szCs w:val="32"/>
          <w:u w:val="none"/>
          <w:lang w:val="zh-CN" w:eastAsia="zh-CN"/>
        </w:rPr>
      </w:pPr>
    </w:p>
    <w:p>
      <w:pPr>
        <w:pStyle w:val="3"/>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仿宋_GB2312" w:cs="Times New Roman"/>
          <w:kern w:val="2"/>
          <w:sz w:val="32"/>
          <w:szCs w:val="32"/>
          <w:u w:val="none"/>
          <w:lang w:val="zh-CN" w:eastAsia="zh-CN"/>
        </w:rPr>
      </w:pPr>
      <w:r>
        <w:rPr>
          <w:rFonts w:hint="eastAsia" w:ascii="Times New Roman" w:hAnsi="Times New Roman" w:eastAsia="仿宋_GB2312" w:cs="Times New Roman"/>
          <w:kern w:val="2"/>
          <w:sz w:val="32"/>
          <w:szCs w:val="32"/>
          <w:u w:val="none"/>
          <w:lang w:val="zh-CN" w:eastAsia="zh-CN"/>
        </w:rPr>
        <w:t>附表：</w:t>
      </w:r>
      <w:r>
        <w:rPr>
          <w:rFonts w:hint="eastAsia" w:ascii="Times New Roman" w:hAnsi="Times New Roman" w:eastAsia="仿宋_GB2312" w:cs="Times New Roman"/>
          <w:kern w:val="2"/>
          <w:sz w:val="32"/>
          <w:szCs w:val="32"/>
          <w:u w:val="none"/>
          <w:lang w:val="en-US" w:eastAsia="zh-CN"/>
        </w:rPr>
        <w:t>部门预算项目支出绩效自评表（2024年度）</w:t>
      </w:r>
    </w:p>
    <w:p>
      <w:pPr>
        <w:pStyle w:val="3"/>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（注：按照绩效自评工作安排，各部门已在预算管理一体化系统绩效自评模块上传“部门预算项目支出绩效自评表（2024年度）”，该表格应作为附表予以公开）</w:t>
      </w:r>
    </w:p>
    <w:p>
      <w:pPr>
        <w:pStyle w:val="3"/>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8"/>
        <w:rPr>
          <w:rFonts w:hint="eastAsia" w:ascii="Times New Roman" w:hAnsi="Times New Roman" w:cs="宋体"/>
          <w:color w:val="FF0000"/>
          <w:kern w:val="0"/>
          <w:sz w:val="32"/>
          <w:szCs w:val="32"/>
          <w:highlight w:val="yellow"/>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pStyle w:val="8"/>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pStyle w:val="30"/>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pPr>
        <w:pStyle w:val="30"/>
        <w:keepNext w:val="0"/>
        <w:keepLines w:val="0"/>
        <w:pageBreakBefore w:val="0"/>
        <w:widowControl w:val="0"/>
        <w:kinsoku/>
        <w:wordWrap/>
        <w:overflowPunct/>
        <w:topLinePunct w:val="0"/>
        <w:autoSpaceDE/>
        <w:autoSpaceDN/>
        <w:bidi w:val="0"/>
        <w:spacing w:line="578" w:lineRule="exact"/>
        <w:ind w:left="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专项预算项目绩效评价报告范本</w:t>
      </w:r>
    </w:p>
    <w:p>
      <w:pPr>
        <w:pStyle w:val="30"/>
        <w:keepNext w:val="0"/>
        <w:keepLines w:val="0"/>
        <w:pageBreakBefore w:val="0"/>
        <w:widowControl w:val="0"/>
        <w:kinsoku/>
        <w:wordWrap/>
        <w:overflowPunct/>
        <w:topLinePunct w:val="0"/>
        <w:autoSpaceDE/>
        <w:autoSpaceDN/>
        <w:bidi w:val="0"/>
        <w:spacing w:line="578" w:lineRule="exact"/>
        <w:ind w:left="0" w:firstLine="640"/>
        <w:jc w:val="center"/>
        <w:textAlignment w:val="auto"/>
        <w:rPr>
          <w:rFonts w:ascii="Times New Roman" w:hAnsi="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eastAsia="黑体"/>
          <w:sz w:val="32"/>
          <w:szCs w:val="32"/>
          <w:highlight w:val="none"/>
          <w:lang w:val="zh-CN"/>
        </w:rPr>
      </w:pPr>
      <w:r>
        <w:rPr>
          <w:rFonts w:hint="eastAsia" w:ascii="Times New Roman" w:hAnsi="Times New Roman" w:eastAsia="黑体"/>
          <w:sz w:val="32"/>
          <w:szCs w:val="32"/>
          <w:highlight w:val="none"/>
        </w:rPr>
        <w:t>一、</w:t>
      </w:r>
      <w:r>
        <w:rPr>
          <w:rFonts w:hint="eastAsia" w:ascii="Times New Roman" w:hAnsi="Times New Roman" w:eastAsia="黑体"/>
          <w:sz w:val="32"/>
          <w:szCs w:val="32"/>
          <w:highlight w:val="none"/>
          <w:lang w:val="zh-CN"/>
        </w:rPr>
        <w:t>项目概况</w:t>
      </w:r>
    </w:p>
    <w:p>
      <w:pPr>
        <w:keepNext w:val="0"/>
        <w:keepLines w:val="0"/>
        <w:pageBreakBefore w:val="0"/>
        <w:widowControl/>
        <w:kinsoku/>
        <w:wordWrap/>
        <w:overflowPunct/>
        <w:topLinePunct w:val="0"/>
        <w:autoSpaceDE/>
        <w:autoSpaceDN/>
        <w:bidi w:val="0"/>
        <w:adjustRightInd w:val="0"/>
        <w:snapToGrid w:val="0"/>
        <w:spacing w:line="578" w:lineRule="exact"/>
        <w:ind w:left="0" w:firstLine="642" w:firstLineChars="200"/>
        <w:contextualSpacing/>
        <w:jc w:val="left"/>
        <w:textAlignment w:val="auto"/>
        <w:rPr>
          <w:rFonts w:hint="eastAsia" w:ascii="Times New Roman" w:hAnsi="Times New Roman" w:eastAsia="仿宋_GB2312" w:cs="仿宋_GB2312"/>
          <w:color w:val="auto"/>
          <w:kern w:val="0"/>
          <w:sz w:val="32"/>
          <w:szCs w:val="32"/>
          <w:highlight w:val="none"/>
          <w:u w:val="none"/>
          <w:shd w:val="clear" w:color="auto" w:fill="FFFFFF"/>
          <w:lang w:val="zh-CN"/>
        </w:rPr>
      </w:pPr>
      <w:r>
        <w:rPr>
          <w:rFonts w:hint="eastAsia" w:ascii="Times New Roman" w:hAnsi="Times New Roman" w:eastAsia="楷体_GB2312"/>
          <w:b/>
          <w:color w:val="auto"/>
          <w:sz w:val="32"/>
          <w:szCs w:val="32"/>
          <w:highlight w:val="none"/>
          <w:u w:val="none"/>
          <w:lang w:val="zh-CN"/>
        </w:rPr>
        <w:t>（一）设立背景及基本情况。</w:t>
      </w:r>
      <w:r>
        <w:rPr>
          <w:rFonts w:hint="eastAsia" w:ascii="Times New Roman" w:hAnsi="Times New Roman" w:eastAsia="仿宋_GB2312" w:cs="仿宋_GB2312"/>
          <w:b w:val="0"/>
          <w:bCs w:val="0"/>
          <w:kern w:val="0"/>
          <w:position w:val="0"/>
          <w:sz w:val="32"/>
          <w:szCs w:val="32"/>
          <w:highlight w:val="none"/>
          <w:lang w:val="en-US" w:eastAsia="zh-CN" w:bidi="ar-SA"/>
        </w:rPr>
        <w:t>项目设立原因及背景，</w:t>
      </w:r>
      <w:r>
        <w:rPr>
          <w:rFonts w:hint="eastAsia" w:ascii="Times New Roman" w:hAnsi="Times New Roman" w:eastAsia="仿宋_GB2312" w:cs="仿宋_GB2312"/>
          <w:b w:val="0"/>
          <w:bCs w:val="0"/>
          <w:kern w:val="0"/>
          <w:position w:val="0"/>
          <w:sz w:val="32"/>
          <w:szCs w:val="32"/>
          <w:highlight w:val="none"/>
          <w:lang w:val="zh-CN" w:eastAsia="zh-CN" w:bidi="ar-SA"/>
        </w:rPr>
        <w:t>项目立项、资金申报的依据，项目主要内容</w:t>
      </w: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ascii="Times New Roman" w:hAnsi="Times New Roman" w:eastAsia="仿宋_GB2312" w:cs="仿宋_GB2312"/>
          <w:b w:val="0"/>
          <w:bCs w:val="0"/>
          <w:kern w:val="0"/>
          <w:position w:val="0"/>
          <w:sz w:val="32"/>
          <w:szCs w:val="32"/>
          <w:highlight w:val="none"/>
          <w:lang w:val="zh-CN" w:eastAsia="zh-CN" w:bidi="ar-SA"/>
        </w:rPr>
        <w:t>主管部门职能</w:t>
      </w:r>
      <w:r>
        <w:rPr>
          <w:rFonts w:hint="eastAsia" w:ascii="Times New Roman" w:hAnsi="Times New Roman" w:eastAsia="仿宋_GB2312" w:cs="仿宋_GB2312"/>
          <w:color w:val="auto"/>
          <w:kern w:val="0"/>
          <w:sz w:val="32"/>
          <w:szCs w:val="32"/>
          <w:highlight w:val="none"/>
          <w:u w:val="none"/>
          <w:shd w:val="clear" w:color="auto" w:fill="FFFFFF"/>
          <w:lang w:val="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2"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w:t>
      </w:r>
      <w:r>
        <w:rPr>
          <w:rFonts w:hint="eastAsia" w:ascii="Times New Roman" w:hAnsi="Times New Roman" w:eastAsia="楷体_GB2312" w:cs="Times New Roman"/>
          <w:b/>
          <w:color w:val="auto"/>
          <w:sz w:val="32"/>
          <w:szCs w:val="32"/>
          <w:highlight w:val="none"/>
          <w:u w:val="none"/>
          <w:lang w:val="zh-CN"/>
        </w:rPr>
        <w:t>二）</w:t>
      </w:r>
      <w:r>
        <w:rPr>
          <w:rFonts w:ascii="Times New Roman" w:hAnsi="Times New Roman" w:eastAsia="楷体_GB2312" w:cs="Times New Roman"/>
          <w:b/>
          <w:color w:val="auto"/>
          <w:sz w:val="32"/>
          <w:szCs w:val="32"/>
          <w:highlight w:val="none"/>
          <w:u w:val="none"/>
          <w:lang w:val="en-US" w:eastAsia="zh-CN"/>
        </w:rPr>
        <w:t>实施目的及支持方向</w:t>
      </w:r>
      <w:r>
        <w:rPr>
          <w:rFonts w:hint="eastAsia" w:ascii="Times New Roman" w:hAnsi="Times New Roman" w:eastAsia="楷体_GB2312" w:cs="Times New Roman"/>
          <w:b/>
          <w:color w:val="auto"/>
          <w:sz w:val="32"/>
          <w:szCs w:val="32"/>
          <w:highlight w:val="none"/>
          <w:u w:val="none"/>
          <w:lang w:val="en-US" w:eastAsia="zh-CN"/>
        </w:rPr>
        <w:t>。</w:t>
      </w:r>
      <w:r>
        <w:rPr>
          <w:rFonts w:hint="eastAsia" w:ascii="Times New Roman" w:hAnsi="Times New Roman" w:eastAsia="仿宋_GB2312" w:cs="仿宋_GB2312"/>
          <w:b w:val="0"/>
          <w:bCs w:val="0"/>
          <w:kern w:val="0"/>
          <w:position w:val="0"/>
          <w:sz w:val="32"/>
          <w:szCs w:val="32"/>
          <w:highlight w:val="none"/>
          <w:lang w:val="en-US" w:eastAsia="zh-CN" w:bidi="ar-SA"/>
        </w:rPr>
        <w:t>项目资金</w:t>
      </w:r>
      <w:r>
        <w:rPr>
          <w:rFonts w:hint="eastAsia" w:ascii="Times New Roman" w:hAnsi="Times New Roman" w:eastAsia="仿宋_GB2312" w:cs="仿宋_GB2312"/>
          <w:b w:val="0"/>
          <w:bCs w:val="0"/>
          <w:kern w:val="0"/>
          <w:position w:val="0"/>
          <w:sz w:val="32"/>
          <w:szCs w:val="32"/>
          <w:highlight w:val="none"/>
          <w:lang w:val="zh-CN" w:eastAsia="zh-CN" w:bidi="ar-SA"/>
        </w:rPr>
        <w:t>管理办法制定情况，项目实施目的和主要工作任务，项目支持方向。</w:t>
      </w:r>
    </w:p>
    <w:p>
      <w:pPr>
        <w:keepNext w:val="0"/>
        <w:keepLines w:val="0"/>
        <w:pageBreakBefore w:val="0"/>
        <w:widowControl/>
        <w:kinsoku/>
        <w:wordWrap/>
        <w:overflowPunct/>
        <w:topLinePunct w:val="0"/>
        <w:autoSpaceDE/>
        <w:autoSpaceDN/>
        <w:bidi w:val="0"/>
        <w:adjustRightInd w:val="0"/>
        <w:snapToGrid w:val="0"/>
        <w:spacing w:line="578" w:lineRule="exact"/>
        <w:ind w:left="0" w:firstLine="642" w:firstLineChars="200"/>
        <w:contextualSpacing/>
        <w:jc w:val="left"/>
        <w:textAlignment w:val="auto"/>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（三）</w:t>
      </w:r>
      <w:r>
        <w:rPr>
          <w:rFonts w:ascii="Times New Roman" w:hAnsi="Times New Roman" w:eastAsia="楷体_GB2312" w:cs="Times New Roman"/>
          <w:b/>
          <w:color w:val="auto"/>
          <w:sz w:val="32"/>
          <w:szCs w:val="32"/>
          <w:highlight w:val="none"/>
          <w:u w:val="none"/>
          <w:lang w:val="en-US" w:eastAsia="zh-CN"/>
        </w:rPr>
        <w:t>预算安排及分配管理</w:t>
      </w:r>
      <w:r>
        <w:rPr>
          <w:rFonts w:hint="eastAsia" w:ascii="Times New Roman" w:hAnsi="Times New Roman" w:eastAsia="楷体_GB2312" w:cs="Times New Roman"/>
          <w:b/>
          <w:color w:val="auto"/>
          <w:sz w:val="32"/>
          <w:szCs w:val="32"/>
          <w:highlight w:val="none"/>
          <w:u w:val="none"/>
          <w:lang w:val="zh-CN" w:eastAsia="zh-CN"/>
        </w:rPr>
        <w:t>。</w:t>
      </w:r>
      <w:r>
        <w:rPr>
          <w:rFonts w:hint="eastAsia" w:ascii="Times New Roman" w:hAnsi="Times New Roman" w:eastAsia="仿宋_GB2312" w:cs="仿宋_GB2312"/>
          <w:b w:val="0"/>
          <w:bCs w:val="0"/>
          <w:kern w:val="0"/>
          <w:position w:val="0"/>
          <w:sz w:val="32"/>
          <w:szCs w:val="32"/>
          <w:highlight w:val="none"/>
          <w:lang w:val="zh-CN" w:eastAsia="zh-CN" w:bidi="ar-SA"/>
        </w:rPr>
        <w:t>项目预算安排情况，项目资金分配原则及考虑因素，项目资金分配情况。</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2" w:firstLineChars="200"/>
        <w:textAlignment w:val="auto"/>
        <w:rPr>
          <w:rFonts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eastAsia="zh-CN"/>
        </w:rPr>
        <w:t>（四）项目绩效目标设置。</w:t>
      </w:r>
      <w:r>
        <w:rPr>
          <w:rFonts w:hint="eastAsia" w:ascii="Times New Roman" w:hAnsi="Times New Roman" w:eastAsia="仿宋_GB2312" w:cs="仿宋_GB2312"/>
          <w:b w:val="0"/>
          <w:bCs w:val="0"/>
          <w:kern w:val="0"/>
          <w:position w:val="0"/>
          <w:sz w:val="32"/>
          <w:szCs w:val="32"/>
          <w:highlight w:val="none"/>
          <w:lang w:val="zh-CN" w:eastAsia="zh-CN" w:bidi="ar-SA"/>
        </w:rPr>
        <w:t>项目整体、区域和具体绩效目标设置情况，项目自评工作开展情况。</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Times New Roman" w:hAnsi="Times New Roman" w:eastAsia="黑体"/>
          <w:sz w:val="32"/>
          <w:szCs w:val="32"/>
          <w:highlight w:val="none"/>
          <w:lang w:eastAsia="zh-CN"/>
        </w:rPr>
      </w:pPr>
      <w:r>
        <w:rPr>
          <w:rFonts w:hint="eastAsia" w:ascii="Times New Roman" w:hAnsi="Times New Roman" w:eastAsia="黑体"/>
          <w:sz w:val="32"/>
          <w:szCs w:val="32"/>
          <w:highlight w:val="none"/>
        </w:rPr>
        <w:t>二、</w:t>
      </w:r>
      <w:r>
        <w:rPr>
          <w:rFonts w:hint="eastAsia" w:ascii="Times New Roman" w:hAnsi="Times New Roman"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（一）评价目的。</w:t>
      </w:r>
      <w:r>
        <w:rPr>
          <w:rFonts w:hint="eastAsia" w:ascii="Times New Roman" w:hAnsi="Times New Roman" w:eastAsia="仿宋_GB2312" w:cs="仿宋_GB2312"/>
          <w:b w:val="0"/>
          <w:bCs w:val="0"/>
          <w:kern w:val="0"/>
          <w:position w:val="0"/>
          <w:sz w:val="32"/>
          <w:szCs w:val="32"/>
          <w:highlight w:val="none"/>
          <w:lang w:val="zh-CN" w:eastAsia="zh-CN" w:bidi="ar-SA"/>
        </w:rPr>
        <w:t>通过项目绩效自评要实现的目的。</w:t>
      </w:r>
    </w:p>
    <w:p>
      <w:pPr>
        <w:keepNext w:val="0"/>
        <w:keepLines w:val="0"/>
        <w:pageBreakBefore w:val="0"/>
        <w:widowControl w:val="0"/>
        <w:kinsoku/>
        <w:wordWrap/>
        <w:overflowPunct/>
        <w:topLinePunct w:val="0"/>
        <w:autoSpaceDE/>
        <w:autoSpaceDN/>
        <w:bidi w:val="0"/>
        <w:adjustRightInd w:val="0"/>
        <w:snapToGrid w:val="0"/>
        <w:spacing w:line="578" w:lineRule="exact"/>
        <w:ind w:left="0" w:firstLine="642" w:firstLineChars="20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（二）预设问题及评价重点。</w:t>
      </w:r>
      <w:r>
        <w:rPr>
          <w:rFonts w:hint="eastAsia" w:ascii="Times New Roman" w:hAnsi="Times New Roman" w:eastAsia="仿宋_GB2312" w:cs="仿宋_GB2312"/>
          <w:b w:val="0"/>
          <w:bCs w:val="0"/>
          <w:kern w:val="0"/>
          <w:position w:val="0"/>
          <w:sz w:val="32"/>
          <w:szCs w:val="32"/>
          <w:highlight w:val="none"/>
          <w:lang w:val="zh-CN" w:eastAsia="zh-CN" w:bidi="ar-SA"/>
        </w:rPr>
        <w:t>按照绩效评价指标体系，对资金支出使用全过程及其实施效果进行综合评价和判断。</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楷体_GB2312"/>
          <w:b/>
          <w:color w:val="auto"/>
          <w:sz w:val="32"/>
          <w:szCs w:val="32"/>
          <w:highlight w:val="none"/>
          <w:u w:val="none"/>
          <w:lang w:val="zh-CN"/>
        </w:rPr>
      </w:pPr>
      <w:r>
        <w:rPr>
          <w:rFonts w:hint="eastAsia" w:ascii="Times New Roman" w:hAnsi="Times New Roman" w:eastAsia="楷体_GB2312"/>
          <w:b/>
          <w:color w:val="auto"/>
          <w:sz w:val="32"/>
          <w:szCs w:val="32"/>
          <w:highlight w:val="none"/>
          <w:u w:val="none"/>
          <w:lang w:val="zh-CN"/>
        </w:rPr>
        <w:t>（三）评价选点。</w:t>
      </w:r>
      <w:r>
        <w:rPr>
          <w:rFonts w:hint="eastAsia" w:ascii="Times New Roman" w:hAnsi="Times New Roman" w:eastAsia="仿宋_GB2312" w:cs="仿宋_GB2312"/>
          <w:b w:val="0"/>
          <w:color w:val="auto"/>
          <w:kern w:val="0"/>
          <w:sz w:val="32"/>
          <w:szCs w:val="32"/>
          <w:highlight w:val="none"/>
          <w:u w:val="none"/>
          <w:lang w:val="zh-CN"/>
        </w:rPr>
        <w:t>项目绩效自评所抽样点位情况。每个专项预算项目应选取专项资金分配涉及市县总数的20%、总计不超过20个的市县点位进行实地踏勘，且点位清单应作为自评附表。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b/>
          <w:color w:val="auto"/>
          <w:sz w:val="32"/>
          <w:szCs w:val="32"/>
          <w:highlight w:val="none"/>
          <w:u w:val="none"/>
          <w:lang w:val="zh-CN"/>
        </w:rPr>
        <w:t>（四）评价方法。</w:t>
      </w:r>
      <w:r>
        <w:rPr>
          <w:rFonts w:hint="eastAsia" w:ascii="Times New Roman" w:hAnsi="Times New Roman" w:eastAsia="仿宋_GB2312" w:cs="仿宋_GB2312"/>
          <w:b w:val="0"/>
          <w:bCs w:val="0"/>
          <w:kern w:val="0"/>
          <w:position w:val="0"/>
          <w:sz w:val="32"/>
          <w:szCs w:val="32"/>
          <w:highlight w:val="none"/>
          <w:lang w:val="zh-CN" w:eastAsia="zh-CN" w:bidi="ar-SA"/>
        </w:rPr>
        <w:t>根据项目情况和评价重点，用来收集相关材料和开展具体评价的方法。包括：采用成本效益分析法、标杆管理法、案卷研究法、单位自评法、实地勘察法、问卷调查法、座谈调研法等多种方法。</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Times New Roman"/>
          <w:bCs/>
          <w:lang w:eastAsia="zh-CN"/>
        </w:rPr>
      </w:pPr>
      <w:r>
        <w:rPr>
          <w:rFonts w:hint="eastAsia" w:ascii="Times New Roman" w:hAnsi="Times New Roman" w:eastAsia="楷体_GB2312"/>
          <w:b/>
          <w:color w:val="auto"/>
          <w:sz w:val="32"/>
          <w:szCs w:val="32"/>
          <w:highlight w:val="none"/>
          <w:u w:val="none"/>
          <w:lang w:val="zh-CN"/>
        </w:rPr>
        <w:t>（五）评价组织。</w:t>
      </w:r>
      <w:r>
        <w:rPr>
          <w:rFonts w:hint="eastAsia" w:ascii="Times New Roman" w:hAnsi="Times New Roman" w:eastAsia="仿宋_GB2312" w:cs="仿宋_GB2312"/>
          <w:b w:val="0"/>
          <w:bCs w:val="0"/>
          <w:kern w:val="0"/>
          <w:position w:val="0"/>
          <w:sz w:val="32"/>
          <w:szCs w:val="32"/>
          <w:highlight w:val="none"/>
          <w:lang w:val="zh-CN" w:eastAsia="zh-CN" w:bidi="ar-SA"/>
        </w:rPr>
        <w:t>评价组人员构成和职责分工。</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Times New Roman" w:hAnsi="Times New Roman"/>
          <w:color w:val="auto"/>
          <w:sz w:val="32"/>
          <w:szCs w:val="32"/>
          <w:highlight w:val="none"/>
          <w:u w:val="none"/>
          <w:lang w:val="zh-CN"/>
        </w:rPr>
      </w:pPr>
      <w:r>
        <w:rPr>
          <w:rFonts w:hint="eastAsia" w:ascii="Times New Roman" w:hAnsi="Times New Roman" w:eastAsia="黑体"/>
          <w:color w:val="auto"/>
          <w:sz w:val="32"/>
          <w:szCs w:val="32"/>
          <w:highlight w:val="none"/>
          <w:u w:val="none"/>
        </w:rPr>
        <w:t>三、</w:t>
      </w:r>
      <w:r>
        <w:rPr>
          <w:rFonts w:hint="eastAsia" w:ascii="Times New Roman" w:hAnsi="Times New Roman" w:eastAsia="黑体"/>
          <w:color w:val="auto"/>
          <w:sz w:val="32"/>
          <w:szCs w:val="32"/>
          <w:highlight w:val="none"/>
          <w:u w:val="none"/>
          <w:lang w:eastAsia="zh-CN"/>
        </w:rPr>
        <w:t>绩效分析</w:t>
      </w:r>
      <w:r>
        <w:rPr>
          <w:rFonts w:hint="eastAsia" w:ascii="Times New Roman" w:hAnsi="Times New Roman"/>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zh-CN" w:eastAsia="zh-CN" w:bidi="ar-SA"/>
        </w:rPr>
        <w:t>项目</w:t>
      </w:r>
      <w:r>
        <w:rPr>
          <w:rFonts w:ascii="Times New Roman" w:hAnsi="Times New Roman" w:eastAsia="仿宋_GB2312" w:cs="仿宋_GB2312"/>
          <w:b w:val="0"/>
          <w:bCs w:val="0"/>
          <w:kern w:val="0"/>
          <w:position w:val="0"/>
          <w:sz w:val="32"/>
          <w:szCs w:val="32"/>
          <w:highlight w:val="none"/>
          <w:lang w:val="zh-CN" w:eastAsia="zh-CN" w:bidi="ar-SA"/>
        </w:rPr>
        <w:t>预算绩效评价指标体系</w:t>
      </w:r>
      <w:r>
        <w:rPr>
          <w:rFonts w:hint="eastAsia" w:ascii="Times New Roman" w:hAnsi="Times New Roman" w:eastAsia="仿宋_GB2312" w:cs="仿宋_GB2312"/>
          <w:b w:val="0"/>
          <w:bCs w:val="0"/>
          <w:kern w:val="0"/>
          <w:position w:val="0"/>
          <w:sz w:val="32"/>
          <w:szCs w:val="32"/>
          <w:highlight w:val="none"/>
          <w:lang w:val="zh-CN" w:eastAsia="zh-CN" w:bidi="ar-SA"/>
        </w:rPr>
        <w:t>通用指标、专用指标、个性指标</w:t>
      </w:r>
      <w:r>
        <w:rPr>
          <w:rFonts w:ascii="Times New Roman" w:hAnsi="Times New Roman" w:eastAsia="仿宋_GB2312" w:cs="仿宋_GB2312"/>
          <w:b w:val="0"/>
          <w:bCs w:val="0"/>
          <w:kern w:val="0"/>
          <w:position w:val="0"/>
          <w:sz w:val="32"/>
          <w:szCs w:val="32"/>
          <w:highlight w:val="none"/>
          <w:lang w:val="zh-CN" w:eastAsia="zh-CN" w:bidi="ar-SA"/>
        </w:rPr>
        <w:t>涉及</w:t>
      </w:r>
      <w:r>
        <w:rPr>
          <w:rFonts w:hint="eastAsia" w:ascii="Times New Roman" w:hAnsi="Times New Roman" w:eastAsia="仿宋_GB2312" w:cs="仿宋_GB2312"/>
          <w:b w:val="0"/>
          <w:bCs w:val="0"/>
          <w:kern w:val="0"/>
          <w:position w:val="0"/>
          <w:sz w:val="32"/>
          <w:szCs w:val="32"/>
          <w:highlight w:val="none"/>
          <w:lang w:val="zh-CN" w:eastAsia="zh-CN" w:bidi="ar-SA"/>
        </w:rPr>
        <w:t>二、三级</w:t>
      </w:r>
      <w:r>
        <w:rPr>
          <w:rFonts w:ascii="Times New Roman" w:hAnsi="Times New Roman" w:eastAsia="仿宋_GB2312" w:cs="仿宋_GB2312"/>
          <w:b w:val="0"/>
          <w:bCs w:val="0"/>
          <w:kern w:val="0"/>
          <w:position w:val="0"/>
          <w:sz w:val="32"/>
          <w:szCs w:val="32"/>
          <w:highlight w:val="none"/>
          <w:lang w:val="zh-CN" w:eastAsia="zh-CN" w:bidi="ar-SA"/>
        </w:rPr>
        <w:t>指标进行</w:t>
      </w:r>
      <w:r>
        <w:rPr>
          <w:rFonts w:hint="eastAsia" w:ascii="Times New Roman" w:hAnsi="Times New Roman" w:eastAsia="仿宋_GB2312" w:cs="仿宋_GB2312"/>
          <w:b w:val="0"/>
          <w:bCs w:val="0"/>
          <w:kern w:val="0"/>
          <w:position w:val="0"/>
          <w:sz w:val="32"/>
          <w:szCs w:val="32"/>
          <w:highlight w:val="none"/>
          <w:lang w:val="zh-CN" w:eastAsia="zh-CN" w:bidi="ar-SA"/>
        </w:rPr>
        <w:t>逐项</w:t>
      </w:r>
      <w:r>
        <w:rPr>
          <w:rFonts w:ascii="Times New Roman" w:hAnsi="Times New Roman" w:eastAsia="仿宋_GB2312" w:cs="仿宋_GB2312"/>
          <w:b w:val="0"/>
          <w:bCs w:val="0"/>
          <w:kern w:val="0"/>
          <w:position w:val="0"/>
          <w:sz w:val="32"/>
          <w:szCs w:val="32"/>
          <w:highlight w:val="none"/>
          <w:lang w:val="zh-CN" w:eastAsia="zh-CN" w:bidi="ar-SA"/>
        </w:rPr>
        <w:t>绩效分析</w:t>
      </w:r>
      <w:r>
        <w:rPr>
          <w:rFonts w:hint="eastAsia" w:ascii="Times New Roman" w:hAnsi="Times New Roman" w:eastAsia="仿宋_GB2312" w:cs="仿宋_GB2312"/>
          <w:b w:val="0"/>
          <w:bCs w:val="0"/>
          <w:kern w:val="0"/>
          <w:position w:val="0"/>
          <w:sz w:val="32"/>
          <w:szCs w:val="32"/>
          <w:highlight w:val="none"/>
          <w:lang w:val="zh-CN" w:eastAsia="zh-CN" w:bidi="ar-SA"/>
        </w:rPr>
        <w:t>并评分</w:t>
      </w:r>
      <w:r>
        <w:rPr>
          <w:rFonts w:hint="eastAsia" w:ascii="Times New Roman" w:hAnsi="Times New Roman" w:eastAsia="仿宋_GB2312" w:cs="仿宋_GB2312"/>
          <w:b w:val="0"/>
          <w:bCs w:val="0"/>
          <w:kern w:val="0"/>
          <w:positio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楷体_GB2312" w:cs="Times New Roman"/>
          <w:b/>
          <w:color w:val="auto"/>
          <w:sz w:val="32"/>
          <w:szCs w:val="32"/>
          <w:highlight w:val="none"/>
          <w:u w:val="none"/>
          <w:lang w:val="en-US" w:eastAsia="zh-CN"/>
        </w:rPr>
      </w:pPr>
      <w:r>
        <w:rPr>
          <w:rFonts w:hint="eastAsia" w:ascii="Times New Roman" w:hAnsi="Times New Roman" w:eastAsia="楷体_GB2312" w:cs="Times New Roman"/>
          <w:b/>
          <w:color w:val="auto"/>
          <w:sz w:val="32"/>
          <w:szCs w:val="32"/>
          <w:highlight w:val="none"/>
          <w:u w:val="none"/>
          <w:lang w:val="zh-CN"/>
        </w:rPr>
        <w:t>（一）</w:t>
      </w:r>
      <w:r>
        <w:rPr>
          <w:rFonts w:hint="eastAsia" w:ascii="Times New Roman" w:hAnsi="Times New Roman" w:eastAsia="楷体_GB2312" w:cs="Times New Roman"/>
          <w:b/>
          <w:color w:val="auto"/>
          <w:sz w:val="32"/>
          <w:szCs w:val="32"/>
          <w:highlight w:val="none"/>
          <w:u w:val="none"/>
          <w:lang w:val="en-US" w:eastAsia="zh-CN"/>
        </w:rPr>
        <w:t>通用指标</w:t>
      </w:r>
      <w:r>
        <w:rPr>
          <w:rFonts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w:t>
      </w:r>
      <w:r>
        <w:rPr>
          <w:rFonts w:hint="eastAsia" w:ascii="Times New Roman" w:hAnsi="Times New Roman" w:eastAsia="仿宋_GB2312" w:cs="仿宋_GB2312"/>
          <w:b w:val="0"/>
          <w:bCs w:val="0"/>
          <w:kern w:val="0"/>
          <w:position w:val="0"/>
          <w:sz w:val="32"/>
          <w:szCs w:val="32"/>
          <w:highlight w:val="none"/>
          <w:lang w:val="zh-CN" w:eastAsia="zh-CN" w:bidi="ar-SA"/>
        </w:rPr>
        <w:t>项目决策。围绕决策程序、规划论证、资金投向进行绩效分析。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项目管理。围绕制度办法、分配管理、绩效监管进行绩效分析。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3.项目实施。</w:t>
      </w:r>
      <w:r>
        <w:rPr>
          <w:rFonts w:hint="eastAsia" w:ascii="Times New Roman" w:hAnsi="Times New Roman" w:eastAsia="仿宋_GB2312" w:cs="仿宋_GB2312"/>
          <w:b w:val="0"/>
          <w:bCs w:val="0"/>
          <w:kern w:val="0"/>
          <w:position w:val="0"/>
          <w:sz w:val="32"/>
          <w:szCs w:val="32"/>
          <w:highlight w:val="none"/>
          <w:lang w:val="zh-CN" w:eastAsia="zh-CN" w:bidi="ar-SA"/>
        </w:rPr>
        <w:t>围绕预算执行、资金使用进行绩效分析。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4.项目结果。围绕</w:t>
      </w:r>
      <w:r>
        <w:rPr>
          <w:rFonts w:hint="eastAsia" w:ascii="Times New Roman" w:hAnsi="Times New Roman" w:eastAsia="仿宋_GB2312" w:cs="仿宋_GB2312"/>
          <w:b w:val="0"/>
          <w:bCs w:val="0"/>
          <w:kern w:val="0"/>
          <w:position w:val="0"/>
          <w:sz w:val="32"/>
          <w:szCs w:val="32"/>
          <w:highlight w:val="none"/>
          <w:lang w:val="zh-CN" w:eastAsia="zh-CN" w:bidi="ar-SA"/>
        </w:rPr>
        <w:t>目标完成、完成时效进行绩效分析。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楷体_GB2312" w:cs="Times New Roman"/>
          <w:b/>
          <w:color w:val="auto"/>
          <w:sz w:val="32"/>
          <w:szCs w:val="32"/>
          <w:highlight w:val="none"/>
          <w:u w:val="none"/>
          <w:lang w:val="zh-CN"/>
        </w:rPr>
        <w:t>（二）</w:t>
      </w:r>
      <w:r>
        <w:rPr>
          <w:rFonts w:hint="eastAsia" w:ascii="Times New Roman" w:hAnsi="Times New Roman" w:eastAsia="楷体_GB2312" w:cs="Times New Roman"/>
          <w:b/>
          <w:color w:val="auto"/>
          <w:sz w:val="32"/>
          <w:szCs w:val="32"/>
          <w:highlight w:val="none"/>
          <w:u w:val="none"/>
          <w:lang w:val="en-US" w:eastAsia="zh-CN"/>
        </w:rPr>
        <w:t>专用指标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w:t>
      </w:r>
      <w:r>
        <w:rPr>
          <w:rFonts w:hint="eastAsia" w:ascii="Times New Roman" w:hAnsi="Times New Roman" w:eastAsia="仿宋_GB2312" w:cs="仿宋_GB2312"/>
          <w:b w:val="0"/>
          <w:bCs w:val="0"/>
          <w:kern w:val="0"/>
          <w:position w:val="0"/>
          <w:sz w:val="32"/>
          <w:szCs w:val="32"/>
          <w:highlight w:val="none"/>
          <w:lang w:val="en-US" w:eastAsia="zh-CN" w:bidi="ar-SA"/>
        </w:rPr>
        <w:t>专项预算项目资金支持对象选择所属指标进行绩效分析。支持对象</w:t>
      </w:r>
      <w:r>
        <w:rPr>
          <w:rFonts w:hint="eastAsia" w:ascii="Times New Roman" w:hAnsi="Times New Roman" w:eastAsia="仿宋_GB2312" w:cs="仿宋_GB2312"/>
          <w:b w:val="0"/>
          <w:bCs w:val="0"/>
          <w:kern w:val="0"/>
          <w:position w:val="0"/>
          <w:sz w:val="32"/>
          <w:szCs w:val="32"/>
          <w:highlight w:val="none"/>
          <w:lang w:val="zh-CN" w:eastAsia="zh-CN" w:bidi="ar-SA"/>
        </w:rPr>
        <w:t>包括产业发展、民生保障、基础设施、行政运转等方面。</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1.产业发展。围绕符合性、成长性、经济性进行绩效分析。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w:t>
      </w:r>
      <w:r>
        <w:rPr>
          <w:rFonts w:hint="eastAsia" w:ascii="Times New Roman" w:hAnsi="Times New Roman" w:eastAsia="仿宋_GB2312" w:cs="仿宋_GB2312"/>
          <w:b w:val="0"/>
          <w:bCs w:val="0"/>
          <w:kern w:val="0"/>
          <w:position w:val="0"/>
          <w:sz w:val="32"/>
          <w:szCs w:val="32"/>
          <w:highlight w:val="none"/>
          <w:lang w:val="zh-CN" w:eastAsia="zh-CN" w:bidi="ar-SA"/>
        </w:rPr>
        <w:t>民生保障。</w:t>
      </w:r>
      <w:r>
        <w:rPr>
          <w:rFonts w:hint="eastAsia" w:ascii="Times New Roman" w:hAnsi="Times New Roman" w:eastAsia="仿宋_GB2312" w:cs="仿宋_GB2312"/>
          <w:b w:val="0"/>
          <w:bCs w:val="0"/>
          <w:kern w:val="0"/>
          <w:position w:val="0"/>
          <w:sz w:val="32"/>
          <w:szCs w:val="32"/>
          <w:highlight w:val="none"/>
          <w:lang w:val="en-US" w:eastAsia="zh-CN" w:bidi="ar-SA"/>
        </w:rPr>
        <w:t>围绕区域均衡性、对象精准性、标准合理性、群众满意度进行绩效分析。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3.基础设施。在建项目围绕工程进度和资金拨付进行绩效分析；建成项目围绕项目验收、功能实现、后续管护进行</w:t>
      </w:r>
      <w:r>
        <w:rPr>
          <w:rFonts w:hint="eastAsia" w:ascii="Times New Roman" w:hAnsi="Times New Roman" w:eastAsia="仿宋_GB2312" w:cs="仿宋_GB2312"/>
          <w:b w:val="0"/>
          <w:bCs w:val="0"/>
          <w:kern w:val="0"/>
          <w:position w:val="0"/>
          <w:sz w:val="32"/>
          <w:szCs w:val="32"/>
          <w:highlight w:val="none"/>
          <w:lang w:val="zh-CN" w:eastAsia="zh-CN" w:bidi="ar-SA"/>
        </w:rPr>
        <w:t>绩效分析。</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4.</w:t>
      </w:r>
      <w:r>
        <w:rPr>
          <w:rFonts w:hint="eastAsia" w:ascii="Times New Roman" w:hAnsi="Times New Roman" w:eastAsia="仿宋_GB2312" w:cs="仿宋_GB2312"/>
          <w:b w:val="0"/>
          <w:bCs w:val="0"/>
          <w:kern w:val="0"/>
          <w:position w:val="0"/>
          <w:sz w:val="32"/>
          <w:szCs w:val="32"/>
          <w:highlight w:val="none"/>
          <w:lang w:val="zh-CN" w:eastAsia="zh-CN" w:bidi="ar-SA"/>
        </w:rPr>
        <w:t>行政运转。围绕用途合规性、程序合规性、标准合规性进行绩效分析。</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楷体_GB2312" w:cs="Times New Roman"/>
          <w:b/>
          <w:color w:val="auto"/>
          <w:sz w:val="32"/>
          <w:szCs w:val="32"/>
          <w:highlight w:val="none"/>
          <w:u w:val="none"/>
          <w:lang w:val="zh-CN"/>
        </w:rPr>
        <w:t>（三）</w:t>
      </w:r>
      <w:r>
        <w:rPr>
          <w:rFonts w:hint="eastAsia" w:ascii="Times New Roman" w:hAnsi="Times New Roman" w:eastAsia="楷体_GB2312" w:cs="Times New Roman"/>
          <w:b/>
          <w:color w:val="auto"/>
          <w:sz w:val="32"/>
          <w:szCs w:val="32"/>
          <w:highlight w:val="none"/>
          <w:u w:val="none"/>
          <w:lang w:val="en-US" w:eastAsia="zh-CN"/>
        </w:rPr>
        <w:t>个性指标</w:t>
      </w:r>
      <w:r>
        <w:rPr>
          <w:rFonts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仿宋_GB2312"/>
          <w:b w:val="0"/>
          <w:bCs w:val="0"/>
          <w:kern w:val="0"/>
          <w:position w:val="0"/>
          <w:sz w:val="32"/>
          <w:szCs w:val="32"/>
          <w:highlight w:val="none"/>
          <w:lang w:val="zh-CN" w:eastAsia="zh-CN" w:bidi="ar-SA"/>
        </w:rPr>
        <w:t>根据项目个性自行设定部分指标，反映该项指标执行完成情况。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eastAsia="黑体" w:cs="黑体"/>
          <w:b w:val="0"/>
          <w:bCs w:val="0"/>
          <w:kern w:val="0"/>
          <w:position w:val="0"/>
          <w:sz w:val="32"/>
          <w:szCs w:val="32"/>
          <w:highlight w:val="none"/>
          <w:lang w:val="en-US" w:eastAsia="zh-CN" w:bidi="ar-SA"/>
        </w:rPr>
      </w:pPr>
      <w:r>
        <w:rPr>
          <w:rFonts w:hint="eastAsia" w:ascii="黑体" w:eastAsia="黑体" w:cs="黑体"/>
          <w:b w:val="0"/>
          <w:bCs w:val="0"/>
          <w:kern w:val="0"/>
          <w:position w:val="0"/>
          <w:sz w:val="32"/>
          <w:szCs w:val="32"/>
          <w:highlight w:val="none"/>
          <w:lang w:val="en-US" w:eastAsia="zh-CN" w:bidi="ar-SA"/>
        </w:rPr>
        <w:t>四、评价结论</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简要阐述专项预算项目绩效自评总体结论，包含评价总分、</w:t>
      </w:r>
      <w:r>
        <w:rPr>
          <w:rFonts w:hint="eastAsia" w:ascii="Times New Roman" w:hAnsi="Times New Roman" w:eastAsia="仿宋_GB2312" w:cs="仿宋_GB2312"/>
          <w:b w:val="0"/>
          <w:bCs w:val="0"/>
          <w:kern w:val="0"/>
          <w:position w:val="0"/>
          <w:sz w:val="32"/>
          <w:szCs w:val="32"/>
          <w:highlight w:val="none"/>
          <w:lang w:val="zh-CN" w:eastAsia="zh-CN" w:bidi="ar-SA"/>
        </w:rPr>
        <w:t>项目实施情况。</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eastAsia="黑体" w:cs="黑体"/>
          <w:b w:val="0"/>
          <w:bCs w:val="0"/>
          <w:kern w:val="0"/>
          <w:position w:val="0"/>
          <w:sz w:val="32"/>
          <w:szCs w:val="32"/>
          <w:highlight w:val="none"/>
          <w:lang w:val="en-US" w:eastAsia="zh-CN" w:bidi="ar-SA"/>
        </w:rPr>
      </w:pPr>
      <w:r>
        <w:rPr>
          <w:rFonts w:hint="eastAsia" w:ascii="黑体" w:eastAsia="黑体" w:cs="黑体"/>
          <w:b w:val="0"/>
          <w:bCs w:val="0"/>
          <w:kern w:val="0"/>
          <w:position w:val="0"/>
          <w:sz w:val="32"/>
          <w:szCs w:val="32"/>
          <w:highlight w:val="none"/>
          <w:lang w:val="en-US" w:eastAsia="zh-CN" w:bidi="ar-SA"/>
        </w:rPr>
        <w:t>五、存在主要问题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简要阐述专项预算项目绩效自评发现的主要问题。</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黑体" w:eastAsia="黑体" w:cs="黑体"/>
          <w:b w:val="0"/>
          <w:bCs w:val="0"/>
          <w:kern w:val="0"/>
          <w:position w:val="0"/>
          <w:sz w:val="32"/>
          <w:szCs w:val="32"/>
          <w:highlight w:val="none"/>
          <w:lang w:val="zh-CN" w:eastAsia="zh-CN" w:bidi="ar-SA"/>
        </w:rPr>
      </w:pPr>
      <w:r>
        <w:rPr>
          <w:rFonts w:hint="eastAsia" w:ascii="黑体" w:eastAsia="黑体" w:cs="黑体"/>
          <w:b w:val="0"/>
          <w:bCs w:val="0"/>
          <w:kern w:val="0"/>
          <w:position w:val="0"/>
          <w:sz w:val="32"/>
          <w:szCs w:val="32"/>
          <w:highlight w:val="none"/>
          <w:lang w:val="zh-CN" w:eastAsia="zh-CN" w:bidi="ar-SA"/>
        </w:rPr>
        <w:t>六、改进建议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简要阐述专项预算项目在</w:t>
      </w:r>
      <w:r>
        <w:rPr>
          <w:rFonts w:hint="eastAsia" w:ascii="Times New Roman" w:hAnsi="Times New Roman" w:eastAsia="仿宋_GB2312" w:cs="仿宋_GB2312"/>
          <w:b w:val="0"/>
          <w:bCs w:val="0"/>
          <w:kern w:val="0"/>
          <w:position w:val="0"/>
          <w:sz w:val="32"/>
          <w:szCs w:val="32"/>
          <w:highlight w:val="none"/>
          <w:lang w:eastAsia="zh-CN" w:bidi="ar-SA"/>
        </w:rPr>
        <w:t>预算安排、完善政策、改进管理等方面的</w:t>
      </w:r>
      <w:r>
        <w:rPr>
          <w:rFonts w:hint="eastAsia" w:ascii="Times New Roman" w:hAnsi="Times New Roman" w:eastAsia="仿宋_GB2312" w:cs="仿宋_GB2312"/>
          <w:b w:val="0"/>
          <w:bCs w:val="0"/>
          <w:kern w:val="0"/>
          <w:position w:val="0"/>
          <w:sz w:val="32"/>
          <w:szCs w:val="32"/>
          <w:highlight w:val="none"/>
          <w:lang w:val="en-US" w:eastAsia="zh-CN" w:bidi="ar-SA"/>
        </w:rPr>
        <w:t>措施</w:t>
      </w:r>
      <w:r>
        <w:rPr>
          <w:rFonts w:hint="eastAsia" w:ascii="Times New Roman" w:hAnsi="Times New Roman" w:eastAsia="仿宋_GB2312" w:cs="仿宋_GB2312"/>
          <w:b w:val="0"/>
          <w:bCs w:val="0"/>
          <w:kern w:val="0"/>
          <w:position w:val="0"/>
          <w:sz w:val="32"/>
          <w:szCs w:val="32"/>
          <w:highlight w:val="none"/>
          <w:lang w:eastAsia="zh-CN" w:bidi="ar-SA"/>
        </w:rPr>
        <w:t>建议，其中</w:t>
      </w:r>
      <w:r>
        <w:rPr>
          <w:rFonts w:hint="eastAsia" w:ascii="Times New Roman" w:hAnsi="Times New Roman" w:eastAsia="仿宋_GB2312" w:cs="仿宋_GB2312"/>
          <w:b w:val="0"/>
          <w:bCs w:val="0"/>
          <w:kern w:val="0"/>
          <w:position w:val="0"/>
          <w:sz w:val="32"/>
          <w:szCs w:val="32"/>
          <w:highlight w:val="none"/>
          <w:lang w:val="en-US" w:eastAsia="zh-CN" w:bidi="ar-SA"/>
        </w:rPr>
        <w:t>必须对应评价发现的主要问题一一提出措施建议。</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w:t>
      </w:r>
      <w:r>
        <w:rPr>
          <w:rFonts w:hint="eastAsia" w:eastAsia="仿宋_GB2312" w:cs="仿宋_GB2312"/>
          <w:b w:val="0"/>
          <w:bCs w:val="0"/>
          <w:kern w:val="0"/>
          <w:position w:val="0"/>
          <w:sz w:val="32"/>
          <w:szCs w:val="32"/>
          <w:highlight w:val="none"/>
          <w:lang w:val="en-US" w:eastAsia="zh-CN" w:bidi="ar-SA"/>
        </w:rPr>
        <w:t>注：</w:t>
      </w:r>
      <w:r>
        <w:rPr>
          <w:rFonts w:hint="eastAsia" w:ascii="Times New Roman" w:hAnsi="Times New Roman" w:eastAsia="仿宋_GB2312" w:cs="仿宋_GB2312"/>
          <w:b w:val="0"/>
          <w:bCs w:val="0"/>
          <w:kern w:val="0"/>
          <w:position w:val="0"/>
          <w:sz w:val="32"/>
          <w:szCs w:val="32"/>
          <w:highlight w:val="none"/>
          <w:lang w:val="en-US" w:eastAsia="zh-CN" w:bidi="ar-SA"/>
        </w:rPr>
        <w:t>以上绩效自评报告，除涉密敏感内容外，原则上都应予以公开）</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keepNext w:val="0"/>
        <w:keepLines w:val="0"/>
        <w:pageBreakBefore w:val="0"/>
        <w:widowControl/>
        <w:kinsoku/>
        <w:wordWrap/>
        <w:overflowPunct/>
        <w:topLinePunct w:val="0"/>
        <w:autoSpaceDE/>
        <w:autoSpaceDN/>
        <w:bidi w:val="0"/>
        <w:spacing w:line="576" w:lineRule="exact"/>
        <w:jc w:val="center"/>
        <w:textAlignment w:val="auto"/>
        <w:rPr>
          <w:rFonts w:hint="eastAsia" w:ascii="Times New Roman" w:hAnsi="Times New Roman" w:eastAsia="黑体"/>
          <w:color w:val="auto"/>
          <w:sz w:val="44"/>
          <w:szCs w:val="44"/>
          <w:highlight w:val="none"/>
        </w:rPr>
      </w:pPr>
    </w:p>
    <w:p>
      <w:pPr>
        <w:keepNext w:val="0"/>
        <w:keepLines w:val="0"/>
        <w:pageBreakBefore w:val="0"/>
        <w:widowControl/>
        <w:kinsoku/>
        <w:wordWrap/>
        <w:overflowPunct/>
        <w:topLinePunct w:val="0"/>
        <w:autoSpaceDE/>
        <w:autoSpaceDN/>
        <w:bidi w:val="0"/>
        <w:spacing w:line="576" w:lineRule="exact"/>
        <w:jc w:val="center"/>
        <w:textAlignment w:val="auto"/>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0"/>
          <w:rFonts w:hint="eastAsia" w:ascii="Times New Roman" w:hAnsi="Times New Roman" w:eastAsia="黑体"/>
          <w:b w:val="0"/>
          <w:color w:val="auto"/>
          <w:highlight w:val="none"/>
        </w:rPr>
        <w:t>五部分 附表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5"/>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rPr>
        <w:t>十三、</w:t>
      </w:r>
      <w:r>
        <w:rPr>
          <w:rFonts w:hint="eastAsia" w:ascii="Times New Roman" w:hAnsi="Times New Roman" w:eastAsia="仿宋_GB2312" w:cs="仿宋_GB2312"/>
          <w:color w:val="auto"/>
          <w:sz w:val="32"/>
          <w:szCs w:val="32"/>
          <w:highlight w:val="none"/>
          <w:lang w:eastAsia="zh-CN"/>
        </w:rPr>
        <w:t>财政拨款“三公”经费支出决算表</w:t>
      </w:r>
    </w:p>
    <w:bookmarkEnd w:id="51"/>
    <w:bookmarkEnd w:id="52"/>
    <w:p>
      <w:pPr>
        <w:keepNext w:val="0"/>
        <w:keepLines w:val="0"/>
        <w:pageBreakBefore w:val="0"/>
        <w:kinsoku/>
        <w:wordWrap/>
        <w:overflowPunct/>
        <w:topLinePunct w:val="0"/>
        <w:autoSpaceDE/>
        <w:autoSpaceDN/>
        <w:bidi w:val="0"/>
        <w:spacing w:line="576" w:lineRule="exact"/>
        <w:jc w:val="both"/>
        <w:textAlignment w:val="auto"/>
        <w:outlineLvl w:val="0"/>
        <w:rPr>
          <w:rFonts w:hint="default" w:ascii="Times New Roman" w:hAnsi="Times New Roman" w:eastAsia="黑体" w:cs="Times New Roman"/>
          <w:color w:val="auto"/>
          <w:sz w:val="44"/>
          <w:szCs w:val="44"/>
          <w:highlight w:val="none"/>
          <w:lang w:eastAsia="zh-CN"/>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11"/>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0F9832B0"/>
    <w:rsid w:val="1016747A"/>
    <w:rsid w:val="154345AD"/>
    <w:rsid w:val="2277469E"/>
    <w:rsid w:val="36CB26A8"/>
    <w:rsid w:val="3D7ED988"/>
    <w:rsid w:val="3F5E3318"/>
    <w:rsid w:val="3F9B3F10"/>
    <w:rsid w:val="42B03A1F"/>
    <w:rsid w:val="52851DF0"/>
    <w:rsid w:val="56FF79C9"/>
    <w:rsid w:val="5A773B92"/>
    <w:rsid w:val="6FDF4D30"/>
    <w:rsid w:val="74F9AB25"/>
    <w:rsid w:val="7B5BBA73"/>
    <w:rsid w:val="7E6C9AA5"/>
    <w:rsid w:val="7E7B79FD"/>
    <w:rsid w:val="7FFDCD00"/>
    <w:rsid w:val="AE0F7483"/>
    <w:rsid w:val="BE9F5BCF"/>
    <w:rsid w:val="BFA9B500"/>
    <w:rsid w:val="DCFE79F1"/>
    <w:rsid w:val="E5FFAE1E"/>
    <w:rsid w:val="EAF62C2D"/>
    <w:rsid w:val="F65B85E5"/>
    <w:rsid w:val="F74F6575"/>
    <w:rsid w:val="F8CE6403"/>
    <w:rsid w:val="F8FE6497"/>
    <w:rsid w:val="FBAFA171"/>
    <w:rsid w:val="FD2584F9"/>
    <w:rsid w:val="FE6F361A"/>
    <w:rsid w:val="FFF3F7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9"/>
    <w:qFormat/>
    <w:uiPriority w:val="0"/>
    <w:pPr>
      <w:keepNext/>
      <w:keepLines/>
      <w:widowControl w:val="0"/>
      <w:spacing w:before="340" w:after="330" w:line="578" w:lineRule="auto"/>
      <w:outlineLvl w:val="0"/>
    </w:pPr>
    <w:rPr>
      <w:b/>
      <w:bCs/>
      <w:kern w:val="44"/>
      <w:sz w:val="44"/>
      <w:szCs w:val="44"/>
    </w:rPr>
  </w:style>
  <w:style w:type="paragraph" w:styleId="6">
    <w:name w:val="heading 2"/>
    <w:basedOn w:val="1"/>
    <w:next w:val="1"/>
    <w:link w:val="21"/>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7">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7">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qFormat/>
    <w:uiPriority w:val="0"/>
    <w:rPr>
      <w:rFonts w:ascii="Times New Roman" w:hAnsi="Times New Roman" w:eastAsia="宋体" w:cs="Times New Roman"/>
      <w:sz w:val="21"/>
      <w:lang w:bidi="ar-SA"/>
    </w:rPr>
  </w:style>
  <w:style w:type="paragraph" w:styleId="4">
    <w:name w:val="Body Text Indent"/>
    <w:basedOn w:val="1"/>
    <w:next w:val="3"/>
    <w:qFormat/>
    <w:uiPriority w:val="0"/>
    <w:pPr>
      <w:ind w:firstLine="200" w:firstLineChars="200"/>
    </w:pPr>
    <w:rPr>
      <w:rFonts w:ascii="仿宋_GB2312" w:hAnsi="仿宋_GB2312"/>
    </w:rPr>
  </w:style>
  <w:style w:type="paragraph" w:styleId="8">
    <w:name w:val="Body Text"/>
    <w:basedOn w:val="1"/>
    <w:qFormat/>
    <w:uiPriority w:val="0"/>
    <w:pPr>
      <w:spacing w:before="30" w:beforeLines="30"/>
    </w:pPr>
    <w:rPr>
      <w:rFonts w:ascii="仿宋_GB2312" w:eastAsia="仿宋_GB2312"/>
      <w:kern w:val="0"/>
      <w:sz w:val="30"/>
    </w:rPr>
  </w:style>
  <w:style w:type="paragraph" w:styleId="9">
    <w:name w:val="toc 3"/>
    <w:basedOn w:val="1"/>
    <w:next w:val="1"/>
    <w:qFormat/>
    <w:uiPriority w:val="0"/>
    <w:pPr>
      <w:tabs>
        <w:tab w:val="right" w:leader="dot" w:pos="8296"/>
      </w:tabs>
      <w:ind w:left="400" w:leftChars="400"/>
    </w:pPr>
  </w:style>
  <w:style w:type="paragraph" w:styleId="10">
    <w:name w:val="Balloon Text"/>
    <w:basedOn w:val="1"/>
    <w:qFormat/>
    <w:uiPriority w:val="0"/>
    <w:rPr>
      <w:sz w:val="18"/>
      <w:szCs w:val="18"/>
    </w:rPr>
  </w:style>
  <w:style w:type="paragraph" w:styleId="11">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qFormat/>
    <w:uiPriority w:val="0"/>
    <w:pPr>
      <w:tabs>
        <w:tab w:val="right" w:leader="dot" w:pos="8296"/>
      </w:tabs>
      <w:spacing w:before="93"/>
      <w:jc w:val="center"/>
    </w:pPr>
    <w:rPr>
      <w:rFonts w:ascii="仿宋" w:eastAsia="仿宋"/>
      <w:sz w:val="28"/>
      <w:szCs w:val="28"/>
    </w:rPr>
  </w:style>
  <w:style w:type="paragraph" w:styleId="14">
    <w:name w:val="table of figures"/>
    <w:basedOn w:val="1"/>
    <w:next w:val="1"/>
    <w:qFormat/>
    <w:uiPriority w:val="0"/>
    <w:pPr>
      <w:ind w:left="200" w:leftChars="200" w:hanging="200" w:hangingChars="200"/>
    </w:pPr>
  </w:style>
  <w:style w:type="paragraph" w:styleId="15">
    <w:name w:val="toc 2"/>
    <w:basedOn w:val="1"/>
    <w:next w:val="1"/>
    <w:qFormat/>
    <w:uiPriority w:val="0"/>
    <w:pPr>
      <w:tabs>
        <w:tab w:val="right" w:leader="dot" w:pos="8296"/>
      </w:tabs>
      <w:ind w:left="200" w:leftChars="200"/>
    </w:p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character" w:customStyle="1" w:styleId="20">
    <w:name w:val="heading 1 Char"/>
    <w:basedOn w:val="17"/>
    <w:link w:val="5"/>
    <w:qFormat/>
    <w:uiPriority w:val="0"/>
    <w:rPr>
      <w:rFonts w:ascii="Times New Roman" w:hAnsi="Times New Roman" w:eastAsia="宋体" w:cs="Times New Roman"/>
      <w:b/>
      <w:bCs/>
      <w:kern w:val="44"/>
      <w:sz w:val="44"/>
      <w:szCs w:val="44"/>
      <w:lang w:val="en-US" w:eastAsia="zh-CN" w:bidi="ar-SA"/>
    </w:rPr>
  </w:style>
  <w:style w:type="character" w:customStyle="1" w:styleId="21">
    <w:name w:val="heading 2 Char"/>
    <w:basedOn w:val="17"/>
    <w:link w:val="6"/>
    <w:qFormat/>
    <w:uiPriority w:val="0"/>
    <w:rPr>
      <w:rFonts w:ascii="Cambria" w:hAnsi="Cambria" w:eastAsia="宋体" w:cs="Times New Roman"/>
      <w:b/>
      <w:bCs/>
      <w:kern w:val="2"/>
      <w:sz w:val="32"/>
      <w:szCs w:val="32"/>
      <w:lang w:val="en-US" w:eastAsia="zh-CN" w:bidi="ar-SA"/>
    </w:rPr>
  </w:style>
  <w:style w:type="character" w:customStyle="1" w:styleId="22">
    <w:name w:val="Header Char"/>
    <w:basedOn w:val="17"/>
    <w:qFormat/>
    <w:uiPriority w:val="0"/>
    <w:rPr>
      <w:rFonts w:ascii="Times New Roman" w:hAnsi="Times New Roman"/>
      <w:sz w:val="18"/>
      <w:szCs w:val="18"/>
    </w:rPr>
  </w:style>
  <w:style w:type="character" w:customStyle="1" w:styleId="23">
    <w:name w:val="Footer Char"/>
    <w:basedOn w:val="17"/>
    <w:qFormat/>
    <w:uiPriority w:val="0"/>
    <w:rPr>
      <w:rFonts w:ascii="Times New Roman" w:hAnsi="Times New Roman"/>
      <w:sz w:val="18"/>
      <w:szCs w:val="18"/>
    </w:rPr>
  </w:style>
  <w:style w:type="character" w:customStyle="1" w:styleId="24">
    <w:name w:val="Body Text Char"/>
    <w:basedOn w:val="17"/>
    <w:qFormat/>
    <w:uiPriority w:val="0"/>
    <w:rPr>
      <w:rFonts w:ascii="Times New Roman" w:hAnsi="Times New Roman"/>
      <w:szCs w:val="24"/>
    </w:rPr>
  </w:style>
  <w:style w:type="paragraph" w:customStyle="1" w:styleId="2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6">
    <w:name w:val="List Paragraph"/>
    <w:basedOn w:val="1"/>
    <w:qFormat/>
    <w:uiPriority w:val="0"/>
    <w:pPr>
      <w:ind w:firstLine="200" w:firstLineChars="200"/>
    </w:pPr>
  </w:style>
  <w:style w:type="paragraph" w:customStyle="1" w:styleId="27">
    <w:name w:val="TOC 标题1"/>
    <w:basedOn w:val="5"/>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8">
    <w:name w:val="TOC Heading"/>
    <w:basedOn w:val="5"/>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character" w:customStyle="1" w:styleId="29">
    <w:name w:val="标题 1 Char"/>
    <w:basedOn w:val="17"/>
    <w:link w:val="5"/>
    <w:qFormat/>
    <w:uiPriority w:val="9"/>
    <w:rPr>
      <w:b/>
      <w:bCs/>
      <w:kern w:val="44"/>
      <w:sz w:val="44"/>
      <w:szCs w:val="44"/>
    </w:rPr>
  </w:style>
  <w:style w:type="paragraph" w:customStyle="1" w:styleId="30">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embeddings/oleObject6.bin"/></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600" b="1" i="0" u="none" strike="noStrike" kern="1200" baseline="0">
                <a:solidFill>
                  <a:schemeClr val="tx1">
                    <a:lumMod val="65000"/>
                    <a:lumOff val="35000"/>
                  </a:schemeClr>
                </a:solidFill>
                <a:latin typeface="+mn-lt"/>
                <a:ea typeface="+mn-ea"/>
                <a:cs typeface="+mn-cs"/>
              </a:defRPr>
            </a:pPr>
            <a:r>
              <a:t>收支情况表</a:t>
            </a:r>
          </a:p>
        </c:rich>
      </c:tx>
      <c:layout/>
      <c:overlay val="false"/>
      <c:spPr>
        <a:noFill/>
        <a:ln>
          <a:noFill/>
        </a:ln>
        <a:effectLst/>
      </c:spPr>
    </c:title>
    <c:autoTitleDeleted val="false"/>
    <c:plotArea>
      <c:layout>
        <c:manualLayout>
          <c:layoutTarget val="inner"/>
          <c:xMode val="edge"/>
          <c:yMode val="edge"/>
          <c:x val="0.0675108740301232"/>
          <c:y val="0.137106648152823"/>
          <c:w val="0.927925"/>
          <c:h val="0.716566666666667"/>
        </c:manualLayout>
      </c:layout>
      <c:barChart>
        <c:barDir val="col"/>
        <c:grouping val="clustered"/>
        <c:varyColors val="false"/>
        <c:ser>
          <c:idx val="0"/>
          <c:order val="0"/>
          <c:tx>
            <c:strRef>
              <c:f>Sheet1!$B$1</c:f>
              <c:strCache>
                <c:ptCount val="1"/>
                <c:pt idx="0">
                  <c:v>2023</c:v>
                </c:pt>
              </c:strCache>
            </c:strRef>
          </c:tx>
          <c:spPr>
            <a:gradFill rotWithShape="true">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c:f>
              <c:strCache>
                <c:ptCount val="1"/>
                <c:pt idx="0">
                  <c:v>收支合计</c:v>
                </c:pt>
              </c:strCache>
            </c:strRef>
          </c:cat>
          <c:val>
            <c:numRef>
              <c:f>Sheet1!$B$2</c:f>
              <c:numCache>
                <c:formatCode>General</c:formatCode>
                <c:ptCount val="1"/>
                <c:pt idx="0">
                  <c:v>1.91</c:v>
                </c:pt>
              </c:numCache>
            </c:numRef>
          </c:val>
        </c:ser>
        <c:ser>
          <c:idx val="1"/>
          <c:order val="1"/>
          <c:tx>
            <c:strRef>
              <c:f>Sheet1!$C$1</c:f>
              <c:strCache>
                <c:ptCount val="1"/>
                <c:pt idx="0">
                  <c:v>2024</c:v>
                </c:pt>
              </c:strCache>
            </c:strRef>
          </c:tx>
          <c:spPr>
            <a:gradFill rotWithShape="true">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false"/>
            </a:gradFill>
            <a:ln>
              <a:noFill/>
            </a:ln>
            <a:effectLst>
              <a:outerShdw blurRad="40000" dist="23000" dir="5400000" rotWithShape="0">
                <a:srgbClr val="000000">
                  <a:alpha val="35000"/>
                </a:srgbClr>
              </a:outerShdw>
            </a:effectLst>
          </c:spPr>
          <c:invertIfNegative val="false"/>
          <c:dLbls>
            <c:delete val="true"/>
          </c:dLbls>
          <c:cat>
            <c:strRef>
              <c:f>Sheet1!$A$2</c:f>
              <c:strCache>
                <c:ptCount val="1"/>
                <c:pt idx="0">
                  <c:v>收支合计</c:v>
                </c:pt>
              </c:strCache>
            </c:strRef>
          </c:cat>
          <c:val>
            <c:numRef>
              <c:f>Sheet1!$C$2</c:f>
              <c:numCache>
                <c:formatCode>General</c:formatCode>
                <c:ptCount val="1"/>
                <c:pt idx="0">
                  <c:v>2.88</c:v>
                </c:pt>
              </c:numCache>
            </c:numRef>
          </c:val>
        </c:ser>
        <c:dLbls>
          <c:showLegendKey val="false"/>
          <c:showVal val="false"/>
          <c:showCatName val="false"/>
          <c:showSerName val="false"/>
          <c:showPercent val="false"/>
          <c:showBubbleSize val="false"/>
        </c:dLbls>
        <c:gapWidth val="100"/>
        <c:overlap val="-24"/>
        <c:axId val="151408000"/>
        <c:axId val="151422080"/>
      </c:barChart>
      <c:catAx>
        <c:axId val="151408000"/>
        <c:scaling>
          <c:orientation val="minMax"/>
        </c:scaling>
        <c:delete val="false"/>
        <c:axPos val="b"/>
        <c:majorTickMark val="none"/>
        <c:minorTickMark val="none"/>
        <c:tickLblPos val="nextTo"/>
        <c:spPr>
          <a:noFill/>
          <a:ln w="12700"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1422080"/>
        <c:crosses val="autoZero"/>
        <c:auto val="true"/>
        <c:lblAlgn val="ctr"/>
        <c:lblOffset val="100"/>
        <c:noMultiLvlLbl val="false"/>
      </c:catAx>
      <c:valAx>
        <c:axId val="15142208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51408000"/>
        <c:crosses val="autoZero"/>
        <c:crossBetween val="between"/>
      </c:valAx>
      <c:spPr>
        <a:noFill/>
        <a:ln>
          <a:noFill/>
        </a:ln>
        <a:effectLst/>
      </c:spPr>
    </c:plotArea>
    <c:legend>
      <c:legendPos val="b"/>
      <c:layout>
        <c:manualLayout>
          <c:xMode val="edge"/>
          <c:yMode val="edge"/>
          <c:x val="0.638369085653431"/>
          <c:y val="0.880585710679121"/>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24</Pages>
  <Words>5752</Words>
  <Characters>8016</Characters>
  <Lines>323</Lines>
  <Paragraphs>163</Paragraphs>
  <TotalTime>2</TotalTime>
  <ScaleCrop>false</ScaleCrop>
  <LinksUpToDate>false</LinksUpToDate>
  <CharactersWithSpaces>8036</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user</cp:lastModifiedBy>
  <cp:lastPrinted>2025-09-18T00:23:00Z</cp:lastPrinted>
  <dcterms:modified xsi:type="dcterms:W3CDTF">2025-09-17T18:18:22Z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E7458A769F68BA105FD1066522385DCD</vt:lpwstr>
  </property>
  <property fmtid="{D5CDD505-2E9C-101B-9397-08002B2CF9AE}" pid="4" name="KSOTemplateDocerSaveRecord">
    <vt:lpwstr>eyJoZGlkIjoiZDk0YWZiZjIxZjc2OTc2ODNkNzM0YmQ3OTRlZDhiNWEifQ==</vt:lpwstr>
  </property>
</Properties>
</file>