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hint="default" w:ascii="Times New Roman" w:hAnsi="Times New Roman" w:eastAsia="方正小标宋简体" w:cs="Times New Roman"/>
          <w:color w:val="auto"/>
          <w:sz w:val="21"/>
          <w:szCs w:val="21"/>
          <w:highlight w:val="none"/>
        </w:rPr>
      </w:pPr>
      <w:bookmarkStart w:id="0" w:name="_Toc15306267"/>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rPr>
      </w:pPr>
      <w:bookmarkStart w:id="1" w:name="_Toc15377193"/>
      <w:bookmarkStart w:id="2" w:name="_Toc15396475"/>
      <w:bookmarkStart w:id="3" w:name="_Toc15377425"/>
      <w:bookmarkStart w:id="4" w:name="_Toc15396597"/>
      <w:bookmarkStart w:id="5" w:name="_Toc15378441"/>
      <w:r>
        <w:rPr>
          <w:rFonts w:hint="default" w:ascii="Times New Roman" w:hAnsi="Times New Roman" w:eastAsia="方正小标宋简体" w:cs="Times New Roman"/>
          <w:color w:val="auto"/>
          <w:sz w:val="72"/>
          <w:szCs w:val="72"/>
          <w:highlight w:val="none"/>
        </w:rPr>
        <w:t>20</w:t>
      </w:r>
      <w:r>
        <w:rPr>
          <w:rFonts w:hint="default" w:ascii="Times New Roman" w:hAnsi="Times New Roman" w:eastAsia="方正小标宋简体" w:cs="Times New Roman"/>
          <w:color w:val="auto"/>
          <w:sz w:val="72"/>
          <w:szCs w:val="72"/>
          <w:highlight w:val="none"/>
          <w:lang w:val="en-US" w:eastAsia="zh-CN"/>
        </w:rPr>
        <w:t>24</w:t>
      </w:r>
      <w:r>
        <w:rPr>
          <w:rFonts w:hint="default" w:ascii="Times New Roman" w:hAnsi="Times New Roman" w:eastAsia="方正小标宋简体" w:cs="Times New Roman"/>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bookmarkStart w:id="6" w:name="_Toc15396598"/>
      <w:bookmarkStart w:id="7" w:name="_Toc15378442"/>
      <w:bookmarkStart w:id="8" w:name="_Toc15396476"/>
      <w:bookmarkStart w:id="9" w:name="_Toc15377194"/>
      <w:bookmarkStart w:id="10" w:name="_Toc15377426"/>
      <w:r>
        <w:rPr>
          <w:rFonts w:hint="default" w:ascii="Times New Roman" w:hAnsi="Times New Roman" w:eastAsia="方正小标宋简体" w:cs="Times New Roman"/>
          <w:color w:val="auto"/>
          <w:sz w:val="72"/>
          <w:szCs w:val="72"/>
          <w:highlight w:val="none"/>
        </w:rPr>
        <w:t>阿坝州</w:t>
      </w:r>
      <w:bookmarkEnd w:id="0"/>
      <w:bookmarkStart w:id="11" w:name="_Toc15306268"/>
      <w:r>
        <w:rPr>
          <w:rFonts w:hint="default" w:ascii="Times New Roman" w:hAnsi="Times New Roman" w:eastAsia="方正小标宋简体" w:cs="Times New Roman"/>
          <w:color w:val="auto"/>
          <w:sz w:val="72"/>
          <w:szCs w:val="72"/>
          <w:highlight w:val="none"/>
          <w:lang w:eastAsia="zh-CN"/>
        </w:rPr>
        <w:t>委政策研究室（单位）</w:t>
      </w: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r>
        <w:rPr>
          <w:rFonts w:hint="default" w:ascii="Times New Roman" w:hAnsi="Times New Roman" w:eastAsia="方正小标宋简体" w:cs="Times New Roman"/>
          <w:color w:val="auto"/>
          <w:sz w:val="72"/>
          <w:szCs w:val="72"/>
          <w:highlight w:val="none"/>
        </w:rPr>
        <w:t>决算</w:t>
      </w:r>
      <w:bookmarkEnd w:id="6"/>
      <w:bookmarkEnd w:id="7"/>
      <w:bookmarkEnd w:id="8"/>
      <w:bookmarkEnd w:id="9"/>
      <w:bookmarkEnd w:id="10"/>
      <w:bookmarkEnd w:id="11"/>
      <w:r>
        <w:rPr>
          <w:rFonts w:hint="default" w:ascii="Times New Roman" w:hAnsi="Times New Roman" w:eastAsia="方正小标宋简体" w:cs="Times New Roman"/>
          <w:color w:val="auto"/>
          <w:sz w:val="72"/>
          <w:szCs w:val="72"/>
          <w:highlight w:val="none"/>
          <w:lang w:eastAsia="zh-CN"/>
        </w:rPr>
        <w:t>公开</w:t>
      </w: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widowControl/>
        <w:jc w:val="center"/>
        <w:rPr>
          <w:rFonts w:hint="default" w:ascii="Times New Roman" w:hAnsi="Times New Roman" w:eastAsia="黑体" w:cs="Times New Roman"/>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720" w:num="1"/>
          <w:titlePg/>
          <w:docGrid w:type="lines" w:linePitch="312" w:charSpace="0"/>
        </w:sectPr>
      </w:pPr>
    </w:p>
    <w:p>
      <w:pPr>
        <w:widowControl/>
        <w:jc w:val="center"/>
        <w:rPr>
          <w:rFonts w:hint="default" w:ascii="Times New Roman" w:hAnsi="Times New Roman" w:eastAsia="黑体" w:cs="Times New Roman"/>
          <w:color w:val="auto"/>
          <w:sz w:val="48"/>
          <w:szCs w:val="48"/>
          <w:highlight w:val="none"/>
        </w:rPr>
      </w:pPr>
      <w:r>
        <w:rPr>
          <w:rFonts w:hint="default" w:ascii="Times New Roman" w:hAnsi="Times New Roman" w:eastAsia="黑体" w:cs="Times New Roman"/>
          <w:color w:val="auto"/>
          <w:sz w:val="48"/>
          <w:szCs w:val="48"/>
          <w:highlight w:val="none"/>
        </w:rPr>
        <w:t>目录</w:t>
      </w:r>
    </w:p>
    <w:p>
      <w:pPr>
        <w:widowControl/>
        <w:jc w:val="center"/>
        <w:rPr>
          <w:rFonts w:hint="default" w:ascii="Times New Roman" w:hAnsi="Times New Roman" w:eastAsia="黑体" w:cs="Times New Roman"/>
          <w:color w:val="auto"/>
          <w:sz w:val="28"/>
          <w:szCs w:val="28"/>
          <w:highlight w:val="none"/>
        </w:rPr>
      </w:pPr>
    </w:p>
    <w:p>
      <w:pPr>
        <w:pStyle w:val="12"/>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sz w:val="28"/>
          <w:szCs w:val="28"/>
          <w:highlight w:val="none"/>
        </w:rPr>
        <w:t>公开时间：20</w:t>
      </w:r>
      <w:r>
        <w:rPr>
          <w:rFonts w:hint="default" w:ascii="Times New Roman" w:hAnsi="Times New Roman" w:eastAsia="方正仿宋_GBK" w:cs="Times New Roman"/>
          <w:color w:val="auto"/>
          <w:sz w:val="28"/>
          <w:szCs w:val="28"/>
          <w:highlight w:val="none"/>
          <w:lang w:val="en-US" w:eastAsia="zh-CN"/>
        </w:rPr>
        <w:t>25</w:t>
      </w:r>
      <w:r>
        <w:rPr>
          <w:rFonts w:hint="default" w:ascii="Times New Roman" w:hAnsi="Times New Roman" w:eastAsia="方正仿宋_GBK" w:cs="Times New Roman"/>
          <w:color w:val="auto"/>
          <w:sz w:val="28"/>
          <w:szCs w:val="28"/>
          <w:highlight w:val="none"/>
        </w:rPr>
        <w:t>年</w:t>
      </w:r>
      <w:r>
        <w:rPr>
          <w:rFonts w:hint="default" w:ascii="Times New Roman" w:hAnsi="Times New Roman" w:eastAsia="方正仿宋_GBK" w:cs="Times New Roman"/>
          <w:color w:val="auto"/>
          <w:sz w:val="28"/>
          <w:szCs w:val="28"/>
          <w:highlight w:val="none"/>
          <w:lang w:val="en-US" w:eastAsia="zh-CN"/>
        </w:rPr>
        <w:t>9</w:t>
      </w:r>
      <w:r>
        <w:rPr>
          <w:rFonts w:hint="default" w:ascii="Times New Roman" w:hAnsi="Times New Roman" w:eastAsia="方正仿宋_GBK" w:cs="Times New Roman"/>
          <w:color w:val="auto"/>
          <w:sz w:val="28"/>
          <w:szCs w:val="28"/>
          <w:highlight w:val="none"/>
        </w:rPr>
        <w:t>月</w:t>
      </w:r>
      <w:r>
        <w:rPr>
          <w:rFonts w:hint="default" w:ascii="Times New Roman" w:hAnsi="Times New Roman" w:eastAsia="方正仿宋_GBK" w:cs="Times New Roman"/>
          <w:color w:val="auto"/>
          <w:sz w:val="28"/>
          <w:szCs w:val="28"/>
          <w:highlight w:val="none"/>
          <w:lang w:val="en-US" w:eastAsia="zh-CN"/>
        </w:rPr>
        <w:t>1</w:t>
      </w:r>
      <w:r>
        <w:rPr>
          <w:rFonts w:hint="eastAsia" w:ascii="Times New Roman" w:eastAsia="方正仿宋_GBK" w:cs="Times New Roman"/>
          <w:color w:val="auto"/>
          <w:sz w:val="28"/>
          <w:szCs w:val="28"/>
          <w:highlight w:val="none"/>
          <w:lang w:val="en-US" w:eastAsia="zh-CN"/>
        </w:rPr>
        <w:t>7</w:t>
      </w:r>
      <w:bookmarkStart w:id="67" w:name="_GoBack"/>
      <w:bookmarkEnd w:id="67"/>
      <w:r>
        <w:rPr>
          <w:rFonts w:hint="default" w:ascii="Times New Roman" w:hAnsi="Times New Roman" w:eastAsia="方正仿宋_GBK" w:cs="Times New Roman"/>
          <w:color w:val="auto"/>
          <w:sz w:val="28"/>
          <w:szCs w:val="28"/>
          <w:highlight w:val="none"/>
        </w:rPr>
        <w:t>日</w:t>
      </w:r>
    </w:p>
    <w:p>
      <w:pPr>
        <w:rPr>
          <w:rFonts w:hint="default" w:ascii="Times New Roman" w:hAnsi="Times New Roman" w:cs="Times New Roman"/>
          <w:color w:val="auto"/>
          <w:highlight w:val="none"/>
        </w:rPr>
      </w:pPr>
    </w:p>
    <w:p>
      <w:pPr>
        <w:pStyle w:val="12"/>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 xml:space="preserve">第一部分 </w:t>
      </w:r>
      <w:r>
        <w:rPr>
          <w:rFonts w:hint="default" w:ascii="Times New Roman" w:hAnsi="Times New Roman" w:cs="Times New Roman"/>
          <w:color w:val="auto"/>
          <w:sz w:val="28"/>
          <w:szCs w:val="28"/>
          <w:highlight w:val="none"/>
          <w:lang w:eastAsia="zh-CN"/>
        </w:rPr>
        <w:t>单位</w:t>
      </w:r>
      <w:r>
        <w:rPr>
          <w:rFonts w:hint="default" w:ascii="Times New Roman" w:hAnsi="Times New Roman" w:cs="Times New Roman"/>
          <w:color w:val="auto"/>
          <w:sz w:val="28"/>
          <w:szCs w:val="28"/>
          <w:highlight w:val="none"/>
        </w:rPr>
        <w:t>概况</w:t>
      </w:r>
      <w:r>
        <w:rPr>
          <w:rFonts w:hint="default" w:ascii="Times New Roman" w:hAnsi="Times New Roman" w:cs="Times New Roman"/>
          <w:color w:val="auto"/>
          <w:sz w:val="28"/>
          <w:szCs w:val="28"/>
          <w:highlight w:val="none"/>
          <w:lang w:val="en-US" w:eastAsia="zh-CN"/>
        </w:rPr>
        <w:t>................................................................................01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w:t>
      </w:r>
      <w:r>
        <w:rPr>
          <w:rFonts w:hint="default" w:ascii="Times New Roman" w:hAnsi="Times New Roman" w:cs="Times New Roman"/>
          <w:color w:val="auto"/>
          <w:sz w:val="28"/>
          <w:szCs w:val="28"/>
          <w:highlight w:val="none"/>
          <w:lang w:eastAsia="zh-CN"/>
        </w:rPr>
        <w:t>主要职责</w:t>
      </w:r>
      <w:r>
        <w:rPr>
          <w:rFonts w:hint="default" w:ascii="Times New Roman" w:hAnsi="Times New Roman" w:cs="Times New Roman"/>
          <w:color w:val="auto"/>
          <w:sz w:val="28"/>
          <w:szCs w:val="28"/>
          <w:highlight w:val="none"/>
          <w:lang w:val="en-US" w:eastAsia="zh-CN"/>
        </w:rPr>
        <w:t>...........................................................................................01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lang w:val="en-US" w:eastAsia="zh-CN"/>
        </w:rPr>
      </w:pPr>
      <w:r>
        <w:rPr>
          <w:rFonts w:hint="default" w:ascii="Times New Roman" w:hAnsi="Times New Roman" w:cs="Times New Roman"/>
          <w:color w:val="auto"/>
          <w:sz w:val="28"/>
          <w:szCs w:val="28"/>
          <w:highlight w:val="none"/>
          <w:lang w:eastAsia="zh-CN"/>
        </w:rPr>
        <w:t>二</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eastAsia="zh-CN"/>
        </w:rPr>
        <w:t>机构设置</w:t>
      </w:r>
      <w:r>
        <w:rPr>
          <w:rFonts w:hint="default" w:ascii="Times New Roman" w:hAnsi="Times New Roman" w:cs="Times New Roman"/>
          <w:color w:val="auto"/>
          <w:sz w:val="28"/>
          <w:szCs w:val="28"/>
          <w:highlight w:val="none"/>
          <w:lang w:val="en-US" w:eastAsia="zh-CN"/>
        </w:rPr>
        <w:t>............................................................................................0</w:t>
      </w:r>
      <w:r>
        <w:rPr>
          <w:rFonts w:hint="eastAsia" w:ascii="Times New Roman" w:hAnsi="Times New Roman" w:cs="Times New Roman"/>
          <w:color w:val="auto"/>
          <w:sz w:val="28"/>
          <w:szCs w:val="28"/>
          <w:highlight w:val="none"/>
          <w:lang w:val="en-US" w:eastAsia="zh-CN"/>
        </w:rPr>
        <w:t>2</w:t>
      </w:r>
    </w:p>
    <w:p>
      <w:pPr>
        <w:pStyle w:val="12"/>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第二部分</w:t>
      </w:r>
      <w:r>
        <w:rPr>
          <w:rFonts w:hint="default" w:ascii="Times New Roman" w:hAnsi="Times New Roman" w:cs="Times New Roman"/>
          <w:color w:val="auto"/>
          <w:sz w:val="28"/>
          <w:szCs w:val="28"/>
          <w:highlight w:val="none"/>
          <w:lang w:val="en-US" w:eastAsia="zh-CN"/>
        </w:rPr>
        <w:t xml:space="preserve"> 2024年度</w:t>
      </w:r>
      <w:r>
        <w:rPr>
          <w:rFonts w:hint="default" w:ascii="Times New Roman" w:hAnsi="Times New Roman" w:cs="Times New Roman"/>
          <w:color w:val="auto"/>
          <w:sz w:val="28"/>
          <w:szCs w:val="28"/>
          <w:highlight w:val="none"/>
          <w:lang w:eastAsia="zh-CN"/>
        </w:rPr>
        <w:t>单位</w:t>
      </w:r>
      <w:r>
        <w:rPr>
          <w:rFonts w:hint="default" w:ascii="Times New Roman" w:hAnsi="Times New Roman" w:cs="Times New Roman"/>
          <w:color w:val="auto"/>
          <w:sz w:val="28"/>
          <w:szCs w:val="28"/>
          <w:highlight w:val="none"/>
        </w:rPr>
        <w:t>决算情况说明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一、收入支出决算总体情况说明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三、支出决算情况说明</w:t>
      </w:r>
      <w:r>
        <w:rPr>
          <w:rFonts w:hint="default" w:ascii="Times New Roman" w:hAnsi="Times New Roman" w:cs="Times New Roman"/>
          <w:color w:val="auto"/>
          <w:sz w:val="28"/>
          <w:szCs w:val="28"/>
          <w:highlight w:val="none"/>
          <w:lang w:val="en-US" w:eastAsia="zh-CN"/>
        </w:rPr>
        <w:t>............................................................................04</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四、财政拨款收入支出决算总体情况说明</w:t>
      </w:r>
      <w:r>
        <w:rPr>
          <w:rFonts w:hint="default" w:ascii="Times New Roman" w:hAnsi="Times New Roman" w:cs="Times New Roman"/>
          <w:color w:val="auto"/>
          <w:sz w:val="28"/>
          <w:szCs w:val="28"/>
          <w:highlight w:val="none"/>
          <w:lang w:val="en-US" w:eastAsia="zh-CN"/>
        </w:rPr>
        <w:t>............................................0</w:t>
      </w:r>
      <w:r>
        <w:rPr>
          <w:rFonts w:hint="eastAsia" w:ascii="Times New Roman" w:hAnsi="Times New Roman" w:cs="Times New Roman"/>
          <w:color w:val="auto"/>
          <w:sz w:val="28"/>
          <w:szCs w:val="28"/>
          <w:highlight w:val="none"/>
          <w:lang w:val="en-US" w:eastAsia="zh-CN"/>
        </w:rPr>
        <w:t>5</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五、一般公共预算财政拨款支出决算情况说明</w:t>
      </w:r>
      <w:r>
        <w:rPr>
          <w:rFonts w:hint="default" w:ascii="Times New Roman" w:hAnsi="Times New Roman" w:cs="Times New Roman"/>
          <w:color w:val="auto"/>
          <w:sz w:val="28"/>
          <w:szCs w:val="28"/>
          <w:highlight w:val="none"/>
          <w:lang w:val="en-US" w:eastAsia="zh-CN"/>
        </w:rPr>
        <w:t>....................................0</w:t>
      </w:r>
      <w:r>
        <w:rPr>
          <w:rFonts w:hint="eastAsia" w:ascii="Times New Roman" w:hAnsi="Times New Roman" w:cs="Times New Roman"/>
          <w:color w:val="auto"/>
          <w:sz w:val="28"/>
          <w:szCs w:val="28"/>
          <w:highlight w:val="none"/>
          <w:lang w:val="en-US" w:eastAsia="zh-CN"/>
        </w:rPr>
        <w:t>6</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六、一般公共预算财政拨款基本支出决算情况说明</w:t>
      </w:r>
      <w:r>
        <w:rPr>
          <w:rFonts w:hint="default" w:ascii="Times New Roman" w:hAnsi="Times New Roman" w:cs="Times New Roman"/>
          <w:color w:val="auto"/>
          <w:sz w:val="28"/>
          <w:szCs w:val="28"/>
          <w:highlight w:val="none"/>
          <w:lang w:val="en-US" w:eastAsia="zh-CN"/>
        </w:rPr>
        <w:t>............................</w:t>
      </w:r>
      <w:r>
        <w:rPr>
          <w:rFonts w:hint="eastAsia" w:ascii="Times New Roman" w:hAnsi="Times New Roman" w:cs="Times New Roman"/>
          <w:color w:val="auto"/>
          <w:sz w:val="28"/>
          <w:szCs w:val="28"/>
          <w:highlight w:val="none"/>
          <w:lang w:val="en-US" w:eastAsia="zh-CN"/>
        </w:rPr>
        <w:t>10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七、财政拨款</w:t>
      </w:r>
      <w:r>
        <w:rPr>
          <w:rFonts w:hint="default" w:ascii="Times New Roman" w:hAnsi="Times New Roman" w:cs="Times New Roman"/>
          <w:color w:val="auto"/>
          <w:sz w:val="28"/>
          <w:szCs w:val="28"/>
          <w:highlight w:val="none"/>
          <w:lang w:eastAsia="zh-CN"/>
        </w:rPr>
        <w:t>“</w:t>
      </w:r>
      <w:r>
        <w:rPr>
          <w:rFonts w:hint="default" w:ascii="Times New Roman" w:hAnsi="Times New Roman" w:cs="Times New Roman"/>
          <w:color w:val="auto"/>
          <w:sz w:val="28"/>
          <w:szCs w:val="28"/>
          <w:highlight w:val="none"/>
        </w:rPr>
        <w:t>三公”经费支出决算情况说明</w:t>
      </w:r>
      <w:r>
        <w:rPr>
          <w:rFonts w:hint="default" w:ascii="Times New Roman" w:hAnsi="Times New Roman" w:cs="Times New Roman"/>
          <w:color w:val="auto"/>
          <w:sz w:val="28"/>
          <w:szCs w:val="28"/>
          <w:highlight w:val="none"/>
          <w:lang w:val="en-US" w:eastAsia="zh-CN"/>
        </w:rPr>
        <w:t>.........................................</w:t>
      </w:r>
      <w:r>
        <w:rPr>
          <w:rFonts w:hint="eastAsia" w:ascii="Times New Roman" w:hAnsi="Times New Roman" w:cs="Times New Roman"/>
          <w:color w:val="auto"/>
          <w:sz w:val="28"/>
          <w:szCs w:val="28"/>
          <w:highlight w:val="none"/>
          <w:lang w:val="en-US" w:eastAsia="zh-CN"/>
        </w:rPr>
        <w:t>10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八、政府性基金预算支出决算情况说明</w:t>
      </w:r>
      <w:r>
        <w:rPr>
          <w:rFonts w:hint="default" w:ascii="Times New Roman" w:hAnsi="Times New Roman" w:cs="Times New Roman"/>
          <w:color w:val="auto"/>
          <w:sz w:val="28"/>
          <w:szCs w:val="28"/>
          <w:highlight w:val="none"/>
          <w:lang w:val="en-US" w:eastAsia="zh-CN"/>
        </w:rPr>
        <w:t>................................................1</w:t>
      </w:r>
      <w:r>
        <w:rPr>
          <w:rFonts w:hint="eastAsia" w:ascii="Times New Roman" w:hAnsi="Times New Roman" w:cs="Times New Roman"/>
          <w:color w:val="auto"/>
          <w:sz w:val="28"/>
          <w:szCs w:val="28"/>
          <w:highlight w:val="none"/>
          <w:lang w:val="en-US" w:eastAsia="zh-CN"/>
        </w:rPr>
        <w:t>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九、国有资本经营预算支出决算情况说明</w:t>
      </w:r>
      <w:r>
        <w:rPr>
          <w:rFonts w:hint="default" w:ascii="Times New Roman" w:hAnsi="Times New Roman" w:cs="Times New Roman"/>
          <w:color w:val="auto"/>
          <w:sz w:val="28"/>
          <w:szCs w:val="28"/>
          <w:highlight w:val="none"/>
          <w:lang w:val="en-US" w:eastAsia="zh-CN"/>
        </w:rPr>
        <w:t>............................................1</w:t>
      </w:r>
      <w:r>
        <w:rPr>
          <w:rFonts w:hint="eastAsia" w:ascii="Times New Roman" w:hAnsi="Times New Roman" w:cs="Times New Roman"/>
          <w:color w:val="auto"/>
          <w:sz w:val="28"/>
          <w:szCs w:val="28"/>
          <w:highlight w:val="none"/>
          <w:lang w:val="en-US" w:eastAsia="zh-CN"/>
        </w:rPr>
        <w:t>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十、其他重要事项的情况说明</w:t>
      </w:r>
      <w:r>
        <w:rPr>
          <w:rFonts w:hint="default" w:ascii="Times New Roman" w:hAnsi="Times New Roman" w:cs="Times New Roman"/>
          <w:color w:val="auto"/>
          <w:sz w:val="28"/>
          <w:szCs w:val="28"/>
          <w:highlight w:val="none"/>
          <w:lang w:val="en-US" w:eastAsia="zh-CN"/>
        </w:rPr>
        <w:t>................................................................1</w:t>
      </w:r>
      <w:r>
        <w:rPr>
          <w:rFonts w:hint="eastAsia" w:ascii="Times New Roman" w:hAnsi="Times New Roman" w:cs="Times New Roman"/>
          <w:color w:val="auto"/>
          <w:sz w:val="28"/>
          <w:szCs w:val="28"/>
          <w:highlight w:val="none"/>
          <w:lang w:val="en-US" w:eastAsia="zh-CN"/>
        </w:rPr>
        <w:t>3</w:t>
      </w:r>
    </w:p>
    <w:p>
      <w:pPr>
        <w:pStyle w:val="12"/>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第三部分 名词解释</w:t>
      </w:r>
      <w:r>
        <w:rPr>
          <w:rFonts w:hint="default" w:ascii="Times New Roman" w:hAnsi="Times New Roman" w:cs="Times New Roman"/>
          <w:color w:val="auto"/>
          <w:sz w:val="28"/>
          <w:szCs w:val="28"/>
          <w:highlight w:val="none"/>
          <w:lang w:val="en-US" w:eastAsia="zh-CN"/>
        </w:rPr>
        <w:t>................................................................................1</w:t>
      </w:r>
      <w:r>
        <w:rPr>
          <w:rFonts w:hint="eastAsia" w:ascii="Times New Roman" w:hAnsi="Times New Roman" w:cs="Times New Roman"/>
          <w:color w:val="auto"/>
          <w:sz w:val="28"/>
          <w:szCs w:val="28"/>
          <w:highlight w:val="none"/>
          <w:lang w:val="en-US" w:eastAsia="zh-CN"/>
        </w:rPr>
        <w:t>5</w:t>
      </w:r>
    </w:p>
    <w:p>
      <w:pPr>
        <w:pStyle w:val="12"/>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第四部分 附件</w:t>
      </w:r>
      <w:r>
        <w:rPr>
          <w:rFonts w:hint="default" w:ascii="Times New Roman" w:hAnsi="Times New Roman" w:cs="Times New Roman"/>
          <w:color w:val="auto"/>
          <w:sz w:val="28"/>
          <w:szCs w:val="28"/>
          <w:highlight w:val="none"/>
          <w:lang w:val="en-US" w:eastAsia="zh-CN"/>
        </w:rPr>
        <w:t>........................................................................................1</w:t>
      </w:r>
      <w:r>
        <w:rPr>
          <w:rFonts w:hint="eastAsia" w:ascii="Times New Roman" w:hAnsi="Times New Roman" w:cs="Times New Roman"/>
          <w:color w:val="auto"/>
          <w:sz w:val="28"/>
          <w:szCs w:val="28"/>
          <w:highlight w:val="none"/>
          <w:lang w:val="en-US" w:eastAsia="zh-CN"/>
        </w:rPr>
        <w:t>9</w:t>
      </w:r>
    </w:p>
    <w:p>
      <w:pPr>
        <w:pStyle w:val="12"/>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第五部分 附表</w:t>
      </w:r>
      <w:r>
        <w:rPr>
          <w:rFonts w:hint="default" w:ascii="Times New Roman" w:hAnsi="Times New Roman" w:cs="Times New Roman"/>
          <w:color w:val="auto"/>
          <w:sz w:val="28"/>
          <w:szCs w:val="28"/>
          <w:highlight w:val="none"/>
          <w:lang w:val="en-US" w:eastAsia="zh-CN"/>
        </w:rPr>
        <w:t>........................................................................................</w:t>
      </w:r>
      <w:r>
        <w:rPr>
          <w:rFonts w:hint="eastAsia" w:ascii="Times New Roman" w:hAnsi="Times New Roman" w:cs="Times New Roman"/>
          <w:color w:val="auto"/>
          <w:sz w:val="28"/>
          <w:szCs w:val="28"/>
          <w:highlight w:val="none"/>
          <w:lang w:val="en-US" w:eastAsia="zh-CN"/>
        </w:rPr>
        <w:t>30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四、财政拨款收入支出决算总表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4</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五、财政拨款支出决算明细表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5</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六、一般公共预算财政拨款支出决算表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6</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七、一般公共预算财政拨款支出决算明细表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7</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八、一般公共预算财政拨款基本支出决算</w:t>
      </w:r>
      <w:r>
        <w:rPr>
          <w:rFonts w:hint="default" w:ascii="Times New Roman" w:hAnsi="Times New Roman" w:cs="Times New Roman"/>
          <w:color w:val="auto"/>
          <w:sz w:val="28"/>
          <w:szCs w:val="28"/>
          <w:highlight w:val="none"/>
          <w:lang w:eastAsia="zh-CN"/>
        </w:rPr>
        <w:t>明细</w:t>
      </w:r>
      <w:r>
        <w:rPr>
          <w:rFonts w:hint="default" w:ascii="Times New Roman" w:hAnsi="Times New Roman" w:cs="Times New Roman"/>
          <w:color w:val="auto"/>
          <w:sz w:val="28"/>
          <w:szCs w:val="28"/>
          <w:highlight w:val="none"/>
        </w:rPr>
        <w:t>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8</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九、一般公共预算财政拨款项目支出决算表</w:t>
      </w:r>
      <w:r>
        <w:rPr>
          <w:rFonts w:hint="default" w:ascii="Times New Roman" w:hAnsi="Times New Roman" w:cs="Times New Roman"/>
          <w:color w:val="auto"/>
          <w:sz w:val="28"/>
          <w:szCs w:val="28"/>
          <w:highlight w:val="none"/>
          <w:lang w:val="en-US" w:eastAsia="zh-CN"/>
        </w:rPr>
        <w:t>........................................3</w:t>
      </w:r>
      <w:r>
        <w:rPr>
          <w:rFonts w:hint="eastAsia" w:ascii="Times New Roman" w:hAnsi="Times New Roman" w:cs="Times New Roman"/>
          <w:color w:val="auto"/>
          <w:sz w:val="28"/>
          <w:szCs w:val="28"/>
          <w:highlight w:val="none"/>
          <w:lang w:val="en-US" w:eastAsia="zh-CN"/>
        </w:rPr>
        <w:t>9</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十、政府性基金预算财政拨款收入支出决算表</w:t>
      </w:r>
      <w:r>
        <w:rPr>
          <w:rFonts w:hint="default" w:ascii="Times New Roman" w:hAnsi="Times New Roman" w:cs="Times New Roman"/>
          <w:color w:val="auto"/>
          <w:sz w:val="28"/>
          <w:szCs w:val="28"/>
          <w:highlight w:val="none"/>
          <w:lang w:val="en-US" w:eastAsia="zh-CN"/>
        </w:rPr>
        <w:t>....................................</w:t>
      </w:r>
      <w:r>
        <w:rPr>
          <w:rFonts w:hint="eastAsia" w:ascii="Times New Roman" w:hAnsi="Times New Roman" w:cs="Times New Roman"/>
          <w:color w:val="auto"/>
          <w:sz w:val="28"/>
          <w:szCs w:val="28"/>
          <w:highlight w:val="none"/>
          <w:lang w:val="en-US" w:eastAsia="zh-CN"/>
        </w:rPr>
        <w:t>40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十一、国有资本经营预算财政拨款收入支出决算表</w:t>
      </w:r>
      <w:r>
        <w:rPr>
          <w:rFonts w:hint="default" w:ascii="Times New Roman" w:hAnsi="Times New Roman" w:cs="Times New Roman"/>
          <w:color w:val="auto"/>
          <w:sz w:val="28"/>
          <w:szCs w:val="28"/>
          <w:highlight w:val="none"/>
          <w:lang w:val="en-US" w:eastAsia="zh-CN"/>
        </w:rPr>
        <w:t>............................4</w:t>
      </w:r>
      <w:r>
        <w:rPr>
          <w:rFonts w:hint="eastAsia" w:ascii="Times New Roman" w:hAnsi="Times New Roman" w:cs="Times New Roman"/>
          <w:color w:val="auto"/>
          <w:sz w:val="28"/>
          <w:szCs w:val="28"/>
          <w:highlight w:val="none"/>
          <w:lang w:val="en-US" w:eastAsia="zh-CN"/>
        </w:rPr>
        <w:t>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highlight w:val="none"/>
        </w:rPr>
        <w:t>十二、</w:t>
      </w:r>
      <w:r>
        <w:rPr>
          <w:rFonts w:hint="default" w:ascii="Times New Roman" w:hAnsi="Times New Roman" w:cs="Times New Roman"/>
          <w:color w:val="auto"/>
          <w:sz w:val="28"/>
          <w:szCs w:val="28"/>
          <w:highlight w:val="none"/>
          <w:lang w:val="en-US" w:eastAsia="zh-CN"/>
        </w:rPr>
        <w:t>国有资本经营预算财政拨款支出决算表....................................4</w:t>
      </w:r>
      <w:r>
        <w:rPr>
          <w:rFonts w:hint="eastAsia" w:ascii="Times New Roman" w:hAnsi="Times New Roman" w:cs="Times New Roman"/>
          <w:color w:val="auto"/>
          <w:sz w:val="28"/>
          <w:szCs w:val="28"/>
          <w:highlight w:val="none"/>
          <w:lang w:val="en-US" w:eastAsia="zh-CN"/>
        </w:rPr>
        <w:t>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十三、财政拨款“三公”经费支出决算表</w:t>
      </w:r>
      <w:r>
        <w:rPr>
          <w:rFonts w:hint="default" w:ascii="Times New Roman" w:hAnsi="Times New Roman" w:cs="Times New Roman"/>
          <w:color w:val="auto"/>
          <w:sz w:val="28"/>
          <w:szCs w:val="28"/>
          <w:highlight w:val="none"/>
          <w:lang w:val="en-US" w:eastAsia="zh-CN"/>
        </w:rPr>
        <w:t>.................................................4</w:t>
      </w:r>
      <w:r>
        <w:rPr>
          <w:rFonts w:hint="eastAsia" w:ascii="Times New Roman" w:hAnsi="Times New Roman" w:cs="Times New Roman"/>
          <w:color w:val="auto"/>
          <w:sz w:val="28"/>
          <w:szCs w:val="28"/>
          <w:highlight w:val="none"/>
          <w:lang w:val="en-US" w:eastAsia="zh-CN"/>
        </w:rPr>
        <w:t>3</w:t>
      </w:r>
    </w:p>
    <w:p>
      <w:pPr>
        <w:pStyle w:val="2"/>
        <w:pageBreakBefore w:val="0"/>
        <w:widowControl w:val="0"/>
        <w:kinsoku/>
        <w:wordWrap/>
        <w:overflowPunct/>
        <w:topLinePunct w:val="0"/>
        <w:autoSpaceDE/>
        <w:autoSpaceDN/>
        <w:bidi w:val="0"/>
        <w:spacing w:after="0" w:line="576" w:lineRule="exact"/>
        <w:ind w:left="0" w:leftChars="0"/>
        <w:jc w:val="center"/>
        <w:textAlignment w:val="auto"/>
        <w:rPr>
          <w:rFonts w:hint="default" w:ascii="Times New Roman" w:hAnsi="Times New Roman" w:eastAsia="黑体" w:cs="Times New Roman"/>
          <w:b w:val="0"/>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bookmarkStart w:id="12" w:name="_Toc15377196"/>
      <w:bookmarkStart w:id="13" w:name="_Toc15396599"/>
    </w:p>
    <w:p>
      <w:pPr>
        <w:pStyle w:val="2"/>
        <w:jc w:val="center"/>
        <w:rPr>
          <w:rStyle w:val="22"/>
          <w:rFonts w:hint="default" w:ascii="Times New Roman" w:hAnsi="Times New Roman" w:eastAsia="黑体" w:cs="Times New Roman"/>
          <w:b/>
          <w:bCs w:val="0"/>
          <w:color w:val="auto"/>
          <w:highlight w:val="none"/>
        </w:rPr>
      </w:pPr>
      <w:r>
        <w:rPr>
          <w:rFonts w:hint="default" w:ascii="Times New Roman" w:hAnsi="Times New Roman" w:eastAsia="黑体" w:cs="Times New Roman"/>
          <w:b w:val="0"/>
          <w:color w:val="auto"/>
          <w:highlight w:val="none"/>
        </w:rPr>
        <w:t xml:space="preserve">第一部分 </w:t>
      </w:r>
      <w:r>
        <w:rPr>
          <w:rFonts w:hint="default" w:ascii="Times New Roman" w:hAnsi="Times New Roman" w:eastAsia="黑体" w:cs="Times New Roman"/>
          <w:b w:val="0"/>
          <w:color w:val="auto"/>
          <w:highlight w:val="none"/>
          <w:lang w:eastAsia="zh-CN"/>
        </w:rPr>
        <w:t>单位</w:t>
      </w:r>
      <w:r>
        <w:rPr>
          <w:rStyle w:val="22"/>
          <w:rFonts w:hint="default" w:ascii="Times New Roman" w:hAnsi="Times New Roman" w:eastAsia="黑体" w:cs="Times New Roman"/>
          <w:b w:val="0"/>
          <w:bCs w:val="0"/>
          <w:color w:val="auto"/>
          <w:highlight w:val="none"/>
        </w:rPr>
        <w:t>概况</w:t>
      </w:r>
      <w:bookmarkEnd w:id="12"/>
      <w:bookmarkEnd w:id="13"/>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Style w:val="23"/>
          <w:rFonts w:hint="default" w:ascii="Times New Roman" w:hAnsi="Times New Roman" w:eastAsia="方正黑体_GBK" w:cs="Times New Roman"/>
          <w:b w:val="0"/>
          <w:bCs w:val="0"/>
          <w:color w:val="auto"/>
          <w:highlight w:val="none"/>
          <w:lang w:eastAsia="zh-CN"/>
        </w:rPr>
      </w:pPr>
      <w:bookmarkStart w:id="14" w:name="_Toc15377197"/>
      <w:bookmarkStart w:id="15" w:name="_Toc15396600"/>
      <w:r>
        <w:rPr>
          <w:rStyle w:val="23"/>
          <w:rFonts w:hint="default" w:ascii="Times New Roman" w:hAnsi="Times New Roman" w:eastAsia="方正黑体_GBK" w:cs="Times New Roman"/>
          <w:b w:val="0"/>
          <w:bCs w:val="0"/>
          <w:color w:val="auto"/>
          <w:highlight w:val="none"/>
          <w:lang w:eastAsia="zh-CN"/>
        </w:rPr>
        <w:t>一、主要职责</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（一）负责对全州政治建设、经济建设、文化建设、社会建设、生态文明建设和党的建设中战略性、全局性、政策性、综合性重大问题，开展前瞻性、深层次调查研究，为州委决策提供依据和参考。</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（二）负责组织或参与州委有关重要政策、重要文件、重要部署、重要讲话等重要文稿的调研起草或修改；组织对有关重大政策制定和实施进行咨询、论证、评估。</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（三）负责调查研究全州经济社会发展战略和形势态势，为州委决策提出基本思路、工作部署和政策性建议；负责全州国民经济和社会发展中长期规划建议的研究和制定。</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（四）负责组织开展州委重大战略实施、重大决策落实情况的跟踪调研，实事求是研究分析新情况、新问题，及时总结典型经验，合理提出建议意见。</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（五）负责组织实施州委重大调研活动，参与州委主要领导调研活动，完成州委重要专题、重大课题的联合调研和专题调研；指导全州党委系统政策研究部门的调查研究工作。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（六）负责分析研究州内外改革发展稳定形势及政策，搜集整理重要参考资料和研究成果，编报重要信息和动态，交流调研成果和工作经验，开展决策咨询服务。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负责处理州委全面深化改革委员会日常工作，统筹协调改革专项小组工作，指导县（市）党委改革推进工作；对接落实中央、省委改革方案，谋划自主创新改革举措，组织推动重大改革试点，开展重大改革事项政策研究。</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（八）负责筹备州委全面深化改革委员会会议，研究处理重要改革事项及相关请示；督促落实州委深改委会议决定事项，组织开展改革督察和目标考核工作。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（九）承担阿坝州新型智库建设推进工作。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（十）完成州委交办的其他任务。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Style w:val="23"/>
          <w:rFonts w:hint="eastAsia" w:ascii="方正黑体_GBK" w:hAnsi="方正黑体_GBK" w:eastAsia="方正黑体_GBK" w:cs="方正黑体_GBK"/>
          <w:b w:val="0"/>
          <w:bCs w:val="0"/>
          <w:color w:val="auto"/>
          <w:highlight w:val="none"/>
          <w:lang w:val="en-US" w:eastAsia="zh-CN"/>
        </w:rPr>
      </w:pPr>
      <w:r>
        <w:rPr>
          <w:rStyle w:val="23"/>
          <w:rFonts w:hint="eastAsia" w:ascii="方正黑体_GBK" w:hAnsi="方正黑体_GBK" w:eastAsia="方正黑体_GBK" w:cs="方正黑体_GBK"/>
          <w:b w:val="0"/>
          <w:bCs w:val="0"/>
          <w:color w:val="auto"/>
          <w:highlight w:val="none"/>
          <w:lang w:val="en-US" w:eastAsia="zh-CN"/>
        </w:rPr>
        <w:t>二、机构设置</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2"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楷体_GBK" w:cs="Times New Roman"/>
          <w:b/>
          <w:bCs/>
          <w:sz w:val="32"/>
          <w:szCs w:val="32"/>
          <w:lang w:eastAsia="zh-CN"/>
        </w:rPr>
        <w:t>（一）</w:t>
      </w:r>
      <w:r>
        <w:rPr>
          <w:rFonts w:hint="default" w:ascii="Times New Roman" w:hAnsi="Times New Roman" w:eastAsia="方正楷体_GBK" w:cs="Times New Roman"/>
          <w:b/>
          <w:bCs/>
          <w:sz w:val="32"/>
          <w:szCs w:val="32"/>
        </w:rPr>
        <w:t>本部门机构</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本部门</w:t>
      </w:r>
      <w:r>
        <w:rPr>
          <w:rFonts w:hint="default" w:ascii="Times New Roman" w:hAnsi="Times New Roman" w:eastAsia="方正仿宋_GBK" w:cs="Times New Roman"/>
          <w:sz w:val="32"/>
          <w:szCs w:val="32"/>
          <w:lang w:val="en-US" w:eastAsia="zh-CN"/>
        </w:rPr>
        <w:t>属一级预算单位，</w:t>
      </w:r>
      <w:r>
        <w:rPr>
          <w:rFonts w:hint="default" w:ascii="Times New Roman" w:hAnsi="Times New Roman" w:eastAsia="方正仿宋_GBK" w:cs="Times New Roman"/>
          <w:sz w:val="32"/>
          <w:szCs w:val="32"/>
        </w:rPr>
        <w:t>下属二级预算单位0个，内设科室</w:t>
      </w:r>
      <w:r>
        <w:rPr>
          <w:rFonts w:hint="default" w:ascii="Times New Roman" w:hAnsi="Times New Roman" w:eastAsia="方正仿宋_GBK" w:cs="Times New Roman"/>
          <w:sz w:val="32"/>
          <w:szCs w:val="32"/>
          <w:lang w:eastAsia="zh-CN"/>
        </w:rPr>
        <w:t>综合科、改革协调科、</w:t>
      </w:r>
      <w:r>
        <w:rPr>
          <w:rFonts w:hint="default" w:ascii="Times New Roman" w:hAnsi="Times New Roman" w:eastAsia="方正仿宋_GBK" w:cs="Times New Roman"/>
          <w:sz w:val="32"/>
          <w:szCs w:val="32"/>
          <w:lang w:val="en-US" w:eastAsia="zh-CN"/>
        </w:rPr>
        <w:t>调研一科、调研二科4</w:t>
      </w:r>
      <w:r>
        <w:rPr>
          <w:rFonts w:hint="default" w:ascii="Times New Roman" w:hAnsi="Times New Roman" w:eastAsia="方正仿宋_GBK" w:cs="Times New Roman"/>
          <w:sz w:val="32"/>
          <w:szCs w:val="32"/>
        </w:rPr>
        <w:t>个</w:t>
      </w:r>
      <w:r>
        <w:rPr>
          <w:rFonts w:hint="default" w:ascii="Times New Roman" w:hAnsi="Times New Roman" w:eastAsia="方正仿宋_GBK" w:cs="Times New Roman"/>
          <w:sz w:val="32"/>
          <w:szCs w:val="32"/>
          <w:lang w:val="en-US" w:eastAsia="zh-CN"/>
        </w:rPr>
        <w:t>行政科室，1个事业单位阿坝州改革研究中心</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2" w:firstLineChars="200"/>
        <w:textAlignment w:val="auto"/>
        <w:rPr>
          <w:rFonts w:hint="eastAsia" w:ascii="方正楷体_GBK" w:hAnsi="方正楷体_GBK" w:eastAsia="方正楷体_GBK" w:cs="方正楷体_GBK"/>
          <w:b/>
          <w:sz w:val="32"/>
          <w:szCs w:val="32"/>
        </w:rPr>
      </w:pPr>
      <w:r>
        <w:rPr>
          <w:rFonts w:hint="eastAsia" w:ascii="方正楷体_GBK" w:hAnsi="方正楷体_GBK" w:eastAsia="方正楷体_GBK" w:cs="方正楷体_GBK"/>
          <w:b/>
          <w:sz w:val="32"/>
          <w:szCs w:val="32"/>
          <w:lang w:eastAsia="zh-CN"/>
        </w:rPr>
        <w:t>（二）</w:t>
      </w:r>
      <w:r>
        <w:rPr>
          <w:rFonts w:hint="eastAsia" w:ascii="方正楷体_GBK" w:hAnsi="方正楷体_GBK" w:eastAsia="方正楷体_GBK" w:cs="方正楷体_GBK"/>
          <w:b/>
          <w:sz w:val="32"/>
          <w:szCs w:val="32"/>
        </w:rPr>
        <w:t>人员情况</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总编制</w:t>
      </w:r>
      <w:r>
        <w:rPr>
          <w:rFonts w:hint="default" w:ascii="Times New Roman" w:hAnsi="Times New Roman" w:eastAsia="方正仿宋_GBK" w:cs="Times New Roman"/>
          <w:sz w:val="32"/>
          <w:szCs w:val="32"/>
          <w:lang w:val="en-US" w:eastAsia="zh-CN"/>
        </w:rPr>
        <w:t>19</w:t>
      </w:r>
      <w:r>
        <w:rPr>
          <w:rFonts w:hint="default" w:ascii="Times New Roman" w:hAnsi="Times New Roman" w:eastAsia="方正仿宋_GBK" w:cs="Times New Roman"/>
          <w:sz w:val="32"/>
          <w:szCs w:val="32"/>
        </w:rPr>
        <w:t>名，其中：行政编制1</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名，行政工勤编制2名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事业编制4名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2024年末</w:t>
      </w:r>
      <w:r>
        <w:rPr>
          <w:rFonts w:hint="default" w:ascii="Times New Roman" w:hAnsi="Times New Roman" w:eastAsia="方正仿宋_GBK" w:cs="Times New Roman"/>
          <w:sz w:val="32"/>
          <w:szCs w:val="32"/>
        </w:rPr>
        <w:t>在职人员总数</w:t>
      </w:r>
      <w:r>
        <w:rPr>
          <w:rFonts w:hint="default"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rPr>
        <w:t>名，其中：公务员</w:t>
      </w:r>
      <w:r>
        <w:rPr>
          <w:rFonts w:hint="default"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名，</w:t>
      </w:r>
      <w:r>
        <w:rPr>
          <w:rFonts w:hint="default" w:ascii="Times New Roman" w:hAnsi="Times New Roman" w:eastAsia="方正仿宋_GBK" w:cs="Times New Roman"/>
          <w:sz w:val="32"/>
          <w:szCs w:val="32"/>
          <w:lang w:eastAsia="zh-CN"/>
        </w:rPr>
        <w:t>事业人员</w:t>
      </w:r>
      <w:r>
        <w:rPr>
          <w:rFonts w:hint="default" w:ascii="Times New Roman" w:hAnsi="Times New Roman" w:eastAsia="方正仿宋_GBK" w:cs="Times New Roman"/>
          <w:sz w:val="32"/>
          <w:szCs w:val="32"/>
          <w:lang w:val="en-US" w:eastAsia="zh-CN"/>
        </w:rPr>
        <w:t>0名，</w:t>
      </w:r>
      <w:r>
        <w:rPr>
          <w:rFonts w:hint="default" w:ascii="Times New Roman" w:hAnsi="Times New Roman" w:eastAsia="方正仿宋_GBK" w:cs="Times New Roman"/>
          <w:sz w:val="32"/>
          <w:szCs w:val="32"/>
        </w:rPr>
        <w:t>工勤人员2名；退休人员</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名。</w:t>
      </w:r>
    </w:p>
    <w:p>
      <w:pPr>
        <w:pStyle w:val="3"/>
        <w:ind w:firstLine="640" w:firstLineChars="200"/>
        <w:rPr>
          <w:rFonts w:hint="default" w:ascii="Times New Roman" w:hAnsi="Times New Roman" w:eastAsia="黑体" w:cs="Times New Roman"/>
          <w:b w:val="0"/>
          <w:color w:val="auto"/>
          <w:highlight w:val="none"/>
          <w:lang w:val="en-US" w:eastAsia="zh-CN"/>
        </w:rPr>
      </w:pPr>
    </w:p>
    <w:bookmarkEnd w:id="14"/>
    <w:bookmarkEnd w:id="15"/>
    <w:p>
      <w:pPr>
        <w:widowControl/>
        <w:jc w:val="left"/>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sz w:val="32"/>
          <w:szCs w:val="32"/>
          <w:highlight w:val="none"/>
        </w:rPr>
        <w:br w:type="page"/>
      </w:r>
    </w:p>
    <w:p>
      <w:pPr>
        <w:pStyle w:val="2"/>
        <w:ind w:right="440"/>
        <w:jc w:val="center"/>
        <w:rPr>
          <w:rStyle w:val="22"/>
          <w:rFonts w:hint="default" w:ascii="Times New Roman" w:hAnsi="Times New Roman" w:eastAsia="黑体" w:cs="Times New Roman"/>
          <w:b w:val="0"/>
          <w:bCs/>
          <w:color w:val="auto"/>
          <w:highlight w:val="none"/>
        </w:rPr>
      </w:pPr>
      <w:bookmarkStart w:id="16" w:name="_Toc15396602"/>
      <w:bookmarkStart w:id="17" w:name="_Toc15377204"/>
      <w:r>
        <w:rPr>
          <w:rFonts w:hint="default" w:ascii="Times New Roman" w:hAnsi="Times New Roman" w:eastAsia="黑体" w:cs="Times New Roman"/>
          <w:b w:val="0"/>
          <w:bCs/>
          <w:color w:val="auto"/>
          <w:highlight w:val="none"/>
        </w:rPr>
        <w:t xml:space="preserve">第二部分 </w:t>
      </w:r>
      <w:r>
        <w:rPr>
          <w:rFonts w:hint="default" w:ascii="Times New Roman" w:hAnsi="Times New Roman" w:eastAsia="黑体" w:cs="Times New Roman"/>
          <w:b w:val="0"/>
          <w:bCs/>
          <w:color w:val="auto"/>
          <w:highlight w:val="none"/>
          <w:lang w:val="en-US" w:eastAsia="zh-CN"/>
        </w:rPr>
        <w:t>2024年度</w:t>
      </w:r>
      <w:r>
        <w:rPr>
          <w:rStyle w:val="22"/>
          <w:rFonts w:hint="default" w:ascii="Times New Roman" w:hAnsi="Times New Roman" w:eastAsia="黑体" w:cs="Times New Roman"/>
          <w:b w:val="0"/>
          <w:bCs/>
          <w:color w:val="auto"/>
          <w:highlight w:val="none"/>
          <w:lang w:eastAsia="zh-CN"/>
        </w:rPr>
        <w:t>单位</w:t>
      </w:r>
      <w:r>
        <w:rPr>
          <w:rStyle w:val="22"/>
          <w:rFonts w:hint="default" w:ascii="Times New Roman" w:hAnsi="Times New Roman" w:eastAsia="黑体" w:cs="Times New Roman"/>
          <w:b w:val="0"/>
          <w:bCs/>
          <w:color w:val="auto"/>
          <w:highlight w:val="none"/>
        </w:rPr>
        <w:t>决算情况说明</w:t>
      </w:r>
      <w:bookmarkEnd w:id="16"/>
      <w:bookmarkEnd w:id="17"/>
    </w:p>
    <w:p>
      <w:pPr>
        <w:rPr>
          <w:rFonts w:hint="default" w:ascii="Times New Roman" w:hAnsi="Times New Roman" w:cs="Times New Roman"/>
          <w:color w:val="auto"/>
          <w:highlight w:val="none"/>
        </w:rPr>
      </w:pPr>
    </w:p>
    <w:p>
      <w:pPr>
        <w:pStyle w:val="28"/>
        <w:numPr>
          <w:ilvl w:val="0"/>
          <w:numId w:val="0"/>
        </w:numPr>
        <w:spacing w:line="600" w:lineRule="exact"/>
        <w:ind w:firstLine="640" w:firstLineChars="200"/>
        <w:outlineLvl w:val="1"/>
        <w:rPr>
          <w:rStyle w:val="23"/>
          <w:rFonts w:hint="default" w:ascii="Times New Roman" w:hAnsi="Times New Roman" w:eastAsia="黑体" w:cs="Times New Roman"/>
          <w:b w:val="0"/>
          <w:color w:val="auto"/>
          <w:highlight w:val="none"/>
        </w:rPr>
      </w:pPr>
      <w:bookmarkStart w:id="18" w:name="_Toc15396603"/>
      <w:bookmarkStart w:id="19" w:name="_Toc15377205"/>
      <w:r>
        <w:rPr>
          <w:rFonts w:hint="eastAsia" w:ascii="方正黑体_GBK" w:hAnsi="方正黑体_GBK" w:eastAsia="方正黑体_GBK" w:cs="方正黑体_GBK"/>
          <w:color w:val="auto"/>
          <w:sz w:val="32"/>
          <w:szCs w:val="32"/>
          <w:highlight w:val="none"/>
          <w:lang w:eastAsia="zh-CN"/>
        </w:rPr>
        <w:t>一、</w:t>
      </w:r>
      <w:r>
        <w:rPr>
          <w:rFonts w:hint="eastAsia" w:ascii="方正黑体_GBK" w:hAnsi="方正黑体_GBK" w:eastAsia="方正黑体_GBK" w:cs="方正黑体_GBK"/>
          <w:color w:val="auto"/>
          <w:sz w:val="32"/>
          <w:szCs w:val="32"/>
          <w:highlight w:val="none"/>
        </w:rPr>
        <w:t>收</w:t>
      </w:r>
      <w:r>
        <w:rPr>
          <w:rStyle w:val="23"/>
          <w:rFonts w:hint="eastAsia" w:ascii="方正黑体_GBK" w:hAnsi="方正黑体_GBK" w:eastAsia="方正黑体_GBK" w:cs="方正黑体_GBK"/>
          <w:b w:val="0"/>
          <w:color w:val="auto"/>
          <w:highlight w:val="none"/>
        </w:rPr>
        <w:t>入支出决算总体情况说明</w:t>
      </w:r>
      <w:bookmarkEnd w:id="18"/>
      <w:bookmarkEnd w:id="19"/>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2024年度收、支总计均为</w:t>
      </w:r>
      <w:r>
        <w:rPr>
          <w:rFonts w:hint="default" w:ascii="Times New Roman" w:hAnsi="Times New Roman" w:eastAsia="仿宋_GB2312" w:cs="Times New Roman"/>
          <w:sz w:val="32"/>
          <w:szCs w:val="32"/>
        </w:rPr>
        <w:t>496.46</w:t>
      </w:r>
      <w:r>
        <w:rPr>
          <w:rFonts w:hint="default" w:ascii="Times New Roman" w:hAnsi="Times New Roman" w:eastAsia="仿宋_GB2312" w:cs="Times New Roman"/>
          <w:sz w:val="32"/>
          <w:szCs w:val="32"/>
          <w:lang w:val="en-US" w:eastAsia="zh-CN"/>
        </w:rPr>
        <w:t>万元。</w:t>
      </w:r>
      <w:r>
        <w:rPr>
          <w:rFonts w:hint="default" w:ascii="Times New Roman" w:hAnsi="Times New Roman" w:eastAsia="方正仿宋_GBK" w:cs="Times New Roman"/>
          <w:sz w:val="32"/>
          <w:szCs w:val="32"/>
          <w:lang w:val="en-US" w:eastAsia="zh-CN"/>
        </w:rPr>
        <w:t>与2023年度相比，收、支总计各增加36.43万元，增长7.92%。</w:t>
      </w:r>
      <w:r>
        <w:rPr>
          <w:rFonts w:hint="default" w:ascii="Times New Roman" w:hAnsi="Times New Roman" w:eastAsia="方正仿宋_GBK" w:cs="Times New Roman"/>
          <w:b/>
          <w:bCs/>
          <w:sz w:val="32"/>
          <w:szCs w:val="32"/>
          <w:lang w:val="en-US" w:eastAsia="zh-CN"/>
        </w:rPr>
        <w:t>主要变动原因是：</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统一调整高海拔津贴；新进公务员1名；办公用房搬迁，水电费增加。</w:t>
      </w:r>
    </w:p>
    <w:p>
      <w:pPr>
        <w:spacing w:line="600" w:lineRule="exact"/>
        <w:ind w:firstLine="640" w:firstLineChars="200"/>
        <w:rPr>
          <w:rFonts w:hint="default" w:ascii="Times New Roman" w:hAnsi="Times New Roman" w:eastAsia="仿宋" w:cs="Times New Roman"/>
          <w:color w:val="auto"/>
          <w:sz w:val="32"/>
          <w:szCs w:val="32"/>
          <w:highlight w:val="none"/>
        </w:rPr>
      </w:pPr>
      <w:r>
        <w:rPr>
          <w:rStyle w:val="31"/>
          <w:rFonts w:hint="default" w:ascii="Times New Roman" w:hAnsi="Times New Roman" w:eastAsia="黑体" w:cs="Times New Roman"/>
          <w:b w:val="0"/>
        </w:rPr>
        <w:drawing>
          <wp:anchor distT="0" distB="0" distL="114300" distR="114300" simplePos="0" relativeHeight="251659264" behindDoc="0" locked="0" layoutInCell="1" allowOverlap="1">
            <wp:simplePos x="0" y="0"/>
            <wp:positionH relativeFrom="column">
              <wp:posOffset>572770</wp:posOffset>
            </wp:positionH>
            <wp:positionV relativeFrom="paragraph">
              <wp:posOffset>261620</wp:posOffset>
            </wp:positionV>
            <wp:extent cx="3929380" cy="2049780"/>
            <wp:effectExtent l="4445" t="4445" r="9525" b="2222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 w:cs="Times New Roman"/>
          <w:color w:val="auto"/>
          <w:sz w:val="32"/>
          <w:szCs w:val="32"/>
          <w:highlight w:val="none"/>
        </w:rPr>
        <w:t>（图1：收、支决算总计变动情况图）（柱状图）</w:t>
      </w:r>
    </w:p>
    <w:p>
      <w:pPr>
        <w:pStyle w:val="28"/>
        <w:numPr>
          <w:ilvl w:val="0"/>
          <w:numId w:val="0"/>
        </w:numPr>
        <w:spacing w:line="600" w:lineRule="exact"/>
        <w:ind w:left="640" w:leftChars="0"/>
        <w:outlineLvl w:val="1"/>
        <w:rPr>
          <w:rStyle w:val="23"/>
          <w:rFonts w:hint="eastAsia" w:ascii="方正黑体_GBK" w:hAnsi="方正黑体_GBK" w:eastAsia="方正黑体_GBK" w:cs="方正黑体_GBK"/>
          <w:b w:val="0"/>
          <w:color w:val="auto"/>
          <w:highlight w:val="none"/>
        </w:rPr>
      </w:pPr>
      <w:bookmarkStart w:id="20" w:name="_Toc15377206"/>
      <w:bookmarkStart w:id="21" w:name="_Toc15396604"/>
      <w:r>
        <w:rPr>
          <w:rFonts w:hint="eastAsia" w:ascii="方正黑体_GBK" w:hAnsi="方正黑体_GBK" w:eastAsia="方正黑体_GBK" w:cs="方正黑体_GBK"/>
          <w:color w:val="auto"/>
          <w:sz w:val="32"/>
          <w:szCs w:val="32"/>
          <w:highlight w:val="none"/>
          <w:lang w:eastAsia="zh-CN"/>
        </w:rPr>
        <w:t>二、</w:t>
      </w:r>
      <w:r>
        <w:rPr>
          <w:rFonts w:hint="eastAsia" w:ascii="方正黑体_GBK" w:hAnsi="方正黑体_GBK" w:eastAsia="方正黑体_GBK" w:cs="方正黑体_GBK"/>
          <w:color w:val="auto"/>
          <w:sz w:val="32"/>
          <w:szCs w:val="32"/>
          <w:highlight w:val="none"/>
        </w:rPr>
        <w:t>收</w:t>
      </w:r>
      <w:r>
        <w:rPr>
          <w:rStyle w:val="23"/>
          <w:rFonts w:hint="eastAsia" w:ascii="方正黑体_GBK" w:hAnsi="方正黑体_GBK" w:eastAsia="方正黑体_GBK" w:cs="方正黑体_GBK"/>
          <w:b w:val="0"/>
          <w:color w:val="auto"/>
          <w:highlight w:val="none"/>
        </w:rPr>
        <w:t>入决算情况说明</w:t>
      </w:r>
      <w:bookmarkEnd w:id="20"/>
      <w:bookmarkEnd w:id="21"/>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年本年收入合计</w:t>
      </w:r>
      <w:r>
        <w:rPr>
          <w:rFonts w:hint="default" w:ascii="Times New Roman" w:hAnsi="Times New Roman" w:eastAsia="方正仿宋_GBK" w:cs="Times New Roman"/>
          <w:color w:val="auto"/>
          <w:sz w:val="32"/>
          <w:szCs w:val="32"/>
          <w:highlight w:val="none"/>
          <w:lang w:val="en-US" w:eastAsia="zh-CN"/>
        </w:rPr>
        <w:t>496.46</w:t>
      </w:r>
      <w:r>
        <w:rPr>
          <w:rFonts w:hint="default" w:ascii="Times New Roman" w:hAnsi="Times New Roman" w:eastAsia="方正仿宋_GBK" w:cs="Times New Roman"/>
          <w:color w:val="auto"/>
          <w:sz w:val="32"/>
          <w:szCs w:val="32"/>
          <w:highlight w:val="none"/>
        </w:rPr>
        <w:t>万元，其中：一般公共预算财政拨款收入</w:t>
      </w:r>
      <w:r>
        <w:rPr>
          <w:rFonts w:hint="default" w:ascii="Times New Roman" w:hAnsi="Times New Roman" w:eastAsia="方正仿宋_GBK" w:cs="Times New Roman"/>
          <w:color w:val="auto"/>
          <w:sz w:val="32"/>
          <w:szCs w:val="32"/>
          <w:highlight w:val="none"/>
          <w:lang w:val="en-US" w:eastAsia="zh-CN"/>
        </w:rPr>
        <w:t>496.46</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%；政府性基金预算财政拨款收入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国有资本经营预算财政拨款收入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%；上级补助收入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%；事业收入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%；经营收入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%；附属单位上缴收入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%；其他收入</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仿宋" w:cs="Times New Roman"/>
          <w:b/>
          <w:color w:val="auto"/>
          <w:sz w:val="32"/>
          <w:szCs w:val="32"/>
          <w:highlight w:val="none"/>
        </w:rPr>
        <w:t>（注：数据来源于财决01表</w:t>
      </w:r>
      <w:r>
        <w:rPr>
          <w:rFonts w:hint="default" w:ascii="Times New Roman" w:hAnsi="Times New Roman" w:eastAsia="仿宋" w:cs="Times New Roman"/>
          <w:b/>
          <w:color w:val="auto"/>
          <w:sz w:val="32"/>
          <w:szCs w:val="32"/>
          <w:highlight w:val="none"/>
          <w:lang w:eastAsia="zh-CN"/>
        </w:rPr>
        <w:t>，仅罗列本单位涉及的收入。</w:t>
      </w:r>
      <w:r>
        <w:rPr>
          <w:rFonts w:hint="default" w:ascii="Times New Roman" w:hAnsi="Times New Roman" w:eastAsia="仿宋" w:cs="Times New Roman"/>
          <w:b/>
          <w:color w:val="auto"/>
          <w:sz w:val="32"/>
          <w:szCs w:val="32"/>
          <w:highlight w:val="none"/>
        </w:rPr>
        <w:t>）</w:t>
      </w:r>
    </w:p>
    <w:p>
      <w:pPr>
        <w:spacing w:line="600" w:lineRule="exact"/>
        <w:ind w:firstLine="642"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b/>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333375</wp:posOffset>
            </wp:positionH>
            <wp:positionV relativeFrom="paragraph">
              <wp:posOffset>280670</wp:posOffset>
            </wp:positionV>
            <wp:extent cx="4916805" cy="3347720"/>
            <wp:effectExtent l="4445" t="4445" r="12700" b="1968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default" w:ascii="Times New Roman" w:hAnsi="Times New Roman" w:eastAsia="仿宋" w:cs="Times New Roman"/>
          <w:color w:val="auto"/>
          <w:sz w:val="32"/>
          <w:szCs w:val="32"/>
          <w:highlight w:val="none"/>
        </w:rPr>
        <w:t>（图2：收入决算结构图）（饼状图）</w:t>
      </w:r>
    </w:p>
    <w:p>
      <w:pPr>
        <w:pStyle w:val="28"/>
        <w:numPr>
          <w:ilvl w:val="0"/>
          <w:numId w:val="0"/>
        </w:numPr>
        <w:spacing w:line="600" w:lineRule="exact"/>
        <w:ind w:firstLine="640" w:firstLineChars="200"/>
        <w:outlineLvl w:val="1"/>
        <w:rPr>
          <w:rFonts w:hint="default" w:ascii="Times New Roman" w:hAnsi="Times New Roman" w:eastAsia="黑体" w:cs="Times New Roman"/>
          <w:color w:val="auto"/>
          <w:sz w:val="32"/>
          <w:szCs w:val="32"/>
          <w:highlight w:val="none"/>
          <w:lang w:eastAsia="zh-CN"/>
        </w:rPr>
      </w:pPr>
      <w:bookmarkStart w:id="22" w:name="_Toc15377207"/>
      <w:bookmarkStart w:id="23" w:name="_Toc15396605"/>
    </w:p>
    <w:p>
      <w:pPr>
        <w:pStyle w:val="28"/>
        <w:numPr>
          <w:ilvl w:val="0"/>
          <w:numId w:val="0"/>
        </w:numPr>
        <w:spacing w:line="600" w:lineRule="exact"/>
        <w:ind w:firstLine="640" w:firstLineChars="200"/>
        <w:outlineLvl w:val="1"/>
        <w:rPr>
          <w:rStyle w:val="23"/>
          <w:rFonts w:hint="eastAsia" w:ascii="方正黑体_GBK" w:hAnsi="方正黑体_GBK" w:eastAsia="方正黑体_GBK" w:cs="方正黑体_GBK"/>
          <w:b w:val="0"/>
          <w:color w:val="auto"/>
          <w:highlight w:val="none"/>
        </w:rPr>
      </w:pPr>
      <w:r>
        <w:rPr>
          <w:rFonts w:hint="eastAsia" w:ascii="方正黑体_GBK" w:hAnsi="方正黑体_GBK" w:eastAsia="方正黑体_GBK" w:cs="方正黑体_GBK"/>
          <w:color w:val="auto"/>
          <w:sz w:val="32"/>
          <w:szCs w:val="32"/>
          <w:highlight w:val="none"/>
          <w:lang w:eastAsia="zh-CN"/>
        </w:rPr>
        <w:t>三、</w:t>
      </w:r>
      <w:r>
        <w:rPr>
          <w:rFonts w:hint="eastAsia" w:ascii="方正黑体_GBK" w:hAnsi="方正黑体_GBK" w:eastAsia="方正黑体_GBK" w:cs="方正黑体_GBK"/>
          <w:color w:val="auto"/>
          <w:sz w:val="32"/>
          <w:szCs w:val="32"/>
          <w:highlight w:val="none"/>
        </w:rPr>
        <w:t>支</w:t>
      </w:r>
      <w:r>
        <w:rPr>
          <w:rStyle w:val="23"/>
          <w:rFonts w:hint="eastAsia" w:ascii="方正黑体_GBK" w:hAnsi="方正黑体_GBK" w:eastAsia="方正黑体_GBK" w:cs="方正黑体_GBK"/>
          <w:b w:val="0"/>
          <w:color w:val="auto"/>
          <w:highlight w:val="none"/>
        </w:rPr>
        <w:t>出决算情况说明</w:t>
      </w:r>
      <w:bookmarkEnd w:id="22"/>
      <w:bookmarkEnd w:id="23"/>
    </w:p>
    <w:p>
      <w:pPr>
        <w:spacing w:line="600" w:lineRule="exact"/>
        <w:ind w:firstLine="640" w:firstLineChars="200"/>
        <w:outlineLvl w:val="1"/>
        <w:rPr>
          <w:rFonts w:hint="default" w:ascii="Times New Roman" w:hAnsi="Times New Roman" w:eastAsia="仿宋"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lang w:eastAsia="zh-CN"/>
        </w:rPr>
        <w:t>2024年度本年支出合计</w:t>
      </w:r>
      <w:r>
        <w:rPr>
          <w:rFonts w:hint="default" w:ascii="Times New Roman" w:hAnsi="Times New Roman" w:eastAsia="方正仿宋_GBK" w:cs="Times New Roman"/>
          <w:color w:val="auto"/>
          <w:sz w:val="32"/>
          <w:szCs w:val="32"/>
          <w:highlight w:val="none"/>
        </w:rPr>
        <w:t>496.46</w:t>
      </w:r>
      <w:r>
        <w:rPr>
          <w:rFonts w:hint="default" w:ascii="Times New Roman" w:hAnsi="Times New Roman" w:eastAsia="方正仿宋_GBK" w:cs="Times New Roman"/>
          <w:color w:val="auto"/>
          <w:sz w:val="32"/>
          <w:szCs w:val="32"/>
          <w:highlight w:val="none"/>
          <w:lang w:eastAsia="zh-CN"/>
        </w:rPr>
        <w:t>万元，其中：基本支出</w:t>
      </w:r>
      <w:r>
        <w:rPr>
          <w:rFonts w:hint="default" w:ascii="Times New Roman" w:hAnsi="Times New Roman" w:eastAsia="方正仿宋_GBK" w:cs="Times New Roman"/>
          <w:color w:val="auto"/>
          <w:sz w:val="32"/>
          <w:szCs w:val="32"/>
          <w:highlight w:val="none"/>
        </w:rPr>
        <w:t>419.48</w:t>
      </w:r>
      <w:r>
        <w:rPr>
          <w:rFonts w:hint="default" w:ascii="Times New Roman" w:hAnsi="Times New Roman" w:eastAsia="方正仿宋_GBK" w:cs="Times New Roman"/>
          <w:color w:val="auto"/>
          <w:sz w:val="32"/>
          <w:szCs w:val="32"/>
          <w:highlight w:val="none"/>
          <w:lang w:eastAsia="zh-CN"/>
        </w:rPr>
        <w:t>万元，占</w:t>
      </w:r>
      <w:r>
        <w:rPr>
          <w:rFonts w:hint="default" w:ascii="Times New Roman" w:hAnsi="Times New Roman" w:eastAsia="方正仿宋_GBK" w:cs="Times New Roman"/>
          <w:color w:val="auto"/>
          <w:sz w:val="32"/>
          <w:szCs w:val="32"/>
          <w:highlight w:val="none"/>
        </w:rPr>
        <w:t>84.49</w:t>
      </w:r>
      <w:r>
        <w:rPr>
          <w:rFonts w:hint="default" w:ascii="Times New Roman" w:hAnsi="Times New Roman" w:eastAsia="方正仿宋_GBK" w:cs="Times New Roman"/>
          <w:color w:val="auto"/>
          <w:sz w:val="32"/>
          <w:szCs w:val="32"/>
          <w:highlight w:val="none"/>
          <w:lang w:eastAsia="zh-CN"/>
        </w:rPr>
        <w:t>%；项目支出</w:t>
      </w:r>
      <w:r>
        <w:rPr>
          <w:rFonts w:hint="default" w:ascii="Times New Roman" w:hAnsi="Times New Roman" w:eastAsia="方正仿宋_GBK" w:cs="Times New Roman"/>
          <w:color w:val="auto"/>
          <w:sz w:val="32"/>
          <w:szCs w:val="32"/>
          <w:highlight w:val="none"/>
        </w:rPr>
        <w:t>76.99</w:t>
      </w:r>
      <w:r>
        <w:rPr>
          <w:rFonts w:hint="default" w:ascii="Times New Roman" w:hAnsi="Times New Roman" w:eastAsia="方正仿宋_GBK" w:cs="Times New Roman"/>
          <w:color w:val="auto"/>
          <w:sz w:val="32"/>
          <w:szCs w:val="32"/>
          <w:highlight w:val="none"/>
          <w:lang w:eastAsia="zh-CN"/>
        </w:rPr>
        <w:t>万元，占</w:t>
      </w:r>
      <w:r>
        <w:rPr>
          <w:rFonts w:hint="default" w:ascii="Times New Roman" w:hAnsi="Times New Roman" w:eastAsia="方正仿宋_GBK" w:cs="Times New Roman"/>
          <w:color w:val="auto"/>
          <w:sz w:val="32"/>
          <w:szCs w:val="32"/>
          <w:highlight w:val="none"/>
        </w:rPr>
        <w:t>15.5</w:t>
      </w:r>
      <w:r>
        <w:rPr>
          <w:rFonts w:hint="default" w:ascii="Times New Roman" w:hAnsi="Times New Roman" w:eastAsia="方正仿宋_GBK" w:cs="Times New Roman"/>
          <w:color w:val="auto"/>
          <w:sz w:val="32"/>
          <w:szCs w:val="32"/>
          <w:highlight w:val="none"/>
          <w:lang w:eastAsia="zh-CN"/>
        </w:rPr>
        <w:t>%；上缴上级支出</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万元，占</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%；经营支出</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万元，占</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%；对附属单位补助支出</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万元，占</w:t>
      </w:r>
      <w:r>
        <w:rPr>
          <w:rFonts w:hint="default" w:ascii="Times New Roman" w:hAnsi="Times New Roman" w:eastAsia="方正仿宋_GBK" w:cs="Times New Roman"/>
          <w:color w:val="auto"/>
          <w:sz w:val="32"/>
          <w:szCs w:val="32"/>
          <w:highlight w:val="none"/>
        </w:rPr>
        <w:t>0%</w:t>
      </w:r>
      <w:r>
        <w:rPr>
          <w:rFonts w:hint="default" w:ascii="Times New Roman" w:hAnsi="Times New Roman" w:eastAsia="方正仿宋_GBK" w:cs="Times New Roman"/>
          <w:color w:val="auto"/>
          <w:sz w:val="32"/>
          <w:szCs w:val="32"/>
          <w:highlight w:val="none"/>
          <w:lang w:eastAsia="zh-CN"/>
        </w:rPr>
        <w:t>%。</w:t>
      </w:r>
    </w:p>
    <w:p>
      <w:pPr>
        <w:spacing w:line="600" w:lineRule="exact"/>
        <w:outlineLvl w:val="1"/>
        <w:rPr>
          <w:rFonts w:hint="default" w:ascii="Times New Roman" w:hAnsi="Times New Roman" w:eastAsia="仿宋" w:cs="Times New Roman"/>
          <w:b/>
          <w:color w:val="auto"/>
          <w:sz w:val="32"/>
          <w:szCs w:val="32"/>
          <w:highlight w:val="none"/>
        </w:rPr>
      </w:pPr>
    </w:p>
    <w:p>
      <w:pPr>
        <w:spacing w:line="600" w:lineRule="exact"/>
        <w:outlineLvl w:val="1"/>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w:t>
      </w:r>
      <w:r>
        <w:rPr>
          <w:rFonts w:hint="default" w:ascii="Times New Roman" w:hAnsi="Times New Roman" w:eastAsia="仿宋" w:cs="Times New Roman"/>
          <w:b/>
          <w:color w:val="auto"/>
          <w:sz w:val="32"/>
          <w:szCs w:val="32"/>
          <w:highlight w:val="none"/>
          <w:lang w:val="en-US" w:eastAsia="zh-CN"/>
        </w:rPr>
        <w:t>4</w:t>
      </w:r>
      <w:r>
        <w:rPr>
          <w:rFonts w:hint="default" w:ascii="Times New Roman" w:hAnsi="Times New Roman" w:eastAsia="仿宋" w:cs="Times New Roman"/>
          <w:b/>
          <w:color w:val="auto"/>
          <w:sz w:val="32"/>
          <w:szCs w:val="32"/>
          <w:highlight w:val="none"/>
        </w:rPr>
        <w:t>表</w:t>
      </w:r>
      <w:r>
        <w:rPr>
          <w:rFonts w:hint="default" w:ascii="Times New Roman" w:hAnsi="Times New Roman" w:eastAsia="仿宋" w:cs="Times New Roman"/>
          <w:b/>
          <w:color w:val="auto"/>
          <w:sz w:val="32"/>
          <w:szCs w:val="32"/>
          <w:highlight w:val="none"/>
          <w:lang w:eastAsia="zh-CN"/>
        </w:rPr>
        <w:t>，仅罗列本单位涉及的支出。</w:t>
      </w:r>
      <w:r>
        <w:rPr>
          <w:rFonts w:hint="default" w:ascii="Times New Roman" w:hAnsi="Times New Roman" w:eastAsia="仿宋" w:cs="Times New Roman"/>
          <w:b/>
          <w:color w:val="auto"/>
          <w:sz w:val="32"/>
          <w:szCs w:val="32"/>
          <w:highlight w:val="none"/>
        </w:rPr>
        <w:t>）</w:t>
      </w:r>
    </w:p>
    <w:p>
      <w:pPr>
        <w:spacing w:line="600" w:lineRule="exact"/>
        <w:ind w:firstLine="640" w:firstLineChars="200"/>
        <w:outlineLvl w:val="1"/>
        <w:rPr>
          <w:rFonts w:hint="default" w:ascii="Times New Roman" w:hAnsi="Times New Roman" w:eastAsia="仿宋" w:cs="Times New Roman"/>
          <w:color w:val="auto"/>
          <w:sz w:val="32"/>
          <w:szCs w:val="32"/>
          <w:highlight w:val="none"/>
        </w:rPr>
      </w:pPr>
    </w:p>
    <w:p>
      <w:pPr>
        <w:spacing w:line="600" w:lineRule="exact"/>
        <w:ind w:firstLine="640" w:firstLineChars="200"/>
        <w:outlineLvl w:val="1"/>
        <w:rPr>
          <w:rFonts w:hint="default" w:ascii="Times New Roman" w:hAnsi="Times New Roman" w:eastAsia="仿宋" w:cs="Times New Roman"/>
          <w:color w:val="auto"/>
          <w:sz w:val="32"/>
          <w:szCs w:val="32"/>
          <w:highlight w:val="none"/>
        </w:rPr>
      </w:pPr>
    </w:p>
    <w:p>
      <w:pPr>
        <w:spacing w:line="600" w:lineRule="exact"/>
        <w:ind w:firstLine="640" w:firstLineChars="200"/>
        <w:outlineLvl w:val="1"/>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（图3：支出决算结构图）（饼状图）</w:t>
      </w:r>
    </w:p>
    <w:p>
      <w:pPr>
        <w:spacing w:line="600" w:lineRule="exact"/>
        <w:ind w:firstLine="640" w:firstLineChars="200"/>
        <w:outlineLvl w:val="1"/>
        <w:rPr>
          <w:rFonts w:hint="default" w:ascii="Times New Roman" w:hAnsi="Times New Roman" w:eastAsia="黑体" w:cs="Times New Roman"/>
          <w:color w:val="auto"/>
          <w:sz w:val="32"/>
          <w:szCs w:val="32"/>
          <w:highlight w:val="none"/>
        </w:rPr>
      </w:pPr>
      <w:bookmarkStart w:id="24" w:name="_Toc15377208"/>
      <w:bookmarkStart w:id="25" w:name="_Toc15396606"/>
    </w:p>
    <w:p>
      <w:pPr>
        <w:spacing w:line="600" w:lineRule="exact"/>
        <w:ind w:firstLine="640" w:firstLineChars="200"/>
        <w:outlineLvl w:val="1"/>
        <w:rPr>
          <w:rFonts w:hint="default" w:ascii="Times New Roman" w:hAnsi="Times New Roman" w:eastAsia="黑体" w:cs="Times New Roman"/>
          <w:color w:val="auto"/>
          <w:sz w:val="32"/>
          <w:szCs w:val="32"/>
          <w:highlight w:val="none"/>
        </w:rPr>
      </w:pPr>
    </w:p>
    <w:p>
      <w:pPr>
        <w:spacing w:line="600" w:lineRule="exact"/>
        <w:ind w:firstLine="640" w:firstLineChars="200"/>
        <w:outlineLvl w:val="1"/>
        <w:rPr>
          <w:rStyle w:val="23"/>
          <w:rFonts w:hint="eastAsia" w:ascii="方正黑体_GBK" w:hAnsi="方正黑体_GBK" w:eastAsia="方正黑体_GBK" w:cs="方正黑体_GBK"/>
          <w:b w:val="0"/>
          <w:color w:val="auto"/>
          <w:highlight w:val="none"/>
        </w:rPr>
      </w:pPr>
      <w:r>
        <w:rPr>
          <w:rFonts w:hint="eastAsia" w:ascii="方正黑体_GBK" w:hAnsi="方正黑体_GBK" w:eastAsia="方正黑体_GBK" w:cs="方正黑体_GBK"/>
          <w:color w:val="000000"/>
          <w:sz w:val="32"/>
          <w:szCs w:val="32"/>
        </w:rPr>
        <w:pict>
          <v:shape id="_x0000_s1032" o:spid="_x0000_s1032" o:spt="75" alt="olechartimg_1694914608352113_181019648" type="#_x0000_t75" style="position:absolute;left:0pt;margin-left:24.75pt;margin-top:82.65pt;height:285.85pt;width:364.75pt;mso-position-vertical-relative:page;mso-wrap-distance-bottom:0pt;mso-wrap-distance-left:9pt;mso-wrap-distance-right:9pt;mso-wrap-distance-top:0pt;z-index:251666432;mso-width-relative:page;mso-height-relative:page;" o:ole="t" filled="f" o:preferrelative="t" stroked="f" coordsize="21600,21600">
            <v:path/>
            <v:fill on="f" focussize="0,0"/>
            <v:stroke on="f"/>
            <v:imagedata r:id="rId13" o:title=""/>
            <o:lock v:ext="edit" aspectratio="t"/>
            <w10:wrap type="square"/>
          </v:shape>
          <o:OLEObject Type="Embed" ProgID="Excel.Chart.8" ShapeID="_x0000_s1032" DrawAspect="Content" ObjectID="_1468075725" r:id="rId12">
            <o:LockedField>false</o:LockedField>
          </o:OLEObject>
        </w:pict>
      </w:r>
      <w:r>
        <w:rPr>
          <w:rFonts w:hint="eastAsia" w:ascii="方正黑体_GBK" w:hAnsi="方正黑体_GBK" w:eastAsia="方正黑体_GBK" w:cs="方正黑体_GBK"/>
          <w:color w:val="auto"/>
          <w:sz w:val="32"/>
          <w:szCs w:val="32"/>
          <w:highlight w:val="none"/>
        </w:rPr>
        <w:t>四、财</w:t>
      </w:r>
      <w:r>
        <w:rPr>
          <w:rStyle w:val="23"/>
          <w:rFonts w:hint="eastAsia" w:ascii="方正黑体_GBK" w:hAnsi="方正黑体_GBK" w:eastAsia="方正黑体_GBK" w:cs="方正黑体_GBK"/>
          <w:b w:val="0"/>
          <w:color w:val="auto"/>
          <w:highlight w:val="none"/>
        </w:rPr>
        <w:t>政拨款收入支出决算总体情况说明</w:t>
      </w:r>
      <w:bookmarkEnd w:id="24"/>
      <w:bookmarkEnd w:id="25"/>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rPr>
        <w:t>496.46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方正仿宋_GBK" w:cs="Times New Roman"/>
          <w:sz w:val="32"/>
          <w:szCs w:val="32"/>
          <w:lang w:val="en-US" w:eastAsia="zh-CN"/>
        </w:rPr>
        <w:t>与2023年相比，财政拨款收、支总计各增加36.43万元，增长7.92%。</w:t>
      </w:r>
      <w:r>
        <w:rPr>
          <w:rFonts w:hint="default" w:ascii="Times New Roman" w:hAnsi="Times New Roman" w:eastAsia="方正仿宋_GBK" w:cs="Times New Roman"/>
          <w:b/>
          <w:bCs/>
          <w:sz w:val="32"/>
          <w:szCs w:val="32"/>
          <w:lang w:val="en-US" w:eastAsia="zh-CN"/>
        </w:rPr>
        <w:t>主要变动原因：</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（注：数据来源于财决01-1表）</w:t>
      </w: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28" o:spid="_x0000_s1028" o:spt="75" alt="olechartimg_1694915496775978_183927808" type="#_x0000_t75" style="position:absolute;left:0pt;margin-left:44.9pt;margin-top:10.25pt;height:252.3pt;width:375.3pt;mso-wrap-distance-bottom:0pt;mso-wrap-distance-left:9pt;mso-wrap-distance-right:9pt;mso-wrap-distance-top:0pt;z-index:251661312;mso-width-relative:page;mso-height-relative:page;" o:ole="t" filled="f" o:preferrelative="t" stroked="f" coordsize="21600,21600">
            <v:path/>
            <v:fill on="f" focussize="0,0"/>
            <v:stroke on="f"/>
            <v:imagedata r:id="rId15" o:title=""/>
            <o:lock v:ext="edit" aspectratio="t"/>
            <w10:wrap type="square"/>
          </v:shape>
          <o:OLEObject Type="Embed" ProgID="Excel.Chart.8" ShapeID="_x0000_s1028" DrawAspect="Content" ObjectID="_1468075726" r:id="rId14">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图4：财政拨款收、支决算总计变动情况）（柱状图）</w:t>
      </w:r>
    </w:p>
    <w:p>
      <w:pPr>
        <w:spacing w:line="600" w:lineRule="exact"/>
        <w:ind w:firstLine="640" w:firstLineChars="200"/>
        <w:outlineLvl w:val="1"/>
        <w:rPr>
          <w:rFonts w:hint="default" w:ascii="Times New Roman" w:hAnsi="Times New Roman" w:eastAsia="黑体" w:cs="Times New Roman"/>
          <w:color w:val="auto"/>
          <w:sz w:val="32"/>
          <w:szCs w:val="32"/>
          <w:highlight w:val="none"/>
        </w:rPr>
      </w:pPr>
      <w:bookmarkStart w:id="26" w:name="_Toc15396607"/>
      <w:bookmarkStart w:id="27" w:name="_Toc15377209"/>
    </w:p>
    <w:p>
      <w:pPr>
        <w:spacing w:line="600" w:lineRule="exact"/>
        <w:ind w:firstLine="640" w:firstLineChars="200"/>
        <w:outlineLvl w:val="1"/>
        <w:rPr>
          <w:rStyle w:val="23"/>
          <w:rFonts w:hint="eastAsia" w:ascii="方正黑体_GBK" w:hAnsi="方正黑体_GBK" w:eastAsia="方正黑体_GBK" w:cs="方正黑体_GBK"/>
          <w:b w:val="0"/>
          <w:color w:val="auto"/>
          <w:highlight w:val="none"/>
        </w:rPr>
      </w:pPr>
      <w:r>
        <w:rPr>
          <w:rFonts w:hint="eastAsia" w:ascii="方正黑体_GBK" w:hAnsi="方正黑体_GBK" w:eastAsia="方正黑体_GBK" w:cs="方正黑体_GBK"/>
          <w:color w:val="auto"/>
          <w:sz w:val="32"/>
          <w:szCs w:val="32"/>
          <w:highlight w:val="none"/>
        </w:rPr>
        <w:t>五、</w:t>
      </w:r>
      <w:r>
        <w:rPr>
          <w:rFonts w:hint="eastAsia" w:ascii="方正黑体_GBK" w:hAnsi="方正黑体_GBK" w:eastAsia="方正黑体_GBK" w:cs="方正黑体_GBK"/>
          <w:color w:val="auto"/>
          <w:sz w:val="32"/>
          <w:szCs w:val="32"/>
          <w:highlight w:val="none"/>
          <w:lang w:eastAsia="zh-CN"/>
        </w:rPr>
        <w:t>一</w:t>
      </w:r>
      <w:r>
        <w:rPr>
          <w:rStyle w:val="23"/>
          <w:rFonts w:hint="eastAsia" w:ascii="方正黑体_GBK" w:hAnsi="方正黑体_GBK" w:eastAsia="方正黑体_GBK" w:cs="方正黑体_GBK"/>
          <w:b w:val="0"/>
          <w:color w:val="auto"/>
          <w:highlight w:val="none"/>
        </w:rPr>
        <w:t>般公共预算财政拨款支出决算情况说明</w:t>
      </w:r>
      <w:bookmarkEnd w:id="26"/>
      <w:bookmarkEnd w:id="27"/>
    </w:p>
    <w:p>
      <w:pPr>
        <w:spacing w:line="600" w:lineRule="exact"/>
        <w:ind w:firstLine="642" w:firstLineChars="200"/>
        <w:outlineLvl w:val="2"/>
        <w:rPr>
          <w:rFonts w:hint="eastAsia" w:ascii="方正楷体_GBK" w:hAnsi="方正楷体_GBK" w:eastAsia="方正楷体_GBK" w:cs="方正楷体_GBK"/>
          <w:b/>
          <w:color w:val="auto"/>
          <w:sz w:val="32"/>
          <w:szCs w:val="32"/>
          <w:highlight w:val="none"/>
        </w:rPr>
      </w:pPr>
      <w:bookmarkStart w:id="28" w:name="_Toc15377210"/>
      <w:r>
        <w:rPr>
          <w:rFonts w:hint="eastAsia" w:ascii="方正楷体_GBK" w:hAnsi="方正楷体_GBK" w:eastAsia="方正楷体_GBK" w:cs="方正楷体_GBK"/>
          <w:b/>
          <w:color w:val="auto"/>
          <w:sz w:val="32"/>
          <w:szCs w:val="32"/>
          <w:highlight w:val="none"/>
        </w:rPr>
        <w:t>（一）一般公共预算财政拨款支出决算总体情况</w:t>
      </w:r>
      <w:bookmarkEnd w:id="28"/>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496.46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方正仿宋_GBK" w:cs="Times New Roman"/>
          <w:sz w:val="32"/>
          <w:szCs w:val="32"/>
          <w:lang w:val="en-US" w:eastAsia="zh-CN"/>
        </w:rPr>
        <w:t>2023年度一般公共预算财政拨款支出460.03万元，占本年支出合计的100%。与2023年度相比，一般公共预算财政拨款支出增加36.43万元，增长7.92%。</w:t>
      </w:r>
      <w:r>
        <w:rPr>
          <w:rFonts w:hint="default" w:ascii="Times New Roman" w:hAnsi="Times New Roman" w:eastAsia="方正仿宋_GBK" w:cs="Times New Roman"/>
          <w:b/>
          <w:bCs/>
          <w:sz w:val="32"/>
          <w:szCs w:val="32"/>
          <w:lang w:val="en-US" w:eastAsia="zh-CN"/>
        </w:rPr>
        <w:t>主要变动原因是：</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统一调整高海拔津贴；新进公务员1名，人员经费</w:t>
      </w:r>
      <w:r>
        <w:rPr>
          <w:rFonts w:hint="default" w:ascii="Times New Roman" w:hAnsi="Times New Roman" w:eastAsia="方正仿宋_GBK" w:cs="Times New Roman"/>
          <w:sz w:val="32"/>
          <w:szCs w:val="32"/>
          <w:lang w:val="en-US" w:eastAsia="zh-CN"/>
        </w:rPr>
        <w:t>增加；2024年办公用房搬迁，水电费增加。</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29" o:spid="_x0000_s1029" o:spt="75" alt="olechartimg_1694915777942150_1026212864" type="#_x0000_t75" style="position:absolute;left:0pt;margin-left:31.05pt;margin-top:4.05pt;height:247.6pt;width:361.65pt;mso-wrap-distance-left:9pt;mso-wrap-distance-right:9pt;z-index:-251654144;mso-width-relative:page;mso-height-relative:page;" o:ole="t" filled="f" o:preferrelative="t" stroked="f" coordsize="21600,21600" wrapcoords="21592 -2 0 0 0 21600 21592 21602 8 21602 21600 21600 21600 0 8 -2 21592 -2">
            <v:path/>
            <v:fill on="f" focussize="0,0"/>
            <v:stroke on="f"/>
            <v:imagedata r:id="rId17" o:title=""/>
            <o:lock v:ext="edit" aspectratio="t"/>
            <w10:wrap type="tight"/>
          </v:shape>
          <o:OLEObject Type="Embed" ProgID="Excel.Chart.8" ShapeID="_x0000_s1029" DrawAspect="Content" ObjectID="_1468075727" r:id="rId16">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（图5：一般公共预算财政拨款支出决算变动情况）（柱状图）</w:t>
      </w: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29" w:name="_Toc15377211"/>
    </w:p>
    <w:p>
      <w:pPr>
        <w:spacing w:line="600" w:lineRule="exact"/>
        <w:ind w:firstLine="642" w:firstLineChars="200"/>
        <w:outlineLvl w:val="2"/>
        <w:rPr>
          <w:rFonts w:hint="eastAsia" w:ascii="方正楷体_GBK" w:hAnsi="方正楷体_GBK" w:eastAsia="方正楷体_GBK" w:cs="方正楷体_GBK"/>
          <w:b/>
          <w:color w:val="auto"/>
          <w:sz w:val="32"/>
          <w:szCs w:val="32"/>
          <w:highlight w:val="none"/>
        </w:rPr>
      </w:pPr>
      <w:r>
        <w:rPr>
          <w:rFonts w:hint="eastAsia" w:ascii="方正楷体_GBK" w:hAnsi="方正楷体_GBK" w:eastAsia="方正楷体_GBK" w:cs="方正楷体_GBK"/>
          <w:b/>
          <w:color w:val="auto"/>
          <w:sz w:val="32"/>
          <w:szCs w:val="32"/>
          <w:highlight w:val="none"/>
        </w:rPr>
        <w:t>（二）一般公共预算财政拨款支出决算结构情况</w:t>
      </w:r>
      <w:bookmarkEnd w:id="29"/>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w:t>
      </w:r>
      <w:r>
        <w:rPr>
          <w:rFonts w:hint="default" w:ascii="Times New Roman" w:hAnsi="Times New Roman" w:eastAsia="方正仿宋_GBK" w:cs="Times New Roman"/>
          <w:color w:val="auto"/>
          <w:sz w:val="32"/>
          <w:szCs w:val="32"/>
          <w:highlight w:val="none"/>
          <w:lang w:eastAsia="zh-CN"/>
        </w:rPr>
        <w:t>度</w:t>
      </w:r>
      <w:r>
        <w:rPr>
          <w:rFonts w:hint="default" w:ascii="Times New Roman" w:hAnsi="Times New Roman" w:eastAsia="方正仿宋_GBK" w:cs="Times New Roman"/>
          <w:color w:val="auto"/>
          <w:sz w:val="32"/>
          <w:szCs w:val="32"/>
          <w:highlight w:val="none"/>
        </w:rPr>
        <w:t>一般公共预算财政拨款支出</w:t>
      </w:r>
      <w:r>
        <w:rPr>
          <w:rFonts w:hint="default" w:ascii="Times New Roman" w:hAnsi="Times New Roman" w:eastAsia="方正仿宋_GBK" w:cs="Times New Roman"/>
          <w:color w:val="auto"/>
          <w:sz w:val="32"/>
          <w:szCs w:val="32"/>
          <w:highlight w:val="none"/>
          <w:lang w:val="en-US" w:eastAsia="zh-CN"/>
        </w:rPr>
        <w:t>496.46</w:t>
      </w:r>
      <w:r>
        <w:rPr>
          <w:rFonts w:hint="default" w:ascii="Times New Roman" w:hAnsi="Times New Roman" w:eastAsia="方正仿宋_GBK" w:cs="Times New Roman"/>
          <w:color w:val="auto"/>
          <w:sz w:val="32"/>
          <w:szCs w:val="32"/>
          <w:highlight w:val="none"/>
        </w:rPr>
        <w:t>万元，主要用于以下方面:</w:t>
      </w:r>
      <w:r>
        <w:rPr>
          <w:rFonts w:hint="default" w:ascii="Times New Roman" w:hAnsi="Times New Roman" w:eastAsia="方正仿宋_GBK" w:cs="Times New Roman"/>
          <w:b/>
          <w:color w:val="auto"/>
          <w:sz w:val="32"/>
          <w:szCs w:val="32"/>
          <w:highlight w:val="none"/>
        </w:rPr>
        <w:t>一般公共服务</w:t>
      </w:r>
      <w:r>
        <w:rPr>
          <w:rFonts w:hint="default" w:ascii="Times New Roman" w:hAnsi="Times New Roman" w:eastAsia="方正仿宋_GBK" w:cs="Times New Roman"/>
          <w:b/>
          <w:bCs/>
          <w:color w:val="auto"/>
          <w:sz w:val="32"/>
          <w:szCs w:val="32"/>
          <w:highlight w:val="none"/>
        </w:rPr>
        <w:t>支出</w:t>
      </w:r>
      <w:r>
        <w:rPr>
          <w:rFonts w:hint="default" w:ascii="Times New Roman" w:hAnsi="Times New Roman" w:eastAsia="方正仿宋_GBK" w:cs="Times New Roman"/>
          <w:color w:val="auto"/>
          <w:sz w:val="32"/>
          <w:szCs w:val="32"/>
          <w:highlight w:val="none"/>
          <w:lang w:val="en-US" w:eastAsia="zh-CN"/>
        </w:rPr>
        <w:t>380.35</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76.61</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color w:val="auto"/>
          <w:sz w:val="32"/>
          <w:szCs w:val="32"/>
          <w:highlight w:val="none"/>
        </w:rPr>
        <w:t>教育支出</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color w:val="auto"/>
          <w:sz w:val="32"/>
          <w:szCs w:val="32"/>
          <w:highlight w:val="none"/>
        </w:rPr>
        <w:t>科学技术</w:t>
      </w:r>
      <w:r>
        <w:rPr>
          <w:rFonts w:hint="default" w:ascii="Times New Roman" w:hAnsi="Times New Roman" w:eastAsia="方正仿宋_GBK" w:cs="Times New Roman"/>
          <w:b/>
          <w:bCs/>
          <w:color w:val="auto"/>
          <w:sz w:val="32"/>
          <w:szCs w:val="32"/>
          <w:highlight w:val="none"/>
        </w:rPr>
        <w:t>支出</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bCs/>
          <w:color w:val="auto"/>
          <w:sz w:val="32"/>
          <w:szCs w:val="32"/>
          <w:highlight w:val="none"/>
        </w:rPr>
        <w:t>文化旅游体育与传媒支出</w:t>
      </w:r>
      <w:r>
        <w:rPr>
          <w:rFonts w:hint="default" w:ascii="Times New Roman" w:hAnsi="Times New Roman" w:eastAsia="方正仿宋_GBK" w:cs="Times New Roman"/>
          <w:color w:val="auto"/>
          <w:sz w:val="32"/>
          <w:szCs w:val="32"/>
          <w:highlight w:val="none"/>
          <w:lang w:val="en-US" w:eastAsia="zh-CN"/>
        </w:rPr>
        <w:t>0.5万元</w:t>
      </w:r>
      <w:r>
        <w:rPr>
          <w:rFonts w:hint="default" w:ascii="Times New Roman" w:hAnsi="Times New Roman" w:eastAsia="方正仿宋_GBK" w:cs="Times New Roman"/>
          <w:b w:val="0"/>
          <w:bCs w:val="0"/>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占0.10%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color w:val="auto"/>
          <w:sz w:val="32"/>
          <w:szCs w:val="32"/>
          <w:highlight w:val="none"/>
        </w:rPr>
        <w:t>社会保障和就业</w:t>
      </w:r>
      <w:r>
        <w:rPr>
          <w:rFonts w:hint="default" w:ascii="Times New Roman" w:hAnsi="Times New Roman" w:eastAsia="方正仿宋_GBK" w:cs="Times New Roman"/>
          <w:b/>
          <w:bCs/>
          <w:color w:val="auto"/>
          <w:sz w:val="32"/>
          <w:szCs w:val="32"/>
          <w:highlight w:val="none"/>
        </w:rPr>
        <w:t>支出</w:t>
      </w:r>
      <w:r>
        <w:rPr>
          <w:rFonts w:hint="default" w:ascii="Times New Roman" w:hAnsi="Times New Roman" w:eastAsia="方正仿宋_GBK" w:cs="Times New Roman"/>
          <w:color w:val="auto"/>
          <w:sz w:val="32"/>
          <w:szCs w:val="32"/>
          <w:highlight w:val="none"/>
          <w:lang w:val="en-US" w:eastAsia="zh-CN"/>
        </w:rPr>
        <w:t>68.66</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13.83</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bCs/>
          <w:color w:val="auto"/>
          <w:sz w:val="32"/>
          <w:szCs w:val="32"/>
          <w:highlight w:val="none"/>
        </w:rPr>
        <w:t>卫生健康支出</w:t>
      </w:r>
      <w:r>
        <w:rPr>
          <w:rFonts w:hint="default" w:ascii="Times New Roman" w:hAnsi="Times New Roman" w:eastAsia="方正仿宋_GBK" w:cs="Times New Roman"/>
          <w:color w:val="auto"/>
          <w:sz w:val="32"/>
          <w:szCs w:val="32"/>
          <w:highlight w:val="none"/>
          <w:lang w:val="en-US" w:eastAsia="zh-CN"/>
        </w:rPr>
        <w:t>19.96</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4.02</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b/>
          <w:bCs/>
          <w:color w:val="auto"/>
          <w:sz w:val="32"/>
          <w:szCs w:val="32"/>
          <w:highlight w:val="none"/>
        </w:rPr>
        <w:t>住房保障支出</w:t>
      </w:r>
      <w:r>
        <w:rPr>
          <w:rFonts w:hint="default" w:ascii="Times New Roman" w:hAnsi="Times New Roman" w:eastAsia="方正仿宋_GBK" w:cs="Times New Roman"/>
          <w:color w:val="auto"/>
          <w:sz w:val="32"/>
          <w:szCs w:val="32"/>
          <w:highlight w:val="none"/>
          <w:lang w:val="en-US" w:eastAsia="zh-CN"/>
        </w:rPr>
        <w:t>26.99</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5.44</w:t>
      </w:r>
      <w:r>
        <w:rPr>
          <w:rFonts w:hint="default" w:ascii="Times New Roman" w:hAnsi="Times New Roman" w:eastAsia="方正仿宋_GBK" w:cs="Times New Roman"/>
          <w:color w:val="auto"/>
          <w:sz w:val="32"/>
          <w:szCs w:val="32"/>
          <w:highlight w:val="none"/>
        </w:rPr>
        <w:t>%。</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注：数据来源于财决</w:t>
      </w:r>
      <w:r>
        <w:rPr>
          <w:rFonts w:hint="default" w:ascii="Times New Roman" w:hAnsi="Times New Roman" w:eastAsia="仿宋" w:cs="Times New Roman"/>
          <w:b/>
          <w:color w:val="auto"/>
          <w:sz w:val="32"/>
          <w:szCs w:val="32"/>
          <w:highlight w:val="none"/>
          <w:lang w:val="en-US" w:eastAsia="zh-CN"/>
        </w:rPr>
        <w:t>01-1表，仅</w:t>
      </w:r>
      <w:r>
        <w:rPr>
          <w:rFonts w:hint="default" w:ascii="Times New Roman" w:hAnsi="Times New Roman" w:eastAsia="仿宋" w:cs="Times New Roman"/>
          <w:b/>
          <w:color w:val="auto"/>
          <w:sz w:val="32"/>
          <w:szCs w:val="32"/>
          <w:highlight w:val="none"/>
        </w:rPr>
        <w:t>罗列</w:t>
      </w:r>
      <w:r>
        <w:rPr>
          <w:rFonts w:hint="default" w:ascii="Times New Roman" w:hAnsi="Times New Roman" w:eastAsia="仿宋" w:cs="Times New Roman"/>
          <w:b/>
          <w:color w:val="auto"/>
          <w:sz w:val="32"/>
          <w:szCs w:val="32"/>
          <w:highlight w:val="none"/>
          <w:lang w:eastAsia="zh-CN"/>
        </w:rPr>
        <w:t>本单位涉及的</w:t>
      </w:r>
      <w:r>
        <w:rPr>
          <w:rFonts w:hint="default" w:ascii="Times New Roman" w:hAnsi="Times New Roman" w:eastAsia="仿宋" w:cs="Times New Roman"/>
          <w:b/>
          <w:color w:val="auto"/>
          <w:sz w:val="32"/>
          <w:szCs w:val="32"/>
          <w:highlight w:val="none"/>
        </w:rPr>
        <w:t>全部功能分类科目，至类级。）</w:t>
      </w: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30" o:spid="_x0000_s1030" o:spt="75" alt="olechartimg_1694916322437287_574252032" type="#_x0000_t75" style="position:absolute;left:0pt;margin-left:16pt;margin-top:24.5pt;height:221.45pt;width:384.95pt;mso-wrap-distance-left:9pt;mso-wrap-distance-right:9pt;z-index:-251653120;mso-width-relative:page;mso-height-relative:page;" o:ole="t" filled="f" o:preferrelative="t" stroked="f" coordsize="21600,21600" wrapcoords="21592 -2 0 0 0 21600 21592 21602 8 21602 21600 21600 21600 0 8 -2 21592 -2">
            <v:path/>
            <v:fill on="f" focussize="0,0"/>
            <v:stroke on="f"/>
            <v:imagedata r:id="rId19" o:title=""/>
            <o:lock v:ext="edit" aspectratio="t"/>
            <w10:wrap type="tight"/>
          </v:shape>
          <o:OLEObject Type="Embed" ProgID="Excel.Chart.8" ShapeID="_x0000_s1030" DrawAspect="Content" ObjectID="_1468075728" r:id="rId18">
            <o:LockedField>false</o:LockedField>
          </o:OLEObject>
        </w:pict>
      </w: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（图6：一般公共预算财政拨款支出决算结构）（饼状图）</w:t>
      </w: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2" w:firstLineChars="200"/>
        <w:outlineLvl w:val="2"/>
        <w:rPr>
          <w:rFonts w:hint="eastAsia" w:ascii="方正楷体_GBK" w:hAnsi="方正楷体_GBK" w:eastAsia="方正楷体_GBK" w:cs="方正楷体_GBK"/>
          <w:b/>
          <w:color w:val="auto"/>
          <w:sz w:val="32"/>
          <w:szCs w:val="32"/>
          <w:highlight w:val="none"/>
        </w:rPr>
      </w:pPr>
      <w:bookmarkStart w:id="30" w:name="_Toc15377212"/>
      <w:r>
        <w:rPr>
          <w:rFonts w:hint="eastAsia" w:ascii="方正楷体_GBK" w:hAnsi="方正楷体_GBK" w:eastAsia="方正楷体_GBK" w:cs="方正楷体_GBK"/>
          <w:b/>
          <w:color w:val="auto"/>
          <w:sz w:val="32"/>
          <w:szCs w:val="32"/>
          <w:highlight w:val="none"/>
        </w:rPr>
        <w:t>（三）一般公共预算财政拨款支出决算具体情况</w:t>
      </w:r>
      <w:bookmarkEnd w:id="30"/>
    </w:p>
    <w:p>
      <w:pPr>
        <w:spacing w:line="600" w:lineRule="exact"/>
        <w:ind w:firstLine="642" w:firstLineChars="200"/>
        <w:outlineLvl w:val="2"/>
        <w:rPr>
          <w:rFonts w:hint="default" w:ascii="Times New Roman" w:hAnsi="Times New Roman" w:eastAsia="方正仿宋_GBK" w:cs="Times New Roman"/>
          <w:color w:val="auto"/>
          <w:sz w:val="32"/>
          <w:szCs w:val="32"/>
          <w:highlight w:val="none"/>
        </w:rPr>
      </w:pPr>
      <w:bookmarkStart w:id="31" w:name="_Toc15377213"/>
      <w:bookmarkStart w:id="32" w:name="_Toc15377444"/>
      <w:bookmarkStart w:id="33" w:name="_Toc15378460"/>
      <w:r>
        <w:rPr>
          <w:rFonts w:hint="default" w:ascii="Times New Roman" w:hAnsi="Times New Roman" w:eastAsia="方正仿宋_GBK" w:cs="Times New Roman"/>
          <w:b/>
          <w:color w:val="auto"/>
          <w:sz w:val="32"/>
          <w:szCs w:val="32"/>
          <w:highlight w:val="none"/>
        </w:rPr>
        <w:t>20</w:t>
      </w:r>
      <w:r>
        <w:rPr>
          <w:rFonts w:hint="default" w:ascii="Times New Roman" w:hAnsi="Times New Roman" w:eastAsia="方正仿宋_GBK" w:cs="Times New Roman"/>
          <w:b/>
          <w:color w:val="auto"/>
          <w:sz w:val="32"/>
          <w:szCs w:val="32"/>
          <w:highlight w:val="none"/>
          <w:lang w:val="en-US" w:eastAsia="zh-CN"/>
        </w:rPr>
        <w:t>24</w:t>
      </w:r>
      <w:r>
        <w:rPr>
          <w:rFonts w:hint="default" w:ascii="Times New Roman" w:hAnsi="Times New Roman" w:eastAsia="方正仿宋_GBK" w:cs="Times New Roman"/>
          <w:b/>
          <w:color w:val="auto"/>
          <w:sz w:val="32"/>
          <w:szCs w:val="32"/>
          <w:highlight w:val="none"/>
        </w:rPr>
        <w:t>年</w:t>
      </w:r>
      <w:r>
        <w:rPr>
          <w:rFonts w:hint="default" w:ascii="Times New Roman" w:hAnsi="Times New Roman" w:eastAsia="方正仿宋_GBK" w:cs="Times New Roman"/>
          <w:b/>
          <w:color w:val="auto"/>
          <w:sz w:val="32"/>
          <w:szCs w:val="32"/>
          <w:highlight w:val="none"/>
          <w:lang w:eastAsia="zh-CN"/>
        </w:rPr>
        <w:t>一</w:t>
      </w:r>
      <w:r>
        <w:rPr>
          <w:rFonts w:hint="default" w:ascii="Times New Roman" w:hAnsi="Times New Roman" w:eastAsia="方正仿宋_GBK" w:cs="Times New Roman"/>
          <w:b/>
          <w:color w:val="auto"/>
          <w:sz w:val="32"/>
          <w:szCs w:val="32"/>
          <w:highlight w:val="none"/>
        </w:rPr>
        <w:t>般公共预算支出决算数为</w:t>
      </w:r>
      <w:r>
        <w:rPr>
          <w:rFonts w:hint="default" w:ascii="Times New Roman" w:hAnsi="Times New Roman" w:eastAsia="方正仿宋_GBK" w:cs="Times New Roman"/>
          <w:b/>
          <w:color w:val="auto"/>
          <w:sz w:val="32"/>
          <w:szCs w:val="32"/>
          <w:highlight w:val="none"/>
          <w:lang w:val="en-US" w:eastAsia="zh-CN"/>
        </w:rPr>
        <w:t>496.46万元</w:t>
      </w:r>
      <w:r>
        <w:rPr>
          <w:rFonts w:hint="default" w:ascii="Times New Roman" w:hAnsi="Times New Roman" w:eastAsia="方正仿宋_GBK" w:cs="Times New Roman"/>
          <w:color w:val="auto"/>
          <w:sz w:val="32"/>
          <w:szCs w:val="32"/>
          <w:highlight w:val="none"/>
        </w:rPr>
        <w:t>，</w:t>
      </w:r>
      <w:r>
        <w:rPr>
          <w:rStyle w:val="19"/>
          <w:rFonts w:hint="default" w:ascii="Times New Roman" w:hAnsi="Times New Roman" w:eastAsia="方正仿宋_GBK" w:cs="Times New Roman"/>
          <w:bCs/>
          <w:color w:val="auto"/>
          <w:sz w:val="32"/>
          <w:szCs w:val="32"/>
          <w:highlight w:val="none"/>
        </w:rPr>
        <w:t>完成预算</w:t>
      </w:r>
      <w:r>
        <w:rPr>
          <w:rStyle w:val="19"/>
          <w:rFonts w:hint="default" w:ascii="Times New Roman" w:hAnsi="Times New Roman" w:eastAsia="方正仿宋_GBK" w:cs="Times New Roman"/>
          <w:bCs/>
          <w:color w:val="auto"/>
          <w:sz w:val="32"/>
          <w:szCs w:val="32"/>
          <w:highlight w:val="none"/>
          <w:lang w:val="en-US" w:eastAsia="zh-CN"/>
        </w:rPr>
        <w:t>100</w:t>
      </w:r>
      <w:r>
        <w:rPr>
          <w:rStyle w:val="19"/>
          <w:rFonts w:hint="default" w:ascii="Times New Roman" w:hAnsi="Times New Roman" w:eastAsia="方正仿宋_GBK" w:cs="Times New Roman"/>
          <w:bCs/>
          <w:color w:val="auto"/>
          <w:sz w:val="32"/>
          <w:szCs w:val="32"/>
          <w:highlight w:val="none"/>
        </w:rPr>
        <w:t>%。其中：</w:t>
      </w:r>
      <w:bookmarkEnd w:id="31"/>
      <w:bookmarkEnd w:id="32"/>
      <w:bookmarkEnd w:id="33"/>
    </w:p>
    <w:p>
      <w:pPr>
        <w:spacing w:line="600" w:lineRule="exact"/>
        <w:ind w:firstLine="642" w:firstLineChars="200"/>
        <w:rPr>
          <w:rFonts w:hint="default" w:ascii="Times New Roman" w:hAnsi="Times New Roman" w:eastAsia="方正仿宋_GBK" w:cs="Times New Roman"/>
          <w:b/>
          <w:color w:val="auto"/>
          <w:sz w:val="32"/>
          <w:szCs w:val="32"/>
          <w:highlight w:val="none"/>
        </w:rPr>
      </w:pPr>
      <w:r>
        <w:rPr>
          <w:rStyle w:val="19"/>
          <w:rFonts w:hint="default" w:ascii="Times New Roman" w:hAnsi="Times New Roman" w:eastAsia="方正仿宋_GBK" w:cs="Times New Roman"/>
          <w:bCs/>
          <w:color w:val="auto"/>
          <w:sz w:val="32"/>
          <w:szCs w:val="32"/>
          <w:highlight w:val="none"/>
        </w:rPr>
        <w:t>1.一般公共服务（类）</w:t>
      </w:r>
      <w:r>
        <w:rPr>
          <w:rStyle w:val="19"/>
          <w:rFonts w:hint="default" w:ascii="Times New Roman" w:hAnsi="Times New Roman" w:eastAsia="方正仿宋_GBK" w:cs="Times New Roman"/>
          <w:bCs/>
          <w:color w:val="000000"/>
          <w:sz w:val="32"/>
          <w:szCs w:val="32"/>
        </w:rPr>
        <w:t>党委办公厅及相关机构事务</w:t>
      </w:r>
      <w:r>
        <w:rPr>
          <w:rStyle w:val="19"/>
          <w:rFonts w:hint="default" w:ascii="Times New Roman" w:hAnsi="Times New Roman" w:eastAsia="方正仿宋_GBK" w:cs="Times New Roman"/>
          <w:bCs/>
          <w:color w:val="auto"/>
          <w:sz w:val="32"/>
          <w:szCs w:val="32"/>
          <w:highlight w:val="none"/>
        </w:rPr>
        <w:t>（款）</w:t>
      </w:r>
      <w:r>
        <w:rPr>
          <w:rStyle w:val="19"/>
          <w:rFonts w:hint="default" w:ascii="Times New Roman" w:hAnsi="Times New Roman" w:eastAsia="方正仿宋_GBK" w:cs="Times New Roman"/>
          <w:bCs/>
          <w:color w:val="000000"/>
          <w:sz w:val="32"/>
          <w:szCs w:val="32"/>
        </w:rPr>
        <w:t>行政运行</w:t>
      </w:r>
      <w:r>
        <w:rPr>
          <w:rStyle w:val="19"/>
          <w:rFonts w:hint="default" w:ascii="Times New Roman" w:hAnsi="Times New Roman" w:eastAsia="方正仿宋_GBK" w:cs="Times New Roman"/>
          <w:bCs/>
          <w:color w:val="auto"/>
          <w:sz w:val="32"/>
          <w:szCs w:val="32"/>
          <w:highlight w:val="none"/>
        </w:rPr>
        <w:t>（项）:</w:t>
      </w:r>
      <w:r>
        <w:rPr>
          <w:rFonts w:hint="default" w:ascii="Times New Roman" w:hAnsi="Times New Roman" w:eastAsia="方正仿宋_GBK" w:cs="Times New Roman"/>
          <w:color w:val="000000"/>
          <w:sz w:val="32"/>
          <w:szCs w:val="32"/>
        </w:rPr>
        <w:t>202</w:t>
      </w:r>
      <w:r>
        <w:rPr>
          <w:rFonts w:hint="default" w:ascii="Times New Roman" w:hAnsi="Times New Roman" w:eastAsia="方正仿宋_GBK" w:cs="Times New Roman"/>
          <w:color w:val="000000"/>
          <w:sz w:val="32"/>
          <w:szCs w:val="32"/>
          <w:lang w:val="en-US" w:eastAsia="zh-CN"/>
        </w:rPr>
        <w:t>4</w:t>
      </w:r>
      <w:r>
        <w:rPr>
          <w:rFonts w:hint="default" w:ascii="Times New Roman" w:hAnsi="Times New Roman" w:eastAsia="方正仿宋_GBK" w:cs="Times New Roman"/>
          <w:color w:val="000000"/>
          <w:sz w:val="32"/>
          <w:szCs w:val="32"/>
        </w:rPr>
        <w:t>年</w:t>
      </w:r>
      <w:r>
        <w:rPr>
          <w:rStyle w:val="19"/>
          <w:rFonts w:hint="default" w:ascii="Times New Roman" w:hAnsi="Times New Roman" w:eastAsia="方正仿宋_GBK" w:cs="Times New Roman"/>
          <w:b w:val="0"/>
          <w:bCs/>
          <w:color w:val="auto"/>
          <w:sz w:val="32"/>
          <w:szCs w:val="32"/>
          <w:highlight w:val="none"/>
        </w:rPr>
        <w:t>支出决算为</w:t>
      </w:r>
      <w:r>
        <w:rPr>
          <w:rStyle w:val="19"/>
          <w:rFonts w:hint="default" w:ascii="Times New Roman" w:hAnsi="Times New Roman" w:eastAsia="方正仿宋_GBK" w:cs="Times New Roman"/>
          <w:b w:val="0"/>
          <w:bCs/>
          <w:color w:val="auto"/>
          <w:sz w:val="32"/>
          <w:szCs w:val="32"/>
          <w:highlight w:val="none"/>
          <w:lang w:val="en-US" w:eastAsia="zh-CN"/>
        </w:rPr>
        <w:t>380.35</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p>
    <w:p>
      <w:pPr>
        <w:spacing w:line="600" w:lineRule="exact"/>
        <w:ind w:firstLine="642" w:firstLineChars="200"/>
        <w:rPr>
          <w:rFonts w:hint="default" w:ascii="Times New Roman" w:hAnsi="Times New Roman" w:eastAsia="方正仿宋_GBK" w:cs="Times New Roman"/>
          <w:color w:val="000000"/>
          <w:sz w:val="32"/>
          <w:szCs w:val="32"/>
        </w:rPr>
      </w:pPr>
      <w:r>
        <w:rPr>
          <w:rStyle w:val="19"/>
          <w:rFonts w:hint="default" w:ascii="Times New Roman" w:hAnsi="Times New Roman" w:eastAsia="方正仿宋_GBK" w:cs="Times New Roman"/>
          <w:bCs/>
          <w:color w:val="000000"/>
          <w:sz w:val="32"/>
          <w:szCs w:val="32"/>
        </w:rPr>
        <w:t>一般公共服务（类）党委办公厅及相关机构事务（款）一般行政管理事务（项）：</w:t>
      </w:r>
      <w:r>
        <w:rPr>
          <w:rFonts w:hint="default" w:ascii="Times New Roman" w:hAnsi="Times New Roman" w:eastAsia="方正仿宋_GBK" w:cs="Times New Roman"/>
          <w:color w:val="000000"/>
          <w:sz w:val="32"/>
          <w:szCs w:val="32"/>
        </w:rPr>
        <w:t>202</w:t>
      </w:r>
      <w:r>
        <w:rPr>
          <w:rFonts w:hint="default" w:ascii="Times New Roman" w:hAnsi="Times New Roman" w:eastAsia="方正仿宋_GBK" w:cs="Times New Roman"/>
          <w:color w:val="000000"/>
          <w:sz w:val="32"/>
          <w:szCs w:val="32"/>
          <w:lang w:val="en-US" w:eastAsia="zh-CN"/>
        </w:rPr>
        <w:t>4</w:t>
      </w:r>
      <w:r>
        <w:rPr>
          <w:rFonts w:hint="default" w:ascii="Times New Roman" w:hAnsi="Times New Roman" w:eastAsia="方正仿宋_GBK" w:cs="Times New Roman"/>
          <w:color w:val="000000"/>
          <w:sz w:val="32"/>
          <w:szCs w:val="32"/>
        </w:rPr>
        <w:t>年</w:t>
      </w:r>
      <w:r>
        <w:rPr>
          <w:rFonts w:hint="default" w:ascii="Times New Roman" w:hAnsi="Times New Roman" w:eastAsia="方正仿宋_GBK" w:cs="Times New Roman"/>
          <w:color w:val="000000"/>
          <w:sz w:val="32"/>
          <w:szCs w:val="32"/>
          <w:lang w:eastAsia="zh-CN"/>
        </w:rPr>
        <w:t>支出</w:t>
      </w:r>
      <w:r>
        <w:rPr>
          <w:rFonts w:hint="default" w:ascii="Times New Roman" w:hAnsi="Times New Roman" w:eastAsia="方正仿宋_GBK" w:cs="Times New Roman"/>
          <w:color w:val="000000"/>
          <w:sz w:val="32"/>
          <w:szCs w:val="32"/>
        </w:rPr>
        <w:t>决算数为</w:t>
      </w:r>
      <w:r>
        <w:rPr>
          <w:rFonts w:hint="default" w:ascii="Times New Roman" w:hAnsi="Times New Roman" w:eastAsia="方正仿宋_GBK" w:cs="Times New Roman"/>
          <w:color w:val="000000"/>
          <w:sz w:val="32"/>
          <w:szCs w:val="32"/>
          <w:lang w:val="en-US" w:eastAsia="zh-CN"/>
        </w:rPr>
        <w:t>76.49</w:t>
      </w:r>
      <w:r>
        <w:rPr>
          <w:rFonts w:hint="default" w:ascii="Times New Roman" w:hAnsi="Times New Roman" w:eastAsia="方正仿宋_GBK" w:cs="Times New Roman"/>
          <w:color w:val="000000"/>
          <w:sz w:val="32"/>
          <w:szCs w:val="32"/>
        </w:rPr>
        <w:t>万元，完成预算100%。</w:t>
      </w:r>
    </w:p>
    <w:p>
      <w:pPr>
        <w:spacing w:line="600" w:lineRule="exact"/>
        <w:ind w:firstLine="642" w:firstLineChars="200"/>
        <w:rPr>
          <w:rFonts w:hint="default" w:ascii="Times New Roman" w:hAnsi="Times New Roman" w:eastAsia="方正仿宋_GBK" w:cs="Times New Roman"/>
          <w:b/>
          <w:bCs w:val="0"/>
          <w:color w:val="auto"/>
          <w:sz w:val="32"/>
          <w:szCs w:val="32"/>
          <w:highlight w:val="none"/>
          <w:lang w:val="en-US" w:eastAsia="zh-CN"/>
        </w:rPr>
      </w:pPr>
      <w:r>
        <w:rPr>
          <w:rStyle w:val="19"/>
          <w:rFonts w:hint="default" w:ascii="Times New Roman" w:hAnsi="Times New Roman" w:eastAsia="方正仿宋_GBK" w:cs="Times New Roman"/>
          <w:bCs/>
          <w:color w:val="auto"/>
          <w:sz w:val="32"/>
          <w:szCs w:val="32"/>
          <w:highlight w:val="none"/>
        </w:rPr>
        <w:t>2.教育（类）***（款）***（项）:</w:t>
      </w:r>
      <w:r>
        <w:rPr>
          <w:rStyle w:val="19"/>
          <w:rFonts w:hint="default" w:ascii="Times New Roman" w:hAnsi="Times New Roman" w:eastAsia="方正仿宋_GBK" w:cs="Times New Roman"/>
          <w:b w:val="0"/>
          <w:bCs/>
          <w:color w:val="auto"/>
          <w:sz w:val="32"/>
          <w:szCs w:val="32"/>
          <w:highlight w:val="none"/>
        </w:rPr>
        <w:t xml:space="preserve"> 支出决算为**万元，完成预算**%，决算数小于/等于预算数的主要原因是…。</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方正仿宋_GBK" w:cs="Times New Roman"/>
          <w:b/>
          <w:bCs w:val="0"/>
          <w:color w:val="auto"/>
          <w:sz w:val="32"/>
          <w:szCs w:val="32"/>
          <w:highlight w:val="none"/>
          <w:lang w:val="en-US" w:eastAsia="zh-CN"/>
        </w:rPr>
      </w:pPr>
      <w:r>
        <w:rPr>
          <w:rStyle w:val="19"/>
          <w:rFonts w:hint="default" w:ascii="Times New Roman" w:hAnsi="Times New Roman" w:eastAsia="方正仿宋_GBK" w:cs="Times New Roman"/>
          <w:bCs/>
          <w:color w:val="auto"/>
          <w:sz w:val="32"/>
          <w:szCs w:val="32"/>
          <w:highlight w:val="none"/>
        </w:rPr>
        <w:t>3.科学技术（类）***（款）***（项）:</w:t>
      </w:r>
      <w:r>
        <w:rPr>
          <w:rStyle w:val="19"/>
          <w:rFonts w:hint="default" w:ascii="Times New Roman" w:hAnsi="Times New Roman" w:eastAsia="方正仿宋_GBK" w:cs="Times New Roman"/>
          <w:b w:val="0"/>
          <w:bCs/>
          <w:color w:val="auto"/>
          <w:sz w:val="32"/>
          <w:szCs w:val="32"/>
          <w:highlight w:val="none"/>
        </w:rPr>
        <w:t xml:space="preserve"> 支出决算为**万元，完成预算**%，决算数小于/等于预算数的主要原因是…。</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方正仿宋_GBK" w:cs="Times New Roman"/>
          <w:b/>
          <w:bCs w:val="0"/>
          <w:color w:val="auto"/>
          <w:sz w:val="32"/>
          <w:szCs w:val="32"/>
          <w:highlight w:val="none"/>
          <w:lang w:val="en-US" w:eastAsia="zh-CN"/>
        </w:rPr>
      </w:pPr>
      <w:r>
        <w:rPr>
          <w:rStyle w:val="19"/>
          <w:rFonts w:hint="default" w:ascii="Times New Roman" w:hAnsi="Times New Roman" w:eastAsia="方正仿宋_GBK" w:cs="Times New Roman"/>
          <w:bCs/>
          <w:color w:val="auto"/>
          <w:sz w:val="32"/>
          <w:szCs w:val="32"/>
          <w:highlight w:val="none"/>
        </w:rPr>
        <w:t>4.文化旅游体育与传媒（类）</w:t>
      </w:r>
      <w:r>
        <w:rPr>
          <w:rStyle w:val="19"/>
          <w:rFonts w:hint="default" w:ascii="Times New Roman" w:hAnsi="Times New Roman" w:eastAsia="方正仿宋_GBK" w:cs="Times New Roman"/>
          <w:bCs/>
          <w:color w:val="auto"/>
          <w:sz w:val="32"/>
          <w:szCs w:val="32"/>
          <w:highlight w:val="none"/>
          <w:lang w:val="en-US" w:eastAsia="zh-CN"/>
        </w:rPr>
        <w:t>207</w:t>
      </w:r>
      <w:r>
        <w:rPr>
          <w:rStyle w:val="19"/>
          <w:rFonts w:hint="default" w:ascii="Times New Roman" w:hAnsi="Times New Roman" w:eastAsia="方正仿宋_GBK" w:cs="Times New Roman"/>
          <w:bCs/>
          <w:color w:val="auto"/>
          <w:sz w:val="32"/>
          <w:szCs w:val="32"/>
          <w:highlight w:val="none"/>
        </w:rPr>
        <w:t>（款）</w:t>
      </w:r>
      <w:r>
        <w:rPr>
          <w:rStyle w:val="19"/>
          <w:rFonts w:hint="default" w:ascii="Times New Roman" w:hAnsi="Times New Roman" w:eastAsia="方正仿宋_GBK" w:cs="Times New Roman"/>
          <w:bCs/>
          <w:color w:val="auto"/>
          <w:sz w:val="32"/>
          <w:szCs w:val="32"/>
          <w:highlight w:val="none"/>
          <w:lang w:val="en-US" w:eastAsia="zh-CN"/>
        </w:rPr>
        <w:t>9999</w:t>
      </w:r>
      <w:r>
        <w:rPr>
          <w:rStyle w:val="19"/>
          <w:rFonts w:hint="default" w:ascii="Times New Roman" w:hAnsi="Times New Roman" w:eastAsia="方正仿宋_GBK" w:cs="Times New Roman"/>
          <w:bCs/>
          <w:color w:val="auto"/>
          <w:sz w:val="32"/>
          <w:szCs w:val="32"/>
          <w:highlight w:val="none"/>
        </w:rPr>
        <w:t>（项）:</w:t>
      </w:r>
      <w:r>
        <w:rPr>
          <w:rStyle w:val="19"/>
          <w:rFonts w:hint="default" w:ascii="Times New Roman" w:hAnsi="Times New Roman" w:eastAsia="方正仿宋_GBK" w:cs="Times New Roman"/>
          <w:b w:val="0"/>
          <w:bCs/>
          <w:color w:val="auto"/>
          <w:sz w:val="32"/>
          <w:szCs w:val="32"/>
          <w:highlight w:val="none"/>
        </w:rPr>
        <w:t xml:space="preserve"> 支出决算为</w:t>
      </w:r>
      <w:r>
        <w:rPr>
          <w:rStyle w:val="19"/>
          <w:rFonts w:hint="default" w:ascii="Times New Roman" w:hAnsi="Times New Roman" w:eastAsia="方正仿宋_GBK" w:cs="Times New Roman"/>
          <w:b w:val="0"/>
          <w:bCs/>
          <w:color w:val="auto"/>
          <w:sz w:val="32"/>
          <w:szCs w:val="32"/>
          <w:highlight w:val="none"/>
          <w:lang w:val="en-US" w:eastAsia="zh-CN"/>
        </w:rPr>
        <w:t>0.5</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%，决算数小于/等于预算数的主要原因是…。</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2" w:firstLineChars="200"/>
        <w:rPr>
          <w:rStyle w:val="19"/>
          <w:rFonts w:hint="default" w:ascii="Times New Roman" w:hAnsi="Times New Roman" w:eastAsia="方正仿宋_GBK" w:cs="Times New Roman"/>
          <w:b w:val="0"/>
          <w:bCs/>
          <w:color w:val="auto"/>
          <w:sz w:val="32"/>
          <w:szCs w:val="32"/>
          <w:highlight w:val="none"/>
        </w:rPr>
      </w:pPr>
      <w:r>
        <w:rPr>
          <w:rStyle w:val="19"/>
          <w:rFonts w:hint="default" w:ascii="Times New Roman" w:hAnsi="Times New Roman" w:eastAsia="方正仿宋_GBK" w:cs="Times New Roman"/>
          <w:bCs/>
          <w:color w:val="auto"/>
          <w:sz w:val="32"/>
          <w:szCs w:val="32"/>
          <w:highlight w:val="none"/>
        </w:rPr>
        <w:t>5.社会保障和就业（类）行政事业单位养老支出（款）  机关事业单位基本养老保险缴费支出（项）:</w:t>
      </w:r>
      <w:r>
        <w:rPr>
          <w:rStyle w:val="19"/>
          <w:rFonts w:hint="default" w:ascii="Times New Roman" w:hAnsi="Times New Roman" w:eastAsia="方正仿宋_GBK" w:cs="Times New Roman"/>
          <w:b w:val="0"/>
          <w:bCs/>
          <w:color w:val="auto"/>
          <w:sz w:val="32"/>
          <w:szCs w:val="32"/>
          <w:highlight w:val="none"/>
        </w:rPr>
        <w:t>支出决算为</w:t>
      </w:r>
      <w:r>
        <w:rPr>
          <w:rStyle w:val="19"/>
          <w:rFonts w:hint="default" w:ascii="Times New Roman" w:hAnsi="Times New Roman" w:eastAsia="方正仿宋_GBK" w:cs="Times New Roman"/>
          <w:b w:val="0"/>
          <w:bCs/>
          <w:color w:val="auto"/>
          <w:sz w:val="32"/>
          <w:szCs w:val="32"/>
          <w:highlight w:val="none"/>
          <w:lang w:val="en-US" w:eastAsia="zh-CN"/>
        </w:rPr>
        <w:t>33.55</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p>
    <w:p>
      <w:pPr>
        <w:spacing w:line="600" w:lineRule="exact"/>
        <w:ind w:firstLine="642" w:firstLineChars="200"/>
        <w:rPr>
          <w:rStyle w:val="19"/>
          <w:rFonts w:hint="default" w:ascii="Times New Roman" w:hAnsi="Times New Roman" w:eastAsia="方正仿宋_GBK" w:cs="Times New Roman"/>
          <w:b w:val="0"/>
          <w:bCs/>
          <w:color w:val="auto"/>
          <w:sz w:val="32"/>
          <w:szCs w:val="32"/>
          <w:highlight w:val="none"/>
        </w:rPr>
      </w:pPr>
      <w:r>
        <w:rPr>
          <w:rStyle w:val="19"/>
          <w:rFonts w:hint="default" w:ascii="Times New Roman" w:hAnsi="Times New Roman" w:eastAsia="方正仿宋_GBK" w:cs="Times New Roman"/>
          <w:bCs/>
          <w:color w:val="auto"/>
          <w:sz w:val="32"/>
          <w:szCs w:val="32"/>
          <w:highlight w:val="none"/>
        </w:rPr>
        <w:t>社会保障和就业（类）行政事业单位养老支出（款）  机关事业单位职业年金缴费支出（项）:</w:t>
      </w:r>
      <w:r>
        <w:rPr>
          <w:rStyle w:val="19"/>
          <w:rFonts w:hint="default" w:ascii="Times New Roman" w:hAnsi="Times New Roman" w:eastAsia="方正仿宋_GBK" w:cs="Times New Roman"/>
          <w:b w:val="0"/>
          <w:bCs/>
          <w:color w:val="auto"/>
          <w:sz w:val="32"/>
          <w:szCs w:val="32"/>
          <w:highlight w:val="none"/>
        </w:rPr>
        <w:t xml:space="preserve"> 支出决算为</w:t>
      </w:r>
      <w:r>
        <w:rPr>
          <w:rStyle w:val="19"/>
          <w:rFonts w:hint="default" w:ascii="Times New Roman" w:hAnsi="Times New Roman" w:eastAsia="方正仿宋_GBK" w:cs="Times New Roman"/>
          <w:b w:val="0"/>
          <w:bCs/>
          <w:color w:val="auto"/>
          <w:sz w:val="32"/>
          <w:szCs w:val="32"/>
          <w:highlight w:val="none"/>
          <w:lang w:val="en-US" w:eastAsia="zh-CN"/>
        </w:rPr>
        <w:t>35.11</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p>
    <w:p>
      <w:pPr>
        <w:spacing w:line="600" w:lineRule="exact"/>
        <w:ind w:firstLine="642" w:firstLineChars="200"/>
        <w:rPr>
          <w:rStyle w:val="19"/>
          <w:rFonts w:hint="default" w:ascii="Times New Roman" w:hAnsi="Times New Roman" w:eastAsia="方正仿宋_GBK" w:cs="Times New Roman"/>
          <w:b w:val="0"/>
          <w:bCs/>
          <w:color w:val="auto"/>
          <w:sz w:val="32"/>
          <w:szCs w:val="32"/>
          <w:highlight w:val="none"/>
          <w:lang w:eastAsia="zh-CN"/>
        </w:rPr>
      </w:pPr>
      <w:r>
        <w:rPr>
          <w:rFonts w:hint="default" w:ascii="Times New Roman" w:hAnsi="Times New Roman" w:eastAsia="方正仿宋_GBK" w:cs="Times New Roman"/>
          <w:b/>
          <w:bCs/>
          <w:color w:val="auto"/>
          <w:sz w:val="32"/>
          <w:szCs w:val="32"/>
          <w:highlight w:val="none"/>
          <w:lang w:val="en-US" w:eastAsia="zh-CN"/>
        </w:rPr>
        <w:t>6.</w:t>
      </w:r>
      <w:r>
        <w:rPr>
          <w:rFonts w:hint="default" w:ascii="Times New Roman" w:hAnsi="Times New Roman" w:eastAsia="方正仿宋_GBK" w:cs="Times New Roman"/>
          <w:b/>
          <w:bCs/>
          <w:color w:val="auto"/>
          <w:sz w:val="32"/>
          <w:szCs w:val="32"/>
          <w:highlight w:val="none"/>
        </w:rPr>
        <w:t>卫生健康</w:t>
      </w:r>
      <w:r>
        <w:rPr>
          <w:rStyle w:val="19"/>
          <w:rFonts w:hint="default" w:ascii="Times New Roman" w:hAnsi="Times New Roman" w:eastAsia="方正仿宋_GBK" w:cs="Times New Roman"/>
          <w:bCs/>
          <w:color w:val="auto"/>
          <w:sz w:val="32"/>
          <w:szCs w:val="32"/>
          <w:highlight w:val="none"/>
        </w:rPr>
        <w:t>（类）行政事业单位医疗（款）行政单位医疗（项）:</w:t>
      </w:r>
      <w:r>
        <w:rPr>
          <w:rStyle w:val="19"/>
          <w:rFonts w:hint="default" w:ascii="Times New Roman" w:hAnsi="Times New Roman" w:eastAsia="方正仿宋_GBK" w:cs="Times New Roman"/>
          <w:b w:val="0"/>
          <w:bCs/>
          <w:color w:val="auto"/>
          <w:sz w:val="32"/>
          <w:szCs w:val="32"/>
          <w:highlight w:val="none"/>
        </w:rPr>
        <w:t>支出决算为</w:t>
      </w:r>
      <w:r>
        <w:rPr>
          <w:rStyle w:val="19"/>
          <w:rFonts w:hint="default" w:ascii="Times New Roman" w:hAnsi="Times New Roman" w:eastAsia="方正仿宋_GBK" w:cs="Times New Roman"/>
          <w:b w:val="0"/>
          <w:bCs/>
          <w:color w:val="auto"/>
          <w:sz w:val="32"/>
          <w:szCs w:val="32"/>
          <w:highlight w:val="none"/>
          <w:lang w:val="en-US" w:eastAsia="zh-CN"/>
        </w:rPr>
        <w:t>16.09</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r>
        <w:rPr>
          <w:rStyle w:val="19"/>
          <w:rFonts w:hint="default" w:ascii="Times New Roman" w:hAnsi="Times New Roman" w:eastAsia="方正仿宋_GBK" w:cs="Times New Roman"/>
          <w:b w:val="0"/>
          <w:bCs/>
          <w:color w:val="auto"/>
          <w:sz w:val="32"/>
          <w:szCs w:val="32"/>
          <w:highlight w:val="none"/>
          <w:lang w:eastAsia="zh-CN"/>
        </w:rPr>
        <w:t>。</w:t>
      </w:r>
    </w:p>
    <w:p>
      <w:pPr>
        <w:spacing w:line="600" w:lineRule="exact"/>
        <w:ind w:firstLine="642" w:firstLineChars="200"/>
        <w:rPr>
          <w:rStyle w:val="19"/>
          <w:rFonts w:hint="default" w:ascii="Times New Roman" w:hAnsi="Times New Roman" w:eastAsia="方正仿宋_GBK" w:cs="Times New Roman"/>
          <w:bCs/>
          <w:color w:val="auto"/>
          <w:sz w:val="32"/>
          <w:szCs w:val="32"/>
          <w:highlight w:val="none"/>
        </w:rPr>
      </w:pPr>
      <w:r>
        <w:rPr>
          <w:rFonts w:hint="default" w:ascii="Times New Roman" w:hAnsi="Times New Roman" w:eastAsia="方正仿宋_GBK" w:cs="Times New Roman"/>
          <w:b/>
          <w:bCs/>
          <w:color w:val="auto"/>
          <w:sz w:val="32"/>
          <w:szCs w:val="32"/>
          <w:highlight w:val="none"/>
          <w:lang w:val="en-US" w:eastAsia="zh-CN"/>
        </w:rPr>
        <w:t>7.</w:t>
      </w:r>
      <w:r>
        <w:rPr>
          <w:rFonts w:hint="default" w:ascii="Times New Roman" w:hAnsi="Times New Roman" w:eastAsia="方正仿宋_GBK" w:cs="Times New Roman"/>
          <w:b/>
          <w:bCs/>
          <w:color w:val="auto"/>
          <w:sz w:val="32"/>
          <w:szCs w:val="32"/>
          <w:highlight w:val="none"/>
        </w:rPr>
        <w:t>卫生健康</w:t>
      </w:r>
      <w:r>
        <w:rPr>
          <w:rStyle w:val="19"/>
          <w:rFonts w:hint="default" w:ascii="Times New Roman" w:hAnsi="Times New Roman" w:eastAsia="方正仿宋_GBK" w:cs="Times New Roman"/>
          <w:bCs/>
          <w:color w:val="auto"/>
          <w:sz w:val="32"/>
          <w:szCs w:val="32"/>
          <w:highlight w:val="none"/>
        </w:rPr>
        <w:t>（类）行政事业单位医疗（款）公务员医疗补助（项）:</w:t>
      </w:r>
      <w:r>
        <w:rPr>
          <w:rStyle w:val="19"/>
          <w:rFonts w:hint="default" w:ascii="Times New Roman" w:hAnsi="Times New Roman" w:eastAsia="方正仿宋_GBK" w:cs="Times New Roman"/>
          <w:b w:val="0"/>
          <w:bCs/>
          <w:color w:val="auto"/>
          <w:sz w:val="32"/>
          <w:szCs w:val="32"/>
          <w:highlight w:val="none"/>
        </w:rPr>
        <w:t>支出决算为</w:t>
      </w:r>
      <w:r>
        <w:rPr>
          <w:rStyle w:val="19"/>
          <w:rFonts w:hint="default" w:ascii="Times New Roman" w:hAnsi="Times New Roman" w:eastAsia="方正仿宋_GBK" w:cs="Times New Roman"/>
          <w:b w:val="0"/>
          <w:bCs/>
          <w:color w:val="auto"/>
          <w:sz w:val="32"/>
          <w:szCs w:val="32"/>
          <w:highlight w:val="none"/>
          <w:lang w:val="en-US" w:eastAsia="zh-CN"/>
        </w:rPr>
        <w:t>3.87</w:t>
      </w:r>
      <w:r>
        <w:rPr>
          <w:rStyle w:val="19"/>
          <w:rFonts w:hint="default" w:ascii="Times New Roman" w:hAnsi="Times New Roman" w:eastAsia="方正仿宋_GBK" w:cs="Times New Roman"/>
          <w:b w:val="0"/>
          <w:bCs/>
          <w:color w:val="auto"/>
          <w:sz w:val="32"/>
          <w:szCs w:val="32"/>
          <w:highlight w:val="none"/>
        </w:rPr>
        <w:t>万元，完成预算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r>
        <w:rPr>
          <w:rStyle w:val="19"/>
          <w:rFonts w:hint="default" w:ascii="Times New Roman" w:hAnsi="Times New Roman" w:eastAsia="方正仿宋_GBK" w:cs="Times New Roman"/>
          <w:b w:val="0"/>
          <w:bCs/>
          <w:color w:val="auto"/>
          <w:sz w:val="32"/>
          <w:szCs w:val="32"/>
          <w:highlight w:val="none"/>
          <w:lang w:eastAsia="zh-CN"/>
        </w:rPr>
        <w:t>。</w:t>
      </w:r>
    </w:p>
    <w:p>
      <w:pPr>
        <w:spacing w:line="600" w:lineRule="exact"/>
        <w:ind w:firstLine="642" w:firstLineChars="200"/>
        <w:rPr>
          <w:rStyle w:val="19"/>
          <w:rFonts w:hint="default" w:ascii="Times New Roman" w:hAnsi="Times New Roman" w:eastAsia="方正仿宋_GBK" w:cs="Times New Roman"/>
          <w:b w:val="0"/>
          <w:bCs/>
          <w:color w:val="000000"/>
          <w:sz w:val="32"/>
          <w:szCs w:val="32"/>
        </w:rPr>
      </w:pPr>
      <w:r>
        <w:rPr>
          <w:rStyle w:val="19"/>
          <w:rFonts w:hint="default" w:ascii="Times New Roman" w:hAnsi="Times New Roman" w:eastAsia="方正仿宋_GBK" w:cs="Times New Roman"/>
          <w:bCs/>
          <w:color w:val="000000"/>
          <w:sz w:val="32"/>
          <w:szCs w:val="32"/>
          <w:lang w:val="en-US" w:eastAsia="zh-CN"/>
        </w:rPr>
        <w:t>8</w:t>
      </w:r>
      <w:r>
        <w:rPr>
          <w:rStyle w:val="19"/>
          <w:rFonts w:hint="default" w:ascii="Times New Roman" w:hAnsi="Times New Roman" w:eastAsia="方正仿宋_GBK" w:cs="Times New Roman"/>
          <w:bCs/>
          <w:color w:val="000000"/>
          <w:sz w:val="32"/>
          <w:szCs w:val="32"/>
        </w:rPr>
        <w:t>.住房保障支出（类）住房改革支出（款）住房公积金（项）：</w:t>
      </w:r>
      <w:r>
        <w:rPr>
          <w:rStyle w:val="19"/>
          <w:rFonts w:hint="default" w:ascii="Times New Roman" w:hAnsi="Times New Roman" w:eastAsia="方正仿宋_GBK" w:cs="Times New Roman"/>
          <w:b w:val="0"/>
          <w:bCs/>
          <w:color w:val="000000"/>
          <w:sz w:val="32"/>
          <w:szCs w:val="32"/>
          <w:lang w:eastAsia="zh-CN"/>
        </w:rPr>
        <w:t>支出</w:t>
      </w:r>
      <w:r>
        <w:rPr>
          <w:rStyle w:val="19"/>
          <w:rFonts w:hint="default" w:ascii="Times New Roman" w:hAnsi="Times New Roman" w:eastAsia="方正仿宋_GBK" w:cs="Times New Roman"/>
          <w:b w:val="0"/>
          <w:bCs/>
          <w:color w:val="000000"/>
          <w:sz w:val="32"/>
          <w:szCs w:val="32"/>
        </w:rPr>
        <w:t>决算数为</w:t>
      </w:r>
      <w:r>
        <w:rPr>
          <w:rStyle w:val="19"/>
          <w:rFonts w:hint="default" w:ascii="Times New Roman" w:hAnsi="Times New Roman" w:eastAsia="方正仿宋_GBK" w:cs="Times New Roman"/>
          <w:b w:val="0"/>
          <w:bCs/>
          <w:color w:val="000000"/>
          <w:sz w:val="32"/>
          <w:szCs w:val="32"/>
          <w:lang w:val="en-US" w:eastAsia="zh-CN"/>
        </w:rPr>
        <w:t>26.99</w:t>
      </w:r>
      <w:r>
        <w:rPr>
          <w:rStyle w:val="19"/>
          <w:rFonts w:hint="default" w:ascii="Times New Roman" w:hAnsi="Times New Roman" w:eastAsia="方正仿宋_GBK" w:cs="Times New Roman"/>
          <w:b w:val="0"/>
          <w:bCs/>
          <w:color w:val="000000"/>
          <w:sz w:val="32"/>
          <w:szCs w:val="32"/>
        </w:rPr>
        <w:t>万元，完成预算100%。</w:t>
      </w:r>
    </w:p>
    <w:p>
      <w:pPr>
        <w:spacing w:line="600" w:lineRule="exact"/>
        <w:ind w:firstLine="642" w:firstLineChars="200"/>
        <w:rPr>
          <w:rFonts w:hint="default" w:ascii="Times New Roman" w:hAnsi="Times New Roman" w:eastAsia="方正仿宋_GBK" w:cs="Times New Roman"/>
          <w:b/>
          <w:color w:val="auto"/>
          <w:sz w:val="32"/>
          <w:szCs w:val="32"/>
          <w:highlight w:val="none"/>
        </w:rPr>
      </w:pPr>
      <w:r>
        <w:rPr>
          <w:rFonts w:hint="default" w:ascii="Times New Roman" w:hAnsi="Times New Roman" w:eastAsia="方正仿宋_GBK" w:cs="Times New Roman"/>
          <w:b/>
          <w:color w:val="auto"/>
          <w:sz w:val="32"/>
          <w:szCs w:val="32"/>
          <w:highlight w:val="none"/>
        </w:rPr>
        <w:t>（注：数据来源于财决01-1表</w:t>
      </w:r>
      <w:r>
        <w:rPr>
          <w:rFonts w:hint="default" w:ascii="Times New Roman" w:hAnsi="Times New Roman" w:eastAsia="方正仿宋_GBK" w:cs="Times New Roman"/>
          <w:b/>
          <w:color w:val="auto"/>
          <w:sz w:val="32"/>
          <w:szCs w:val="32"/>
          <w:highlight w:val="none"/>
          <w:lang w:eastAsia="zh-CN"/>
        </w:rPr>
        <w:t>和财决</w:t>
      </w:r>
      <w:r>
        <w:rPr>
          <w:rFonts w:hint="default" w:ascii="Times New Roman" w:hAnsi="Times New Roman" w:eastAsia="方正仿宋_GBK" w:cs="Times New Roman"/>
          <w:b/>
          <w:color w:val="auto"/>
          <w:sz w:val="32"/>
          <w:szCs w:val="32"/>
          <w:highlight w:val="none"/>
          <w:lang w:val="en-US" w:eastAsia="zh-CN"/>
        </w:rPr>
        <w:t>08表</w:t>
      </w:r>
      <w:r>
        <w:rPr>
          <w:rFonts w:hint="default" w:ascii="Times New Roman" w:hAnsi="Times New Roman" w:eastAsia="方正仿宋_GBK" w:cs="Times New Roman"/>
          <w:b/>
          <w:color w:val="auto"/>
          <w:sz w:val="32"/>
          <w:szCs w:val="32"/>
          <w:highlight w:val="none"/>
        </w:rPr>
        <w:t>，</w:t>
      </w:r>
      <w:r>
        <w:rPr>
          <w:rFonts w:hint="default" w:ascii="Times New Roman" w:hAnsi="Times New Roman" w:eastAsia="方正仿宋_GBK" w:cs="Times New Roman"/>
          <w:b/>
          <w:color w:val="auto"/>
          <w:sz w:val="32"/>
          <w:szCs w:val="32"/>
          <w:highlight w:val="none"/>
          <w:lang w:eastAsia="zh-CN"/>
        </w:rPr>
        <w:t>仅</w:t>
      </w:r>
      <w:r>
        <w:rPr>
          <w:rFonts w:hint="default" w:ascii="Times New Roman" w:hAnsi="Times New Roman" w:eastAsia="方正仿宋_GBK" w:cs="Times New Roman"/>
          <w:b/>
          <w:color w:val="auto"/>
          <w:sz w:val="32"/>
          <w:szCs w:val="32"/>
          <w:highlight w:val="none"/>
        </w:rPr>
        <w:t>罗列</w:t>
      </w:r>
      <w:r>
        <w:rPr>
          <w:rFonts w:hint="default" w:ascii="Times New Roman" w:hAnsi="Times New Roman" w:eastAsia="方正仿宋_GBK" w:cs="Times New Roman"/>
          <w:b/>
          <w:color w:val="auto"/>
          <w:sz w:val="32"/>
          <w:szCs w:val="32"/>
          <w:highlight w:val="none"/>
          <w:lang w:eastAsia="zh-CN"/>
        </w:rPr>
        <w:t>本单位涉及的</w:t>
      </w:r>
      <w:r>
        <w:rPr>
          <w:rFonts w:hint="default" w:ascii="Times New Roman" w:hAnsi="Times New Roman" w:eastAsia="方正仿宋_GBK" w:cs="Times New Roman"/>
          <w:b/>
          <w:color w:val="auto"/>
          <w:sz w:val="32"/>
          <w:szCs w:val="32"/>
          <w:highlight w:val="none"/>
        </w:rPr>
        <w:t>全部功能分类科目</w:t>
      </w:r>
      <w:r>
        <w:rPr>
          <w:rFonts w:hint="default" w:ascii="Times New Roman" w:hAnsi="Times New Roman" w:eastAsia="方正仿宋_GBK" w:cs="Times New Roman"/>
          <w:b/>
          <w:color w:val="auto"/>
          <w:sz w:val="32"/>
          <w:szCs w:val="32"/>
          <w:highlight w:val="none"/>
          <w:lang w:eastAsia="zh-CN"/>
        </w:rPr>
        <w:t>，</w:t>
      </w:r>
      <w:r>
        <w:rPr>
          <w:rFonts w:hint="default" w:ascii="Times New Roman" w:hAnsi="Times New Roman" w:eastAsia="方正仿宋_GBK" w:cs="Times New Roman"/>
          <w:b/>
          <w:color w:val="auto"/>
          <w:sz w:val="32"/>
          <w:szCs w:val="32"/>
          <w:highlight w:val="none"/>
        </w:rPr>
        <w:t>至项级。上述“预算”口径为</w:t>
      </w:r>
      <w:r>
        <w:rPr>
          <w:rFonts w:hint="default" w:ascii="Times New Roman" w:hAnsi="Times New Roman" w:eastAsia="方正仿宋_GBK" w:cs="Times New Roman"/>
          <w:b/>
          <w:color w:val="auto"/>
          <w:sz w:val="32"/>
          <w:szCs w:val="32"/>
          <w:highlight w:val="none"/>
          <w:lang w:eastAsia="zh-CN"/>
        </w:rPr>
        <w:t>全年预算</w:t>
      </w:r>
      <w:r>
        <w:rPr>
          <w:rFonts w:hint="default" w:ascii="Times New Roman" w:hAnsi="Times New Roman" w:eastAsia="方正仿宋_GBK" w:cs="Times New Roman"/>
          <w:b/>
          <w:color w:val="auto"/>
          <w:sz w:val="32"/>
          <w:szCs w:val="32"/>
          <w:highlight w:val="none"/>
        </w:rPr>
        <w:t>数。增减变动原因为决算数&lt;项级&gt;和</w:t>
      </w:r>
      <w:r>
        <w:rPr>
          <w:rFonts w:hint="default" w:ascii="Times New Roman" w:hAnsi="Times New Roman" w:eastAsia="方正仿宋_GBK" w:cs="Times New Roman"/>
          <w:b/>
          <w:color w:val="auto"/>
          <w:sz w:val="32"/>
          <w:szCs w:val="32"/>
          <w:highlight w:val="none"/>
          <w:lang w:eastAsia="zh-CN"/>
        </w:rPr>
        <w:t>全年预算</w:t>
      </w:r>
      <w:r>
        <w:rPr>
          <w:rFonts w:hint="default" w:ascii="Times New Roman" w:hAnsi="Times New Roman" w:eastAsia="方正仿宋_GBK" w:cs="Times New Roman"/>
          <w:b/>
          <w:color w:val="auto"/>
          <w:sz w:val="32"/>
          <w:szCs w:val="32"/>
          <w:highlight w:val="none"/>
        </w:rPr>
        <w:t>数&lt;项级&gt;比较，与预算数持平可以不写原因。）</w:t>
      </w:r>
    </w:p>
    <w:p>
      <w:pPr>
        <w:spacing w:line="600" w:lineRule="exact"/>
        <w:ind w:firstLine="640"/>
        <w:rPr>
          <w:rFonts w:hint="default" w:ascii="Times New Roman" w:hAnsi="Times New Roman" w:eastAsia="仿宋" w:cs="Times New Roman"/>
          <w:b/>
          <w:color w:val="auto"/>
          <w:sz w:val="32"/>
          <w:szCs w:val="32"/>
          <w:highlight w:val="none"/>
        </w:rPr>
      </w:pPr>
    </w:p>
    <w:p>
      <w:pPr>
        <w:tabs>
          <w:tab w:val="right" w:pos="8306"/>
        </w:tabs>
        <w:spacing w:line="600" w:lineRule="exact"/>
        <w:ind w:firstLine="640"/>
        <w:outlineLvl w:val="1"/>
        <w:rPr>
          <w:rStyle w:val="23"/>
          <w:rFonts w:hint="eastAsia" w:ascii="方正黑体_GBK" w:hAnsi="方正黑体_GBK" w:eastAsia="方正黑体_GBK" w:cs="方正黑体_GBK"/>
          <w:color w:val="auto"/>
          <w:highlight w:val="none"/>
        </w:rPr>
      </w:pPr>
      <w:bookmarkStart w:id="34" w:name="_Toc15396608"/>
      <w:bookmarkStart w:id="35" w:name="_Toc15377214"/>
      <w:r>
        <w:rPr>
          <w:rFonts w:hint="eastAsia" w:ascii="方正黑体_GBK" w:hAnsi="方正黑体_GBK" w:eastAsia="方正黑体_GBK" w:cs="方正黑体_GBK"/>
          <w:color w:val="auto"/>
          <w:sz w:val="32"/>
          <w:szCs w:val="32"/>
          <w:highlight w:val="none"/>
        </w:rPr>
        <w:t>六</w:t>
      </w:r>
      <w:r>
        <w:rPr>
          <w:rFonts w:hint="eastAsia" w:ascii="方正黑体_GBK" w:hAnsi="方正黑体_GBK" w:eastAsia="方正黑体_GBK" w:cs="方正黑体_GBK"/>
          <w:b/>
          <w:color w:val="auto"/>
          <w:sz w:val="32"/>
          <w:szCs w:val="32"/>
          <w:highlight w:val="none"/>
        </w:rPr>
        <w:t>、</w:t>
      </w:r>
      <w:r>
        <w:rPr>
          <w:rFonts w:hint="eastAsia" w:ascii="方正黑体_GBK" w:hAnsi="方正黑体_GBK" w:eastAsia="方正黑体_GBK" w:cs="方正黑体_GBK"/>
          <w:b w:val="0"/>
          <w:bCs/>
          <w:color w:val="auto"/>
          <w:sz w:val="32"/>
          <w:szCs w:val="32"/>
          <w:highlight w:val="none"/>
          <w:lang w:eastAsia="zh-CN"/>
        </w:rPr>
        <w:t>一</w:t>
      </w:r>
      <w:r>
        <w:rPr>
          <w:rStyle w:val="23"/>
          <w:rFonts w:hint="eastAsia" w:ascii="方正黑体_GBK" w:hAnsi="方正黑体_GBK" w:eastAsia="方正黑体_GBK" w:cs="方正黑体_GBK"/>
          <w:b w:val="0"/>
          <w:color w:val="auto"/>
          <w:highlight w:val="none"/>
        </w:rPr>
        <w:t>般公共预算财政拨款基本支出决算情况说明</w:t>
      </w:r>
      <w:bookmarkEnd w:id="34"/>
      <w:bookmarkEnd w:id="35"/>
    </w:p>
    <w:p>
      <w:pPr>
        <w:spacing w:line="600" w:lineRule="exact"/>
        <w:ind w:firstLine="645"/>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w:t>
      </w:r>
      <w:r>
        <w:rPr>
          <w:rFonts w:hint="default" w:ascii="Times New Roman" w:hAnsi="Times New Roman" w:eastAsia="方正仿宋_GBK" w:cs="Times New Roman"/>
          <w:color w:val="auto"/>
          <w:sz w:val="32"/>
          <w:szCs w:val="32"/>
          <w:highlight w:val="none"/>
          <w:lang w:eastAsia="zh-CN"/>
        </w:rPr>
        <w:t>度</w:t>
      </w:r>
      <w:r>
        <w:rPr>
          <w:rFonts w:hint="default" w:ascii="Times New Roman" w:hAnsi="Times New Roman" w:eastAsia="方正仿宋_GBK" w:cs="Times New Roman"/>
          <w:color w:val="auto"/>
          <w:sz w:val="32"/>
          <w:szCs w:val="32"/>
          <w:highlight w:val="none"/>
        </w:rPr>
        <w:t>一般公共预算财政拨款基本支出</w:t>
      </w:r>
      <w:r>
        <w:rPr>
          <w:rFonts w:hint="default" w:ascii="Times New Roman" w:hAnsi="Times New Roman" w:eastAsia="方正仿宋_GBK" w:cs="Times New Roman"/>
          <w:color w:val="auto"/>
          <w:sz w:val="32"/>
          <w:szCs w:val="32"/>
          <w:highlight w:val="none"/>
          <w:lang w:val="en-US" w:eastAsia="zh-CN"/>
        </w:rPr>
        <w:t>419.48</w:t>
      </w:r>
      <w:r>
        <w:rPr>
          <w:rFonts w:hint="default" w:ascii="Times New Roman" w:hAnsi="Times New Roman" w:eastAsia="方正仿宋_GBK" w:cs="Times New Roman"/>
          <w:color w:val="auto"/>
          <w:sz w:val="32"/>
          <w:szCs w:val="32"/>
          <w:highlight w:val="none"/>
        </w:rPr>
        <w:t>万元，其中：</w:t>
      </w:r>
    </w:p>
    <w:p>
      <w:pPr>
        <w:spacing w:line="600" w:lineRule="exact"/>
        <w:ind w:firstLine="645"/>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人员经费</w:t>
      </w:r>
      <w:r>
        <w:rPr>
          <w:rFonts w:hint="default" w:ascii="Times New Roman" w:hAnsi="Times New Roman" w:eastAsia="方正仿宋_GBK" w:cs="Times New Roman"/>
          <w:color w:val="auto"/>
          <w:sz w:val="32"/>
          <w:szCs w:val="32"/>
          <w:highlight w:val="none"/>
          <w:lang w:val="en-US" w:eastAsia="zh-CN"/>
        </w:rPr>
        <w:t>377.88</w:t>
      </w:r>
      <w:r>
        <w:rPr>
          <w:rFonts w:hint="default" w:ascii="Times New Roman" w:hAnsi="Times New Roman" w:eastAsia="方正仿宋_GBK" w:cs="Times New Roman"/>
          <w:color w:val="auto"/>
          <w:sz w:val="32"/>
          <w:szCs w:val="32"/>
          <w:highlight w:val="none"/>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方正仿宋_GBK" w:cs="Times New Roman"/>
          <w:color w:val="auto"/>
          <w:sz w:val="32"/>
          <w:szCs w:val="32"/>
          <w:highlight w:val="none"/>
        </w:rPr>
        <w:t>公用经费</w:t>
      </w:r>
      <w:r>
        <w:rPr>
          <w:rFonts w:hint="default" w:ascii="Times New Roman" w:hAnsi="Times New Roman" w:eastAsia="方正仿宋_GBK" w:cs="Times New Roman"/>
          <w:color w:val="auto"/>
          <w:sz w:val="32"/>
          <w:szCs w:val="32"/>
          <w:highlight w:val="none"/>
          <w:lang w:val="en-US" w:eastAsia="zh-CN"/>
        </w:rPr>
        <w:t>41.6</w:t>
      </w:r>
      <w:r>
        <w:rPr>
          <w:rFonts w:hint="default" w:ascii="Times New Roman" w:hAnsi="Times New Roman" w:eastAsia="方正仿宋_GBK" w:cs="Times New Roman"/>
          <w:color w:val="auto"/>
          <w:sz w:val="32"/>
          <w:szCs w:val="32"/>
          <w:highlight w:val="none"/>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（注：数据来源于财决07表</w:t>
      </w:r>
      <w:r>
        <w:rPr>
          <w:rFonts w:hint="default" w:ascii="Times New Roman" w:hAnsi="Times New Roman" w:eastAsia="仿宋" w:cs="Times New Roman"/>
          <w:b/>
          <w:color w:val="auto"/>
          <w:sz w:val="32"/>
          <w:szCs w:val="32"/>
          <w:highlight w:val="none"/>
          <w:lang w:eastAsia="zh-CN"/>
        </w:rPr>
        <w:t>和财决</w:t>
      </w:r>
      <w:r>
        <w:rPr>
          <w:rFonts w:hint="default" w:ascii="Times New Roman" w:hAnsi="Times New Roman" w:eastAsia="仿宋" w:cs="Times New Roman"/>
          <w:b/>
          <w:color w:val="auto"/>
          <w:sz w:val="32"/>
          <w:szCs w:val="32"/>
          <w:highlight w:val="none"/>
          <w:lang w:val="en-US" w:eastAsia="zh-CN"/>
        </w:rPr>
        <w:t>08-1表</w:t>
      </w: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仅罗列</w:t>
      </w:r>
      <w:r>
        <w:rPr>
          <w:rFonts w:hint="default" w:ascii="Times New Roman" w:hAnsi="Times New Roman" w:eastAsia="仿宋" w:cs="Times New Roman"/>
          <w:b/>
          <w:color w:val="auto"/>
          <w:sz w:val="32"/>
          <w:szCs w:val="32"/>
          <w:highlight w:val="none"/>
        </w:rPr>
        <w:t>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实际支出</w:t>
      </w:r>
      <w:r>
        <w:rPr>
          <w:rFonts w:hint="default" w:ascii="Times New Roman" w:hAnsi="Times New Roman" w:eastAsia="仿宋" w:cs="Times New Roman"/>
          <w:b/>
          <w:color w:val="auto"/>
          <w:sz w:val="32"/>
          <w:szCs w:val="32"/>
          <w:highlight w:val="none"/>
          <w:lang w:eastAsia="zh-CN"/>
        </w:rPr>
        <w:t>涉及的</w:t>
      </w:r>
      <w:r>
        <w:rPr>
          <w:rFonts w:hint="default" w:ascii="Times New Roman" w:hAnsi="Times New Roman" w:eastAsia="仿宋" w:cs="Times New Roman"/>
          <w:b/>
          <w:color w:val="auto"/>
          <w:sz w:val="32"/>
          <w:szCs w:val="32"/>
          <w:highlight w:val="none"/>
        </w:rPr>
        <w:t>经济分类科目。）</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outlineLvl w:val="1"/>
        <w:rPr>
          <w:rStyle w:val="23"/>
          <w:rFonts w:hint="default" w:ascii="Times New Roman" w:hAnsi="Times New Roman" w:eastAsia="黑体" w:cs="Times New Roman"/>
          <w:b w:val="0"/>
          <w:color w:val="auto"/>
          <w:highlight w:val="none"/>
        </w:rPr>
      </w:pPr>
      <w:bookmarkStart w:id="36" w:name="_Toc15396609"/>
      <w:bookmarkStart w:id="37" w:name="_Toc15377215"/>
      <w:r>
        <w:rPr>
          <w:rFonts w:hint="eastAsia" w:ascii="方正黑体_GBK" w:hAnsi="方正黑体_GBK" w:eastAsia="方正黑体_GBK" w:cs="方正黑体_GBK"/>
          <w:color w:val="auto"/>
          <w:sz w:val="32"/>
          <w:szCs w:val="32"/>
          <w:highlight w:val="none"/>
        </w:rPr>
        <w:t>七、</w:t>
      </w:r>
      <w:r>
        <w:rPr>
          <w:rStyle w:val="23"/>
          <w:rFonts w:hint="eastAsia" w:ascii="方正黑体_GBK" w:hAnsi="方正黑体_GBK" w:eastAsia="方正黑体_GBK" w:cs="方正黑体_GBK"/>
          <w:b w:val="0"/>
          <w:color w:val="auto"/>
          <w:highlight w:val="none"/>
        </w:rPr>
        <w:t>财政拨款“三公”经费支出决算情况说明</w:t>
      </w:r>
      <w:bookmarkEnd w:id="36"/>
      <w:bookmarkEnd w:id="37"/>
    </w:p>
    <w:p>
      <w:pPr>
        <w:spacing w:line="600" w:lineRule="exact"/>
        <w:ind w:firstLine="640"/>
        <w:outlineLvl w:val="2"/>
        <w:rPr>
          <w:rFonts w:hint="default" w:ascii="Times New Roman" w:hAnsi="Times New Roman" w:eastAsia="仿宋" w:cs="Times New Roman"/>
          <w:b/>
          <w:color w:val="auto"/>
          <w:sz w:val="32"/>
          <w:szCs w:val="32"/>
          <w:highlight w:val="none"/>
        </w:rPr>
      </w:pPr>
      <w:bookmarkStart w:id="38" w:name="_Toc15377216"/>
      <w:r>
        <w:rPr>
          <w:rFonts w:hint="default" w:ascii="Times New Roman" w:hAnsi="Times New Roman" w:eastAsia="方正楷体_GBK" w:cs="Times New Roman"/>
          <w:b/>
          <w:color w:val="auto"/>
          <w:sz w:val="32"/>
          <w:szCs w:val="32"/>
          <w:highlight w:val="none"/>
        </w:rPr>
        <w:t>（一）“三公”经费财政拨款支出决算总体情况说明</w:t>
      </w:r>
      <w:bookmarkEnd w:id="38"/>
    </w:p>
    <w:p>
      <w:pPr>
        <w:spacing w:line="600" w:lineRule="exact"/>
        <w:ind w:firstLine="640"/>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w:t>
      </w:r>
      <w:r>
        <w:rPr>
          <w:rFonts w:hint="default" w:ascii="Times New Roman" w:hAnsi="Times New Roman" w:eastAsia="方正仿宋_GBK" w:cs="Times New Roman"/>
          <w:color w:val="auto"/>
          <w:sz w:val="32"/>
          <w:szCs w:val="32"/>
          <w:highlight w:val="none"/>
          <w:lang w:eastAsia="zh-CN"/>
        </w:rPr>
        <w:t>度</w:t>
      </w:r>
      <w:r>
        <w:rPr>
          <w:rFonts w:hint="default" w:ascii="Times New Roman" w:hAnsi="Times New Roman" w:eastAsia="方正仿宋_GBK" w:cs="Times New Roman"/>
          <w:color w:val="auto"/>
          <w:sz w:val="32"/>
          <w:szCs w:val="32"/>
          <w:highlight w:val="none"/>
        </w:rPr>
        <w:t>“三公”经费财政拨款支出决算为</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kern w:val="2"/>
          <w:sz w:val="32"/>
          <w:szCs w:val="32"/>
          <w:highlight w:val="none"/>
          <w:lang w:val="en-US" w:eastAsia="zh-CN" w:bidi="ar-SA"/>
        </w:rPr>
        <w:t>完成预算</w:t>
      </w:r>
      <w:r>
        <w:rPr>
          <w:rFonts w:hint="default" w:ascii="Times New Roman" w:hAnsi="Times New Roman" w:eastAsia="方正仿宋_GBK" w:cs="Times New Roman"/>
          <w:sz w:val="32"/>
          <w:szCs w:val="32"/>
        </w:rPr>
        <w:t>85.87</w:t>
      </w:r>
      <w:r>
        <w:rPr>
          <w:rFonts w:hint="default" w:ascii="Times New Roman" w:hAnsi="Times New Roman" w:eastAsia="方正仿宋_GBK" w:cs="Times New Roman"/>
          <w:color w:val="auto"/>
          <w:kern w:val="2"/>
          <w:sz w:val="32"/>
          <w:szCs w:val="32"/>
          <w:highlight w:val="none"/>
          <w:lang w:val="en-US" w:eastAsia="zh-CN" w:bidi="ar-SA"/>
        </w:rPr>
        <w:t>%，</w:t>
      </w:r>
      <w:r>
        <w:rPr>
          <w:rFonts w:hint="default" w:ascii="Times New Roman" w:hAnsi="Times New Roman" w:eastAsia="方正仿宋_GBK" w:cs="Times New Roman"/>
          <w:color w:val="auto"/>
          <w:sz w:val="32"/>
          <w:szCs w:val="32"/>
          <w:highlight w:val="none"/>
          <w:lang w:eastAsia="zh-CN"/>
        </w:rPr>
        <w:t>较上年</w:t>
      </w:r>
      <w:r>
        <w:rPr>
          <w:rFonts w:hint="default" w:ascii="Times New Roman" w:hAnsi="Times New Roman" w:eastAsia="方正仿宋_GBK" w:cs="Times New Roman"/>
          <w:color w:val="auto"/>
          <w:sz w:val="32"/>
          <w:szCs w:val="32"/>
          <w:highlight w:val="none"/>
          <w:lang w:val="en-US" w:eastAsia="zh-CN"/>
        </w:rPr>
        <w:t>减少3.92万元，减少19.66%。</w:t>
      </w:r>
      <w:r>
        <w:rPr>
          <w:rFonts w:hint="default" w:ascii="Times New Roman" w:hAnsi="Times New Roman" w:eastAsia="方正仿宋_GBK" w:cs="Times New Roman"/>
          <w:color w:val="auto"/>
          <w:sz w:val="32"/>
          <w:szCs w:val="32"/>
          <w:highlight w:val="none"/>
        </w:rPr>
        <w:t>决算数小于预算数（或与预算数持平）的主要原因是</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sz w:val="32"/>
          <w:szCs w:val="32"/>
          <w:lang w:val="en-US" w:eastAsia="zh-CN"/>
        </w:rPr>
        <w:t>2024年到基层调研次数少，公务用车运行费减少；2024年未产生公务接待费支出。</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（注：上述“预算”口径为</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数，包括</w:t>
      </w:r>
      <w:r>
        <w:rPr>
          <w:rFonts w:hint="default" w:ascii="Times New Roman" w:hAnsi="Times New Roman" w:eastAsia="仿宋" w:cs="Times New Roman"/>
          <w:b/>
          <w:color w:val="auto"/>
          <w:sz w:val="32"/>
          <w:szCs w:val="32"/>
          <w:highlight w:val="none"/>
          <w:lang w:eastAsia="zh-CN"/>
        </w:rPr>
        <w:t>一般公共预算和</w:t>
      </w:r>
      <w:r>
        <w:rPr>
          <w:rFonts w:hint="default" w:ascii="Times New Roman" w:hAnsi="Times New Roman" w:eastAsia="仿宋" w:cs="Times New Roman"/>
          <w:b/>
          <w:color w:val="auto"/>
          <w:sz w:val="32"/>
          <w:szCs w:val="32"/>
          <w:highlight w:val="none"/>
        </w:rPr>
        <w:t>政府性基金</w:t>
      </w:r>
      <w:r>
        <w:rPr>
          <w:rFonts w:hint="default" w:ascii="Times New Roman" w:hAnsi="Times New Roman" w:eastAsia="仿宋" w:cs="Times New Roman"/>
          <w:b/>
          <w:color w:val="auto"/>
          <w:sz w:val="32"/>
          <w:szCs w:val="32"/>
          <w:highlight w:val="none"/>
          <w:lang w:eastAsia="zh-CN"/>
        </w:rPr>
        <w:t>预算财政拨款</w:t>
      </w:r>
      <w:r>
        <w:rPr>
          <w:rFonts w:hint="default" w:ascii="Times New Roman" w:hAnsi="Times New Roman" w:eastAsia="仿宋" w:cs="Times New Roman"/>
          <w:b/>
          <w:color w:val="auto"/>
          <w:sz w:val="32"/>
          <w:szCs w:val="32"/>
          <w:highlight w:val="none"/>
        </w:rPr>
        <w:t>支出决算情况。）</w:t>
      </w:r>
    </w:p>
    <w:p>
      <w:pPr>
        <w:spacing w:line="600" w:lineRule="exact"/>
        <w:ind w:firstLine="640"/>
        <w:outlineLvl w:val="2"/>
        <w:rPr>
          <w:rFonts w:hint="default" w:ascii="Times New Roman" w:hAnsi="Times New Roman" w:eastAsia="方正楷体_GBK" w:cs="Times New Roman"/>
          <w:b/>
          <w:color w:val="auto"/>
          <w:sz w:val="32"/>
          <w:szCs w:val="32"/>
          <w:highlight w:val="none"/>
        </w:rPr>
      </w:pPr>
      <w:bookmarkStart w:id="39" w:name="_Toc15377217"/>
      <w:r>
        <w:rPr>
          <w:rFonts w:hint="default" w:ascii="Times New Roman" w:hAnsi="Times New Roman" w:eastAsia="方正楷体_GBK" w:cs="Times New Roman"/>
          <w:b/>
          <w:color w:val="auto"/>
          <w:sz w:val="32"/>
          <w:szCs w:val="32"/>
          <w:highlight w:val="none"/>
        </w:rPr>
        <w:t>（二）“三公”经费财政拨款支出决算具体情况说明</w:t>
      </w:r>
      <w:bookmarkEnd w:id="39"/>
    </w:p>
    <w:p>
      <w:pPr>
        <w:spacing w:line="60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w:t>
      </w:r>
      <w:r>
        <w:rPr>
          <w:rFonts w:hint="default" w:ascii="Times New Roman" w:hAnsi="Times New Roman" w:eastAsia="方正仿宋_GBK" w:cs="Times New Roman"/>
          <w:color w:val="auto"/>
          <w:sz w:val="32"/>
          <w:szCs w:val="32"/>
          <w:highlight w:val="none"/>
          <w:lang w:eastAsia="zh-CN"/>
        </w:rPr>
        <w:t>度</w:t>
      </w:r>
      <w:r>
        <w:rPr>
          <w:rFonts w:hint="default" w:ascii="Times New Roman" w:hAnsi="Times New Roman" w:eastAsia="方正仿宋_GBK" w:cs="Times New Roman"/>
          <w:color w:val="auto"/>
          <w:sz w:val="32"/>
          <w:szCs w:val="32"/>
          <w:highlight w:val="none"/>
        </w:rPr>
        <w:t>“三公”经费财政拨款支出决算中，因公出国（境）费支出决算</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%；公务用车购置及运行维护费支出决算</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，其中，</w:t>
      </w:r>
      <w:r>
        <w:rPr>
          <w:rFonts w:hint="default" w:ascii="Times New Roman" w:hAnsi="Times New Roman" w:eastAsia="方正仿宋_GBK" w:cs="Times New Roman"/>
          <w:color w:val="auto"/>
          <w:sz w:val="32"/>
          <w:szCs w:val="32"/>
          <w:highlight w:val="none"/>
        </w:rPr>
        <w:t>公务用车购置费支出决算</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公务用车运行维护费支出决算</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%；公务接待费支出决算</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en-US" w:eastAsia="zh-CN"/>
        </w:rPr>
        <w:t>0.00</w:t>
      </w:r>
      <w:r>
        <w:rPr>
          <w:rFonts w:hint="default" w:ascii="Times New Roman" w:hAnsi="Times New Roman" w:eastAsia="方正仿宋_GBK" w:cs="Times New Roman"/>
          <w:color w:val="auto"/>
          <w:sz w:val="32"/>
          <w:szCs w:val="32"/>
          <w:highlight w:val="none"/>
        </w:rPr>
        <w:t>%。具体情况如下：</w:t>
      </w: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31" o:spid="_x0000_s1031" o:spt="75" alt="olechartimg_1694919319684509_609035264" type="#_x0000_t75" style="position:absolute;left:0pt;margin-left:8.35pt;margin-top:7.15pt;height:193pt;width:328.75pt;mso-wrap-distance-left:9pt;mso-wrap-distance-right:9pt;z-index:-251652096;mso-width-relative:page;mso-height-relative:page;" o:ole="t" filled="f" o:preferrelative="t" stroked="f" coordsize="21600,21600" wrapcoords="21591 -2 0 0 0 21600 21591 21602 8 21602 21599 21600 21599 0 8 -2 21591 -2">
            <v:path/>
            <v:fill on="f" focussize="0,0"/>
            <v:stroke on="f"/>
            <v:imagedata r:id="rId21" o:title=""/>
            <o:lock v:ext="edit" aspectratio="t"/>
            <w10:wrap type="tight"/>
          </v:shape>
          <o:OLEObject Type="Embed" ProgID="Excel.Chart.8" ShapeID="_x0000_s1031" DrawAspect="Content" ObjectID="_1468075729" r:id="rId20">
            <o:LockedField>false</o:LockedField>
          </o:OLEObject>
        </w:pict>
      </w: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（图7：“三公”经费财政拨款支出结构）（饼状图）</w:t>
      </w:r>
    </w:p>
    <w:p>
      <w:pPr>
        <w:spacing w:line="600" w:lineRule="exact"/>
        <w:ind w:firstLine="640"/>
        <w:rPr>
          <w:rFonts w:hint="default" w:ascii="Times New Roman" w:hAnsi="Times New Roman" w:eastAsia="方正仿宋_GBK" w:cs="Times New Roman"/>
          <w:b/>
          <w:color w:val="auto"/>
          <w:sz w:val="32"/>
          <w:szCs w:val="32"/>
          <w:highlight w:val="none"/>
        </w:rPr>
      </w:pPr>
      <w:r>
        <w:rPr>
          <w:rFonts w:hint="default" w:ascii="Times New Roman" w:hAnsi="Times New Roman" w:eastAsia="方正仿宋_GBK" w:cs="Times New Roman"/>
          <w:b/>
          <w:color w:val="auto"/>
          <w:sz w:val="32"/>
          <w:szCs w:val="32"/>
          <w:highlight w:val="none"/>
        </w:rPr>
        <w:t>1.因公出国（境）经费支出</w:t>
      </w:r>
      <w:r>
        <w:rPr>
          <w:rFonts w:hint="default" w:ascii="Times New Roman" w:hAnsi="Times New Roman" w:eastAsia="方正仿宋_GBK" w:cs="Times New Roman"/>
          <w:color w:val="auto"/>
          <w:sz w:val="32"/>
          <w:szCs w:val="32"/>
          <w:highlight w:val="none"/>
        </w:rPr>
        <w:t>**万元，</w:t>
      </w:r>
      <w:r>
        <w:rPr>
          <w:rStyle w:val="19"/>
          <w:rFonts w:hint="default" w:ascii="Times New Roman" w:hAnsi="Times New Roman" w:eastAsia="方正仿宋_GBK" w:cs="Times New Roman"/>
          <w:b w:val="0"/>
          <w:bCs/>
          <w:color w:val="auto"/>
          <w:sz w:val="32"/>
          <w:szCs w:val="32"/>
          <w:highlight w:val="none"/>
        </w:rPr>
        <w:t>完成预算**%。</w:t>
      </w:r>
      <w:r>
        <w:rPr>
          <w:rFonts w:hint="default" w:ascii="Times New Roman" w:hAnsi="Times New Roman" w:eastAsia="方正仿宋_GBK" w:cs="Times New Roman"/>
          <w:color w:val="auto"/>
          <w:sz w:val="32"/>
          <w:szCs w:val="32"/>
          <w:highlight w:val="none"/>
        </w:rPr>
        <w:t>全年安排因公出国（境）团组**次，出国（境）**人。因公出国（境）支出决算比20</w:t>
      </w:r>
      <w:r>
        <w:rPr>
          <w:rFonts w:hint="default" w:ascii="Times New Roman" w:hAnsi="Times New Roman" w:eastAsia="方正仿宋_GBK" w:cs="Times New Roman"/>
          <w:color w:val="auto"/>
          <w:sz w:val="32"/>
          <w:szCs w:val="32"/>
          <w:highlight w:val="none"/>
          <w:lang w:val="en-US" w:eastAsia="zh-CN"/>
        </w:rPr>
        <w:t>23</w:t>
      </w:r>
      <w:r>
        <w:rPr>
          <w:rFonts w:hint="default" w:ascii="Times New Roman" w:hAnsi="Times New Roman" w:eastAsia="方正仿宋_GBK" w:cs="Times New Roman"/>
          <w:color w:val="auto"/>
          <w:sz w:val="32"/>
          <w:szCs w:val="32"/>
          <w:highlight w:val="none"/>
        </w:rPr>
        <w:t>年增加/减少**万元，增长/下降**%。主要原因是……。</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开支内容包括：…（团组名称、出访地点、取得成效）等。</w:t>
      </w:r>
    </w:p>
    <w:p>
      <w:pPr>
        <w:spacing w:line="600" w:lineRule="exact"/>
        <w:ind w:firstLine="640"/>
        <w:rPr>
          <w:rFonts w:hint="default" w:ascii="Times New Roman" w:hAnsi="Times New Roman" w:eastAsia="方正仿宋_GBK" w:cs="Times New Roman"/>
          <w:b/>
          <w:color w:val="auto"/>
          <w:sz w:val="32"/>
          <w:szCs w:val="32"/>
          <w:highlight w:val="none"/>
        </w:rPr>
      </w:pPr>
      <w:r>
        <w:rPr>
          <w:rFonts w:hint="default" w:ascii="Times New Roman" w:hAnsi="Times New Roman" w:eastAsia="方正仿宋_GBK" w:cs="Times New Roman"/>
          <w:b/>
          <w:color w:val="auto"/>
          <w:sz w:val="32"/>
          <w:szCs w:val="32"/>
          <w:highlight w:val="none"/>
        </w:rPr>
        <w:t>2.公务用车购置及运行维护费支出</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w:t>
      </w:r>
      <w:r>
        <w:rPr>
          <w:rStyle w:val="19"/>
          <w:rFonts w:hint="default" w:ascii="Times New Roman" w:hAnsi="Times New Roman" w:eastAsia="方正仿宋_GBK" w:cs="Times New Roman"/>
          <w:b w:val="0"/>
          <w:bCs/>
          <w:color w:val="auto"/>
          <w:sz w:val="32"/>
          <w:szCs w:val="32"/>
          <w:highlight w:val="none"/>
        </w:rPr>
        <w:t>完成预算</w:t>
      </w:r>
      <w:r>
        <w:rPr>
          <w:rStyle w:val="19"/>
          <w:rFonts w:hint="default" w:ascii="Times New Roman" w:hAnsi="Times New Roman" w:eastAsia="方正仿宋_GBK" w:cs="Times New Roman"/>
          <w:b w:val="0"/>
          <w:bCs/>
          <w:color w:val="auto"/>
          <w:sz w:val="32"/>
          <w:szCs w:val="32"/>
          <w:highlight w:val="none"/>
          <w:lang w:val="en-US" w:eastAsia="zh-CN"/>
        </w:rPr>
        <w:t>100</w:t>
      </w:r>
      <w:r>
        <w:rPr>
          <w:rStyle w:val="19"/>
          <w:rFonts w:hint="default" w:ascii="Times New Roman" w:hAnsi="Times New Roman" w:eastAsia="方正仿宋_GBK" w:cs="Times New Roman"/>
          <w:b w:val="0"/>
          <w:bCs/>
          <w:color w:val="auto"/>
          <w:sz w:val="32"/>
          <w:szCs w:val="32"/>
          <w:highlight w:val="none"/>
        </w:rPr>
        <w:t>%。</w:t>
      </w:r>
      <w:r>
        <w:rPr>
          <w:rFonts w:hint="default" w:ascii="Times New Roman" w:hAnsi="Times New Roman" w:eastAsia="方正仿宋_GBK" w:cs="Times New Roman"/>
          <w:color w:val="auto"/>
          <w:sz w:val="32"/>
          <w:szCs w:val="32"/>
          <w:highlight w:val="none"/>
          <w:lang w:eastAsia="zh-CN"/>
        </w:rPr>
        <w:t>其中，</w:t>
      </w:r>
      <w:r>
        <w:rPr>
          <w:rFonts w:hint="default" w:ascii="Times New Roman" w:hAnsi="Times New Roman" w:eastAsia="方正仿宋_GBK" w:cs="Times New Roman"/>
          <w:color w:val="auto"/>
          <w:sz w:val="32"/>
          <w:szCs w:val="32"/>
          <w:highlight w:val="none"/>
        </w:rPr>
        <w:t>公务用车购置费支出决算</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万元，公务用车运行维护费支出决算</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万元；公务用车购置及运行维护费支出决算比20</w:t>
      </w:r>
      <w:r>
        <w:rPr>
          <w:rFonts w:hint="default" w:ascii="Times New Roman" w:hAnsi="Times New Roman" w:eastAsia="方正仿宋_GBK" w:cs="Times New Roman"/>
          <w:color w:val="auto"/>
          <w:sz w:val="32"/>
          <w:szCs w:val="32"/>
          <w:highlight w:val="none"/>
          <w:lang w:val="en-US" w:eastAsia="zh-CN"/>
        </w:rPr>
        <w:t>23</w:t>
      </w:r>
      <w:r>
        <w:rPr>
          <w:rFonts w:hint="default" w:ascii="Times New Roman" w:hAnsi="Times New Roman" w:eastAsia="方正仿宋_GBK" w:cs="Times New Roman"/>
          <w:color w:val="auto"/>
          <w:sz w:val="32"/>
          <w:szCs w:val="32"/>
          <w:highlight w:val="none"/>
        </w:rPr>
        <w:t>年</w:t>
      </w:r>
      <w:r>
        <w:rPr>
          <w:rFonts w:hint="default" w:ascii="Times New Roman" w:hAnsi="Times New Roman" w:eastAsia="方正仿宋_GBK" w:cs="Times New Roman"/>
          <w:color w:val="auto"/>
          <w:sz w:val="32"/>
          <w:szCs w:val="32"/>
          <w:highlight w:val="none"/>
          <w:lang w:val="en-US" w:eastAsia="zh-CN"/>
        </w:rPr>
        <w:t>减少3.78万元，下降19.09%</w:t>
      </w:r>
      <w:r>
        <w:rPr>
          <w:rFonts w:hint="default" w:ascii="Times New Roman" w:hAnsi="Times New Roman" w:eastAsia="方正仿宋_GBK" w:cs="Times New Roman"/>
          <w:color w:val="auto"/>
          <w:sz w:val="32"/>
          <w:szCs w:val="32"/>
          <w:highlight w:val="none"/>
        </w:rPr>
        <w:t>。主要原因是</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sz w:val="32"/>
          <w:szCs w:val="32"/>
          <w:lang w:val="en-US" w:eastAsia="zh-CN"/>
        </w:rPr>
        <w:t>2024年到基层调研次数少，公务用车运行费减少</w:t>
      </w:r>
      <w:r>
        <w:rPr>
          <w:rFonts w:hint="default" w:ascii="Times New Roman" w:hAnsi="Times New Roman" w:eastAsia="方正仿宋_GBK" w:cs="Times New Roman"/>
          <w:color w:val="auto"/>
          <w:sz w:val="32"/>
          <w:szCs w:val="32"/>
          <w:highlight w:val="none"/>
          <w:lang w:val="en-US" w:eastAsia="zh-CN"/>
        </w:rPr>
        <w:t>。</w:t>
      </w:r>
    </w:p>
    <w:p>
      <w:pPr>
        <w:spacing w:line="60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其中：</w:t>
      </w:r>
      <w:r>
        <w:rPr>
          <w:rFonts w:hint="default" w:ascii="Times New Roman" w:hAnsi="Times New Roman" w:eastAsia="方正仿宋_GBK" w:cs="Times New Roman"/>
          <w:b/>
          <w:color w:val="auto"/>
          <w:sz w:val="32"/>
          <w:szCs w:val="32"/>
          <w:highlight w:val="none"/>
        </w:rPr>
        <w:t>公务用车购置支出</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万元。全年按规定更新购置公务用车**辆，其中：轿车**辆、金额**万元，越野车**辆、金额**万元，载客汽车**辆、金额**万元，主要用于…。</w:t>
      </w:r>
    </w:p>
    <w:p>
      <w:pPr>
        <w:spacing w:line="600" w:lineRule="exact"/>
        <w:ind w:firstLine="640" w:firstLineChars="200"/>
        <w:rPr>
          <w:rFonts w:hint="default" w:ascii="Times New Roman" w:hAnsi="Times New Roman" w:eastAsia="方正仿宋_GBK" w:cs="Times New Roman"/>
          <w:b/>
          <w:color w:val="auto"/>
          <w:sz w:val="32"/>
          <w:szCs w:val="32"/>
          <w:highlight w:val="none"/>
        </w:rPr>
      </w:pPr>
      <w:r>
        <w:rPr>
          <w:rFonts w:hint="default" w:ascii="Times New Roman" w:hAnsi="Times New Roman" w:eastAsia="方正仿宋_GBK" w:cs="Times New Roman"/>
          <w:color w:val="auto"/>
          <w:sz w:val="32"/>
          <w:szCs w:val="32"/>
          <w:highlight w:val="none"/>
        </w:rPr>
        <w:t>截至20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年12月底，</w:t>
      </w:r>
      <w:r>
        <w:rPr>
          <w:rFonts w:hint="default" w:ascii="Times New Roman" w:hAnsi="Times New Roman" w:eastAsia="方正仿宋_GBK" w:cs="Times New Roman"/>
          <w:color w:val="auto"/>
          <w:sz w:val="32"/>
          <w:szCs w:val="32"/>
          <w:highlight w:val="none"/>
          <w:lang w:eastAsia="zh-CN"/>
        </w:rPr>
        <w:t>我</w:t>
      </w:r>
      <w:r>
        <w:rPr>
          <w:rFonts w:hint="default" w:ascii="Times New Roman" w:hAnsi="Times New Roman" w:eastAsia="方正仿宋_GBK" w:cs="Times New Roman"/>
          <w:color w:val="auto"/>
          <w:sz w:val="32"/>
          <w:szCs w:val="32"/>
          <w:highlight w:val="none"/>
        </w:rPr>
        <w:t>单位共有公务用车</w:t>
      </w:r>
      <w:r>
        <w:rPr>
          <w:rFonts w:hint="default" w:ascii="Times New Roman" w:hAnsi="Times New Roman" w:eastAsia="方正仿宋_GBK" w:cs="Times New Roman"/>
          <w:color w:val="auto"/>
          <w:sz w:val="32"/>
          <w:szCs w:val="32"/>
          <w:highlight w:val="none"/>
          <w:lang w:val="en-US" w:eastAsia="zh-CN"/>
        </w:rPr>
        <w:t>2</w:t>
      </w:r>
      <w:r>
        <w:rPr>
          <w:rFonts w:hint="default" w:ascii="Times New Roman" w:hAnsi="Times New Roman" w:eastAsia="方正仿宋_GBK" w:cs="Times New Roman"/>
          <w:color w:val="auto"/>
          <w:sz w:val="32"/>
          <w:szCs w:val="32"/>
          <w:highlight w:val="none"/>
        </w:rPr>
        <w:t>辆，其中：轿车</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辆、越野车</w:t>
      </w:r>
      <w:r>
        <w:rPr>
          <w:rFonts w:hint="default" w:ascii="Times New Roman" w:hAnsi="Times New Roman" w:eastAsia="方正仿宋_GBK" w:cs="Times New Roman"/>
          <w:color w:val="auto"/>
          <w:sz w:val="32"/>
          <w:szCs w:val="32"/>
          <w:highlight w:val="none"/>
          <w:lang w:val="en-US" w:eastAsia="zh-CN"/>
        </w:rPr>
        <w:t>2</w:t>
      </w:r>
      <w:r>
        <w:rPr>
          <w:rFonts w:hint="default" w:ascii="Times New Roman" w:hAnsi="Times New Roman" w:eastAsia="方正仿宋_GBK" w:cs="Times New Roman"/>
          <w:color w:val="auto"/>
          <w:sz w:val="32"/>
          <w:szCs w:val="32"/>
          <w:highlight w:val="none"/>
        </w:rPr>
        <w:t>辆、载客汽车</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辆。</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b/>
          <w:color w:val="auto"/>
          <w:sz w:val="32"/>
          <w:szCs w:val="32"/>
          <w:highlight w:val="none"/>
        </w:rPr>
        <w:t>公务用车运行维护费支出</w:t>
      </w:r>
      <w:r>
        <w:rPr>
          <w:rFonts w:hint="default" w:ascii="Times New Roman" w:hAnsi="Times New Roman" w:eastAsia="方正仿宋_GBK" w:cs="Times New Roman"/>
          <w:color w:val="auto"/>
          <w:sz w:val="32"/>
          <w:szCs w:val="32"/>
          <w:highlight w:val="none"/>
          <w:lang w:val="en-US" w:eastAsia="zh-CN"/>
        </w:rPr>
        <w:t>16.02</w:t>
      </w:r>
      <w:r>
        <w:rPr>
          <w:rFonts w:hint="default" w:ascii="Times New Roman" w:hAnsi="Times New Roman" w:eastAsia="方正仿宋_GBK" w:cs="Times New Roman"/>
          <w:color w:val="auto"/>
          <w:sz w:val="32"/>
          <w:szCs w:val="32"/>
          <w:highlight w:val="none"/>
        </w:rPr>
        <w:t>万元。主要用于开展课题调研、全面深化改革专项督察等</w:t>
      </w:r>
      <w:r>
        <w:rPr>
          <w:rFonts w:hint="default" w:ascii="Times New Roman" w:hAnsi="Times New Roman" w:eastAsia="方正仿宋_GBK" w:cs="Times New Roman"/>
          <w:color w:val="auto"/>
          <w:sz w:val="32"/>
          <w:szCs w:val="32"/>
          <w:highlight w:val="none"/>
          <w:lang w:eastAsia="zh-CN"/>
        </w:rPr>
        <w:t>出差</w:t>
      </w:r>
      <w:r>
        <w:rPr>
          <w:rFonts w:hint="default" w:ascii="Times New Roman" w:hAnsi="Times New Roman" w:eastAsia="方正仿宋_GBK" w:cs="Times New Roman"/>
          <w:color w:val="auto"/>
          <w:sz w:val="32"/>
          <w:szCs w:val="32"/>
          <w:highlight w:val="none"/>
        </w:rPr>
        <w:t>所需的公务用车燃料费、维修费、过路过桥费、保险费等支出。</w:t>
      </w:r>
    </w:p>
    <w:p>
      <w:pPr>
        <w:spacing w:line="600" w:lineRule="exact"/>
        <w:ind w:firstLine="640"/>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color w:val="auto"/>
          <w:sz w:val="32"/>
          <w:szCs w:val="32"/>
          <w:highlight w:val="none"/>
        </w:rPr>
        <w:t>3.公务接待费支出</w:t>
      </w:r>
      <w:r>
        <w:rPr>
          <w:rFonts w:hint="default" w:ascii="Times New Roman" w:hAnsi="Times New Roman"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万元，</w:t>
      </w:r>
      <w:r>
        <w:rPr>
          <w:rFonts w:hint="default" w:ascii="Times New Roman" w:hAnsi="Times New Roman" w:eastAsia="方正仿宋_GBK" w:cs="Times New Roman"/>
          <w:b/>
          <w:bCs/>
          <w:color w:val="auto"/>
          <w:kern w:val="2"/>
          <w:sz w:val="32"/>
          <w:szCs w:val="32"/>
          <w:highlight w:val="none"/>
          <w:lang w:val="en-US" w:eastAsia="zh-CN" w:bidi="ar-SA"/>
        </w:rPr>
        <w:t>完成预算**%。</w:t>
      </w:r>
      <w:r>
        <w:rPr>
          <w:rFonts w:hint="default" w:ascii="Times New Roman" w:hAnsi="Times New Roman" w:eastAsia="方正仿宋_GBK" w:cs="Times New Roman"/>
          <w:color w:val="auto"/>
          <w:kern w:val="2"/>
          <w:sz w:val="32"/>
          <w:szCs w:val="32"/>
          <w:highlight w:val="none"/>
          <w:lang w:val="en-US" w:eastAsia="zh-CN" w:bidi="ar-SA"/>
        </w:rPr>
        <w:t>公务接待费支出决算比2023年度增加/减少**万元，增长/下降**%。主要原因是……。其中：</w:t>
      </w:r>
    </w:p>
    <w:p>
      <w:pPr>
        <w:spacing w:line="600" w:lineRule="exact"/>
        <w:ind w:firstLine="640"/>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国内公务接待支出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万元，主要用于……(执行公务、开展业务活动开支的交通费、住宿费、用餐费等)。国内公务接待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人次（不包括陪同人员），共计支出**万元，具体内容包括：……（接待具体项目、金额）。</w:t>
      </w:r>
    </w:p>
    <w:p>
      <w:pPr>
        <w:spacing w:line="600" w:lineRule="exact"/>
        <w:ind w:firstLine="640"/>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外事接待支出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万元，主要用于……（具体项目）。外事接待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人次（不包括陪同人员），共计支出**万元。</w:t>
      </w:r>
    </w:p>
    <w:p>
      <w:pPr>
        <w:spacing w:line="600" w:lineRule="exact"/>
        <w:ind w:firstLine="640"/>
        <w:outlineLvl w:val="1"/>
        <w:rPr>
          <w:rFonts w:hint="default" w:ascii="Times New Roman" w:hAnsi="Times New Roman" w:eastAsia="黑体" w:cs="Times New Roman"/>
          <w:color w:val="auto"/>
          <w:sz w:val="32"/>
          <w:szCs w:val="32"/>
          <w:highlight w:val="none"/>
        </w:rPr>
      </w:pPr>
      <w:bookmarkStart w:id="40" w:name="_Toc15396610"/>
      <w:bookmarkStart w:id="41" w:name="_Toc15377218"/>
    </w:p>
    <w:p>
      <w:pPr>
        <w:spacing w:line="600" w:lineRule="exact"/>
        <w:ind w:firstLine="640"/>
        <w:outlineLvl w:val="1"/>
        <w:rPr>
          <w:rStyle w:val="23"/>
          <w:rFonts w:hint="eastAsia" w:ascii="方正黑体_GBK" w:hAnsi="方正黑体_GBK" w:eastAsia="方正黑体_GBK" w:cs="方正黑体_GBK"/>
          <w:color w:val="auto"/>
          <w:highlight w:val="none"/>
        </w:rPr>
      </w:pPr>
      <w:r>
        <w:rPr>
          <w:rFonts w:hint="eastAsia" w:ascii="方正黑体_GBK" w:hAnsi="方正黑体_GBK" w:eastAsia="方正黑体_GBK" w:cs="方正黑体_GBK"/>
          <w:color w:val="auto"/>
          <w:sz w:val="32"/>
          <w:szCs w:val="32"/>
          <w:highlight w:val="none"/>
        </w:rPr>
        <w:t>八、</w:t>
      </w:r>
      <w:r>
        <w:rPr>
          <w:rStyle w:val="23"/>
          <w:rFonts w:hint="eastAsia" w:ascii="方正黑体_GBK" w:hAnsi="方正黑体_GBK" w:eastAsia="方正黑体_GBK" w:cs="方正黑体_GBK"/>
          <w:b w:val="0"/>
          <w:color w:val="auto"/>
          <w:highlight w:val="none"/>
        </w:rPr>
        <w:t>政府性基金预算支出决算情况说明</w:t>
      </w:r>
      <w:bookmarkEnd w:id="40"/>
      <w:bookmarkEnd w:id="41"/>
    </w:p>
    <w:p>
      <w:pPr>
        <w:spacing w:line="600" w:lineRule="exact"/>
        <w:ind w:firstLine="640"/>
        <w:rPr>
          <w:rFonts w:hint="default" w:ascii="Times New Roman" w:hAnsi="Times New Roman" w:eastAsia="方正仿宋_GBK" w:cs="Times New Roman"/>
          <w:b/>
          <w:bCs/>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2024年度政府性基金预算财政拨款支出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万元，占本年支出合计的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%。与2023年度相比，政府性基金预算财政拨款支出增加/减少**万元，增长/下降**%。主要变动原因是……</w:t>
      </w:r>
      <w:r>
        <w:rPr>
          <w:rFonts w:hint="default" w:ascii="Times New Roman" w:hAnsi="Times New Roman" w:eastAsia="方正仿宋_GBK" w:cs="Times New Roman"/>
          <w:b/>
          <w:bCs/>
          <w:color w:val="auto"/>
          <w:kern w:val="2"/>
          <w:sz w:val="32"/>
          <w:szCs w:val="32"/>
          <w:highlight w:val="none"/>
          <w:lang w:val="en-US" w:eastAsia="zh-CN" w:bidi="ar-SA"/>
        </w:rPr>
        <w:t>（注：支出数与上年持平可以不写原因）</w:t>
      </w:r>
    </w:p>
    <w:p>
      <w:pPr>
        <w:spacing w:line="600" w:lineRule="exact"/>
        <w:ind w:firstLine="640"/>
        <w:rPr>
          <w:rFonts w:hint="default" w:ascii="Times New Roman" w:hAnsi="Times New Roman" w:eastAsia="仿宋_GB2312" w:cs="Times New Roman"/>
          <w:color w:val="auto"/>
          <w:sz w:val="32"/>
          <w:szCs w:val="32"/>
          <w:highlight w:val="none"/>
        </w:rPr>
      </w:pPr>
    </w:p>
    <w:p>
      <w:pPr>
        <w:numPr>
          <w:ilvl w:val="0"/>
          <w:numId w:val="0"/>
        </w:numPr>
        <w:spacing w:line="600" w:lineRule="exact"/>
        <w:ind w:left="640" w:leftChars="0"/>
        <w:outlineLvl w:val="1"/>
        <w:rPr>
          <w:rStyle w:val="23"/>
          <w:rFonts w:hint="eastAsia" w:ascii="方正黑体_GBK" w:hAnsi="方正黑体_GBK" w:eastAsia="方正黑体_GBK" w:cs="方正黑体_GBK"/>
          <w:b w:val="0"/>
          <w:color w:val="auto"/>
          <w:highlight w:val="none"/>
        </w:rPr>
      </w:pPr>
      <w:bookmarkStart w:id="42" w:name="_Toc15396611"/>
      <w:bookmarkStart w:id="43" w:name="_Toc15377219"/>
      <w:r>
        <w:rPr>
          <w:rStyle w:val="23"/>
          <w:rFonts w:hint="eastAsia" w:ascii="方正黑体_GBK" w:hAnsi="方正黑体_GBK" w:eastAsia="方正黑体_GBK" w:cs="方正黑体_GBK"/>
          <w:b w:val="0"/>
          <w:color w:val="auto"/>
          <w:highlight w:val="none"/>
        </w:rPr>
        <w:t>九、国有资本经营预算支出决算情况说明</w:t>
      </w:r>
      <w:bookmarkEnd w:id="42"/>
      <w:bookmarkEnd w:id="43"/>
    </w:p>
    <w:p>
      <w:pPr>
        <w:spacing w:line="60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kern w:val="2"/>
          <w:sz w:val="32"/>
          <w:szCs w:val="32"/>
          <w:highlight w:val="none"/>
          <w:lang w:val="en-US" w:eastAsia="zh-CN" w:bidi="ar-SA"/>
        </w:rPr>
        <w:t>2024年度国有资本经营预算财政拨款支出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万元，占本年支出合计的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%。与2023年度相比，国有资本经营预算财政拨款支出增加/减少**万元，增长/下降**%。主要变动原因是……</w:t>
      </w:r>
      <w:r>
        <w:rPr>
          <w:rFonts w:hint="default" w:ascii="Times New Roman" w:hAnsi="Times New Roman" w:eastAsia="方正仿宋_GBK" w:cs="Times New Roman"/>
          <w:b/>
          <w:bCs/>
          <w:color w:val="auto"/>
          <w:kern w:val="2"/>
          <w:sz w:val="32"/>
          <w:szCs w:val="32"/>
          <w:highlight w:val="none"/>
          <w:lang w:val="en-US" w:eastAsia="zh-CN" w:bidi="ar-SA"/>
        </w:rPr>
        <w:t>（注：支出数与上年持平可以不写原因）</w:t>
      </w:r>
    </w:p>
    <w:p>
      <w:pPr>
        <w:spacing w:line="580" w:lineRule="exact"/>
        <w:jc w:val="center"/>
        <w:rPr>
          <w:rFonts w:hint="default" w:ascii="Times New Roman" w:hAnsi="Times New Roman" w:eastAsia="方正小标宋简体" w:cs="Times New Roman"/>
          <w:color w:val="auto"/>
          <w:sz w:val="44"/>
          <w:szCs w:val="44"/>
          <w:highlight w:val="none"/>
        </w:rPr>
      </w:pPr>
    </w:p>
    <w:p>
      <w:pPr>
        <w:numPr>
          <w:ilvl w:val="0"/>
          <w:numId w:val="0"/>
        </w:numPr>
        <w:spacing w:line="600" w:lineRule="exact"/>
        <w:ind w:left="640" w:leftChars="0"/>
        <w:outlineLvl w:val="1"/>
        <w:rPr>
          <w:rStyle w:val="23"/>
          <w:rFonts w:hint="eastAsia" w:ascii="方正黑体_GBK" w:hAnsi="方正黑体_GBK" w:eastAsia="方正黑体_GBK" w:cs="方正黑体_GBK"/>
          <w:b w:val="0"/>
          <w:color w:val="auto"/>
          <w:highlight w:val="none"/>
        </w:rPr>
      </w:pPr>
      <w:bookmarkStart w:id="44" w:name="_Toc15377221"/>
      <w:bookmarkStart w:id="45" w:name="_Toc15396612"/>
      <w:r>
        <w:rPr>
          <w:rStyle w:val="23"/>
          <w:rFonts w:hint="eastAsia" w:ascii="方正黑体_GBK" w:hAnsi="方正黑体_GBK" w:eastAsia="方正黑体_GBK" w:cs="方正黑体_GBK"/>
          <w:b w:val="0"/>
          <w:color w:val="auto"/>
          <w:highlight w:val="none"/>
        </w:rPr>
        <w:t>十、其他重要事项的情况说明</w:t>
      </w:r>
      <w:bookmarkEnd w:id="44"/>
      <w:bookmarkEnd w:id="45"/>
    </w:p>
    <w:p>
      <w:pPr>
        <w:spacing w:line="600" w:lineRule="exact"/>
        <w:ind w:firstLine="642" w:firstLineChars="200"/>
        <w:outlineLvl w:val="2"/>
        <w:rPr>
          <w:rFonts w:hint="eastAsia" w:ascii="方正楷体_GBK" w:hAnsi="方正楷体_GBK" w:eastAsia="方正楷体_GBK" w:cs="方正楷体_GBK"/>
          <w:color w:val="auto"/>
          <w:sz w:val="32"/>
          <w:szCs w:val="32"/>
          <w:highlight w:val="none"/>
        </w:rPr>
      </w:pPr>
      <w:bookmarkStart w:id="46" w:name="_Toc15377222"/>
      <w:r>
        <w:rPr>
          <w:rFonts w:hint="eastAsia" w:ascii="方正楷体_GBK" w:hAnsi="方正楷体_GBK" w:eastAsia="方正楷体_GBK" w:cs="方正楷体_GBK"/>
          <w:b/>
          <w:color w:val="auto"/>
          <w:sz w:val="32"/>
          <w:szCs w:val="32"/>
          <w:highlight w:val="none"/>
        </w:rPr>
        <w:t>（一）机关运行经费支出情况</w:t>
      </w:r>
      <w:bookmarkEnd w:id="46"/>
    </w:p>
    <w:p>
      <w:pPr>
        <w:spacing w:line="600" w:lineRule="exact"/>
        <w:ind w:firstLine="640"/>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2024年度，</w:t>
      </w:r>
      <w:r>
        <w:rPr>
          <w:rFonts w:hint="default" w:ascii="Times New Roman" w:hAnsi="Times New Roman" w:eastAsia="方正仿宋_GBK" w:cs="Times New Roman"/>
          <w:sz w:val="32"/>
          <w:szCs w:val="32"/>
        </w:rPr>
        <w:t>中共阿坝州委政策研究室（本级）</w:t>
      </w:r>
      <w:r>
        <w:rPr>
          <w:rFonts w:hint="default" w:ascii="Times New Roman" w:hAnsi="Times New Roman" w:eastAsia="方正仿宋_GBK" w:cs="Times New Roman"/>
          <w:color w:val="auto"/>
          <w:kern w:val="2"/>
          <w:sz w:val="32"/>
          <w:szCs w:val="32"/>
          <w:highlight w:val="none"/>
          <w:lang w:val="en-US" w:eastAsia="zh-CN" w:bidi="ar-SA"/>
        </w:rPr>
        <w:t>机关运行经费支出</w:t>
      </w:r>
      <w:r>
        <w:rPr>
          <w:rFonts w:hint="default" w:ascii="Times New Roman" w:hAnsi="Times New Roman" w:eastAsia="方正仿宋_GBK" w:cs="Times New Roman"/>
          <w:sz w:val="32"/>
          <w:szCs w:val="32"/>
        </w:rPr>
        <w:t>41.6</w:t>
      </w:r>
      <w:r>
        <w:rPr>
          <w:rFonts w:hint="default" w:ascii="Times New Roman" w:hAnsi="Times New Roman" w:eastAsia="方正仿宋_GBK" w:cs="Times New Roman"/>
          <w:color w:val="auto"/>
          <w:kern w:val="2"/>
          <w:sz w:val="32"/>
          <w:szCs w:val="32"/>
          <w:highlight w:val="none"/>
          <w:lang w:val="en-US" w:eastAsia="zh-CN" w:bidi="ar-SA"/>
        </w:rPr>
        <w:t>万元，比2023年度增加6.18万元，增长17.44%（或与2023年度决算数持平）。主要原因是：</w:t>
      </w:r>
      <w:r>
        <w:rPr>
          <w:rFonts w:hint="default" w:ascii="Times New Roman" w:hAnsi="Times New Roman" w:eastAsia="方正仿宋_GBK" w:cs="Times New Roman"/>
          <w:color w:val="auto"/>
          <w:sz w:val="32"/>
          <w:szCs w:val="32"/>
          <w:lang w:val="en-US" w:eastAsia="zh-CN" w:bidi="ar-SA"/>
        </w:rPr>
        <w:t>2024年调整办公用房，水电费等运转经费增加。</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autoSpaceDE w:val="0"/>
        <w:autoSpaceDN w:val="0"/>
        <w:adjustRightInd w:val="0"/>
        <w:spacing w:line="600" w:lineRule="exact"/>
        <w:ind w:firstLine="642" w:firstLineChars="200"/>
        <w:jc w:val="left"/>
        <w:outlineLvl w:val="2"/>
        <w:rPr>
          <w:rFonts w:hint="eastAsia" w:ascii="方正楷体_GBK" w:hAnsi="方正楷体_GBK" w:eastAsia="方正楷体_GBK" w:cs="方正楷体_GBK"/>
          <w:b/>
          <w:color w:val="auto"/>
          <w:sz w:val="32"/>
          <w:szCs w:val="32"/>
          <w:highlight w:val="none"/>
        </w:rPr>
      </w:pPr>
      <w:bookmarkStart w:id="47" w:name="_Toc15377223"/>
      <w:r>
        <w:rPr>
          <w:rFonts w:hint="eastAsia" w:ascii="方正楷体_GBK" w:hAnsi="方正楷体_GBK" w:eastAsia="方正楷体_GBK" w:cs="方正楷体_GBK"/>
          <w:b/>
          <w:color w:val="auto"/>
          <w:sz w:val="32"/>
          <w:szCs w:val="32"/>
          <w:highlight w:val="none"/>
        </w:rPr>
        <w:t>（二）政府采购支出情况</w:t>
      </w:r>
      <w:bookmarkEnd w:id="47"/>
    </w:p>
    <w:p>
      <w:pPr>
        <w:spacing w:line="60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kern w:val="2"/>
          <w:sz w:val="32"/>
          <w:szCs w:val="32"/>
          <w:highlight w:val="none"/>
          <w:lang w:val="en-US" w:eastAsia="zh-CN" w:bidi="ar-SA"/>
        </w:rPr>
        <w:t>2024年度，</w:t>
      </w:r>
      <w:r>
        <w:rPr>
          <w:rFonts w:hint="default" w:ascii="Times New Roman" w:hAnsi="Times New Roman" w:eastAsia="方正仿宋_GBK" w:cs="Times New Roman"/>
          <w:sz w:val="32"/>
          <w:szCs w:val="32"/>
        </w:rPr>
        <w:t>中共阿坝州委政策研究室（本级）</w:t>
      </w:r>
      <w:r>
        <w:rPr>
          <w:rFonts w:hint="default" w:ascii="Times New Roman" w:hAnsi="Times New Roman" w:eastAsia="方正仿宋_GBK" w:cs="Times New Roman"/>
          <w:color w:val="auto"/>
          <w:kern w:val="2"/>
          <w:sz w:val="32"/>
          <w:szCs w:val="32"/>
          <w:highlight w:val="none"/>
          <w:lang w:val="en-US" w:eastAsia="zh-CN" w:bidi="ar-SA"/>
        </w:rPr>
        <w:t>政府采购支出总额</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万元，其中：政府采购货物支出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万元、政府采购工程支出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万元、政府采购服务支出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万元。主要用于……（具体工作）。授予中小企业合同金额</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万元，占政府采购支出总额的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%，其中：授予小微企业合同金额</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万元，占政府采购支出总额的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w:t>
      </w:r>
      <w:r>
        <w:rPr>
          <w:rStyle w:val="19"/>
          <w:rFonts w:hint="default" w:ascii="Times New Roman" w:hAnsi="Times New Roman" w:eastAsia="方正仿宋_GBK" w:cs="Times New Roman"/>
          <w:b/>
          <w:bCs w:val="0"/>
          <w:color w:val="auto"/>
          <w:sz w:val="32"/>
          <w:szCs w:val="32"/>
          <w:highlight w:val="none"/>
          <w:lang w:eastAsia="zh-CN"/>
        </w:rPr>
        <w:t>（当年无相关预算支出</w:t>
      </w:r>
      <w:r>
        <w:rPr>
          <w:rStyle w:val="19"/>
          <w:rFonts w:hint="default" w:ascii="Times New Roman" w:hAnsi="Times New Roman" w:eastAsia="方正仿宋_GBK"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autoSpaceDE w:val="0"/>
        <w:autoSpaceDN w:val="0"/>
        <w:adjustRightInd w:val="0"/>
        <w:spacing w:line="600" w:lineRule="exact"/>
        <w:ind w:firstLine="642" w:firstLineChars="200"/>
        <w:jc w:val="left"/>
        <w:outlineLvl w:val="2"/>
        <w:rPr>
          <w:rFonts w:hint="default" w:ascii="方正楷体_GBK" w:hAnsi="方正楷体_GBK" w:eastAsia="方正楷体_GBK" w:cs="方正楷体_GBK"/>
          <w:b/>
          <w:color w:val="auto"/>
          <w:sz w:val="32"/>
          <w:szCs w:val="32"/>
          <w:highlight w:val="none"/>
        </w:rPr>
      </w:pPr>
      <w:bookmarkStart w:id="48" w:name="_Toc15377224"/>
      <w:r>
        <w:rPr>
          <w:rFonts w:hint="default" w:ascii="方正楷体_GBK" w:hAnsi="方正楷体_GBK" w:eastAsia="方正楷体_GBK" w:cs="方正楷体_GBK"/>
          <w:b/>
          <w:color w:val="auto"/>
          <w:sz w:val="32"/>
          <w:szCs w:val="32"/>
          <w:highlight w:val="none"/>
        </w:rPr>
        <w:t>（三）国有资产占有使用情况</w:t>
      </w:r>
      <w:bookmarkEnd w:id="48"/>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截至2024年12月31日，</w:t>
      </w:r>
      <w:r>
        <w:rPr>
          <w:rFonts w:hint="default" w:ascii="Times New Roman" w:hAnsi="Times New Roman" w:eastAsia="方正仿宋_GBK" w:cs="Times New Roman"/>
          <w:sz w:val="32"/>
          <w:szCs w:val="32"/>
        </w:rPr>
        <w:t>中共阿坝州委政策研究室</w:t>
      </w:r>
      <w:r>
        <w:rPr>
          <w:rFonts w:hint="eastAsia" w:ascii="Times New Roman" w:hAnsi="Times New Roman" w:eastAsia="方正仿宋_GBK" w:cs="Times New Roman"/>
          <w:sz w:val="32"/>
          <w:szCs w:val="32"/>
          <w:lang w:eastAsia="zh-CN"/>
        </w:rPr>
        <w:t>（本级）</w:t>
      </w:r>
      <w:r>
        <w:rPr>
          <w:rFonts w:hint="default" w:ascii="Times New Roman" w:hAnsi="Times New Roman" w:eastAsia="方正仿宋_GBK" w:cs="Times New Roman"/>
          <w:color w:val="auto"/>
          <w:kern w:val="2"/>
          <w:sz w:val="32"/>
          <w:szCs w:val="32"/>
          <w:highlight w:val="none"/>
          <w:lang w:val="en-US" w:eastAsia="zh-CN" w:bidi="ar-SA"/>
        </w:rPr>
        <w:t>共有车辆</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color w:val="auto"/>
          <w:kern w:val="2"/>
          <w:sz w:val="32"/>
          <w:szCs w:val="32"/>
          <w:highlight w:val="none"/>
          <w:lang w:val="en-US" w:eastAsia="zh-CN" w:bidi="ar-SA"/>
        </w:rPr>
        <w:t>辆，其中：主要负责人用车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辆、其他用车</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color w:val="auto"/>
          <w:kern w:val="2"/>
          <w:sz w:val="32"/>
          <w:szCs w:val="32"/>
          <w:highlight w:val="none"/>
          <w:lang w:val="en-US" w:eastAsia="zh-CN" w:bidi="ar-SA"/>
        </w:rPr>
        <w:t>辆，其他用车主要是用于</w:t>
      </w:r>
      <w:r>
        <w:rPr>
          <w:rFonts w:hint="eastAsia" w:ascii="Times New Roman" w:hAnsi="Times New Roman" w:eastAsia="方正仿宋_GBK" w:cs="Times New Roman"/>
          <w:color w:val="auto"/>
          <w:kern w:val="2"/>
          <w:sz w:val="32"/>
          <w:szCs w:val="32"/>
          <w:highlight w:val="none"/>
          <w:lang w:val="en-US" w:eastAsia="zh-CN" w:bidi="ar-SA"/>
        </w:rPr>
        <w:t>..</w:t>
      </w:r>
      <w:r>
        <w:rPr>
          <w:rFonts w:hint="default" w:ascii="Times New Roman" w:hAnsi="Times New Roman" w:eastAsia="方正仿宋_GBK" w:cs="Times New Roman"/>
          <w:color w:val="auto"/>
          <w:kern w:val="2"/>
          <w:sz w:val="32"/>
          <w:szCs w:val="32"/>
          <w:highlight w:val="none"/>
          <w:lang w:val="en-US" w:eastAsia="zh-CN" w:bidi="ar-SA"/>
        </w:rPr>
        <w:t>。单价100万元（含）以上设备（不含车辆）</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color w:val="auto"/>
          <w:kern w:val="2"/>
          <w:sz w:val="32"/>
          <w:szCs w:val="32"/>
          <w:highlight w:val="none"/>
          <w:lang w:val="en-US" w:eastAsia="zh-CN" w:bidi="ar-SA"/>
        </w:rPr>
        <w:t>台（套）。</w:t>
      </w:r>
    </w:p>
    <w:p>
      <w:pPr>
        <w:autoSpaceDE w:val="0"/>
        <w:autoSpaceDN w:val="0"/>
        <w:adjustRightInd w:val="0"/>
        <w:spacing w:line="600" w:lineRule="exact"/>
        <w:ind w:firstLine="642" w:firstLineChars="200"/>
        <w:jc w:val="left"/>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w:t>
      </w:r>
      <w:r>
        <w:rPr>
          <w:rFonts w:hint="default" w:ascii="Times New Roman" w:hAnsi="Times New Roman" w:eastAsia="仿宋" w:cs="Times New Roman"/>
          <w:b/>
          <w:color w:val="auto"/>
          <w:sz w:val="32"/>
          <w:szCs w:val="32"/>
          <w:highlight w:val="none"/>
          <w:lang w:eastAsia="zh-CN"/>
        </w:rPr>
        <w:t>于</w:t>
      </w:r>
      <w:r>
        <w:rPr>
          <w:rFonts w:hint="default" w:ascii="Times New Roman" w:hAnsi="Times New Roman" w:eastAsia="仿宋" w:cs="Times New Roman"/>
          <w:b/>
          <w:color w:val="auto"/>
          <w:sz w:val="32"/>
          <w:szCs w:val="32"/>
          <w:highlight w:val="none"/>
        </w:rPr>
        <w:t>财决附03表，按</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决算报表填报数据罗列车辆情况。）</w:t>
      </w:r>
    </w:p>
    <w:p>
      <w:pPr>
        <w:autoSpaceDE w:val="0"/>
        <w:autoSpaceDN w:val="0"/>
        <w:adjustRightInd w:val="0"/>
        <w:spacing w:line="600" w:lineRule="exact"/>
        <w:ind w:firstLine="642" w:firstLineChars="200"/>
        <w:jc w:val="left"/>
        <w:outlineLvl w:val="2"/>
        <w:rPr>
          <w:rFonts w:hint="default" w:ascii="方正楷体_GBK" w:hAnsi="方正楷体_GBK" w:eastAsia="方正楷体_GBK" w:cs="方正楷体_GBK"/>
          <w:b/>
          <w:color w:val="auto"/>
          <w:sz w:val="32"/>
          <w:szCs w:val="32"/>
          <w:highlight w:val="none"/>
          <w:lang w:eastAsia="zh-CN"/>
        </w:rPr>
      </w:pPr>
      <w:r>
        <w:rPr>
          <w:rFonts w:hint="default" w:ascii="方正楷体_GBK" w:hAnsi="方正楷体_GBK" w:eastAsia="方正楷体_GBK" w:cs="方正楷体_GBK"/>
          <w:b/>
          <w:color w:val="auto"/>
          <w:sz w:val="32"/>
          <w:szCs w:val="32"/>
          <w:highlight w:val="none"/>
        </w:rPr>
        <w:t>（四）预算绩效管理情况</w:t>
      </w:r>
    </w:p>
    <w:p>
      <w:pPr>
        <w:pStyle w:val="5"/>
        <w:keepNext w:val="0"/>
        <w:keepLines w:val="0"/>
        <w:pageBreakBefore w:val="0"/>
        <w:widowControl w:val="0"/>
        <w:kinsoku w:val="0"/>
        <w:wordWrap/>
        <w:overflowPunct w:val="0"/>
        <w:topLinePunct w:val="0"/>
        <w:autoSpaceDE w:val="0"/>
        <w:autoSpaceDN w:val="0"/>
        <w:bidi w:val="0"/>
        <w:adjustRightInd/>
        <w:snapToGrid/>
        <w:spacing w:line="576" w:lineRule="exact"/>
        <w:ind w:firstLine="640" w:firstLineChars="200"/>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方正仿宋_GBK" w:cs="Times New Roman"/>
          <w:color w:val="auto"/>
          <w:sz w:val="32"/>
          <w:szCs w:val="32"/>
          <w:highlight w:val="none"/>
        </w:rPr>
        <w:t>根据预算绩效管理要求，本单位在202</w:t>
      </w:r>
      <w:r>
        <w:rPr>
          <w:rFonts w:hint="default" w:ascii="Times New Roman" w:hAnsi="Times New Roman"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年度预算编制阶段，组织对“重大课题调研经费”</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“典型经验案例教学”</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“《阿坝研究》”</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全面</w:t>
      </w:r>
      <w:r>
        <w:rPr>
          <w:rFonts w:hint="default" w:ascii="Times New Roman" w:hAnsi="Times New Roman" w:eastAsia="方正仿宋_GBK" w:cs="Times New Roman"/>
          <w:color w:val="auto"/>
          <w:sz w:val="32"/>
          <w:szCs w:val="32"/>
          <w:highlight w:val="none"/>
        </w:rPr>
        <w:t>深化改革工作经费”</w:t>
      </w:r>
      <w:r>
        <w:rPr>
          <w:rFonts w:hint="default" w:ascii="Times New Roman" w:hAnsi="Times New Roman"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个项目开展了预算事前绩效评估，对</w:t>
      </w:r>
      <w:r>
        <w:rPr>
          <w:rFonts w:hint="default" w:ascii="Times New Roman" w:hAnsi="Times New Roman"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个项目编制了绩效目标，预算执行过程中，选取</w:t>
      </w:r>
      <w:r>
        <w:rPr>
          <w:rFonts w:hint="default" w:ascii="Times New Roman" w:hAnsi="Times New Roman"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个项目开展绩效监控，组织对</w:t>
      </w:r>
      <w:r>
        <w:rPr>
          <w:rFonts w:hint="default" w:ascii="Times New Roman" w:hAnsi="Times New Roman"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个项目开展绩效自评，绩效自评表详见</w:t>
      </w:r>
      <w:r>
        <w:rPr>
          <w:rFonts w:hint="default" w:ascii="Times New Roman" w:hAnsi="Times New Roman" w:eastAsia="方正仿宋_GBK" w:cs="Times New Roman"/>
          <w:color w:val="auto"/>
          <w:sz w:val="32"/>
          <w:szCs w:val="32"/>
          <w:highlight w:val="none"/>
          <w:lang w:eastAsia="zh-CN"/>
        </w:rPr>
        <w:t>第四部分</w:t>
      </w:r>
      <w:r>
        <w:rPr>
          <w:rFonts w:hint="default" w:ascii="Times New Roman" w:hAnsi="Times New Roman" w:eastAsia="方正仿宋_GBK" w:cs="Times New Roman"/>
          <w:color w:val="auto"/>
          <w:sz w:val="32"/>
          <w:szCs w:val="32"/>
          <w:highlight w:val="none"/>
        </w:rPr>
        <w:t>附件</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color w:val="auto"/>
          <w:sz w:val="32"/>
          <w:szCs w:val="32"/>
          <w:highlight w:val="none"/>
        </w:rPr>
        <w:br w:type="page"/>
      </w:r>
    </w:p>
    <w:p>
      <w:pPr>
        <w:numPr>
          <w:ilvl w:val="0"/>
          <w:numId w:val="1"/>
        </w:numPr>
        <w:spacing w:line="600" w:lineRule="exact"/>
        <w:ind w:left="0" w:firstLine="660" w:firstLineChars="150"/>
        <w:jc w:val="center"/>
        <w:outlineLvl w:val="0"/>
        <w:rPr>
          <w:rStyle w:val="22"/>
          <w:rFonts w:hint="default" w:ascii="Times New Roman" w:hAnsi="Times New Roman" w:eastAsia="黑体" w:cs="Times New Roman"/>
          <w:b w:val="0"/>
          <w:color w:val="auto"/>
          <w:highlight w:val="none"/>
        </w:rPr>
      </w:pPr>
      <w:bookmarkStart w:id="49" w:name="_Toc15377225"/>
      <w:bookmarkStart w:id="50" w:name="_Toc15396613"/>
      <w:r>
        <w:rPr>
          <w:rFonts w:hint="default" w:ascii="Times New Roman" w:hAnsi="Times New Roman" w:eastAsia="黑体" w:cs="Times New Roman"/>
          <w:color w:val="auto"/>
          <w:sz w:val="44"/>
          <w:szCs w:val="44"/>
          <w:highlight w:val="none"/>
        </w:rPr>
        <w:t>名</w:t>
      </w:r>
      <w:r>
        <w:rPr>
          <w:rStyle w:val="22"/>
          <w:rFonts w:hint="default" w:ascii="Times New Roman" w:hAnsi="Times New Roman" w:eastAsia="黑体" w:cs="Times New Roman"/>
          <w:b w:val="0"/>
          <w:color w:val="auto"/>
          <w:highlight w:val="none"/>
        </w:rPr>
        <w:t>词解释</w:t>
      </w:r>
      <w:bookmarkEnd w:id="49"/>
      <w:bookmarkEnd w:id="50"/>
    </w:p>
    <w:p>
      <w:pPr>
        <w:spacing w:line="600" w:lineRule="exact"/>
        <w:jc w:val="left"/>
        <w:rPr>
          <w:rFonts w:hint="default" w:ascii="Times New Roman" w:hAnsi="Times New Roman" w:cs="Times New Roman"/>
          <w:b/>
          <w:color w:val="auto"/>
          <w:sz w:val="44"/>
          <w:szCs w:val="44"/>
          <w:highlight w:val="none"/>
        </w:rPr>
      </w:pP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1.财政拨款收入：指单位从同级财政部门取得的财政预算资金。</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2.事业收入：指事业单位开展专业业务活动及辅助活动取得的收入。如…（二级预算单位事业收入情况）等。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3.经营收入：指事业单位在专业业务活动及其辅助活动之外开展非独立核算经营活动取得的收入。如…（二级预算单位经营收入情况）等。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4.其他收入：指单位取得的除上述收入以外的各项收入。主要是…（收入类型）等。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w:t>
      </w:r>
      <w:r>
        <w:rPr>
          <w:rFonts w:hint="default" w:ascii="Times New Roman" w:hAnsi="Times New Roman" w:eastAsia="仿宋_GB2312" w:cs="Times New Roman"/>
          <w:color w:val="auto"/>
          <w:sz w:val="32"/>
          <w:szCs w:val="32"/>
          <w:highlight w:val="none"/>
          <w:lang w:eastAsia="zh-CN"/>
        </w:rPr>
        <w:t>使用非财政拨款结余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r>
        <w:rPr>
          <w:rFonts w:hint="default" w:ascii="Times New Roman" w:hAnsi="Times New Roman" w:eastAsia="仿宋_GB2312" w:cs="Times New Roman"/>
          <w:color w:val="auto"/>
          <w:sz w:val="32"/>
          <w:szCs w:val="32"/>
          <w:highlight w:val="none"/>
        </w:rPr>
        <w:t xml:space="preserve">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6.年初结转和结余：指以前年度尚未完成、结转到本年按有关规定继续使用的资金。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7.结余分配：指事业单位按照会计制度规定</w:t>
      </w:r>
      <w:r>
        <w:rPr>
          <w:rFonts w:hint="default" w:ascii="Times New Roman" w:hAnsi="Times New Roman" w:eastAsia="仿宋_GB2312" w:cs="Times New Roman"/>
          <w:color w:val="auto"/>
          <w:sz w:val="32"/>
          <w:szCs w:val="32"/>
          <w:highlight w:val="none"/>
          <w:lang w:eastAsia="zh-CN"/>
        </w:rPr>
        <w:t>缴纳的所得税、提取的专用结余以及转入非财政拨款结余的金额</w:t>
      </w:r>
      <w:r>
        <w:rPr>
          <w:rFonts w:hint="default" w:ascii="Times New Roman" w:hAnsi="Times New Roman" w:eastAsia="仿宋_GB2312" w:cs="Times New Roman"/>
          <w:color w:val="auto"/>
          <w:sz w:val="32"/>
          <w:szCs w:val="32"/>
          <w:highlight w:val="none"/>
        </w:rPr>
        <w:t>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年末结转和结余：指单位按有关规定结转到下年或以后年度继续使用的资金。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9.一般公共服务（类）党委办公厅（室）及相关机构事务（款）行政运行（项）：反映行政单位（包括实行公务员管理的事业单位）的基本支出。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10.一般公共服务（类）党委办公厅（室）及相关机构事务（款）一般行政管理事务（项）：反映行政单位（包括实行公务员管理的事业单位）未单独设置项级科目的其他项目支出。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11.社会保障和就业（类）行政事业单位离退休（款）机关事业单位基本养老保险缴费支出（项）：反映机关事业单位实施养老保险制度由单位缴纳的基本养老保险费支出。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12.社会保障和就业（类）行政事业单位离退休（款）机关事业单位职业年金缴费支出（项）：反映机关事业单位实施养老保险制度由单位缴纳的职业年金支出。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13.社会保障和就业（类）其他社会保障和就业支出（款）其他社会保障和就业支出（项）：反映上述项目以外其他用于社会保障和就业方面的支出。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14.医疗卫生与计划生育（类）行政事业单位医疗（款）行政单位医疗（项）：反映财政部门集中安排的行政单位基本医疗保险缴费经费，未参加医疗保险的行政单位的公费医疗经费，按国家规定享受离休人员、红军老战士待遇人员的医疗经费。</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15.医疗卫生与计划生育（类）行政事业单位医疗（款）公务员补充医疗补助（项）：反映财政部门集中安排的公务员医疗补助经费。</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16.住房保障（类）住房改革支出（款）住房公积金（项）：反映行政事业单位按人力资源和社会保障部、财政部规定的基本工资和津贴补贴以及规定比例为职工缴纳的住房公积金。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17.住房保障（类）住房改革支出（款）购房补贴（项）：反映按房改政策规定，行政事业单位向符合条件职工（含离退休人员）、军队（含武警）向转役复员离退休人员发放的用于购买住房的补贴。</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.经营支出：指事业单位在专业业务活动及其辅助活动之外开展非独立核算经营活动发生的支出。</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21</w:t>
      </w:r>
      <w:r>
        <w:rPr>
          <w:rFonts w:hint="default" w:ascii="Times New Roman" w:hAnsi="Times New Roman" w:eastAsia="仿宋_GB2312" w:cs="Times New Roman"/>
          <w:color w:val="auto"/>
          <w:sz w:val="32"/>
          <w:szCs w:val="32"/>
          <w:highlight w:val="none"/>
        </w:rPr>
        <w:t>.“三公”经费：指</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22</w:t>
      </w:r>
      <w:r>
        <w:rPr>
          <w:rFonts w:hint="default" w:ascii="Times New Roman"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p>
    <w:p>
      <w:pPr>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（名词解释部分请根据各</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实际列支情况罗列，并根据本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职责职能增减名词解释内容。）</w:t>
      </w:r>
    </w:p>
    <w:p>
      <w:pPr>
        <w:spacing w:line="600" w:lineRule="exact"/>
        <w:jc w:val="center"/>
        <w:rPr>
          <w:rStyle w:val="22"/>
          <w:rFonts w:hint="default" w:ascii="Times New Roman" w:hAnsi="Times New Roman" w:eastAsia="黑体" w:cs="Times New Roman"/>
          <w:b w:val="0"/>
          <w:color w:val="auto"/>
          <w:highlight w:val="none"/>
          <w:lang w:eastAsia="zh-CN"/>
        </w:rPr>
      </w:pPr>
      <w:bookmarkStart w:id="51" w:name="_Toc15377226"/>
      <w:r>
        <w:rPr>
          <w:rFonts w:hint="default" w:ascii="Times New Roman" w:hAnsi="Times New Roman" w:cs="Times New Roman"/>
          <w:b/>
          <w:color w:val="auto"/>
          <w:sz w:val="44"/>
          <w:szCs w:val="44"/>
          <w:highlight w:val="none"/>
        </w:rPr>
        <w:br w:type="page"/>
      </w:r>
      <w:bookmarkStart w:id="52" w:name="_Toc15396614"/>
      <w:r>
        <w:rPr>
          <w:rFonts w:hint="default" w:ascii="Times New Roman" w:hAnsi="Times New Roman" w:eastAsia="黑体" w:cs="Times New Roman"/>
          <w:color w:val="auto"/>
          <w:sz w:val="44"/>
          <w:szCs w:val="44"/>
          <w:highlight w:val="none"/>
        </w:rPr>
        <w:t>第</w:t>
      </w:r>
      <w:r>
        <w:rPr>
          <w:rStyle w:val="22"/>
          <w:rFonts w:hint="default" w:ascii="Times New Roman" w:hAnsi="Times New Roman" w:eastAsia="黑体" w:cs="Times New Roman"/>
          <w:b w:val="0"/>
          <w:color w:val="auto"/>
          <w:highlight w:val="none"/>
        </w:rPr>
        <w:t>四部分 附件</w:t>
      </w:r>
      <w:bookmarkEnd w:id="52"/>
    </w:p>
    <w:p>
      <w:pPr>
        <w:keepNext w:val="0"/>
        <w:keepLines w:val="0"/>
        <w:pageBreakBefore w:val="0"/>
        <w:widowControl w:val="0"/>
        <w:kinsoku/>
        <w:wordWrap/>
        <w:overflowPunct/>
        <w:topLinePunct w:val="0"/>
        <w:autoSpaceDE/>
        <w:autoSpaceDN/>
        <w:bidi w:val="0"/>
        <w:spacing w:line="540" w:lineRule="exact"/>
        <w:jc w:val="left"/>
        <w:textAlignment w:val="auto"/>
        <w:outlineLvl w:val="0"/>
        <w:rPr>
          <w:rFonts w:hint="default" w:ascii="Times New Roman" w:hAnsi="Times New Roman" w:eastAsia="黑体" w:cs="Times New Roman"/>
          <w:color w:val="auto"/>
          <w:sz w:val="44"/>
          <w:szCs w:val="44"/>
          <w:highlight w:val="none"/>
          <w:lang w:val="en-US" w:eastAsia="zh-CN"/>
        </w:rPr>
      </w:pPr>
      <w:r>
        <w:rPr>
          <w:rFonts w:hint="default" w:ascii="Times New Roman" w:hAnsi="Times New Roman" w:eastAsia="黑体" w:cs="Times New Roman"/>
          <w:color w:val="auto"/>
          <w:sz w:val="32"/>
          <w:szCs w:val="32"/>
          <w:highlight w:val="none"/>
        </w:rPr>
        <w:t>附件</w:t>
      </w:r>
      <w:r>
        <w:rPr>
          <w:rFonts w:hint="default" w:ascii="Times New Roman" w:hAnsi="Times New Roman" w:eastAsia="黑体" w:cs="Times New Roman"/>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40"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40" w:lineRule="exact"/>
        <w:contextualSpacing/>
        <w:jc w:val="center"/>
        <w:rPr>
          <w:rFonts w:hint="default" w:ascii="Times New Roman" w:hAnsi="Times New Roman" w:eastAsia="方正小标宋_GBK" w:cs="Times New Roman"/>
          <w:b w:val="0"/>
          <w:bCs/>
          <w:sz w:val="44"/>
          <w:szCs w:val="44"/>
          <w:shd w:val="clear" w:color="auto" w:fill="FFFFFF"/>
          <w:lang w:val="en-US" w:eastAsia="zh-CN"/>
        </w:rPr>
      </w:pPr>
      <w:r>
        <w:rPr>
          <w:rFonts w:hint="default" w:ascii="Times New Roman" w:hAnsi="Times New Roman" w:eastAsia="方正小标宋_GBK" w:cs="Times New Roman"/>
          <w:b w:val="0"/>
          <w:bCs/>
          <w:sz w:val="44"/>
          <w:szCs w:val="44"/>
          <w:shd w:val="clear" w:color="auto" w:fill="FFFFFF"/>
          <w:lang w:eastAsia="zh-CN"/>
        </w:rPr>
        <w:t>中共阿坝州委政策研究室</w:t>
      </w:r>
    </w:p>
    <w:p>
      <w:pPr>
        <w:keepNext w:val="0"/>
        <w:keepLines w:val="0"/>
        <w:pageBreakBefore w:val="0"/>
        <w:widowControl/>
        <w:kinsoku/>
        <w:wordWrap/>
        <w:overflowPunct/>
        <w:topLinePunct w:val="0"/>
        <w:autoSpaceDE/>
        <w:autoSpaceDN/>
        <w:bidi w:val="0"/>
        <w:spacing w:line="540" w:lineRule="exact"/>
        <w:contextualSpacing/>
        <w:jc w:val="center"/>
        <w:rPr>
          <w:rFonts w:hint="default" w:ascii="Times New Roman" w:hAnsi="Times New Roman" w:eastAsia="方正小标宋_GBK" w:cs="Times New Roman"/>
          <w:b w:val="0"/>
          <w:bCs/>
          <w:sz w:val="44"/>
          <w:szCs w:val="44"/>
          <w:shd w:val="clear" w:color="auto" w:fill="FFFFFF"/>
        </w:rPr>
      </w:pPr>
      <w:r>
        <w:rPr>
          <w:rFonts w:hint="default" w:ascii="Times New Roman" w:hAnsi="Times New Roman" w:eastAsia="方正小标宋_GBK" w:cs="Times New Roman"/>
          <w:b w:val="0"/>
          <w:bCs/>
          <w:sz w:val="44"/>
          <w:szCs w:val="44"/>
          <w:shd w:val="clear" w:color="auto" w:fill="FFFFFF"/>
        </w:rPr>
        <w:t>20</w:t>
      </w:r>
      <w:r>
        <w:rPr>
          <w:rFonts w:hint="default" w:ascii="Times New Roman" w:hAnsi="Times New Roman" w:eastAsia="方正小标宋_GBK" w:cs="Times New Roman"/>
          <w:b w:val="0"/>
          <w:bCs/>
          <w:sz w:val="44"/>
          <w:szCs w:val="44"/>
          <w:shd w:val="clear" w:color="auto" w:fill="FFFFFF"/>
          <w:lang w:val="en-US" w:eastAsia="zh-CN"/>
        </w:rPr>
        <w:t>24</w:t>
      </w:r>
      <w:r>
        <w:rPr>
          <w:rFonts w:hint="default" w:ascii="Times New Roman" w:hAnsi="Times New Roman" w:eastAsia="方正小标宋_GBK" w:cs="Times New Roman"/>
          <w:b w:val="0"/>
          <w:bCs/>
          <w:sz w:val="44"/>
          <w:szCs w:val="44"/>
          <w:shd w:val="clear" w:color="auto" w:fill="FFFFFF"/>
        </w:rPr>
        <w:t>年部门</w:t>
      </w:r>
      <w:r>
        <w:rPr>
          <w:rFonts w:hint="default" w:ascii="Times New Roman" w:hAnsi="Times New Roman" w:eastAsia="方正小标宋_GBK" w:cs="Times New Roman"/>
          <w:b w:val="0"/>
          <w:bCs/>
          <w:sz w:val="44"/>
          <w:szCs w:val="44"/>
          <w:shd w:val="clear" w:color="auto" w:fill="FFFFFF"/>
          <w:lang w:eastAsia="zh-CN"/>
        </w:rPr>
        <w:t>预算</w:t>
      </w:r>
      <w:r>
        <w:rPr>
          <w:rFonts w:hint="default" w:ascii="Times New Roman" w:hAnsi="Times New Roman" w:eastAsia="方正小标宋_GBK" w:cs="Times New Roman"/>
          <w:b w:val="0"/>
          <w:bCs/>
          <w:sz w:val="44"/>
          <w:szCs w:val="44"/>
          <w:shd w:val="clear" w:color="auto" w:fill="FFFFFF"/>
        </w:rPr>
        <w:t>绩效评价报告</w:t>
      </w:r>
    </w:p>
    <w:p>
      <w:pPr>
        <w:keepNext w:val="0"/>
        <w:keepLines w:val="0"/>
        <w:pageBreakBefore w:val="0"/>
        <w:widowControl/>
        <w:kinsoku/>
        <w:wordWrap/>
        <w:overflowPunct/>
        <w:topLinePunct w:val="0"/>
        <w:autoSpaceDE/>
        <w:autoSpaceDN/>
        <w:bidi w:val="0"/>
        <w:adjustRightInd/>
        <w:snapToGrid/>
        <w:spacing w:line="540" w:lineRule="exact"/>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lang w:val="zh-CN"/>
        </w:rPr>
      </w:pPr>
      <w:r>
        <w:rPr>
          <w:rFonts w:hint="default" w:ascii="Times New Roman" w:hAnsi="Times New Roman" w:eastAsia="方正黑体_GBK" w:cs="Times New Roman"/>
          <w:color w:val="000000"/>
          <w:kern w:val="0"/>
          <w:sz w:val="32"/>
          <w:szCs w:val="32"/>
          <w:shd w:val="clear" w:color="auto" w:fill="FFFFFF"/>
        </w:rPr>
        <w:t>一、</w:t>
      </w:r>
      <w:r>
        <w:rPr>
          <w:rFonts w:hint="default" w:ascii="Times New Roman" w:hAnsi="Times New Roman" w:eastAsia="方正黑体_GBK" w:cs="Times New Roman"/>
          <w:color w:val="000000"/>
          <w:kern w:val="0"/>
          <w:sz w:val="32"/>
          <w:szCs w:val="32"/>
          <w:shd w:val="clear" w:color="auto" w:fill="FFFFFF"/>
          <w:lang w:val="zh-CN"/>
        </w:rPr>
        <w:t>部门（单位）基本情况</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（一）机构组成。</w:t>
      </w:r>
      <w:r>
        <w:rPr>
          <w:rFonts w:hint="default" w:ascii="Times New Roman" w:hAnsi="Times New Roman" w:eastAsia="方正仿宋_GBK" w:cs="Times New Roman"/>
          <w:sz w:val="32"/>
          <w:szCs w:val="32"/>
          <w:lang w:val="en-US" w:eastAsia="zh-CN"/>
        </w:rPr>
        <w:t>中共阿坝州委政策研究室属一级预算单位，下属事业单位阿坝州改革研究中心。截至2024年12月31日，共2个预算单位，其中，行政单位1个，事业单位1个（单列）。阿坝州改革研究中心于2024年10月和12月，通过个别调动和硕博人才引进考核招聘2名工作人员。2024年除发放2名工作人员工资福利支出外，未发生其他支出。</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（二）机构职能</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1.负责对全州政治建设、经济建设、文化建设、社会建设、生态文明建设和党的建设中战略性、全局性、政策性、综合性重大问题，开展前瞻性、深层次调查研究，为州委决策提供依据和参考。</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2.负责组织或参与州委有关重要政策、重要文件、重要部署、重要讲话等重要文稿的调研起草或修改；组织对有关重大政策制定和实施进行咨询、论证、评估。</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3.负责调查研究全州经济社会发展战略和形势态势，为州委决策提出基本思路、工作部署和政策性建议；负责全州国民经济和社会发展中长期规划建议的研究和制定。</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4.负责组织开展州委重大战略实施、重大决策落实情况的跟踪调研，实事求是研究分析新情况、新问题，及时总结典型经验，合理提出建议意见。</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5.负责组织实施州委重大调研活动，参与州委主要领导调研活动，完成州委重要专题、重大课题的联合调研和专题调研；指导全州党委系统政策研究部门的调查研究工作。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6.负责分析研究州内外改革发展稳定形势及政策，搜集整理重要参考资料和研究成果，编报重要信息和动态，交流调研成果和工作经验，开展决策咨询服务。</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7.负责处理州委全面深化改革委员会日常工作，统筹协调改革专项小组工作，指导县（市）党委改革推进工作；对接落实中央、省委改革方案，谋划自主创新改革举措，组织推动重大改革试点，开展重大改革事项政策研究。</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8.负责筹备州委全面深化改革委员会会议，研究处理重要改革事项及相关请示；督促落实州委深改委会议决定事项，组织开展改革督察和目标考核工作。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9.承担阿坝州新型智库建设推进工作。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10.完成州委交办的其他任务。</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（三）人员概况。</w:t>
      </w:r>
      <w:r>
        <w:rPr>
          <w:rFonts w:hint="default" w:ascii="Times New Roman" w:hAnsi="Times New Roman" w:eastAsia="方正仿宋_GBK" w:cs="Times New Roman"/>
          <w:sz w:val="32"/>
          <w:szCs w:val="32"/>
          <w:lang w:val="en-US" w:eastAsia="zh-CN"/>
        </w:rPr>
        <w:t>截至2024年末，在职职工16人，退休职工4人。在职职工中公务员编制人员12人，工勤编制人员2人，阿坝州改革研究中心2人。</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rPr>
      </w:pPr>
      <w:r>
        <w:rPr>
          <w:rFonts w:hint="default" w:ascii="Times New Roman" w:hAnsi="Times New Roman" w:eastAsia="黑体" w:cs="Times New Roman"/>
          <w:color w:val="000000"/>
          <w:kern w:val="0"/>
          <w:sz w:val="32"/>
          <w:szCs w:val="32"/>
          <w:shd w:val="clear" w:color="auto" w:fill="FFFFFF"/>
        </w:rPr>
        <w:t>二、部门资金收支情况</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b/>
          <w:bCs/>
          <w:color w:val="000000"/>
          <w:kern w:val="0"/>
          <w:sz w:val="32"/>
          <w:szCs w:val="32"/>
          <w:shd w:val="clear" w:color="auto" w:fill="FFFFFF"/>
          <w:lang w:val="zh-CN"/>
        </w:rPr>
        <w:t>（一）收入情况。</w:t>
      </w:r>
      <w:r>
        <w:rPr>
          <w:rFonts w:hint="default" w:ascii="Times New Roman" w:hAnsi="Times New Roman" w:eastAsia="方正仿宋_GBK" w:cs="Times New Roman"/>
          <w:kern w:val="2"/>
          <w:sz w:val="32"/>
          <w:szCs w:val="32"/>
          <w:lang w:val="en-US" w:eastAsia="zh-CN" w:bidi="ar-SA"/>
        </w:rPr>
        <w:t>州委政研室2024</w:t>
      </w:r>
      <w:r>
        <w:rPr>
          <w:rFonts w:hint="default" w:ascii="Times New Roman" w:hAnsi="Times New Roman" w:eastAsia="方正仿宋_GBK" w:cs="Times New Roman"/>
          <w:sz w:val="32"/>
          <w:szCs w:val="32"/>
          <w:lang w:bidi="ar-SA"/>
        </w:rPr>
        <w:t>年年初预算收入</w:t>
      </w:r>
      <w:r>
        <w:rPr>
          <w:rFonts w:hint="default" w:ascii="Times New Roman" w:hAnsi="Times New Roman" w:eastAsia="方正仿宋_GBK" w:cs="Times New Roman"/>
          <w:sz w:val="32"/>
          <w:szCs w:val="32"/>
          <w:lang w:eastAsia="zh-CN" w:bidi="ar-SA"/>
        </w:rPr>
        <w:t>数</w:t>
      </w:r>
      <w:r>
        <w:rPr>
          <w:rFonts w:hint="default" w:ascii="Times New Roman" w:hAnsi="Times New Roman" w:eastAsia="方正仿宋_GBK" w:cs="Times New Roman"/>
          <w:sz w:val="32"/>
          <w:szCs w:val="32"/>
          <w:lang w:bidi="ar-SA"/>
        </w:rPr>
        <w:t>为</w:t>
      </w:r>
      <w:r>
        <w:rPr>
          <w:rFonts w:hint="default" w:ascii="Times New Roman" w:hAnsi="Times New Roman" w:eastAsia="方正仿宋_GBK" w:cs="Times New Roman"/>
          <w:sz w:val="32"/>
          <w:szCs w:val="32"/>
          <w:lang w:val="en-US" w:eastAsia="zh-CN" w:bidi="ar-SA"/>
        </w:rPr>
        <w:t>478.06</w:t>
      </w:r>
      <w:r>
        <w:rPr>
          <w:rFonts w:hint="default" w:ascii="Times New Roman" w:hAnsi="Times New Roman" w:eastAsia="方正仿宋_GBK" w:cs="Times New Roman"/>
          <w:sz w:val="32"/>
          <w:szCs w:val="32"/>
          <w:lang w:bidi="ar-SA"/>
        </w:rPr>
        <w:t>万元，上年度年初预算收入为</w:t>
      </w:r>
      <w:r>
        <w:rPr>
          <w:rFonts w:hint="default" w:ascii="Times New Roman" w:hAnsi="Times New Roman" w:eastAsia="方正仿宋_GBK" w:cs="Times New Roman"/>
          <w:sz w:val="32"/>
          <w:szCs w:val="32"/>
          <w:lang w:val="en-US" w:eastAsia="zh-CN" w:bidi="ar-SA"/>
        </w:rPr>
        <w:t>443.06</w:t>
      </w:r>
      <w:r>
        <w:rPr>
          <w:rFonts w:hint="default" w:ascii="Times New Roman" w:hAnsi="Times New Roman" w:eastAsia="方正仿宋_GBK" w:cs="Times New Roman"/>
          <w:sz w:val="32"/>
          <w:szCs w:val="32"/>
          <w:lang w:bidi="ar-SA"/>
        </w:rPr>
        <w:t>万元，差异为</w:t>
      </w:r>
      <w:r>
        <w:rPr>
          <w:rFonts w:hint="default" w:ascii="Times New Roman" w:hAnsi="Times New Roman" w:eastAsia="方正仿宋_GBK" w:cs="Times New Roman"/>
          <w:sz w:val="32"/>
          <w:szCs w:val="32"/>
          <w:lang w:val="en-US" w:eastAsia="zh-CN" w:bidi="ar-SA"/>
        </w:rPr>
        <w:t>35</w:t>
      </w:r>
      <w:r>
        <w:rPr>
          <w:rFonts w:hint="default" w:ascii="Times New Roman" w:hAnsi="Times New Roman" w:eastAsia="方正仿宋_GBK" w:cs="Times New Roman"/>
          <w:sz w:val="32"/>
          <w:szCs w:val="32"/>
          <w:lang w:bidi="ar-SA"/>
        </w:rPr>
        <w:t>万元；</w:t>
      </w:r>
      <w:r>
        <w:rPr>
          <w:rStyle w:val="19"/>
          <w:rFonts w:hint="default" w:ascii="Times New Roman" w:hAnsi="Times New Roman" w:eastAsia="方正仿宋_GBK" w:cs="Times New Roman"/>
          <w:sz w:val="32"/>
          <w:szCs w:val="32"/>
          <w:lang w:bidi="ar-SA"/>
        </w:rPr>
        <w:t>主要原因</w:t>
      </w:r>
      <w:r>
        <w:rPr>
          <w:rStyle w:val="19"/>
          <w:rFonts w:hint="default" w:ascii="Times New Roman" w:hAnsi="Times New Roman" w:eastAsia="方正仿宋_GBK" w:cs="Times New Roman"/>
          <w:sz w:val="32"/>
          <w:szCs w:val="32"/>
          <w:lang w:eastAsia="zh-CN" w:bidi="ar-SA"/>
        </w:rPr>
        <w:t>：</w:t>
      </w:r>
      <w:r>
        <w:rPr>
          <w:rFonts w:hint="default" w:ascii="Times New Roman" w:hAnsi="Times New Roman" w:eastAsia="方正仿宋_GBK" w:cs="Times New Roman"/>
          <w:color w:val="000000"/>
          <w:kern w:val="0"/>
          <w:sz w:val="32"/>
          <w:szCs w:val="32"/>
          <w:lang w:val="en-US" w:eastAsia="zh-CN" w:bidi="ar-SA"/>
        </w:rPr>
        <w:t>按照省州工作安排，统一调整高海拔津贴；新进公务员1名，新进事业人员1名。2024年度收入全年预算数为496.46万元，收入决算数为496.46万元，预算完成度为100.00%。</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eastAsia="zh-CN" w:bidi="ar-SA"/>
        </w:rPr>
      </w:pPr>
      <w:r>
        <w:rPr>
          <w:rFonts w:hint="default" w:ascii="Times New Roman" w:hAnsi="Times New Roman" w:eastAsia="方正楷体_GBK" w:cs="Times New Roman"/>
          <w:b/>
          <w:bCs/>
          <w:color w:val="000000"/>
          <w:kern w:val="0"/>
          <w:sz w:val="32"/>
          <w:szCs w:val="32"/>
          <w:shd w:val="clear" w:color="auto" w:fill="FFFFFF"/>
          <w:lang w:val="zh-CN"/>
        </w:rPr>
        <w:t>（二）支出情况。</w:t>
      </w:r>
      <w:r>
        <w:rPr>
          <w:rFonts w:hint="default" w:ascii="Times New Roman" w:hAnsi="Times New Roman" w:eastAsia="方正仿宋_GBK" w:cs="Times New Roman"/>
          <w:kern w:val="2"/>
          <w:sz w:val="32"/>
          <w:szCs w:val="32"/>
          <w:lang w:val="en-US" w:eastAsia="zh-CN" w:bidi="ar-SA"/>
        </w:rPr>
        <w:t>州委政研室2024年度年初预算支出数为478.06万元，上年度支出的年初预算数为443.06万元，差异为35万元；主要原因：按照省州统一安排，调整全室干部职工高海拔津贴，并补发2023年部分；2024年7月调整办公用房，水电费等运转经费增加；新进公务员1名，新进事业人员1名。</w:t>
      </w:r>
      <w:r>
        <w:rPr>
          <w:rFonts w:hint="default" w:ascii="Times New Roman" w:hAnsi="Times New Roman" w:eastAsia="方正仿宋_GBK" w:cs="Times New Roman"/>
          <w:sz w:val="32"/>
          <w:szCs w:val="32"/>
          <w:lang w:val="en-US" w:eastAsia="zh-CN" w:bidi="ar-SA"/>
        </w:rPr>
        <w:t>2024</w:t>
      </w:r>
      <w:r>
        <w:rPr>
          <w:rFonts w:hint="default" w:ascii="Times New Roman" w:hAnsi="Times New Roman" w:eastAsia="方正仿宋_GBK" w:cs="Times New Roman"/>
          <w:sz w:val="32"/>
          <w:szCs w:val="32"/>
          <w:lang w:bidi="ar-SA"/>
        </w:rPr>
        <w:t>年度支出全年预算数为</w:t>
      </w:r>
      <w:r>
        <w:rPr>
          <w:rFonts w:hint="default" w:ascii="Times New Roman" w:hAnsi="Times New Roman" w:eastAsia="方正仿宋_GBK" w:cs="Times New Roman"/>
          <w:sz w:val="32"/>
          <w:szCs w:val="32"/>
          <w:lang w:val="en-US" w:eastAsia="zh-CN" w:bidi="ar-SA"/>
        </w:rPr>
        <w:t>496.46</w:t>
      </w:r>
      <w:r>
        <w:rPr>
          <w:rFonts w:hint="default" w:ascii="Times New Roman" w:hAnsi="Times New Roman" w:eastAsia="方正仿宋_GBK" w:cs="Times New Roman"/>
          <w:sz w:val="32"/>
          <w:szCs w:val="32"/>
          <w:lang w:bidi="ar-SA"/>
        </w:rPr>
        <w:t>万元，支出决算数为</w:t>
      </w:r>
      <w:r>
        <w:rPr>
          <w:rFonts w:hint="default" w:ascii="Times New Roman" w:hAnsi="Times New Roman" w:eastAsia="方正仿宋_GBK" w:cs="Times New Roman"/>
          <w:sz w:val="32"/>
          <w:szCs w:val="32"/>
          <w:lang w:val="en-US" w:eastAsia="zh-CN" w:bidi="ar-SA"/>
        </w:rPr>
        <w:t>496.46</w:t>
      </w:r>
      <w:r>
        <w:rPr>
          <w:rFonts w:hint="default" w:ascii="Times New Roman" w:hAnsi="Times New Roman" w:eastAsia="方正仿宋_GBK" w:cs="Times New Roman"/>
          <w:sz w:val="32"/>
          <w:szCs w:val="32"/>
          <w:lang w:bidi="ar-SA"/>
        </w:rPr>
        <w:t>万元，预算完成度为100.00%，上年度预算完成度为100.00%</w:t>
      </w:r>
      <w:r>
        <w:rPr>
          <w:rFonts w:hint="default" w:ascii="Times New Roman" w:hAnsi="Times New Roman" w:eastAsia="方正仿宋_GBK" w:cs="Times New Roman"/>
          <w:sz w:val="32"/>
          <w:szCs w:val="32"/>
          <w:lang w:eastAsia="zh-CN" w:bidi="ar-SA"/>
        </w:rPr>
        <w:t>。</w:t>
      </w:r>
    </w:p>
    <w:p>
      <w:pPr>
        <w:keepNext w:val="0"/>
        <w:keepLines w:val="0"/>
        <w:pageBreakBefore w:val="0"/>
        <w:widowControl/>
        <w:kinsoku/>
        <w:wordWrap/>
        <w:overflowPunct/>
        <w:topLinePunct w:val="0"/>
        <w:autoSpaceDE/>
        <w:autoSpaceDN/>
        <w:bidi w:val="0"/>
        <w:adjustRightInd w:val="0"/>
        <w:snapToGrid w:val="0"/>
        <w:spacing w:line="540" w:lineRule="exact"/>
        <w:ind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（三）结余分配和结转结余情况。</w:t>
      </w:r>
      <w:r>
        <w:rPr>
          <w:rFonts w:hint="default" w:ascii="Times New Roman" w:hAnsi="Times New Roman" w:eastAsia="方正仿宋_GBK" w:cs="Times New Roman"/>
          <w:kern w:val="2"/>
          <w:sz w:val="32"/>
          <w:szCs w:val="32"/>
          <w:lang w:val="en-US" w:eastAsia="zh-CN" w:bidi="ar-SA"/>
        </w:rPr>
        <w:t>我室无结余结转资金。</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lang w:eastAsia="zh-CN"/>
        </w:rPr>
      </w:pPr>
      <w:r>
        <w:rPr>
          <w:rFonts w:hint="default" w:ascii="Times New Roman" w:hAnsi="Times New Roman" w:eastAsia="黑体" w:cs="Times New Roman"/>
          <w:color w:val="000000"/>
          <w:kern w:val="0"/>
          <w:sz w:val="32"/>
          <w:szCs w:val="32"/>
          <w:shd w:val="clear" w:color="auto" w:fill="FFFFFF"/>
          <w:lang w:eastAsia="zh-CN"/>
        </w:rPr>
        <w:t>三、</w:t>
      </w:r>
      <w:r>
        <w:rPr>
          <w:rFonts w:hint="default" w:ascii="Times New Roman" w:hAnsi="Times New Roman" w:eastAsia="黑体" w:cs="Times New Roman"/>
          <w:color w:val="000000"/>
          <w:kern w:val="0"/>
          <w:sz w:val="32"/>
          <w:szCs w:val="32"/>
          <w:shd w:val="clear" w:color="auto" w:fill="FFFFFF"/>
        </w:rPr>
        <w:t>部门预算绩效</w:t>
      </w:r>
      <w:r>
        <w:rPr>
          <w:rFonts w:hint="default" w:ascii="Times New Roman" w:hAnsi="Times New Roman" w:eastAsia="黑体" w:cs="Times New Roman"/>
          <w:color w:val="000000"/>
          <w:kern w:val="0"/>
          <w:sz w:val="32"/>
          <w:szCs w:val="32"/>
          <w:shd w:val="clear" w:color="auto" w:fill="FFFFFF"/>
          <w:lang w:eastAsia="zh-CN"/>
        </w:rPr>
        <w:t>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（一）部门预算总体绩效分析</w:t>
      </w:r>
    </w:p>
    <w:p>
      <w:pPr>
        <w:pStyle w:val="16"/>
        <w:keepNext w:val="0"/>
        <w:keepLines w:val="0"/>
        <w:pageBreakBefore w:val="0"/>
        <w:widowControl/>
        <w:suppressLineNumbers w:val="0"/>
        <w:shd w:val="clear" w:color="auto" w:fill="FFFFFF"/>
        <w:suppressAutoHyphens w:val="0"/>
        <w:kinsoku/>
        <w:wordWrap/>
        <w:overflowPunct/>
        <w:topLinePunct w:val="0"/>
        <w:autoSpaceDE/>
        <w:autoSpaceDN/>
        <w:bidi w:val="0"/>
        <w:adjustRightInd/>
        <w:snapToGrid/>
        <w:spacing w:before="0" w:beforeAutospacing="0" w:after="0" w:afterAutospacing="0" w:line="540" w:lineRule="exact"/>
        <w:ind w:left="0" w:firstLine="642" w:firstLineChars="200"/>
        <w:jc w:val="both"/>
        <w:textAlignment w:val="auto"/>
        <w:outlineLvl w:val="9"/>
        <w:rPr>
          <w:rFonts w:hint="default" w:ascii="Times New Roman" w:hAnsi="Times New Roman" w:eastAsia="方正仿宋_GBK" w:cs="Times New Roman"/>
          <w:color w:val="auto"/>
          <w:sz w:val="32"/>
          <w:szCs w:val="32"/>
          <w:u w:val="none"/>
          <w:lang w:val="en-US" w:eastAsia="zh-CN" w:bidi="ar-SA"/>
        </w:rPr>
      </w:pPr>
      <w:r>
        <w:rPr>
          <w:rFonts w:hint="default" w:ascii="Times New Roman" w:hAnsi="Times New Roman" w:eastAsia="方正仿宋_GBK" w:cs="Times New Roman"/>
          <w:b/>
          <w:bCs/>
          <w:sz w:val="32"/>
          <w:szCs w:val="32"/>
          <w:lang w:val="en-US" w:eastAsia="zh-CN"/>
        </w:rPr>
        <w:t>1.履职效能。</w:t>
      </w:r>
      <w:r>
        <w:rPr>
          <w:rFonts w:hint="default" w:ascii="Times New Roman" w:hAnsi="Times New Roman" w:eastAsia="方正仿宋_GBK" w:cs="Times New Roman"/>
          <w:sz w:val="32"/>
          <w:szCs w:val="32"/>
          <w:lang w:val="en-US" w:eastAsia="zh-CN"/>
        </w:rPr>
        <w:t>2024年，积极参与组织起草州委十二届五次全会《立赶超之志 聚奋进之力 强力推进建设民族地区高质量发展阿坝典范》《中共阿坝州委关于奋力建设民族地区高质量发展阿坝典范的决定》等重大文稿，</w:t>
      </w:r>
      <w:r>
        <w:rPr>
          <w:rFonts w:hint="default" w:ascii="Times New Roman" w:hAnsi="Times New Roman" w:eastAsia="方正仿宋_GBK" w:cs="Times New Roman"/>
          <w:color w:val="auto"/>
          <w:sz w:val="32"/>
          <w:szCs w:val="32"/>
          <w:u w:val="none"/>
          <w:lang w:val="en-US" w:eastAsia="zh-CN" w:bidi="ar-SA"/>
        </w:rPr>
        <w:t>完成《在美丽中国建设中探索先行示范之路》《纵深推进生态文明体制改革加快建设美丽中国先行区》等多篇州委主要领导署名文章，分别在《学习与研究》《调查与决策》等核心刊物上刊发。积极参与民进中央课题组大熊猫国家公园体制改革调研、省委政研室开展激发冰雪经济活力调研等，以全州改革发展的重大问题为出发点，深入开展“微网实格”、教育高质量发展等专题调研，形成报告供州委领导参阅。总结提炼《奋力建设民族地区高质量发展阿坝典范》民族团结进步创建经验，被《中国民族》（2024年第11期）采编刊用。编印完成《阿坝州领导干部调研文集》（2023年度），有序推进20个州委重点课题调研成果收集整理，完成上报改革信息30余期、组稿编印《阿坝研究》4期，并送州级各部门、各县（市）和全国各兄弟市（州）参考学习。组织召开十二届州委全面深化改革委员会第五次、第六次会议，修改完善州委全面深化改革委员会“两规则一细则”，印发《中共阿坝州委全面深化改革委员会2024年度工作要点》《中共阿坝州委全面深化改革委员会2024年度工作台账》，制定9大领域120项改革任务。开展2024年度全面深化改革暨政研干部能力提升专题培训班，组织60名全州各级改革一线工作人员参加培训，分析改革形势、细化改革任务、提升改革本领。及时提炼金川县以文化产业发展“软实力”铸造经济发展“硬支撑”，松潘县探索“三个三”模式推进藏红花椒现代农业园区建设等30余期改革信息，《探索真正“长牙齿”的项目财政评审》得到省委改革办肯定并在全省学习推广；梳理各改革专项小组、各县（市）改革典型案例50余个，向省委改革办推荐上报《阿坝州“四套治理”模式高质量推进若尔盖国家公园建设》《阿坝州壤塘县非遗“软实力”致富“硬支撑”》《阿坝州黑水县探索外出务工党员群众“逢场式”异地管理服务机制》等4个改革典型案例。</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b/>
          <w:bCs/>
          <w:sz w:val="32"/>
          <w:szCs w:val="32"/>
          <w:lang w:val="en-US" w:eastAsia="zh-CN"/>
        </w:rPr>
        <w:t>2.预算管理。</w:t>
      </w:r>
      <w:r>
        <w:rPr>
          <w:rFonts w:hint="default" w:ascii="Times New Roman" w:hAnsi="Times New Roman" w:eastAsia="方正仿宋_GBK" w:cs="Times New Roman"/>
          <w:color w:val="auto"/>
          <w:sz w:val="32"/>
          <w:szCs w:val="32"/>
          <w:u w:val="none"/>
          <w:lang w:val="en-US" w:eastAsia="zh-CN" w:bidi="ar-SA"/>
        </w:rPr>
        <w:t>一是预算编制方面，</w:t>
      </w:r>
      <w:r>
        <w:rPr>
          <w:rFonts w:hint="default" w:ascii="Times New Roman" w:hAnsi="Times New Roman" w:eastAsia="方正仿宋_GBK" w:cs="Times New Roman"/>
          <w:sz w:val="32"/>
          <w:szCs w:val="32"/>
          <w:lang w:val="en-US" w:eastAsia="zh-CN"/>
        </w:rPr>
        <w:t>始终坚持预算编制联审机制，2024年预算编制全面深化改革、重大课题调研、典型经验案例教学、《阿坝研究》、全域旅游工作先进个人奖励资金、2023年四川省帮扶干部风险保障金6个特定项目均按照科室负责人初审、分管领导复审、室务会会议联审审核流程，项目指标实际完成均达到预期指标90%以上。二是整体目标方面，部门整体绩效目标编制完整、合理，部门整体绩效目标能完整、合理反映我室年度职责履行情况，项目绩效目标编制明确，并通过了预算草案审查，审查后未提出确需修改的问题。三是</w:t>
      </w:r>
      <w:r>
        <w:rPr>
          <w:rFonts w:hint="default" w:ascii="Times New Roman" w:hAnsi="Times New Roman" w:eastAsia="方正仿宋_GBK" w:cs="Times New Roman"/>
          <w:sz w:val="32"/>
          <w:szCs w:val="32"/>
          <w:lang w:val="zh-CN" w:eastAsia="zh-CN"/>
        </w:rPr>
        <w:t>预算编制</w:t>
      </w:r>
      <w:r>
        <w:rPr>
          <w:rFonts w:hint="default" w:ascii="Times New Roman" w:hAnsi="Times New Roman" w:eastAsia="方正仿宋_GBK" w:cs="Times New Roman"/>
          <w:sz w:val="32"/>
          <w:szCs w:val="32"/>
          <w:lang w:val="en-US" w:eastAsia="zh-CN"/>
        </w:rPr>
        <w:t>支出控制方面，按照部门日常公用经费、项目支出中“办公费、印刷费、水费、电费”等科目年初预算数与决算数偏差程度，2024年预决算偏差程度均在10%以内。四是支出执行进度方面，该项指标得分=</w:t>
      </w:r>
      <w:r>
        <w:rPr>
          <w:rFonts w:hint="default" w:ascii="Times New Roman" w:hAnsi="Times New Roman" w:eastAsia="方正仿宋_GBK" w:cs="Times New Roman"/>
          <w:sz w:val="32"/>
          <w:szCs w:val="32"/>
          <w:u w:val="none"/>
          <w:lang w:val="en-US" w:eastAsia="zh-CN"/>
        </w:rPr>
        <w:t>（1至6月预算执行数÷（部门预算数×50%）×2）+（1-1至6月支出预警金额占比×0.8-1至6月支出违规金额占比×0.2）+（1至10月预算执行数÷（部门预算数×83.33%）×2）+（1-1至10月支出预警金额占比×0.8-1至10月支出违规金额占比×0.2）=（233.59万元/（496.46万元*50%）*2）+（1-0*0.8-0*0.2）+（405.61万元/（496.46万元*83.33%）*2）+（1-0*0.8-0*0.2）=1.822+1+1.961+1=5.843分。</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3.财务管理。</w:t>
      </w:r>
      <w:r>
        <w:rPr>
          <w:rFonts w:hint="default" w:ascii="Times New Roman" w:hAnsi="Times New Roman" w:eastAsia="方正仿宋_GBK" w:cs="Times New Roman"/>
          <w:sz w:val="32"/>
          <w:szCs w:val="32"/>
          <w:lang w:val="en-US" w:eastAsia="zh-CN"/>
        </w:rPr>
        <w:t>我室严格按照《中华人民共和国会计法》《政府会计准则》《会计基础工作规范》等相关法律法规进行会计核算，依据《行政事业单位内部控制制度（试行）》规定，建立健全我室内部控制制度，进一步修订完善《中共阿坝州委政策研究室预算管理制度》《中共阿坝州委政策研究室业务收支管理制度》，明确财务管理相关制度规定9章86条。设出纳1名，兼职会计1名，财务人员均具备从事财务相关工作专业能力、学历和水平。会计岗和出纳岗按照不相容职务分离原则进行分工，会计、出纳、分管领导等相关人员，各负其责、各司其职，严格落实财务财经各项规章制度，UK、银行预留印鉴分开保管和使用。落实“收支两条线”财务管理规定，加强财政资金和自有资金管理，坚决执行公务卡强制结算目录规定办理资金支付，不断规范人员基础信息动态管理、工资扣项代扣代缴和财务核对工作。</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4.资产管理。</w:t>
      </w:r>
      <w:r>
        <w:rPr>
          <w:rFonts w:hint="default" w:ascii="Times New Roman" w:hAnsi="Times New Roman" w:eastAsia="方正仿宋_GBK" w:cs="Times New Roman"/>
          <w:sz w:val="32"/>
          <w:szCs w:val="32"/>
          <w:lang w:val="en-US" w:eastAsia="zh-CN"/>
        </w:rPr>
        <w:t>我室全面贯彻落实《行政事业单位国有资产管理办法》等规定，制定《中共阿坝州委政策研究室资产管理制度》，明确资产管理、使用、维护等责任，及时将新增、报废固定资产进行账务处理，做到资产实物与财务情况相吻合，科学、合理地进行资产购买、使用、报废处置，提高资产的使用效率。2024年，期末人均资产=期末总资产2422710.75元÷期末总人数14人=173050.7679元/人，期初人均资产=期初总资产2389240.75元÷期初总人数12人=199103.3958元/人；人均资产变化率=（期末人均资产173050.7679元-期初人均资产199103.3958元）÷期初人均资产199103.3958元×100%=-0.1308。人均资本增长率=（本期人均资本173050.7679元-上期人均资本186684.67元）÷上期人均资本186684.67元×100%=-0.0730。办公设备超最低使用年限资产利用率=超最低使用年限的办公设备账面价值1232862元÷办公设备账面价值2245616.35元×100%=54.89%，办公家具超最低使用年限资产利用率=超最低使用年限的办公家具账面价值16384.4元÷办公家具账面价值177094.40元×100%=9.252%。</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5.采购管理。</w:t>
      </w:r>
      <w:r>
        <w:rPr>
          <w:rFonts w:hint="default" w:ascii="Times New Roman" w:hAnsi="Times New Roman" w:eastAsia="方正仿宋_GBK" w:cs="Times New Roman"/>
          <w:sz w:val="32"/>
          <w:szCs w:val="32"/>
          <w:lang w:val="en-US" w:eastAsia="zh-CN"/>
        </w:rPr>
        <w:t>我室认真落实政府采购相关要求，制定《州委政研室政府采购业务管理制度》，将内控管理贯穿于政府采购决策、执行和监督全过程。严格执行《中华人民共和国政府采购法》《中华人民共和国政府采购法实施条例》及政府公布的年度《政府集中采购目录及采购限额标准》等组织实施采购项目。2024年5月和8月，我室实施车辆保险框采项目，严格执行政府采购促进中小企业发展相关管理办法，面向中小企业采购。</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（二）部门预算项目绩效分析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常年项目绩效分析。</w:t>
      </w:r>
      <w:r>
        <w:rPr>
          <w:rFonts w:hint="default" w:ascii="Times New Roman" w:hAnsi="Times New Roman" w:eastAsia="方正仿宋_GBK" w:cs="Times New Roman"/>
          <w:sz w:val="32"/>
          <w:szCs w:val="32"/>
          <w:lang w:val="en-US" w:eastAsia="zh-CN"/>
        </w:rPr>
        <w:t>该类项目总数10个，其中包括全面深化改革、重大课题调研、典型经验案例教学和《阿坝研究》4个特定项目，涉及预算总资金</w:t>
      </w:r>
      <w:r>
        <w:rPr>
          <w:rFonts w:hint="default" w:ascii="Times New Roman" w:hAnsi="Times New Roman" w:eastAsia="方正仿宋_GBK" w:cs="Times New Roman"/>
          <w:color w:val="000000"/>
          <w:kern w:val="0"/>
          <w:sz w:val="32"/>
          <w:szCs w:val="32"/>
          <w:lang w:val="en-US" w:eastAsia="zh-CN" w:bidi="ar-SA"/>
        </w:rPr>
        <w:t>496.46</w:t>
      </w:r>
      <w:r>
        <w:rPr>
          <w:rFonts w:hint="default" w:ascii="Times New Roman" w:hAnsi="Times New Roman" w:eastAsia="方正仿宋_GBK" w:cs="Times New Roman"/>
          <w:sz w:val="32"/>
          <w:szCs w:val="32"/>
          <w:lang w:val="en-US" w:eastAsia="zh-CN"/>
        </w:rPr>
        <w:t>万元，1—12月预算执行总体进度为100%。无结转结余项目。</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阶段性（一次性）项目绩效分析。</w:t>
      </w:r>
      <w:r>
        <w:rPr>
          <w:rFonts w:hint="default" w:ascii="Times New Roman" w:hAnsi="Times New Roman" w:eastAsia="方正仿宋_GBK" w:cs="Times New Roman"/>
          <w:sz w:val="32"/>
          <w:szCs w:val="32"/>
          <w:lang w:val="en-US" w:eastAsia="zh-CN"/>
        </w:rPr>
        <w:t>该类项目总数2个（全域旅游工作先进个人奖励资金、2023年四川省帮扶干部风险保障金），涉及预算总资金3.5万元，1—12月预算执行总体进度为100%。无结转结余项目。</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contextualSpacing/>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1.项目决策。</w:t>
      </w:r>
      <w:r>
        <w:rPr>
          <w:rFonts w:hint="default" w:ascii="Times New Roman" w:hAnsi="Times New Roman" w:eastAsia="方正仿宋_GBK" w:cs="Times New Roman"/>
          <w:sz w:val="32"/>
          <w:szCs w:val="32"/>
          <w:lang w:val="en-US" w:eastAsia="zh-CN"/>
        </w:rPr>
        <w:t>我室严格按照预算相关要求，积极开展预算项目事前评估工作，基本做到预算与绩效目标匹配，认真落实“谁申请预算、谁编制目标，谁分配资金、谁审核目标”管理机制，预算资金分配标准明确，预算编制全部实施绩效目标管理。</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contextualSpacing/>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2.项目执行。</w:t>
      </w:r>
      <w:r>
        <w:rPr>
          <w:rFonts w:hint="default" w:ascii="Times New Roman" w:hAnsi="Times New Roman" w:eastAsia="方正仿宋_GBK" w:cs="Times New Roman"/>
          <w:sz w:val="32"/>
          <w:szCs w:val="32"/>
          <w:lang w:val="en-US" w:eastAsia="zh-CN"/>
        </w:rPr>
        <w:t>我室明确规定，预算科室根据预算项目特点，制定可行的项目实施方案，并按照有关资金管理办法和财务制度执行预算。2024年我室4个（含一次性项目）特定预算项目实际列支内容与绩效目标设置方向相符，无项目调整。</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3.目标实现。</w:t>
      </w:r>
      <w:r>
        <w:rPr>
          <w:rFonts w:hint="default" w:ascii="Times New Roman" w:hAnsi="Times New Roman" w:eastAsia="方正仿宋_GBK" w:cs="Times New Roman"/>
          <w:sz w:val="32"/>
          <w:szCs w:val="32"/>
          <w:lang w:val="en-US" w:eastAsia="zh-CN"/>
        </w:rPr>
        <w:t>我室预算项目绩效目标、绩效指标、预算额度等预算编制逐步细化、量化，基本体现预算绩效管理理念。2024年预算项目基本达到预期目标，实现预期效益，效果较好。</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lang w:val="en-US" w:eastAsia="zh-CN"/>
        </w:rPr>
      </w:pPr>
      <w:r>
        <w:rPr>
          <w:rFonts w:hint="default" w:ascii="Times New Roman" w:hAnsi="Times New Roman" w:eastAsia="方正楷体_GBK" w:cs="Times New Roman"/>
          <w:b/>
          <w:bCs/>
          <w:sz w:val="32"/>
          <w:szCs w:val="32"/>
          <w:lang w:val="en-US" w:eastAsia="zh-CN"/>
        </w:rPr>
        <w:t>（三）重点领域绩效分析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我室2024年度不涉及国有资本、债券资金、政府采购等重点领域。</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sz w:val="32"/>
          <w:szCs w:val="32"/>
          <w:lang w:val="zh-CN" w:eastAsia="zh-CN"/>
        </w:rPr>
      </w:pPr>
      <w:r>
        <w:rPr>
          <w:rFonts w:hint="default" w:ascii="Times New Roman" w:hAnsi="Times New Roman" w:eastAsia="方正楷体_GBK" w:cs="Times New Roman"/>
          <w:b/>
          <w:bCs/>
          <w:sz w:val="32"/>
          <w:szCs w:val="32"/>
          <w:lang w:val="en-US" w:eastAsia="zh-CN"/>
        </w:rPr>
        <w:t>（四）绩效</w:t>
      </w:r>
      <w:r>
        <w:rPr>
          <w:rFonts w:hint="default" w:ascii="Times New Roman" w:hAnsi="Times New Roman" w:eastAsia="方正楷体_GBK" w:cs="Times New Roman"/>
          <w:b/>
          <w:bCs/>
          <w:sz w:val="32"/>
          <w:szCs w:val="32"/>
          <w:lang w:val="zh-CN" w:eastAsia="zh-CN"/>
        </w:rPr>
        <w:t>结果应用情况</w:t>
      </w:r>
    </w:p>
    <w:p>
      <w:pPr>
        <w:pStyle w:val="21"/>
        <w:keepNext w:val="0"/>
        <w:keepLines w:val="0"/>
        <w:pageBreakBefore w:val="0"/>
        <w:widowControl w:val="0"/>
        <w:kinsoku/>
        <w:wordWrap/>
        <w:overflowPunct/>
        <w:topLinePunct w:val="0"/>
        <w:autoSpaceDE/>
        <w:autoSpaceDN/>
        <w:bidi w:val="0"/>
        <w:spacing w:line="540" w:lineRule="exact"/>
        <w:ind w:firstLine="640"/>
        <w:jc w:val="both"/>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b/>
          <w:bCs/>
          <w:color w:val="000000"/>
          <w:kern w:val="0"/>
          <w:sz w:val="32"/>
          <w:szCs w:val="32"/>
          <w:lang w:val="en-US" w:eastAsia="zh-CN"/>
        </w:rPr>
        <w:t>1.信息公开。</w:t>
      </w:r>
      <w:r>
        <w:rPr>
          <w:rFonts w:hint="default" w:ascii="Times New Roman" w:hAnsi="Times New Roman" w:eastAsia="方正仿宋_GBK" w:cs="Times New Roman"/>
          <w:kern w:val="2"/>
          <w:sz w:val="32"/>
          <w:szCs w:val="32"/>
          <w:lang w:val="en-US" w:eastAsia="zh-CN" w:bidi="ar-SA"/>
        </w:rPr>
        <w:t>一是</w:t>
      </w:r>
      <w:r>
        <w:rPr>
          <w:rFonts w:hint="default" w:ascii="Times New Roman" w:hAnsi="Times New Roman" w:eastAsia="方正仿宋_GBK" w:cs="Times New Roman"/>
          <w:kern w:val="2"/>
          <w:sz w:val="32"/>
          <w:szCs w:val="32"/>
          <w:lang w:val="zh-CN" w:eastAsia="zh-CN" w:bidi="ar-SA"/>
        </w:rPr>
        <w:t>预算公</w:t>
      </w:r>
      <w:r>
        <w:rPr>
          <w:rFonts w:hint="default" w:ascii="Times New Roman" w:hAnsi="Times New Roman" w:eastAsia="方正仿宋_GBK" w:cs="Times New Roman"/>
          <w:b w:val="0"/>
          <w:bCs w:val="0"/>
          <w:kern w:val="2"/>
          <w:sz w:val="32"/>
          <w:szCs w:val="32"/>
          <w:lang w:val="zh-CN" w:eastAsia="zh-CN" w:bidi="ar-SA"/>
        </w:rPr>
        <w:t>开</w:t>
      </w:r>
      <w:r>
        <w:rPr>
          <w:rFonts w:hint="default" w:ascii="Times New Roman" w:hAnsi="Times New Roman" w:eastAsia="仿宋_GB2312" w:cs="Times New Roman"/>
          <w:b w:val="0"/>
          <w:bCs w:val="0"/>
          <w:color w:val="000000"/>
          <w:kern w:val="0"/>
          <w:sz w:val="32"/>
          <w:szCs w:val="32"/>
          <w:lang w:val="zh-CN" w:eastAsia="zh-CN"/>
        </w:rPr>
        <w:t>。</w:t>
      </w:r>
      <w:r>
        <w:rPr>
          <w:rFonts w:hint="default" w:ascii="Times New Roman" w:hAnsi="Times New Roman" w:eastAsia="方正仿宋_GBK" w:cs="Times New Roman"/>
          <w:sz w:val="32"/>
          <w:szCs w:val="32"/>
          <w:lang w:val="zh-CN" w:eastAsia="zh-CN"/>
        </w:rPr>
        <w:t>除涉密信息外，按要求在财政部门批复后二十日内向社会公开本部门预算（含所有财政资金安排的“三公”经费、机关运行经费的安排、使用情况等）在州政府门户网站上进行了公开</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eastAsia="zh-CN"/>
        </w:rPr>
        <w:t>二是决算公开。除涉密信息外，按要求在财政部门批复二十日内向社会公开本部门决算（含所有财政资金安排的“三公”经费、机关运行经费的安排、使用情况等）在州政府门户网站上进行了公开</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eastAsia="zh-CN"/>
        </w:rPr>
        <w:t>三是绩效信息公开。按要求公开部门整体支出绩效自评报告及其他按要求应公开的绩效信息</w:t>
      </w:r>
      <w:r>
        <w:rPr>
          <w:rFonts w:hint="default" w:ascii="Times New Roman" w:hAnsi="Times New Roman" w:eastAsia="方正仿宋_GBK" w:cs="Times New Roman"/>
          <w:sz w:val="32"/>
          <w:szCs w:val="32"/>
          <w:lang w:val="en-US" w:eastAsia="zh-CN"/>
        </w:rPr>
        <w:t>。</w:t>
      </w:r>
    </w:p>
    <w:p>
      <w:pPr>
        <w:pStyle w:val="21"/>
        <w:keepNext w:val="0"/>
        <w:keepLines w:val="0"/>
        <w:pageBreakBefore w:val="0"/>
        <w:widowControl w:val="0"/>
        <w:kinsoku/>
        <w:wordWrap/>
        <w:overflowPunct/>
        <w:topLinePunct w:val="0"/>
        <w:autoSpaceDE/>
        <w:autoSpaceDN/>
        <w:bidi w:val="0"/>
        <w:spacing w:line="540" w:lineRule="exact"/>
        <w:ind w:firstLine="640"/>
        <w:jc w:val="both"/>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b/>
          <w:bCs/>
          <w:color w:val="000000"/>
          <w:kern w:val="0"/>
          <w:sz w:val="32"/>
          <w:szCs w:val="32"/>
          <w:lang w:val="en-US" w:eastAsia="zh-CN"/>
        </w:rPr>
        <w:t>2.整改反馈。</w:t>
      </w:r>
      <w:r>
        <w:rPr>
          <w:rFonts w:hint="default" w:ascii="Times New Roman" w:hAnsi="Times New Roman" w:eastAsia="方正仿宋_GBK" w:cs="Times New Roman"/>
          <w:sz w:val="32"/>
          <w:szCs w:val="32"/>
          <w:lang w:val="en-US" w:eastAsia="zh-CN"/>
        </w:rPr>
        <w:t>我室严格按照《阿坝州财经纪律重点问题专项整治工作方案》《阿坝州会计监督检查工作方案》等要求，结合政研、改革工作实际，</w:t>
      </w:r>
      <w:r>
        <w:rPr>
          <w:rFonts w:hint="default" w:ascii="Times New Roman" w:hAnsi="Times New Roman" w:eastAsia="方正仿宋_GBK" w:cs="Times New Roman"/>
          <w:sz w:val="32"/>
          <w:szCs w:val="32"/>
          <w:lang w:eastAsia="zh-CN"/>
        </w:rPr>
        <w:t>对预算管理、</w:t>
      </w:r>
      <w:r>
        <w:rPr>
          <w:rFonts w:hint="default" w:ascii="Times New Roman" w:hAnsi="Times New Roman" w:eastAsia="方正仿宋_GBK" w:cs="Times New Roman"/>
          <w:sz w:val="32"/>
          <w:szCs w:val="32"/>
          <w:lang w:val="en-US" w:eastAsia="zh-CN"/>
        </w:rPr>
        <w:t>资金</w:t>
      </w:r>
      <w:r>
        <w:rPr>
          <w:rFonts w:hint="default" w:ascii="Times New Roman" w:hAnsi="Times New Roman" w:eastAsia="方正仿宋_GBK" w:cs="Times New Roman"/>
          <w:sz w:val="32"/>
          <w:szCs w:val="32"/>
          <w:lang w:eastAsia="zh-CN"/>
        </w:rPr>
        <w:t>支付、</w:t>
      </w:r>
      <w:r>
        <w:rPr>
          <w:rFonts w:hint="default" w:ascii="Times New Roman" w:hAnsi="Times New Roman" w:eastAsia="方正仿宋_GBK" w:cs="Times New Roman"/>
          <w:sz w:val="32"/>
          <w:szCs w:val="32"/>
          <w:lang w:val="en-US" w:eastAsia="zh-CN"/>
        </w:rPr>
        <w:t>资产处置</w:t>
      </w:r>
      <w:r>
        <w:rPr>
          <w:rFonts w:hint="default" w:ascii="Times New Roman" w:hAnsi="Times New Roman" w:eastAsia="方正仿宋_GBK" w:cs="Times New Roman"/>
          <w:sz w:val="32"/>
          <w:szCs w:val="32"/>
          <w:lang w:eastAsia="zh-CN"/>
        </w:rPr>
        <w:t>等情况进行全面清理排查</w:t>
      </w:r>
      <w:r>
        <w:rPr>
          <w:rFonts w:hint="default" w:ascii="Times New Roman" w:hAnsi="Times New Roman" w:eastAsia="方正仿宋_GBK" w:cs="Times New Roman"/>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我室无债务资金、无非税收入；</w:t>
      </w:r>
      <w:r>
        <w:rPr>
          <w:rFonts w:hint="default" w:ascii="Times New Roman" w:hAnsi="Times New Roman" w:eastAsia="方正仿宋_GBK" w:cs="Times New Roman"/>
          <w:sz w:val="32"/>
          <w:szCs w:val="32"/>
          <w:lang w:val="zh-CN" w:eastAsia="zh-CN"/>
        </w:rPr>
        <w:t>编制政府采购实施计划与政府采购预算的一致；按规定完成资产清查任务，并及时上报行政事业单位资产报表；</w:t>
      </w:r>
      <w:r>
        <w:rPr>
          <w:rFonts w:hint="default" w:ascii="Times New Roman" w:hAnsi="Times New Roman" w:eastAsia="方正仿宋_GBK" w:cs="Times New Roman"/>
          <w:sz w:val="32"/>
          <w:szCs w:val="32"/>
          <w:lang w:val="en-US" w:eastAsia="zh-CN"/>
        </w:rPr>
        <w:t>设立了完整的内控制度，未发生廉政或重大责任事故，并按要求上报内控报表、分析材料。</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方正黑体_GBK" w:cs="Times New Roman"/>
          <w:color w:val="000000"/>
          <w:kern w:val="0"/>
          <w:sz w:val="32"/>
          <w:szCs w:val="32"/>
          <w:shd w:val="clear" w:color="auto" w:fill="FFFFFF"/>
        </w:rPr>
      </w:pPr>
      <w:r>
        <w:rPr>
          <w:rFonts w:hint="default" w:ascii="Times New Roman" w:hAnsi="Times New Roman" w:eastAsia="方正黑体_GBK" w:cs="Times New Roman"/>
          <w:color w:val="000000"/>
          <w:kern w:val="0"/>
          <w:sz w:val="32"/>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（一）评价结论。</w:t>
      </w:r>
      <w:r>
        <w:rPr>
          <w:rFonts w:hint="default" w:ascii="Times New Roman" w:hAnsi="Times New Roman" w:eastAsia="方正仿宋_GBK" w:cs="Times New Roman"/>
          <w:sz w:val="32"/>
          <w:szCs w:val="32"/>
          <w:lang w:val="en-US" w:eastAsia="zh-CN"/>
        </w:rPr>
        <w:t>我室严格按照《部门预算绩效评价指标体系》逐条进行打分，自评得分94.243分。</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zh-CN" w:eastAsia="zh-CN"/>
        </w:rPr>
      </w:pPr>
      <w:r>
        <w:rPr>
          <w:rFonts w:hint="default" w:ascii="Times New Roman" w:hAnsi="Times New Roman" w:eastAsia="方正楷体_GBK" w:cs="Times New Roman"/>
          <w:b/>
          <w:bCs/>
          <w:color w:val="000000"/>
          <w:kern w:val="0"/>
          <w:sz w:val="32"/>
          <w:szCs w:val="32"/>
          <w:shd w:val="clear" w:color="auto" w:fill="FFFFFF"/>
          <w:lang w:val="zh-CN"/>
        </w:rPr>
        <w:t>（二）存在问题。</w:t>
      </w:r>
      <w:r>
        <w:rPr>
          <w:rFonts w:hint="default" w:ascii="Times New Roman" w:hAnsi="Times New Roman" w:eastAsia="方正仿宋_GBK" w:cs="Times New Roman"/>
          <w:sz w:val="32"/>
          <w:szCs w:val="32"/>
          <w:lang w:val="en-US" w:eastAsia="zh-CN"/>
        </w:rPr>
        <w:t>一是预算编制准确度有待提高，绩效自评质量不高，部分项目未落实“谁支出、谁评价”管理机制，绩效指标数据采集不准确；二是固定资产卡片有未及时更新情况，管理有待完善；三是预算执行进度有待提高，上半年支出进度偏缓。</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（三）改进建议。</w:t>
      </w:r>
      <w:r>
        <w:rPr>
          <w:rFonts w:hint="default" w:ascii="Times New Roman" w:hAnsi="Times New Roman" w:eastAsia="方正仿宋_GBK" w:cs="Times New Roman"/>
          <w:sz w:val="32"/>
          <w:szCs w:val="32"/>
          <w:lang w:val="en-US" w:eastAsia="zh-CN"/>
        </w:rPr>
        <w:t>一是加强每月预算执行监控，及时督促相关科室推进项目执行。二是通过近年预决算数据对比，科学编制预算，未雨绸缪尽量做好年度规划，降低经费追加减比例。三是及时更新固定资产卡片，提高单位成本费用准确度。</w:t>
      </w: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附件：部门整体支出绩效目标完成情况自评表</w:t>
      </w:r>
    </w:p>
    <w:p>
      <w:pPr>
        <w:keepNext w:val="0"/>
        <w:keepLines w:val="0"/>
        <w:pageBreakBefore w:val="0"/>
        <w:widowControl/>
        <w:kinsoku/>
        <w:wordWrap/>
        <w:overflowPunct/>
        <w:topLinePunct w:val="0"/>
        <w:autoSpaceDE/>
        <w:autoSpaceDN/>
        <w:bidi w:val="0"/>
        <w:adjustRightInd/>
        <w:snapToGrid/>
        <w:spacing w:line="540" w:lineRule="exact"/>
        <w:jc w:val="both"/>
        <w:textAlignment w:val="auto"/>
        <w:rPr>
          <w:rFonts w:hint="default" w:ascii="Times New Roman" w:hAnsi="Times New Roman" w:eastAsia="方正仿宋_GBK" w:cs="Times New Roman"/>
          <w:sz w:val="32"/>
          <w:szCs w:val="32"/>
          <w:lang w:val="en-US" w:eastAsia="zh-CN"/>
        </w:rPr>
      </w:pPr>
    </w:p>
    <w:p>
      <w:pPr>
        <w:pStyle w:val="21"/>
        <w:keepNext w:val="0"/>
        <w:keepLines w:val="0"/>
        <w:pageBreakBefore w:val="0"/>
        <w:kinsoku/>
        <w:wordWrap/>
        <w:overflowPunct/>
        <w:topLinePunct w:val="0"/>
        <w:autoSpaceDE/>
        <w:autoSpaceDN/>
        <w:bidi w:val="0"/>
        <w:spacing w:line="540" w:lineRule="exact"/>
        <w:jc w:val="both"/>
        <w:rPr>
          <w:rFonts w:hint="default" w:ascii="Times New Roman" w:hAnsi="Times New Roman" w:cs="Times New Roman"/>
          <w:lang w:val="en-US" w:eastAsia="zh-CN"/>
        </w:rPr>
      </w:pPr>
    </w:p>
    <w:p>
      <w:pPr>
        <w:pStyle w:val="21"/>
        <w:keepNext w:val="0"/>
        <w:keepLines w:val="0"/>
        <w:pageBreakBefore w:val="0"/>
        <w:kinsoku/>
        <w:wordWrap/>
        <w:overflowPunct/>
        <w:topLinePunct w:val="0"/>
        <w:autoSpaceDE/>
        <w:autoSpaceDN/>
        <w:bidi w:val="0"/>
        <w:spacing w:line="540" w:lineRule="exact"/>
        <w:jc w:val="both"/>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snapToGrid/>
        <w:spacing w:line="540" w:lineRule="exact"/>
        <w:ind w:firstLine="4480" w:firstLineChars="14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中共阿坝州委政策研究室</w:t>
      </w:r>
    </w:p>
    <w:p>
      <w:pPr>
        <w:keepNext w:val="0"/>
        <w:keepLines w:val="0"/>
        <w:pageBreakBefore w:val="0"/>
        <w:widowControl/>
        <w:kinsoku/>
        <w:wordWrap/>
        <w:overflowPunct/>
        <w:topLinePunct w:val="0"/>
        <w:autoSpaceDE/>
        <w:autoSpaceDN/>
        <w:bidi w:val="0"/>
        <w:adjustRightInd/>
        <w:snapToGrid/>
        <w:spacing w:line="540" w:lineRule="exact"/>
        <w:ind w:firstLine="5440" w:firstLineChars="1700"/>
        <w:jc w:val="both"/>
        <w:textAlignment w:val="auto"/>
        <w:rPr>
          <w:rFonts w:hint="default" w:ascii="Times New Roman" w:hAnsi="Times New Roman" w:eastAsia="方正仿宋_GBK" w:cs="Times New Roman"/>
          <w:sz w:val="32"/>
          <w:szCs w:val="32"/>
          <w:lang w:val="zh-CN" w:eastAsia="zh-CN"/>
        </w:rPr>
      </w:pPr>
      <w:r>
        <w:rPr>
          <w:rFonts w:hint="default" w:ascii="Times New Roman" w:hAnsi="Times New Roman" w:eastAsia="方正仿宋_GBK" w:cs="Times New Roman"/>
          <w:sz w:val="32"/>
          <w:szCs w:val="32"/>
          <w:lang w:val="en-US" w:eastAsia="zh-CN"/>
        </w:rPr>
        <w:t>2025年4月7日</w:t>
      </w:r>
    </w:p>
    <w:p>
      <w:pPr>
        <w:pStyle w:val="13"/>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7"/>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7"/>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7"/>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tbl>
      <w:tblPr>
        <w:tblStyle w:val="17"/>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09"/>
        <w:gridCol w:w="1347"/>
        <w:gridCol w:w="1273"/>
        <w:gridCol w:w="1834"/>
        <w:gridCol w:w="1184"/>
        <w:gridCol w:w="868"/>
        <w:gridCol w:w="956"/>
        <w:gridCol w:w="676"/>
        <w:gridCol w:w="11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2" w:hRule="exact"/>
          <w:jc w:val="center"/>
        </w:trPr>
        <w:tc>
          <w:tcPr>
            <w:tcW w:w="1056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default" w:ascii="Times New Roman" w:hAnsi="Times New Roman" w:eastAsia="黑体" w:cs="Times New Roman"/>
                <w:i w:val="0"/>
                <w:color w:val="000000"/>
                <w:sz w:val="28"/>
                <w:szCs w:val="28"/>
                <w:u w:val="none"/>
              </w:rPr>
            </w:pPr>
            <w:bookmarkStart w:id="53" w:name="_Toc15396618"/>
            <w:r>
              <w:rPr>
                <w:rFonts w:hint="default" w:ascii="Times New Roman" w:hAnsi="Times New Roman" w:eastAsia="方正小标宋简体" w:cs="Times New Roman"/>
                <w:i w:val="0"/>
                <w:color w:val="000000"/>
                <w:kern w:val="0"/>
                <w:sz w:val="44"/>
                <w:szCs w:val="44"/>
                <w:u w:val="none"/>
                <w:lang w:val="en-US" w:eastAsia="zh-CN" w:bidi="ar"/>
              </w:rPr>
              <w:t>部门整体支出绩效目标完成情况自评表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8"/>
                <w:szCs w:val="28"/>
                <w:u w:val="none"/>
              </w:rPr>
            </w:pPr>
            <w:r>
              <w:rPr>
                <w:rFonts w:hint="default" w:ascii="Times New Roman" w:hAnsi="Times New Roman" w:eastAsia="宋体" w:cs="Times New Roman"/>
                <w:i w:val="0"/>
                <w:color w:val="000000"/>
                <w:kern w:val="0"/>
                <w:sz w:val="28"/>
                <w:szCs w:val="28"/>
                <w:u w:val="none"/>
                <w:lang w:val="en-US" w:eastAsia="zh-CN" w:bidi="ar"/>
              </w:rPr>
              <w:t>（202</w:t>
            </w:r>
            <w:r>
              <w:rPr>
                <w:rFonts w:hint="default" w:ascii="Times New Roman" w:hAnsi="Times New Roman" w:cs="Times New Roman"/>
                <w:i w:val="0"/>
                <w:color w:val="000000"/>
                <w:kern w:val="0"/>
                <w:sz w:val="28"/>
                <w:szCs w:val="28"/>
                <w:u w:val="none"/>
                <w:lang w:val="en-US" w:eastAsia="zh-CN" w:bidi="ar"/>
              </w:rPr>
              <w:t>4</w:t>
            </w:r>
            <w:r>
              <w:rPr>
                <w:rFonts w:hint="default" w:ascii="Times New Roman" w:hAnsi="Times New Roman" w:eastAsia="宋体" w:cs="Times New Roman"/>
                <w:i w:val="0"/>
                <w:color w:val="000000"/>
                <w:kern w:val="0"/>
                <w:sz w:val="28"/>
                <w:szCs w:val="28"/>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outlineLvl w:val="9"/>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392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部门名称</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州委政研室部门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资金总额</w:t>
            </w:r>
          </w:p>
        </w:tc>
        <w:tc>
          <w:tcPr>
            <w:tcW w:w="30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财政拨款</w:t>
            </w:r>
          </w:p>
        </w:tc>
        <w:tc>
          <w:tcPr>
            <w:tcW w:w="36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496.46</w:t>
            </w:r>
          </w:p>
        </w:tc>
        <w:tc>
          <w:tcPr>
            <w:tcW w:w="30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496.46</w:t>
            </w:r>
          </w:p>
        </w:tc>
        <w:tc>
          <w:tcPr>
            <w:tcW w:w="36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年度总体</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目标</w:t>
            </w:r>
          </w:p>
        </w:tc>
        <w:tc>
          <w:tcPr>
            <w:tcW w:w="9251"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2024年，我室认真贯彻落实省委十二届二次、三次、四次全会以及州委十二届三次全会精神，紧紧围绕州委中心工作和全州工作大局，结合工作职责，着力抓好以下工作。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一）聚焦理论武装，以高站位思想认识助推高质量发展。持续巩固学习贯彻习近平新时代中国特色社会主义思想主题教育成果，在读原著学原文悟原理上下“实”功夫，用理论上的清醒促进政治上的坚定，更加自觉增强“四个意识”、坚定“四个自信”、做到“两个维护”，切实把理论学习成果转化为敢于担当、推动发展的实际能力。</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二）聚焦重点难点，以高质量调查研究助推高质量发展。紧扣州委重大战略调整和年度调研工作安排，主动奔赴基础建设、乡村振兴、生态环保、社会治理等一线，锁定群众关注的热点、领导关注的重点，有针对性的开展调研，为州委决策提供参考服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三）聚焦勤思善谋，以高水平文稿服务助推高质量发展。加强文稿队伍建设，深入研究全州重点领域、重点工作，加强政策解读，树立主动服务意识、精品意识，高质量完成领导讲话、重要综合性文稿起草等工作。用好用活《阿坝研究》，树好阿坝政研整体形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四）聚焦统筹谋划，以高标准改革创新助推高质量发展。坚决贯彻中央和省改革部署，把关系经济社会发展全局、有利于提升群众获得感的改革放在突出位置，提出年度改革工作要点、重大改革事项、工作台账等，扎实推进生态产品价值实现机制、构建优质高效的分级诊疗体系、民营企业融资增信支持体系等重要领域和关键环节改革，加强对改革工作的检查、督导力度。</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五）聚焦服务大局，以高效能自身建设助推高质量发展。扎实推进机关党的建设，从严从实抓好单位党风廉政建设，统筹抓好精神文明、意识形态、驻村帮扶、“两联一进”群众工作全覆盖、普法宣传、节能降耗等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年度主要</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w:t>
            </w: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任务名称</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全面深化改革工作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编制年度《改革要点》《工作台账》，加强改革信息收集、报送、通报工作，。组织力量做好改革档案整理规档工作。强化改革培训，组织县（市）改革办、各改革专项小组，州级有关部门从事改革工作人员赴省内外重点大学进行改革能力培训提升，培养改革骨干力量。适时筹备全州全面深化改革委员会会议、专项小组联络员会议和各县（市）改革办主任联席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典型经验案例教学工作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统筹做好调研工作的组织、协调、指导和监督。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sz w:val="24"/>
                <w:szCs w:val="24"/>
                <w:u w:val="none"/>
                <w:lang w:val="en-US" w:eastAsia="zh-CN"/>
              </w:rPr>
              <w:t>《阿坝研究》</w:t>
            </w:r>
            <w:r>
              <w:rPr>
                <w:rFonts w:hint="default" w:ascii="Times New Roman" w:hAnsi="Times New Roman" w:eastAsia="宋体" w:cs="Times New Roman"/>
                <w:i w:val="0"/>
                <w:color w:val="000000"/>
                <w:sz w:val="24"/>
                <w:szCs w:val="24"/>
                <w:u w:val="none"/>
              </w:rPr>
              <w:t>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完成4期《阿坝研究》组稿、编印工作。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车辆大修工作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kern w:val="0"/>
                <w:sz w:val="18"/>
                <w:szCs w:val="18"/>
                <w:u w:val="none"/>
                <w:lang w:val="en-US" w:eastAsia="zh-CN" w:bidi="ar"/>
              </w:rPr>
              <w:t>完成车辆大修，保证了车辆行驶安全，提高工作效率。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重大课题调研工作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有力有序推进课题调研成果收集，推动党中央大政方针政策、省委决策部署在阿坝落地落实、见到实效。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年度绩效</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绩效指标</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性质</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绩效度量单位</w:t>
            </w:r>
          </w:p>
        </w:tc>
        <w:tc>
          <w:tcPr>
            <w:tcW w:w="676" w:type="dxa"/>
            <w:tcBorders>
              <w:top w:val="single" w:color="000000" w:sz="4" w:space="0"/>
              <w:left w:val="single" w:color="000000" w:sz="4" w:space="0"/>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实际完成</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7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编印《重大课题汇编》数量</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套</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cs="Times New Roman"/>
                <w:i w:val="0"/>
                <w:color w:val="000000"/>
                <w:sz w:val="18"/>
                <w:szCs w:val="18"/>
                <w:u w:val="none"/>
                <w:lang w:val="en-US" w:eastAsia="zh-CN"/>
              </w:rPr>
              <w:t>编印《阿坝研究》期数</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4</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eastAsia="zh-CN"/>
              </w:rPr>
              <w:t>期</w:t>
            </w:r>
            <w:r>
              <w:rPr>
                <w:rFonts w:hint="default" w:ascii="Times New Roman" w:hAnsi="Times New Roman" w:cs="Times New Roman"/>
                <w:i w:val="0"/>
                <w:color w:val="000000"/>
                <w:sz w:val="18"/>
                <w:szCs w:val="18"/>
                <w:u w:val="none"/>
                <w:lang w:val="en-US" w:eastAsia="zh-CN"/>
              </w:rPr>
              <w:t>/年</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承接国家、省级、州级改革试点任务，评估验收合格率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cs="Times New Roman"/>
                <w:i w:val="0"/>
                <w:color w:val="000000"/>
                <w:sz w:val="18"/>
                <w:szCs w:val="18"/>
                <w:u w:val="none"/>
                <w:lang w:val="en-US" w:eastAsia="zh-CN"/>
              </w:rPr>
              <w:t>全面深化改革暨政研干部能力提升培训班完成时间</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eastAsia="zh-CN"/>
              </w:rPr>
            </w:pPr>
            <w:r>
              <w:rPr>
                <w:rFonts w:hint="default" w:ascii="Times New Roman" w:hAnsi="Times New Roman" w:cs="Times New Roman"/>
                <w:i w:val="0"/>
                <w:color w:val="000000"/>
                <w:sz w:val="18"/>
                <w:szCs w:val="18"/>
                <w:u w:val="none"/>
                <w:lang w:val="en-US" w:eastAsia="zh-CN"/>
              </w:rPr>
              <w:t>定性</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2024年11月前举办</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2024年8月举办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73"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提升政研干部业务水平</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cs="Times New Roman"/>
                <w:i w:val="0"/>
                <w:color w:val="000000"/>
                <w:sz w:val="18"/>
                <w:szCs w:val="18"/>
                <w:u w:val="none"/>
                <w:lang w:val="en-US" w:eastAsia="zh-CN"/>
              </w:rPr>
              <w:t>定性</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有效提升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cs="Times New Roman"/>
                <w:i w:val="0"/>
                <w:color w:val="000000"/>
                <w:kern w:val="0"/>
                <w:sz w:val="24"/>
                <w:szCs w:val="24"/>
                <w:u w:val="none"/>
                <w:lang w:val="en-US" w:eastAsia="zh-CN" w:bidi="ar"/>
              </w:rPr>
              <w:t>服务对象</w:t>
            </w:r>
            <w:r>
              <w:rPr>
                <w:rFonts w:hint="default" w:ascii="Times New Roman" w:hAnsi="Times New Roman" w:eastAsia="宋体" w:cs="Times New Roman"/>
                <w:i w:val="0"/>
                <w:color w:val="000000"/>
                <w:kern w:val="0"/>
                <w:sz w:val="24"/>
                <w:szCs w:val="24"/>
                <w:u w:val="none"/>
                <w:lang w:val="en-US" w:eastAsia="zh-CN" w:bidi="ar"/>
              </w:rPr>
              <w:t>满意度指标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eastAsia="zh-CN"/>
              </w:rPr>
            </w:pPr>
            <w:r>
              <w:rPr>
                <w:rFonts w:hint="default" w:ascii="Times New Roman" w:hAnsi="Times New Roman" w:eastAsia="宋体" w:cs="Times New Roman"/>
                <w:i w:val="0"/>
                <w:color w:val="000000"/>
                <w:sz w:val="18"/>
                <w:szCs w:val="18"/>
                <w:u w:val="none"/>
              </w:rPr>
              <w:t>州委、州政府领导</w:t>
            </w:r>
            <w:r>
              <w:rPr>
                <w:rFonts w:hint="default" w:ascii="Times New Roman" w:hAnsi="Times New Roman" w:cs="Times New Roman"/>
                <w:i w:val="0"/>
                <w:color w:val="000000"/>
                <w:sz w:val="18"/>
                <w:szCs w:val="18"/>
                <w:u w:val="none"/>
                <w:lang w:val="en-US" w:eastAsia="zh-CN"/>
              </w:rPr>
              <w:t>满意度</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24"/>
                <w:szCs w:val="24"/>
                <w:u w:val="none"/>
                <w:lang w:val="en-US" w:eastAsia="zh-CN" w:bidi="ar-SA"/>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90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1" w:hRule="atLeast"/>
          <w:jc w:val="center"/>
        </w:trPr>
        <w:tc>
          <w:tcPr>
            <w:tcW w:w="13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节约成本率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lang w:val="en-US" w:eastAsia="zh-CN"/>
              </w:rPr>
              <w:t>20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w:t>
            </w:r>
          </w:p>
        </w:tc>
      </w:tr>
    </w:tbl>
    <w:p>
      <w:pPr>
        <w:pStyle w:val="7"/>
        <w:ind w:left="0" w:leftChars="0" w:firstLine="0" w:firstLineChars="0"/>
        <w:rPr>
          <w:rFonts w:hint="default" w:ascii="Times New Roman" w:hAnsi="Times New Roman" w:eastAsia="黑体" w:cs="Times New Roman"/>
          <w:sz w:val="24"/>
          <w:szCs w:val="24"/>
          <w:highlight w:val="none"/>
          <w:lang w:val="en-US" w:eastAsia="zh-CN"/>
        </w:rPr>
      </w:pPr>
    </w:p>
    <w:p>
      <w:pPr>
        <w:pStyle w:val="7"/>
        <w:rPr>
          <w:rFonts w:hint="default" w:ascii="Times New Roman" w:hAnsi="Times New Roman" w:cs="Times New Roman"/>
          <w:lang w:eastAsia="zh-CN"/>
        </w:rPr>
      </w:pPr>
    </w:p>
    <w:p>
      <w:pPr>
        <w:spacing w:line="600" w:lineRule="exact"/>
        <w:jc w:val="left"/>
        <w:outlineLvl w:val="0"/>
        <w:rPr>
          <w:rFonts w:hint="default" w:ascii="Times New Roman" w:hAnsi="Times New Roman" w:eastAsia="仿宋_GB2312" w:cs="Times New Roman"/>
          <w:color w:val="auto"/>
          <w:kern w:val="0"/>
          <w:sz w:val="32"/>
          <w:szCs w:val="32"/>
          <w:highlight w:val="none"/>
          <w:lang w:val="en-US" w:eastAsia="zh-CN" w:bidi="ar-SA"/>
        </w:rPr>
      </w:pPr>
    </w:p>
    <w:p>
      <w:pPr>
        <w:spacing w:line="600" w:lineRule="exact"/>
        <w:ind w:firstLine="640" w:firstLineChars="200"/>
        <w:jc w:val="left"/>
        <w:outlineLvl w:val="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（备注：按照绩效自评工作安排，各单位可在预算管理一体化系统—综合报表查询—预算绩效报表模块中下载本单位“部门预算项目支出绩效自评表（2024年度）”，该表格应作为附件予以公开。）</w:t>
      </w: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pPr>
    </w:p>
    <w:p>
      <w:pPr>
        <w:pStyle w:val="5"/>
        <w:rPr>
          <w:rFonts w:hint="default" w:ascii="Times New Roman" w:hAnsi="Times New Roman" w:eastAsia="仿宋_GB2312" w:cs="Times New Roman"/>
          <w:color w:val="auto"/>
          <w:kern w:val="0"/>
          <w:sz w:val="32"/>
          <w:szCs w:val="32"/>
          <w:highlight w:val="none"/>
          <w:lang w:val="en-US" w:eastAsia="zh-CN" w:bidi="ar-SA"/>
        </w:rPr>
        <w:sectPr>
          <w:footerReference r:id="rId6" w:type="default"/>
          <w:pgSz w:w="11906" w:h="16838"/>
          <w:pgMar w:top="1440" w:right="1800" w:bottom="1440" w:left="1800" w:header="851" w:footer="992" w:gutter="0"/>
          <w:pgNumType w:fmt="numberInDash" w:start="1"/>
          <w:cols w:space="720" w:num="1"/>
          <w:docGrid w:type="lines" w:linePitch="312" w:charSpace="0"/>
        </w:sectPr>
      </w:pPr>
    </w:p>
    <w:p>
      <w:pPr>
        <w:spacing w:line="600" w:lineRule="exact"/>
        <w:jc w:val="center"/>
        <w:outlineLvl w:val="0"/>
        <w:rPr>
          <w:rFonts w:hint="default" w:ascii="Times New Roman" w:hAnsi="Times New Roman" w:eastAsia="仿宋" w:cs="Times New Roman"/>
          <w:b w:val="0"/>
          <w:color w:val="auto"/>
          <w:highlight w:val="none"/>
        </w:rPr>
      </w:pPr>
      <w:r>
        <w:rPr>
          <w:rFonts w:hint="default" w:ascii="Times New Roman" w:hAnsi="Times New Roman" w:eastAsia="黑体" w:cs="Times New Roman"/>
          <w:color w:val="auto"/>
          <w:sz w:val="44"/>
          <w:szCs w:val="44"/>
          <w:highlight w:val="none"/>
        </w:rPr>
        <w:t>第</w:t>
      </w:r>
      <w:r>
        <w:rPr>
          <w:rStyle w:val="22"/>
          <w:rFonts w:hint="default" w:ascii="Times New Roman" w:hAnsi="Times New Roman" w:eastAsia="黑体" w:cs="Times New Roman"/>
          <w:b w:val="0"/>
          <w:color w:val="auto"/>
          <w:highlight w:val="none"/>
        </w:rPr>
        <w:t>五部分 附表</w:t>
      </w:r>
      <w:bookmarkEnd w:id="51"/>
      <w:bookmarkEnd w:id="53"/>
      <w:bookmarkStart w:id="54" w:name="_Toc15396619"/>
    </w:p>
    <w:p>
      <w:pPr>
        <w:pStyle w:val="3"/>
        <w:rPr>
          <w:rFonts w:hint="default" w:ascii="Times New Roman" w:hAnsi="Times New Roman" w:eastAsia="仿宋" w:cs="Times New Roman"/>
          <w:color w:val="auto"/>
          <w:highlight w:val="none"/>
        </w:rPr>
      </w:pPr>
      <w:r>
        <w:rPr>
          <w:rFonts w:hint="default" w:ascii="Times New Roman" w:hAnsi="Times New Roman" w:eastAsia="仿宋" w:cs="Times New Roman"/>
          <w:b w:val="0"/>
          <w:color w:val="auto"/>
          <w:highlight w:val="none"/>
        </w:rPr>
        <w:t>一、收</w:t>
      </w:r>
      <w:r>
        <w:rPr>
          <w:rStyle w:val="23"/>
          <w:rFonts w:hint="default" w:ascii="Times New Roman" w:hAnsi="Times New Roman" w:eastAsia="仿宋" w:cs="Times New Roman"/>
          <w:b w:val="0"/>
          <w:bCs w:val="0"/>
          <w:color w:val="auto"/>
          <w:highlight w:val="none"/>
        </w:rPr>
        <w:t>入支出决算总表</w:t>
      </w:r>
      <w:bookmarkEnd w:id="54"/>
    </w:p>
    <w:p>
      <w:pPr>
        <w:pStyle w:val="3"/>
        <w:rPr>
          <w:rFonts w:hint="default" w:ascii="Times New Roman" w:hAnsi="Times New Roman" w:eastAsia="仿宋" w:cs="Times New Roman"/>
          <w:color w:val="auto"/>
          <w:highlight w:val="none"/>
        </w:rPr>
      </w:pPr>
      <w:bookmarkStart w:id="55" w:name="_Toc15396620"/>
      <w:r>
        <w:rPr>
          <w:rFonts w:hint="default" w:ascii="Times New Roman" w:hAnsi="Times New Roman" w:eastAsia="仿宋" w:cs="Times New Roman"/>
          <w:b w:val="0"/>
          <w:color w:val="auto"/>
          <w:highlight w:val="none"/>
        </w:rPr>
        <w:t>二、收</w:t>
      </w:r>
      <w:r>
        <w:rPr>
          <w:rStyle w:val="23"/>
          <w:rFonts w:hint="default" w:ascii="Times New Roman" w:hAnsi="Times New Roman" w:eastAsia="仿宋" w:cs="Times New Roman"/>
          <w:b w:val="0"/>
          <w:bCs w:val="0"/>
          <w:color w:val="auto"/>
          <w:highlight w:val="none"/>
        </w:rPr>
        <w:t>入决算表</w:t>
      </w:r>
      <w:bookmarkEnd w:id="55"/>
    </w:p>
    <w:p>
      <w:pPr>
        <w:pStyle w:val="3"/>
        <w:rPr>
          <w:rFonts w:hint="default" w:ascii="Times New Roman" w:hAnsi="Times New Roman" w:eastAsia="仿宋" w:cs="Times New Roman"/>
          <w:color w:val="auto"/>
          <w:highlight w:val="none"/>
        </w:rPr>
      </w:pPr>
      <w:bookmarkStart w:id="56" w:name="_Toc15396621"/>
      <w:r>
        <w:rPr>
          <w:rStyle w:val="23"/>
          <w:rFonts w:hint="default" w:ascii="Times New Roman" w:hAnsi="Times New Roman" w:eastAsia="仿宋" w:cs="Times New Roman"/>
          <w:b w:val="0"/>
          <w:bCs w:val="0"/>
          <w:color w:val="auto"/>
          <w:highlight w:val="none"/>
        </w:rPr>
        <w:t>三、</w:t>
      </w:r>
      <w:r>
        <w:rPr>
          <w:rFonts w:hint="default" w:ascii="Times New Roman" w:hAnsi="Times New Roman" w:eastAsia="仿宋" w:cs="Times New Roman"/>
          <w:b w:val="0"/>
          <w:color w:val="auto"/>
          <w:highlight w:val="none"/>
        </w:rPr>
        <w:t>支</w:t>
      </w:r>
      <w:r>
        <w:rPr>
          <w:rStyle w:val="23"/>
          <w:rFonts w:hint="default" w:ascii="Times New Roman" w:hAnsi="Times New Roman" w:eastAsia="仿宋" w:cs="Times New Roman"/>
          <w:b w:val="0"/>
          <w:bCs w:val="0"/>
          <w:color w:val="auto"/>
          <w:highlight w:val="none"/>
        </w:rPr>
        <w:t>出决算表</w:t>
      </w:r>
      <w:bookmarkEnd w:id="56"/>
    </w:p>
    <w:p>
      <w:pPr>
        <w:pStyle w:val="3"/>
        <w:rPr>
          <w:rFonts w:hint="default" w:ascii="Times New Roman" w:hAnsi="Times New Roman" w:eastAsia="仿宋" w:cs="Times New Roman"/>
          <w:b w:val="0"/>
          <w:color w:val="auto"/>
          <w:highlight w:val="none"/>
        </w:rPr>
      </w:pPr>
      <w:bookmarkStart w:id="57" w:name="_Toc15396622"/>
      <w:r>
        <w:rPr>
          <w:rStyle w:val="23"/>
          <w:rFonts w:hint="default" w:ascii="Times New Roman" w:hAnsi="Times New Roman" w:eastAsia="仿宋" w:cs="Times New Roman"/>
          <w:b w:val="0"/>
          <w:bCs w:val="0"/>
          <w:color w:val="auto"/>
          <w:highlight w:val="none"/>
        </w:rPr>
        <w:t>四、</w:t>
      </w:r>
      <w:r>
        <w:rPr>
          <w:rFonts w:hint="default" w:ascii="Times New Roman" w:hAnsi="Times New Roman" w:eastAsia="仿宋" w:cs="Times New Roman"/>
          <w:b w:val="0"/>
          <w:color w:val="auto"/>
          <w:highlight w:val="none"/>
        </w:rPr>
        <w:t>财</w:t>
      </w:r>
      <w:r>
        <w:rPr>
          <w:rStyle w:val="23"/>
          <w:rFonts w:hint="default" w:ascii="Times New Roman" w:hAnsi="Times New Roman" w:eastAsia="仿宋" w:cs="Times New Roman"/>
          <w:b w:val="0"/>
          <w:bCs w:val="0"/>
          <w:color w:val="auto"/>
          <w:highlight w:val="none"/>
        </w:rPr>
        <w:t>政拨款收入支出决算总表</w:t>
      </w:r>
      <w:bookmarkEnd w:id="57"/>
    </w:p>
    <w:p>
      <w:pPr>
        <w:pStyle w:val="3"/>
        <w:rPr>
          <w:rStyle w:val="23"/>
          <w:rFonts w:hint="default" w:ascii="Times New Roman" w:hAnsi="Times New Roman" w:eastAsia="仿宋" w:cs="Times New Roman"/>
          <w:b w:val="0"/>
          <w:bCs w:val="0"/>
          <w:color w:val="auto"/>
          <w:highlight w:val="none"/>
        </w:rPr>
      </w:pPr>
      <w:bookmarkStart w:id="58" w:name="_Toc15396623"/>
      <w:r>
        <w:rPr>
          <w:rStyle w:val="23"/>
          <w:rFonts w:hint="default" w:ascii="Times New Roman" w:hAnsi="Times New Roman" w:eastAsia="仿宋" w:cs="Times New Roman"/>
          <w:b w:val="0"/>
          <w:bCs w:val="0"/>
          <w:color w:val="auto"/>
          <w:highlight w:val="none"/>
        </w:rPr>
        <w:t>五、</w:t>
      </w:r>
      <w:r>
        <w:rPr>
          <w:rFonts w:hint="default" w:ascii="Times New Roman" w:hAnsi="Times New Roman" w:eastAsia="仿宋" w:cs="Times New Roman"/>
          <w:b w:val="0"/>
          <w:color w:val="auto"/>
          <w:highlight w:val="none"/>
        </w:rPr>
        <w:t>财</w:t>
      </w:r>
      <w:r>
        <w:rPr>
          <w:rStyle w:val="23"/>
          <w:rFonts w:hint="default" w:ascii="Times New Roman" w:hAnsi="Times New Roman" w:eastAsia="仿宋" w:cs="Times New Roman"/>
          <w:b w:val="0"/>
          <w:bCs w:val="0"/>
          <w:color w:val="auto"/>
          <w:highlight w:val="none"/>
        </w:rPr>
        <w:t>政拨款支出决算明细表</w:t>
      </w:r>
      <w:bookmarkEnd w:id="58"/>
      <w:bookmarkStart w:id="59" w:name="_Toc15396624"/>
    </w:p>
    <w:p>
      <w:pPr>
        <w:pStyle w:val="3"/>
        <w:rPr>
          <w:rFonts w:hint="default" w:ascii="Times New Roman" w:hAnsi="Times New Roman" w:eastAsia="仿宋" w:cs="Times New Roman"/>
          <w:color w:val="auto"/>
          <w:highlight w:val="none"/>
        </w:rPr>
      </w:pPr>
      <w:r>
        <w:rPr>
          <w:rStyle w:val="23"/>
          <w:rFonts w:hint="default" w:ascii="Times New Roman" w:hAnsi="Times New Roman" w:eastAsia="仿宋" w:cs="Times New Roman"/>
          <w:b w:val="0"/>
          <w:bCs w:val="0"/>
          <w:color w:val="auto"/>
          <w:highlight w:val="none"/>
        </w:rPr>
        <w:t>六、</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般公共预算财政拨款支出决算表</w:t>
      </w:r>
      <w:bookmarkEnd w:id="59"/>
    </w:p>
    <w:p>
      <w:pPr>
        <w:pStyle w:val="3"/>
        <w:rPr>
          <w:rFonts w:hint="default" w:ascii="Times New Roman" w:hAnsi="Times New Roman" w:eastAsia="仿宋" w:cs="Times New Roman"/>
          <w:color w:val="auto"/>
          <w:highlight w:val="none"/>
        </w:rPr>
      </w:pPr>
      <w:bookmarkStart w:id="60" w:name="_Toc15396625"/>
      <w:r>
        <w:rPr>
          <w:rStyle w:val="23"/>
          <w:rFonts w:hint="default" w:ascii="Times New Roman" w:hAnsi="Times New Roman" w:eastAsia="仿宋" w:cs="Times New Roman"/>
          <w:b w:val="0"/>
          <w:bCs w:val="0"/>
          <w:color w:val="auto"/>
          <w:highlight w:val="none"/>
        </w:rPr>
        <w:t>七、</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般公共预算财政拨款支出决算明细表</w:t>
      </w:r>
      <w:bookmarkEnd w:id="60"/>
    </w:p>
    <w:p>
      <w:pPr>
        <w:pStyle w:val="3"/>
        <w:rPr>
          <w:rFonts w:hint="default" w:ascii="Times New Roman" w:hAnsi="Times New Roman" w:eastAsia="仿宋" w:cs="Times New Roman"/>
          <w:color w:val="auto"/>
          <w:highlight w:val="none"/>
        </w:rPr>
      </w:pPr>
      <w:bookmarkStart w:id="61" w:name="_Toc15396626"/>
      <w:r>
        <w:rPr>
          <w:rStyle w:val="23"/>
          <w:rFonts w:hint="default" w:ascii="Times New Roman" w:hAnsi="Times New Roman" w:eastAsia="仿宋" w:cs="Times New Roman"/>
          <w:b w:val="0"/>
          <w:bCs w:val="0"/>
          <w:color w:val="auto"/>
          <w:highlight w:val="none"/>
        </w:rPr>
        <w:t>八、</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般公共预算财政拨款基本支出决算表</w:t>
      </w:r>
      <w:bookmarkEnd w:id="61"/>
    </w:p>
    <w:p>
      <w:pPr>
        <w:pStyle w:val="3"/>
        <w:rPr>
          <w:rFonts w:hint="default" w:ascii="Times New Roman" w:hAnsi="Times New Roman" w:eastAsia="仿宋" w:cs="Times New Roman"/>
          <w:color w:val="auto"/>
          <w:highlight w:val="none"/>
        </w:rPr>
      </w:pPr>
      <w:bookmarkStart w:id="62" w:name="_Toc15396627"/>
      <w:r>
        <w:rPr>
          <w:rStyle w:val="23"/>
          <w:rFonts w:hint="default" w:ascii="Times New Roman" w:hAnsi="Times New Roman" w:eastAsia="仿宋" w:cs="Times New Roman"/>
          <w:b w:val="0"/>
          <w:bCs w:val="0"/>
          <w:color w:val="auto"/>
          <w:highlight w:val="none"/>
        </w:rPr>
        <w:t>九、</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般公共预算财政拨款项目支出决算表</w:t>
      </w:r>
      <w:bookmarkEnd w:id="62"/>
    </w:p>
    <w:p>
      <w:pPr>
        <w:pStyle w:val="3"/>
        <w:rPr>
          <w:rFonts w:hint="default" w:ascii="Times New Roman" w:hAnsi="Times New Roman" w:eastAsia="仿宋" w:cs="Times New Roman"/>
          <w:color w:val="auto"/>
          <w:highlight w:val="none"/>
        </w:rPr>
      </w:pPr>
      <w:bookmarkStart w:id="63" w:name="_Toc15396628"/>
      <w:r>
        <w:rPr>
          <w:rStyle w:val="23"/>
          <w:rFonts w:hint="default" w:ascii="Times New Roman" w:hAnsi="Times New Roman" w:eastAsia="仿宋" w:cs="Times New Roman"/>
          <w:b w:val="0"/>
          <w:bCs w:val="0"/>
          <w:color w:val="auto"/>
          <w:highlight w:val="none"/>
        </w:rPr>
        <w:t>十、</w:t>
      </w:r>
      <w:bookmarkEnd w:id="63"/>
      <w:r>
        <w:rPr>
          <w:rFonts w:hint="default" w:ascii="Times New Roman" w:hAnsi="Times New Roman" w:eastAsia="仿宋" w:cs="Times New Roman"/>
          <w:b w:val="0"/>
          <w:color w:val="auto"/>
          <w:highlight w:val="none"/>
        </w:rPr>
        <w:t>政</w:t>
      </w:r>
      <w:r>
        <w:rPr>
          <w:rStyle w:val="23"/>
          <w:rFonts w:hint="default" w:ascii="Times New Roman" w:hAnsi="Times New Roman" w:eastAsia="仿宋" w:cs="Times New Roman"/>
          <w:b w:val="0"/>
          <w:bCs w:val="0"/>
          <w:color w:val="auto"/>
          <w:highlight w:val="none"/>
        </w:rPr>
        <w:t>府性基金预算财政拨款收入支出决算表</w:t>
      </w:r>
    </w:p>
    <w:p>
      <w:pPr>
        <w:pStyle w:val="3"/>
        <w:rPr>
          <w:rFonts w:hint="default" w:ascii="Times New Roman" w:hAnsi="Times New Roman" w:eastAsia="仿宋" w:cs="Times New Roman"/>
          <w:color w:val="auto"/>
          <w:highlight w:val="none"/>
        </w:rPr>
      </w:pPr>
      <w:bookmarkStart w:id="64" w:name="_Toc15396629"/>
      <w:r>
        <w:rPr>
          <w:rStyle w:val="23"/>
          <w:rFonts w:hint="default" w:ascii="Times New Roman" w:hAnsi="Times New Roman" w:eastAsia="仿宋" w:cs="Times New Roman"/>
          <w:b w:val="0"/>
          <w:bCs w:val="0"/>
          <w:color w:val="auto"/>
          <w:highlight w:val="none"/>
        </w:rPr>
        <w:t>十一、</w:t>
      </w:r>
      <w:bookmarkEnd w:id="64"/>
      <w:r>
        <w:rPr>
          <w:rFonts w:hint="default" w:ascii="Times New Roman" w:hAnsi="Times New Roman" w:eastAsia="仿宋" w:cs="Times New Roman"/>
          <w:b w:val="0"/>
          <w:color w:val="auto"/>
          <w:highlight w:val="none"/>
        </w:rPr>
        <w:t>国</w:t>
      </w:r>
      <w:r>
        <w:rPr>
          <w:rStyle w:val="23"/>
          <w:rFonts w:hint="default" w:ascii="Times New Roman" w:hAnsi="Times New Roman" w:eastAsia="仿宋" w:cs="Times New Roman"/>
          <w:b w:val="0"/>
          <w:bCs w:val="0"/>
          <w:color w:val="auto"/>
          <w:highlight w:val="none"/>
        </w:rPr>
        <w:t>有资本经营预算</w:t>
      </w:r>
      <w:r>
        <w:rPr>
          <w:rStyle w:val="23"/>
          <w:rFonts w:hint="default" w:ascii="Times New Roman" w:hAnsi="Times New Roman" w:eastAsia="仿宋" w:cs="Times New Roman"/>
          <w:b w:val="0"/>
          <w:bCs w:val="0"/>
          <w:color w:val="auto"/>
          <w:highlight w:val="none"/>
          <w:lang w:eastAsia="zh-CN"/>
        </w:rPr>
        <w:t>财政拨款收入</w:t>
      </w:r>
      <w:r>
        <w:rPr>
          <w:rStyle w:val="23"/>
          <w:rFonts w:hint="default" w:ascii="Times New Roman" w:hAnsi="Times New Roman" w:eastAsia="仿宋" w:cs="Times New Roman"/>
          <w:b w:val="0"/>
          <w:bCs w:val="0"/>
          <w:color w:val="auto"/>
          <w:highlight w:val="none"/>
        </w:rPr>
        <w:t>支出决算表</w:t>
      </w:r>
    </w:p>
    <w:p>
      <w:pPr>
        <w:pStyle w:val="3"/>
        <w:rPr>
          <w:rFonts w:hint="default" w:ascii="Times New Roman" w:hAnsi="Times New Roman" w:eastAsia="仿宋" w:cs="Times New Roman"/>
          <w:color w:val="auto"/>
          <w:highlight w:val="none"/>
        </w:rPr>
      </w:pPr>
      <w:bookmarkStart w:id="65" w:name="_Toc15396630"/>
      <w:r>
        <w:rPr>
          <w:rStyle w:val="23"/>
          <w:rFonts w:hint="default" w:ascii="Times New Roman" w:hAnsi="Times New Roman" w:eastAsia="仿宋" w:cs="Times New Roman"/>
          <w:b w:val="0"/>
          <w:bCs w:val="0"/>
          <w:color w:val="auto"/>
          <w:highlight w:val="none"/>
        </w:rPr>
        <w:t>十二、</w:t>
      </w:r>
      <w:bookmarkEnd w:id="65"/>
      <w:r>
        <w:rPr>
          <w:rStyle w:val="23"/>
          <w:rFonts w:hint="default" w:ascii="Times New Roman" w:hAnsi="Times New Roman" w:eastAsia="仿宋" w:cs="Times New Roman"/>
          <w:b w:val="0"/>
          <w:bCs w:val="0"/>
          <w:color w:val="auto"/>
          <w:highlight w:val="none"/>
          <w:lang w:eastAsia="zh-CN"/>
        </w:rPr>
        <w:t>国有资本经营预算财政拨款支出决算表</w:t>
      </w:r>
    </w:p>
    <w:p>
      <w:pPr>
        <w:pStyle w:val="3"/>
        <w:rPr>
          <w:rFonts w:hint="default" w:ascii="Times New Roman" w:hAnsi="Times New Roman" w:eastAsia="仿宋" w:cs="Times New Roman"/>
          <w:color w:val="auto"/>
          <w:highlight w:val="none"/>
          <w:lang w:eastAsia="zh-CN"/>
        </w:rPr>
      </w:pPr>
      <w:bookmarkStart w:id="66" w:name="_Toc15396631"/>
      <w:r>
        <w:rPr>
          <w:rStyle w:val="23"/>
          <w:rFonts w:hint="default" w:ascii="Times New Roman" w:hAnsi="Times New Roman" w:eastAsia="仿宋" w:cs="Times New Roman"/>
          <w:b w:val="0"/>
          <w:bCs w:val="0"/>
          <w:color w:val="auto"/>
          <w:highlight w:val="none"/>
        </w:rPr>
        <w:t>十三、</w:t>
      </w:r>
      <w:bookmarkEnd w:id="66"/>
      <w:r>
        <w:rPr>
          <w:rStyle w:val="23"/>
          <w:rFonts w:hint="default" w:ascii="Times New Roman" w:hAnsi="Times New Roman" w:eastAsia="仿宋" w:cs="Times New Roman"/>
          <w:b w:val="0"/>
          <w:bCs w:val="0"/>
          <w:color w:val="auto"/>
          <w:highlight w:val="none"/>
          <w:lang w:eastAsia="zh-CN"/>
        </w:rPr>
        <w:t>财政拨款“三公”经费支出决算表</w:t>
      </w:r>
    </w:p>
    <w:sectPr>
      <w:footerReference r:id="rId8" w:type="first"/>
      <w:footerReference r:id="rId7" w:type="default"/>
      <w:pgSz w:w="11906" w:h="16838"/>
      <w:pgMar w:top="1440" w:right="1800" w:bottom="1440" w:left="1800"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7039"/>
        <w:tab w:val="left" w:pos="10525"/>
      </w:tabs>
      <w:jc w:val="left"/>
      <w:rPr>
        <w:rFonts w:hint="default"/>
        <w:lang w:val="en-US"/>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documentProtection w:edit="readOnly"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rsids>
    <w:rsidRoot w:val="00000000"/>
    <w:rsid w:val="02DE772E"/>
    <w:rsid w:val="13B13EB5"/>
    <w:rsid w:val="1DF77D25"/>
    <w:rsid w:val="1F5BCD2B"/>
    <w:rsid w:val="1F8F2BD7"/>
    <w:rsid w:val="2DB1A4ED"/>
    <w:rsid w:val="2FBF0F00"/>
    <w:rsid w:val="373BCBB8"/>
    <w:rsid w:val="396A4320"/>
    <w:rsid w:val="3C4B153A"/>
    <w:rsid w:val="3EEF97BA"/>
    <w:rsid w:val="3F7E7A33"/>
    <w:rsid w:val="3FD74F65"/>
    <w:rsid w:val="3FDFAE38"/>
    <w:rsid w:val="42631119"/>
    <w:rsid w:val="45A77441"/>
    <w:rsid w:val="462AEC4A"/>
    <w:rsid w:val="46FA646A"/>
    <w:rsid w:val="4FF644F6"/>
    <w:rsid w:val="4FFBD72F"/>
    <w:rsid w:val="53E5520E"/>
    <w:rsid w:val="53FF95C4"/>
    <w:rsid w:val="565DC405"/>
    <w:rsid w:val="565EE187"/>
    <w:rsid w:val="5BDF9A17"/>
    <w:rsid w:val="5F1569AA"/>
    <w:rsid w:val="5FBDB37C"/>
    <w:rsid w:val="5FF62A90"/>
    <w:rsid w:val="5FF7F48B"/>
    <w:rsid w:val="68BD680A"/>
    <w:rsid w:val="6BE940D3"/>
    <w:rsid w:val="6BFF3D38"/>
    <w:rsid w:val="6D2EBB0C"/>
    <w:rsid w:val="6DFD1184"/>
    <w:rsid w:val="6F767500"/>
    <w:rsid w:val="6F993880"/>
    <w:rsid w:val="72D4564C"/>
    <w:rsid w:val="73EF3309"/>
    <w:rsid w:val="7717CA2A"/>
    <w:rsid w:val="77F1FA9E"/>
    <w:rsid w:val="77FBD7A8"/>
    <w:rsid w:val="7B550E06"/>
    <w:rsid w:val="7BF7A1B4"/>
    <w:rsid w:val="7DC5BB51"/>
    <w:rsid w:val="7FEA8981"/>
    <w:rsid w:val="7FF7A52C"/>
    <w:rsid w:val="7FFE200C"/>
    <w:rsid w:val="8F7D526D"/>
    <w:rsid w:val="9CFFD28B"/>
    <w:rsid w:val="9FBF0F6B"/>
    <w:rsid w:val="AEF3EEDA"/>
    <w:rsid w:val="B77F2B0F"/>
    <w:rsid w:val="C75F7865"/>
    <w:rsid w:val="CF46719C"/>
    <w:rsid w:val="D4D9DEFD"/>
    <w:rsid w:val="D7AEF4BE"/>
    <w:rsid w:val="D7FDD05A"/>
    <w:rsid w:val="DE595479"/>
    <w:rsid w:val="E07D49D9"/>
    <w:rsid w:val="E9F32AA3"/>
    <w:rsid w:val="E9FEBCC7"/>
    <w:rsid w:val="EBEFD3DF"/>
    <w:rsid w:val="EFFF93C3"/>
    <w:rsid w:val="F79FB1C8"/>
    <w:rsid w:val="F7FD8305"/>
    <w:rsid w:val="F97F9931"/>
    <w:rsid w:val="FA57A0BD"/>
    <w:rsid w:val="FBFDB5B3"/>
    <w:rsid w:val="FFE7F007"/>
    <w:rsid w:val="FFFE55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link w:val="31"/>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8">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before="30" w:beforeLines="30"/>
    </w:pPr>
    <w:rPr>
      <w:rFonts w:ascii="仿宋_GB2312" w:eastAsia="仿宋_GB2312"/>
      <w:kern w:val="0"/>
      <w:sz w:val="30"/>
    </w:rPr>
  </w:style>
  <w:style w:type="paragraph" w:styleId="6">
    <w:name w:val="Body Text Indent"/>
    <w:basedOn w:val="1"/>
    <w:next w:val="7"/>
    <w:qFormat/>
    <w:uiPriority w:val="0"/>
    <w:pPr>
      <w:ind w:firstLine="200" w:firstLineChars="200"/>
    </w:pPr>
    <w:rPr>
      <w:rFonts w:ascii="仿宋_GB2312" w:hAnsi="仿宋_GB2312"/>
    </w:rPr>
  </w:style>
  <w:style w:type="paragraph" w:styleId="7">
    <w:name w:val="Body Text First Indent 2"/>
    <w:basedOn w:val="6"/>
    <w:qFormat/>
    <w:uiPriority w:val="0"/>
    <w:rPr>
      <w:rFonts w:ascii="Times New Roman" w:hAnsi="Times New Roman" w:eastAsia="宋体" w:cs="Times New Roman"/>
      <w:sz w:val="21"/>
      <w:lang w:bidi="ar-SA"/>
    </w:rPr>
  </w:style>
  <w:style w:type="paragraph" w:styleId="8">
    <w:name w:val="toc 3"/>
    <w:basedOn w:val="1"/>
    <w:next w:val="1"/>
    <w:qFormat/>
    <w:uiPriority w:val="0"/>
    <w:pPr>
      <w:tabs>
        <w:tab w:val="right" w:leader="dot" w:pos="8296"/>
      </w:tabs>
      <w:ind w:left="400" w:leftChars="400"/>
    </w:p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qFormat/>
    <w:uiPriority w:val="0"/>
    <w:pPr>
      <w:tabs>
        <w:tab w:val="right" w:leader="dot" w:pos="8296"/>
      </w:tabs>
      <w:spacing w:before="93"/>
      <w:jc w:val="center"/>
    </w:pPr>
    <w:rPr>
      <w:rFonts w:asci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able of figures"/>
    <w:basedOn w:val="1"/>
    <w:next w:val="1"/>
    <w:qFormat/>
    <w:uiPriority w:val="0"/>
    <w:pPr>
      <w:ind w:left="200" w:leftChars="200" w:hanging="200" w:hangingChars="200"/>
    </w:pPr>
  </w:style>
  <w:style w:type="paragraph" w:styleId="15">
    <w:name w:val="toc 2"/>
    <w:basedOn w:val="1"/>
    <w:next w:val="1"/>
    <w:qFormat/>
    <w:uiPriority w:val="0"/>
    <w:pPr>
      <w:tabs>
        <w:tab w:val="right" w:leader="dot" w:pos="8296"/>
      </w:tabs>
      <w:ind w:left="200" w:leftChars="200"/>
    </w:pPr>
  </w:style>
  <w:style w:type="paragraph" w:styleId="16">
    <w:name w:val="Normal (Web)"/>
    <w:basedOn w:val="1"/>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jc w:val="left"/>
      <w:textAlignment w:val="auto"/>
      <w:outlineLvl w:val="9"/>
    </w:pPr>
    <w:rPr>
      <w:snapToGrid/>
      <w:color w:val="auto"/>
      <w:spacing w:val="0"/>
      <w:w w:val="100"/>
      <w:kern w:val="0"/>
      <w:position w:val="0"/>
      <w:sz w:val="24"/>
      <w:u w:val="none" w:color="auto"/>
      <w:vertAlign w:val="baseline"/>
      <w:lang w:val="en-US" w:eastAsia="zh-CN"/>
    </w:rPr>
  </w:style>
  <w:style w:type="character" w:styleId="19">
    <w:name w:val="Strong"/>
    <w:basedOn w:val="18"/>
    <w:qFormat/>
    <w:uiPriority w:val="0"/>
    <w:rPr>
      <w:b/>
    </w:rPr>
  </w:style>
  <w:style w:type="character" w:styleId="20">
    <w:name w:val="Hyperlink"/>
    <w:basedOn w:val="18"/>
    <w:qFormat/>
    <w:uiPriority w:val="0"/>
    <w:rPr>
      <w:color w:val="0000FF"/>
      <w:u w:val="single"/>
    </w:rPr>
  </w:style>
  <w:style w:type="paragraph" w:customStyle="1" w:styleId="21">
    <w:name w:val="文档正文"/>
    <w:basedOn w:val="1"/>
    <w:qFormat/>
    <w:uiPriority w:val="0"/>
    <w:pPr>
      <w:adjustRightInd w:val="0"/>
      <w:spacing w:line="480" w:lineRule="atLeast"/>
      <w:textAlignment w:val="baseline"/>
    </w:pPr>
    <w:rPr>
      <w:rFonts w:ascii="Arial" w:hAnsi="Arial"/>
      <w:kern w:val="0"/>
    </w:rPr>
  </w:style>
  <w:style w:type="character" w:customStyle="1" w:styleId="22">
    <w:name w:val="heading 1 Char"/>
    <w:basedOn w:val="18"/>
    <w:link w:val="2"/>
    <w:qFormat/>
    <w:uiPriority w:val="0"/>
    <w:rPr>
      <w:rFonts w:ascii="Times New Roman" w:hAnsi="Times New Roman" w:eastAsia="宋体" w:cs="Times New Roman"/>
      <w:b/>
      <w:bCs/>
      <w:kern w:val="44"/>
      <w:sz w:val="44"/>
      <w:szCs w:val="44"/>
      <w:lang w:val="en-US" w:eastAsia="zh-CN" w:bidi="ar-SA"/>
    </w:rPr>
  </w:style>
  <w:style w:type="character" w:customStyle="1" w:styleId="23">
    <w:name w:val="heading 2 Char"/>
    <w:basedOn w:val="18"/>
    <w:link w:val="3"/>
    <w:qFormat/>
    <w:uiPriority w:val="0"/>
    <w:rPr>
      <w:rFonts w:ascii="Cambria" w:hAnsi="Cambria" w:eastAsia="宋体" w:cs="Times New Roman"/>
      <w:b/>
      <w:bCs/>
      <w:kern w:val="2"/>
      <w:sz w:val="32"/>
      <w:szCs w:val="32"/>
      <w:lang w:val="en-US" w:eastAsia="zh-CN" w:bidi="ar-SA"/>
    </w:rPr>
  </w:style>
  <w:style w:type="character" w:customStyle="1" w:styleId="24">
    <w:name w:val="Header Char"/>
    <w:basedOn w:val="18"/>
    <w:qFormat/>
    <w:uiPriority w:val="0"/>
    <w:rPr>
      <w:rFonts w:ascii="Times New Roman" w:hAnsi="Times New Roman"/>
      <w:sz w:val="18"/>
      <w:szCs w:val="18"/>
    </w:rPr>
  </w:style>
  <w:style w:type="character" w:customStyle="1" w:styleId="25">
    <w:name w:val="Footer Char"/>
    <w:basedOn w:val="18"/>
    <w:qFormat/>
    <w:uiPriority w:val="0"/>
    <w:rPr>
      <w:rFonts w:ascii="Times New Roman" w:hAnsi="Times New Roman"/>
      <w:sz w:val="18"/>
      <w:szCs w:val="18"/>
    </w:rPr>
  </w:style>
  <w:style w:type="character" w:customStyle="1" w:styleId="26">
    <w:name w:val="Body Text Char"/>
    <w:basedOn w:val="18"/>
    <w:qFormat/>
    <w:uiPriority w:val="0"/>
    <w:rPr>
      <w:rFonts w:ascii="Times New Roman" w:hAnsi="Times New Roman"/>
      <w:szCs w:val="24"/>
    </w:rPr>
  </w:style>
  <w:style w:type="paragraph" w:customStyle="1" w:styleId="2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8">
    <w:name w:val="List Paragraph"/>
    <w:basedOn w:val="1"/>
    <w:qFormat/>
    <w:uiPriority w:val="0"/>
    <w:pPr>
      <w:ind w:firstLine="200" w:firstLineChars="200"/>
    </w:pPr>
  </w:style>
  <w:style w:type="paragraph" w:customStyle="1" w:styleId="29">
    <w:name w:val="TOC 标题1"/>
    <w:basedOn w:val="2"/>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30">
    <w:name w:val="TOC Heading"/>
    <w:basedOn w:val="2"/>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31">
    <w:name w:val="标题 2 字符"/>
    <w:basedOn w:val="18"/>
    <w:link w:val="3"/>
    <w:qFormat/>
    <w:uiPriority w:val="9"/>
    <w:rPr>
      <w:rFonts w:asciiTheme="majorHAnsi" w:hAnsiTheme="majorHAnsi" w:eastAsiaTheme="majorEastAsia" w:cstheme="majorBidi"/>
      <w:b/>
      <w:bCs/>
      <w:kern w:val="2"/>
      <w:sz w:val="32"/>
      <w:szCs w:val="32"/>
    </w:rPr>
  </w:style>
  <w:style w:type="paragraph" w:customStyle="1" w:styleId="3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33">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4.bin"/><Relationship Id="rId17" Type="http://schemas.openxmlformats.org/officeDocument/2006/relationships/image" Target="media/image3.emf"/><Relationship Id="rId16" Type="http://schemas.openxmlformats.org/officeDocument/2006/relationships/oleObject" Target="embeddings/oleObject3.bin"/><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0873626373626374"/>
          <c:y val="0.230627566584223"/>
          <c:w val="0.879591836734694"/>
          <c:h val="0.64186313973548"/>
        </c:manualLayout>
      </c:layout>
      <c:barChart>
        <c:barDir val="col"/>
        <c:grouping val="clustered"/>
        <c:varyColors val="false"/>
        <c:ser>
          <c:idx val="0"/>
          <c:order val="0"/>
          <c:tx>
            <c:strRef>
              <c:f>Sheet1!$B$1</c:f>
              <c:strCache>
                <c:ptCount val="1"/>
                <c:pt idx="0">
                  <c:v>收、支决算总计（单位：万元）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460.03</c:v>
                </c:pt>
                <c:pt idx="1">
                  <c:v>496.46</c:v>
                </c:pt>
              </c:numCache>
            </c:numRef>
          </c:val>
        </c:ser>
        <c:dLbls>
          <c:showLegendKey val="false"/>
          <c:showVal val="true"/>
          <c:showCatName val="false"/>
          <c:showSerName val="false"/>
          <c:showPercent val="false"/>
          <c:showBubbleSize val="false"/>
        </c:dLbls>
        <c:gapWidth val="219"/>
        <c:overlap val="-27"/>
        <c:axId val="155936640"/>
        <c:axId val="155938176"/>
      </c:barChart>
      <c:catAx>
        <c:axId val="15593664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938176"/>
        <c:crosses val="autoZero"/>
        <c:auto val="true"/>
        <c:lblAlgn val="ctr"/>
        <c:lblOffset val="100"/>
        <c:noMultiLvlLbl val="false"/>
      </c:catAx>
      <c:valAx>
        <c:axId val="15593817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93664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本年收入合计（单位：万元）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elete val="true"/>
          </c:dLbls>
          <c:cat>
            <c:strRef>
              <c:f>Sheet1!$A$2:$A$5</c:f>
              <c:strCache>
                <c:ptCount val="4"/>
                <c:pt idx="0">
                  <c:v>一般公共预算财政拨款收入496.46万元</c:v>
                </c:pt>
                <c:pt idx="1">
                  <c:v>政府性基金预算财政拨款收入</c:v>
                </c:pt>
                <c:pt idx="2">
                  <c:v>国有资本经营预算财政拨款收入</c:v>
                </c:pt>
                <c:pt idx="3">
                  <c:v>其他收入</c:v>
                </c:pt>
              </c:strCache>
            </c:strRef>
          </c:cat>
          <c:val>
            <c:numRef>
              <c:f>Sheet1!$B$2:$B$5</c:f>
              <c:numCache>
                <c:formatCode>General</c:formatCode>
                <c:ptCount val="4"/>
                <c:pt idx="0">
                  <c:v>496.46</c:v>
                </c:pt>
                <c:pt idx="1">
                  <c:v>0</c:v>
                </c:pt>
                <c:pt idx="2">
                  <c:v>0</c:v>
                </c:pt>
                <c:pt idx="3">
                  <c:v>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32"/>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33</Pages>
  <Words>12841</Words>
  <Characters>15753</Characters>
  <Lines>323</Lines>
  <Paragraphs>163</Paragraphs>
  <TotalTime>15</TotalTime>
  <ScaleCrop>false</ScaleCrop>
  <LinksUpToDate>false</LinksUpToDate>
  <CharactersWithSpaces>15797</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2020-08-09T01:49:00Z</dcterms:created>
  <dc:creator>曹颖</dc:creator>
  <cp:lastModifiedBy>user</cp:lastModifiedBy>
  <cp:lastPrinted>2025-09-09T01:29:00Z</cp:lastPrinted>
  <dcterms:modified xsi:type="dcterms:W3CDTF">2025-09-17T18:13:25Z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F49A7B101A58FF63BA500665E86955CE</vt:lpwstr>
  </property>
  <property fmtid="{D5CDD505-2E9C-101B-9397-08002B2CF9AE}" pid="4" name="KSOTemplateDocerSaveRecord">
    <vt:lpwstr>eyJoZGlkIjoiZDk0YWZiZjIxZjc2OTc2ODNkNzM0YmQ3OTRlZDhiNWEifQ==</vt:lpwstr>
  </property>
</Properties>
</file>