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1E81">
      <w:pPr>
        <w:pStyle w:val="6"/>
        <w:spacing w:before="93"/>
        <w:jc w:val="both"/>
        <w:rPr>
          <w:rFonts w:hint="default" w:ascii="Times New Roman" w:hAnsi="Times New Roman" w:eastAsia="方正小标宋简体" w:cs="Times New Roman"/>
          <w:kern w:val="2"/>
          <w:sz w:val="44"/>
          <w:szCs w:val="44"/>
        </w:rPr>
      </w:pPr>
      <w:bookmarkStart w:id="0" w:name="_Toc15378441"/>
      <w:bookmarkStart w:id="1" w:name="_Toc15377193"/>
      <w:bookmarkStart w:id="2" w:name="_Toc15396597"/>
      <w:bookmarkStart w:id="3" w:name="_Toc15396475"/>
      <w:bookmarkStart w:id="4" w:name="_Toc15377425"/>
      <w:bookmarkStart w:id="5" w:name="_Toc15306267"/>
    </w:p>
    <w:p w14:paraId="26887A1B">
      <w:pPr>
        <w:pStyle w:val="6"/>
        <w:spacing w:before="93"/>
        <w:jc w:val="center"/>
        <w:rPr>
          <w:rFonts w:hint="default" w:ascii="Times New Roman" w:hAnsi="Times New Roman" w:eastAsia="方正小标宋简体" w:cs="Times New Roman"/>
          <w:kern w:val="2"/>
          <w:sz w:val="44"/>
          <w:szCs w:val="44"/>
        </w:rPr>
      </w:pPr>
    </w:p>
    <w:p w14:paraId="23817DD2">
      <w:pPr>
        <w:pStyle w:val="6"/>
        <w:spacing w:before="93"/>
        <w:jc w:val="center"/>
        <w:rPr>
          <w:rFonts w:hint="default" w:ascii="Times New Roman" w:hAnsi="Times New Roman" w:eastAsia="方正小标宋简体" w:cs="Times New Roman"/>
          <w:kern w:val="2"/>
          <w:sz w:val="44"/>
          <w:szCs w:val="44"/>
        </w:rPr>
      </w:pPr>
    </w:p>
    <w:p w14:paraId="06D71B1B">
      <w:pPr>
        <w:pStyle w:val="6"/>
        <w:spacing w:before="93"/>
        <w:jc w:val="center"/>
        <w:rPr>
          <w:rFonts w:hint="default" w:ascii="Times New Roman" w:hAnsi="Times New Roman" w:eastAsia="方正小标宋简体" w:cs="Times New Roman"/>
          <w:kern w:val="2"/>
          <w:sz w:val="44"/>
          <w:szCs w:val="44"/>
        </w:rPr>
      </w:pPr>
    </w:p>
    <w:bookmarkEnd w:id="0"/>
    <w:bookmarkEnd w:id="1"/>
    <w:bookmarkEnd w:id="2"/>
    <w:bookmarkEnd w:id="3"/>
    <w:bookmarkEnd w:id="4"/>
    <w:p w14:paraId="66B2E22E">
      <w:pPr>
        <w:pStyle w:val="6"/>
        <w:spacing w:before="93"/>
        <w:jc w:val="center"/>
        <w:rPr>
          <w:rFonts w:hint="default" w:ascii="Times New Roman" w:hAnsi="Times New Roman" w:eastAsia="方正小标宋简体" w:cs="Times New Roman"/>
          <w:kern w:val="2"/>
          <w:sz w:val="44"/>
          <w:szCs w:val="44"/>
          <w:lang w:val="en-US" w:eastAsia="zh-CN"/>
        </w:rPr>
      </w:pPr>
      <w:bookmarkStart w:id="6" w:name="_Toc15396476"/>
      <w:bookmarkStart w:id="7" w:name="_Toc15378442"/>
      <w:bookmarkStart w:id="8" w:name="_Toc15396598"/>
      <w:bookmarkStart w:id="9" w:name="_Toc15377426"/>
      <w:bookmarkStart w:id="10" w:name="_Toc15377194"/>
      <w:r>
        <w:rPr>
          <w:rFonts w:hint="default" w:ascii="Times New Roman" w:hAnsi="Times New Roman" w:eastAsia="方正小标宋简体" w:cs="Times New Roman"/>
          <w:kern w:val="2"/>
          <w:sz w:val="44"/>
          <w:szCs w:val="44"/>
        </w:rPr>
        <w:t>2024年度</w:t>
      </w:r>
      <w:bookmarkEnd w:id="5"/>
      <w:bookmarkStart w:id="11" w:name="_Toc15306268"/>
      <w:r>
        <w:rPr>
          <w:rFonts w:hint="default" w:ascii="Times New Roman" w:hAnsi="Times New Roman" w:eastAsia="方正小标宋简体" w:cs="Times New Roman"/>
          <w:kern w:val="2"/>
          <w:sz w:val="44"/>
          <w:szCs w:val="44"/>
        </w:rPr>
        <w:t>阿坝</w:t>
      </w:r>
      <w:r>
        <w:rPr>
          <w:rFonts w:hint="default" w:ascii="Times New Roman" w:hAnsi="Times New Roman" w:eastAsia="方正小标宋简体" w:cs="Times New Roman"/>
          <w:kern w:val="2"/>
          <w:sz w:val="44"/>
          <w:szCs w:val="44"/>
          <w:lang w:eastAsia="zh-CN"/>
        </w:rPr>
        <w:t>州直属机关基层帮扶</w:t>
      </w:r>
      <w:r>
        <w:rPr>
          <w:rFonts w:hint="default" w:ascii="Times New Roman" w:hAnsi="Times New Roman" w:eastAsia="方正小标宋简体" w:cs="Times New Roman"/>
          <w:kern w:val="2"/>
          <w:sz w:val="44"/>
          <w:szCs w:val="44"/>
          <w:lang w:val="en-US" w:eastAsia="zh-CN"/>
        </w:rPr>
        <w:t>工作</w:t>
      </w:r>
    </w:p>
    <w:p w14:paraId="215A26C6">
      <w:pPr>
        <w:pStyle w:val="6"/>
        <w:spacing w:before="93"/>
        <w:jc w:val="center"/>
        <w:rPr>
          <w:rFonts w:hint="eastAsia" w:ascii="Times New Roman" w:hAnsi="Times New Roman" w:eastAsia="方正小标宋简体" w:cs="Times New Roman"/>
          <w:kern w:val="2"/>
          <w:sz w:val="44"/>
          <w:szCs w:val="44"/>
          <w:lang w:val="en-US" w:eastAsia="zh-CN"/>
        </w:rPr>
      </w:pPr>
      <w:r>
        <w:rPr>
          <w:rFonts w:hint="default" w:ascii="Times New Roman" w:hAnsi="Times New Roman" w:eastAsia="方正小标宋简体" w:cs="Times New Roman"/>
          <w:kern w:val="2"/>
          <w:sz w:val="44"/>
          <w:szCs w:val="44"/>
          <w:lang w:val="en-US" w:eastAsia="zh-CN"/>
        </w:rPr>
        <w:t>服务</w:t>
      </w:r>
      <w:r>
        <w:rPr>
          <w:rFonts w:hint="default" w:ascii="Times New Roman" w:hAnsi="Times New Roman" w:eastAsia="方正小标宋简体" w:cs="Times New Roman"/>
          <w:kern w:val="2"/>
          <w:sz w:val="44"/>
          <w:szCs w:val="44"/>
          <w:lang w:eastAsia="zh-CN"/>
        </w:rPr>
        <w:t>中心</w:t>
      </w:r>
      <w:r>
        <w:rPr>
          <w:rFonts w:hint="default" w:ascii="Times New Roman" w:hAnsi="Times New Roman" w:eastAsia="方正小标宋简体" w:cs="Times New Roman"/>
          <w:kern w:val="2"/>
          <w:sz w:val="44"/>
          <w:szCs w:val="44"/>
        </w:rPr>
        <w:t>决算</w:t>
      </w:r>
      <w:bookmarkEnd w:id="6"/>
      <w:bookmarkEnd w:id="7"/>
      <w:bookmarkEnd w:id="8"/>
      <w:bookmarkEnd w:id="9"/>
      <w:bookmarkEnd w:id="10"/>
      <w:bookmarkEnd w:id="11"/>
      <w:r>
        <w:rPr>
          <w:rFonts w:hint="eastAsia" w:ascii="Times New Roman" w:eastAsia="方正小标宋简体" w:cs="Times New Roman"/>
          <w:kern w:val="2"/>
          <w:sz w:val="44"/>
          <w:szCs w:val="44"/>
          <w:lang w:val="en-US" w:eastAsia="zh-CN"/>
        </w:rPr>
        <w:t>公开</w:t>
      </w:r>
    </w:p>
    <w:p w14:paraId="7605BB1E">
      <w:pPr>
        <w:widowControl/>
        <w:jc w:val="center"/>
        <w:rPr>
          <w:rFonts w:hint="default" w:ascii="Times New Roman" w:hAnsi="Times New Roman" w:eastAsia="黑体" w:cs="Times New Roman"/>
          <w:sz w:val="48"/>
          <w:szCs w:val="48"/>
        </w:rPr>
      </w:pPr>
    </w:p>
    <w:p w14:paraId="1A573225">
      <w:pPr>
        <w:pStyle w:val="2"/>
        <w:rPr>
          <w:rFonts w:hint="default" w:ascii="Times New Roman" w:hAnsi="Times New Roman" w:eastAsia="黑体" w:cs="Times New Roman"/>
          <w:sz w:val="48"/>
          <w:szCs w:val="48"/>
        </w:rPr>
      </w:pPr>
    </w:p>
    <w:p w14:paraId="1109E3BD">
      <w:pPr>
        <w:rPr>
          <w:rFonts w:hint="default" w:ascii="Times New Roman" w:hAnsi="Times New Roman" w:eastAsia="黑体" w:cs="Times New Roman"/>
          <w:sz w:val="48"/>
          <w:szCs w:val="48"/>
        </w:rPr>
      </w:pPr>
      <w:bookmarkStart w:id="68" w:name="_GoBack"/>
      <w:bookmarkEnd w:id="68"/>
    </w:p>
    <w:p w14:paraId="08CC1B5C">
      <w:pPr>
        <w:pStyle w:val="2"/>
        <w:rPr>
          <w:rFonts w:hint="default" w:ascii="Times New Roman" w:hAnsi="Times New Roman" w:eastAsia="黑体" w:cs="Times New Roman"/>
          <w:sz w:val="48"/>
          <w:szCs w:val="48"/>
        </w:rPr>
      </w:pPr>
    </w:p>
    <w:p w14:paraId="7876D22B">
      <w:pPr>
        <w:rPr>
          <w:rFonts w:hint="default" w:ascii="Times New Roman" w:hAnsi="Times New Roman" w:eastAsia="黑体" w:cs="Times New Roman"/>
          <w:sz w:val="48"/>
          <w:szCs w:val="48"/>
        </w:rPr>
      </w:pPr>
    </w:p>
    <w:p w14:paraId="639422D6">
      <w:pPr>
        <w:pStyle w:val="2"/>
        <w:rPr>
          <w:rFonts w:hint="default" w:ascii="Times New Roman" w:hAnsi="Times New Roman" w:eastAsia="黑体" w:cs="Times New Roman"/>
          <w:sz w:val="48"/>
          <w:szCs w:val="48"/>
        </w:rPr>
      </w:pPr>
    </w:p>
    <w:p w14:paraId="52B351B7">
      <w:pPr>
        <w:rPr>
          <w:rFonts w:hint="default" w:ascii="Times New Roman" w:hAnsi="Times New Roman" w:eastAsia="黑体" w:cs="Times New Roman"/>
          <w:sz w:val="48"/>
          <w:szCs w:val="48"/>
        </w:rPr>
      </w:pPr>
    </w:p>
    <w:p w14:paraId="73561081">
      <w:pPr>
        <w:pStyle w:val="2"/>
        <w:rPr>
          <w:rFonts w:hint="default"/>
        </w:rPr>
      </w:pPr>
    </w:p>
    <w:p w14:paraId="23B41C6F">
      <w:pPr>
        <w:pStyle w:val="2"/>
        <w:rPr>
          <w:rFonts w:hint="default" w:ascii="Times New Roman" w:hAnsi="Times New Roman" w:eastAsia="黑体" w:cs="Times New Roman"/>
          <w:sz w:val="48"/>
          <w:szCs w:val="48"/>
        </w:rPr>
      </w:pPr>
    </w:p>
    <w:p w14:paraId="76664953">
      <w:pPr>
        <w:pStyle w:val="36"/>
        <w:keepNext w:val="0"/>
        <w:keepLines w:val="0"/>
        <w:widowControl/>
        <w:suppressLineNumbers w:val="0"/>
        <w:spacing w:before="0" w:beforeAutospacing="0"/>
        <w:ind w:firstLine="1680" w:firstLineChars="600"/>
        <w:jc w:val="both"/>
        <w:rPr>
          <w:rFonts w:hint="default" w:ascii="Times New Roman" w:hAnsi="Times New Roman" w:eastAsia="宋体" w:cs="Times New Roman"/>
          <w:kern w:val="0"/>
          <w:sz w:val="28"/>
          <w:szCs w:val="28"/>
        </w:rPr>
      </w:pPr>
      <w:r>
        <w:rPr>
          <w:rFonts w:hint="eastAsia" w:ascii="宋体" w:hAnsi="宋体" w:eastAsia="宋体" w:cs="宋体"/>
          <w:kern w:val="0"/>
          <w:sz w:val="28"/>
          <w:szCs w:val="28"/>
          <w:shd w:val="clear" w:color="auto" w:fill="FFFFFF"/>
        </w:rPr>
        <w:t>已经保密审查、内容审定，同意对外公开</w:t>
      </w:r>
    </w:p>
    <w:p w14:paraId="74533E64">
      <w:pPr>
        <w:rPr>
          <w:rFonts w:hint="default"/>
        </w:rPr>
        <w:sectPr>
          <w:headerReference r:id="rId3" w:type="default"/>
          <w:footerReference r:id="rId4" w:type="default"/>
          <w:pgSz w:w="11906" w:h="16838"/>
          <w:pgMar w:top="1440" w:right="1800" w:bottom="1440" w:left="1800" w:header="720" w:footer="720" w:gutter="0"/>
          <w:cols w:space="720" w:num="1"/>
          <w:docGrid w:type="lines" w:linePitch="312" w:charSpace="0"/>
        </w:sectPr>
      </w:pPr>
    </w:p>
    <w:p w14:paraId="636B6C00">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14:paraId="2B238FE8">
      <w:pPr>
        <w:widowControl/>
        <w:jc w:val="center"/>
        <w:rPr>
          <w:rFonts w:hint="default" w:ascii="Times New Roman" w:hAnsi="Times New Roman" w:eastAsia="黑体" w:cs="Times New Roman"/>
          <w:sz w:val="28"/>
          <w:szCs w:val="28"/>
        </w:rPr>
      </w:pPr>
    </w:p>
    <w:p w14:paraId="70D9F5D4">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公开时间：2024年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p>
    <w:p w14:paraId="5731B0B0">
      <w:pPr>
        <w:rPr>
          <w:rFonts w:hint="default" w:ascii="Times New Roman" w:hAnsi="Times New Roman" w:cs="Times New Roman"/>
        </w:rPr>
      </w:pPr>
    </w:p>
    <w:p w14:paraId="2CD5417B">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部门概况</w:t>
      </w:r>
    </w:p>
    <w:p w14:paraId="511790C8">
      <w:pPr>
        <w:pStyle w:val="15"/>
        <w:adjustRightInd w:val="0"/>
        <w:snapToGrid w:val="0"/>
        <w:spacing w:line="560" w:lineRule="exact"/>
        <w:ind w:left="0" w:leftChars="0" w:firstLine="640" w:firstLineChars="200"/>
        <w:jc w:val="left"/>
        <w:rPr>
          <w:rFonts w:hint="default" w:ascii="Times New Roman" w:hAnsi="Times New Roman" w:cs="Times New Roman"/>
          <w:sz w:val="24"/>
          <w:szCs w:val="24"/>
          <w:lang w:val="en-US" w:eastAsia="zh-CN"/>
        </w:rPr>
      </w:pPr>
      <w:r>
        <w:rPr>
          <w:rFonts w:hint="default" w:ascii="Times New Roman" w:hAnsi="Times New Roman" w:eastAsia="仿宋_GB2312" w:cs="Times New Roman"/>
          <w:sz w:val="32"/>
          <w:szCs w:val="32"/>
        </w:rPr>
        <w:t>一、部门职责</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3</w:t>
      </w:r>
    </w:p>
    <w:p w14:paraId="33FADEA5">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二、机构设置</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3</w:t>
      </w:r>
    </w:p>
    <w:p w14:paraId="7ABB0B8D">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 2024年度部门决算情况说明</w:t>
      </w:r>
    </w:p>
    <w:p w14:paraId="44ECDB3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一、收入支出决算总体情况说明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4</w:t>
      </w:r>
    </w:p>
    <w:p w14:paraId="6688456D">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二、收入决算情况说明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4-5</w:t>
      </w:r>
    </w:p>
    <w:p w14:paraId="4A442FD9">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三、支出决算情况说明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5</w:t>
      </w:r>
    </w:p>
    <w:p w14:paraId="5FB611B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四、财政拨款收入支出决算总体情况说明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6</w:t>
      </w:r>
    </w:p>
    <w:p w14:paraId="367BB1F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五、一般公共预算财政拨款支出决算情况说明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6-8</w:t>
      </w:r>
    </w:p>
    <w:p w14:paraId="0AC28B6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六、一般公共预算财政拨款基本支出决算情况说明</w:t>
      </w:r>
      <w:r>
        <w:rPr>
          <w:rFonts w:hint="eastAsia"/>
          <w:lang w:eastAsia="zh-CN"/>
        </w:rPr>
        <w:t>……</w:t>
      </w:r>
      <w:r>
        <w:rPr>
          <w:rFonts w:hint="default" w:ascii="Times New Roman" w:hAnsi="Times New Roman" w:cs="Times New Roman"/>
          <w:sz w:val="24"/>
          <w:szCs w:val="24"/>
          <w:lang w:val="en-US" w:eastAsia="zh-CN"/>
        </w:rPr>
        <w:t>8-9</w:t>
      </w:r>
    </w:p>
    <w:p w14:paraId="162D83E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七、财政拨款“三公”经费支出决算情况说明</w:t>
      </w:r>
      <w:r>
        <w:rPr>
          <w:rFonts w:hint="eastAsia"/>
          <w:lang w:eastAsia="zh-CN"/>
        </w:rPr>
        <w:t>…………………</w:t>
      </w:r>
      <w:r>
        <w:rPr>
          <w:rFonts w:hint="default" w:ascii="Times New Roman" w:hAnsi="Times New Roman" w:cs="Times New Roman"/>
          <w:sz w:val="24"/>
          <w:szCs w:val="24"/>
          <w:lang w:val="en-US" w:eastAsia="zh-CN"/>
        </w:rPr>
        <w:t>9</w:t>
      </w:r>
    </w:p>
    <w:p w14:paraId="0C634255">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八、政府性基金预算支出决算情况说明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9</w:t>
      </w:r>
    </w:p>
    <w:p w14:paraId="4ABA6D7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九、国有资本经营预算支出决算情况说明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9</w:t>
      </w:r>
    </w:p>
    <w:p w14:paraId="3DE1E3E9">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十、其他重要事项的情况说明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9-11</w:t>
      </w:r>
    </w:p>
    <w:p w14:paraId="0DFDDD2C">
      <w:pPr>
        <w:pStyle w:val="13"/>
        <w:adjustRightInd w:val="0"/>
        <w:snapToGrid w:val="0"/>
        <w:spacing w:before="0" w:line="560" w:lineRule="exact"/>
        <w:jc w:val="left"/>
        <w:rPr>
          <w:rFonts w:hint="default" w:ascii="Times New Roman" w:hAnsi="Times New Roman" w:eastAsia="黑体" w:cs="Times New Roman"/>
          <w:sz w:val="24"/>
          <w:szCs w:val="24"/>
          <w:lang w:val="en-US"/>
        </w:rPr>
      </w:pPr>
      <w:r>
        <w:rPr>
          <w:rFonts w:hint="default" w:ascii="Times New Roman" w:hAnsi="Times New Roman" w:eastAsia="黑体" w:cs="Times New Roman"/>
          <w:sz w:val="32"/>
          <w:szCs w:val="32"/>
        </w:rPr>
        <w:t>第三部分 名词解释</w:t>
      </w:r>
      <w:r>
        <w:rPr>
          <w:rFonts w:hint="eastAsia" w:ascii="Times New Roman" w:hAnsi="Times New Roman" w:eastAsia="黑体"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11-14</w:t>
      </w:r>
    </w:p>
    <w:p w14:paraId="7D7185B3">
      <w:pPr>
        <w:pStyle w:val="13"/>
        <w:adjustRightInd w:val="0"/>
        <w:snapToGrid w:val="0"/>
        <w:spacing w:before="0" w:line="560" w:lineRule="exact"/>
        <w:jc w:val="left"/>
        <w:rPr>
          <w:rFonts w:hint="default" w:ascii="Times New Roman" w:hAnsi="Times New Roman" w:eastAsia="黑体" w:cs="Times New Roman"/>
          <w:sz w:val="24"/>
          <w:szCs w:val="24"/>
          <w:lang w:val="en-US"/>
        </w:rPr>
      </w:pPr>
      <w:r>
        <w:rPr>
          <w:rFonts w:hint="default" w:ascii="Times New Roman" w:hAnsi="Times New Roman" w:eastAsia="黑体" w:cs="Times New Roman"/>
          <w:sz w:val="32"/>
          <w:szCs w:val="32"/>
        </w:rPr>
        <w:t>第四部分 附件</w:t>
      </w:r>
      <w:r>
        <w:rPr>
          <w:rFonts w:hint="eastAsia" w:ascii="Times New Roman" w:hAnsi="Times New Roman" w:eastAsia="黑体"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15-22</w:t>
      </w:r>
    </w:p>
    <w:p w14:paraId="6B16C7A5">
      <w:pPr>
        <w:pStyle w:val="13"/>
        <w:adjustRightInd w:val="0"/>
        <w:snapToGrid w:val="0"/>
        <w:spacing w:before="0" w:line="560" w:lineRule="exact"/>
        <w:jc w:val="left"/>
        <w:rPr>
          <w:rFonts w:hint="default" w:ascii="Times New Roman" w:hAnsi="Times New Roman" w:eastAsia="黑体" w:cs="Times New Roman"/>
          <w:sz w:val="24"/>
          <w:szCs w:val="24"/>
          <w:lang w:val="en-US"/>
        </w:rPr>
      </w:pPr>
      <w:r>
        <w:rPr>
          <w:rFonts w:hint="default" w:ascii="Times New Roman" w:hAnsi="Times New Roman" w:eastAsia="黑体" w:cs="Times New Roman"/>
          <w:sz w:val="32"/>
          <w:szCs w:val="32"/>
        </w:rPr>
        <w:t>第五部分 附表</w:t>
      </w:r>
      <w:r>
        <w:rPr>
          <w:rFonts w:hint="eastAsia"/>
          <w:lang w:eastAsia="zh-CN"/>
        </w:rPr>
        <w:t>………………………………………………………</w:t>
      </w:r>
      <w:r>
        <w:rPr>
          <w:rFonts w:hint="default" w:ascii="Times New Roman" w:hAnsi="Times New Roman" w:cs="Times New Roman"/>
          <w:sz w:val="24"/>
          <w:szCs w:val="24"/>
          <w:lang w:val="en-US" w:eastAsia="zh-CN"/>
        </w:rPr>
        <w:t>23</w:t>
      </w:r>
    </w:p>
    <w:p w14:paraId="6CF7CD2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14:paraId="29048796">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14:paraId="5D42ACFB">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14:paraId="5849CD5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14:paraId="141E1D93">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14:paraId="46D5B6BB">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14:paraId="248FD3CB">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14:paraId="44DADC9E">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八、一般公共预算财政拨款基本支出决算明细表</w:t>
      </w:r>
    </w:p>
    <w:p w14:paraId="3C12F3AF">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14:paraId="118B6EF2">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p>
    <w:p w14:paraId="0E4A12F1">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十一、国有资本经营预算财政拨款收入支出决算表</w:t>
      </w:r>
    </w:p>
    <w:p w14:paraId="726E5423">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p>
    <w:p w14:paraId="79C9D8DB">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p>
    <w:p w14:paraId="3C8240FB">
      <w:pPr>
        <w:widowControl/>
        <w:spacing w:line="560" w:lineRule="exact"/>
        <w:jc w:val="left"/>
        <w:rPr>
          <w:rFonts w:hint="default" w:ascii="Times New Roman" w:hAnsi="Times New Roman" w:eastAsia="仿宋_GB2312" w:cs="Times New Roman"/>
          <w:bCs/>
          <w:kern w:val="44"/>
          <w:sz w:val="32"/>
          <w:szCs w:val="32"/>
        </w:rPr>
      </w:pPr>
      <w:bookmarkStart w:id="12" w:name="_Toc15396599"/>
      <w:bookmarkStart w:id="13" w:name="_Toc15377196"/>
      <w:r>
        <w:rPr>
          <w:rFonts w:hint="default" w:ascii="Times New Roman" w:hAnsi="Times New Roman" w:eastAsia="仿宋_GB2312" w:cs="Times New Roman"/>
          <w:b/>
          <w:sz w:val="32"/>
          <w:szCs w:val="32"/>
        </w:rPr>
        <w:br w:type="page"/>
      </w:r>
    </w:p>
    <w:p w14:paraId="0804089D">
      <w:pPr>
        <w:pStyle w:val="3"/>
        <w:jc w:val="center"/>
        <w:rPr>
          <w:rStyle w:val="29"/>
          <w:rFonts w:hint="default" w:ascii="Times New Roman" w:hAnsi="Times New Roman" w:eastAsia="方正小标宋简体" w:cs="Times New Roman"/>
          <w:b/>
          <w:bCs w:val="0"/>
        </w:rPr>
      </w:pPr>
      <w:r>
        <w:rPr>
          <w:rFonts w:hint="default" w:ascii="Times New Roman" w:hAnsi="Times New Roman" w:eastAsia="方正小标宋简体" w:cs="Times New Roman"/>
          <w:b w:val="0"/>
        </w:rPr>
        <w:t xml:space="preserve">第一部分  </w:t>
      </w:r>
      <w:r>
        <w:rPr>
          <w:rStyle w:val="29"/>
          <w:rFonts w:hint="default" w:ascii="Times New Roman" w:hAnsi="Times New Roman" w:eastAsia="方正小标宋简体" w:cs="Times New Roman"/>
          <w:b w:val="0"/>
          <w:bCs w:val="0"/>
        </w:rPr>
        <w:t>部门概况</w:t>
      </w:r>
      <w:bookmarkEnd w:id="12"/>
      <w:bookmarkEnd w:id="13"/>
    </w:p>
    <w:p w14:paraId="1F577AE2">
      <w:pPr>
        <w:pageBreakBefore w:val="0"/>
        <w:widowControl/>
        <w:kinsoku/>
        <w:wordWrap/>
        <w:overflowPunct/>
        <w:topLinePunct w:val="0"/>
        <w:autoSpaceDE/>
        <w:autoSpaceDN/>
        <w:bidi w:val="0"/>
        <w:jc w:val="left"/>
        <w:textAlignment w:val="auto"/>
        <w:rPr>
          <w:rFonts w:hint="default" w:ascii="Times New Roman" w:hAnsi="Times New Roman" w:eastAsia="黑体" w:cs="Times New Roman"/>
          <w:sz w:val="32"/>
          <w:szCs w:val="32"/>
        </w:rPr>
      </w:pPr>
    </w:p>
    <w:p w14:paraId="3EADFB74">
      <w:pPr>
        <w:pStyle w:val="4"/>
        <w:pageBreakBefore w:val="0"/>
        <w:numPr>
          <w:ilvl w:val="0"/>
          <w:numId w:val="1"/>
        </w:numPr>
        <w:kinsoku/>
        <w:wordWrap/>
        <w:overflowPunct/>
        <w:topLinePunct w:val="0"/>
        <w:autoSpaceDE/>
        <w:autoSpaceDN/>
        <w:bidi w:val="0"/>
        <w:spacing w:before="0" w:after="0"/>
        <w:textAlignment w:val="auto"/>
        <w:rPr>
          <w:rFonts w:hint="default" w:ascii="Times New Roman" w:hAnsi="Times New Roman" w:eastAsia="黑体" w:cs="Times New Roman"/>
          <w:b w:val="0"/>
        </w:rPr>
      </w:pPr>
      <w:r>
        <w:rPr>
          <w:rFonts w:hint="default" w:ascii="Times New Roman" w:hAnsi="Times New Roman" w:eastAsia="黑体" w:cs="Times New Roman"/>
          <w:b w:val="0"/>
        </w:rPr>
        <w:t>部门职责</w:t>
      </w:r>
    </w:p>
    <w:p w14:paraId="672769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负责州直部门（单位）驻村干部轮换选派及帮扶工作队员管理服务等工作</w:t>
      </w:r>
      <w:r>
        <w:rPr>
          <w:rFonts w:hint="default" w:ascii="Times New Roman" w:hAnsi="Times New Roman" w:eastAsia="仿宋_GB2312" w:cs="Times New Roman"/>
          <w:sz w:val="32"/>
          <w:szCs w:val="32"/>
        </w:rPr>
        <w:t>。</w:t>
      </w:r>
    </w:p>
    <w:p w14:paraId="76F9B1A0">
      <w:pPr>
        <w:pStyle w:val="4"/>
        <w:pageBreakBefore w:val="0"/>
        <w:kinsoku/>
        <w:wordWrap/>
        <w:overflowPunct/>
        <w:topLinePunct w:val="0"/>
        <w:autoSpaceDE/>
        <w:autoSpaceDN/>
        <w:bidi w:val="0"/>
        <w:spacing w:before="0" w:after="0"/>
        <w:textAlignment w:val="auto"/>
        <w:rPr>
          <w:rStyle w:val="30"/>
          <w:rFonts w:hint="default" w:ascii="Times New Roman" w:hAnsi="Times New Roman" w:cs="Times New Roman"/>
          <w:b w:val="0"/>
          <w:bCs w:val="0"/>
        </w:rPr>
      </w:pPr>
      <w:bookmarkStart w:id="14" w:name="_Toc15377200"/>
      <w:bookmarkStart w:id="15" w:name="_Toc15396601"/>
      <w:r>
        <w:rPr>
          <w:rFonts w:hint="default" w:ascii="Times New Roman" w:hAnsi="Times New Roman" w:eastAsia="黑体" w:cs="Times New Roman"/>
          <w:b w:val="0"/>
        </w:rPr>
        <w:t>二、机</w:t>
      </w:r>
      <w:r>
        <w:rPr>
          <w:rStyle w:val="30"/>
          <w:rFonts w:hint="default" w:ascii="Times New Roman" w:hAnsi="Times New Roman" w:eastAsia="黑体" w:cs="Times New Roman"/>
          <w:b w:val="0"/>
          <w:bCs w:val="0"/>
        </w:rPr>
        <w:t>构设置</w:t>
      </w:r>
      <w:bookmarkEnd w:id="14"/>
      <w:bookmarkEnd w:id="15"/>
    </w:p>
    <w:p w14:paraId="6D37E955">
      <w:pPr>
        <w:pStyle w:val="6"/>
        <w:pageBreakBefore w:val="0"/>
        <w:kinsoku/>
        <w:wordWrap/>
        <w:overflowPunct/>
        <w:topLinePunct w:val="0"/>
        <w:autoSpaceDE/>
        <w:autoSpaceDN/>
        <w:bidi w:val="0"/>
        <w:adjustRightInd w:val="0"/>
        <w:snapToGrid w:val="0"/>
        <w:spacing w:beforeLines="0" w:line="600" w:lineRule="exact"/>
        <w:ind w:firstLine="672" w:firstLineChars="21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阿坝州直属机关基层帮扶工作服务中心为州直机关工委下属正科级公益一类事业单位。</w:t>
      </w:r>
    </w:p>
    <w:p w14:paraId="23F2E90D">
      <w:pPr>
        <w:widowControl/>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47F906BE">
      <w:pPr>
        <w:pStyle w:val="3"/>
        <w:jc w:val="center"/>
        <w:rPr>
          <w:rFonts w:hint="default" w:ascii="Times New Roman" w:hAnsi="Times New Roman" w:eastAsia="方正小标宋简体" w:cs="Times New Roman"/>
          <w:b w:val="0"/>
        </w:rPr>
      </w:pPr>
      <w:bookmarkStart w:id="16" w:name="_Toc15396602"/>
      <w:bookmarkStart w:id="17" w:name="_Toc15377204"/>
      <w:r>
        <w:rPr>
          <w:rFonts w:hint="default" w:ascii="Times New Roman" w:hAnsi="Times New Roman" w:eastAsia="方正小标宋简体" w:cs="Times New Roman"/>
          <w:b w:val="0"/>
        </w:rPr>
        <w:t>第二部分  2024年度部门决算情况说明</w:t>
      </w:r>
      <w:bookmarkEnd w:id="16"/>
      <w:bookmarkEnd w:id="17"/>
    </w:p>
    <w:p w14:paraId="5DBF0F6E">
      <w:pPr>
        <w:rPr>
          <w:rFonts w:hint="default" w:ascii="Times New Roman" w:hAnsi="Times New Roman" w:cs="Times New Roman"/>
        </w:rPr>
      </w:pPr>
    </w:p>
    <w:p w14:paraId="044858DC">
      <w:pPr>
        <w:pStyle w:val="28"/>
        <w:spacing w:line="600" w:lineRule="exact"/>
        <w:ind w:firstLine="640"/>
        <w:outlineLvl w:val="1"/>
        <w:rPr>
          <w:rStyle w:val="30"/>
          <w:rFonts w:hint="default" w:ascii="Times New Roman" w:hAnsi="Times New Roman" w:eastAsia="黑体" w:cs="Times New Roman"/>
          <w:b w:val="0"/>
        </w:rPr>
      </w:pPr>
      <w:bookmarkStart w:id="18" w:name="_Toc15396603"/>
      <w:bookmarkStart w:id="19" w:name="_Toc15377205"/>
      <w:r>
        <w:rPr>
          <w:rFonts w:hint="default" w:ascii="Times New Roman" w:hAnsi="Times New Roman" w:eastAsia="黑体" w:cs="Times New Roman"/>
          <w:sz w:val="32"/>
          <w:szCs w:val="32"/>
        </w:rPr>
        <w:t>一、收</w:t>
      </w:r>
      <w:r>
        <w:rPr>
          <w:rStyle w:val="30"/>
          <w:rFonts w:hint="default" w:ascii="Times New Roman" w:hAnsi="Times New Roman" w:eastAsia="黑体" w:cs="Times New Roman"/>
          <w:b w:val="0"/>
        </w:rPr>
        <w:t>入支出决算总体情况说明</w:t>
      </w:r>
      <w:bookmarkEnd w:id="18"/>
      <w:bookmarkEnd w:id="19"/>
    </w:p>
    <w:p w14:paraId="6DC46356">
      <w:pPr>
        <w:pStyle w:val="28"/>
        <w:spacing w:line="600" w:lineRule="exact"/>
        <w:ind w:firstLine="640"/>
        <w:outlineLvl w:val="1"/>
        <w:rPr>
          <w:rFonts w:hint="default" w:ascii="Times New Roman" w:hAnsi="Times New Roman" w:eastAsia="仿宋" w:cs="Times New Roman"/>
          <w:sz w:val="32"/>
          <w:szCs w:val="32"/>
          <w:lang w:eastAsia="zh-CN"/>
        </w:rPr>
      </w:pPr>
      <w:r>
        <w:rPr>
          <w:rFonts w:hint="default" w:ascii="Times New Roman" w:hAnsi="Times New Roman" w:eastAsia="仿宋_GB2312" w:cs="Times New Roman"/>
          <w:sz w:val="32"/>
          <w:szCs w:val="32"/>
        </w:rPr>
        <w:t>2024年度收入、支出总计均为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万元。与2023年度相比，收入、支出总计各增加</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州直帮扶中心为2024年新成立单位</w:t>
      </w:r>
      <w:r>
        <w:rPr>
          <w:rFonts w:hint="default" w:ascii="Times New Roman" w:hAnsi="Times New Roman" w:eastAsia="仿宋_GB2312" w:cs="Times New Roman"/>
          <w:sz w:val="32"/>
          <w:szCs w:val="32"/>
          <w:lang w:eastAsia="zh-CN"/>
        </w:rPr>
        <w:t>。</w:t>
      </w:r>
    </w:p>
    <w:p w14:paraId="3982FB7A">
      <w:pPr>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object>
          <v:shape id="_x0000_i1025" o:spt="75" type="#_x0000_t75" style="height:254.4pt;width:345.8pt;" o:ole="t" filled="f" o:preferrelative="t" stroked="f" coordsize="21600,21600">
            <v:path/>
            <v:fill on="f" focussize="0,0"/>
            <v:stroke on="f"/>
            <v:imagedata r:id="rId12" o:title=""/>
            <o:lock v:ext="edit" aspectratio="t"/>
            <w10:wrap type="none"/>
            <w10:anchorlock/>
          </v:shape>
          <o:OLEObject Type="Embed" ProgID="Excel.Chart.8" ShapeID="_x0000_i1025" DrawAspect="Content" ObjectID="_1468075725" r:id="rId11">
            <o:LockedField>false</o:LockedField>
          </o:OLEObject>
        </w:object>
      </w:r>
    </w:p>
    <w:p w14:paraId="3DF66720">
      <w:pPr>
        <w:spacing w:line="600" w:lineRule="exact"/>
        <w:ind w:firstLine="640" w:firstLineChars="200"/>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（图1：收、支决算总计变动情况图）</w:t>
      </w:r>
    </w:p>
    <w:p w14:paraId="250CA224">
      <w:pPr>
        <w:pStyle w:val="28"/>
        <w:spacing w:line="600" w:lineRule="exact"/>
        <w:ind w:firstLine="640"/>
        <w:outlineLvl w:val="1"/>
        <w:rPr>
          <w:rFonts w:hint="default" w:ascii="Times New Roman" w:hAnsi="Times New Roman" w:eastAsia="黑体" w:cs="Times New Roman"/>
          <w:sz w:val="32"/>
          <w:szCs w:val="32"/>
        </w:rPr>
      </w:pPr>
      <w:bookmarkStart w:id="20" w:name="_Toc15396604"/>
      <w:bookmarkStart w:id="21" w:name="_Toc15377206"/>
      <w:r>
        <w:rPr>
          <w:rFonts w:hint="default" w:ascii="Times New Roman" w:hAnsi="Times New Roman" w:eastAsia="黑体" w:cs="Times New Roman"/>
          <w:sz w:val="32"/>
          <w:szCs w:val="32"/>
        </w:rPr>
        <w:t>二、收入决算情况说明</w:t>
      </w:r>
      <w:bookmarkEnd w:id="20"/>
      <w:bookmarkEnd w:id="21"/>
    </w:p>
    <w:p w14:paraId="1808385C">
      <w:pPr>
        <w:pStyle w:val="28"/>
        <w:spacing w:line="600" w:lineRule="exact"/>
        <w:ind w:firstLine="64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2024年度本年收入合计</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2190E3BA">
      <w:pPr>
        <w:ind w:firstLine="800" w:firstLineChars="25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object>
          <v:shape id="_x0000_i1026" o:spt="75" type="#_x0000_t75" style="height:242.4pt;width:300.35pt;" o:ole="t" filled="f" o:preferrelative="t" stroked="f" coordsize="21600,21600">
            <v:path/>
            <v:fill on="f" focussize="0,0"/>
            <v:stroke on="f"/>
            <v:imagedata r:id="rId14" o:title=""/>
            <o:lock v:ext="edit" aspectratio="t"/>
            <w10:wrap type="none"/>
            <w10:anchorlock/>
          </v:shape>
          <o:OLEObject Type="Embed" ProgID="Excel.Chart.8" ShapeID="_x0000_i1026" DrawAspect="Content" ObjectID="_1468075726" r:id="rId13">
            <o:LockedField>false</o:LockedField>
          </o:OLEObject>
        </w:object>
      </w:r>
    </w:p>
    <w:p w14:paraId="24FA903B">
      <w:pPr>
        <w:ind w:firstLine="1760" w:firstLineChars="550"/>
        <w:rPr>
          <w:rFonts w:hint="default" w:ascii="Times New Roman" w:hAnsi="Times New Roman" w:cs="Times New Roman"/>
        </w:rPr>
      </w:pPr>
      <w:r>
        <w:rPr>
          <w:rFonts w:hint="default" w:ascii="Times New Roman" w:hAnsi="Times New Roman" w:eastAsia="仿宋_GB2312" w:cs="Times New Roman"/>
          <w:sz w:val="32"/>
          <w:szCs w:val="32"/>
        </w:rPr>
        <w:t>（图2：收入决算结构图）</w:t>
      </w:r>
    </w:p>
    <w:p w14:paraId="640B8DCD">
      <w:pPr>
        <w:pStyle w:val="28"/>
        <w:spacing w:line="600" w:lineRule="exact"/>
        <w:ind w:firstLine="640"/>
        <w:outlineLvl w:val="1"/>
        <w:rPr>
          <w:rStyle w:val="30"/>
          <w:rFonts w:hint="default" w:ascii="Times New Roman" w:hAnsi="Times New Roman" w:eastAsia="黑体" w:cs="Times New Roman"/>
          <w:b w:val="0"/>
        </w:rPr>
      </w:pPr>
      <w:bookmarkStart w:id="22" w:name="_Toc15377207"/>
      <w:bookmarkStart w:id="23" w:name="_Toc15396605"/>
      <w:r>
        <w:rPr>
          <w:rFonts w:hint="default" w:ascii="Times New Roman" w:hAnsi="Times New Roman" w:eastAsia="黑体" w:cs="Times New Roman"/>
          <w:sz w:val="32"/>
          <w:szCs w:val="32"/>
        </w:rPr>
        <w:t>三、支</w:t>
      </w:r>
      <w:r>
        <w:rPr>
          <w:rStyle w:val="30"/>
          <w:rFonts w:hint="default" w:ascii="Times New Roman" w:hAnsi="Times New Roman" w:eastAsia="黑体" w:cs="Times New Roman"/>
          <w:b w:val="0"/>
        </w:rPr>
        <w:t>出决算情况说明</w:t>
      </w:r>
      <w:bookmarkEnd w:id="22"/>
      <w:bookmarkEnd w:id="23"/>
    </w:p>
    <w:p w14:paraId="750FDD7A">
      <w:pPr>
        <w:pStyle w:val="28"/>
        <w:spacing w:line="600" w:lineRule="exact"/>
        <w:ind w:firstLine="640"/>
        <w:jc w:val="left"/>
        <w:outlineLvl w:val="1"/>
        <w:rPr>
          <w:rFonts w:hint="default" w:ascii="Times New Roman" w:hAnsi="Times New Roman" w:eastAsia="仿宋_GB2312" w:cs="Times New Roman"/>
          <w:sz w:val="32"/>
          <w:szCs w:val="32"/>
        </w:rPr>
      </w:pPr>
      <w:r>
        <w:rPr>
          <w:rFonts w:hint="default" w:ascii="Times New Roman" w:hAnsi="Times New Roman" w:eastAsia="仿宋" w:cs="Times New Roman"/>
          <w:lang w:eastAsia="zh-CN"/>
        </w:rPr>
        <w:pict>
          <v:shape id="_x0000_s1027" o:spid="_x0000_s1027" o:spt="75" type="#_x0000_t75" style="position:absolute;left:0pt;margin-left:62.6pt;margin-top:121.3pt;height:225.3pt;width:294.8pt;mso-wrap-distance-bottom:0pt;mso-wrap-distance-top:0pt;z-index:251660288;mso-width-relative:page;mso-height-relative:page;" o:ole="t" filled="f" o:preferrelative="t" stroked="f" coordsize="21600,21600">
            <v:path/>
            <v:fill on="f" focussize="0,0"/>
            <v:stroke on="f"/>
            <v:imagedata r:id="rId16" o:title=""/>
            <o:lock v:ext="edit" aspectratio="t"/>
            <w10:wrap type="topAndBottom"/>
          </v:shape>
          <o:OLEObject Type="Embed" ProgID="Excel.Chart.8" ShapeID="_x0000_s1027" DrawAspect="Content" ObjectID="_1468075727" r:id="rId15">
            <o:LockedField>false</o:LockedField>
          </o:OLEObject>
        </w:pict>
      </w:r>
      <w:r>
        <w:rPr>
          <w:rFonts w:hint="default" w:ascii="Times New Roman" w:hAnsi="Times New Roman" w:eastAsia="仿宋_GB2312" w:cs="Times New Roman"/>
          <w:sz w:val="32"/>
          <w:szCs w:val="32"/>
        </w:rPr>
        <w:t>2024年度本年支出合计</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5E0AFA12">
      <w:pPr>
        <w:ind w:firstLine="525" w:firstLineChars="250"/>
        <w:rPr>
          <w:rFonts w:hint="default" w:ascii="Times New Roman" w:hAnsi="Times New Roman" w:eastAsia="仿宋" w:cs="Times New Roman"/>
          <w:lang w:eastAsia="zh-CN"/>
        </w:rPr>
      </w:pPr>
    </w:p>
    <w:p w14:paraId="3116DE7B">
      <w:pPr>
        <w:ind w:firstLine="1760" w:firstLineChars="550"/>
        <w:rPr>
          <w:rFonts w:hint="default" w:ascii="Times New Roman" w:hAnsi="Times New Roman" w:cs="Times New Roman"/>
        </w:rPr>
      </w:pPr>
      <w:r>
        <w:rPr>
          <w:rFonts w:hint="default" w:ascii="Times New Roman" w:hAnsi="Times New Roman" w:eastAsia="仿宋_GB2312" w:cs="Times New Roman"/>
          <w:sz w:val="32"/>
          <w:szCs w:val="32"/>
        </w:rPr>
        <w:t>（图3：支出决算结构图）</w:t>
      </w:r>
    </w:p>
    <w:p w14:paraId="7947F44A">
      <w:pPr>
        <w:spacing w:line="600" w:lineRule="exact"/>
        <w:ind w:firstLine="640" w:firstLineChars="200"/>
        <w:outlineLvl w:val="1"/>
        <w:rPr>
          <w:rStyle w:val="30"/>
          <w:rFonts w:hint="default" w:ascii="Times New Roman" w:hAnsi="Times New Roman" w:eastAsia="黑体" w:cs="Times New Roman"/>
          <w:b w:val="0"/>
        </w:rPr>
      </w:pPr>
      <w:bookmarkStart w:id="24" w:name="_Toc15396606"/>
      <w:bookmarkStart w:id="25" w:name="_Toc15377208"/>
      <w:r>
        <w:rPr>
          <w:rFonts w:hint="default" w:ascii="Times New Roman" w:hAnsi="Times New Roman" w:eastAsia="黑体" w:cs="Times New Roman"/>
          <w:sz w:val="32"/>
          <w:szCs w:val="32"/>
        </w:rPr>
        <w:t>四、财</w:t>
      </w:r>
      <w:r>
        <w:rPr>
          <w:rStyle w:val="30"/>
          <w:rFonts w:hint="default" w:ascii="Times New Roman" w:hAnsi="Times New Roman" w:eastAsia="黑体" w:cs="Times New Roman"/>
          <w:b w:val="0"/>
        </w:rPr>
        <w:t>政拨款收入支出决算总体情况说明</w:t>
      </w:r>
      <w:bookmarkEnd w:id="24"/>
      <w:bookmarkEnd w:id="25"/>
    </w:p>
    <w:p w14:paraId="76967A10">
      <w:pPr>
        <w:spacing w:line="600" w:lineRule="exact"/>
        <w:ind w:firstLine="64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_GB2312" w:cs="Times New Roman"/>
          <w:sz w:val="32"/>
          <w:szCs w:val="32"/>
        </w:rPr>
        <w:t>2024年度财政拨款收入、支出总计均为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万元。与2023年度相比，财政拨款收入总计、支出总计各增加</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州直帮扶中心为2024年新成立单位，州财政局追加人员经费。</w:t>
      </w:r>
    </w:p>
    <w:p w14:paraId="77F77413">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color w:val="auto"/>
          <w:sz w:val="32"/>
          <w:szCs w:val="32"/>
          <w:highlight w:val="none"/>
          <w:lang w:val="en-US" w:eastAsia="zh-CN"/>
        </w:rPr>
        <w:pict>
          <v:shape id="_x0000_s1026" o:spid="_x0000_s1026" o:spt="75" type="#_x0000_t75" style="position:absolute;left:0pt;margin-left:23pt;margin-top:1pt;height:264.6pt;width:345.65pt;mso-wrap-distance-left:9pt;mso-wrap-distance-right:9pt;z-index:-251657216;mso-width-relative:page;mso-height-relative:page;" o:ole="t" filled="f" o:preferrelative="t" stroked="f" coordsize="21600,21600" wrapcoords="21591 -2 0 0 0 21600 21591 21602 8 21602 21599 21600 21599 0 8 -2 21591 -2">
            <v:path/>
            <v:fill on="f" focussize="0,0"/>
            <v:stroke on="f"/>
            <v:imagedata r:id="rId18" o:title=""/>
            <o:lock v:ext="edit" aspectratio="t"/>
            <w10:wrap type="tight"/>
          </v:shape>
          <o:OLEObject Type="Embed" ProgID="Excel.Chart.8" ShapeID="_x0000_s1026" DrawAspect="Content" ObjectID="_1468075728" r:id="rId17">
            <o:LockedField>false</o:LockedField>
          </o:OLEObject>
        </w:pict>
      </w:r>
    </w:p>
    <w:p w14:paraId="60F235EE">
      <w:pPr>
        <w:spacing w:line="600" w:lineRule="exact"/>
        <w:ind w:firstLine="640" w:firstLineChars="200"/>
        <w:rPr>
          <w:rFonts w:hint="default" w:ascii="Times New Roman" w:hAnsi="Times New Roman" w:eastAsia="仿宋_GB2312" w:cs="Times New Roman"/>
          <w:sz w:val="32"/>
          <w:szCs w:val="32"/>
        </w:rPr>
      </w:pPr>
    </w:p>
    <w:p w14:paraId="5BF63DE1">
      <w:pPr>
        <w:spacing w:line="600" w:lineRule="exact"/>
        <w:ind w:firstLine="640" w:firstLineChars="200"/>
        <w:rPr>
          <w:rFonts w:hint="default" w:ascii="Times New Roman" w:hAnsi="Times New Roman" w:eastAsia="仿宋_GB2312" w:cs="Times New Roman"/>
          <w:sz w:val="32"/>
          <w:szCs w:val="32"/>
        </w:rPr>
      </w:pPr>
    </w:p>
    <w:p w14:paraId="3F04A628">
      <w:pPr>
        <w:spacing w:line="600" w:lineRule="exact"/>
        <w:ind w:firstLine="640" w:firstLineChars="200"/>
        <w:rPr>
          <w:rFonts w:hint="default" w:ascii="Times New Roman" w:hAnsi="Times New Roman" w:eastAsia="仿宋_GB2312" w:cs="Times New Roman"/>
          <w:sz w:val="32"/>
          <w:szCs w:val="32"/>
        </w:rPr>
      </w:pPr>
    </w:p>
    <w:p w14:paraId="2DA02FEE">
      <w:pPr>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（图4：财政拨款收、支决算总计变动情况）</w:t>
      </w:r>
    </w:p>
    <w:p w14:paraId="24B2983A">
      <w:pPr>
        <w:spacing w:line="600" w:lineRule="exact"/>
        <w:ind w:firstLine="640" w:firstLineChars="200"/>
        <w:outlineLvl w:val="1"/>
        <w:rPr>
          <w:rStyle w:val="30"/>
          <w:rFonts w:hint="default" w:ascii="Times New Roman" w:hAnsi="Times New Roman" w:eastAsia="黑体" w:cs="Times New Roman"/>
          <w:b w:val="0"/>
        </w:rPr>
      </w:pPr>
      <w:bookmarkStart w:id="26" w:name="_Toc15396607"/>
      <w:bookmarkStart w:id="27" w:name="_Toc15377209"/>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般公共预算财政拨款支出决算情况说明</w:t>
      </w:r>
      <w:bookmarkEnd w:id="26"/>
      <w:bookmarkEnd w:id="27"/>
    </w:p>
    <w:p w14:paraId="3FF2D7C6">
      <w:pPr>
        <w:spacing w:line="600" w:lineRule="exact"/>
        <w:ind w:firstLine="643" w:firstLineChars="200"/>
        <w:outlineLvl w:val="2"/>
        <w:rPr>
          <w:rFonts w:hint="default" w:ascii="Times New Roman" w:hAnsi="Times New Roman" w:eastAsia="楷体_GB2312" w:cs="Times New Roman"/>
          <w:b/>
          <w:sz w:val="32"/>
          <w:szCs w:val="32"/>
        </w:rPr>
      </w:pPr>
      <w:bookmarkStart w:id="28" w:name="_Toc15377210"/>
      <w:r>
        <w:rPr>
          <w:rFonts w:hint="default" w:ascii="Times New Roman" w:hAnsi="Times New Roman" w:eastAsia="楷体_GB2312" w:cs="Times New Roman"/>
          <w:b/>
          <w:sz w:val="32"/>
          <w:szCs w:val="32"/>
        </w:rPr>
        <w:t>（一）一般公共预算财政拨款支出决算总体情况</w:t>
      </w:r>
      <w:bookmarkEnd w:id="28"/>
    </w:p>
    <w:p w14:paraId="0C9BFDEF">
      <w:pPr>
        <w:spacing w:line="60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%。与2023年度相比，一般公共预算财政拨款支出增加</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州直帮扶中心为2024年新成立单位，州财政局追加人员经费。</w:t>
      </w:r>
    </w:p>
    <w:p w14:paraId="44D9239D">
      <w:pPr>
        <w:pStyle w:val="2"/>
        <w:ind w:left="0" w:leftChars="0" w:firstLine="0" w:firstLineChars="0"/>
        <w:rPr>
          <w:rFonts w:hint="default" w:ascii="Times New Roman" w:hAnsi="Times New Roman" w:cs="Times New Roman"/>
        </w:rPr>
      </w:pPr>
      <w:r>
        <w:rPr>
          <w:rFonts w:hint="default" w:ascii="Times New Roman" w:hAnsi="Times New Roman" w:eastAsia="仿宋" w:cs="Times New Roman"/>
          <w:color w:val="auto"/>
          <w:sz w:val="32"/>
          <w:szCs w:val="32"/>
          <w:highlight w:val="none"/>
          <w:lang w:eastAsia="zh-CN"/>
        </w:rPr>
        <w:pict>
          <v:shape id="Object 4" o:spid="_x0000_s1029" o:spt="75" type="#_x0000_t75" style="position:absolute;left:0pt;margin-left:26.75pt;margin-top:-0.75pt;height:211.2pt;width:281.4pt;mso-wrap-distance-bottom:0pt;mso-wrap-distance-top:0pt;z-index:251661312;mso-width-relative:page;mso-height-relative:page;" o:ole="t" filled="f" o:preferrelative="t" stroked="f" coordsize="21600,21600">
            <v:path/>
            <v:fill on="f" focussize="0,0"/>
            <v:stroke on="f"/>
            <v:imagedata r:id="rId20" o:title=""/>
            <o:lock v:ext="edit" aspectratio="t"/>
            <w10:wrap type="topAndBottom"/>
          </v:shape>
          <o:OLEObject Type="Embed" ProgID="Excel.Chart" ShapeID="Object 4" DrawAspect="Content" ObjectID="_1468075729" r:id="rId19">
            <o:LockedField>false</o:LockedField>
          </o:OLEObject>
        </w:pict>
      </w:r>
    </w:p>
    <w:p w14:paraId="39957EC6">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w:t>
      </w:r>
    </w:p>
    <w:p w14:paraId="614AA219">
      <w:pPr>
        <w:spacing w:line="600" w:lineRule="exact"/>
        <w:ind w:firstLine="643" w:firstLineChars="200"/>
        <w:outlineLvl w:val="2"/>
        <w:rPr>
          <w:rFonts w:hint="default" w:ascii="Times New Roman" w:hAnsi="Times New Roman" w:eastAsia="楷体_GB2312" w:cs="Times New Roman"/>
          <w:b/>
          <w:sz w:val="32"/>
          <w:szCs w:val="32"/>
        </w:rPr>
      </w:pPr>
      <w:bookmarkStart w:id="29" w:name="_Toc15377211"/>
      <w:r>
        <w:rPr>
          <w:rFonts w:hint="default" w:ascii="Times New Roman" w:hAnsi="Times New Roman" w:eastAsia="楷体_GB2312" w:cs="Times New Roman"/>
          <w:b/>
          <w:sz w:val="32"/>
          <w:szCs w:val="32"/>
        </w:rPr>
        <w:t>（二）一般公共预算财政拨款支出决算结构情况</w:t>
      </w:r>
      <w:bookmarkEnd w:id="29"/>
    </w:p>
    <w:p w14:paraId="7B0FDF66">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万元，主要用于以下方面：一般公共服务支出</w:t>
      </w:r>
      <w:r>
        <w:rPr>
          <w:rFonts w:hint="default" w:ascii="Times New Roman" w:hAnsi="Times New Roman" w:eastAsia="仿宋_GB2312" w:cs="Times New Roman"/>
          <w:sz w:val="32"/>
          <w:szCs w:val="32"/>
          <w:lang w:val="en-US" w:eastAsia="zh-CN"/>
        </w:rPr>
        <w:t>3.13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68.3</w:t>
      </w:r>
      <w:r>
        <w:rPr>
          <w:rFonts w:hint="default" w:ascii="Times New Roman" w:hAnsi="Times New Roman" w:eastAsia="仿宋_GB2312" w:cs="Times New Roman"/>
          <w:sz w:val="32"/>
          <w:szCs w:val="32"/>
        </w:rPr>
        <w:t>%；教育支出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%；科学技术支出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%；文化旅游体育与传媒支出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0.74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16.2</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0</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0.44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3C7C2083">
      <w:pPr>
        <w:pStyle w:val="2"/>
        <w:rPr>
          <w:rFonts w:hint="default" w:ascii="Times New Roman" w:hAnsi="Times New Roman" w:cs="Times New Roman"/>
          <w:lang w:eastAsia="zh-CN"/>
        </w:rPr>
      </w:pPr>
      <w:r>
        <w:rPr>
          <w:rFonts w:hint="default" w:ascii="Times New Roman" w:hAnsi="Times New Roman" w:eastAsia="仿宋" w:cs="Times New Roman"/>
          <w:b/>
          <w:color w:val="auto"/>
          <w:sz w:val="32"/>
          <w:szCs w:val="32"/>
          <w:highlight w:val="none"/>
          <w:lang w:eastAsia="zh-CN"/>
        </w:rPr>
        <w:pict>
          <v:shape id="_x0000_s1031" o:spid="_x0000_s1031" o:spt="75" type="#_x0000_t75" style="position:absolute;left:0pt;margin-left:30pt;margin-top:6.55pt;height:244.5pt;width:347.9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22" o:title=""/>
            <o:lock v:ext="edit" aspectratio="t"/>
            <w10:wrap type="tight"/>
          </v:shape>
          <o:OLEObject Type="Embed" ProgID="Excel.Chart.8" ShapeID="_x0000_s1031" DrawAspect="Content" ObjectID="_1468075730" r:id="rId21">
            <o:LockedField>false</o:LockedField>
          </o:OLEObject>
        </w:pict>
      </w:r>
    </w:p>
    <w:p w14:paraId="57DC5B22">
      <w:pPr>
        <w:pStyle w:val="2"/>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w:t>
      </w:r>
    </w:p>
    <w:p w14:paraId="1280ED63">
      <w:pPr>
        <w:spacing w:line="600" w:lineRule="exact"/>
        <w:ind w:firstLine="643" w:firstLineChars="200"/>
        <w:outlineLvl w:val="2"/>
        <w:rPr>
          <w:rFonts w:hint="default" w:ascii="Times New Roman" w:hAnsi="Times New Roman" w:eastAsia="楷体_GB2312" w:cs="Times New Roman"/>
          <w:b/>
          <w:sz w:val="32"/>
          <w:szCs w:val="32"/>
        </w:rPr>
      </w:pPr>
      <w:bookmarkStart w:id="30" w:name="_Toc15377212"/>
      <w:r>
        <w:rPr>
          <w:rFonts w:hint="default" w:ascii="Times New Roman" w:hAnsi="Times New Roman" w:eastAsia="楷体_GB2312" w:cs="Times New Roman"/>
          <w:b/>
          <w:sz w:val="32"/>
          <w:szCs w:val="32"/>
        </w:rPr>
        <w:t>（三）一般公共预算财政拨款支出决算具体情况</w:t>
      </w:r>
      <w:bookmarkEnd w:id="30"/>
    </w:p>
    <w:p w14:paraId="34CF6A48">
      <w:pPr>
        <w:spacing w:line="600" w:lineRule="exact"/>
        <w:ind w:firstLine="640"/>
        <w:rPr>
          <w:rFonts w:hint="default" w:ascii="Times New Roman" w:hAnsi="Times New Roman" w:eastAsia="仿宋_GB2312" w:cs="Times New Roman"/>
          <w:sz w:val="32"/>
          <w:szCs w:val="32"/>
        </w:rPr>
      </w:pPr>
      <w:bookmarkStart w:id="31" w:name="_Toc15377213"/>
      <w:bookmarkStart w:id="32" w:name="_Toc15378460"/>
      <w:bookmarkStart w:id="33" w:name="_Toc15377444"/>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_GB2312" w:cs="Times New Roman"/>
          <w:sz w:val="32"/>
          <w:szCs w:val="32"/>
          <w:lang w:val="en-US" w:eastAsia="zh-CN"/>
        </w:rPr>
        <w:t>4.58万元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1"/>
      <w:bookmarkEnd w:id="32"/>
      <w:bookmarkEnd w:id="33"/>
    </w:p>
    <w:p w14:paraId="23C2D21C">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1.一般公共服务</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党委办公厅（室）及相关机构事务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事业运行</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3.13</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735B0D6C">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2.社会保障和就业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机关事业单位基本职业养老保险缴费支出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2E66A170">
      <w:pPr>
        <w:spacing w:line="600" w:lineRule="exact"/>
        <w:ind w:firstLine="640"/>
        <w:rPr>
          <w:rFonts w:hint="default" w:ascii="Times New Roman" w:hAnsi="Times New Roman" w:cs="Times New Roman"/>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机关事业单位基本职业</w:t>
      </w:r>
      <w:r>
        <w:rPr>
          <w:rFonts w:hint="eastAsia" w:eastAsia="仿宋_GB2312" w:cs="Times New Roman"/>
          <w:sz w:val="32"/>
          <w:szCs w:val="32"/>
          <w:lang w:val="en-US" w:eastAsia="zh-CN"/>
        </w:rPr>
        <w:t>年金</w:t>
      </w:r>
      <w:r>
        <w:rPr>
          <w:rFonts w:hint="default" w:ascii="Times New Roman" w:hAnsi="Times New Roman" w:eastAsia="仿宋_GB2312" w:cs="Times New Roman"/>
          <w:sz w:val="32"/>
          <w:szCs w:val="32"/>
          <w:lang w:eastAsia="zh-CN"/>
        </w:rPr>
        <w:t>缴费支出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0.25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161EEF44">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）事业单位医疗（</w:t>
      </w: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eastAsia="zh-CN"/>
        </w:rPr>
        <w:t>支出决算为</w:t>
      </w:r>
      <w:r>
        <w:rPr>
          <w:rFonts w:hint="default" w:ascii="Times New Roman" w:hAnsi="Times New Roman" w:eastAsia="仿宋_GB2312" w:cs="Times New Roman"/>
          <w:sz w:val="32"/>
          <w:szCs w:val="32"/>
          <w:lang w:val="en-US" w:eastAsia="zh-CN"/>
        </w:rPr>
        <w:t>0.06</w:t>
      </w:r>
      <w:r>
        <w:rPr>
          <w:rFonts w:hint="default" w:ascii="Times New Roman" w:hAnsi="Times New Roman" w:eastAsia="仿宋_GB2312" w:cs="Times New Roman"/>
          <w:sz w:val="32"/>
          <w:szCs w:val="32"/>
          <w:lang w:eastAsia="zh-CN"/>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eastAsia="zh-CN"/>
        </w:rPr>
        <w:t>%。</w:t>
      </w:r>
    </w:p>
    <w:p w14:paraId="3B42A874">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行政事业单位医疗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其他行政事业单位医疗支出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eastAsia="zh-CN"/>
        </w:rPr>
        <w:t>支出决算为</w:t>
      </w:r>
      <w:r>
        <w:rPr>
          <w:rFonts w:hint="default" w:ascii="Times New Roman" w:hAnsi="Times New Roman" w:eastAsia="仿宋_GB2312" w:cs="Times New Roman"/>
          <w:sz w:val="32"/>
          <w:szCs w:val="32"/>
          <w:lang w:val="en-US" w:eastAsia="zh-CN"/>
        </w:rPr>
        <w:t>0.22</w:t>
      </w:r>
      <w:r>
        <w:rPr>
          <w:rFonts w:hint="default" w:ascii="Times New Roman" w:hAnsi="Times New Roman" w:eastAsia="仿宋_GB2312" w:cs="Times New Roman"/>
          <w:sz w:val="32"/>
          <w:szCs w:val="32"/>
          <w:lang w:eastAsia="zh-CN"/>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eastAsia="zh-CN"/>
        </w:rPr>
        <w:t>%。</w:t>
      </w:r>
    </w:p>
    <w:p w14:paraId="462B82A4">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6.住房保障支出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221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住房改革支出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住房公积金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eastAsia="zh-CN"/>
        </w:rPr>
        <w:t>支出决算为</w:t>
      </w:r>
      <w:r>
        <w:rPr>
          <w:rFonts w:hint="default" w:ascii="Times New Roman" w:hAnsi="Times New Roman" w:eastAsia="仿宋_GB2312" w:cs="Times New Roman"/>
          <w:sz w:val="32"/>
          <w:szCs w:val="32"/>
          <w:lang w:val="en-US" w:eastAsia="zh-CN"/>
        </w:rPr>
        <w:t>0.44</w:t>
      </w:r>
      <w:r>
        <w:rPr>
          <w:rFonts w:hint="default" w:ascii="Times New Roman" w:hAnsi="Times New Roman" w:eastAsia="仿宋_GB2312" w:cs="Times New Roman"/>
          <w:sz w:val="32"/>
          <w:szCs w:val="32"/>
          <w:lang w:eastAsia="zh-CN"/>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eastAsia="zh-CN"/>
        </w:rPr>
        <w:t>%。</w:t>
      </w:r>
    </w:p>
    <w:p w14:paraId="21C4E6C1">
      <w:pPr>
        <w:tabs>
          <w:tab w:val="right" w:pos="8306"/>
        </w:tabs>
        <w:spacing w:line="600" w:lineRule="exact"/>
        <w:ind w:firstLine="640"/>
        <w:outlineLvl w:val="1"/>
        <w:rPr>
          <w:rStyle w:val="30"/>
          <w:rFonts w:hint="default" w:ascii="Times New Roman" w:hAnsi="Times New Roman" w:cs="Times New Roman"/>
        </w:rPr>
      </w:pPr>
      <w:bookmarkStart w:id="34" w:name="_Toc15377214"/>
      <w:bookmarkStart w:id="35" w:name="_Toc15396608"/>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34"/>
      <w:bookmarkEnd w:id="35"/>
      <w:r>
        <w:rPr>
          <w:rStyle w:val="30"/>
          <w:rFonts w:hint="default" w:ascii="Times New Roman" w:hAnsi="Times New Roman" w:eastAsia="黑体" w:cs="Times New Roman"/>
          <w:b w:val="0"/>
        </w:rPr>
        <w:tab/>
      </w:r>
    </w:p>
    <w:p w14:paraId="75217945">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万元，其中：</w:t>
      </w:r>
    </w:p>
    <w:p w14:paraId="2B270398">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万元，主要包括：</w:t>
      </w:r>
      <w:r>
        <w:rPr>
          <w:rFonts w:hint="default" w:ascii="Times New Roman" w:hAnsi="Times New Roman" w:eastAsia="仿宋" w:cs="Times New Roman"/>
          <w:color w:val="auto"/>
          <w:sz w:val="32"/>
          <w:szCs w:val="32"/>
          <w:highlight w:val="none"/>
        </w:rPr>
        <w:t>基本工资、津贴补贴、奖金、绩效工资、机关事业单位基本养老保险缴费、职业年金缴费、其他社会保障缴费、医疗费补助、住房公积金等。</w:t>
      </w:r>
    </w:p>
    <w:p w14:paraId="37338DBB">
      <w:pPr>
        <w:spacing w:line="600" w:lineRule="exact"/>
        <w:ind w:firstLine="640"/>
        <w:outlineLvl w:val="1"/>
        <w:rPr>
          <w:rStyle w:val="30"/>
          <w:rFonts w:hint="default" w:ascii="Times New Roman" w:hAnsi="Times New Roman" w:eastAsia="黑体" w:cs="Times New Roman"/>
          <w:b w:val="0"/>
        </w:rPr>
      </w:pPr>
      <w:bookmarkStart w:id="36" w:name="_Toc15396609"/>
      <w:bookmarkStart w:id="37" w:name="_Toc15377215"/>
      <w:r>
        <w:rPr>
          <w:rFonts w:hint="default" w:ascii="Times New Roman" w:hAnsi="Times New Roman" w:eastAsia="黑体" w:cs="Times New Roman"/>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36"/>
      <w:bookmarkEnd w:id="37"/>
    </w:p>
    <w:p w14:paraId="50A51EBE">
      <w:pPr>
        <w:spacing w:line="600" w:lineRule="exact"/>
        <w:ind w:firstLine="643" w:firstLineChars="200"/>
        <w:outlineLvl w:val="2"/>
        <w:rPr>
          <w:rFonts w:hint="default" w:ascii="Times New Roman" w:hAnsi="Times New Roman" w:eastAsia="楷体_GB2312" w:cs="Times New Roman"/>
          <w:b/>
          <w:sz w:val="32"/>
          <w:szCs w:val="32"/>
        </w:rPr>
      </w:pPr>
      <w:bookmarkStart w:id="38" w:name="_Toc15377216"/>
      <w:r>
        <w:rPr>
          <w:rFonts w:hint="default" w:ascii="Times New Roman" w:hAnsi="Times New Roman" w:eastAsia="楷体_GB2312" w:cs="Times New Roman"/>
          <w:b/>
          <w:sz w:val="32"/>
          <w:szCs w:val="32"/>
        </w:rPr>
        <w:t>（一）“三公”经费财政拨款支出决算总体情况说明</w:t>
      </w:r>
      <w:bookmarkEnd w:id="38"/>
    </w:p>
    <w:p w14:paraId="218FF84D">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val="en-US" w:eastAsia="zh-CN"/>
        </w:rPr>
        <w:t>州直帮扶中心为2024年新成立单位。</w:t>
      </w:r>
    </w:p>
    <w:p w14:paraId="1E6732AE">
      <w:pPr>
        <w:spacing w:line="600" w:lineRule="exact"/>
        <w:ind w:firstLine="643" w:firstLineChars="200"/>
        <w:outlineLvl w:val="2"/>
        <w:rPr>
          <w:rFonts w:hint="default" w:ascii="Times New Roman" w:hAnsi="Times New Roman" w:eastAsia="楷体_GB2312" w:cs="Times New Roman"/>
          <w:b/>
          <w:sz w:val="32"/>
          <w:szCs w:val="32"/>
        </w:rPr>
      </w:pPr>
      <w:bookmarkStart w:id="39" w:name="_Toc15377217"/>
      <w:r>
        <w:rPr>
          <w:rFonts w:hint="default" w:ascii="Times New Roman" w:hAnsi="Times New Roman" w:eastAsia="楷体_GB2312" w:cs="Times New Roman"/>
          <w:b/>
          <w:sz w:val="32"/>
          <w:szCs w:val="32"/>
        </w:rPr>
        <w:t>（二）“三公”经费财政拨款支出决算具体情况说明</w:t>
      </w:r>
      <w:bookmarkEnd w:id="39"/>
    </w:p>
    <w:p w14:paraId="4286F57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 w:cs="Times New Roman"/>
          <w:color w:val="auto"/>
          <w:sz w:val="32"/>
          <w:szCs w:val="32"/>
          <w:highlight w:val="none"/>
          <w:lang w:val="en-US" w:eastAsia="zh-CN"/>
        </w:rPr>
        <w:t>主要原因为州直帮扶中心为新成立单位，2024年追加了人员经费，未安排日常及专项经费。</w:t>
      </w:r>
    </w:p>
    <w:p w14:paraId="6C5F1CBF">
      <w:pPr>
        <w:spacing w:line="600" w:lineRule="exact"/>
        <w:ind w:firstLine="640"/>
        <w:outlineLvl w:val="1"/>
        <w:rPr>
          <w:rStyle w:val="30"/>
          <w:rFonts w:hint="default" w:ascii="Times New Roman" w:hAnsi="Times New Roman" w:eastAsia="黑体" w:cs="Times New Roman"/>
        </w:rPr>
      </w:pPr>
      <w:bookmarkStart w:id="40" w:name="_Toc15377218"/>
      <w:bookmarkStart w:id="41" w:name="_Toc15396610"/>
      <w:r>
        <w:rPr>
          <w:rFonts w:hint="default" w:ascii="Times New Roman" w:hAnsi="Times New Roman" w:eastAsia="黑体" w:cs="Times New Roman"/>
          <w:sz w:val="32"/>
          <w:szCs w:val="32"/>
        </w:rPr>
        <w:t>八、</w:t>
      </w:r>
      <w:r>
        <w:rPr>
          <w:rStyle w:val="30"/>
          <w:rFonts w:hint="default" w:ascii="Times New Roman" w:hAnsi="Times New Roman" w:eastAsia="黑体" w:cs="Times New Roman"/>
          <w:b w:val="0"/>
        </w:rPr>
        <w:t>政府性基金预算支出决算情况说明</w:t>
      </w:r>
      <w:bookmarkEnd w:id="40"/>
      <w:bookmarkEnd w:id="41"/>
    </w:p>
    <w:p w14:paraId="6F10A237">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%。与2023年度相比，政府性基金预算财政拨款支出</w:t>
      </w:r>
      <w:r>
        <w:rPr>
          <w:rFonts w:hint="default" w:ascii="Times New Roman" w:hAnsi="Times New Roman" w:eastAsia="仿宋_GB2312" w:cs="Times New Roman"/>
          <w:sz w:val="32"/>
          <w:szCs w:val="32"/>
          <w:lang w:eastAsia="zh-CN"/>
        </w:rPr>
        <w:t>无变化</w:t>
      </w:r>
      <w:r>
        <w:rPr>
          <w:rFonts w:hint="default" w:ascii="Times New Roman" w:hAnsi="Times New Roman" w:eastAsia="仿宋_GB2312" w:cs="Times New Roman"/>
          <w:sz w:val="32"/>
          <w:szCs w:val="32"/>
        </w:rPr>
        <w:t>。</w:t>
      </w:r>
    </w:p>
    <w:p w14:paraId="25A99001">
      <w:pPr>
        <w:spacing w:line="600" w:lineRule="exact"/>
        <w:ind w:left="630"/>
        <w:outlineLvl w:val="1"/>
        <w:rPr>
          <w:rStyle w:val="30"/>
          <w:rFonts w:hint="default" w:ascii="Times New Roman" w:hAnsi="Times New Roman" w:eastAsia="黑体" w:cs="Times New Roman"/>
          <w:b w:val="0"/>
        </w:rPr>
      </w:pPr>
      <w:bookmarkStart w:id="42" w:name="_Toc15377219"/>
      <w:bookmarkStart w:id="43" w:name="_Toc15396611"/>
      <w:r>
        <w:rPr>
          <w:rStyle w:val="30"/>
          <w:rFonts w:hint="default" w:ascii="Times New Roman" w:hAnsi="Times New Roman" w:eastAsia="黑体" w:cs="Times New Roman"/>
          <w:b w:val="0"/>
        </w:rPr>
        <w:t>九、国有资本经营预算支出决算情况说明</w:t>
      </w:r>
      <w:bookmarkEnd w:id="42"/>
      <w:bookmarkEnd w:id="43"/>
    </w:p>
    <w:p w14:paraId="687B23EE">
      <w:pPr>
        <w:spacing w:line="600" w:lineRule="exact"/>
        <w:ind w:firstLine="640"/>
        <w:rPr>
          <w:rFonts w:hint="default" w:ascii="Times New Roman" w:hAnsi="Times New Roman" w:cs="Times New Roman"/>
          <w:lang w:eastAsia="zh-CN"/>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%。与2023年度相比，国有资本经营预算财政拨款支出</w:t>
      </w:r>
      <w:r>
        <w:rPr>
          <w:rFonts w:hint="default" w:ascii="Times New Roman" w:hAnsi="Times New Roman" w:eastAsia="仿宋_GB2312" w:cs="Times New Roman"/>
          <w:sz w:val="32"/>
          <w:szCs w:val="32"/>
          <w:lang w:eastAsia="zh-CN"/>
        </w:rPr>
        <w:t>无变化。</w:t>
      </w:r>
    </w:p>
    <w:p w14:paraId="55545E87">
      <w:pPr>
        <w:spacing w:line="600" w:lineRule="exact"/>
        <w:ind w:left="630"/>
        <w:outlineLvl w:val="1"/>
        <w:rPr>
          <w:rStyle w:val="30"/>
          <w:rFonts w:hint="default" w:ascii="Times New Roman" w:hAnsi="Times New Roman" w:eastAsia="黑体" w:cs="Times New Roman"/>
          <w:b w:val="0"/>
        </w:rPr>
      </w:pPr>
      <w:bookmarkStart w:id="44" w:name="_Toc15377221"/>
      <w:bookmarkStart w:id="45" w:name="_Toc15396612"/>
      <w:r>
        <w:rPr>
          <w:rStyle w:val="30"/>
          <w:rFonts w:hint="default" w:ascii="Times New Roman" w:hAnsi="Times New Roman" w:eastAsia="黑体" w:cs="Times New Roman"/>
          <w:b w:val="0"/>
        </w:rPr>
        <w:t>十、其他重要事项的情况说明</w:t>
      </w:r>
      <w:bookmarkEnd w:id="44"/>
      <w:bookmarkEnd w:id="45"/>
    </w:p>
    <w:p w14:paraId="3395C26A">
      <w:pPr>
        <w:spacing w:line="600" w:lineRule="exact"/>
        <w:ind w:firstLine="643" w:firstLineChars="200"/>
        <w:outlineLvl w:val="2"/>
        <w:rPr>
          <w:rFonts w:hint="default" w:ascii="Times New Roman" w:hAnsi="Times New Roman" w:eastAsia="楷体_GB2312" w:cs="Times New Roman"/>
          <w:b/>
          <w:sz w:val="32"/>
          <w:szCs w:val="32"/>
        </w:rPr>
      </w:pPr>
      <w:bookmarkStart w:id="46" w:name="_Toc15377222"/>
      <w:r>
        <w:rPr>
          <w:rFonts w:hint="default" w:ascii="Times New Roman" w:hAnsi="Times New Roman" w:eastAsia="楷体_GB2312" w:cs="Times New Roman"/>
          <w:b/>
          <w:sz w:val="32"/>
          <w:szCs w:val="32"/>
        </w:rPr>
        <w:t>（一）机关运行经费支出情况</w:t>
      </w:r>
      <w:bookmarkEnd w:id="46"/>
    </w:p>
    <w:p w14:paraId="192D72D1">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eastAsia" w:eastAsia="仿宋_GB2312" w:cs="Times New Roman"/>
          <w:sz w:val="32"/>
          <w:szCs w:val="32"/>
          <w:lang w:val="en-US" w:eastAsia="zh-CN"/>
        </w:rPr>
        <w:t>,州直帮扶中心</w:t>
      </w:r>
      <w:r>
        <w:rPr>
          <w:rFonts w:hint="default" w:ascii="Times New Roman" w:hAnsi="Times New Roman" w:eastAsia="仿宋_GB2312" w:cs="Times New Roman"/>
          <w:sz w:val="32"/>
          <w:szCs w:val="32"/>
        </w:rPr>
        <w:t>运行经费支出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万元，与2023年度决算数持平。主要原因是</w:t>
      </w:r>
      <w:r>
        <w:rPr>
          <w:rFonts w:hint="default" w:ascii="Times New Roman" w:hAnsi="Times New Roman" w:eastAsia="仿宋" w:cs="Times New Roman"/>
          <w:color w:val="auto"/>
          <w:sz w:val="32"/>
          <w:szCs w:val="32"/>
          <w:highlight w:val="none"/>
          <w:lang w:val="en-US" w:eastAsia="zh-CN"/>
        </w:rPr>
        <w:t>州直帮扶中心为新成立单位，2024年追加了人员经费，未安排日常运行经费。</w:t>
      </w:r>
    </w:p>
    <w:p w14:paraId="5C454202">
      <w:pPr>
        <w:spacing w:line="600" w:lineRule="exact"/>
        <w:ind w:firstLine="643" w:firstLineChars="200"/>
        <w:outlineLvl w:val="2"/>
        <w:rPr>
          <w:rFonts w:hint="default" w:ascii="Times New Roman" w:hAnsi="Times New Roman" w:eastAsia="楷体_GB2312" w:cs="Times New Roman"/>
          <w:b/>
          <w:sz w:val="32"/>
          <w:szCs w:val="32"/>
        </w:rPr>
      </w:pPr>
      <w:bookmarkStart w:id="47" w:name="_Toc15377223"/>
      <w:r>
        <w:rPr>
          <w:rFonts w:hint="default" w:ascii="Times New Roman" w:hAnsi="Times New Roman" w:eastAsia="楷体_GB2312" w:cs="Times New Roman"/>
          <w:b/>
          <w:sz w:val="32"/>
          <w:szCs w:val="32"/>
        </w:rPr>
        <w:t>（二）政府采购支出情况</w:t>
      </w:r>
      <w:bookmarkEnd w:id="47"/>
    </w:p>
    <w:p w14:paraId="5D0B90C5">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州直帮扶中心</w:t>
      </w:r>
      <w:r>
        <w:rPr>
          <w:rFonts w:hint="default" w:ascii="Times New Roman" w:hAnsi="Times New Roman" w:eastAsia="仿宋_GB2312" w:cs="Times New Roman"/>
          <w:color w:val="auto"/>
          <w:sz w:val="32"/>
          <w:szCs w:val="32"/>
          <w:highlight w:val="none"/>
          <w:lang w:val="en-US" w:eastAsia="zh-CN"/>
        </w:rPr>
        <w:t>未实施</w:t>
      </w:r>
      <w:r>
        <w:rPr>
          <w:rFonts w:hint="default" w:ascii="Times New Roman" w:hAnsi="Times New Roman" w:eastAsia="仿宋_GB2312" w:cs="Times New Roman"/>
          <w:color w:val="auto"/>
          <w:sz w:val="32"/>
          <w:szCs w:val="32"/>
          <w:highlight w:val="none"/>
        </w:rPr>
        <w:t>政府采购</w:t>
      </w:r>
      <w:r>
        <w:rPr>
          <w:rFonts w:hint="default" w:ascii="Times New Roman" w:hAnsi="Times New Roman" w:eastAsia="仿宋_GB2312" w:cs="Times New Roman"/>
          <w:color w:val="auto"/>
          <w:sz w:val="32"/>
          <w:szCs w:val="32"/>
          <w:highlight w:val="none"/>
          <w:lang w:val="en-US" w:eastAsia="zh-CN"/>
        </w:rPr>
        <w:t>项目。</w:t>
      </w:r>
    </w:p>
    <w:p w14:paraId="3FC26F5B">
      <w:pPr>
        <w:spacing w:line="600" w:lineRule="exact"/>
        <w:ind w:firstLine="643" w:firstLineChars="200"/>
        <w:outlineLvl w:val="2"/>
        <w:rPr>
          <w:rFonts w:hint="default" w:ascii="Times New Roman" w:hAnsi="Times New Roman" w:eastAsia="楷体_GB2312" w:cs="Times New Roman"/>
          <w:b/>
          <w:sz w:val="32"/>
          <w:szCs w:val="32"/>
        </w:rPr>
      </w:pPr>
      <w:bookmarkStart w:id="48" w:name="_Toc15377224"/>
      <w:r>
        <w:rPr>
          <w:rFonts w:hint="default" w:ascii="Times New Roman" w:hAnsi="Times New Roman" w:eastAsia="楷体_GB2312" w:cs="Times New Roman"/>
          <w:b/>
          <w:sz w:val="32"/>
          <w:szCs w:val="32"/>
        </w:rPr>
        <w:t>（三）国有资产占有使用情况</w:t>
      </w:r>
      <w:bookmarkEnd w:id="48"/>
    </w:p>
    <w:p w14:paraId="34864848">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 w:cs="Times New Roman"/>
          <w:color w:val="auto"/>
          <w:sz w:val="32"/>
          <w:szCs w:val="32"/>
          <w:highlight w:val="none"/>
          <w:lang w:val="en-US" w:eastAsia="zh-CN"/>
        </w:rPr>
        <w:t>州直帮扶中心没有国有资产。</w:t>
      </w:r>
    </w:p>
    <w:p w14:paraId="3FCE187C">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14:paraId="3B91A71F">
      <w:pPr>
        <w:autoSpaceDE w:val="0"/>
        <w:autoSpaceDN w:val="0"/>
        <w:adjustRightInd w:val="0"/>
        <w:spacing w:line="600" w:lineRule="exact"/>
        <w:ind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2024年5月经州委批准成立阿坝州直属机关基层帮扶工作服务中心，9月中心调入1名工作人员，经与州财政局沟通追加人员经费，项目经费暂从州直机关工委预算中列支，故2024年未开展预算绩效管理。</w:t>
      </w:r>
    </w:p>
    <w:p w14:paraId="5BF40CE8">
      <w:pPr>
        <w:spacing w:line="600" w:lineRule="exact"/>
        <w:ind w:firstLine="640"/>
        <w:rPr>
          <w:rFonts w:hint="default" w:ascii="Times New Roman" w:hAnsi="Times New Roman" w:eastAsia="仿宋_GB2312" w:cs="Times New Roman"/>
          <w:sz w:val="32"/>
          <w:szCs w:val="32"/>
        </w:rPr>
      </w:pPr>
    </w:p>
    <w:p w14:paraId="117FD1F6">
      <w:pPr>
        <w:spacing w:line="600" w:lineRule="exact"/>
        <w:jc w:val="center"/>
        <w:outlineLvl w:val="0"/>
        <w:rPr>
          <w:rFonts w:hint="default" w:ascii="Times New Roman" w:hAnsi="Times New Roman" w:eastAsia="黑体" w:cs="Times New Roman"/>
          <w:sz w:val="44"/>
          <w:szCs w:val="44"/>
        </w:rPr>
      </w:pPr>
      <w:bookmarkStart w:id="49" w:name="_Toc15396613"/>
      <w:bookmarkStart w:id="50" w:name="_Toc15377225"/>
    </w:p>
    <w:p w14:paraId="0E2C26DB">
      <w:pPr>
        <w:spacing w:line="600" w:lineRule="exact"/>
        <w:jc w:val="center"/>
        <w:outlineLvl w:val="0"/>
        <w:rPr>
          <w:rFonts w:hint="default" w:ascii="Times New Roman" w:hAnsi="Times New Roman" w:eastAsia="黑体" w:cs="Times New Roman"/>
          <w:sz w:val="44"/>
          <w:szCs w:val="44"/>
        </w:rPr>
      </w:pPr>
    </w:p>
    <w:p w14:paraId="65D3A00F">
      <w:pPr>
        <w:spacing w:line="600" w:lineRule="exact"/>
        <w:jc w:val="center"/>
        <w:outlineLvl w:val="0"/>
        <w:rPr>
          <w:rFonts w:hint="default" w:ascii="Times New Roman" w:hAnsi="Times New Roman" w:eastAsia="黑体" w:cs="Times New Roman"/>
          <w:sz w:val="44"/>
          <w:szCs w:val="44"/>
        </w:rPr>
      </w:pPr>
    </w:p>
    <w:p w14:paraId="76ADD25E">
      <w:pPr>
        <w:spacing w:line="600" w:lineRule="exact"/>
        <w:jc w:val="center"/>
        <w:outlineLvl w:val="0"/>
        <w:rPr>
          <w:rFonts w:hint="default" w:ascii="Times New Roman" w:hAnsi="Times New Roman" w:eastAsia="黑体" w:cs="Times New Roman"/>
          <w:sz w:val="44"/>
          <w:szCs w:val="44"/>
        </w:rPr>
      </w:pPr>
    </w:p>
    <w:p w14:paraId="7F93EDDD">
      <w:pPr>
        <w:spacing w:line="600" w:lineRule="exact"/>
        <w:jc w:val="center"/>
        <w:outlineLvl w:val="0"/>
        <w:rPr>
          <w:rFonts w:hint="default" w:ascii="Times New Roman" w:hAnsi="Times New Roman" w:eastAsia="黑体" w:cs="Times New Roman"/>
          <w:sz w:val="44"/>
          <w:szCs w:val="44"/>
        </w:rPr>
      </w:pPr>
    </w:p>
    <w:p w14:paraId="0AF01387">
      <w:pPr>
        <w:spacing w:line="600" w:lineRule="exact"/>
        <w:jc w:val="center"/>
        <w:outlineLvl w:val="0"/>
        <w:rPr>
          <w:rFonts w:hint="default" w:ascii="Times New Roman" w:hAnsi="Times New Roman" w:eastAsia="黑体" w:cs="Times New Roman"/>
          <w:sz w:val="44"/>
          <w:szCs w:val="44"/>
        </w:rPr>
      </w:pPr>
    </w:p>
    <w:p w14:paraId="13674268">
      <w:pPr>
        <w:spacing w:line="600" w:lineRule="exact"/>
        <w:jc w:val="center"/>
        <w:outlineLvl w:val="0"/>
        <w:rPr>
          <w:rFonts w:hint="default" w:ascii="Times New Roman" w:hAnsi="Times New Roman" w:eastAsia="黑体" w:cs="Times New Roman"/>
          <w:sz w:val="44"/>
          <w:szCs w:val="44"/>
        </w:rPr>
      </w:pPr>
    </w:p>
    <w:p w14:paraId="6418711F">
      <w:pPr>
        <w:pStyle w:val="2"/>
        <w:rPr>
          <w:rFonts w:hint="default"/>
        </w:rPr>
      </w:pPr>
    </w:p>
    <w:p w14:paraId="4520B434">
      <w:pPr>
        <w:spacing w:line="600" w:lineRule="exact"/>
        <w:jc w:val="center"/>
        <w:outlineLvl w:val="0"/>
        <w:rPr>
          <w:rFonts w:hint="default" w:ascii="Times New Roman" w:hAnsi="Times New Roman" w:eastAsia="黑体" w:cs="Times New Roman"/>
          <w:sz w:val="44"/>
          <w:szCs w:val="44"/>
        </w:rPr>
      </w:pPr>
    </w:p>
    <w:p w14:paraId="4D0EDD53">
      <w:pPr>
        <w:spacing w:line="600" w:lineRule="exact"/>
        <w:jc w:val="center"/>
        <w:outlineLvl w:val="0"/>
        <w:rPr>
          <w:rFonts w:hint="default" w:ascii="Times New Roman" w:hAnsi="Times New Roman" w:eastAsia="黑体" w:cs="Times New Roman"/>
          <w:sz w:val="44"/>
          <w:szCs w:val="44"/>
        </w:rPr>
      </w:pPr>
    </w:p>
    <w:p w14:paraId="457A27B1">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第三部分  名词解释</w:t>
      </w:r>
      <w:bookmarkEnd w:id="49"/>
      <w:bookmarkEnd w:id="50"/>
    </w:p>
    <w:p w14:paraId="2B8ADDF8">
      <w:pPr>
        <w:spacing w:line="600" w:lineRule="exact"/>
        <w:jc w:val="left"/>
        <w:rPr>
          <w:rFonts w:hint="default" w:ascii="Times New Roman" w:hAnsi="Times New Roman" w:cs="Times New Roman"/>
          <w:b/>
          <w:sz w:val="44"/>
          <w:szCs w:val="44"/>
        </w:rPr>
      </w:pPr>
    </w:p>
    <w:p w14:paraId="34F61E3E">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1.财政拨款收入：指单位从同级财政部门取得的财政预算资金。</w:t>
      </w:r>
    </w:p>
    <w:p w14:paraId="4448A320">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2.事业收入：指事业单位开展专业业务活动及辅助活动取得的收入。</w:t>
      </w:r>
    </w:p>
    <w:p w14:paraId="1D0AE0AC">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3.经营收入：指事业单位在专业业务活动及其辅助活动之外开展非独立核算经营活动取得的收入。</w:t>
      </w:r>
    </w:p>
    <w:p w14:paraId="08CCF45C">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4.其他收入：指单位取得的除上述收入以外的各项收入。主要是银行利息收入。</w:t>
      </w:r>
    </w:p>
    <w:p w14:paraId="287BED37">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5.使用非财政拨款结余：指事业单位使用以前年度积累的非财政拨款结余弥补当年收支差额的金额。 </w:t>
      </w:r>
    </w:p>
    <w:p w14:paraId="58AE4664">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6.年初结转和结余：指以前年度尚未完成、结转到本年按有关规定继续使用的资金。 </w:t>
      </w:r>
    </w:p>
    <w:p w14:paraId="5507C5A5">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7.结余分配：指事业单位按照会计制度规定缴纳的所得税、提取的专用结余以及转入非财政拨款结余的金额等。</w:t>
      </w:r>
    </w:p>
    <w:p w14:paraId="23CB3414">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8.年末结转和结余：指单位按有关规定结转到下年或以后年度继续使用的资金。</w:t>
      </w:r>
    </w:p>
    <w:p w14:paraId="4984CCC5">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9.一般公共服务（2013150）：指一般公共服务中的党委办公厅（室）及相关机关机构事务中的事业运行。一般公共服务（2013199）：一般公共服务中的党委办公厅（室）及相关机关机构事务支出。</w:t>
      </w:r>
    </w:p>
    <w:p w14:paraId="27523FA0">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10.社会保障和就业（2080505）：指社会保障和就业支出中的行政事业单位离退休中的机关事业单位基本养老保险缴费支出。</w:t>
      </w:r>
    </w:p>
    <w:p w14:paraId="3DDEDD9E">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11.社会保障和就业（2080506）：指社会保障和就业支出中的行政事业单位离退休中的机关事业单位职业年金缴费支出。</w:t>
      </w:r>
    </w:p>
    <w:p w14:paraId="00DB50A3">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12.医疗卫生与计划生育（2101102）：指医疗卫生与计划生育中的医疗保障中的事业单位医疗。</w:t>
      </w:r>
    </w:p>
    <w:p w14:paraId="42DDC236">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13.住房保障支出（2210201）：指住房保障支出中的住房改革支出中的住房公积金。</w:t>
      </w:r>
    </w:p>
    <w:p w14:paraId="0CB0C802">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14.基本支出：指为保障机构正常运转、完成日常工作任务而发生的人员支出和公用支出。</w:t>
      </w:r>
    </w:p>
    <w:p w14:paraId="6DEB1CFC">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15.项目支出：指在基本支出之外为完成特定行政任务和事业发展目标所发生的支出。</w:t>
      </w:r>
    </w:p>
    <w:p w14:paraId="7E2F0913">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16.经营支出：指事业单位在专业业务活动及其辅助活动之外开展非独立核算经营活动发生的支出。</w:t>
      </w:r>
    </w:p>
    <w:p w14:paraId="57DD981F">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17.“三公”经费：指部门用财政拨款安排的因公出国（境）费、公务用车购置及运行费和公务接待费。其中，因公出国（境）费反映单位公务出国（境）的国际旅费、 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2CF0E39">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18.机关运行经费：为保障行政单位（含参照公务员法管理的事业单位）运行用于购买货物和服务的各项资金，包括办公及印刷费、邮电费、差旅费、会议费、福利费、 日常维修费、专用材料及一般设备购置费、办公用房水电费、办公用房取暖费、办公用房物业管理费、公务用车运行维护费以及其他费用。</w:t>
      </w:r>
    </w:p>
    <w:p w14:paraId="571D3BBE">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19.基本支出：指为保障机构正常运转、完成日常工作任务而发生的人员支出和公用支出。</w:t>
      </w:r>
    </w:p>
    <w:p w14:paraId="71507439">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20.项目支出：指在基本支出之外为完成特定行政任务和事业发展目标所发生的支出。 </w:t>
      </w:r>
    </w:p>
    <w:p w14:paraId="42C8979F">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21.经营支出：指事业单位在专业业务活动及其辅助活动之外开展非独立核算经营活动发生的支出。</w:t>
      </w:r>
    </w:p>
    <w:p w14:paraId="515BC5A3">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0AAF234">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color w:val="auto"/>
          <w:kern w:val="2"/>
          <w:sz w:val="32"/>
          <w:szCs w:val="32"/>
          <w:lang w:val="en-US" w:eastAsia="zh-CN" w:bidi="ar-SA"/>
        </w:rPr>
        <w:sectPr>
          <w:footerReference r:id="rId5" w:type="default"/>
          <w:pgSz w:w="11906" w:h="16838"/>
          <w:pgMar w:top="1440" w:right="1800" w:bottom="1440" w:left="1800" w:header="720" w:footer="720" w:gutter="0"/>
          <w:pgNumType w:start="1"/>
          <w:cols w:space="720" w:num="1"/>
          <w:docGrid w:type="lines" w:linePitch="312" w:charSpace="0"/>
        </w:sectPr>
      </w:pPr>
      <w:r>
        <w:rPr>
          <w:rFonts w:hint="default" w:ascii="Times New Roman" w:hAnsi="Times New Roman" w:eastAsia="仿宋_GB2312" w:cs="Times New Roman"/>
          <w:color w:val="auto"/>
          <w:kern w:val="2"/>
          <w:sz w:val="32"/>
          <w:szCs w:val="32"/>
          <w:lang w:val="en-US" w:eastAsia="zh-CN" w:bidi="ar-SA"/>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r>
        <w:rPr>
          <w:rFonts w:hint="eastAsia" w:eastAsia="仿宋_GB2312" w:cs="Times New Roman"/>
          <w:color w:val="auto"/>
          <w:kern w:val="2"/>
          <w:sz w:val="32"/>
          <w:szCs w:val="32"/>
          <w:lang w:val="en-US" w:eastAsia="zh-CN" w:bidi="ar-SA"/>
        </w:rPr>
        <w:t>费用</w:t>
      </w:r>
      <w:r>
        <w:rPr>
          <w:rFonts w:hint="default" w:ascii="Times New Roman" w:hAnsi="Times New Roman" w:eastAsia="仿宋_GB2312" w:cs="Times New Roman"/>
          <w:color w:val="auto"/>
          <w:kern w:val="2"/>
          <w:sz w:val="32"/>
          <w:szCs w:val="32"/>
          <w:lang w:val="en-US" w:eastAsia="zh-CN" w:bidi="ar-SA"/>
        </w:rPr>
        <w:t>。</w:t>
      </w:r>
    </w:p>
    <w:p w14:paraId="4708EA63">
      <w:pPr>
        <w:ind w:firstLine="2640" w:firstLineChars="600"/>
        <w:jc w:val="both"/>
        <w:rPr>
          <w:rFonts w:hint="default" w:ascii="Times New Roman" w:hAnsi="Times New Roman" w:eastAsia="黑体" w:cs="Times New Roman"/>
          <w:color w:val="FF0000"/>
          <w:sz w:val="32"/>
          <w:szCs w:val="32"/>
        </w:rPr>
      </w:pPr>
      <w:bookmarkStart w:id="51" w:name="_Toc15396614"/>
      <w:bookmarkStart w:id="52" w:name="_Toc15377226"/>
      <w:r>
        <w:rPr>
          <w:rFonts w:hint="eastAsia" w:ascii="方正小标宋简体" w:hAnsi="方正小标宋简体" w:eastAsia="方正小标宋简体" w:cs="方正小标宋简体"/>
          <w:sz w:val="44"/>
          <w:szCs w:val="44"/>
        </w:rPr>
        <w:t>第四部分  附件</w:t>
      </w:r>
      <w:bookmarkEnd w:id="51"/>
    </w:p>
    <w:p w14:paraId="49484883">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p>
    <w:p w14:paraId="2CC136FE">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r>
        <w:rPr>
          <w:rFonts w:hint="default" w:ascii="Times New Roman" w:hAnsi="Times New Roman" w:eastAsia="方正小标宋简体" w:cs="Times New Roman"/>
          <w:bCs/>
          <w:sz w:val="44"/>
          <w:szCs w:val="44"/>
          <w:shd w:val="clear" w:color="auto" w:fill="FFFFFF"/>
          <w:lang w:val="en-US" w:eastAsia="zh-CN"/>
        </w:rPr>
        <w:t>阿坝州直机关基层帮扶工作服务中心</w:t>
      </w:r>
      <w:r>
        <w:rPr>
          <w:rFonts w:hint="default" w:ascii="Times New Roman" w:hAnsi="Times New Roman" w:eastAsia="方正小标宋简体" w:cs="Times New Roman"/>
          <w:bCs/>
          <w:sz w:val="44"/>
          <w:szCs w:val="44"/>
          <w:shd w:val="clear" w:color="auto" w:fill="FFFFFF"/>
        </w:rPr>
        <w:t>预算绩效评价报告</w:t>
      </w:r>
    </w:p>
    <w:p w14:paraId="36B8D8C6">
      <w:pPr>
        <w:pStyle w:val="2"/>
        <w:rPr>
          <w:rFonts w:hint="default" w:ascii="Times New Roman" w:hAnsi="Times New Roman" w:cs="Times New Roman"/>
        </w:rPr>
      </w:pPr>
    </w:p>
    <w:p w14:paraId="22646858">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一、部门（单位）基本情况</w:t>
      </w:r>
    </w:p>
    <w:p w14:paraId="0C32F8F2">
      <w:pPr>
        <w:widowControl/>
        <w:adjustRightInd w:val="0"/>
        <w:snapToGrid w:val="0"/>
        <w:spacing w:line="578" w:lineRule="exact"/>
        <w:ind w:firstLine="643" w:firstLineChars="200"/>
        <w:contextualSpacing/>
        <w:jc w:val="left"/>
        <w:rPr>
          <w:rFonts w:hint="default" w:ascii="Times New Roman" w:hAnsi="Times New Roman" w:cs="Times New Roman"/>
          <w:szCs w:val="32"/>
        </w:rPr>
      </w:pPr>
      <w:r>
        <w:rPr>
          <w:rFonts w:hint="default" w:ascii="Times New Roman" w:hAnsi="Times New Roman" w:eastAsia="楷体_GB2312" w:cs="Times New Roman"/>
          <w:b/>
          <w:sz w:val="32"/>
          <w:szCs w:val="32"/>
          <w:lang w:val="zh-CN"/>
        </w:rPr>
        <w:t>（一）机构组成。</w:t>
      </w:r>
      <w:r>
        <w:rPr>
          <w:rFonts w:hint="default" w:ascii="Times New Roman" w:hAnsi="Times New Roman" w:eastAsia="方正仿宋_GBK" w:cs="Times New Roman"/>
          <w:color w:val="000000"/>
          <w:kern w:val="0"/>
          <w:sz w:val="32"/>
          <w:szCs w:val="32"/>
        </w:rPr>
        <w:t>阿坝州直属机关</w:t>
      </w:r>
      <w:r>
        <w:rPr>
          <w:rFonts w:hint="default" w:ascii="Times New Roman" w:hAnsi="Times New Roman" w:eastAsia="方正仿宋_GBK" w:cs="Times New Roman"/>
          <w:color w:val="000000"/>
          <w:kern w:val="0"/>
          <w:sz w:val="32"/>
          <w:szCs w:val="32"/>
          <w:lang w:val="en-US" w:eastAsia="zh-CN"/>
        </w:rPr>
        <w:t>基层帮扶工作服务中心为州直机关工委所属正科级公益一类事业单位。</w:t>
      </w:r>
    </w:p>
    <w:p w14:paraId="6BC8644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cs="Times New Roman"/>
        </w:rPr>
      </w:pPr>
      <w:r>
        <w:rPr>
          <w:rFonts w:hint="default" w:ascii="Times New Roman" w:hAnsi="Times New Roman" w:eastAsia="楷体_GB2312" w:cs="Times New Roman"/>
          <w:b/>
          <w:sz w:val="32"/>
          <w:szCs w:val="32"/>
          <w:lang w:val="zh-CN"/>
        </w:rPr>
        <w:t>（二）机构职能。</w:t>
      </w:r>
      <w:r>
        <w:rPr>
          <w:rFonts w:hint="default" w:ascii="Times New Roman" w:hAnsi="Times New Roman" w:eastAsia="仿宋_GB2312" w:cs="Times New Roman"/>
          <w:sz w:val="32"/>
          <w:szCs w:val="32"/>
          <w:lang w:val="en-US" w:eastAsia="zh-CN"/>
        </w:rPr>
        <w:t>负责州直部门（单位）驻村干部轮换选派及帮扶工作队员管理服务等工作</w:t>
      </w:r>
      <w:r>
        <w:rPr>
          <w:rFonts w:hint="default" w:ascii="Times New Roman" w:hAnsi="Times New Roman" w:eastAsia="仿宋_GB2312" w:cs="Times New Roman"/>
          <w:sz w:val="32"/>
          <w:szCs w:val="32"/>
        </w:rPr>
        <w:t>。</w:t>
      </w:r>
    </w:p>
    <w:p w14:paraId="7B45D346">
      <w:pPr>
        <w:spacing w:line="600" w:lineRule="exact"/>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shd w:val="clear" w:color="auto" w:fill="FFFFFF"/>
          <w:lang w:val="zh-CN"/>
        </w:rPr>
        <w:t>（三）人员概况。</w:t>
      </w:r>
      <w:r>
        <w:rPr>
          <w:rFonts w:hint="default" w:ascii="Times New Roman" w:hAnsi="Times New Roman" w:eastAsia="仿宋_GB2312" w:cs="Times New Roman"/>
          <w:sz w:val="32"/>
          <w:szCs w:val="32"/>
        </w:rPr>
        <w:t>截至2024年末，</w:t>
      </w:r>
      <w:r>
        <w:rPr>
          <w:rFonts w:hint="default" w:ascii="Times New Roman" w:hAnsi="Times New Roman" w:eastAsia="仿宋_GB2312" w:cs="Times New Roman"/>
          <w:sz w:val="32"/>
          <w:szCs w:val="32"/>
          <w:lang w:val="en-US" w:eastAsia="zh-CN"/>
        </w:rPr>
        <w:t>设有编制5个、年末实有1人。</w:t>
      </w:r>
    </w:p>
    <w:p w14:paraId="735BE42F">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二、部门资金收支情况</w:t>
      </w:r>
    </w:p>
    <w:p w14:paraId="2046317E">
      <w:pPr>
        <w:widowControl/>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val="zh-CN"/>
        </w:rPr>
        <w:t>（一）收入情况。</w:t>
      </w: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rPr>
        <w:t>2024年年初预算</w:t>
      </w:r>
      <w:r>
        <w:rPr>
          <w:rFonts w:hint="default" w:ascii="Times New Roman" w:hAnsi="Times New Roman" w:eastAsia="仿宋_GB2312" w:cs="Times New Roman"/>
          <w:sz w:val="32"/>
          <w:szCs w:val="32"/>
          <w:lang w:val="en-US" w:eastAsia="zh-CN"/>
        </w:rPr>
        <w:t>收入为0万元，</w:t>
      </w:r>
      <w:r>
        <w:rPr>
          <w:rFonts w:hint="default" w:ascii="Times New Roman" w:hAnsi="Times New Roman" w:eastAsia="仿宋_GB2312" w:cs="Times New Roman"/>
          <w:sz w:val="32"/>
          <w:szCs w:val="32"/>
        </w:rPr>
        <w:t>决算报表收入</w:t>
      </w:r>
      <w:r>
        <w:rPr>
          <w:rFonts w:hint="default" w:ascii="Times New Roman" w:hAnsi="Times New Roman" w:eastAsia="仿宋_GB2312" w:cs="Times New Roman"/>
          <w:sz w:val="32"/>
          <w:szCs w:val="32"/>
          <w:lang w:val="en-US" w:eastAsia="zh-CN"/>
        </w:rPr>
        <w:t>4.58万元，主要原因为州直帮扶中心为2024年新成立单位，州财政局追加人员经费</w:t>
      </w:r>
      <w:r>
        <w:rPr>
          <w:rFonts w:hint="default" w:ascii="Times New Roman" w:hAnsi="Times New Roman" w:eastAsia="仿宋_GB2312" w:cs="Times New Roman"/>
          <w:sz w:val="32"/>
          <w:szCs w:val="32"/>
        </w:rPr>
        <w:t>。</w:t>
      </w:r>
    </w:p>
    <w:p w14:paraId="3D79C4AC">
      <w:pPr>
        <w:widowControl/>
        <w:adjustRightInd w:val="0"/>
        <w:snapToGrid w:val="0"/>
        <w:spacing w:line="578" w:lineRule="exact"/>
        <w:ind w:firstLine="643" w:firstLineChars="200"/>
        <w:contextualSpacing/>
        <w:jc w:val="left"/>
        <w:rPr>
          <w:rFonts w:hint="default" w:ascii="Times New Roman" w:hAnsi="Times New Roman" w:cs="Times New Roman"/>
          <w:szCs w:val="32"/>
          <w:lang w:val="zh-CN"/>
        </w:rPr>
      </w:pPr>
      <w:r>
        <w:rPr>
          <w:rFonts w:hint="default" w:ascii="Times New Roman" w:hAnsi="Times New Roman" w:eastAsia="楷体_GB2312" w:cs="Times New Roman"/>
          <w:b/>
          <w:bCs/>
          <w:color w:val="000000"/>
          <w:kern w:val="0"/>
          <w:sz w:val="32"/>
          <w:szCs w:val="32"/>
          <w:shd w:val="clear" w:color="auto" w:fill="FFFFFF"/>
          <w:lang w:val="zh-CN"/>
        </w:rPr>
        <w:t>（二）支出情况。</w:t>
      </w: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rPr>
        <w:t>2024年年初预算支出</w:t>
      </w:r>
      <w:r>
        <w:rPr>
          <w:rFonts w:hint="default" w:ascii="Times New Roman" w:hAnsi="Times New Roman" w:eastAsia="仿宋_GB2312" w:cs="Times New Roman"/>
          <w:sz w:val="32"/>
          <w:szCs w:val="32"/>
          <w:lang w:val="en-US" w:eastAsia="zh-CN"/>
        </w:rPr>
        <w:t>为0万元，</w:t>
      </w:r>
      <w:r>
        <w:rPr>
          <w:rFonts w:hint="default" w:ascii="Times New Roman" w:hAnsi="Times New Roman" w:eastAsia="仿宋_GB2312" w:cs="Times New Roman"/>
          <w:sz w:val="32"/>
          <w:szCs w:val="32"/>
        </w:rPr>
        <w:t>决算报表支出</w:t>
      </w:r>
      <w:r>
        <w:rPr>
          <w:rFonts w:hint="default" w:ascii="Times New Roman" w:hAnsi="Times New Roman" w:eastAsia="仿宋_GB2312" w:cs="Times New Roman"/>
          <w:sz w:val="32"/>
          <w:szCs w:val="32"/>
          <w:lang w:val="en-US" w:eastAsia="zh-CN"/>
        </w:rPr>
        <w:t>4.58万元，主要原因为州直帮扶中心为2024年新成立单位，州财政局追加人员经费</w:t>
      </w:r>
      <w:r>
        <w:rPr>
          <w:rFonts w:hint="default" w:ascii="Times New Roman" w:hAnsi="Times New Roman" w:eastAsia="仿宋_GB2312" w:cs="Times New Roman"/>
          <w:sz w:val="32"/>
          <w:szCs w:val="32"/>
        </w:rPr>
        <w:t>。</w:t>
      </w:r>
    </w:p>
    <w:p w14:paraId="1896E7B9">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000000"/>
          <w:kern w:val="0"/>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（三）结余分配和结转结余情况。</w:t>
      </w: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rPr>
        <w:t>2024年决算报表</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结转结余情况。</w:t>
      </w:r>
    </w:p>
    <w:p w14:paraId="1DEF94B0">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三、部门预算绩效分析</w:t>
      </w:r>
    </w:p>
    <w:p w14:paraId="4E3C8F8B">
      <w:p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（一）部门预算总体绩效分析。</w:t>
      </w:r>
    </w:p>
    <w:p w14:paraId="40DD89F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zh-CN"/>
        </w:rPr>
        <w:t>履职效能。</w:t>
      </w:r>
    </w:p>
    <w:p w14:paraId="638FC718">
      <w:pPr>
        <w:keepNext w:val="0"/>
        <w:keepLines w:val="0"/>
        <w:pageBreakBefore w:val="0"/>
        <w:widowControl w:val="0"/>
        <w:kinsoku/>
        <w:wordWrap/>
        <w:overflowPunct/>
        <w:topLinePunct w:val="0"/>
        <w:autoSpaceDE/>
        <w:autoSpaceDN/>
        <w:bidi w:val="0"/>
        <w:adjustRightInd/>
        <w:snapToGrid/>
        <w:spacing w:line="550" w:lineRule="exact"/>
        <w:ind w:left="0" w:leftChars="0" w:firstLine="643" w:firstLineChars="200"/>
        <w:jc w:val="both"/>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楷体_GBK" w:cs="Times New Roman"/>
          <w:b/>
          <w:bCs w:val="0"/>
          <w:sz w:val="32"/>
          <w:szCs w:val="32"/>
          <w:lang w:val="en-US" w:eastAsia="zh-CN"/>
        </w:rPr>
        <w:t>一是</w:t>
      </w:r>
      <w:r>
        <w:rPr>
          <w:rFonts w:hint="default" w:ascii="Times New Roman" w:hAnsi="Times New Roman" w:eastAsia="方正楷体_GBK" w:cs="Times New Roman"/>
          <w:b/>
          <w:bCs w:val="0"/>
          <w:sz w:val="32"/>
          <w:szCs w:val="32"/>
          <w:lang w:eastAsia="zh-CN"/>
        </w:rPr>
        <w:t>突出供需结合“</w:t>
      </w:r>
      <w:r>
        <w:rPr>
          <w:rFonts w:hint="default" w:ascii="Times New Roman" w:hAnsi="Times New Roman" w:eastAsia="方正楷体_GBK" w:cs="Times New Roman"/>
          <w:b/>
          <w:bCs w:val="0"/>
          <w:sz w:val="32"/>
          <w:szCs w:val="32"/>
          <w:lang w:val="en-US" w:eastAsia="zh-CN"/>
        </w:rPr>
        <w:t>帮”，科学制定帮扶措施。</w:t>
      </w:r>
      <w:r>
        <w:rPr>
          <w:rFonts w:hint="default" w:ascii="Times New Roman" w:hAnsi="Times New Roman" w:eastAsia="方正仿宋_GBK" w:cs="Times New Roman"/>
          <w:color w:val="000000"/>
          <w:kern w:val="0"/>
          <w:sz w:val="32"/>
          <w:szCs w:val="32"/>
          <w:lang w:val="en-US" w:eastAsia="zh-CN"/>
        </w:rPr>
        <w:t>围绕定点帮扶和托底性帮扶目标任务，建立受扶乡镇、村（社区）和州级帮扶部门（单位）双向对接和“牵头部门抓总包乡镇、责任部门分级负责包村（社区）”工作机制。落实130个州级部门（单位）定点帮扶55个村职责，督促指导州级定点帮扶部门（单位）先后深入定点帮扶联系村开展调研100余次，结合联系村资源禀赋和乡村振兴发展基础，因地制宜制定帮扶计划55个。建立65个州级牵头部门，109个州级责任部门包联8个县65个托底性帮扶乡镇和109个特别困难村（社区）联系帮扶机制，收集掌握8个县（市）65个托底性帮扶乡镇需求清单856项，精准把握帮扶乡镇需求关口，同步督促指导65个州级托底性帮扶部门牵头抓总，组织州、县两级责任部门通过实地走访调研，采取召开座谈会、会商会等形式，逐个深入分析发展短板弱项，并对照受扶联系乡镇需求清单、结合工作实际、发挥行业优势，围绕“产业发展、基础设施、民生改善、平安和谐、基层党建”5项重点任务，制定细化帮扶措施889项，逐项明确实施进度和责任主体，切实做到真帮实扶。</w:t>
      </w:r>
    </w:p>
    <w:p w14:paraId="203C7A8F">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val="0"/>
          <w:sz w:val="32"/>
          <w:szCs w:val="32"/>
          <w:lang w:val="en-US" w:eastAsia="zh-CN"/>
        </w:rPr>
        <w:t>二是</w:t>
      </w:r>
      <w:r>
        <w:rPr>
          <w:rFonts w:hint="default" w:ascii="Times New Roman" w:hAnsi="Times New Roman" w:eastAsia="方正楷体_GBK" w:cs="Times New Roman"/>
          <w:b/>
          <w:bCs w:val="0"/>
          <w:sz w:val="32"/>
          <w:szCs w:val="32"/>
          <w:lang w:eastAsia="zh-CN"/>
        </w:rPr>
        <w:t>突出精准科学“选”，配强驻村工作力量。</w:t>
      </w:r>
      <w:r>
        <w:rPr>
          <w:rFonts w:hint="default" w:ascii="Times New Roman" w:hAnsi="Times New Roman" w:eastAsia="仿宋_GB2312" w:cs="Times New Roman"/>
          <w:sz w:val="32"/>
          <w:szCs w:val="32"/>
          <w:lang w:val="en-US" w:eastAsia="zh-CN"/>
        </w:rPr>
        <w:t>严格落实“四个不摘”工作要求，按照“大稳定、小调整”“补短板、扶弱村”和“应派尽派”原则，聚焦已脱贫村、托底性帮扶特别困难村、乡村振兴任务重的村、集体经济薄弱村和党组织软弱涣散村等重点，组织州、县力量，在深入摸排，反复研判的基础上，通过“新增派一批+轮换一批+调整一批”方式，采取“个人自荐+组织推荐+集中审核”，先后2批次，优化调整选派政治素质好、工作能力强、敢于担当的驻村干部134名，其中新增派66人，调整50人，轮换18人，州级选派驻村干部由2023年的204名，增长到269名，增长31.86%，其中已脱贫村166名，</w:t>
      </w:r>
      <w:r>
        <w:rPr>
          <w:rFonts w:hint="eastAsia" w:eastAsia="仿宋_GB2312" w:cs="Times New Roman"/>
          <w:sz w:val="32"/>
          <w:szCs w:val="32"/>
          <w:lang w:val="en-US" w:eastAsia="zh-CN"/>
        </w:rPr>
        <w:t>托底</w:t>
      </w:r>
      <w:r>
        <w:rPr>
          <w:rFonts w:hint="default" w:ascii="Times New Roman" w:hAnsi="Times New Roman" w:eastAsia="仿宋_GB2312" w:cs="Times New Roman"/>
          <w:sz w:val="32"/>
          <w:szCs w:val="32"/>
          <w:lang w:val="en-US" w:eastAsia="zh-CN"/>
        </w:rPr>
        <w:t>性帮扶特别困难村105名，第一书记109名，驻村干部160名，中共党员171人，占比63.57%，平均年龄38.83岁，大学本科及以上学历占比69.89%。不断推动帮扶力量向急难险重任务村倾斜下沉，持续夯实基层工作基础。同时，按照“退一补一”原则，明确驻村第一书记和工作队调整轮换资格条件、调整范围和调整方式，及时将工作不胜任不尽职、工作调动或健康原因不能继续正常履职、家庭有特殊困难的驻村干部，按程序调整轮换。2024年来，调整轮换州级驻村第一书记和工作队员11人。</w:t>
      </w:r>
    </w:p>
    <w:p w14:paraId="5C88967D">
      <w:pPr>
        <w:keepNext w:val="0"/>
        <w:keepLines w:val="0"/>
        <w:pageBreakBefore w:val="0"/>
        <w:widowControl w:val="0"/>
        <w:suppressLineNumbers w:val="0"/>
        <w:kinsoku/>
        <w:wordWrap/>
        <w:overflowPunct/>
        <w:topLinePunct w:val="0"/>
        <w:autoSpaceDE/>
        <w:autoSpaceDN/>
        <w:bidi w:val="0"/>
        <w:adjustRightInd/>
        <w:snapToGrid/>
        <w:spacing w:line="550" w:lineRule="exac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val="0"/>
          <w:sz w:val="32"/>
          <w:szCs w:val="32"/>
          <w:lang w:val="en-US" w:eastAsia="zh-CN"/>
        </w:rPr>
        <w:t>三是</w:t>
      </w:r>
      <w:r>
        <w:rPr>
          <w:rFonts w:hint="default" w:ascii="Times New Roman" w:hAnsi="Times New Roman" w:eastAsia="方正楷体_GBK" w:cs="Times New Roman"/>
          <w:b/>
          <w:bCs w:val="0"/>
          <w:sz w:val="32"/>
          <w:szCs w:val="32"/>
          <w:lang w:eastAsia="zh-CN"/>
        </w:rPr>
        <w:t>突出综合培养“育”，全面提升履职能力。</w:t>
      </w:r>
      <w:r>
        <w:rPr>
          <w:rFonts w:hint="default" w:ascii="Times New Roman" w:hAnsi="Times New Roman" w:eastAsia="仿宋_GB2312" w:cs="Times New Roman"/>
          <w:sz w:val="32"/>
          <w:szCs w:val="32"/>
          <w:lang w:val="en-US" w:eastAsia="zh-CN"/>
        </w:rPr>
        <w:t>立足驻村第一书记和工作队员提能强质，重点围绕学习习近平新时代中国特色社会主义思想、</w:t>
      </w:r>
      <w:r>
        <w:rPr>
          <w:rFonts w:hint="eastAsia" w:eastAsia="仿宋_GB2312" w:cs="Times New Roman"/>
          <w:sz w:val="32"/>
          <w:szCs w:val="32"/>
          <w:lang w:val="en-US" w:eastAsia="zh-CN"/>
        </w:rPr>
        <w:t>巩固拓展脱贫攻坚成果同乡村振兴有效衔接</w:t>
      </w:r>
      <w:r>
        <w:rPr>
          <w:rFonts w:hint="default" w:ascii="Times New Roman" w:hAnsi="Times New Roman" w:eastAsia="仿宋_GB2312" w:cs="Times New Roman"/>
          <w:sz w:val="32"/>
          <w:szCs w:val="32"/>
          <w:lang w:val="en-US" w:eastAsia="zh-CN"/>
        </w:rPr>
        <w:t>、防止返贫动态监测帮扶机制、驻村工作队管理、户情台账建立以及兜底保障、农村住房改造、医疗保障和如何发挥帮扶作用、做好驻村工作等内容，坚持州、县联动，采取分层次、分类别、分专题等方式，先后举办州级示范培训1期，县级兜底培训20余期，确保269名州级选派驻村第一书记和工作队员专题培训全覆盖，并同步建立培训效果即时测试机制，对不合格的驻村干部重新培训、重新测试，确保帮扶政策措施全面吃透、应知应会知识烂熟于心。建立“线上+线下”学习充电机制，充分运用“学习强国”、“指尖微党建”、驻村干部微信工作交流群的便捷优势，常态化推送中央、省、州乡村振兴重要会议、文件、讲话精神和兄弟市州驻村帮扶典型经验做法30余条，积极组织学习借鉴，营造重视学习、崇尚学习、坚持学习的浓厚氛围。以全州驻村帮扶工作推进会为契机，邀请农业农村、财政等行业部门业务骨干进行集中政策解读，让驻村干部时不时“回炉”淬淬火、补补课，进一步强化驻村履职担当意识，持续提升驻村履职能力。</w:t>
      </w:r>
    </w:p>
    <w:p w14:paraId="4A19A131">
      <w:p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val="0"/>
          <w:sz w:val="32"/>
          <w:szCs w:val="32"/>
          <w:lang w:val="en-US" w:eastAsia="zh-CN"/>
        </w:rPr>
        <w:t>四是突出严字当头“管”，推动工作形成合力。</w:t>
      </w:r>
      <w:r>
        <w:rPr>
          <w:rFonts w:hint="default" w:ascii="Times New Roman" w:hAnsi="Times New Roman" w:eastAsia="仿宋_GB2312" w:cs="Times New Roman"/>
          <w:sz w:val="32"/>
          <w:szCs w:val="32"/>
          <w:lang w:val="en-US" w:eastAsia="zh-CN"/>
        </w:rPr>
        <w:t>按照“季度调度、半年小结、年度总结评估”工作机制，全面掌握州级部门（单位）托底性帮扶工作推进情况，协调解决困难问题，提升帮扶实效。将定点帮扶、托底性帮扶和驻村帮扶工作纳入全州</w:t>
      </w:r>
      <w:r>
        <w:rPr>
          <w:rFonts w:hint="eastAsia" w:eastAsia="仿宋_GB2312" w:cs="Times New Roman"/>
          <w:sz w:val="32"/>
          <w:szCs w:val="32"/>
          <w:lang w:val="en-US" w:eastAsia="zh-CN"/>
        </w:rPr>
        <w:t>巩固拓展脱贫攻坚成果同乡村振兴</w:t>
      </w:r>
      <w:r>
        <w:rPr>
          <w:rFonts w:hint="default" w:ascii="Times New Roman" w:hAnsi="Times New Roman" w:eastAsia="仿宋_GB2312" w:cs="Times New Roman"/>
          <w:sz w:val="32"/>
          <w:szCs w:val="32"/>
          <w:lang w:val="en-US" w:eastAsia="zh-CN"/>
        </w:rPr>
        <w:t>有效衔接考核评价和乡村振兴战略实绩考核，作为党组织书记抓基层党建工作述职评议内容，与年度绩效目标考核挂钩。今年以来，按照《机关党建“四分”工作机制》，成立4个工作调研督导组，深入92个州直部门（单位），采取看、听、查、谈等方式，调研督促指导州直部门（单位）定点帮扶、驻村干部跟踪管理工作，发现问题10个，督促限期整改10个，先后督促州级帮扶部门（单位）对标定点帮扶考核指标，开展自评自查2轮。同时，采取“四不两直”方式，由常务副书记和分管领导带队先后深入红原、阿坝、若尔盖、松潘、九寨沟、金川、马尔康7县20个乡镇</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实地调研察看驻村干部在岗履职、后勤保障落实等情况，现场反馈工作日志记录不规范、不详细，乡镇执行日常管理制度较为宽松，请销假制度执行不到位、考勤表和工作日志对应不一致、应知应会政策不熟悉5个方面问题，并与县（市）组织部部门、乡镇党委政府围绕管好、用好、充分发挥好驻村干部作用进行了座谈交流，进一步形成工作合力。</w:t>
      </w:r>
    </w:p>
    <w:p w14:paraId="23610EBA">
      <w:pPr>
        <w:numPr>
          <w:ilvl w:val="0"/>
          <w:numId w:val="0"/>
        </w:num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预算管理。</w:t>
      </w:r>
    </w:p>
    <w:p w14:paraId="1FFE0493">
      <w:pPr>
        <w:numPr>
          <w:ilvl w:val="0"/>
          <w:numId w:val="0"/>
        </w:num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根据预算报表和决算报表，本单位财政拨款年初预算数为0万元，财政拨款预算执行数为4.58万元，主要原因为州直帮扶中心为2024年新成立单位，9月州财政局追加人员经费，未配置资产及开展政府采购</w:t>
      </w:r>
      <w:r>
        <w:rPr>
          <w:rFonts w:hint="default" w:ascii="Times New Roman" w:hAnsi="Times New Roman" w:eastAsia="仿宋_GB2312" w:cs="Times New Roman"/>
          <w:sz w:val="32"/>
          <w:szCs w:val="32"/>
        </w:rPr>
        <w:t>。</w:t>
      </w:r>
    </w:p>
    <w:p w14:paraId="535C48A3">
      <w:p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zh-CN"/>
        </w:rPr>
        <w:t>财务管理。</w:t>
      </w:r>
      <w:r>
        <w:rPr>
          <w:rFonts w:hint="default" w:ascii="Times New Roman" w:hAnsi="Times New Roman" w:eastAsia="仿宋_GB2312" w:cs="Times New Roman"/>
          <w:sz w:val="32"/>
          <w:szCs w:val="32"/>
          <w:lang w:val="en-US" w:eastAsia="zh-CN"/>
        </w:rPr>
        <w:t>本单位严格执行主管部门州直机关工委《财务管理办法》《政府采购管理办法》等财务管理制度</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设置了财务工作岗位，明确职责权限，并严格执行不相容岗位相分离，岗位职责清晰，各岗位有序开展工作。</w:t>
      </w:r>
    </w:p>
    <w:p w14:paraId="3D050D08">
      <w:p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zh-CN"/>
        </w:rPr>
        <w:t>资产管理。</w:t>
      </w:r>
      <w:r>
        <w:rPr>
          <w:rFonts w:hint="default" w:ascii="Times New Roman" w:hAnsi="Times New Roman" w:eastAsia="仿宋_GB2312" w:cs="Times New Roman"/>
          <w:sz w:val="32"/>
          <w:szCs w:val="32"/>
          <w:lang w:val="en-US" w:eastAsia="zh-CN"/>
        </w:rPr>
        <w:t>本单位为2024年新成立单位，暂未配置资产</w:t>
      </w:r>
      <w:r>
        <w:rPr>
          <w:rFonts w:hint="default" w:ascii="Times New Roman" w:hAnsi="Times New Roman" w:eastAsia="仿宋_GB2312" w:cs="Times New Roman"/>
          <w:sz w:val="32"/>
          <w:szCs w:val="32"/>
          <w:lang w:val="zh-CN"/>
        </w:rPr>
        <w:t>。</w:t>
      </w:r>
    </w:p>
    <w:p w14:paraId="055DE8C2">
      <w:p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zh-CN"/>
        </w:rPr>
        <w:t>采购管理。</w:t>
      </w:r>
      <w:r>
        <w:rPr>
          <w:rFonts w:hint="default" w:ascii="Times New Roman" w:hAnsi="Times New Roman" w:eastAsia="仿宋_GB2312" w:cs="Times New Roman"/>
          <w:sz w:val="32"/>
          <w:szCs w:val="32"/>
          <w:lang w:val="en-US" w:eastAsia="zh-CN"/>
        </w:rPr>
        <w:t>本单位为2024年新成立单位，暂未编制政府采购预算</w:t>
      </w:r>
      <w:r>
        <w:rPr>
          <w:rFonts w:hint="default" w:ascii="Times New Roman" w:hAnsi="Times New Roman" w:eastAsia="仿宋_GB2312" w:cs="Times New Roman"/>
          <w:sz w:val="32"/>
          <w:szCs w:val="32"/>
          <w:lang w:val="zh-CN"/>
        </w:rPr>
        <w:t>。</w:t>
      </w:r>
    </w:p>
    <w:p w14:paraId="7965C31D">
      <w:pPr>
        <w:snapToGrid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（二）部门预算项目绩效分析。</w:t>
      </w:r>
    </w:p>
    <w:p w14:paraId="1AC03455">
      <w:pPr>
        <w:snapToGrid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 w:val="32"/>
          <w:szCs w:val="32"/>
          <w:shd w:val="clear" w:color="auto" w:fill="FFFFFF"/>
          <w:lang w:val="en-US" w:eastAsia="zh-CN"/>
        </w:rPr>
        <w:t xml:space="preserve"> </w:t>
      </w:r>
      <w:r>
        <w:rPr>
          <w:rFonts w:hint="default" w:ascii="Times New Roman" w:hAnsi="Times New Roman" w:eastAsia="仿宋_GB2312" w:cs="Times New Roman"/>
          <w:sz w:val="32"/>
          <w:szCs w:val="32"/>
          <w:lang w:val="en-US" w:eastAsia="zh-CN"/>
        </w:rPr>
        <w:t>本单位为2024年新成立单位，追加人员经费预算，增加该类常年项目2个，涉及预算总金额4.58万元，1-12月预算执行总体进度为100%。</w:t>
      </w:r>
    </w:p>
    <w:p w14:paraId="177F5253">
      <w:pPr>
        <w:snapToGrid w:val="0"/>
        <w:spacing w:line="600" w:lineRule="exact"/>
        <w:ind w:firstLine="643" w:firstLineChars="200"/>
        <w:rPr>
          <w:rFonts w:hint="default" w:ascii="Times New Roman" w:hAnsi="Times New Roman" w:eastAsia="仿宋_GB2312" w:cs="Times New Roman"/>
          <w:sz w:val="32"/>
          <w:szCs w:val="32"/>
          <w:lang w:bidi="ar"/>
        </w:rPr>
      </w:pP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shd w:val="clear" w:color="auto" w:fill="FFFFFF"/>
        </w:rPr>
        <w:t>三</w:t>
      </w:r>
      <w:r>
        <w:rPr>
          <w:rFonts w:hint="default" w:ascii="Times New Roman" w:hAnsi="Times New Roman" w:eastAsia="楷体_GB2312" w:cs="Times New Roman"/>
          <w:b/>
          <w:bCs/>
          <w:color w:val="000000"/>
          <w:kern w:val="0"/>
          <w:sz w:val="32"/>
          <w:szCs w:val="32"/>
          <w:shd w:val="clear" w:color="auto" w:fill="FFFFFF"/>
          <w:lang w:val="zh-CN"/>
        </w:rPr>
        <w:t>）绩效结果应用情况。</w:t>
      </w:r>
      <w:r>
        <w:rPr>
          <w:rFonts w:hint="default" w:ascii="Times New Roman" w:hAnsi="Times New Roman" w:eastAsia="仿宋_GB2312" w:cs="Times New Roman"/>
          <w:sz w:val="32"/>
          <w:szCs w:val="32"/>
          <w:lang w:val="en-US" w:eastAsia="zh-CN" w:bidi="ar"/>
        </w:rPr>
        <w:t>保障本</w:t>
      </w:r>
      <w:r>
        <w:rPr>
          <w:rFonts w:hint="eastAsia" w:eastAsia="仿宋_GB2312" w:cs="Times New Roman"/>
          <w:sz w:val="32"/>
          <w:szCs w:val="32"/>
          <w:lang w:val="en-US" w:eastAsia="zh-CN" w:bidi="ar"/>
        </w:rPr>
        <w:t>单位</w:t>
      </w:r>
      <w:r>
        <w:rPr>
          <w:rFonts w:hint="default" w:ascii="Times New Roman" w:hAnsi="Times New Roman" w:eastAsia="仿宋_GB2312" w:cs="Times New Roman"/>
          <w:sz w:val="32"/>
          <w:szCs w:val="32"/>
          <w:lang w:val="en-US" w:eastAsia="zh-CN" w:bidi="ar"/>
        </w:rPr>
        <w:t>日常工作有序开展</w:t>
      </w:r>
      <w:r>
        <w:rPr>
          <w:rFonts w:hint="default" w:ascii="Times New Roman" w:hAnsi="Times New Roman" w:eastAsia="仿宋_GB2312" w:cs="Times New Roman"/>
          <w:sz w:val="32"/>
          <w:szCs w:val="32"/>
          <w:lang w:val="zh-CN" w:bidi="ar"/>
        </w:rPr>
        <w:t>。</w:t>
      </w:r>
    </w:p>
    <w:p w14:paraId="129A78BC">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四、评价结论及建议</w:t>
      </w:r>
    </w:p>
    <w:p w14:paraId="724B388E">
      <w:pPr>
        <w:widowControl/>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（一）评价结论。</w:t>
      </w:r>
    </w:p>
    <w:p w14:paraId="22915E34">
      <w:pPr>
        <w:widowControl/>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t xml:space="preserve"> 本单位为2024年新成立单位，与州财政局沟通追加了人员经费，未追加项目预算。资金发放</w:t>
      </w:r>
      <w:r>
        <w:rPr>
          <w:rFonts w:hint="default" w:ascii="Times New Roman" w:hAnsi="Times New Roman" w:eastAsia="仿宋_GB2312" w:cs="Times New Roman"/>
          <w:sz w:val="32"/>
          <w:szCs w:val="32"/>
          <w:lang w:val="zh-CN" w:eastAsia="zh-CN" w:bidi="ar"/>
        </w:rPr>
        <w:t>严格执行相关政策，保障工资及时、足额发放或社保及时、足额缴纳，预算编制科学合理，减少结余资金，</w:t>
      </w:r>
      <w:r>
        <w:rPr>
          <w:rFonts w:hint="default" w:ascii="Times New Roman" w:hAnsi="Times New Roman" w:eastAsia="仿宋_GB2312" w:cs="Times New Roman"/>
          <w:sz w:val="32"/>
          <w:szCs w:val="32"/>
          <w:lang w:val="en-US" w:eastAsia="zh-CN" w:bidi="ar"/>
        </w:rPr>
        <w:t>履职效果和预算管理效果较好</w:t>
      </w:r>
      <w:r>
        <w:rPr>
          <w:rFonts w:hint="default" w:ascii="Times New Roman" w:hAnsi="Times New Roman" w:eastAsia="仿宋_GB2312" w:cs="Times New Roman"/>
          <w:sz w:val="32"/>
          <w:szCs w:val="32"/>
          <w:lang w:val="zh-CN" w:eastAsia="zh-CN" w:bidi="ar"/>
        </w:rPr>
        <w:t>。</w:t>
      </w:r>
    </w:p>
    <w:p w14:paraId="706376CF">
      <w:pPr>
        <w:widowControl/>
        <w:numPr>
          <w:ilvl w:val="0"/>
          <w:numId w:val="0"/>
        </w:num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en-US" w:eastAsia="zh-CN" w:bidi="ar"/>
        </w:rPr>
      </w:pP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shd w:val="clear" w:color="auto" w:fill="FFFFFF"/>
          <w:lang w:val="en-US" w:eastAsia="zh-CN"/>
        </w:rPr>
        <w:t>二</w:t>
      </w:r>
      <w:r>
        <w:rPr>
          <w:rFonts w:hint="default" w:ascii="Times New Roman" w:hAnsi="Times New Roman" w:eastAsia="楷体_GB2312" w:cs="Times New Roman"/>
          <w:b/>
          <w:bCs/>
          <w:color w:val="000000"/>
          <w:kern w:val="0"/>
          <w:sz w:val="32"/>
          <w:szCs w:val="32"/>
          <w:shd w:val="clear" w:color="auto" w:fill="FFFFFF"/>
          <w:lang w:val="zh-CN"/>
        </w:rPr>
        <w:t>）存在问题。</w:t>
      </w:r>
    </w:p>
    <w:p w14:paraId="154EF9C8">
      <w:pPr>
        <w:widowControl/>
        <w:numPr>
          <w:ilvl w:val="0"/>
          <w:numId w:val="0"/>
        </w:numPr>
        <w:adjustRightInd w:val="0"/>
        <w:snapToGrid w:val="0"/>
        <w:spacing w:line="578" w:lineRule="exact"/>
        <w:ind w:firstLine="960" w:firstLineChars="300"/>
        <w:contextualSpacing/>
        <w:jc w:val="left"/>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t>无</w:t>
      </w:r>
    </w:p>
    <w:p w14:paraId="595F567F">
      <w:pPr>
        <w:widowControl/>
        <w:numPr>
          <w:ilvl w:val="0"/>
          <w:numId w:val="2"/>
        </w:numPr>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改进建议。</w:t>
      </w:r>
      <w:bookmarkStart w:id="53" w:name="_Hlk110546638"/>
    </w:p>
    <w:p w14:paraId="283E2A30">
      <w:pPr>
        <w:widowControl/>
        <w:numPr>
          <w:ilvl w:val="0"/>
          <w:numId w:val="0"/>
        </w:numPr>
        <w:adjustRightInd w:val="0"/>
        <w:snapToGrid w:val="0"/>
        <w:spacing w:line="578" w:lineRule="exact"/>
        <w:ind w:firstLine="960" w:firstLineChars="300"/>
        <w:contextualSpacing/>
        <w:jc w:val="left"/>
        <w:rPr>
          <w:rFonts w:hint="default" w:ascii="Times New Roman" w:hAnsi="Times New Roman" w:eastAsia="楷体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t>无</w:t>
      </w:r>
    </w:p>
    <w:bookmarkEnd w:id="53"/>
    <w:p w14:paraId="2974FEAE">
      <w:pPr>
        <w:pStyle w:val="8"/>
        <w:spacing w:line="560" w:lineRule="exact"/>
        <w:ind w:left="0" w:leftChars="0" w:firstLine="640"/>
        <w:rPr>
          <w:rFonts w:hint="default" w:ascii="Times New Roman" w:hAnsi="Times New Roman" w:eastAsia="仿宋_GB2312" w:cs="Times New Roman"/>
          <w:sz w:val="32"/>
          <w:lang w:val="zh-CN" w:bidi="ar"/>
        </w:rPr>
      </w:pPr>
    </w:p>
    <w:p w14:paraId="5237648B">
      <w:pPr>
        <w:pStyle w:val="8"/>
        <w:spacing w:line="560" w:lineRule="exact"/>
        <w:ind w:left="0" w:leftChars="0" w:firstLine="640"/>
        <w:rPr>
          <w:rFonts w:hint="default" w:ascii="Times New Roman" w:hAnsi="Times New Roman" w:eastAsia="仿宋_GB2312" w:cs="Times New Roman"/>
          <w:sz w:val="32"/>
          <w:lang w:val="zh-CN" w:bidi="ar"/>
        </w:rPr>
      </w:pPr>
    </w:p>
    <w:p w14:paraId="5A854401">
      <w:pPr>
        <w:pStyle w:val="8"/>
        <w:spacing w:line="560" w:lineRule="exact"/>
        <w:ind w:left="0" w:leftChars="0" w:firstLine="640"/>
        <w:rPr>
          <w:rFonts w:hint="default" w:ascii="Times New Roman" w:hAnsi="Times New Roman" w:eastAsia="仿宋_GB2312" w:cs="Times New Roman"/>
          <w:sz w:val="32"/>
          <w:lang w:val="zh-CN" w:bidi="ar"/>
        </w:rPr>
      </w:pPr>
    </w:p>
    <w:p w14:paraId="3E0356D1">
      <w:pPr>
        <w:pStyle w:val="8"/>
        <w:spacing w:line="560" w:lineRule="exact"/>
        <w:ind w:left="0" w:leftChars="0" w:firstLine="640"/>
        <w:rPr>
          <w:rFonts w:hint="default" w:ascii="Times New Roman" w:hAnsi="Times New Roman" w:eastAsia="仿宋_GB2312" w:cs="Times New Roman"/>
          <w:sz w:val="32"/>
          <w:lang w:val="zh-CN" w:bidi="ar"/>
        </w:rPr>
      </w:pPr>
    </w:p>
    <w:p w14:paraId="353B96C3">
      <w:pPr>
        <w:pStyle w:val="8"/>
        <w:spacing w:line="560" w:lineRule="exact"/>
        <w:ind w:left="0" w:leftChars="0" w:firstLine="640"/>
        <w:rPr>
          <w:rFonts w:hint="default" w:ascii="Times New Roman" w:hAnsi="Times New Roman" w:eastAsia="仿宋_GB2312" w:cs="Times New Roman"/>
          <w:sz w:val="32"/>
          <w:lang w:val="zh-CN" w:bidi="ar"/>
        </w:rPr>
      </w:pPr>
    </w:p>
    <w:p w14:paraId="581BBC96">
      <w:pPr>
        <w:pStyle w:val="8"/>
        <w:spacing w:line="560" w:lineRule="exact"/>
        <w:ind w:left="0" w:leftChars="0" w:firstLine="640"/>
        <w:rPr>
          <w:rFonts w:hint="default" w:ascii="Times New Roman" w:hAnsi="Times New Roman" w:eastAsia="仿宋_GB2312" w:cs="Times New Roman"/>
          <w:sz w:val="32"/>
          <w:lang w:val="zh-CN" w:bidi="ar"/>
        </w:rPr>
        <w:sectPr>
          <w:footerReference r:id="rId7" w:type="first"/>
          <w:footerReference r:id="rId6" w:type="default"/>
          <w:pgSz w:w="11906" w:h="16838"/>
          <w:pgMar w:top="1440" w:right="1800" w:bottom="1440" w:left="1800" w:header="851" w:footer="992" w:gutter="0"/>
          <w:pgNumType w:fmt="numberInDash" w:start="15"/>
          <w:cols w:space="425" w:num="1"/>
          <w:titlePg/>
          <w:docGrid w:type="lines" w:linePitch="312" w:charSpace="0"/>
        </w:sectPr>
      </w:pPr>
    </w:p>
    <w:p w14:paraId="6936054C">
      <w:pPr>
        <w:pStyle w:val="8"/>
        <w:spacing w:line="560" w:lineRule="exact"/>
        <w:ind w:left="0" w:leftChars="0" w:firstLine="640"/>
        <w:rPr>
          <w:rFonts w:hint="default" w:ascii="Times New Roman" w:hAnsi="Times New Roman" w:eastAsia="仿宋_GB2312" w:cs="Times New Roman"/>
          <w:sz w:val="32"/>
          <w:lang w:val="zh-CN" w:bidi="ar"/>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71"/>
        <w:gridCol w:w="2049"/>
        <w:gridCol w:w="1766"/>
        <w:gridCol w:w="2257"/>
        <w:gridCol w:w="686"/>
        <w:gridCol w:w="1315"/>
        <w:gridCol w:w="723"/>
        <w:gridCol w:w="1108"/>
        <w:gridCol w:w="539"/>
        <w:gridCol w:w="486"/>
        <w:gridCol w:w="2574"/>
      </w:tblGrid>
      <w:tr w14:paraId="1C32E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center"/>
          </w:tcPr>
          <w:p w14:paraId="5744C2A1">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1739C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0" w:type="pct"/>
            <w:gridSpan w:val="2"/>
            <w:tcBorders>
              <w:top w:val="single" w:color="000000" w:sz="4" w:space="0"/>
              <w:left w:val="single" w:color="000000" w:sz="4" w:space="0"/>
              <w:bottom w:val="single" w:color="000000" w:sz="4" w:space="0"/>
              <w:right w:val="single" w:color="000000" w:sz="4" w:space="0"/>
            </w:tcBorders>
            <w:noWrap w:val="0"/>
            <w:vAlign w:val="center"/>
          </w:tcPr>
          <w:p w14:paraId="403C732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4039" w:type="pct"/>
            <w:gridSpan w:val="9"/>
            <w:tcBorders>
              <w:top w:val="single" w:color="000000" w:sz="4" w:space="0"/>
              <w:left w:val="single" w:color="000000" w:sz="4" w:space="0"/>
              <w:bottom w:val="single" w:color="000000" w:sz="4" w:space="0"/>
              <w:right w:val="single" w:color="000000" w:sz="4" w:space="0"/>
            </w:tcBorders>
            <w:noWrap w:val="0"/>
            <w:vAlign w:val="center"/>
          </w:tcPr>
          <w:p w14:paraId="0BADBA0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51320025R000012338995-追加人员工资性支出</w:t>
            </w:r>
          </w:p>
        </w:tc>
      </w:tr>
      <w:tr w14:paraId="2CDA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60" w:type="pct"/>
            <w:gridSpan w:val="2"/>
            <w:tcBorders>
              <w:top w:val="single" w:color="000000" w:sz="4" w:space="0"/>
              <w:left w:val="single" w:color="000000" w:sz="4" w:space="0"/>
              <w:bottom w:val="single" w:color="000000" w:sz="4" w:space="0"/>
              <w:right w:val="single" w:color="000000" w:sz="4" w:space="0"/>
            </w:tcBorders>
            <w:noWrap w:val="0"/>
            <w:vAlign w:val="center"/>
          </w:tcPr>
          <w:p w14:paraId="56D3EB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1D70CD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390" w:type="pct"/>
            <w:tcBorders>
              <w:top w:val="nil"/>
              <w:left w:val="nil"/>
              <w:bottom w:val="nil"/>
              <w:right w:val="nil"/>
            </w:tcBorders>
            <w:noWrap w:val="0"/>
            <w:vAlign w:val="center"/>
          </w:tcPr>
          <w:p w14:paraId="1F7D14B3">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1268" w:type="pct"/>
            <w:gridSpan w:val="3"/>
            <w:tcBorders>
              <w:top w:val="single" w:color="000000" w:sz="4" w:space="0"/>
              <w:left w:val="single" w:color="000000" w:sz="4" w:space="0"/>
              <w:bottom w:val="single" w:color="000000" w:sz="4" w:space="0"/>
              <w:right w:val="single" w:color="000000" w:sz="4" w:space="0"/>
            </w:tcBorders>
            <w:noWrap w:val="0"/>
            <w:vAlign w:val="center"/>
          </w:tcPr>
          <w:p w14:paraId="34EF62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州基层帮扶工作服务中心</w:t>
            </w:r>
          </w:p>
        </w:tc>
      </w:tr>
      <w:tr w14:paraId="105EF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0772144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1B955E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55C9D0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1658" w:type="pct"/>
            <w:gridSpan w:val="4"/>
            <w:tcBorders>
              <w:top w:val="single" w:color="000000" w:sz="4" w:space="0"/>
              <w:left w:val="single" w:color="000000" w:sz="4" w:space="0"/>
              <w:bottom w:val="single" w:color="000000" w:sz="4" w:space="0"/>
              <w:right w:val="single" w:color="000000" w:sz="4" w:space="0"/>
            </w:tcBorders>
            <w:noWrap w:val="0"/>
            <w:vAlign w:val="center"/>
          </w:tcPr>
          <w:p w14:paraId="51E92ADF">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4F02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1D0CF2">
            <w:pPr>
              <w:rPr>
                <w:rFonts w:hint="default" w:ascii="Times New Roman" w:hAnsi="Times New Roman" w:eastAsia="宋体" w:cs="Times New Roman"/>
                <w:i w:val="0"/>
                <w:iCs w:val="0"/>
                <w:color w:val="000000"/>
                <w:sz w:val="18"/>
                <w:szCs w:val="18"/>
                <w:u w:val="none"/>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E80139">
            <w:pPr>
              <w:rPr>
                <w:rFonts w:hint="default" w:ascii="Times New Roman" w:hAnsi="Times New Roman" w:eastAsia="宋体" w:cs="Times New Roman"/>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702203C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658" w:type="pct"/>
            <w:gridSpan w:val="4"/>
            <w:tcBorders>
              <w:top w:val="single" w:color="000000" w:sz="4" w:space="0"/>
              <w:left w:val="single" w:color="000000" w:sz="4" w:space="0"/>
              <w:bottom w:val="single" w:color="000000" w:sz="4" w:space="0"/>
              <w:right w:val="single" w:color="000000" w:sz="4" w:space="0"/>
            </w:tcBorders>
            <w:noWrap w:val="0"/>
            <w:vAlign w:val="center"/>
          </w:tcPr>
          <w:p w14:paraId="390FF082">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color w:val="000000"/>
                <w:kern w:val="0"/>
                <w:sz w:val="18"/>
                <w:szCs w:val="18"/>
                <w:lang w:bidi="ar"/>
              </w:rPr>
              <w:t>严格执行相关政策，保障工资及时、足额发放。</w:t>
            </w:r>
          </w:p>
        </w:tc>
      </w:tr>
      <w:tr w14:paraId="52D8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C153D4">
            <w:pP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82369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4039" w:type="pct"/>
            <w:gridSpan w:val="9"/>
            <w:tcBorders>
              <w:top w:val="single" w:color="000000" w:sz="4" w:space="0"/>
              <w:left w:val="single" w:color="000000" w:sz="4" w:space="0"/>
              <w:bottom w:val="single" w:color="000000" w:sz="4" w:space="0"/>
              <w:right w:val="single" w:color="000000" w:sz="4" w:space="0"/>
            </w:tcBorders>
            <w:noWrap w:val="0"/>
            <w:vAlign w:val="center"/>
          </w:tcPr>
          <w:p w14:paraId="04339F72">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严格执行相关政策，保障在职人员工资及时发放、足额发放，预算编制科学合理。</w:t>
            </w:r>
          </w:p>
        </w:tc>
      </w:tr>
      <w:tr w14:paraId="70B76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3D5E1F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EA758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4D2A0E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637A8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42C83B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25FACC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0C9F66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25A8B9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34C0A4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6E665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C820E0">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F28D2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0A1058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8574F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2AB21D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241DD7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64CF38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77F15B06">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906" w:type="pct"/>
            <w:vMerge w:val="restart"/>
            <w:tcBorders>
              <w:top w:val="single" w:color="000000" w:sz="4" w:space="0"/>
              <w:left w:val="single" w:color="000000" w:sz="4" w:space="0"/>
              <w:bottom w:val="single" w:color="000000" w:sz="4" w:space="0"/>
              <w:right w:val="single" w:color="000000" w:sz="4" w:space="0"/>
            </w:tcBorders>
            <w:noWrap w:val="0"/>
            <w:vAlign w:val="center"/>
          </w:tcPr>
          <w:p w14:paraId="50480903">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4AFC3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6B1066">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0D52B4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56D2C9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3EA7A3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6EBBE9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407C12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51FBF2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647E89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EDDCBD">
            <w:pPr>
              <w:rPr>
                <w:rFonts w:hint="default" w:ascii="Times New Roman" w:hAnsi="Times New Roman" w:eastAsia="黑体" w:cs="Times New Roman"/>
                <w:i/>
                <w:iCs/>
                <w:color w:val="000000"/>
                <w:sz w:val="18"/>
                <w:szCs w:val="18"/>
                <w:u w:val="none"/>
              </w:rPr>
            </w:pPr>
          </w:p>
        </w:tc>
      </w:tr>
      <w:tr w14:paraId="529F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FACC1D">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D7F55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085F4A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85881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5F1783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2BF07F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6A85DB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9C153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1E39F5">
            <w:pPr>
              <w:rPr>
                <w:rFonts w:hint="default" w:ascii="Times New Roman" w:hAnsi="Times New Roman" w:eastAsia="黑体" w:cs="Times New Roman"/>
                <w:i/>
                <w:iCs/>
                <w:color w:val="000000"/>
                <w:sz w:val="18"/>
                <w:szCs w:val="18"/>
                <w:u w:val="none"/>
              </w:rPr>
            </w:pPr>
          </w:p>
        </w:tc>
      </w:tr>
      <w:tr w14:paraId="143C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B44DFD">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30169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6405B6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988A0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784149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074414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0F5314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3DCB3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44599E">
            <w:pPr>
              <w:rPr>
                <w:rFonts w:hint="default" w:ascii="Times New Roman" w:hAnsi="Times New Roman" w:eastAsia="黑体" w:cs="Times New Roman"/>
                <w:i/>
                <w:iCs/>
                <w:color w:val="000000"/>
                <w:sz w:val="18"/>
                <w:szCs w:val="18"/>
                <w:u w:val="none"/>
              </w:rPr>
            </w:pPr>
          </w:p>
        </w:tc>
      </w:tr>
      <w:tr w14:paraId="7FC93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645CDE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010AD8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13DD41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7EFB5F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1B210E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2AF21D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67A33E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33EC17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354936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3B7FD1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2F3DBED4">
            <w:pPr>
              <w:keepNext w:val="0"/>
              <w:keepLines w:val="0"/>
              <w:widowControl/>
              <w:suppressLineNumbers w:val="0"/>
              <w:ind w:firstLine="360" w:firstLineChars="200"/>
              <w:jc w:val="both"/>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6596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9589E0">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9C5FE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0FA68E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5DC42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3C79D1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12F67E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4147A0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7276BE0D">
            <w:pPr>
              <w:jc w:val="center"/>
              <w:rPr>
                <w:rFonts w:hint="default" w:ascii="Times New Roman" w:hAnsi="Times New Roman" w:eastAsia="微软雅黑" w:cs="Times New Roman"/>
                <w:i/>
                <w:iCs/>
                <w:color w:val="000000"/>
                <w:sz w:val="16"/>
                <w:szCs w:val="16"/>
                <w:u w:val="none"/>
              </w:rPr>
            </w:pP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72D516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10E4ADE">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5E2DF2BC">
            <w:pPr>
              <w:jc w:val="center"/>
              <w:rPr>
                <w:rFonts w:hint="default" w:ascii="Times New Roman" w:hAnsi="Times New Roman" w:eastAsia="微软雅黑" w:cs="Times New Roman"/>
                <w:i/>
                <w:iCs/>
                <w:color w:val="000000"/>
                <w:sz w:val="16"/>
                <w:szCs w:val="16"/>
                <w:u w:val="none"/>
              </w:rPr>
            </w:pPr>
          </w:p>
        </w:tc>
      </w:tr>
      <w:tr w14:paraId="01AF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553B44">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3E1D5D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6D8468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12640B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53DD12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32960C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2DC257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18571AD7">
            <w:pPr>
              <w:jc w:val="center"/>
              <w:rPr>
                <w:rFonts w:hint="default" w:ascii="Times New Roman" w:hAnsi="Times New Roman" w:eastAsia="微软雅黑" w:cs="Times New Roman"/>
                <w:i/>
                <w:iCs/>
                <w:color w:val="000000"/>
                <w:sz w:val="16"/>
                <w:szCs w:val="16"/>
                <w:u w:val="none"/>
              </w:rPr>
            </w:pP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76FD02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9CD0489">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4AD2ED83">
            <w:pPr>
              <w:jc w:val="center"/>
              <w:rPr>
                <w:rFonts w:hint="default" w:ascii="Times New Roman" w:hAnsi="Times New Roman" w:eastAsia="微软雅黑" w:cs="Times New Roman"/>
                <w:i/>
                <w:iCs/>
                <w:color w:val="000000"/>
                <w:sz w:val="16"/>
                <w:szCs w:val="16"/>
                <w:u w:val="none"/>
              </w:rPr>
            </w:pPr>
          </w:p>
        </w:tc>
      </w:tr>
      <w:tr w14:paraId="0646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31" w:type="pct"/>
            <w:gridSpan w:val="8"/>
            <w:tcBorders>
              <w:top w:val="single" w:color="000000" w:sz="4" w:space="0"/>
              <w:left w:val="single" w:color="000000" w:sz="4" w:space="0"/>
              <w:bottom w:val="single" w:color="000000" w:sz="4" w:space="0"/>
              <w:right w:val="single" w:color="000000" w:sz="4" w:space="0"/>
            </w:tcBorders>
            <w:noWrap w:val="0"/>
            <w:vAlign w:val="center"/>
          </w:tcPr>
          <w:p w14:paraId="453734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0574D7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09FC0B82">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6CCDAEAA">
            <w:pPr>
              <w:rPr>
                <w:rFonts w:hint="default" w:ascii="Times New Roman" w:hAnsi="Times New Roman" w:eastAsia="宋体" w:cs="Times New Roman"/>
                <w:i w:val="0"/>
                <w:iCs w:val="0"/>
                <w:color w:val="000000"/>
                <w:sz w:val="18"/>
                <w:szCs w:val="18"/>
                <w:u w:val="none"/>
              </w:rPr>
            </w:pPr>
          </w:p>
        </w:tc>
      </w:tr>
      <w:tr w14:paraId="07A7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7EF98E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1D8F76ED">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1D7F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344631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6DFEC4C3">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sz w:val="16"/>
                <w:szCs w:val="16"/>
                <w:u w:val="none"/>
                <w:lang w:val="en-US" w:eastAsia="zh-CN"/>
              </w:rPr>
              <w:t>无</w:t>
            </w:r>
          </w:p>
        </w:tc>
      </w:tr>
      <w:tr w14:paraId="33C7F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083E97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5E00BAB6">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sz w:val="16"/>
                <w:szCs w:val="16"/>
                <w:u w:val="none"/>
                <w:lang w:val="en-US" w:eastAsia="zh-CN"/>
              </w:rPr>
              <w:t>无</w:t>
            </w:r>
          </w:p>
        </w:tc>
      </w:tr>
      <w:tr w14:paraId="27CA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621" w:type="pct"/>
            <w:gridSpan w:val="5"/>
            <w:tcBorders>
              <w:top w:val="single" w:color="000000" w:sz="4" w:space="0"/>
              <w:left w:val="single" w:color="000000" w:sz="4" w:space="0"/>
              <w:bottom w:val="single" w:color="000000" w:sz="4" w:space="0"/>
              <w:right w:val="single" w:color="000000" w:sz="4" w:space="0"/>
            </w:tcBorders>
            <w:noWrap w:val="0"/>
            <w:vAlign w:val="center"/>
          </w:tcPr>
          <w:p w14:paraId="4C064D67">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lang w:val="en-US"/>
              </w:rPr>
            </w:pPr>
            <w:r>
              <w:rPr>
                <w:rFonts w:hint="default" w:ascii="Times New Roman" w:hAnsi="Times New Roman" w:eastAsia="黑体" w:cs="Times New Roman"/>
                <w:i w:val="0"/>
                <w:iCs w:val="0"/>
                <w:color w:val="000000"/>
                <w:kern w:val="0"/>
                <w:sz w:val="18"/>
                <w:szCs w:val="18"/>
                <w:u w:val="none"/>
                <w:lang w:val="en-US" w:eastAsia="zh-CN" w:bidi="ar"/>
              </w:rPr>
              <w:t>项目负责人：王志江</w:t>
            </w:r>
          </w:p>
        </w:tc>
        <w:tc>
          <w:tcPr>
            <w:tcW w:w="2378" w:type="pct"/>
            <w:gridSpan w:val="6"/>
            <w:tcBorders>
              <w:top w:val="single" w:color="000000" w:sz="4" w:space="0"/>
              <w:left w:val="single" w:color="000000" w:sz="4" w:space="0"/>
              <w:bottom w:val="single" w:color="000000" w:sz="4" w:space="0"/>
              <w:right w:val="single" w:color="000000" w:sz="4" w:space="0"/>
            </w:tcBorders>
            <w:noWrap w:val="0"/>
            <w:vAlign w:val="center"/>
          </w:tcPr>
          <w:p w14:paraId="76CB5610">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lang w:val="en-US"/>
              </w:rPr>
            </w:pPr>
            <w:r>
              <w:rPr>
                <w:rFonts w:hint="default" w:ascii="Times New Roman" w:hAnsi="Times New Roman" w:eastAsia="黑体" w:cs="Times New Roman"/>
                <w:i w:val="0"/>
                <w:iCs w:val="0"/>
                <w:color w:val="000000"/>
                <w:kern w:val="0"/>
                <w:sz w:val="18"/>
                <w:szCs w:val="18"/>
                <w:u w:val="none"/>
                <w:lang w:val="en-US" w:eastAsia="zh-CN" w:bidi="ar"/>
              </w:rPr>
              <w:t>财务负责人：傅珍国</w:t>
            </w:r>
          </w:p>
        </w:tc>
      </w:tr>
    </w:tbl>
    <w:p w14:paraId="5AA29CAF">
      <w:pPr>
        <w:pStyle w:val="2"/>
        <w:ind w:left="0" w:leftChars="0" w:firstLine="0" w:firstLineChars="0"/>
        <w:rPr>
          <w:rFonts w:hint="default" w:ascii="Times New Roman" w:hAnsi="Times New Roman" w:cs="Times New Roman"/>
          <w:lang w:eastAsia="zh-CN"/>
        </w:rPr>
      </w:pPr>
    </w:p>
    <w:tbl>
      <w:tblPr>
        <w:tblStyle w:val="16"/>
        <w:tblW w:w="126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5"/>
        <w:gridCol w:w="1826"/>
        <w:gridCol w:w="1581"/>
        <w:gridCol w:w="2014"/>
        <w:gridCol w:w="649"/>
        <w:gridCol w:w="1029"/>
        <w:gridCol w:w="750"/>
        <w:gridCol w:w="980"/>
        <w:gridCol w:w="486"/>
        <w:gridCol w:w="486"/>
        <w:gridCol w:w="2269"/>
      </w:tblGrid>
      <w:tr w14:paraId="1FED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9" w:hRule="atLeast"/>
        </w:trPr>
        <w:tc>
          <w:tcPr>
            <w:tcW w:w="12685" w:type="dxa"/>
            <w:gridSpan w:val="11"/>
            <w:tcBorders>
              <w:top w:val="single" w:color="000000" w:sz="4" w:space="0"/>
              <w:left w:val="single" w:color="000000" w:sz="4" w:space="0"/>
              <w:bottom w:val="single" w:color="000000" w:sz="4" w:space="0"/>
              <w:right w:val="single" w:color="000000" w:sz="4" w:space="0"/>
            </w:tcBorders>
            <w:noWrap w:val="0"/>
            <w:vAlign w:val="center"/>
          </w:tcPr>
          <w:p w14:paraId="3DE00E99">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16FF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1" w:type="dxa"/>
            <w:gridSpan w:val="2"/>
            <w:tcBorders>
              <w:top w:val="single" w:color="000000" w:sz="4" w:space="0"/>
              <w:left w:val="single" w:color="000000" w:sz="4" w:space="0"/>
              <w:bottom w:val="single" w:color="000000" w:sz="4" w:space="0"/>
              <w:right w:val="single" w:color="000000" w:sz="4" w:space="0"/>
            </w:tcBorders>
            <w:noWrap w:val="0"/>
            <w:vAlign w:val="center"/>
          </w:tcPr>
          <w:p w14:paraId="21A027E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244" w:type="dxa"/>
            <w:gridSpan w:val="9"/>
            <w:tcBorders>
              <w:top w:val="single" w:color="000000" w:sz="4" w:space="0"/>
              <w:left w:val="single" w:color="000000" w:sz="4" w:space="0"/>
              <w:bottom w:val="single" w:color="000000" w:sz="4" w:space="0"/>
              <w:right w:val="single" w:color="000000" w:sz="4" w:space="0"/>
            </w:tcBorders>
            <w:noWrap w:val="0"/>
            <w:vAlign w:val="center"/>
          </w:tcPr>
          <w:p w14:paraId="453882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51320025R000012339333-追加社保缴费支出</w:t>
            </w:r>
          </w:p>
        </w:tc>
      </w:tr>
      <w:tr w14:paraId="67EA1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2441" w:type="dxa"/>
            <w:gridSpan w:val="2"/>
            <w:tcBorders>
              <w:top w:val="single" w:color="000000" w:sz="4" w:space="0"/>
              <w:left w:val="single" w:color="000000" w:sz="4" w:space="0"/>
              <w:bottom w:val="single" w:color="000000" w:sz="4" w:space="0"/>
              <w:right w:val="single" w:color="000000" w:sz="4" w:space="0"/>
            </w:tcBorders>
            <w:noWrap w:val="0"/>
            <w:vAlign w:val="center"/>
          </w:tcPr>
          <w:p w14:paraId="2B23EA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5E5BBC0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980" w:type="dxa"/>
            <w:tcBorders>
              <w:top w:val="nil"/>
              <w:left w:val="nil"/>
              <w:bottom w:val="nil"/>
              <w:right w:val="nil"/>
            </w:tcBorders>
            <w:noWrap w:val="0"/>
            <w:vAlign w:val="center"/>
          </w:tcPr>
          <w:p w14:paraId="3DAE0945">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3241" w:type="dxa"/>
            <w:gridSpan w:val="3"/>
            <w:tcBorders>
              <w:top w:val="single" w:color="000000" w:sz="4" w:space="0"/>
              <w:left w:val="single" w:color="000000" w:sz="4" w:space="0"/>
              <w:bottom w:val="single" w:color="000000" w:sz="4" w:space="0"/>
              <w:right w:val="single" w:color="000000" w:sz="4" w:space="0"/>
            </w:tcBorders>
            <w:noWrap w:val="0"/>
            <w:vAlign w:val="center"/>
          </w:tcPr>
          <w:p w14:paraId="2BECE3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州基层帮扶工作服务中心</w:t>
            </w:r>
          </w:p>
        </w:tc>
      </w:tr>
      <w:tr w14:paraId="7315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52614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26" w:type="dxa"/>
            <w:vMerge w:val="restart"/>
            <w:tcBorders>
              <w:top w:val="single" w:color="000000" w:sz="4" w:space="0"/>
              <w:left w:val="single" w:color="000000" w:sz="4" w:space="0"/>
              <w:bottom w:val="single" w:color="000000" w:sz="4" w:space="0"/>
              <w:right w:val="single" w:color="000000" w:sz="4" w:space="0"/>
            </w:tcBorders>
            <w:noWrap w:val="0"/>
            <w:vAlign w:val="center"/>
          </w:tcPr>
          <w:p w14:paraId="1ADAD4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378546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12D7EA35">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28E80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EA1A3">
            <w:pPr>
              <w:rPr>
                <w:rFonts w:hint="default" w:ascii="Times New Roman" w:hAnsi="Times New Roman" w:eastAsia="宋体" w:cs="Times New Roman"/>
                <w:i w:val="0"/>
                <w:iCs w:val="0"/>
                <w:color w:val="000000"/>
                <w:sz w:val="18"/>
                <w:szCs w:val="18"/>
                <w:u w:val="none"/>
              </w:rPr>
            </w:pPr>
          </w:p>
        </w:tc>
        <w:tc>
          <w:tcPr>
            <w:tcW w:w="1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D58FF">
            <w:pPr>
              <w:rPr>
                <w:rFonts w:hint="default" w:ascii="Times New Roman" w:hAnsi="Times New Roman" w:eastAsia="宋体" w:cs="Times New Roman"/>
                <w:i w:val="0"/>
                <w:iCs w:val="0"/>
                <w:color w:val="000000"/>
                <w:sz w:val="18"/>
                <w:szCs w:val="18"/>
                <w:u w:val="none"/>
              </w:rPr>
            </w:pP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6718407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12750259">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严格执行相关政策，保障工资及时、足额发放或社保及时、足额缴纳。</w:t>
            </w:r>
          </w:p>
        </w:tc>
      </w:tr>
      <w:tr w14:paraId="2B62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1ADB5">
            <w:pP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777A237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244" w:type="dxa"/>
            <w:gridSpan w:val="9"/>
            <w:tcBorders>
              <w:top w:val="single" w:color="000000" w:sz="4" w:space="0"/>
              <w:left w:val="single" w:color="000000" w:sz="4" w:space="0"/>
              <w:bottom w:val="single" w:color="000000" w:sz="4" w:space="0"/>
              <w:right w:val="single" w:color="000000" w:sz="4" w:space="0"/>
            </w:tcBorders>
            <w:noWrap w:val="0"/>
            <w:vAlign w:val="center"/>
          </w:tcPr>
          <w:p w14:paraId="5D6B854E">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严格执行相关政策，保障工资及时、足额发放或社保及时、足额缴纳，预算编制科学合理，减少结余资金。</w:t>
            </w:r>
          </w:p>
        </w:tc>
      </w:tr>
      <w:tr w14:paraId="1152D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429854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00030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0E7976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5ED02C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55A53F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A68ED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08BC2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F7D1B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89C9F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18EA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BC598">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7E678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204E69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11039D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401334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04C59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7A696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481BC8E">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2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3E1E689">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6B9C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56D0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233E0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2D17EC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2DFA93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4D8388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ABDCF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93364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13CD5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B41E1">
            <w:pPr>
              <w:rPr>
                <w:rFonts w:hint="default" w:ascii="Times New Roman" w:hAnsi="Times New Roman" w:eastAsia="黑体" w:cs="Times New Roman"/>
                <w:i/>
                <w:iCs/>
                <w:color w:val="000000"/>
                <w:sz w:val="18"/>
                <w:szCs w:val="18"/>
                <w:u w:val="none"/>
              </w:rPr>
            </w:pPr>
          </w:p>
        </w:tc>
      </w:tr>
      <w:tr w14:paraId="5E07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EF52CB">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41BF9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7E0FE8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445BBB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74345C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BB1D6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230BE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092ED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AAB4D">
            <w:pPr>
              <w:rPr>
                <w:rFonts w:hint="default" w:ascii="Times New Roman" w:hAnsi="Times New Roman" w:eastAsia="黑体" w:cs="Times New Roman"/>
                <w:i/>
                <w:iCs/>
                <w:color w:val="000000"/>
                <w:sz w:val="18"/>
                <w:szCs w:val="18"/>
                <w:u w:val="none"/>
              </w:rPr>
            </w:pPr>
          </w:p>
        </w:tc>
      </w:tr>
      <w:tr w14:paraId="74784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E6EAD">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74B8A9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FBAFE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74A960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23EB52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6DBE57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F06FD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E9E26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C971B">
            <w:pPr>
              <w:rPr>
                <w:rFonts w:hint="default" w:ascii="Times New Roman" w:hAnsi="Times New Roman" w:eastAsia="黑体" w:cs="Times New Roman"/>
                <w:i/>
                <w:iCs/>
                <w:color w:val="000000"/>
                <w:sz w:val="18"/>
                <w:szCs w:val="18"/>
                <w:u w:val="none"/>
              </w:rPr>
            </w:pPr>
          </w:p>
        </w:tc>
      </w:tr>
      <w:tr w14:paraId="7E8B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88E4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4EE2A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4B41BE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4128B5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17DA00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03771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FB3C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2597B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80340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95E3D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4B5B6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6A04F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BE233">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3B093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5A9D2F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278B7E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10A147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5EBEEB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D358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62E4C11B">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6C02D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FCD8050">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EB4FE92">
            <w:pPr>
              <w:jc w:val="center"/>
              <w:rPr>
                <w:rFonts w:hint="default" w:ascii="Times New Roman" w:hAnsi="Times New Roman" w:eastAsia="微软雅黑" w:cs="Times New Roman"/>
                <w:i/>
                <w:iCs/>
                <w:color w:val="000000"/>
                <w:sz w:val="16"/>
                <w:szCs w:val="16"/>
                <w:u w:val="none"/>
              </w:rPr>
            </w:pPr>
          </w:p>
        </w:tc>
      </w:tr>
      <w:tr w14:paraId="56C9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2EB08">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7B4FDF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4A4930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3462E2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3C7397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3A832F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E733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2D8A998">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77CDA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D42962A">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6DED728">
            <w:pPr>
              <w:jc w:val="center"/>
              <w:rPr>
                <w:rFonts w:hint="default" w:ascii="Times New Roman" w:hAnsi="Times New Roman" w:eastAsia="微软雅黑" w:cs="Times New Roman"/>
                <w:i/>
                <w:iCs/>
                <w:color w:val="000000"/>
                <w:sz w:val="16"/>
                <w:szCs w:val="16"/>
                <w:u w:val="none"/>
              </w:rPr>
            </w:pPr>
          </w:p>
        </w:tc>
      </w:tr>
      <w:tr w14:paraId="1BBD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44" w:type="dxa"/>
            <w:gridSpan w:val="8"/>
            <w:tcBorders>
              <w:top w:val="single" w:color="000000" w:sz="4" w:space="0"/>
              <w:left w:val="single" w:color="000000" w:sz="4" w:space="0"/>
              <w:bottom w:val="single" w:color="000000" w:sz="4" w:space="0"/>
              <w:right w:val="single" w:color="000000" w:sz="4" w:space="0"/>
            </w:tcBorders>
            <w:noWrap w:val="0"/>
            <w:vAlign w:val="center"/>
          </w:tcPr>
          <w:p w14:paraId="53959F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D505C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060672A">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1A81834">
            <w:pPr>
              <w:rPr>
                <w:rFonts w:hint="default" w:ascii="Times New Roman" w:hAnsi="Times New Roman" w:eastAsia="宋体" w:cs="Times New Roman"/>
                <w:i w:val="0"/>
                <w:iCs w:val="0"/>
                <w:color w:val="000000"/>
                <w:sz w:val="18"/>
                <w:szCs w:val="18"/>
                <w:u w:val="none"/>
              </w:rPr>
            </w:pPr>
          </w:p>
        </w:tc>
      </w:tr>
      <w:tr w14:paraId="682F9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4C9299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7666B62D">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5933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0FFFF2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1797C749">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无</w:t>
            </w:r>
          </w:p>
        </w:tc>
      </w:tr>
      <w:tr w14:paraId="5728D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72C3A9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0AF5C1AA">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3DB88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685" w:type="dxa"/>
            <w:gridSpan w:val="5"/>
            <w:tcBorders>
              <w:top w:val="single" w:color="000000" w:sz="4" w:space="0"/>
              <w:left w:val="single" w:color="000000" w:sz="4" w:space="0"/>
              <w:bottom w:val="single" w:color="000000" w:sz="4" w:space="0"/>
              <w:right w:val="single" w:color="000000" w:sz="4" w:space="0"/>
            </w:tcBorders>
            <w:noWrap w:val="0"/>
            <w:vAlign w:val="center"/>
          </w:tcPr>
          <w:p w14:paraId="2636CE23">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lang w:val="en-US"/>
              </w:rPr>
            </w:pPr>
            <w:r>
              <w:rPr>
                <w:rFonts w:hint="default" w:ascii="Times New Roman" w:hAnsi="Times New Roman" w:eastAsia="黑体" w:cs="Times New Roman"/>
                <w:i w:val="0"/>
                <w:iCs w:val="0"/>
                <w:color w:val="000000"/>
                <w:kern w:val="0"/>
                <w:sz w:val="18"/>
                <w:szCs w:val="18"/>
                <w:u w:val="none"/>
                <w:lang w:val="en-US" w:eastAsia="zh-CN" w:bidi="ar"/>
              </w:rPr>
              <w:t>项目负责人：王志江</w:t>
            </w:r>
          </w:p>
        </w:tc>
        <w:tc>
          <w:tcPr>
            <w:tcW w:w="6000" w:type="dxa"/>
            <w:gridSpan w:val="6"/>
            <w:tcBorders>
              <w:top w:val="single" w:color="000000" w:sz="4" w:space="0"/>
              <w:left w:val="single" w:color="000000" w:sz="4" w:space="0"/>
              <w:bottom w:val="single" w:color="000000" w:sz="4" w:space="0"/>
              <w:right w:val="single" w:color="000000" w:sz="4" w:space="0"/>
            </w:tcBorders>
            <w:noWrap w:val="0"/>
            <w:vAlign w:val="center"/>
          </w:tcPr>
          <w:p w14:paraId="49DDD541">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lang w:val="en-US"/>
              </w:rPr>
            </w:pPr>
            <w:r>
              <w:rPr>
                <w:rFonts w:hint="default" w:ascii="Times New Roman" w:hAnsi="Times New Roman" w:eastAsia="黑体" w:cs="Times New Roman"/>
                <w:i w:val="0"/>
                <w:iCs w:val="0"/>
                <w:color w:val="000000"/>
                <w:kern w:val="0"/>
                <w:sz w:val="18"/>
                <w:szCs w:val="18"/>
                <w:u w:val="none"/>
                <w:lang w:val="en-US" w:eastAsia="zh-CN" w:bidi="ar"/>
              </w:rPr>
              <w:t>财务负责人：傅珍国</w:t>
            </w:r>
          </w:p>
        </w:tc>
      </w:tr>
    </w:tbl>
    <w:p w14:paraId="670C0F2F">
      <w:pPr>
        <w:rPr>
          <w:rFonts w:hint="default" w:ascii="Times New Roman" w:hAnsi="Times New Roman" w:cs="Times New Roman"/>
          <w:lang w:eastAsia="zh-CN"/>
        </w:rPr>
        <w:sectPr>
          <w:pgSz w:w="16838" w:h="11906" w:orient="landscape"/>
          <w:pgMar w:top="0" w:right="1440" w:bottom="0" w:left="1440" w:header="720" w:footer="720" w:gutter="0"/>
          <w:cols w:space="720" w:num="1"/>
          <w:docGrid w:type="lines" w:linePitch="312" w:charSpace="0"/>
        </w:sectPr>
      </w:pPr>
    </w:p>
    <w:p w14:paraId="288A7941">
      <w:pPr>
        <w:rPr>
          <w:rFonts w:hint="default" w:ascii="Times New Roman" w:hAnsi="Times New Roman" w:eastAsia="黑体" w:cs="Times New Roman"/>
          <w:kern w:val="0"/>
          <w:sz w:val="32"/>
          <w:szCs w:val="32"/>
          <w:shd w:val="clear" w:color="auto" w:fill="FFFFFF"/>
          <w:lang w:val="zh-CN"/>
        </w:rPr>
      </w:pPr>
    </w:p>
    <w:p w14:paraId="290EF59D">
      <w:pPr>
        <w:widowControl/>
        <w:jc w:val="center"/>
        <w:rPr>
          <w:rFonts w:hint="default" w:ascii="Times New Roman" w:hAnsi="Times New Roman" w:eastAsia="仿宋" w:cs="Times New Roman"/>
        </w:rPr>
      </w:pPr>
      <w:bookmarkStart w:id="54" w:name="_Toc15396618"/>
      <w:r>
        <w:rPr>
          <w:rFonts w:hint="default" w:ascii="Times New Roman" w:hAnsi="Times New Roman" w:eastAsia="黑体" w:cs="Times New Roman"/>
          <w:sz w:val="44"/>
          <w:szCs w:val="44"/>
        </w:rPr>
        <w:t>第</w:t>
      </w:r>
      <w:r>
        <w:rPr>
          <w:rStyle w:val="29"/>
          <w:rFonts w:hint="default" w:ascii="Times New Roman" w:hAnsi="Times New Roman" w:eastAsia="黑体" w:cs="Times New Roman"/>
          <w:b w:val="0"/>
        </w:rPr>
        <w:t>五部分 附表</w:t>
      </w:r>
      <w:bookmarkEnd w:id="52"/>
      <w:bookmarkEnd w:id="54"/>
      <w:bookmarkStart w:id="55" w:name="_Toc15396619"/>
    </w:p>
    <w:p w14:paraId="4CA91670">
      <w:pPr>
        <w:pStyle w:val="15"/>
        <w:adjustRightInd w:val="0"/>
        <w:snapToGrid w:val="0"/>
        <w:spacing w:line="560" w:lineRule="exact"/>
        <w:jc w:val="left"/>
        <w:rPr>
          <w:rFonts w:hint="default" w:ascii="Times New Roman" w:hAnsi="Times New Roman" w:eastAsia="仿宋_GB2312" w:cs="Times New Roman"/>
          <w:sz w:val="32"/>
          <w:szCs w:val="32"/>
        </w:rPr>
      </w:pPr>
    </w:p>
    <w:p w14:paraId="29664B8D">
      <w:pPr>
        <w:pStyle w:val="15"/>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5"/>
    </w:p>
    <w:p w14:paraId="4EB165DE">
      <w:pPr>
        <w:pStyle w:val="15"/>
        <w:adjustRightInd w:val="0"/>
        <w:snapToGrid w:val="0"/>
        <w:spacing w:line="560" w:lineRule="exact"/>
        <w:jc w:val="left"/>
        <w:rPr>
          <w:rFonts w:hint="default" w:ascii="Times New Roman" w:hAnsi="Times New Roman" w:eastAsia="仿宋_GB2312" w:cs="Times New Roman"/>
          <w:sz w:val="32"/>
          <w:szCs w:val="32"/>
        </w:rPr>
      </w:pPr>
      <w:bookmarkStart w:id="56" w:name="_Toc15396620"/>
      <w:r>
        <w:rPr>
          <w:rFonts w:hint="default" w:ascii="Times New Roman" w:hAnsi="Times New Roman" w:eastAsia="仿宋_GB2312" w:cs="Times New Roman"/>
          <w:sz w:val="32"/>
          <w:szCs w:val="32"/>
        </w:rPr>
        <w:t>二、收入决算表</w:t>
      </w:r>
      <w:bookmarkEnd w:id="56"/>
    </w:p>
    <w:p w14:paraId="73039B91">
      <w:pPr>
        <w:pStyle w:val="15"/>
        <w:adjustRightInd w:val="0"/>
        <w:snapToGrid w:val="0"/>
        <w:spacing w:line="560" w:lineRule="exact"/>
        <w:jc w:val="left"/>
        <w:rPr>
          <w:rFonts w:hint="default" w:ascii="Times New Roman" w:hAnsi="Times New Roman" w:eastAsia="仿宋_GB2312" w:cs="Times New Roman"/>
          <w:sz w:val="32"/>
          <w:szCs w:val="32"/>
        </w:rPr>
      </w:pPr>
      <w:bookmarkStart w:id="57" w:name="_Toc15396621"/>
      <w:r>
        <w:rPr>
          <w:rFonts w:hint="default" w:ascii="Times New Roman" w:hAnsi="Times New Roman" w:eastAsia="仿宋_GB2312" w:cs="Times New Roman"/>
          <w:sz w:val="32"/>
          <w:szCs w:val="32"/>
        </w:rPr>
        <w:t>三、支出决算表</w:t>
      </w:r>
      <w:bookmarkEnd w:id="57"/>
    </w:p>
    <w:p w14:paraId="7F2A5B00">
      <w:pPr>
        <w:pStyle w:val="15"/>
        <w:adjustRightInd w:val="0"/>
        <w:snapToGrid w:val="0"/>
        <w:spacing w:line="560" w:lineRule="exact"/>
        <w:jc w:val="left"/>
        <w:rPr>
          <w:rFonts w:hint="default" w:ascii="Times New Roman" w:hAnsi="Times New Roman" w:eastAsia="仿宋_GB2312" w:cs="Times New Roman"/>
          <w:sz w:val="32"/>
          <w:szCs w:val="32"/>
        </w:rPr>
      </w:pPr>
      <w:bookmarkStart w:id="58" w:name="_Toc15396622"/>
      <w:r>
        <w:rPr>
          <w:rFonts w:hint="default" w:ascii="Times New Roman" w:hAnsi="Times New Roman" w:eastAsia="仿宋_GB2312" w:cs="Times New Roman"/>
          <w:sz w:val="32"/>
          <w:szCs w:val="32"/>
        </w:rPr>
        <w:t>四、财政拨款收入支出决算总表</w:t>
      </w:r>
      <w:bookmarkEnd w:id="58"/>
    </w:p>
    <w:p w14:paraId="510C2296">
      <w:pPr>
        <w:pStyle w:val="15"/>
        <w:adjustRightInd w:val="0"/>
        <w:snapToGrid w:val="0"/>
        <w:spacing w:line="560" w:lineRule="exact"/>
        <w:jc w:val="left"/>
        <w:rPr>
          <w:rFonts w:hint="default" w:ascii="Times New Roman" w:hAnsi="Times New Roman" w:eastAsia="仿宋_GB2312" w:cs="Times New Roman"/>
          <w:sz w:val="32"/>
          <w:szCs w:val="32"/>
        </w:rPr>
      </w:pPr>
      <w:bookmarkStart w:id="59" w:name="_Toc15396623"/>
      <w:r>
        <w:rPr>
          <w:rFonts w:hint="default" w:ascii="Times New Roman" w:hAnsi="Times New Roman" w:eastAsia="仿宋_GB2312" w:cs="Times New Roman"/>
          <w:sz w:val="32"/>
          <w:szCs w:val="32"/>
        </w:rPr>
        <w:t>五、财政拨款支出决算明细表</w:t>
      </w:r>
      <w:bookmarkEnd w:id="59"/>
      <w:bookmarkStart w:id="60" w:name="_Toc15396624"/>
    </w:p>
    <w:p w14:paraId="41360E59">
      <w:pPr>
        <w:pStyle w:val="15"/>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60"/>
    </w:p>
    <w:p w14:paraId="25D71E88">
      <w:pPr>
        <w:pStyle w:val="15"/>
        <w:adjustRightInd w:val="0"/>
        <w:snapToGrid w:val="0"/>
        <w:spacing w:line="560" w:lineRule="exact"/>
        <w:jc w:val="left"/>
        <w:rPr>
          <w:rFonts w:hint="default" w:ascii="Times New Roman" w:hAnsi="Times New Roman" w:eastAsia="仿宋_GB2312" w:cs="Times New Roman"/>
          <w:sz w:val="32"/>
          <w:szCs w:val="32"/>
        </w:rPr>
      </w:pPr>
      <w:bookmarkStart w:id="61" w:name="_Toc15396625"/>
      <w:r>
        <w:rPr>
          <w:rFonts w:hint="default" w:ascii="Times New Roman" w:hAnsi="Times New Roman" w:eastAsia="仿宋_GB2312" w:cs="Times New Roman"/>
          <w:sz w:val="32"/>
          <w:szCs w:val="32"/>
        </w:rPr>
        <w:t>七、一般公共预算财政拨款支出决算明细表</w:t>
      </w:r>
      <w:bookmarkEnd w:id="61"/>
    </w:p>
    <w:p w14:paraId="595340BE">
      <w:pPr>
        <w:pStyle w:val="15"/>
        <w:adjustRightInd w:val="0"/>
        <w:snapToGrid w:val="0"/>
        <w:spacing w:line="560" w:lineRule="exact"/>
        <w:jc w:val="left"/>
        <w:rPr>
          <w:rFonts w:hint="default" w:ascii="Times New Roman" w:hAnsi="Times New Roman" w:eastAsia="仿宋_GB2312" w:cs="Times New Roman"/>
          <w:sz w:val="32"/>
          <w:szCs w:val="32"/>
        </w:rPr>
      </w:pPr>
      <w:bookmarkStart w:id="62" w:name="_Toc15396626"/>
      <w:r>
        <w:rPr>
          <w:rFonts w:hint="default" w:ascii="Times New Roman" w:hAnsi="Times New Roman" w:eastAsia="仿宋_GB2312" w:cs="Times New Roman"/>
          <w:sz w:val="32"/>
          <w:szCs w:val="32"/>
        </w:rPr>
        <w:t>八、一般公共预算财政拨款基本支出决算表</w:t>
      </w:r>
      <w:bookmarkEnd w:id="62"/>
    </w:p>
    <w:p w14:paraId="372D85BC">
      <w:pPr>
        <w:pStyle w:val="15"/>
        <w:adjustRightInd w:val="0"/>
        <w:snapToGrid w:val="0"/>
        <w:spacing w:line="560" w:lineRule="exact"/>
        <w:jc w:val="left"/>
        <w:rPr>
          <w:rFonts w:hint="default" w:ascii="Times New Roman" w:hAnsi="Times New Roman" w:eastAsia="仿宋_GB2312" w:cs="Times New Roman"/>
          <w:sz w:val="32"/>
          <w:szCs w:val="32"/>
        </w:rPr>
      </w:pPr>
      <w:bookmarkStart w:id="63" w:name="_Toc15396627"/>
      <w:r>
        <w:rPr>
          <w:rFonts w:hint="default" w:ascii="Times New Roman" w:hAnsi="Times New Roman" w:eastAsia="仿宋_GB2312" w:cs="Times New Roman"/>
          <w:sz w:val="32"/>
          <w:szCs w:val="32"/>
        </w:rPr>
        <w:t>九、一般公共预算财政拨款项目支出决算表</w:t>
      </w:r>
      <w:bookmarkEnd w:id="63"/>
    </w:p>
    <w:p w14:paraId="5EA77C4A">
      <w:pPr>
        <w:pStyle w:val="15"/>
        <w:adjustRightInd w:val="0"/>
        <w:snapToGrid w:val="0"/>
        <w:spacing w:line="560" w:lineRule="exact"/>
        <w:jc w:val="left"/>
        <w:rPr>
          <w:rFonts w:hint="default" w:ascii="Times New Roman" w:hAnsi="Times New Roman" w:eastAsia="仿宋_GB2312" w:cs="Times New Roman"/>
          <w:sz w:val="32"/>
          <w:szCs w:val="32"/>
        </w:rPr>
      </w:pPr>
      <w:bookmarkStart w:id="64" w:name="_Toc15396628"/>
      <w:r>
        <w:rPr>
          <w:rFonts w:hint="default" w:ascii="Times New Roman" w:hAnsi="Times New Roman" w:eastAsia="仿宋_GB2312" w:cs="Times New Roman"/>
          <w:sz w:val="32"/>
          <w:szCs w:val="32"/>
        </w:rPr>
        <w:t>十、</w:t>
      </w:r>
      <w:bookmarkEnd w:id="64"/>
      <w:r>
        <w:rPr>
          <w:rFonts w:hint="default" w:ascii="Times New Roman" w:hAnsi="Times New Roman" w:eastAsia="仿宋_GB2312" w:cs="Times New Roman"/>
          <w:sz w:val="32"/>
          <w:szCs w:val="32"/>
        </w:rPr>
        <w:t>政府性基金预算财政拨款收入支出决算表</w:t>
      </w:r>
    </w:p>
    <w:p w14:paraId="16CEA104">
      <w:pPr>
        <w:pStyle w:val="15"/>
        <w:adjustRightInd w:val="0"/>
        <w:snapToGrid w:val="0"/>
        <w:spacing w:line="560" w:lineRule="exact"/>
        <w:jc w:val="left"/>
        <w:rPr>
          <w:rFonts w:hint="default" w:ascii="Times New Roman" w:hAnsi="Times New Roman" w:eastAsia="仿宋_GB2312" w:cs="Times New Roman"/>
          <w:sz w:val="32"/>
          <w:szCs w:val="32"/>
        </w:rPr>
      </w:pPr>
      <w:bookmarkStart w:id="65" w:name="_Toc15396629"/>
      <w:r>
        <w:rPr>
          <w:rFonts w:hint="default" w:ascii="Times New Roman" w:hAnsi="Times New Roman" w:eastAsia="仿宋_GB2312" w:cs="Times New Roman"/>
          <w:sz w:val="32"/>
          <w:szCs w:val="32"/>
        </w:rPr>
        <w:t>十一、</w:t>
      </w:r>
      <w:bookmarkEnd w:id="65"/>
      <w:r>
        <w:rPr>
          <w:rFonts w:hint="default" w:ascii="Times New Roman" w:hAnsi="Times New Roman" w:eastAsia="仿宋_GB2312" w:cs="Times New Roman"/>
          <w:sz w:val="32"/>
          <w:szCs w:val="32"/>
        </w:rPr>
        <w:t>国有资本经营预算财政拨款收入支出决算表</w:t>
      </w:r>
    </w:p>
    <w:p w14:paraId="2F28FD85">
      <w:pPr>
        <w:pStyle w:val="15"/>
        <w:adjustRightInd w:val="0"/>
        <w:snapToGrid w:val="0"/>
        <w:spacing w:line="560" w:lineRule="exact"/>
        <w:jc w:val="left"/>
        <w:rPr>
          <w:rFonts w:hint="default" w:ascii="Times New Roman" w:hAnsi="Times New Roman" w:eastAsia="仿宋_GB2312" w:cs="Times New Roman"/>
          <w:sz w:val="32"/>
          <w:szCs w:val="32"/>
        </w:rPr>
      </w:pPr>
      <w:bookmarkStart w:id="66" w:name="_Toc15396630"/>
      <w:r>
        <w:rPr>
          <w:rFonts w:hint="default" w:ascii="Times New Roman" w:hAnsi="Times New Roman" w:eastAsia="仿宋_GB2312" w:cs="Times New Roman"/>
          <w:sz w:val="32"/>
          <w:szCs w:val="32"/>
        </w:rPr>
        <w:t>十二、</w:t>
      </w:r>
      <w:bookmarkEnd w:id="66"/>
      <w:r>
        <w:rPr>
          <w:rFonts w:hint="default" w:ascii="Times New Roman" w:hAnsi="Times New Roman" w:eastAsia="仿宋_GB2312" w:cs="Times New Roman"/>
          <w:sz w:val="32"/>
          <w:szCs w:val="32"/>
        </w:rPr>
        <w:t>国有资本经营预算财政拨款支出决算表</w:t>
      </w:r>
    </w:p>
    <w:p w14:paraId="2A910D9D">
      <w:pPr>
        <w:pStyle w:val="15"/>
        <w:adjustRightInd w:val="0"/>
        <w:snapToGrid w:val="0"/>
        <w:spacing w:line="560" w:lineRule="exact"/>
        <w:jc w:val="left"/>
        <w:rPr>
          <w:rFonts w:hint="default" w:ascii="Times New Roman" w:hAnsi="Times New Roman" w:eastAsia="仿宋_GB2312" w:cs="Times New Roman"/>
          <w:sz w:val="32"/>
          <w:szCs w:val="32"/>
        </w:rPr>
      </w:pPr>
      <w:bookmarkStart w:id="67" w:name="_Toc15396631"/>
      <w:r>
        <w:rPr>
          <w:rFonts w:hint="default" w:ascii="Times New Roman" w:hAnsi="Times New Roman" w:eastAsia="仿宋_GB2312" w:cs="Times New Roman"/>
          <w:sz w:val="32"/>
          <w:szCs w:val="32"/>
        </w:rPr>
        <w:t>十三、</w:t>
      </w:r>
      <w:bookmarkEnd w:id="67"/>
      <w:r>
        <w:rPr>
          <w:rFonts w:hint="default" w:ascii="Times New Roman" w:hAnsi="Times New Roman" w:eastAsia="仿宋_GB2312" w:cs="Times New Roman"/>
          <w:sz w:val="32"/>
          <w:szCs w:val="32"/>
        </w:rPr>
        <w:t>财政拨款“三公”经费支出决算表</w:t>
      </w:r>
    </w:p>
    <w:p w14:paraId="5276CF62">
      <w:pPr>
        <w:rPr>
          <w:rFonts w:hint="default" w:ascii="Times New Roman" w:hAnsi="Times New Roman" w:cs="Times New Roman"/>
        </w:rPr>
      </w:pPr>
    </w:p>
    <w:sectPr>
      <w:footerReference r:id="rId9" w:type="first"/>
      <w:footerReference r:id="rId8" w:type="default"/>
      <w:pgSz w:w="11906" w:h="16838"/>
      <w:pgMar w:top="1440" w:right="1800" w:bottom="1440" w:left="1800" w:header="851" w:footer="992" w:gutter="0"/>
      <w:pgNumType w:fmt="numberInDash" w:start="23"/>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CF31B">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EC5D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BEC5D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6A4A">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8AB392">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78AB392">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BCDBE">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B05FD">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44B05FD">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p w14:paraId="18CE2B1A">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E1BE9">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9FFF3">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C9FFF3">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452E1">
    <w:pPr>
      <w:pStyle w:val="11"/>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B11C3">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42B11C3">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B6214BA">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4CEC5">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0490C">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0C0490C">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2D9F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658CB"/>
    <w:multiLevelType w:val="singleLevel"/>
    <w:tmpl w:val="9FF658CB"/>
    <w:lvl w:ilvl="0" w:tentative="0">
      <w:start w:val="1"/>
      <w:numFmt w:val="chineseCounting"/>
      <w:suff w:val="nothing"/>
      <w:lvlText w:val="%1、"/>
      <w:lvlJc w:val="left"/>
      <w:rPr>
        <w:rFonts w:hint="eastAsia"/>
      </w:rPr>
    </w:lvl>
  </w:abstractNum>
  <w:abstractNum w:abstractNumId="1">
    <w:nsid w:val="C145217F"/>
    <w:multiLevelType w:val="singleLevel"/>
    <w:tmpl w:val="C145217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6E6839"/>
    <w:rsid w:val="04916F1E"/>
    <w:rsid w:val="061E35DE"/>
    <w:rsid w:val="066E0107"/>
    <w:rsid w:val="074E2E0E"/>
    <w:rsid w:val="07996F6E"/>
    <w:rsid w:val="07DFD8BA"/>
    <w:rsid w:val="09867E8F"/>
    <w:rsid w:val="0A2032A3"/>
    <w:rsid w:val="0CA8290A"/>
    <w:rsid w:val="0D35B1ED"/>
    <w:rsid w:val="0E254B6B"/>
    <w:rsid w:val="0EAB3C1C"/>
    <w:rsid w:val="0F98263C"/>
    <w:rsid w:val="101860EC"/>
    <w:rsid w:val="101F47CC"/>
    <w:rsid w:val="10C055FF"/>
    <w:rsid w:val="11466417"/>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EC02C69"/>
    <w:rsid w:val="1FF35744"/>
    <w:rsid w:val="1FF6BC77"/>
    <w:rsid w:val="2186353C"/>
    <w:rsid w:val="23860B96"/>
    <w:rsid w:val="240371BF"/>
    <w:rsid w:val="244F3473"/>
    <w:rsid w:val="24C97D99"/>
    <w:rsid w:val="24EC5822"/>
    <w:rsid w:val="25A718F0"/>
    <w:rsid w:val="25BB59F6"/>
    <w:rsid w:val="260F557C"/>
    <w:rsid w:val="268D5392"/>
    <w:rsid w:val="26970054"/>
    <w:rsid w:val="281408E2"/>
    <w:rsid w:val="29FD04D3"/>
    <w:rsid w:val="2BFF7BC6"/>
    <w:rsid w:val="2C8A61B5"/>
    <w:rsid w:val="2DF04E50"/>
    <w:rsid w:val="2E586DFA"/>
    <w:rsid w:val="2E5C3FC8"/>
    <w:rsid w:val="2F040D46"/>
    <w:rsid w:val="2F6B035B"/>
    <w:rsid w:val="2FAE5751"/>
    <w:rsid w:val="2FB1A395"/>
    <w:rsid w:val="2FD9A7D8"/>
    <w:rsid w:val="2FDBF714"/>
    <w:rsid w:val="30AB6865"/>
    <w:rsid w:val="319F7F4E"/>
    <w:rsid w:val="3231743E"/>
    <w:rsid w:val="32BD1EF1"/>
    <w:rsid w:val="3304709D"/>
    <w:rsid w:val="33A773CB"/>
    <w:rsid w:val="349D6851"/>
    <w:rsid w:val="35E6413B"/>
    <w:rsid w:val="36AA5135"/>
    <w:rsid w:val="36BE0DA7"/>
    <w:rsid w:val="376B6AA6"/>
    <w:rsid w:val="376D39B2"/>
    <w:rsid w:val="37E16F03"/>
    <w:rsid w:val="37F53A3B"/>
    <w:rsid w:val="38000DED"/>
    <w:rsid w:val="389B6C89"/>
    <w:rsid w:val="38D469F0"/>
    <w:rsid w:val="39627CCD"/>
    <w:rsid w:val="397BAF1F"/>
    <w:rsid w:val="3AB79AF3"/>
    <w:rsid w:val="3AE834C0"/>
    <w:rsid w:val="3B7EF35A"/>
    <w:rsid w:val="3B9FDB6C"/>
    <w:rsid w:val="3BF5BC2F"/>
    <w:rsid w:val="3CDC3B8E"/>
    <w:rsid w:val="3CEBA265"/>
    <w:rsid w:val="3D98207C"/>
    <w:rsid w:val="3DEE7CF3"/>
    <w:rsid w:val="3E740A63"/>
    <w:rsid w:val="3E78745D"/>
    <w:rsid w:val="3EE17838"/>
    <w:rsid w:val="3F55381A"/>
    <w:rsid w:val="3F7F7599"/>
    <w:rsid w:val="3FF4CAE0"/>
    <w:rsid w:val="3FF7B227"/>
    <w:rsid w:val="44E268DA"/>
    <w:rsid w:val="450D13D7"/>
    <w:rsid w:val="45506656"/>
    <w:rsid w:val="474A140F"/>
    <w:rsid w:val="486A6C7A"/>
    <w:rsid w:val="4A40714D"/>
    <w:rsid w:val="4A627F82"/>
    <w:rsid w:val="4B0E749A"/>
    <w:rsid w:val="4B2477C4"/>
    <w:rsid w:val="4B4F25DA"/>
    <w:rsid w:val="4BE068DB"/>
    <w:rsid w:val="4D577224"/>
    <w:rsid w:val="4DBF1CEB"/>
    <w:rsid w:val="4DF0007C"/>
    <w:rsid w:val="4EAB630A"/>
    <w:rsid w:val="4ECE2238"/>
    <w:rsid w:val="4F7BF442"/>
    <w:rsid w:val="4F833267"/>
    <w:rsid w:val="4FE9BD67"/>
    <w:rsid w:val="4FFB052F"/>
    <w:rsid w:val="537E6D0A"/>
    <w:rsid w:val="53F74C96"/>
    <w:rsid w:val="54FA1CED"/>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56175F"/>
    <w:rsid w:val="776F6FFA"/>
    <w:rsid w:val="777256C6"/>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spacing w:before="0" w:beforeAutospacing="0" w:after="0" w:afterAutospacing="0"/>
      <w:ind w:left="1680" w:right="0"/>
      <w:jc w:val="left"/>
    </w:pPr>
    <w:rPr>
      <w:rFonts w:hint="eastAsia" w:ascii="宋体" w:hAnsi="宋体" w:eastAsia="宋体" w:cs="宋体"/>
      <w:kern w:val="0"/>
      <w:sz w:val="24"/>
      <w:szCs w:val="24"/>
      <w:lang w:val="en-US" w:eastAsia="zh-CN" w:bidi="ar"/>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6.e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customShpInfo spid="_x0000_s1029"/>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4950</Words>
  <Characters>5362</Characters>
  <Lines>60</Lines>
  <Paragraphs>17</Paragraphs>
  <TotalTime>34</TotalTime>
  <ScaleCrop>false</ScaleCrop>
  <LinksUpToDate>false</LinksUpToDate>
  <CharactersWithSpaces>5435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cp:lastModifiedBy>
  <cp:lastPrinted>2025-09-09T09:12:32Z</cp:lastPrinted>
  <dcterms:modified xsi:type="dcterms:W3CDTF">2025-09-09T09:42:20Z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eyJoZGlkIjoiYTk2ZjdiYTdjMDU1ODkwYTg3NjZmNjgwYzQ4YTE1MmUiLCJ1c2VySWQiOiIzNTI0NDAyNjUifQ==</vt:lpwstr>
  </property>
</Properties>
</file>