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B7653">
      <w:pPr>
        <w:pStyle w:val="6"/>
        <w:suppressAutoHyphens/>
        <w:bidi w:val="0"/>
        <w:spacing w:before="0" w:beforeLines="-2147483648" w:after="140" w:line="276" w:lineRule="auto"/>
        <w:jc w:val="center"/>
        <w:rPr>
          <w:rFonts w:hint="default" w:ascii="Times New Roman" w:hAnsi="Times New Roman" w:eastAsia="微软雅黑" w:cs="Times New Roman"/>
          <w:color w:val="auto"/>
          <w:kern w:val="2"/>
          <w:sz w:val="44"/>
          <w:szCs w:val="44"/>
          <w:highlight w:val="none"/>
          <w:lang w:val="en-US" w:eastAsia="zh-CN" w:bidi="ar-SA"/>
        </w:rPr>
      </w:pPr>
      <w:bookmarkStart w:id="0" w:name="_Toc15396597"/>
      <w:bookmarkStart w:id="1" w:name="_Toc15377425"/>
      <w:bookmarkStart w:id="2" w:name="_Toc15396475"/>
      <w:bookmarkStart w:id="3" w:name="_Toc15377193"/>
      <w:bookmarkStart w:id="4" w:name="_Toc15378441"/>
      <w:bookmarkStart w:id="5" w:name="_Toc15306267"/>
    </w:p>
    <w:p w14:paraId="39E26E59">
      <w:pPr>
        <w:pStyle w:val="6"/>
        <w:suppressAutoHyphens/>
        <w:bidi w:val="0"/>
        <w:spacing w:before="0" w:beforeLines="-2147483648" w:after="140" w:line="276" w:lineRule="auto"/>
        <w:jc w:val="center"/>
        <w:rPr>
          <w:rFonts w:hint="default" w:ascii="Times New Roman" w:hAnsi="Times New Roman" w:eastAsia="微软雅黑" w:cs="Times New Roman"/>
          <w:color w:val="auto"/>
          <w:kern w:val="2"/>
          <w:sz w:val="44"/>
          <w:szCs w:val="44"/>
          <w:highlight w:val="none"/>
          <w:lang w:val="en-US" w:eastAsia="zh-CN" w:bidi="ar-SA"/>
        </w:rPr>
      </w:pPr>
    </w:p>
    <w:p w14:paraId="171600B4">
      <w:pPr>
        <w:pStyle w:val="6"/>
        <w:suppressAutoHyphens/>
        <w:bidi w:val="0"/>
        <w:spacing w:before="0" w:beforeLines="-2147483648" w:after="140" w:line="276" w:lineRule="auto"/>
        <w:jc w:val="center"/>
        <w:rPr>
          <w:rFonts w:hint="default" w:ascii="Times New Roman" w:hAnsi="Times New Roman" w:eastAsia="微软雅黑" w:cs="Times New Roman"/>
          <w:color w:val="auto"/>
          <w:kern w:val="2"/>
          <w:sz w:val="44"/>
          <w:szCs w:val="44"/>
          <w:highlight w:val="none"/>
          <w:lang w:val="en-US" w:eastAsia="zh-CN" w:bidi="ar-SA"/>
        </w:rPr>
      </w:pPr>
    </w:p>
    <w:p w14:paraId="448855A9">
      <w:pPr>
        <w:pStyle w:val="6"/>
        <w:suppressAutoHyphens/>
        <w:bidi w:val="0"/>
        <w:spacing w:before="0" w:beforeLines="-2147483648" w:after="140" w:line="276" w:lineRule="auto"/>
        <w:jc w:val="center"/>
        <w:rPr>
          <w:rFonts w:hint="default" w:ascii="Times New Roman" w:hAnsi="Times New Roman" w:eastAsia="微软雅黑" w:cs="Times New Roman"/>
          <w:color w:val="auto"/>
          <w:kern w:val="2"/>
          <w:sz w:val="44"/>
          <w:szCs w:val="44"/>
          <w:highlight w:val="none"/>
          <w:lang w:val="en-US" w:eastAsia="zh-CN" w:bidi="ar-SA"/>
        </w:rPr>
      </w:pPr>
    </w:p>
    <w:p w14:paraId="4F0CB8B8">
      <w:pPr>
        <w:pStyle w:val="6"/>
        <w:suppressAutoHyphens/>
        <w:bidi w:val="0"/>
        <w:spacing w:before="0" w:beforeLines="-2147483648" w:after="140" w:line="276" w:lineRule="auto"/>
        <w:jc w:val="center"/>
        <w:rPr>
          <w:rFonts w:hint="eastAsia" w:ascii="方正小标宋简体" w:hAnsi="方正小标宋简体" w:eastAsia="方正小标宋简体" w:cs="方正小标宋简体"/>
          <w:color w:val="auto"/>
          <w:kern w:val="2"/>
          <w:sz w:val="44"/>
          <w:szCs w:val="44"/>
          <w:highlight w:val="none"/>
          <w:lang w:val="en-US" w:eastAsia="zh-CN" w:bidi="ar-SA"/>
        </w:rPr>
      </w:pPr>
    </w:p>
    <w:bookmarkEnd w:id="0"/>
    <w:bookmarkEnd w:id="1"/>
    <w:bookmarkEnd w:id="2"/>
    <w:bookmarkEnd w:id="3"/>
    <w:bookmarkEnd w:id="4"/>
    <w:p w14:paraId="47AEF975">
      <w:pPr>
        <w:pStyle w:val="6"/>
        <w:suppressAutoHyphens/>
        <w:bidi w:val="0"/>
        <w:spacing w:before="0" w:beforeLines="-2147483648" w:after="140" w:line="276" w:lineRule="auto"/>
        <w:jc w:val="center"/>
        <w:rPr>
          <w:rFonts w:hint="default" w:ascii="方正小标宋简体" w:hAnsi="方正小标宋简体" w:eastAsia="方正小标宋简体" w:cs="方正小标宋简体"/>
          <w:color w:val="auto"/>
          <w:kern w:val="2"/>
          <w:sz w:val="44"/>
          <w:szCs w:val="44"/>
          <w:highlight w:val="none"/>
          <w:lang w:val="en-US" w:eastAsia="zh-CN" w:bidi="ar-SA"/>
        </w:rPr>
      </w:pPr>
      <w:bookmarkStart w:id="6" w:name="_Toc15377194"/>
      <w:bookmarkStart w:id="7" w:name="_Toc15396598"/>
      <w:bookmarkStart w:id="8" w:name="_Toc15396476"/>
      <w:bookmarkStart w:id="9" w:name="_Toc15378442"/>
      <w:bookmarkStart w:id="10" w:name="_Toc15377426"/>
      <w:r>
        <w:rPr>
          <w:rFonts w:hint="eastAsia" w:ascii="方正小标宋简体" w:hAnsi="方正小标宋简体" w:eastAsia="方正小标宋简体" w:cs="方正小标宋简体"/>
          <w:color w:val="auto"/>
          <w:kern w:val="2"/>
          <w:sz w:val="44"/>
          <w:szCs w:val="44"/>
          <w:highlight w:val="none"/>
          <w:lang w:val="en-US" w:eastAsia="zh-CN" w:bidi="ar-SA"/>
        </w:rPr>
        <w:t>2024年度</w:t>
      </w:r>
      <w:bookmarkEnd w:id="5"/>
      <w:bookmarkStart w:id="11" w:name="_Toc15306268"/>
      <w:r>
        <w:rPr>
          <w:rFonts w:hint="eastAsia" w:ascii="方正小标宋简体" w:hAnsi="方正小标宋简体" w:eastAsia="方正小标宋简体" w:cs="方正小标宋简体"/>
          <w:color w:val="auto"/>
          <w:kern w:val="2"/>
          <w:sz w:val="44"/>
          <w:szCs w:val="44"/>
          <w:highlight w:val="none"/>
          <w:lang w:val="en-US" w:eastAsia="zh-CN" w:bidi="ar-SA"/>
        </w:rPr>
        <w:t>中共阿坝州直属机关工作委员会部门决算</w:t>
      </w:r>
      <w:bookmarkEnd w:id="6"/>
      <w:bookmarkEnd w:id="7"/>
      <w:bookmarkEnd w:id="8"/>
      <w:bookmarkEnd w:id="9"/>
      <w:bookmarkEnd w:id="10"/>
      <w:bookmarkEnd w:id="11"/>
      <w:r>
        <w:rPr>
          <w:rFonts w:hint="eastAsia" w:ascii="方正小标宋简体" w:hAnsi="方正小标宋简体" w:eastAsia="方正小标宋简体" w:cs="方正小标宋简体"/>
          <w:color w:val="auto"/>
          <w:kern w:val="2"/>
          <w:sz w:val="44"/>
          <w:szCs w:val="44"/>
          <w:highlight w:val="none"/>
          <w:lang w:val="en-US" w:eastAsia="zh-CN" w:bidi="ar-SA"/>
        </w:rPr>
        <w:t>公开</w:t>
      </w:r>
    </w:p>
    <w:p w14:paraId="2CD3E926">
      <w:pPr>
        <w:pStyle w:val="38"/>
        <w:keepNext w:val="0"/>
        <w:keepLines w:val="0"/>
        <w:widowControl/>
        <w:suppressLineNumbers w:val="0"/>
        <w:spacing w:before="0" w:beforeAutospacing="0"/>
        <w:ind w:left="420" w:leftChars="200"/>
        <w:jc w:val="center"/>
        <w:rPr>
          <w:rFonts w:hint="eastAsia" w:ascii="宋体" w:hAnsi="宋体" w:eastAsia="宋体" w:cs="宋体"/>
          <w:kern w:val="0"/>
          <w:sz w:val="28"/>
          <w:szCs w:val="28"/>
          <w:shd w:val="clear" w:color="auto" w:fill="FFFFFF"/>
        </w:rPr>
      </w:pPr>
    </w:p>
    <w:p w14:paraId="352F6FCE">
      <w:pPr>
        <w:pStyle w:val="38"/>
        <w:keepNext w:val="0"/>
        <w:keepLines w:val="0"/>
        <w:widowControl/>
        <w:suppressLineNumbers w:val="0"/>
        <w:spacing w:before="0" w:beforeAutospacing="0"/>
        <w:ind w:left="420" w:leftChars="200"/>
        <w:jc w:val="center"/>
        <w:rPr>
          <w:rFonts w:hint="eastAsia" w:ascii="宋体" w:hAnsi="宋体" w:eastAsia="宋体" w:cs="宋体"/>
          <w:kern w:val="0"/>
          <w:sz w:val="28"/>
          <w:szCs w:val="28"/>
          <w:shd w:val="clear" w:color="auto" w:fill="FFFFFF"/>
        </w:rPr>
      </w:pPr>
    </w:p>
    <w:p w14:paraId="36B8F4AD">
      <w:pPr>
        <w:pStyle w:val="38"/>
        <w:keepNext w:val="0"/>
        <w:keepLines w:val="0"/>
        <w:widowControl/>
        <w:suppressLineNumbers w:val="0"/>
        <w:spacing w:before="0" w:beforeAutospacing="0"/>
        <w:ind w:left="420" w:leftChars="200"/>
        <w:jc w:val="center"/>
        <w:rPr>
          <w:rFonts w:hint="eastAsia" w:ascii="宋体" w:hAnsi="宋体" w:eastAsia="宋体" w:cs="宋体"/>
          <w:kern w:val="0"/>
          <w:sz w:val="28"/>
          <w:szCs w:val="28"/>
          <w:shd w:val="clear" w:color="auto" w:fill="FFFFFF"/>
        </w:rPr>
      </w:pPr>
    </w:p>
    <w:p w14:paraId="1C046EF9">
      <w:pPr>
        <w:pStyle w:val="38"/>
        <w:keepNext w:val="0"/>
        <w:keepLines w:val="0"/>
        <w:widowControl/>
        <w:suppressLineNumbers w:val="0"/>
        <w:spacing w:before="0" w:beforeAutospacing="0"/>
        <w:ind w:left="420" w:leftChars="200"/>
        <w:jc w:val="center"/>
        <w:rPr>
          <w:rFonts w:hint="eastAsia" w:ascii="宋体" w:hAnsi="宋体" w:eastAsia="宋体" w:cs="宋体"/>
          <w:kern w:val="0"/>
          <w:sz w:val="28"/>
          <w:szCs w:val="28"/>
          <w:shd w:val="clear" w:color="auto" w:fill="FFFFFF"/>
        </w:rPr>
      </w:pPr>
    </w:p>
    <w:p w14:paraId="6E894978">
      <w:pPr>
        <w:pStyle w:val="38"/>
        <w:keepNext w:val="0"/>
        <w:keepLines w:val="0"/>
        <w:widowControl/>
        <w:suppressLineNumbers w:val="0"/>
        <w:spacing w:before="0" w:beforeAutospacing="0"/>
        <w:ind w:left="420" w:leftChars="200"/>
        <w:jc w:val="center"/>
        <w:rPr>
          <w:rFonts w:hint="eastAsia" w:ascii="宋体" w:hAnsi="宋体" w:eastAsia="宋体" w:cs="宋体"/>
          <w:kern w:val="0"/>
          <w:sz w:val="28"/>
          <w:szCs w:val="28"/>
          <w:shd w:val="clear" w:color="auto" w:fill="FFFFFF"/>
        </w:rPr>
      </w:pPr>
    </w:p>
    <w:p w14:paraId="0644578E">
      <w:pPr>
        <w:pStyle w:val="38"/>
        <w:keepNext w:val="0"/>
        <w:keepLines w:val="0"/>
        <w:widowControl/>
        <w:suppressLineNumbers w:val="0"/>
        <w:spacing w:before="0" w:beforeAutospacing="0"/>
        <w:ind w:left="420" w:leftChars="200"/>
        <w:jc w:val="center"/>
        <w:rPr>
          <w:rFonts w:hint="eastAsia" w:ascii="宋体" w:hAnsi="宋体" w:eastAsia="宋体" w:cs="宋体"/>
          <w:kern w:val="0"/>
          <w:sz w:val="28"/>
          <w:szCs w:val="28"/>
          <w:shd w:val="clear" w:color="auto" w:fill="FFFFFF"/>
        </w:rPr>
      </w:pPr>
    </w:p>
    <w:p w14:paraId="76664953">
      <w:pPr>
        <w:pStyle w:val="38"/>
        <w:keepNext w:val="0"/>
        <w:keepLines w:val="0"/>
        <w:widowControl/>
        <w:suppressLineNumbers w:val="0"/>
        <w:spacing w:before="0" w:beforeAutospacing="0"/>
        <w:ind w:firstLine="1680" w:firstLineChars="600"/>
        <w:jc w:val="both"/>
        <w:rPr>
          <w:rFonts w:hint="default" w:ascii="Times New Roman" w:hAnsi="Times New Roman" w:eastAsia="宋体" w:cs="Times New Roman"/>
          <w:kern w:val="0"/>
          <w:sz w:val="28"/>
          <w:szCs w:val="28"/>
        </w:rPr>
      </w:pPr>
      <w:r>
        <w:rPr>
          <w:rFonts w:hint="eastAsia" w:ascii="宋体" w:hAnsi="宋体" w:eastAsia="宋体" w:cs="宋体"/>
          <w:kern w:val="0"/>
          <w:sz w:val="28"/>
          <w:szCs w:val="28"/>
          <w:shd w:val="clear" w:color="auto" w:fill="FFFFFF"/>
        </w:rPr>
        <w:t>已经保密审查、内容审定，同意对外公开</w:t>
      </w:r>
    </w:p>
    <w:p w14:paraId="04428930">
      <w:pPr>
        <w:widowControl/>
        <w:jc w:val="center"/>
        <w:rPr>
          <w:rFonts w:hint="default" w:ascii="Times New Roman" w:hAnsi="Times New Roman" w:eastAsia="黑体" w:cs="Times New Roman"/>
          <w:sz w:val="48"/>
          <w:szCs w:val="48"/>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48525C46">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14:paraId="3A675FA4">
      <w:pPr>
        <w:widowControl/>
        <w:jc w:val="center"/>
        <w:rPr>
          <w:rFonts w:hint="default" w:ascii="Times New Roman" w:hAnsi="Times New Roman" w:eastAsia="黑体" w:cs="Times New Roman"/>
          <w:sz w:val="28"/>
          <w:szCs w:val="28"/>
        </w:rPr>
      </w:pPr>
    </w:p>
    <w:p w14:paraId="3AB94423">
      <w:pPr>
        <w:pStyle w:val="1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日</w:t>
      </w:r>
    </w:p>
    <w:p w14:paraId="63C0BCB0">
      <w:pPr>
        <w:rPr>
          <w:rFonts w:hint="default" w:ascii="Times New Roman" w:hAnsi="Times New Roman" w:cs="Times New Roman"/>
        </w:rPr>
      </w:pPr>
    </w:p>
    <w:p w14:paraId="162A9EE7">
      <w:pPr>
        <w:pStyle w:val="13"/>
        <w:adjustRightInd w:val="0"/>
        <w:snapToGrid w:val="0"/>
        <w:spacing w:before="0"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第一部分 部门概况</w:t>
      </w:r>
    </w:p>
    <w:p w14:paraId="07155AE4">
      <w:pPr>
        <w:ind w:firstLine="640" w:firstLineChars="20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32"/>
          <w:szCs w:val="32"/>
        </w:rPr>
        <w:t>一、部门职责</w:t>
      </w:r>
      <w:r>
        <w:rPr>
          <w:rFonts w:hint="eastAsia" w:eastAsia="仿宋_GB2312" w:cs="Times New Roman"/>
          <w:sz w:val="32"/>
          <w:szCs w:val="32"/>
          <w:lang w:val="en-US" w:eastAsia="zh-CN"/>
        </w:rPr>
        <w:t xml:space="preserve">    </w:t>
      </w:r>
      <w:r>
        <w:rPr>
          <w:rFonts w:hint="eastAsia"/>
          <w:lang w:eastAsia="zh-CN"/>
        </w:rPr>
        <w:t>……………………………………………………………</w:t>
      </w:r>
      <w:r>
        <w:rPr>
          <w:rFonts w:hint="eastAsia" w:eastAsia="仿宋_GB2312" w:cs="Times New Roman"/>
          <w:sz w:val="24"/>
          <w:szCs w:val="24"/>
          <w:lang w:val="en-US" w:eastAsia="zh-CN"/>
        </w:rPr>
        <w:t>4-5</w:t>
      </w:r>
    </w:p>
    <w:p w14:paraId="4FBD899C">
      <w:pPr>
        <w:pStyle w:val="15"/>
        <w:adjustRightInd w:val="0"/>
        <w:snapToGrid w:val="0"/>
        <w:spacing w:line="560" w:lineRule="exact"/>
        <w:ind w:left="0" w:leftChars="0" w:firstLine="640" w:firstLineChars="200"/>
        <w:jc w:val="left"/>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32"/>
          <w:szCs w:val="32"/>
        </w:rPr>
        <w:t>二、机构设置</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eastAsia="仿宋_GB2312" w:cs="Times New Roman"/>
          <w:kern w:val="2"/>
          <w:sz w:val="24"/>
          <w:szCs w:val="24"/>
          <w:lang w:val="en-US" w:eastAsia="zh-CN" w:bidi="ar-SA"/>
        </w:rPr>
        <w:t>5</w:t>
      </w:r>
    </w:p>
    <w:p w14:paraId="5D6095BD">
      <w:pPr>
        <w:pStyle w:val="13"/>
        <w:adjustRightInd w:val="0"/>
        <w:snapToGrid w:val="0"/>
        <w:spacing w:before="0"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第二部分 2024年度部门决算情况说明</w:t>
      </w:r>
    </w:p>
    <w:p w14:paraId="5155C649">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一、收入支出决算总体情况说明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6</w:t>
      </w:r>
    </w:p>
    <w:p w14:paraId="4FCE229F">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二、收入决算情况说明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6-7</w:t>
      </w:r>
    </w:p>
    <w:p w14:paraId="033A218A">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三、支出决算情况说</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7</w:t>
      </w:r>
    </w:p>
    <w:p w14:paraId="2FE2F279">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四、财政拨款收入支出决算总体情况说</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8</w:t>
      </w:r>
    </w:p>
    <w:p w14:paraId="05A94E15">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五、一般公共预算财政拨款支出决算情况说明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8-11</w:t>
      </w:r>
    </w:p>
    <w:p w14:paraId="56D489FE">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六、一般公共预算财政拨款基本支出决算情况说明</w:t>
      </w:r>
      <w:r>
        <w:rPr>
          <w:rFonts w:hint="eastAsia"/>
          <w:lang w:eastAsia="zh-CN"/>
        </w:rPr>
        <w:t>…</w:t>
      </w:r>
      <w:r>
        <w:rPr>
          <w:rFonts w:hint="default" w:ascii="Times New Roman" w:hAnsi="Times New Roman" w:cs="Times New Roman"/>
          <w:sz w:val="24"/>
          <w:szCs w:val="24"/>
          <w:lang w:val="en-US" w:eastAsia="zh-CN"/>
        </w:rPr>
        <w:t>11-12</w:t>
      </w:r>
    </w:p>
    <w:p w14:paraId="5E00F471">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七、财政拨款“三公”经费支出决算情况说明</w:t>
      </w:r>
      <w:r>
        <w:rPr>
          <w:rFonts w:hint="eastAsia"/>
          <w:lang w:eastAsia="zh-CN"/>
        </w:rPr>
        <w:t>……………</w:t>
      </w:r>
      <w:r>
        <w:rPr>
          <w:rFonts w:hint="default" w:ascii="Times New Roman" w:hAnsi="Times New Roman" w:cs="Times New Roman"/>
          <w:sz w:val="24"/>
          <w:szCs w:val="24"/>
          <w:lang w:val="en-US" w:eastAsia="zh-CN"/>
        </w:rPr>
        <w:t>12-13</w:t>
      </w:r>
    </w:p>
    <w:p w14:paraId="3B729C15">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八、政府性基金预算支出决算情况说明</w:t>
      </w:r>
      <w:r>
        <w:rPr>
          <w:rFonts w:hint="eastAsia"/>
          <w:lang w:eastAsia="zh-CN"/>
        </w:rPr>
        <w:t>………………………</w:t>
      </w:r>
      <w:r>
        <w:rPr>
          <w:rFonts w:hint="default" w:ascii="Times New Roman" w:hAnsi="Times New Roman" w:cs="Times New Roman"/>
          <w:sz w:val="24"/>
          <w:szCs w:val="24"/>
          <w:lang w:val="en-US" w:eastAsia="zh-CN"/>
        </w:rPr>
        <w:t>13</w:t>
      </w:r>
    </w:p>
    <w:p w14:paraId="1FFEFCFA">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九、国有资本经营预算支出决算情况说明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13</w:t>
      </w:r>
    </w:p>
    <w:p w14:paraId="23B50E32">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32"/>
          <w:szCs w:val="32"/>
        </w:rPr>
        <w:t>十、其他重要事项的情况说明</w:t>
      </w:r>
      <w:r>
        <w:rPr>
          <w:rFonts w:hint="eastAsia" w:eastAsia="仿宋_GB2312"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13-15</w:t>
      </w:r>
    </w:p>
    <w:p w14:paraId="0D792C5F">
      <w:pPr>
        <w:pStyle w:val="13"/>
        <w:adjustRightInd w:val="0"/>
        <w:snapToGrid w:val="0"/>
        <w:spacing w:before="0" w:line="560" w:lineRule="exact"/>
        <w:jc w:val="left"/>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第三部分 名词解释</w:t>
      </w:r>
      <w:r>
        <w:rPr>
          <w:rFonts w:hint="eastAsia" w:ascii="Times New Roman" w:hAnsi="Times New Roman" w:eastAsia="黑体"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16-19</w:t>
      </w:r>
    </w:p>
    <w:p w14:paraId="6EE48324">
      <w:pPr>
        <w:pStyle w:val="13"/>
        <w:adjustRightInd w:val="0"/>
        <w:snapToGrid w:val="0"/>
        <w:spacing w:before="0" w:line="560" w:lineRule="exact"/>
        <w:jc w:val="left"/>
        <w:rPr>
          <w:rFonts w:hint="default"/>
          <w:lang w:val="en-US" w:eastAsia="zh-CN"/>
        </w:rPr>
      </w:pPr>
      <w:r>
        <w:rPr>
          <w:rFonts w:hint="default" w:ascii="Times New Roman" w:hAnsi="Times New Roman" w:eastAsia="黑体" w:cs="Times New Roman"/>
          <w:sz w:val="32"/>
          <w:szCs w:val="32"/>
        </w:rPr>
        <w:t>第四部分 附件</w:t>
      </w:r>
      <w:r>
        <w:rPr>
          <w:rFonts w:hint="eastAsia" w:ascii="Times New Roman" w:hAnsi="Times New Roman" w:eastAsia="黑体" w:cs="Times New Roman"/>
          <w:sz w:val="32"/>
          <w:szCs w:val="32"/>
          <w:lang w:val="en-US" w:eastAsia="zh-CN"/>
        </w:rPr>
        <w:t xml:space="preserve">  </w:t>
      </w:r>
      <w:r>
        <w:rPr>
          <w:rFonts w:hint="eastAsia"/>
          <w:lang w:eastAsia="zh-CN"/>
        </w:rPr>
        <w:t>…………………………………………………</w:t>
      </w:r>
      <w:r>
        <w:rPr>
          <w:rFonts w:hint="default" w:ascii="Times New Roman" w:hAnsi="Times New Roman" w:cs="Times New Roman"/>
          <w:sz w:val="24"/>
          <w:szCs w:val="24"/>
          <w:lang w:val="en-US" w:eastAsia="zh-CN"/>
        </w:rPr>
        <w:t>20-59</w:t>
      </w:r>
    </w:p>
    <w:p w14:paraId="0F0A60EC">
      <w:pPr>
        <w:pStyle w:val="13"/>
        <w:adjustRightInd w:val="0"/>
        <w:snapToGrid w:val="0"/>
        <w:spacing w:before="0" w:line="560" w:lineRule="exact"/>
        <w:jc w:val="left"/>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第五部分 附表</w:t>
      </w:r>
      <w:r>
        <w:rPr>
          <w:rFonts w:hint="eastAsia"/>
          <w:lang w:eastAsia="zh-CN"/>
        </w:rPr>
        <w:t>………………………………………………………</w:t>
      </w:r>
      <w:r>
        <w:rPr>
          <w:rFonts w:hint="default" w:ascii="Times New Roman" w:hAnsi="Times New Roman" w:cs="Times New Roman"/>
          <w:sz w:val="24"/>
          <w:szCs w:val="24"/>
          <w:lang w:val="en-US" w:eastAsia="zh-CN"/>
        </w:rPr>
        <w:t>60</w:t>
      </w:r>
    </w:p>
    <w:p w14:paraId="25B9FD90">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p>
    <w:p w14:paraId="6D72D4AC">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二、收入决算表</w:t>
      </w:r>
    </w:p>
    <w:p w14:paraId="7004AF0A">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三、支出决算表</w:t>
      </w:r>
    </w:p>
    <w:p w14:paraId="694E3723">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p>
    <w:p w14:paraId="77CDBED6">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五、财政拨款支出决算明细表</w:t>
      </w:r>
    </w:p>
    <w:p w14:paraId="2DA8883A">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p>
    <w:p w14:paraId="25B469D2">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七、一般公共预算财政拨款支出决算明细表</w:t>
      </w:r>
    </w:p>
    <w:p w14:paraId="3BD6C084">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八、一般公共预算财政拨款基本支出决算明细表</w:t>
      </w:r>
    </w:p>
    <w:p w14:paraId="524B9B3A">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九、一般公共预算财政拨款项目支出决算表</w:t>
      </w:r>
    </w:p>
    <w:p w14:paraId="7477C8A1">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十、政府性基金预算财政拨款收入支出决算表</w:t>
      </w:r>
    </w:p>
    <w:p w14:paraId="7EEFC5DB">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十一、国有资本经营预算财政拨款收入支出决算表</w:t>
      </w:r>
    </w:p>
    <w:p w14:paraId="70742367">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十二、国有资本经营预算财政拨款支出决算表</w:t>
      </w:r>
    </w:p>
    <w:p w14:paraId="3B3F2705">
      <w:pPr>
        <w:pStyle w:val="15"/>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十三、财政拨款“三公”经费支出决算表</w:t>
      </w:r>
    </w:p>
    <w:p w14:paraId="1848713F">
      <w:pPr>
        <w:widowControl/>
        <w:spacing w:line="560" w:lineRule="exact"/>
        <w:jc w:val="left"/>
        <w:rPr>
          <w:rFonts w:hint="default" w:ascii="Times New Roman" w:hAnsi="Times New Roman" w:eastAsia="仿宋_GB2312" w:cs="Times New Roman"/>
          <w:bCs/>
          <w:kern w:val="44"/>
          <w:sz w:val="32"/>
          <w:szCs w:val="32"/>
        </w:rPr>
      </w:pPr>
      <w:bookmarkStart w:id="12" w:name="_Toc15377196"/>
      <w:bookmarkStart w:id="13" w:name="_Toc15396599"/>
      <w:r>
        <w:rPr>
          <w:rFonts w:hint="default" w:ascii="Times New Roman" w:hAnsi="Times New Roman" w:eastAsia="仿宋_GB2312" w:cs="Times New Roman"/>
          <w:b/>
          <w:sz w:val="32"/>
          <w:szCs w:val="32"/>
        </w:rPr>
        <w:br w:type="page"/>
      </w:r>
    </w:p>
    <w:p w14:paraId="7A0BB24A">
      <w:pPr>
        <w:pStyle w:val="3"/>
        <w:jc w:val="center"/>
        <w:rPr>
          <w:rStyle w:val="29"/>
          <w:rFonts w:hint="eastAsia" w:ascii="方正小标宋简体" w:hAnsi="方正小标宋简体" w:eastAsia="方正小标宋简体" w:cs="方正小标宋简体"/>
          <w:b/>
          <w:bCs w:val="0"/>
        </w:rPr>
      </w:pPr>
      <w:r>
        <w:rPr>
          <w:rFonts w:hint="eastAsia" w:ascii="方正小标宋简体" w:hAnsi="方正小标宋简体" w:eastAsia="方正小标宋简体" w:cs="方正小标宋简体"/>
          <w:b w:val="0"/>
        </w:rPr>
        <w:t xml:space="preserve">第一部分  </w:t>
      </w:r>
      <w:r>
        <w:rPr>
          <w:rStyle w:val="29"/>
          <w:rFonts w:hint="eastAsia" w:ascii="方正小标宋简体" w:hAnsi="方正小标宋简体" w:eastAsia="方正小标宋简体" w:cs="方正小标宋简体"/>
          <w:b w:val="0"/>
          <w:bCs w:val="0"/>
        </w:rPr>
        <w:t>部门概况</w:t>
      </w:r>
      <w:bookmarkEnd w:id="12"/>
      <w:bookmarkEnd w:id="13"/>
    </w:p>
    <w:p w14:paraId="6E8BE59E">
      <w:pPr>
        <w:widowControl/>
        <w:jc w:val="left"/>
        <w:rPr>
          <w:rFonts w:hint="default" w:ascii="Times New Roman" w:hAnsi="Times New Roman" w:eastAsia="黑体" w:cs="Times New Roman"/>
          <w:sz w:val="32"/>
          <w:szCs w:val="32"/>
        </w:rPr>
      </w:pPr>
    </w:p>
    <w:p w14:paraId="77367542">
      <w:pPr>
        <w:pStyle w:val="4"/>
        <w:pageBreakBefore w:val="0"/>
        <w:widowControl w:val="0"/>
        <w:numPr>
          <w:ilvl w:val="0"/>
          <w:numId w:val="1"/>
        </w:numPr>
        <w:kinsoku/>
        <w:wordWrap/>
        <w:overflowPunct/>
        <w:topLinePunct w:val="0"/>
        <w:autoSpaceDE/>
        <w:autoSpaceDN/>
        <w:bidi w:val="0"/>
        <w:snapToGrid/>
        <w:spacing w:before="0" w:after="0"/>
        <w:textAlignment w:val="auto"/>
        <w:rPr>
          <w:rFonts w:hint="default" w:ascii="Times New Roman" w:hAnsi="Times New Roman" w:eastAsia="黑体" w:cs="Times New Roman"/>
          <w:b w:val="0"/>
        </w:rPr>
      </w:pPr>
      <w:r>
        <w:rPr>
          <w:rFonts w:hint="default" w:ascii="Times New Roman" w:hAnsi="Times New Roman" w:eastAsia="黑体" w:cs="Times New Roman"/>
          <w:b w:val="0"/>
        </w:rPr>
        <w:t>部门职责</w:t>
      </w:r>
    </w:p>
    <w:p w14:paraId="562AF18C">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规划州直机关党的建设，分类指导州直机关党组织抓好党的政治、思想、组织、作风、纪律、制度建设和党员的发展、教育、管理工作。</w:t>
      </w:r>
    </w:p>
    <w:p w14:paraId="3CFFE682">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负责实施州直机关领导班子、领导干部的思想政治和作风建设；指导州直机关党组织加强党风廉政建设；指导州直机关各级党组织实施对党员特别是党员领导干部的监督。</w:t>
      </w:r>
    </w:p>
    <w:p w14:paraId="4881007C">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综合指导州直机关精神文明建设有关工作，承担州直机关思想、道德、文化建设工作。</w:t>
      </w:r>
    </w:p>
    <w:p w14:paraId="556BE227">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负责审批州直机关各部门机关党委、直属总支、支部和机关纪委的建立、领导班子的组成；负责州直机关各部门机关党委、直属总支、支部和纪委负责人的考核、任免和培训工作。</w:t>
      </w:r>
    </w:p>
    <w:p w14:paraId="63C3D13F">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领导州直机关党的纪律检查工作，按照干部管理权限依照党章和其他党内法规履行监督、执纪、问责职责，依照监察法和有关法律规定履行监督、调查、处置职责；审理州纪委监委派驻州级党和国家机关纪检监察组审查的党组织和党员违反党纪的案件、调查的公职人员职务违法案件。</w:t>
      </w:r>
    </w:p>
    <w:p w14:paraId="6AEDA10B">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指导州直机关党组织抓好党员和干部的理论学习、党的路线方针政策以及科学文化业务知识的学习；组织实施州直机关党员、党务干部和入党积极分子的教育培训工作。</w:t>
      </w:r>
    </w:p>
    <w:p w14:paraId="26D02D25">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指导州直机关各部门机关党组织配合行政领导做好思想政治工作、统战工作和社会稳定工作。</w:t>
      </w:r>
    </w:p>
    <w:p w14:paraId="50845C22">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领导州直机关工、青、妇等群众组织的工作。</w:t>
      </w:r>
    </w:p>
    <w:p w14:paraId="33D68D20">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9.负责州直部门（单位）驻村干部轮换和安排及帮扶工作队员管理服务等工作。</w:t>
      </w:r>
    </w:p>
    <w:p w14:paraId="6DFDCDA2">
      <w:pPr>
        <w:keepNext w:val="0"/>
        <w:keepLines w:val="0"/>
        <w:pageBreakBefore w:val="0"/>
        <w:widowControl w:val="0"/>
        <w:kinsoku/>
        <w:wordWrap/>
        <w:overflowPunct/>
        <w:topLinePunct w:val="0"/>
        <w:autoSpaceDE/>
        <w:autoSpaceDN/>
        <w:bidi w:val="0"/>
        <w:adjustRightInd w:val="0"/>
        <w:snapToGrid/>
        <w:spacing w:afterAutospacing="0" w:line="560" w:lineRule="exact"/>
        <w:ind w:firstLine="640" w:firstLineChars="200"/>
        <w:textAlignment w:val="auto"/>
        <w:rPr>
          <w:rFonts w:hint="default" w:ascii="Times New Roman" w:hAnsi="Times New Roman" w:cs="Times New Roman"/>
        </w:rPr>
      </w:pP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完成州委交办的其他事项。</w:t>
      </w:r>
    </w:p>
    <w:p w14:paraId="20E26EF0">
      <w:pPr>
        <w:pStyle w:val="4"/>
        <w:pageBreakBefore w:val="0"/>
        <w:kinsoku/>
        <w:wordWrap/>
        <w:overflowPunct/>
        <w:topLinePunct w:val="0"/>
        <w:autoSpaceDE/>
        <w:autoSpaceDN/>
        <w:bidi w:val="0"/>
        <w:spacing w:before="0" w:after="0"/>
        <w:textAlignment w:val="auto"/>
        <w:rPr>
          <w:rStyle w:val="30"/>
          <w:rFonts w:hint="default" w:ascii="Times New Roman" w:hAnsi="Times New Roman" w:eastAsia="黑体" w:cs="Times New Roman"/>
          <w:b w:val="0"/>
          <w:bCs w:val="0"/>
        </w:rPr>
      </w:pPr>
      <w:bookmarkStart w:id="14" w:name="_Toc15377200"/>
      <w:bookmarkStart w:id="15" w:name="_Toc15396601"/>
      <w:r>
        <w:rPr>
          <w:rFonts w:hint="default" w:ascii="Times New Roman" w:hAnsi="Times New Roman" w:eastAsia="黑体" w:cs="Times New Roman"/>
          <w:b w:val="0"/>
        </w:rPr>
        <w:t>二、机</w:t>
      </w:r>
      <w:r>
        <w:rPr>
          <w:rStyle w:val="30"/>
          <w:rFonts w:hint="default" w:ascii="Times New Roman" w:hAnsi="Times New Roman" w:eastAsia="黑体" w:cs="Times New Roman"/>
          <w:b w:val="0"/>
          <w:bCs w:val="0"/>
        </w:rPr>
        <w:t>构设置</w:t>
      </w:r>
      <w:bookmarkEnd w:id="14"/>
      <w:bookmarkEnd w:id="15"/>
    </w:p>
    <w:p w14:paraId="5512BF5A">
      <w:pPr>
        <w:pStyle w:val="4"/>
        <w:pageBreakBefore w:val="0"/>
        <w:kinsoku/>
        <w:wordWrap/>
        <w:overflowPunct/>
        <w:topLinePunct w:val="0"/>
        <w:autoSpaceDE/>
        <w:autoSpaceDN/>
        <w:bidi w:val="0"/>
        <w:spacing w:before="0" w:after="0"/>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中共阿坝州直属机关工作委员会</w:t>
      </w:r>
      <w:r>
        <w:rPr>
          <w:rFonts w:hint="default" w:ascii="Times New Roman" w:hAnsi="Times New Roman" w:eastAsia="仿宋_GB2312" w:cs="Times New Roman"/>
          <w:b w:val="0"/>
          <w:bCs w:val="0"/>
          <w:sz w:val="32"/>
          <w:szCs w:val="32"/>
        </w:rPr>
        <w:t>下属二级预算单位</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个，其中行政单位</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个，其他事业单位</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个。</w:t>
      </w:r>
    </w:p>
    <w:p w14:paraId="67060DE8">
      <w:pPr>
        <w:pStyle w:val="6"/>
        <w:pageBreakBefore w:val="0"/>
        <w:kinsoku/>
        <w:wordWrap/>
        <w:overflowPunct/>
        <w:topLinePunct w:val="0"/>
        <w:autoSpaceDE/>
        <w:autoSpaceDN/>
        <w:bidi w:val="0"/>
        <w:adjustRightInd w:val="0"/>
        <w:snapToGrid w:val="0"/>
        <w:spacing w:beforeLines="0" w:line="600" w:lineRule="exact"/>
        <w:ind w:firstLine="672" w:firstLineChars="210"/>
        <w:textAlignment w:val="auto"/>
        <w:rPr>
          <w:rFonts w:hint="default" w:ascii="Times New Roman" w:hAnsi="Times New Roman" w:cs="Times New Roman"/>
          <w:sz w:val="32"/>
          <w:szCs w:val="32"/>
        </w:rPr>
      </w:pPr>
      <w:r>
        <w:rPr>
          <w:rFonts w:hint="default" w:ascii="Times New Roman" w:hAnsi="Times New Roman" w:cs="Times New Roman"/>
          <w:sz w:val="32"/>
          <w:szCs w:val="32"/>
        </w:rPr>
        <w:t>纳入</w:t>
      </w:r>
      <w:r>
        <w:rPr>
          <w:rFonts w:hint="default" w:ascii="Times New Roman" w:hAnsi="Times New Roman" w:cs="Times New Roman"/>
          <w:sz w:val="32"/>
          <w:szCs w:val="32"/>
          <w:lang w:val="en-US" w:eastAsia="zh-CN"/>
        </w:rPr>
        <w:t>中共阿坝州直属机关工作委员会</w:t>
      </w:r>
      <w:r>
        <w:rPr>
          <w:rFonts w:hint="default" w:ascii="Times New Roman" w:hAnsi="Times New Roman" w:cs="Times New Roman"/>
          <w:sz w:val="32"/>
          <w:szCs w:val="32"/>
        </w:rPr>
        <w:t>2024年度部门决算编制范围的二级预算单位包括：</w:t>
      </w:r>
    </w:p>
    <w:p w14:paraId="0993466C">
      <w:pPr>
        <w:pStyle w:val="6"/>
        <w:pageBreakBefore w:val="0"/>
        <w:numPr>
          <w:ilvl w:val="0"/>
          <w:numId w:val="0"/>
        </w:numPr>
        <w:kinsoku/>
        <w:wordWrap/>
        <w:overflowPunct/>
        <w:topLinePunct w:val="0"/>
        <w:autoSpaceDE/>
        <w:autoSpaceDN/>
        <w:bidi w:val="0"/>
        <w:adjustRightInd w:val="0"/>
        <w:snapToGrid w:val="0"/>
        <w:spacing w:beforeLines="0" w:line="600" w:lineRule="exact"/>
        <w:ind w:left="672" w:leftChars="0"/>
        <w:textAlignment w:val="auto"/>
        <w:outlineLvl w:val="2"/>
        <w:rPr>
          <w:rFonts w:hint="default" w:ascii="Times New Roman" w:hAnsi="Times New Roman" w:cs="Times New Roman"/>
          <w:sz w:val="32"/>
          <w:szCs w:val="32"/>
        </w:rPr>
      </w:pPr>
      <w:bookmarkStart w:id="16" w:name="_Toc15377433"/>
      <w:bookmarkStart w:id="17" w:name="_Toc15306276"/>
      <w:bookmarkStart w:id="18" w:name="_Toc15378449"/>
      <w:bookmarkStart w:id="19" w:name="_Toc15377202"/>
      <w:r>
        <w:rPr>
          <w:rFonts w:hint="default" w:ascii="Times New Roman" w:hAnsi="Times New Roman" w:cs="Times New Roman"/>
          <w:sz w:val="32"/>
          <w:szCs w:val="32"/>
          <w:lang w:val="en-US" w:eastAsia="zh-CN"/>
        </w:rPr>
        <w:t>1.中共阿坝州直属机关工作委员会</w:t>
      </w:r>
      <w:bookmarkEnd w:id="16"/>
      <w:bookmarkEnd w:id="17"/>
      <w:bookmarkEnd w:id="18"/>
      <w:bookmarkEnd w:id="19"/>
    </w:p>
    <w:p w14:paraId="7A8DE7FB">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仿宋" w:cs="Times New Roman"/>
          <w:sz w:val="32"/>
          <w:szCs w:val="32"/>
          <w:lang w:val="en-US" w:eastAsia="zh-CN"/>
        </w:rPr>
        <w:t>2.阿坝州直属机关基层帮扶工作</w:t>
      </w:r>
      <w:r>
        <w:rPr>
          <w:rFonts w:hint="eastAsia" w:eastAsia="仿宋" w:cs="Times New Roman"/>
          <w:sz w:val="32"/>
          <w:szCs w:val="32"/>
          <w:lang w:val="en-US" w:eastAsia="zh-CN"/>
        </w:rPr>
        <w:t>服务</w:t>
      </w:r>
      <w:r>
        <w:rPr>
          <w:rFonts w:hint="default" w:ascii="Times New Roman" w:hAnsi="Times New Roman" w:eastAsia="仿宋" w:cs="Times New Roman"/>
          <w:sz w:val="32"/>
          <w:szCs w:val="32"/>
          <w:lang w:val="en-US" w:eastAsia="zh-CN"/>
        </w:rPr>
        <w:t>中心</w:t>
      </w:r>
    </w:p>
    <w:p w14:paraId="7BDEBEC7">
      <w:pPr>
        <w:pStyle w:val="6"/>
        <w:pageBreakBefore w:val="0"/>
        <w:kinsoku/>
        <w:wordWrap/>
        <w:overflowPunct/>
        <w:topLinePunct w:val="0"/>
        <w:autoSpaceDE/>
        <w:autoSpaceDN/>
        <w:bidi w:val="0"/>
        <w:adjustRightInd w:val="0"/>
        <w:snapToGrid w:val="0"/>
        <w:spacing w:beforeLines="0" w:line="600" w:lineRule="exact"/>
        <w:textAlignment w:val="auto"/>
        <w:rPr>
          <w:rFonts w:hint="default" w:ascii="Times New Roman" w:hAnsi="Times New Roman" w:cs="Times New Roman"/>
          <w:sz w:val="32"/>
          <w:szCs w:val="32"/>
        </w:rPr>
      </w:pPr>
    </w:p>
    <w:p w14:paraId="295113B1">
      <w:pPr>
        <w:pageBreakBefore w:val="0"/>
        <w:widowControl/>
        <w:kinsoku/>
        <w:wordWrap/>
        <w:overflowPunct/>
        <w:topLinePunct w:val="0"/>
        <w:autoSpaceDE/>
        <w:autoSpaceDN/>
        <w:bidi w:val="0"/>
        <w:jc w:val="left"/>
        <w:textAlignment w:val="auto"/>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14:paraId="6B57631A">
      <w:pPr>
        <w:pStyle w:val="3"/>
        <w:jc w:val="center"/>
        <w:rPr>
          <w:rFonts w:hint="eastAsia" w:ascii="方正小标宋简体" w:hAnsi="方正小标宋简体" w:eastAsia="方正小标宋简体" w:cs="方正小标宋简体"/>
          <w:b w:val="0"/>
        </w:rPr>
      </w:pPr>
      <w:bookmarkStart w:id="20" w:name="_Toc15396602"/>
      <w:bookmarkStart w:id="21" w:name="_Toc15377204"/>
      <w:r>
        <w:rPr>
          <w:rFonts w:hint="eastAsia" w:ascii="方正小标宋简体" w:hAnsi="方正小标宋简体" w:eastAsia="方正小标宋简体" w:cs="方正小标宋简体"/>
          <w:b w:val="0"/>
        </w:rPr>
        <w:t>第二部分  2024年度部门决算情况说明</w:t>
      </w:r>
      <w:bookmarkEnd w:id="20"/>
      <w:bookmarkEnd w:id="21"/>
    </w:p>
    <w:p w14:paraId="61C442B7">
      <w:pPr>
        <w:pStyle w:val="28"/>
        <w:spacing w:line="600" w:lineRule="exact"/>
        <w:ind w:firstLine="640"/>
        <w:outlineLvl w:val="1"/>
        <w:rPr>
          <w:rStyle w:val="30"/>
          <w:rFonts w:hint="default" w:ascii="Times New Roman" w:hAnsi="Times New Roman" w:eastAsia="黑体" w:cs="Times New Roman"/>
          <w:b w:val="0"/>
        </w:rPr>
      </w:pPr>
      <w:bookmarkStart w:id="22" w:name="_Toc15377205"/>
      <w:bookmarkStart w:id="23" w:name="_Toc15396603"/>
      <w:r>
        <w:rPr>
          <w:rFonts w:hint="default" w:ascii="Times New Roman" w:hAnsi="Times New Roman" w:eastAsia="黑体" w:cs="Times New Roman"/>
          <w:sz w:val="32"/>
          <w:szCs w:val="32"/>
        </w:rPr>
        <w:t>一、收</w:t>
      </w:r>
      <w:r>
        <w:rPr>
          <w:rStyle w:val="30"/>
          <w:rFonts w:hint="default" w:ascii="Times New Roman" w:hAnsi="Times New Roman" w:eastAsia="黑体" w:cs="Times New Roman"/>
          <w:b w:val="0"/>
        </w:rPr>
        <w:t>入支出决算总体情况说明</w:t>
      </w:r>
      <w:bookmarkEnd w:id="22"/>
      <w:bookmarkEnd w:id="23"/>
    </w:p>
    <w:p w14:paraId="0120E3A1">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年度收、支总计</w:t>
      </w:r>
      <w:r>
        <w:rPr>
          <w:rFonts w:hint="default" w:ascii="Times New Roman" w:hAnsi="Times New Roman" w:eastAsia="仿宋_GB2312" w:cs="Times New Roman"/>
          <w:color w:val="auto"/>
          <w:sz w:val="32"/>
          <w:szCs w:val="32"/>
          <w:highlight w:val="none"/>
          <w:lang w:eastAsia="zh-CN"/>
        </w:rPr>
        <w:t>均为</w:t>
      </w:r>
      <w:r>
        <w:rPr>
          <w:rFonts w:hint="default" w:ascii="Times New Roman" w:hAnsi="Times New Roman" w:eastAsia="仿宋_GB2312" w:cs="Times New Roman"/>
          <w:color w:val="auto"/>
          <w:sz w:val="32"/>
          <w:szCs w:val="32"/>
          <w:highlight w:val="none"/>
          <w:lang w:val="en-US" w:eastAsia="zh-CN"/>
        </w:rPr>
        <w:t>669.35</w:t>
      </w:r>
      <w:r>
        <w:rPr>
          <w:rFonts w:hint="default" w:ascii="Times New Roman" w:hAnsi="Times New Roman" w:eastAsia="仿宋_GB2312" w:cs="Times New Roman"/>
          <w:color w:val="auto"/>
          <w:sz w:val="32"/>
          <w:szCs w:val="32"/>
          <w:highlight w:val="none"/>
        </w:rPr>
        <w:t>万元。与</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相比，收、支总计</w:t>
      </w:r>
      <w:r>
        <w:rPr>
          <w:rFonts w:hint="default" w:ascii="Times New Roman" w:hAnsi="Times New Roman" w:eastAsia="仿宋_GB2312" w:cs="Times New Roman"/>
          <w:color w:val="auto"/>
          <w:sz w:val="32"/>
          <w:szCs w:val="32"/>
          <w:highlight w:val="none"/>
          <w:lang w:val="en-US" w:eastAsia="zh-CN"/>
        </w:rPr>
        <w:t>各</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40.24</w:t>
      </w:r>
      <w:r>
        <w:rPr>
          <w:rFonts w:hint="default" w:ascii="Times New Roman" w:hAnsi="Times New Roman" w:eastAsia="仿宋_GB2312" w:cs="Times New Roman"/>
          <w:color w:val="auto"/>
          <w:sz w:val="32"/>
          <w:szCs w:val="32"/>
          <w:highlight w:val="none"/>
        </w:rPr>
        <w:t>万元，下降</w:t>
      </w:r>
      <w:r>
        <w:rPr>
          <w:rFonts w:hint="default" w:ascii="Times New Roman" w:hAnsi="Times New Roman" w:eastAsia="仿宋_GB2312" w:cs="Times New Roman"/>
          <w:color w:val="auto"/>
          <w:sz w:val="32"/>
          <w:szCs w:val="32"/>
          <w:highlight w:val="none"/>
          <w:lang w:val="en-US" w:eastAsia="zh-CN"/>
        </w:rPr>
        <w:t>5.6</w:t>
      </w:r>
      <w:r>
        <w:rPr>
          <w:rFonts w:hint="default" w:ascii="Times New Roman" w:hAnsi="Times New Roman" w:eastAsia="仿宋_GB2312" w:cs="Times New Roman"/>
          <w:color w:val="auto"/>
          <w:sz w:val="32"/>
          <w:szCs w:val="32"/>
          <w:highlight w:val="none"/>
        </w:rPr>
        <w:t>%。主要变动原因</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一是阶段性工作任务结束，2024年无相关预算项目；二是严格贯彻落实中央八项规定精神，厉行节约，大力压缩一般性支出。</w:t>
      </w:r>
    </w:p>
    <w:p w14:paraId="45258A6F">
      <w:pPr>
        <w:pStyle w:val="2"/>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object>
          <v:shape id="_x0000_i1025" o:spt="75" type="#_x0000_t75" style="height:242.4pt;width:309.05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47EEFEA6">
      <w:pPr>
        <w:pStyle w:val="2"/>
        <w:ind w:left="0" w:leftChars="0" w:firstLine="0" w:firstLineChars="0"/>
        <w:rPr>
          <w:rFonts w:hint="default" w:ascii="Times New Roman" w:hAnsi="Times New Roman" w:cs="Times New Roman"/>
          <w:lang w:val="en-US" w:eastAsia="zh-CN"/>
        </w:rPr>
      </w:pPr>
    </w:p>
    <w:p w14:paraId="4AFE41E8">
      <w:pPr>
        <w:ind w:firstLine="1600" w:firstLineChars="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（图1：收入、支出决算总计变动情况图）</w:t>
      </w:r>
    </w:p>
    <w:p w14:paraId="07592078">
      <w:pPr>
        <w:pStyle w:val="28"/>
        <w:spacing w:line="600" w:lineRule="exact"/>
        <w:ind w:firstLine="640"/>
        <w:outlineLvl w:val="1"/>
        <w:rPr>
          <w:rFonts w:hint="default" w:ascii="Times New Roman" w:hAnsi="Times New Roman" w:eastAsia="黑体" w:cs="Times New Roman"/>
          <w:sz w:val="32"/>
          <w:szCs w:val="32"/>
        </w:rPr>
      </w:pPr>
      <w:bookmarkStart w:id="24" w:name="_Toc15377206"/>
      <w:bookmarkStart w:id="25" w:name="_Toc15396604"/>
      <w:r>
        <w:rPr>
          <w:rFonts w:hint="default" w:ascii="Times New Roman" w:hAnsi="Times New Roman" w:eastAsia="黑体" w:cs="Times New Roman"/>
          <w:sz w:val="32"/>
          <w:szCs w:val="32"/>
        </w:rPr>
        <w:t>二、收入决算情况说明</w:t>
      </w:r>
      <w:bookmarkEnd w:id="24"/>
      <w:bookmarkEnd w:id="25"/>
    </w:p>
    <w:p w14:paraId="6C5641B5">
      <w:pPr>
        <w:spacing w:line="600" w:lineRule="exact"/>
        <w:ind w:firstLine="640" w:firstLineChars="200"/>
        <w:outlineLvl w:val="1"/>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度</w:t>
      </w:r>
      <w:r>
        <w:rPr>
          <w:rFonts w:hint="default" w:ascii="Times New Roman" w:hAnsi="Times New Roman" w:eastAsia="仿宋_GB2312" w:cs="Times New Roman"/>
          <w:sz w:val="32"/>
          <w:szCs w:val="32"/>
        </w:rPr>
        <w:t>本年收入合计</w:t>
      </w:r>
      <w:r>
        <w:rPr>
          <w:rFonts w:hint="default" w:ascii="Times New Roman" w:hAnsi="Times New Roman" w:eastAsia="仿宋_GB2312" w:cs="Times New Roman"/>
          <w:sz w:val="32"/>
          <w:szCs w:val="32"/>
          <w:lang w:val="en-US" w:eastAsia="zh-CN"/>
        </w:rPr>
        <w:t>669.35</w:t>
      </w:r>
      <w:r>
        <w:rPr>
          <w:rFonts w:hint="default" w:ascii="Times New Roman" w:hAnsi="Times New Roman" w:eastAsia="仿宋_GB2312" w:cs="Times New Roman"/>
          <w:sz w:val="32"/>
          <w:szCs w:val="32"/>
        </w:rPr>
        <w:t>万元，其中：一般公共预算财政拨款收入</w:t>
      </w:r>
      <w:r>
        <w:rPr>
          <w:rFonts w:hint="default" w:ascii="Times New Roman" w:hAnsi="Times New Roman" w:eastAsia="仿宋_GB2312" w:cs="Times New Roman"/>
          <w:sz w:val="32"/>
          <w:szCs w:val="32"/>
          <w:lang w:val="en-US" w:eastAsia="zh-CN"/>
        </w:rPr>
        <w:t>669.35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国有资本经营预算财政拨款收入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万元；上级补助收入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万元；事业收入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万元；经营收入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万元；附属单位上缴收入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万元；其他收入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14:paraId="07E575B5">
      <w:pPr>
        <w:pStyle w:val="28"/>
        <w:spacing w:line="600" w:lineRule="exact"/>
        <w:ind w:firstLine="640"/>
        <w:jc w:val="left"/>
        <w:outlineLvl w:val="1"/>
        <w:rPr>
          <w:rFonts w:hint="default" w:ascii="Times New Roman" w:hAnsi="Times New Roman" w:eastAsia="仿宋_GB2312" w:cs="Times New Roman"/>
          <w:b/>
          <w:bCs/>
          <w:sz w:val="32"/>
          <w:szCs w:val="32"/>
        </w:rPr>
      </w:pPr>
      <w:r>
        <w:rPr>
          <w:rFonts w:hint="default" w:ascii="Times New Roman" w:hAnsi="Times New Roman" w:eastAsia="仿宋" w:cs="Times New Roman"/>
          <w:color w:val="auto"/>
          <w:sz w:val="32"/>
          <w:szCs w:val="32"/>
          <w:highlight w:val="none"/>
          <w:lang w:eastAsia="zh-CN"/>
        </w:rPr>
        <w:pict>
          <v:shape id="_x0000_s1026" o:spid="_x0000_s1026" o:spt="75" type="#_x0000_t75" style="position:absolute;left:0pt;margin-left:82.55pt;margin-top:9.65pt;height:242.4pt;width:259.2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14:paraId="4298D661">
      <w:pPr>
        <w:pStyle w:val="28"/>
        <w:spacing w:line="600" w:lineRule="exact"/>
        <w:ind w:firstLine="640"/>
        <w:jc w:val="left"/>
        <w:outlineLvl w:val="1"/>
        <w:rPr>
          <w:rFonts w:hint="default" w:ascii="Times New Roman" w:hAnsi="Times New Roman" w:eastAsia="仿宋_GB2312" w:cs="Times New Roman"/>
          <w:b/>
          <w:bCs/>
          <w:sz w:val="32"/>
          <w:szCs w:val="32"/>
        </w:rPr>
      </w:pPr>
    </w:p>
    <w:p w14:paraId="69BD713F">
      <w:pPr>
        <w:pStyle w:val="28"/>
        <w:spacing w:line="600" w:lineRule="exact"/>
        <w:ind w:firstLine="640"/>
        <w:jc w:val="left"/>
        <w:outlineLvl w:val="1"/>
        <w:rPr>
          <w:rFonts w:hint="default" w:ascii="Times New Roman" w:hAnsi="Times New Roman" w:eastAsia="仿宋_GB2312" w:cs="Times New Roman"/>
          <w:b/>
          <w:bCs/>
          <w:sz w:val="32"/>
          <w:szCs w:val="32"/>
        </w:rPr>
      </w:pPr>
    </w:p>
    <w:p w14:paraId="00EB30EA">
      <w:pPr>
        <w:pStyle w:val="28"/>
        <w:spacing w:line="600" w:lineRule="exact"/>
        <w:ind w:firstLine="640"/>
        <w:jc w:val="left"/>
        <w:outlineLvl w:val="1"/>
        <w:rPr>
          <w:rFonts w:hint="default" w:ascii="Times New Roman" w:hAnsi="Times New Roman" w:eastAsia="仿宋_GB2312" w:cs="Times New Roman"/>
          <w:b/>
          <w:bCs/>
          <w:sz w:val="32"/>
          <w:szCs w:val="32"/>
        </w:rPr>
      </w:pPr>
    </w:p>
    <w:p w14:paraId="49A92AC3">
      <w:pPr>
        <w:pStyle w:val="28"/>
        <w:spacing w:line="600" w:lineRule="exact"/>
        <w:ind w:firstLine="640"/>
        <w:jc w:val="left"/>
        <w:outlineLvl w:val="1"/>
        <w:rPr>
          <w:rFonts w:hint="default" w:ascii="Times New Roman" w:hAnsi="Times New Roman" w:eastAsia="仿宋_GB2312" w:cs="Times New Roman"/>
          <w:b/>
          <w:bCs/>
          <w:sz w:val="32"/>
          <w:szCs w:val="32"/>
        </w:rPr>
      </w:pPr>
    </w:p>
    <w:p w14:paraId="61E98D28">
      <w:pPr>
        <w:pStyle w:val="28"/>
        <w:spacing w:line="600" w:lineRule="exact"/>
        <w:ind w:firstLine="640"/>
        <w:jc w:val="left"/>
        <w:outlineLvl w:val="1"/>
        <w:rPr>
          <w:rFonts w:hint="default" w:ascii="Times New Roman" w:hAnsi="Times New Roman" w:eastAsia="仿宋_GB2312" w:cs="Times New Roman"/>
          <w:b/>
          <w:bCs/>
          <w:sz w:val="32"/>
          <w:szCs w:val="32"/>
        </w:rPr>
      </w:pPr>
    </w:p>
    <w:p w14:paraId="15CFD4BD">
      <w:pPr>
        <w:pStyle w:val="28"/>
        <w:spacing w:line="600" w:lineRule="exact"/>
        <w:ind w:firstLine="640"/>
        <w:jc w:val="left"/>
        <w:outlineLvl w:val="1"/>
        <w:rPr>
          <w:rFonts w:hint="default" w:ascii="Times New Roman" w:hAnsi="Times New Roman" w:eastAsia="仿宋_GB2312" w:cs="Times New Roman"/>
          <w:b/>
          <w:bCs/>
          <w:sz w:val="32"/>
          <w:szCs w:val="32"/>
        </w:rPr>
      </w:pPr>
    </w:p>
    <w:p w14:paraId="05005E22">
      <w:pPr>
        <w:pStyle w:val="28"/>
        <w:spacing w:line="600" w:lineRule="exact"/>
        <w:outlineLvl w:val="1"/>
        <w:rPr>
          <w:rFonts w:hint="default" w:ascii="Times New Roman" w:hAnsi="Times New Roman" w:eastAsia="仿宋_GB2312" w:cs="Times New Roman"/>
          <w:sz w:val="32"/>
          <w:szCs w:val="32"/>
        </w:rPr>
      </w:pPr>
    </w:p>
    <w:p w14:paraId="098BFE39">
      <w:pPr>
        <w:pStyle w:val="28"/>
        <w:spacing w:line="600" w:lineRule="exact"/>
        <w:outlineLvl w:val="1"/>
        <w:rPr>
          <w:rFonts w:hint="default" w:ascii="Times New Roman" w:hAnsi="Times New Roman" w:eastAsia="仿宋_GB2312" w:cs="Times New Roman"/>
          <w:sz w:val="32"/>
          <w:szCs w:val="32"/>
        </w:rPr>
      </w:pPr>
    </w:p>
    <w:p w14:paraId="54064BA8">
      <w:pPr>
        <w:pStyle w:val="28"/>
        <w:spacing w:line="600" w:lineRule="exact"/>
        <w:ind w:firstLine="1920" w:firstLineChars="6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（图2：收入决算结构图）</w:t>
      </w:r>
      <w:bookmarkStart w:id="26" w:name="_Toc15377207"/>
      <w:bookmarkStart w:id="27" w:name="_Toc15396605"/>
    </w:p>
    <w:p w14:paraId="4FE8B44B">
      <w:pPr>
        <w:pStyle w:val="28"/>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三、支</w:t>
      </w:r>
      <w:r>
        <w:rPr>
          <w:rStyle w:val="30"/>
          <w:rFonts w:hint="default" w:ascii="Times New Roman" w:hAnsi="Times New Roman" w:eastAsia="黑体" w:cs="Times New Roman"/>
          <w:b w:val="0"/>
        </w:rPr>
        <w:t>出决算情况说明</w:t>
      </w:r>
      <w:bookmarkEnd w:id="26"/>
      <w:bookmarkEnd w:id="27"/>
    </w:p>
    <w:p w14:paraId="77E8FD95">
      <w:pPr>
        <w:spacing w:line="600" w:lineRule="exact"/>
        <w:ind w:firstLine="420" w:firstLineChars="200"/>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lang w:eastAsia="zh-CN"/>
        </w:rPr>
        <w:pict>
          <v:shape id="_x0000_s1027" o:spid="_x0000_s1027" o:spt="75" type="#_x0000_t75" style="position:absolute;left:0pt;margin-left:92.2pt;margin-top:113.8pt;height:208.1pt;width:263.1pt;mso-wrap-distance-bottom:0pt;mso-wrap-distance-left:9pt;mso-wrap-distance-right:9pt;mso-wrap-distance-top:0pt;z-index:251660288;mso-width-relative:page;mso-height-relative:page;" o:ole="t" filled="f" o:preferrelative="t" stroked="f" coordsize="21600,21600">
            <v:path/>
            <v:fill on="f" focussize="0,0"/>
            <v:stroke on="f"/>
            <v:imagedata r:id="rId15" o:title=""/>
            <o:lock v:ext="edit" aspectratio="t"/>
            <w10:wrap type="square"/>
          </v:shape>
          <o:OLEObject Type="Embed" ProgID="Excel.Chart.8" ShapeID="_x0000_s1027" DrawAspect="Content" ObjectID="_1468075727" r:id="rId14">
            <o:LockedField>false</o:LockedField>
          </o:OLEObject>
        </w:pic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本年支出合计</w:t>
      </w:r>
      <w:r>
        <w:rPr>
          <w:rFonts w:hint="default" w:ascii="Times New Roman" w:hAnsi="Times New Roman" w:eastAsia="仿宋_GB2312" w:cs="Times New Roman"/>
          <w:color w:val="auto"/>
          <w:sz w:val="32"/>
          <w:szCs w:val="32"/>
          <w:highlight w:val="none"/>
          <w:lang w:val="en-US" w:eastAsia="zh-CN"/>
        </w:rPr>
        <w:t>669.35</w:t>
      </w:r>
      <w:r>
        <w:rPr>
          <w:rFonts w:hint="default" w:ascii="Times New Roman" w:hAnsi="Times New Roman" w:eastAsia="仿宋_GB2312" w:cs="Times New Roman"/>
          <w:color w:val="auto"/>
          <w:sz w:val="32"/>
          <w:szCs w:val="32"/>
          <w:highlight w:val="none"/>
        </w:rPr>
        <w:t>万元，其中：基本支出</w:t>
      </w:r>
      <w:r>
        <w:rPr>
          <w:rFonts w:hint="default" w:ascii="Times New Roman" w:hAnsi="Times New Roman" w:eastAsia="仿宋_GB2312" w:cs="Times New Roman"/>
          <w:color w:val="auto"/>
          <w:sz w:val="32"/>
          <w:szCs w:val="32"/>
          <w:highlight w:val="none"/>
          <w:lang w:val="en-US" w:eastAsia="zh-CN"/>
        </w:rPr>
        <w:t>555.47</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83</w:t>
      </w:r>
      <w:r>
        <w:rPr>
          <w:rFonts w:hint="default" w:ascii="Times New Roman" w:hAnsi="Times New Roman" w:eastAsia="仿宋_GB2312" w:cs="Times New Roman"/>
          <w:color w:val="auto"/>
          <w:sz w:val="32"/>
          <w:szCs w:val="32"/>
          <w:highlight w:val="none"/>
        </w:rPr>
        <w:t>%；项目支出</w:t>
      </w:r>
      <w:r>
        <w:rPr>
          <w:rFonts w:hint="default" w:ascii="Times New Roman" w:hAnsi="Times New Roman" w:eastAsia="仿宋_GB2312" w:cs="Times New Roman"/>
          <w:color w:val="auto"/>
          <w:sz w:val="32"/>
          <w:szCs w:val="32"/>
          <w:highlight w:val="none"/>
          <w:lang w:val="en-US" w:eastAsia="zh-CN"/>
        </w:rPr>
        <w:t>113.88</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rPr>
        <w:t>%；上缴上级支出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万元；经营支出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万元；对附属单位补助支出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14:paraId="43F68936">
      <w:pPr>
        <w:spacing w:line="600" w:lineRule="exact"/>
        <w:ind w:firstLine="640" w:firstLineChars="200"/>
        <w:outlineLvl w:val="1"/>
        <w:rPr>
          <w:rFonts w:hint="default" w:ascii="Times New Roman" w:hAnsi="Times New Roman" w:eastAsia="仿宋_GB2312" w:cs="Times New Roman"/>
          <w:color w:val="auto"/>
          <w:sz w:val="32"/>
          <w:szCs w:val="32"/>
          <w:highlight w:val="none"/>
        </w:rPr>
      </w:pPr>
    </w:p>
    <w:p w14:paraId="74F3563D">
      <w:pPr>
        <w:spacing w:line="600" w:lineRule="exact"/>
        <w:ind w:firstLine="640" w:firstLineChars="200"/>
        <w:outlineLvl w:val="1"/>
        <w:rPr>
          <w:rFonts w:hint="default" w:ascii="Times New Roman" w:hAnsi="Times New Roman" w:eastAsia="仿宋_GB2312" w:cs="Times New Roman"/>
          <w:color w:val="auto"/>
          <w:sz w:val="32"/>
          <w:szCs w:val="32"/>
          <w:highlight w:val="none"/>
        </w:rPr>
      </w:pPr>
    </w:p>
    <w:p w14:paraId="3F8B45AD">
      <w:pPr>
        <w:spacing w:line="600" w:lineRule="exact"/>
        <w:ind w:firstLine="640" w:firstLineChars="200"/>
        <w:outlineLvl w:val="1"/>
        <w:rPr>
          <w:rFonts w:hint="default" w:ascii="Times New Roman" w:hAnsi="Times New Roman" w:eastAsia="仿宋_GB2312" w:cs="Times New Roman"/>
          <w:color w:val="auto"/>
          <w:sz w:val="32"/>
          <w:szCs w:val="32"/>
          <w:highlight w:val="none"/>
        </w:rPr>
      </w:pPr>
    </w:p>
    <w:p w14:paraId="1FEBA49D">
      <w:pPr>
        <w:spacing w:line="600" w:lineRule="exact"/>
        <w:ind w:firstLine="640" w:firstLineChars="200"/>
        <w:outlineLvl w:val="1"/>
        <w:rPr>
          <w:rFonts w:hint="default" w:ascii="Times New Roman" w:hAnsi="Times New Roman" w:eastAsia="仿宋_GB2312" w:cs="Times New Roman"/>
          <w:sz w:val="32"/>
          <w:szCs w:val="32"/>
        </w:rPr>
      </w:pPr>
    </w:p>
    <w:p w14:paraId="1C4A6467">
      <w:pPr>
        <w:rPr>
          <w:rFonts w:hint="default" w:ascii="Times New Roman" w:hAnsi="Times New Roman" w:eastAsia="仿宋_GB2312" w:cs="Times New Roman"/>
          <w:sz w:val="32"/>
          <w:szCs w:val="32"/>
        </w:rPr>
      </w:pPr>
    </w:p>
    <w:p w14:paraId="70A88AAD">
      <w:pPr>
        <w:ind w:firstLine="1760" w:firstLineChars="5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（图3：支出决算结构图）</w:t>
      </w:r>
    </w:p>
    <w:p w14:paraId="54075097">
      <w:pPr>
        <w:spacing w:line="600" w:lineRule="exact"/>
        <w:ind w:firstLine="640" w:firstLineChars="200"/>
        <w:outlineLvl w:val="1"/>
        <w:rPr>
          <w:rStyle w:val="30"/>
          <w:rFonts w:hint="default" w:ascii="Times New Roman" w:hAnsi="Times New Roman" w:eastAsia="黑体" w:cs="Times New Roman"/>
          <w:b w:val="0"/>
        </w:rPr>
      </w:pPr>
      <w:bookmarkStart w:id="28" w:name="_Toc15377208"/>
      <w:bookmarkStart w:id="29" w:name="_Toc15396606"/>
      <w:r>
        <w:rPr>
          <w:rFonts w:hint="default" w:ascii="Times New Roman" w:hAnsi="Times New Roman" w:eastAsia="黑体" w:cs="Times New Roman"/>
          <w:sz w:val="32"/>
          <w:szCs w:val="32"/>
        </w:rPr>
        <w:t>四、财</w:t>
      </w:r>
      <w:r>
        <w:rPr>
          <w:rStyle w:val="30"/>
          <w:rFonts w:hint="default" w:ascii="Times New Roman" w:hAnsi="Times New Roman" w:eastAsia="黑体" w:cs="Times New Roman"/>
          <w:b w:val="0"/>
        </w:rPr>
        <w:t>政拨款收入支出决算总体情况说明</w:t>
      </w:r>
      <w:bookmarkEnd w:id="28"/>
      <w:bookmarkEnd w:id="29"/>
    </w:p>
    <w:p w14:paraId="3C8E0F8B">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财政拨款收、支总计</w:t>
      </w:r>
      <w:r>
        <w:rPr>
          <w:rFonts w:hint="default" w:ascii="Times New Roman" w:hAnsi="Times New Roman" w:eastAsia="仿宋_GB2312" w:cs="Times New Roman"/>
          <w:color w:val="auto"/>
          <w:sz w:val="32"/>
          <w:szCs w:val="32"/>
          <w:highlight w:val="none"/>
          <w:lang w:eastAsia="zh-CN"/>
        </w:rPr>
        <w:t>均为</w:t>
      </w:r>
      <w:r>
        <w:rPr>
          <w:rFonts w:hint="default" w:ascii="Times New Roman" w:hAnsi="Times New Roman" w:eastAsia="仿宋_GB2312" w:cs="Times New Roman"/>
          <w:color w:val="auto"/>
          <w:sz w:val="32"/>
          <w:szCs w:val="32"/>
          <w:highlight w:val="none"/>
          <w:lang w:val="en-US" w:eastAsia="zh-CN"/>
        </w:rPr>
        <w:t>669.35</w:t>
      </w:r>
      <w:r>
        <w:rPr>
          <w:rFonts w:hint="default" w:ascii="Times New Roman" w:hAnsi="Times New Roman" w:eastAsia="仿宋_GB2312" w:cs="Times New Roman"/>
          <w:color w:val="auto"/>
          <w:sz w:val="32"/>
          <w:szCs w:val="32"/>
          <w:highlight w:val="none"/>
        </w:rPr>
        <w:t>万元。与</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相比，财政拨款收、支总计各</w:t>
      </w:r>
      <w:r>
        <w:rPr>
          <w:rFonts w:hint="default" w:ascii="Times New Roman" w:hAnsi="Times New Roman" w:eastAsia="仿宋_GB2312" w:cs="Times New Roman"/>
          <w:color w:val="auto"/>
          <w:sz w:val="32"/>
          <w:szCs w:val="32"/>
          <w:highlight w:val="none"/>
          <w:lang w:val="en-US" w:eastAsia="zh-CN"/>
        </w:rPr>
        <w:t>减少40.24万元</w:t>
      </w:r>
      <w:r>
        <w:rPr>
          <w:rFonts w:hint="default" w:ascii="Times New Roman" w:hAnsi="Times New Roman" w:eastAsia="仿宋_GB2312" w:cs="Times New Roman"/>
          <w:color w:val="auto"/>
          <w:sz w:val="32"/>
          <w:szCs w:val="32"/>
          <w:highlight w:val="none"/>
        </w:rPr>
        <w:t>，下降</w:t>
      </w:r>
      <w:r>
        <w:rPr>
          <w:rFonts w:hint="default" w:ascii="Times New Roman" w:hAnsi="Times New Roman" w:eastAsia="仿宋_GB2312" w:cs="Times New Roman"/>
          <w:color w:val="auto"/>
          <w:sz w:val="32"/>
          <w:szCs w:val="32"/>
          <w:highlight w:val="none"/>
          <w:lang w:val="en-US" w:eastAsia="zh-CN"/>
        </w:rPr>
        <w:t>5.6</w:t>
      </w:r>
      <w:r>
        <w:rPr>
          <w:rFonts w:hint="default" w:ascii="Times New Roman" w:hAnsi="Times New Roman" w:eastAsia="仿宋_GB2312" w:cs="Times New Roman"/>
          <w:color w:val="auto"/>
          <w:sz w:val="32"/>
          <w:szCs w:val="32"/>
          <w:highlight w:val="none"/>
        </w:rPr>
        <w:t>%。主要变动原因</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一是阶段性工作任务结束，2024年减少相关预算项目；二是严格贯彻落实中央八项规定精神，厉行节约，大力压缩一般性支出。</w:t>
      </w:r>
    </w:p>
    <w:p w14:paraId="6BE5BEF3">
      <w:pPr>
        <w:pStyle w:val="2"/>
        <w:ind w:left="0" w:leftChars="0" w:firstLine="0" w:firstLineChars="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object>
          <v:shape id="_x0000_i1026" o:spt="75" type="#_x0000_t75" style="height:229.05pt;width:400.5pt;" o:ole="t" filled="f" o:preferrelative="t" stroked="f" coordsize="21600,21600">
            <v:path/>
            <v:fill on="f" focussize="0,0"/>
            <v:stroke on="f"/>
            <v:imagedata r:id="rId17" o:title=""/>
            <o:lock v:ext="edit" aspectratio="t"/>
            <w10:wrap type="none"/>
            <w10:anchorlock/>
          </v:shape>
          <o:OLEObject Type="Embed" ProgID="Excel.Chart.8" ShapeID="_x0000_i1026" DrawAspect="Content" ObjectID="_1468075728" r:id="rId16">
            <o:LockedField>false</o:LockedField>
          </o:OLEObject>
        </w:object>
      </w:r>
    </w:p>
    <w:p w14:paraId="3C7B5AC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（图4：财政拨款收、支决算总计变动情况）</w:t>
      </w:r>
    </w:p>
    <w:p w14:paraId="588454DC">
      <w:pPr>
        <w:spacing w:line="600" w:lineRule="exact"/>
        <w:ind w:firstLine="640" w:firstLineChars="200"/>
        <w:outlineLvl w:val="1"/>
        <w:rPr>
          <w:rStyle w:val="30"/>
          <w:rFonts w:hint="default" w:ascii="Times New Roman" w:hAnsi="Times New Roman" w:eastAsia="黑体" w:cs="Times New Roman"/>
          <w:b w:val="0"/>
        </w:rPr>
      </w:pPr>
      <w:bookmarkStart w:id="30" w:name="_Toc15377209"/>
      <w:bookmarkStart w:id="31" w:name="_Toc15396607"/>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般公共预算财政拨款支出决算情况说明</w:t>
      </w:r>
      <w:bookmarkEnd w:id="30"/>
      <w:bookmarkEnd w:id="31"/>
    </w:p>
    <w:p w14:paraId="1F541FFE">
      <w:pPr>
        <w:spacing w:line="600" w:lineRule="exact"/>
        <w:ind w:firstLine="643" w:firstLineChars="200"/>
        <w:outlineLvl w:val="2"/>
        <w:rPr>
          <w:rFonts w:hint="default" w:ascii="Times New Roman" w:hAnsi="Times New Roman" w:eastAsia="楷体_GB2312" w:cs="Times New Roman"/>
          <w:b/>
          <w:sz w:val="32"/>
          <w:szCs w:val="32"/>
        </w:rPr>
      </w:pPr>
      <w:bookmarkStart w:id="32" w:name="_Toc15377210"/>
      <w:r>
        <w:rPr>
          <w:rFonts w:hint="default" w:ascii="Times New Roman" w:hAnsi="Times New Roman" w:eastAsia="楷体_GB2312" w:cs="Times New Roman"/>
          <w:b/>
          <w:sz w:val="32"/>
          <w:szCs w:val="32"/>
        </w:rPr>
        <w:t>（一）一般公共预算财政拨款支出决算总体情况</w:t>
      </w:r>
      <w:bookmarkEnd w:id="32"/>
    </w:p>
    <w:p w14:paraId="35D3DAAD">
      <w:pPr>
        <w:spacing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一般公共预算财政拨款支出</w:t>
      </w:r>
      <w:r>
        <w:rPr>
          <w:rFonts w:hint="default" w:ascii="Times New Roman" w:hAnsi="Times New Roman" w:eastAsia="仿宋_GB2312" w:cs="Times New Roman"/>
          <w:color w:val="auto"/>
          <w:sz w:val="32"/>
          <w:szCs w:val="32"/>
          <w:highlight w:val="none"/>
          <w:lang w:val="en-US" w:eastAsia="zh-CN"/>
        </w:rPr>
        <w:t>669.35</w:t>
      </w:r>
      <w:r>
        <w:rPr>
          <w:rFonts w:hint="default" w:ascii="Times New Roman" w:hAnsi="Times New Roman" w:eastAsia="仿宋_GB2312" w:cs="Times New Roman"/>
          <w:color w:val="auto"/>
          <w:sz w:val="32"/>
          <w:szCs w:val="32"/>
          <w:highlight w:val="none"/>
        </w:rPr>
        <w:t>万元，占本年支出合计的</w:t>
      </w:r>
      <w:r>
        <w:rPr>
          <w:rFonts w:hint="default" w:ascii="Times New Roman" w:hAnsi="Times New Roman"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%。与</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相比，一般公共预算财政拨款</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40.24</w:t>
      </w:r>
      <w:r>
        <w:rPr>
          <w:rFonts w:hint="default" w:ascii="Times New Roman" w:hAnsi="Times New Roman" w:eastAsia="仿宋_GB2312" w:cs="Times New Roman"/>
          <w:color w:val="auto"/>
          <w:sz w:val="32"/>
          <w:szCs w:val="32"/>
          <w:highlight w:val="none"/>
        </w:rPr>
        <w:t>万元，下降</w:t>
      </w:r>
      <w:r>
        <w:rPr>
          <w:rFonts w:hint="default" w:ascii="Times New Roman" w:hAnsi="Times New Roman" w:eastAsia="仿宋_GB2312" w:cs="Times New Roman"/>
          <w:color w:val="auto"/>
          <w:sz w:val="32"/>
          <w:szCs w:val="32"/>
          <w:highlight w:val="none"/>
          <w:lang w:val="en-US" w:eastAsia="zh-CN"/>
        </w:rPr>
        <w:t>5.6</w:t>
      </w:r>
      <w:r>
        <w:rPr>
          <w:rFonts w:hint="default" w:ascii="Times New Roman" w:hAnsi="Times New Roman" w:eastAsia="仿宋_GB2312" w:cs="Times New Roman"/>
          <w:color w:val="auto"/>
          <w:sz w:val="32"/>
          <w:szCs w:val="32"/>
          <w:highlight w:val="none"/>
        </w:rPr>
        <w:t>%。主要变动原因</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一是阶段性工作任务结束，2024年</w:t>
      </w:r>
      <w:r>
        <w:rPr>
          <w:rFonts w:hint="eastAsia" w:eastAsia="仿宋_GB2312" w:cs="Times New Roman"/>
          <w:color w:val="auto"/>
          <w:sz w:val="32"/>
          <w:szCs w:val="32"/>
          <w:highlight w:val="none"/>
          <w:lang w:val="en-US" w:eastAsia="zh-CN"/>
        </w:rPr>
        <w:t>减少</w:t>
      </w:r>
      <w:r>
        <w:rPr>
          <w:rFonts w:hint="default" w:ascii="Times New Roman" w:hAnsi="Times New Roman" w:eastAsia="仿宋_GB2312" w:cs="Times New Roman"/>
          <w:color w:val="auto"/>
          <w:sz w:val="32"/>
          <w:szCs w:val="32"/>
          <w:highlight w:val="none"/>
          <w:lang w:val="en-US" w:eastAsia="zh-CN"/>
        </w:rPr>
        <w:t>相关预算项目；二是严格贯彻落实中央八项规定精神，厉行节约，大力压缩一般性支出。</w:t>
      </w:r>
    </w:p>
    <w:p w14:paraId="638E3194">
      <w:pPr>
        <w:spacing w:line="600" w:lineRule="exact"/>
        <w:ind w:firstLine="640" w:firstLineChars="200"/>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pict>
          <v:shape id="Object 4" o:spid="_x0000_s1028" o:spt="75" type="#_x0000_t75" style="position:absolute;left:0pt;margin-left:33.3pt;margin-top:6.8pt;height:225.75pt;width:304.5pt;mso-wrap-distance-bottom:0pt;mso-wrap-distance-left:9pt;mso-wrap-distance-right:9pt;mso-wrap-distance-top:0pt;z-index:251661312;mso-width-relative:page;mso-height-relative:page;" o:ole="t" filled="f" o:preferrelative="t" stroked="f" coordsize="21600,21600">
            <v:path/>
            <v:fill on="f" focussize="0,0"/>
            <v:stroke on="f"/>
            <v:imagedata r:id="rId19" o:title=""/>
            <o:lock v:ext="edit" aspectratio="t"/>
            <w10:wrap type="square"/>
          </v:shape>
          <o:OLEObject Type="Embed" ProgID="Excel.Chart.8" ShapeID="Object 4" DrawAspect="Content" ObjectID="_1468075729" r:id="rId18">
            <o:LockedField>false</o:LockedField>
          </o:OLEObject>
        </w:pict>
      </w:r>
    </w:p>
    <w:p w14:paraId="079AA0B5">
      <w:pPr>
        <w:spacing w:line="600" w:lineRule="exact"/>
        <w:ind w:firstLine="640" w:firstLineChars="200"/>
        <w:rPr>
          <w:rFonts w:hint="default" w:ascii="Times New Roman" w:hAnsi="Times New Roman" w:eastAsia="仿宋" w:cs="Times New Roman"/>
          <w:color w:val="auto"/>
          <w:sz w:val="32"/>
          <w:szCs w:val="32"/>
          <w:highlight w:val="none"/>
        </w:rPr>
      </w:pPr>
    </w:p>
    <w:p w14:paraId="1F0CD2A1">
      <w:pPr>
        <w:spacing w:line="600" w:lineRule="exact"/>
        <w:ind w:firstLine="640" w:firstLineChars="200"/>
        <w:rPr>
          <w:rFonts w:hint="default" w:ascii="Times New Roman" w:hAnsi="Times New Roman" w:eastAsia="仿宋" w:cs="Times New Roman"/>
          <w:color w:val="auto"/>
          <w:sz w:val="32"/>
          <w:szCs w:val="32"/>
          <w:highlight w:val="none"/>
        </w:rPr>
      </w:pPr>
    </w:p>
    <w:p w14:paraId="12A2B883">
      <w:pPr>
        <w:spacing w:line="600" w:lineRule="exact"/>
        <w:ind w:firstLine="640" w:firstLineChars="200"/>
        <w:rPr>
          <w:rFonts w:hint="default" w:ascii="Times New Roman" w:hAnsi="Times New Roman" w:eastAsia="仿宋" w:cs="Times New Roman"/>
          <w:color w:val="auto"/>
          <w:sz w:val="32"/>
          <w:szCs w:val="32"/>
          <w:highlight w:val="none"/>
        </w:rPr>
      </w:pPr>
    </w:p>
    <w:p w14:paraId="2558CEA3">
      <w:pPr>
        <w:spacing w:line="600" w:lineRule="exact"/>
        <w:ind w:firstLine="640" w:firstLineChars="200"/>
        <w:rPr>
          <w:rFonts w:hint="default" w:ascii="Times New Roman" w:hAnsi="Times New Roman" w:eastAsia="仿宋" w:cs="Times New Roman"/>
          <w:color w:val="auto"/>
          <w:sz w:val="32"/>
          <w:szCs w:val="32"/>
          <w:highlight w:val="none"/>
        </w:rPr>
      </w:pPr>
    </w:p>
    <w:p w14:paraId="2A1D9EEA">
      <w:pPr>
        <w:spacing w:line="600" w:lineRule="exact"/>
        <w:rPr>
          <w:rFonts w:hint="default" w:ascii="Times New Roman" w:hAnsi="Times New Roman" w:eastAsia="仿宋_GB2312" w:cs="Times New Roman"/>
          <w:sz w:val="32"/>
          <w:szCs w:val="32"/>
        </w:rPr>
      </w:pPr>
    </w:p>
    <w:p w14:paraId="49768CA2">
      <w:pPr>
        <w:spacing w:line="240" w:lineRule="auto"/>
        <w:rPr>
          <w:rFonts w:hint="default" w:ascii="Times New Roman" w:hAnsi="Times New Roman" w:eastAsia="仿宋_GB2312" w:cs="Times New Roman"/>
          <w:sz w:val="32"/>
          <w:szCs w:val="32"/>
        </w:rPr>
      </w:pPr>
    </w:p>
    <w:p w14:paraId="4BBBC173">
      <w:pPr>
        <w:spacing w:line="240" w:lineRule="auto"/>
        <w:rPr>
          <w:rFonts w:hint="default" w:ascii="Times New Roman" w:hAnsi="Times New Roman" w:eastAsia="仿宋_GB2312" w:cs="Times New Roman"/>
          <w:sz w:val="32"/>
          <w:szCs w:val="32"/>
        </w:rPr>
      </w:pPr>
    </w:p>
    <w:p w14:paraId="34FF90A1">
      <w:pPr>
        <w:spacing w:line="240" w:lineRule="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（图5：一般公共预算财政拨款支出决算变动情况）</w:t>
      </w:r>
    </w:p>
    <w:p w14:paraId="69AEC7DB">
      <w:pPr>
        <w:spacing w:line="600" w:lineRule="exact"/>
        <w:ind w:firstLine="643" w:firstLineChars="200"/>
        <w:outlineLvl w:val="2"/>
        <w:rPr>
          <w:rFonts w:hint="default" w:ascii="Times New Roman" w:hAnsi="Times New Roman" w:eastAsia="楷体_GB2312" w:cs="Times New Roman"/>
          <w:b/>
          <w:sz w:val="32"/>
          <w:szCs w:val="32"/>
        </w:rPr>
      </w:pPr>
      <w:bookmarkStart w:id="33" w:name="_Toc15377211"/>
      <w:r>
        <w:rPr>
          <w:rFonts w:hint="default" w:ascii="Times New Roman" w:hAnsi="Times New Roman" w:eastAsia="楷体_GB2312" w:cs="Times New Roman"/>
          <w:b/>
          <w:sz w:val="32"/>
          <w:szCs w:val="32"/>
        </w:rPr>
        <w:t>（二）一般公共预算财政拨款支出决算结构情况</w:t>
      </w:r>
      <w:bookmarkEnd w:id="33"/>
    </w:p>
    <w:p w14:paraId="54758470">
      <w:pPr>
        <w:spacing w:line="600" w:lineRule="exact"/>
        <w:ind w:firstLine="64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一般公共预算财政拨款支出</w:t>
      </w:r>
      <w:r>
        <w:rPr>
          <w:rFonts w:hint="default" w:ascii="Times New Roman" w:hAnsi="Times New Roman" w:eastAsia="仿宋_GB2312" w:cs="Times New Roman"/>
          <w:color w:val="auto"/>
          <w:sz w:val="32"/>
          <w:szCs w:val="32"/>
          <w:highlight w:val="none"/>
          <w:lang w:val="en-US" w:eastAsia="zh-CN"/>
        </w:rPr>
        <w:t>669.35</w:t>
      </w:r>
      <w:r>
        <w:rPr>
          <w:rFonts w:hint="default" w:ascii="Times New Roman" w:hAnsi="Times New Roman" w:eastAsia="仿宋_GB2312" w:cs="Times New Roman"/>
          <w:color w:val="auto"/>
          <w:sz w:val="32"/>
          <w:szCs w:val="32"/>
          <w:highlight w:val="none"/>
        </w:rPr>
        <w:t>万元，主要用于以下方面</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一般公共服务支出</w:t>
      </w:r>
      <w:r>
        <w:rPr>
          <w:rFonts w:hint="default" w:ascii="Times New Roman" w:hAnsi="Times New Roman" w:eastAsia="仿宋_GB2312" w:cs="Times New Roman"/>
          <w:b w:val="0"/>
          <w:bCs w:val="0"/>
          <w:color w:val="auto"/>
          <w:sz w:val="32"/>
          <w:szCs w:val="32"/>
          <w:highlight w:val="none"/>
          <w:lang w:val="en-US" w:eastAsia="zh-CN"/>
        </w:rPr>
        <w:t>554.28</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82.8</w:t>
      </w:r>
      <w:r>
        <w:rPr>
          <w:rFonts w:hint="default" w:ascii="Times New Roman" w:hAnsi="Times New Roman" w:eastAsia="仿宋_GB2312" w:cs="Times New Roman"/>
          <w:b w:val="0"/>
          <w:bCs w:val="0"/>
          <w:color w:val="auto"/>
          <w:sz w:val="32"/>
          <w:szCs w:val="32"/>
          <w:highlight w:val="none"/>
        </w:rPr>
        <w:t>%；教育支出</w:t>
      </w:r>
      <w:r>
        <w:rPr>
          <w:rFonts w:hint="default" w:ascii="Times New Roman" w:hAnsi="Times New Roman" w:eastAsia="仿宋_GB2312" w:cs="Times New Roman"/>
          <w:b w:val="0"/>
          <w:bCs w:val="0"/>
          <w:color w:val="auto"/>
          <w:sz w:val="32"/>
          <w:szCs w:val="32"/>
          <w:highlight w:val="none"/>
          <w:lang w:val="en-US" w:eastAsia="zh-CN"/>
        </w:rPr>
        <w:t>0</w:t>
      </w:r>
      <w:r>
        <w:rPr>
          <w:rFonts w:hint="default" w:ascii="Times New Roman" w:hAnsi="Times New Roman" w:eastAsia="仿宋_GB2312" w:cs="Times New Roman"/>
          <w:b w:val="0"/>
          <w:bCs w:val="0"/>
          <w:color w:val="auto"/>
          <w:sz w:val="32"/>
          <w:szCs w:val="32"/>
          <w:highlight w:val="none"/>
        </w:rPr>
        <w:t>万元；科学技术支出</w:t>
      </w:r>
      <w:r>
        <w:rPr>
          <w:rFonts w:hint="default" w:ascii="Times New Roman" w:hAnsi="Times New Roman" w:eastAsia="仿宋_GB2312" w:cs="Times New Roman"/>
          <w:b w:val="0"/>
          <w:bCs w:val="0"/>
          <w:color w:val="auto"/>
          <w:sz w:val="32"/>
          <w:szCs w:val="32"/>
          <w:highlight w:val="none"/>
          <w:lang w:val="en-US" w:eastAsia="zh-CN"/>
        </w:rPr>
        <w:t>0</w:t>
      </w:r>
      <w:r>
        <w:rPr>
          <w:rFonts w:hint="default" w:ascii="Times New Roman" w:hAnsi="Times New Roman" w:eastAsia="仿宋_GB2312" w:cs="Times New Roman"/>
          <w:b w:val="0"/>
          <w:bCs w:val="0"/>
          <w:color w:val="auto"/>
          <w:sz w:val="32"/>
          <w:szCs w:val="32"/>
          <w:highlight w:val="none"/>
        </w:rPr>
        <w:t>万元；文化旅游体育与传媒支出</w:t>
      </w:r>
      <w:r>
        <w:rPr>
          <w:rFonts w:hint="default" w:ascii="Times New Roman" w:hAnsi="Times New Roman" w:eastAsia="仿宋_GB2312" w:cs="Times New Roman"/>
          <w:b w:val="0"/>
          <w:bCs w:val="0"/>
          <w:color w:val="auto"/>
          <w:sz w:val="32"/>
          <w:szCs w:val="32"/>
          <w:highlight w:val="none"/>
          <w:lang w:val="en-US" w:eastAsia="zh-CN"/>
        </w:rPr>
        <w:t>0</w:t>
      </w:r>
      <w:r>
        <w:rPr>
          <w:rFonts w:hint="default" w:ascii="Times New Roman" w:hAnsi="Times New Roman" w:eastAsia="仿宋_GB2312" w:cs="Times New Roman"/>
          <w:b w:val="0"/>
          <w:bCs w:val="0"/>
          <w:color w:val="auto"/>
          <w:sz w:val="32"/>
          <w:szCs w:val="32"/>
          <w:highlight w:val="none"/>
        </w:rPr>
        <w:t>万元；社会保障和就业支出</w:t>
      </w:r>
      <w:r>
        <w:rPr>
          <w:rFonts w:hint="default" w:ascii="Times New Roman" w:hAnsi="Times New Roman" w:eastAsia="仿宋_GB2312" w:cs="Times New Roman"/>
          <w:b w:val="0"/>
          <w:bCs w:val="0"/>
          <w:color w:val="auto"/>
          <w:sz w:val="32"/>
          <w:szCs w:val="32"/>
          <w:highlight w:val="none"/>
          <w:lang w:val="en-US" w:eastAsia="zh-CN"/>
        </w:rPr>
        <w:t>59.29</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8.8</w:t>
      </w:r>
      <w:r>
        <w:rPr>
          <w:rFonts w:hint="default" w:ascii="Times New Roman" w:hAnsi="Times New Roman" w:eastAsia="仿宋_GB2312" w:cs="Times New Roman"/>
          <w:b w:val="0"/>
          <w:bCs w:val="0"/>
          <w:color w:val="auto"/>
          <w:sz w:val="32"/>
          <w:szCs w:val="32"/>
          <w:highlight w:val="none"/>
        </w:rPr>
        <w:t>%；卫生健康支出</w:t>
      </w:r>
      <w:r>
        <w:rPr>
          <w:rFonts w:hint="default" w:ascii="Times New Roman" w:hAnsi="Times New Roman" w:eastAsia="仿宋_GB2312" w:cs="Times New Roman"/>
          <w:b w:val="0"/>
          <w:bCs w:val="0"/>
          <w:color w:val="auto"/>
          <w:sz w:val="32"/>
          <w:szCs w:val="32"/>
          <w:highlight w:val="none"/>
          <w:lang w:val="en-US" w:eastAsia="zh-CN"/>
        </w:rPr>
        <w:t>24.14</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3.6</w:t>
      </w:r>
      <w:r>
        <w:rPr>
          <w:rFonts w:hint="default" w:ascii="Times New Roman" w:hAnsi="Times New Roman" w:eastAsia="仿宋_GB2312" w:cs="Times New Roman"/>
          <w:b w:val="0"/>
          <w:bCs w:val="0"/>
          <w:color w:val="auto"/>
          <w:sz w:val="32"/>
          <w:szCs w:val="32"/>
          <w:highlight w:val="none"/>
        </w:rPr>
        <w:t>%；住房保障支出</w:t>
      </w:r>
      <w:r>
        <w:rPr>
          <w:rFonts w:hint="default" w:ascii="Times New Roman" w:hAnsi="Times New Roman" w:eastAsia="仿宋_GB2312" w:cs="Times New Roman"/>
          <w:b w:val="0"/>
          <w:bCs w:val="0"/>
          <w:color w:val="auto"/>
          <w:sz w:val="32"/>
          <w:szCs w:val="32"/>
          <w:highlight w:val="none"/>
          <w:lang w:val="en-US" w:eastAsia="zh-CN"/>
        </w:rPr>
        <w:t>31.64</w:t>
      </w:r>
      <w:r>
        <w:rPr>
          <w:rFonts w:hint="default" w:ascii="Times New Roman" w:hAnsi="Times New Roman" w:eastAsia="仿宋_GB2312" w:cs="Times New Roman"/>
          <w:b w:val="0"/>
          <w:bCs w:val="0"/>
          <w:color w:val="auto"/>
          <w:sz w:val="32"/>
          <w:szCs w:val="32"/>
          <w:highlight w:val="none"/>
        </w:rPr>
        <w:t>万元，占</w:t>
      </w:r>
      <w:r>
        <w:rPr>
          <w:rFonts w:hint="default" w:ascii="Times New Roman" w:hAnsi="Times New Roman" w:eastAsia="仿宋_GB2312" w:cs="Times New Roman"/>
          <w:b w:val="0"/>
          <w:bCs w:val="0"/>
          <w:color w:val="auto"/>
          <w:sz w:val="32"/>
          <w:szCs w:val="32"/>
          <w:highlight w:val="none"/>
          <w:lang w:val="en-US" w:eastAsia="zh-CN"/>
        </w:rPr>
        <w:t>4.7</w:t>
      </w:r>
      <w:r>
        <w:rPr>
          <w:rFonts w:hint="default" w:ascii="Times New Roman" w:hAnsi="Times New Roman" w:eastAsia="仿宋_GB2312" w:cs="Times New Roman"/>
          <w:b w:val="0"/>
          <w:bCs w:val="0"/>
          <w:color w:val="auto"/>
          <w:sz w:val="32"/>
          <w:szCs w:val="32"/>
          <w:highlight w:val="none"/>
        </w:rPr>
        <w:t>%。</w:t>
      </w:r>
    </w:p>
    <w:p w14:paraId="799B6E50">
      <w:pPr>
        <w:pStyle w:val="2"/>
        <w:ind w:left="321" w:hanging="321" w:hangingChars="100"/>
        <w:rPr>
          <w:rFonts w:hint="default" w:ascii="Times New Roman" w:hAnsi="Times New Roman" w:eastAsia="仿宋_GB2312" w:cs="Times New Roman"/>
          <w:sz w:val="32"/>
          <w:szCs w:val="32"/>
        </w:rPr>
      </w:pPr>
      <w:r>
        <w:rPr>
          <w:rFonts w:hint="default" w:ascii="Times New Roman" w:hAnsi="Times New Roman" w:eastAsia="仿宋" w:cs="Times New Roman"/>
          <w:b/>
          <w:color w:val="auto"/>
          <w:sz w:val="32"/>
          <w:szCs w:val="32"/>
          <w:highlight w:val="none"/>
          <w:lang w:eastAsia="zh-CN"/>
        </w:rPr>
        <w:object>
          <v:shape id="_x0000_i1027" o:spt="75" type="#_x0000_t75" style="height:258pt;width:367.2pt;" o:ole="t" filled="f" o:preferrelative="t" stroked="f" coordsize="21600,21600">
            <v:path/>
            <v:fill on="f" focussize="0,0"/>
            <v:stroke on="f"/>
            <v:imagedata r:id="rId21" o:title=""/>
            <o:lock v:ext="edit" aspectratio="t"/>
            <w10:wrap type="none"/>
            <w10:anchorlock/>
          </v:shape>
          <o:OLEObject Type="Embed" ProgID="Excel.Chart.8" ShapeID="_x0000_i1027" DrawAspect="Content" ObjectID="_1468075730" r:id="rId20">
            <o:LockedField>false</o:LockedField>
          </o:OLEObject>
        </w:object>
      </w:r>
      <w:r>
        <w:rPr>
          <w:rFonts w:hint="default" w:ascii="Times New Roman" w:hAnsi="Times New Roman" w:eastAsia="仿宋" w:cs="Times New Roman"/>
          <w:b/>
          <w:color w:val="auto"/>
          <w:sz w:val="32"/>
          <w:szCs w:val="32"/>
          <w:highlight w:val="none"/>
          <w:lang w:val="en-US" w:eastAsia="zh-CN"/>
        </w:rPr>
        <w:t xml:space="preserve">    </w:t>
      </w:r>
      <w:r>
        <w:rPr>
          <w:rFonts w:hint="default" w:ascii="Times New Roman" w:hAnsi="Times New Roman" w:eastAsia="仿宋_GB2312" w:cs="Times New Roman"/>
          <w:sz w:val="32"/>
          <w:szCs w:val="32"/>
        </w:rPr>
        <w:t>（图6：一般公共预算财政拨款支出决算结构）</w:t>
      </w:r>
    </w:p>
    <w:p w14:paraId="2933DF04">
      <w:pPr>
        <w:spacing w:line="600" w:lineRule="exact"/>
        <w:ind w:firstLine="643" w:firstLineChars="200"/>
        <w:outlineLvl w:val="2"/>
        <w:rPr>
          <w:rFonts w:hint="default" w:ascii="Times New Roman" w:hAnsi="Times New Roman" w:eastAsia="楷体_GB2312" w:cs="Times New Roman"/>
          <w:b/>
          <w:sz w:val="32"/>
          <w:szCs w:val="32"/>
        </w:rPr>
      </w:pPr>
      <w:bookmarkStart w:id="34" w:name="_Toc15377212"/>
      <w:r>
        <w:rPr>
          <w:rFonts w:hint="default" w:ascii="Times New Roman" w:hAnsi="Times New Roman" w:eastAsia="楷体_GB2312" w:cs="Times New Roman"/>
          <w:b/>
          <w:sz w:val="32"/>
          <w:szCs w:val="32"/>
        </w:rPr>
        <w:t>（三）一般公共预算财政拨款支出决算具体情况</w:t>
      </w:r>
      <w:bookmarkEnd w:id="34"/>
    </w:p>
    <w:p w14:paraId="0C547C31">
      <w:pPr>
        <w:spacing w:line="600" w:lineRule="exact"/>
        <w:ind w:firstLine="640"/>
        <w:rPr>
          <w:rFonts w:hint="default" w:ascii="Times New Roman" w:hAnsi="Times New Roman" w:eastAsia="仿宋_GB2312" w:cs="Times New Roman"/>
          <w:sz w:val="32"/>
          <w:szCs w:val="32"/>
        </w:rPr>
      </w:pPr>
      <w:bookmarkStart w:id="35" w:name="_Toc15378460"/>
      <w:bookmarkStart w:id="36" w:name="_Toc15377213"/>
      <w:bookmarkStart w:id="37" w:name="_Toc15377444"/>
      <w:r>
        <w:rPr>
          <w:rFonts w:hint="default" w:ascii="Times New Roman" w:hAnsi="Times New Roman" w:eastAsia="仿宋_GB2312" w:cs="Times New Roman"/>
          <w:sz w:val="32"/>
          <w:szCs w:val="32"/>
        </w:rPr>
        <w:t>2024年度一般公共预算财政拨款支出决算数为</w:t>
      </w:r>
      <w:r>
        <w:rPr>
          <w:rFonts w:hint="default" w:ascii="Times New Roman" w:hAnsi="Times New Roman" w:eastAsia="仿宋_GB2312" w:cs="Times New Roman"/>
          <w:sz w:val="32"/>
          <w:szCs w:val="32"/>
          <w:lang w:val="en-US" w:eastAsia="zh-CN"/>
        </w:rPr>
        <w:t>669.35万元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35"/>
      <w:bookmarkEnd w:id="36"/>
      <w:bookmarkEnd w:id="37"/>
    </w:p>
    <w:p w14:paraId="3BCC4DE5">
      <w:pPr>
        <w:numPr>
          <w:ilvl w:val="0"/>
          <w:numId w:val="0"/>
        </w:numPr>
        <w:spacing w:line="600" w:lineRule="exact"/>
        <w:ind w:firstLine="640" w:firstLineChars="200"/>
        <w:rPr>
          <w:rStyle w:val="18"/>
          <w:rFonts w:hint="default" w:ascii="Times New Roman" w:hAnsi="Times New Roman" w:eastAsia="仿宋_GB2312" w:cs="Times New Roman"/>
          <w:b w:val="0"/>
          <w:bCs w:val="0"/>
          <w:color w:val="auto"/>
          <w:sz w:val="32"/>
          <w:szCs w:val="32"/>
          <w:highlight w:val="none"/>
        </w:rPr>
      </w:pPr>
      <w:r>
        <w:rPr>
          <w:rStyle w:val="18"/>
          <w:rFonts w:hint="default" w:ascii="Times New Roman" w:hAnsi="Times New Roman" w:eastAsia="仿宋_GB2312" w:cs="Times New Roman"/>
          <w:b w:val="0"/>
          <w:bCs w:val="0"/>
          <w:color w:val="auto"/>
          <w:sz w:val="32"/>
          <w:szCs w:val="32"/>
          <w:highlight w:val="none"/>
          <w:lang w:val="en-US" w:eastAsia="zh-CN"/>
        </w:rPr>
        <w:t>1.</w:t>
      </w:r>
      <w:r>
        <w:rPr>
          <w:rStyle w:val="18"/>
          <w:rFonts w:hint="default" w:ascii="Times New Roman" w:hAnsi="Times New Roman" w:eastAsia="仿宋_GB2312" w:cs="Times New Roman"/>
          <w:b w:val="0"/>
          <w:bCs w:val="0"/>
          <w:color w:val="auto"/>
          <w:sz w:val="32"/>
          <w:szCs w:val="32"/>
          <w:highlight w:val="none"/>
        </w:rPr>
        <w:t>一般公共服务</w:t>
      </w:r>
      <w:r>
        <w:rPr>
          <w:rStyle w:val="18"/>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201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党委办公厅（室）及相关机构事务</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31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行政运行</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437.28</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p>
    <w:p w14:paraId="7A8AB2FA">
      <w:pPr>
        <w:spacing w:line="600" w:lineRule="exact"/>
        <w:ind w:firstLine="640" w:firstLineChars="200"/>
        <w:rPr>
          <w:rStyle w:val="18"/>
          <w:rFonts w:hint="default" w:ascii="Times New Roman" w:hAnsi="Times New Roman" w:eastAsia="仿宋_GB2312" w:cs="Times New Roman"/>
          <w:b w:val="0"/>
          <w:bCs w:val="0"/>
          <w:color w:val="auto"/>
          <w:sz w:val="32"/>
          <w:szCs w:val="32"/>
          <w:highlight w:val="none"/>
        </w:rPr>
      </w:pPr>
      <w:r>
        <w:rPr>
          <w:rStyle w:val="18"/>
          <w:rFonts w:hint="default" w:ascii="Times New Roman" w:hAnsi="Times New Roman" w:eastAsia="仿宋_GB2312" w:cs="Times New Roman"/>
          <w:b w:val="0"/>
          <w:bCs w:val="0"/>
          <w:color w:val="auto"/>
          <w:sz w:val="32"/>
          <w:szCs w:val="32"/>
          <w:highlight w:val="none"/>
          <w:lang w:val="en-US" w:eastAsia="zh-CN"/>
        </w:rPr>
        <w:t>2</w:t>
      </w:r>
      <w:r>
        <w:rPr>
          <w:rStyle w:val="18"/>
          <w:rFonts w:hint="default" w:ascii="Times New Roman" w:hAnsi="Times New Roman" w:eastAsia="仿宋_GB2312" w:cs="Times New Roman"/>
          <w:b w:val="0"/>
          <w:bCs w:val="0"/>
          <w:color w:val="auto"/>
          <w:sz w:val="32"/>
          <w:szCs w:val="32"/>
          <w:highlight w:val="none"/>
        </w:rPr>
        <w:t>.一般公共服务</w:t>
      </w:r>
      <w:r>
        <w:rPr>
          <w:rStyle w:val="18"/>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201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党委办公厅（室）及相关机构事务</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31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事业运行</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50</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3.13</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p>
    <w:p w14:paraId="7AAB5471">
      <w:pPr>
        <w:spacing w:line="600" w:lineRule="exact"/>
        <w:ind w:firstLine="640" w:firstLineChars="200"/>
        <w:rPr>
          <w:rFonts w:hint="default" w:ascii="Times New Roman" w:hAnsi="Times New Roman" w:eastAsia="仿宋_GB2312" w:cs="Times New Roman"/>
          <w:b w:val="0"/>
          <w:bCs w:val="0"/>
          <w:color w:val="auto"/>
          <w:sz w:val="32"/>
          <w:szCs w:val="32"/>
          <w:highlight w:val="none"/>
        </w:rPr>
      </w:pPr>
      <w:r>
        <w:rPr>
          <w:rStyle w:val="18"/>
          <w:rFonts w:hint="default" w:ascii="Times New Roman" w:hAnsi="Times New Roman" w:eastAsia="仿宋_GB2312" w:cs="Times New Roman"/>
          <w:b w:val="0"/>
          <w:bCs w:val="0"/>
          <w:color w:val="auto"/>
          <w:sz w:val="32"/>
          <w:szCs w:val="32"/>
          <w:highlight w:val="none"/>
          <w:lang w:val="en-US" w:eastAsia="zh-CN"/>
        </w:rPr>
        <w:t>3</w:t>
      </w:r>
      <w:r>
        <w:rPr>
          <w:rStyle w:val="18"/>
          <w:rFonts w:hint="default" w:ascii="Times New Roman" w:hAnsi="Times New Roman" w:eastAsia="仿宋_GB2312" w:cs="Times New Roman"/>
          <w:b w:val="0"/>
          <w:bCs w:val="0"/>
          <w:color w:val="auto"/>
          <w:sz w:val="32"/>
          <w:szCs w:val="32"/>
          <w:highlight w:val="none"/>
        </w:rPr>
        <w:t>.一般公共服务</w:t>
      </w:r>
      <w:r>
        <w:rPr>
          <w:rStyle w:val="18"/>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201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党委办公厅（室）及相关机构事务</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31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一般行政管理事务</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02</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33.88</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p>
    <w:p w14:paraId="0A106940">
      <w:pPr>
        <w:spacing w:line="600" w:lineRule="exact"/>
        <w:ind w:firstLine="640" w:firstLineChars="200"/>
        <w:rPr>
          <w:rFonts w:hint="default" w:ascii="Times New Roman" w:hAnsi="Times New Roman" w:eastAsia="仿宋_GB2312" w:cs="Times New Roman"/>
          <w:b w:val="0"/>
          <w:bCs w:val="0"/>
          <w:color w:val="auto"/>
          <w:sz w:val="32"/>
          <w:szCs w:val="32"/>
          <w:highlight w:val="none"/>
        </w:rPr>
      </w:pPr>
      <w:r>
        <w:rPr>
          <w:rStyle w:val="18"/>
          <w:rFonts w:hint="default" w:ascii="Times New Roman" w:hAnsi="Times New Roman" w:eastAsia="仿宋_GB2312" w:cs="Times New Roman"/>
          <w:b w:val="0"/>
          <w:bCs w:val="0"/>
          <w:color w:val="auto"/>
          <w:sz w:val="32"/>
          <w:szCs w:val="32"/>
          <w:highlight w:val="none"/>
          <w:lang w:val="en-US" w:eastAsia="zh-CN"/>
        </w:rPr>
        <w:t>4</w:t>
      </w:r>
      <w:r>
        <w:rPr>
          <w:rStyle w:val="18"/>
          <w:rFonts w:hint="default" w:ascii="Times New Roman" w:hAnsi="Times New Roman" w:eastAsia="仿宋_GB2312" w:cs="Times New Roman"/>
          <w:b w:val="0"/>
          <w:bCs w:val="0"/>
          <w:color w:val="auto"/>
          <w:sz w:val="32"/>
          <w:szCs w:val="32"/>
          <w:highlight w:val="none"/>
        </w:rPr>
        <w:t>.一般公共服务</w:t>
      </w:r>
      <w:r>
        <w:rPr>
          <w:rStyle w:val="18"/>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201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党委办公厅（室）及相关机构事务</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31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专项业务</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05</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80</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p>
    <w:p w14:paraId="13340348">
      <w:pPr>
        <w:spacing w:line="600" w:lineRule="exact"/>
        <w:ind w:firstLine="640" w:firstLineChars="200"/>
        <w:rPr>
          <w:rFonts w:hint="default" w:ascii="Times New Roman" w:hAnsi="Times New Roman" w:eastAsia="仿宋_GB2312" w:cs="Times New Roman"/>
          <w:b w:val="0"/>
          <w:bCs w:val="0"/>
          <w:color w:val="auto"/>
          <w:sz w:val="32"/>
          <w:szCs w:val="32"/>
          <w:highlight w:val="none"/>
          <w:lang w:eastAsia="zh-CN"/>
        </w:rPr>
      </w:pPr>
      <w:r>
        <w:rPr>
          <w:rStyle w:val="18"/>
          <w:rFonts w:hint="default" w:ascii="Times New Roman" w:hAnsi="Times New Roman" w:eastAsia="仿宋_GB2312" w:cs="Times New Roman"/>
          <w:b w:val="0"/>
          <w:bCs w:val="0"/>
          <w:color w:val="auto"/>
          <w:sz w:val="32"/>
          <w:szCs w:val="32"/>
          <w:highlight w:val="none"/>
          <w:lang w:val="en-US" w:eastAsia="zh-CN"/>
        </w:rPr>
        <w:t>5</w:t>
      </w:r>
      <w:r>
        <w:rPr>
          <w:rStyle w:val="18"/>
          <w:rFonts w:hint="default" w:ascii="Times New Roman" w:hAnsi="Times New Roman" w:eastAsia="仿宋_GB2312" w:cs="Times New Roman"/>
          <w:b w:val="0"/>
          <w:bCs w:val="0"/>
          <w:color w:val="auto"/>
          <w:sz w:val="32"/>
          <w:szCs w:val="32"/>
          <w:highlight w:val="none"/>
        </w:rPr>
        <w:t>.社会保障和就业</w:t>
      </w:r>
      <w:r>
        <w:rPr>
          <w:rStyle w:val="18"/>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208</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行政事业单位养老支出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05</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机关事业单位基本养老保险缴费支出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05）:</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39.51</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eastAsia="zh-CN"/>
        </w:rPr>
        <w:t>。</w:t>
      </w:r>
    </w:p>
    <w:p w14:paraId="2F8AFA7C">
      <w:pPr>
        <w:spacing w:line="600" w:lineRule="exact"/>
        <w:ind w:firstLine="640" w:firstLineChars="200"/>
        <w:rPr>
          <w:rStyle w:val="18"/>
          <w:rFonts w:hint="default" w:ascii="Times New Roman" w:hAnsi="Times New Roman" w:eastAsia="仿宋_GB2312" w:cs="Times New Roman"/>
          <w:b w:val="0"/>
          <w:bCs w:val="0"/>
          <w:color w:val="auto"/>
          <w:sz w:val="32"/>
          <w:szCs w:val="32"/>
          <w:highlight w:val="none"/>
        </w:rPr>
      </w:pPr>
      <w:r>
        <w:rPr>
          <w:rStyle w:val="18"/>
          <w:rFonts w:hint="default" w:ascii="Times New Roman" w:hAnsi="Times New Roman" w:eastAsia="仿宋_GB2312" w:cs="Times New Roman"/>
          <w:b w:val="0"/>
          <w:bCs w:val="0"/>
          <w:color w:val="auto"/>
          <w:sz w:val="32"/>
          <w:szCs w:val="32"/>
          <w:highlight w:val="none"/>
          <w:lang w:val="en-US" w:eastAsia="zh-CN"/>
        </w:rPr>
        <w:t>6</w:t>
      </w:r>
      <w:r>
        <w:rPr>
          <w:rStyle w:val="18"/>
          <w:rFonts w:hint="default" w:ascii="Times New Roman" w:hAnsi="Times New Roman" w:eastAsia="仿宋_GB2312" w:cs="Times New Roman"/>
          <w:b w:val="0"/>
          <w:bCs w:val="0"/>
          <w:color w:val="auto"/>
          <w:sz w:val="32"/>
          <w:szCs w:val="32"/>
          <w:highlight w:val="none"/>
        </w:rPr>
        <w:t>.社会保障和就业</w:t>
      </w:r>
      <w:r>
        <w:rPr>
          <w:rStyle w:val="18"/>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208</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行政事业单位养老支出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06</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机关事业单位基本养老保险缴费支出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06</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19.78</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eastAsia="zh-CN"/>
        </w:rPr>
        <w:t>。</w:t>
      </w:r>
    </w:p>
    <w:p w14:paraId="4ECB1BB5">
      <w:pPr>
        <w:spacing w:line="600" w:lineRule="exact"/>
        <w:ind w:firstLine="640" w:firstLineChars="200"/>
        <w:rPr>
          <w:rFonts w:hint="default" w:ascii="Times New Roman" w:hAnsi="Times New Roman" w:eastAsia="仿宋_GB2312" w:cs="Times New Roman"/>
          <w:b w:val="0"/>
          <w:bCs w:val="0"/>
          <w:color w:val="auto"/>
          <w:sz w:val="32"/>
          <w:szCs w:val="32"/>
          <w:highlight w:val="none"/>
        </w:rPr>
      </w:pPr>
      <w:r>
        <w:rPr>
          <w:rStyle w:val="18"/>
          <w:rFonts w:hint="default" w:ascii="Times New Roman" w:hAnsi="Times New Roman" w:eastAsia="仿宋_GB2312" w:cs="Times New Roman"/>
          <w:b w:val="0"/>
          <w:bCs w:val="0"/>
          <w:color w:val="auto"/>
          <w:sz w:val="32"/>
          <w:szCs w:val="32"/>
          <w:highlight w:val="none"/>
          <w:lang w:val="en-US" w:eastAsia="zh-CN"/>
        </w:rPr>
        <w:t>7.</w:t>
      </w:r>
      <w:r>
        <w:rPr>
          <w:rFonts w:hint="default" w:ascii="Times New Roman" w:hAnsi="Times New Roman" w:eastAsia="仿宋_GB2312" w:cs="Times New Roman"/>
          <w:b w:val="0"/>
          <w:bCs w:val="0"/>
          <w:color w:val="auto"/>
          <w:sz w:val="32"/>
          <w:szCs w:val="32"/>
          <w:highlight w:val="none"/>
        </w:rPr>
        <w:t>卫生健康</w:t>
      </w:r>
      <w:r>
        <w:rPr>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210</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行政事业单位医疗</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11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行政单位医疗</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18.58</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p>
    <w:p w14:paraId="43DE9EF1">
      <w:pPr>
        <w:spacing w:line="600" w:lineRule="exact"/>
        <w:ind w:firstLine="640" w:firstLineChars="200"/>
        <w:rPr>
          <w:rStyle w:val="18"/>
          <w:rFonts w:hint="default" w:ascii="Times New Roman" w:hAnsi="Times New Roman" w:eastAsia="仿宋_GB2312" w:cs="Times New Roman"/>
          <w:b w:val="0"/>
          <w:bCs w:val="0"/>
          <w:color w:val="auto"/>
          <w:sz w:val="32"/>
          <w:szCs w:val="32"/>
          <w:highlight w:val="none"/>
        </w:rPr>
      </w:pPr>
      <w:r>
        <w:rPr>
          <w:rStyle w:val="18"/>
          <w:rFonts w:hint="default"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rPr>
        <w:t>卫生健康</w:t>
      </w:r>
      <w:r>
        <w:rPr>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210</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行政事业单位医疗</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11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公务员医疗补助</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03</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5.29</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p>
    <w:p w14:paraId="4AD65513">
      <w:pPr>
        <w:spacing w:line="600" w:lineRule="exact"/>
        <w:ind w:firstLine="640" w:firstLineChars="200"/>
        <w:rPr>
          <w:rFonts w:hint="default" w:ascii="Times New Roman" w:hAnsi="Times New Roman" w:eastAsia="仿宋_GB2312" w:cs="Times New Roman"/>
          <w:b w:val="0"/>
          <w:bCs w:val="0"/>
          <w:color w:val="auto"/>
          <w:sz w:val="32"/>
          <w:szCs w:val="32"/>
          <w:highlight w:val="none"/>
        </w:rPr>
      </w:pPr>
      <w:r>
        <w:rPr>
          <w:rStyle w:val="18"/>
          <w:rFonts w:hint="default" w:ascii="Times New Roman" w:hAnsi="Times New Roman" w:eastAsia="仿宋_GB2312" w:cs="Times New Roman"/>
          <w:b w:val="0"/>
          <w:bCs w:val="0"/>
          <w:color w:val="auto"/>
          <w:sz w:val="32"/>
          <w:szCs w:val="32"/>
          <w:highlight w:val="none"/>
          <w:lang w:val="en-US" w:eastAsia="zh-CN"/>
        </w:rPr>
        <w:t>9.</w:t>
      </w:r>
      <w:r>
        <w:rPr>
          <w:rFonts w:hint="default" w:ascii="Times New Roman" w:hAnsi="Times New Roman" w:eastAsia="仿宋_GB2312" w:cs="Times New Roman"/>
          <w:b w:val="0"/>
          <w:bCs w:val="0"/>
          <w:color w:val="auto"/>
          <w:sz w:val="32"/>
          <w:szCs w:val="32"/>
          <w:highlight w:val="none"/>
        </w:rPr>
        <w:t>卫生健康</w:t>
      </w:r>
      <w:r>
        <w:rPr>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210</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行政事业单位医疗</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11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事业单位医疗</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02</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0.06</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p>
    <w:p w14:paraId="5E876914">
      <w:pPr>
        <w:spacing w:line="600" w:lineRule="exact"/>
        <w:ind w:firstLine="640" w:firstLineChars="200"/>
        <w:rPr>
          <w:rFonts w:hint="default" w:ascii="Times New Roman" w:hAnsi="Times New Roman" w:eastAsia="仿宋_GB2312" w:cs="Times New Roman"/>
          <w:b w:val="0"/>
          <w:bCs w:val="0"/>
        </w:rPr>
      </w:pPr>
      <w:r>
        <w:rPr>
          <w:rStyle w:val="18"/>
          <w:rFonts w:hint="default" w:ascii="Times New Roman" w:hAnsi="Times New Roman" w:eastAsia="仿宋_GB2312" w:cs="Times New Roman"/>
          <w:b w:val="0"/>
          <w:bCs w:val="0"/>
          <w:color w:val="auto"/>
          <w:sz w:val="32"/>
          <w:szCs w:val="32"/>
          <w:highlight w:val="none"/>
          <w:lang w:val="en-US" w:eastAsia="zh-CN"/>
        </w:rPr>
        <w:t>10.</w:t>
      </w:r>
      <w:r>
        <w:rPr>
          <w:rFonts w:hint="default" w:ascii="Times New Roman" w:hAnsi="Times New Roman" w:eastAsia="仿宋_GB2312" w:cs="Times New Roman"/>
          <w:b w:val="0"/>
          <w:bCs w:val="0"/>
          <w:color w:val="auto"/>
          <w:sz w:val="32"/>
          <w:szCs w:val="32"/>
          <w:highlight w:val="none"/>
        </w:rPr>
        <w:t>卫生健康</w:t>
      </w:r>
      <w:r>
        <w:rPr>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210</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行政事业单位医疗</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11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其他行政事业单位医疗支出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99</w:t>
      </w:r>
      <w:r>
        <w:rPr>
          <w:rStyle w:val="18"/>
          <w:rFonts w:hint="default" w:ascii="Times New Roman" w:hAnsi="Times New Roman" w:eastAsia="仿宋_GB2312" w:cs="Times New Roman"/>
          <w:b w:val="0"/>
          <w:bCs w:val="0"/>
          <w:color w:val="auto"/>
          <w:sz w:val="32"/>
          <w:szCs w:val="32"/>
          <w:highlight w:val="none"/>
        </w:rPr>
        <w:t>）</w:t>
      </w:r>
      <w:r>
        <w:rPr>
          <w:rStyle w:val="18"/>
          <w:rFonts w:hint="eastAsia"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0.22</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p>
    <w:p w14:paraId="3EA5EF28">
      <w:pPr>
        <w:spacing w:line="600" w:lineRule="exact"/>
        <w:ind w:firstLine="640" w:firstLineChars="200"/>
        <w:rPr>
          <w:rFonts w:hint="default" w:ascii="Times New Roman" w:hAnsi="Times New Roman" w:eastAsia="仿宋_GB2312" w:cs="Times New Roman"/>
          <w:b w:val="0"/>
          <w:bCs w:val="0"/>
          <w:sz w:val="32"/>
          <w:szCs w:val="32"/>
        </w:rPr>
      </w:pPr>
      <w:r>
        <w:rPr>
          <w:rStyle w:val="18"/>
          <w:rFonts w:hint="default" w:ascii="Times New Roman" w:hAnsi="Times New Roman" w:eastAsia="仿宋_GB2312" w:cs="Times New Roman"/>
          <w:b w:val="0"/>
          <w:bCs w:val="0"/>
          <w:color w:val="auto"/>
          <w:sz w:val="32"/>
          <w:szCs w:val="32"/>
          <w:highlight w:val="none"/>
          <w:lang w:val="en-US" w:eastAsia="zh-CN"/>
        </w:rPr>
        <w:t>11.住房保障</w:t>
      </w:r>
      <w:r>
        <w:rPr>
          <w:rFonts w:hint="default" w:ascii="Times New Roman" w:hAnsi="Times New Roman" w:eastAsia="仿宋_GB2312" w:cs="Times New Roman"/>
          <w:b w:val="0"/>
          <w:bCs w:val="0"/>
          <w:color w:val="auto"/>
          <w:sz w:val="32"/>
          <w:szCs w:val="32"/>
          <w:highlight w:val="none"/>
          <w:lang w:val="en-US" w:eastAsia="zh-CN"/>
        </w:rPr>
        <w:t>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221</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住房改革支出</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02</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住房公积金</w:t>
      </w:r>
      <w:r>
        <w:rPr>
          <w:rStyle w:val="18"/>
          <w:rFonts w:hint="default" w:ascii="Times New Roman" w:hAnsi="Times New Roman" w:eastAsia="仿宋_GB2312" w:cs="Times New Roman"/>
          <w:b w:val="0"/>
          <w:bCs w:val="0"/>
          <w:color w:val="auto"/>
          <w:sz w:val="32"/>
          <w:szCs w:val="32"/>
          <w:highlight w:val="none"/>
        </w:rPr>
        <w:t>（</w:t>
      </w:r>
      <w:r>
        <w:rPr>
          <w:rStyle w:val="18"/>
          <w:rFonts w:hint="default" w:ascii="Times New Roman" w:hAnsi="Times New Roman" w:eastAsia="仿宋_GB2312" w:cs="Times New Roman"/>
          <w:b w:val="0"/>
          <w:bCs w:val="0"/>
          <w:color w:val="auto"/>
          <w:sz w:val="32"/>
          <w:szCs w:val="32"/>
          <w:highlight w:val="none"/>
          <w:lang w:val="en-US" w:eastAsia="zh-CN"/>
        </w:rPr>
        <w:t>01</w:t>
      </w:r>
      <w:r>
        <w:rPr>
          <w:rStyle w:val="18"/>
          <w:rFonts w:hint="default" w:ascii="Times New Roman" w:hAnsi="Times New Roman" w:eastAsia="仿宋_GB2312" w:cs="Times New Roman"/>
          <w:b w:val="0"/>
          <w:bCs w:val="0"/>
          <w:color w:val="auto"/>
          <w:sz w:val="32"/>
          <w:szCs w:val="32"/>
          <w:highlight w:val="none"/>
        </w:rPr>
        <w:t>）</w:t>
      </w:r>
      <w:r>
        <w:rPr>
          <w:rStyle w:val="18"/>
          <w:rFonts w:hint="eastAsia" w:eastAsia="仿宋_GB2312" w:cs="Times New Roman"/>
          <w:b w:val="0"/>
          <w:bCs w:val="0"/>
          <w:color w:val="auto"/>
          <w:sz w:val="32"/>
          <w:szCs w:val="32"/>
          <w:highlight w:val="none"/>
          <w:lang w:val="en-US" w:eastAsia="zh-CN"/>
        </w:rPr>
        <w:t>:</w:t>
      </w:r>
      <w:r>
        <w:rPr>
          <w:rStyle w:val="18"/>
          <w:rFonts w:hint="default" w:ascii="Times New Roman" w:hAnsi="Times New Roman" w:eastAsia="仿宋_GB2312" w:cs="Times New Roman"/>
          <w:b w:val="0"/>
          <w:bCs w:val="0"/>
          <w:color w:val="auto"/>
          <w:sz w:val="32"/>
          <w:szCs w:val="32"/>
          <w:highlight w:val="none"/>
        </w:rPr>
        <w:t>支出决算为</w:t>
      </w:r>
      <w:r>
        <w:rPr>
          <w:rStyle w:val="18"/>
          <w:rFonts w:hint="default" w:ascii="Times New Roman" w:hAnsi="Times New Roman" w:eastAsia="仿宋_GB2312" w:cs="Times New Roman"/>
          <w:b w:val="0"/>
          <w:bCs w:val="0"/>
          <w:color w:val="auto"/>
          <w:sz w:val="32"/>
          <w:szCs w:val="32"/>
          <w:highlight w:val="none"/>
          <w:lang w:val="en-US" w:eastAsia="zh-CN"/>
        </w:rPr>
        <w:t>31.64</w:t>
      </w:r>
      <w:r>
        <w:rPr>
          <w:rStyle w:val="18"/>
          <w:rFonts w:hint="default" w:ascii="Times New Roman" w:hAnsi="Times New Roman" w:eastAsia="仿宋_GB2312" w:cs="Times New Roman"/>
          <w:b w:val="0"/>
          <w:bCs w:val="0"/>
          <w:color w:val="auto"/>
          <w:sz w:val="32"/>
          <w:szCs w:val="32"/>
          <w:highlight w:val="none"/>
        </w:rPr>
        <w:t>万元，完成预算</w:t>
      </w:r>
      <w:r>
        <w:rPr>
          <w:rStyle w:val="18"/>
          <w:rFonts w:hint="default" w:ascii="Times New Roman" w:hAnsi="Times New Roman" w:eastAsia="仿宋_GB2312" w:cs="Times New Roman"/>
          <w:b w:val="0"/>
          <w:bCs w:val="0"/>
          <w:color w:val="auto"/>
          <w:sz w:val="32"/>
          <w:szCs w:val="32"/>
          <w:highlight w:val="none"/>
          <w:lang w:val="en-US" w:eastAsia="zh-CN"/>
        </w:rPr>
        <w:t>100</w:t>
      </w:r>
      <w:r>
        <w:rPr>
          <w:rStyle w:val="18"/>
          <w:rFonts w:hint="default" w:ascii="Times New Roman" w:hAnsi="Times New Roman" w:eastAsia="仿宋_GB2312" w:cs="Times New Roman"/>
          <w:b w:val="0"/>
          <w:bCs w:val="0"/>
          <w:color w:val="auto"/>
          <w:sz w:val="32"/>
          <w:szCs w:val="32"/>
          <w:highlight w:val="none"/>
        </w:rPr>
        <w:t>%。</w:t>
      </w:r>
    </w:p>
    <w:p w14:paraId="09FFB682">
      <w:pPr>
        <w:tabs>
          <w:tab w:val="right" w:pos="8306"/>
        </w:tabs>
        <w:spacing w:line="600" w:lineRule="exact"/>
        <w:ind w:firstLine="640"/>
        <w:outlineLvl w:val="1"/>
        <w:rPr>
          <w:rStyle w:val="30"/>
          <w:rFonts w:hint="default" w:ascii="Times New Roman" w:hAnsi="Times New Roman" w:cs="Times New Roman"/>
        </w:rPr>
      </w:pPr>
      <w:bookmarkStart w:id="38" w:name="_Toc15396608"/>
      <w:bookmarkStart w:id="39" w:name="_Toc15377214"/>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0"/>
          <w:rFonts w:hint="default" w:ascii="Times New Roman" w:hAnsi="Times New Roman" w:eastAsia="黑体" w:cs="Times New Roman"/>
          <w:b w:val="0"/>
        </w:rPr>
        <w:t>般公共预算财政拨款基本支出决算情况说明</w:t>
      </w:r>
      <w:bookmarkEnd w:id="38"/>
      <w:bookmarkEnd w:id="39"/>
      <w:r>
        <w:rPr>
          <w:rStyle w:val="30"/>
          <w:rFonts w:hint="default" w:ascii="Times New Roman" w:hAnsi="Times New Roman" w:eastAsia="黑体" w:cs="Times New Roman"/>
          <w:b w:val="0"/>
        </w:rPr>
        <w:tab/>
      </w:r>
    </w:p>
    <w:p w14:paraId="2A2FDE49">
      <w:pPr>
        <w:spacing w:line="600" w:lineRule="exact"/>
        <w:ind w:firstLine="645"/>
        <w:rPr>
          <w:rFonts w:hint="default" w:ascii="Times New Roman" w:hAnsi="Times New Roman" w:eastAsia="仿宋_GB2312" w:cs="Times New Roman"/>
          <w:color w:val="auto"/>
          <w:sz w:val="32"/>
          <w:szCs w:val="32"/>
          <w:highlight w:val="none"/>
        </w:rPr>
      </w:pPr>
      <w:bookmarkStart w:id="40" w:name="_Toc15396609"/>
      <w:bookmarkStart w:id="41" w:name="_Toc15377215"/>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一般公共预算财政拨款基本支出</w:t>
      </w:r>
      <w:r>
        <w:rPr>
          <w:rFonts w:hint="default" w:ascii="Times New Roman" w:hAnsi="Times New Roman" w:eastAsia="仿宋_GB2312" w:cs="Times New Roman"/>
          <w:color w:val="auto"/>
          <w:sz w:val="32"/>
          <w:szCs w:val="32"/>
          <w:highlight w:val="none"/>
          <w:lang w:val="en-US" w:eastAsia="zh-CN"/>
        </w:rPr>
        <w:t>555.47</w:t>
      </w:r>
      <w:r>
        <w:rPr>
          <w:rFonts w:hint="default" w:ascii="Times New Roman" w:hAnsi="Times New Roman" w:eastAsia="仿宋_GB2312" w:cs="Times New Roman"/>
          <w:color w:val="auto"/>
          <w:sz w:val="32"/>
          <w:szCs w:val="32"/>
          <w:highlight w:val="none"/>
        </w:rPr>
        <w:t>万元，其中：</w:t>
      </w:r>
    </w:p>
    <w:p w14:paraId="2989C603">
      <w:pPr>
        <w:spacing w:line="600" w:lineRule="exact"/>
        <w:ind w:firstLine="645"/>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人员经费</w:t>
      </w:r>
      <w:r>
        <w:rPr>
          <w:rFonts w:hint="default" w:ascii="Times New Roman" w:hAnsi="Times New Roman" w:eastAsia="仿宋_GB2312" w:cs="Times New Roman"/>
          <w:color w:val="auto"/>
          <w:sz w:val="32"/>
          <w:szCs w:val="32"/>
          <w:highlight w:val="none"/>
          <w:lang w:val="en-US" w:eastAsia="zh-CN"/>
        </w:rPr>
        <w:t>503.25</w:t>
      </w:r>
      <w:r>
        <w:rPr>
          <w:rFonts w:hint="default" w:ascii="Times New Roman" w:hAnsi="Times New Roman" w:eastAsia="仿宋_GB2312" w:cs="Times New Roman"/>
          <w:color w:val="auto"/>
          <w:sz w:val="32"/>
          <w:szCs w:val="32"/>
          <w:highlight w:val="none"/>
        </w:rPr>
        <w:t>万元，主要包括：基本工资、津贴补贴、奖金、伙食补助费、绩效工资、机关事业单位基本养老保险缴费、职业年金缴费、其他社会保障缴费、其他工资福利支出、离休费、退休费、生活补助、医疗费补助、奖励金、住房公积金、其他对个人和家庭的补助支出等。</w:t>
      </w:r>
    </w:p>
    <w:p w14:paraId="29E3FBCA">
      <w:pPr>
        <w:spacing w:line="600" w:lineRule="exact"/>
        <w:ind w:firstLine="645"/>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公用经费</w:t>
      </w:r>
      <w:r>
        <w:rPr>
          <w:rFonts w:hint="default" w:ascii="Times New Roman" w:hAnsi="Times New Roman" w:eastAsia="仿宋_GB2312" w:cs="Times New Roman"/>
          <w:color w:val="auto"/>
          <w:sz w:val="32"/>
          <w:szCs w:val="32"/>
          <w:highlight w:val="none"/>
          <w:lang w:val="en-US" w:eastAsia="zh-CN"/>
        </w:rPr>
        <w:t>52.22</w:t>
      </w:r>
      <w:r>
        <w:rPr>
          <w:rFonts w:hint="default" w:ascii="Times New Roman" w:hAnsi="Times New Roman" w:eastAsia="仿宋_GB2312" w:cs="Times New Roman"/>
          <w:color w:val="auto"/>
          <w:sz w:val="32"/>
          <w:szCs w:val="32"/>
          <w:highlight w:val="none"/>
        </w:rPr>
        <w:t>万元，主要包括：办公费、印刷费、水费、电费、邮电费、差旅费、维修（护）费、会议费、培训费、劳务费、委托业务费、福利费、公务用车运行维护费、其他商品和服务支出、办公设备购置</w:t>
      </w:r>
      <w:r>
        <w:rPr>
          <w:rFonts w:hint="eastAsia"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rPr>
        <w:t>。</w:t>
      </w:r>
    </w:p>
    <w:p w14:paraId="475093D4">
      <w:pPr>
        <w:spacing w:line="600" w:lineRule="exact"/>
        <w:ind w:firstLine="640"/>
        <w:outlineLvl w:val="1"/>
        <w:rPr>
          <w:rStyle w:val="30"/>
          <w:rFonts w:hint="default" w:ascii="Times New Roman" w:hAnsi="Times New Roman" w:eastAsia="黑体" w:cs="Times New Roman"/>
          <w:b w:val="0"/>
        </w:rPr>
      </w:pPr>
      <w:r>
        <w:rPr>
          <w:rFonts w:hint="default" w:ascii="Times New Roman" w:hAnsi="Times New Roman" w:eastAsia="黑体" w:cs="Times New Roman"/>
          <w:sz w:val="32"/>
          <w:szCs w:val="32"/>
        </w:rPr>
        <w:t>七、</w:t>
      </w:r>
      <w:r>
        <w:rPr>
          <w:rStyle w:val="30"/>
          <w:rFonts w:hint="default" w:ascii="Times New Roman" w:hAnsi="Times New Roman" w:eastAsia="黑体" w:cs="Times New Roman"/>
          <w:b w:val="0"/>
        </w:rPr>
        <w:t>财政拨款</w:t>
      </w:r>
      <w:r>
        <w:rPr>
          <w:rStyle w:val="30"/>
          <w:rFonts w:hint="default" w:ascii="Times New Roman" w:hAnsi="Times New Roman" w:eastAsia="黑体" w:cs="Times New Roman"/>
        </w:rPr>
        <w:t>“</w:t>
      </w:r>
      <w:r>
        <w:rPr>
          <w:rStyle w:val="30"/>
          <w:rFonts w:hint="default" w:ascii="Times New Roman" w:hAnsi="Times New Roman" w:eastAsia="黑体" w:cs="Times New Roman"/>
          <w:b w:val="0"/>
        </w:rPr>
        <w:t>三公”经费支出决算情况说明</w:t>
      </w:r>
      <w:bookmarkEnd w:id="40"/>
      <w:bookmarkEnd w:id="41"/>
    </w:p>
    <w:p w14:paraId="55E32413">
      <w:pPr>
        <w:spacing w:line="600" w:lineRule="exact"/>
        <w:ind w:firstLine="643" w:firstLineChars="200"/>
        <w:outlineLvl w:val="2"/>
        <w:rPr>
          <w:rFonts w:hint="default" w:ascii="Times New Roman" w:hAnsi="Times New Roman" w:eastAsia="楷体_GB2312" w:cs="Times New Roman"/>
          <w:b/>
          <w:sz w:val="32"/>
          <w:szCs w:val="32"/>
        </w:rPr>
      </w:pPr>
      <w:bookmarkStart w:id="42" w:name="_Toc15377216"/>
      <w:r>
        <w:rPr>
          <w:rFonts w:hint="default" w:ascii="Times New Roman" w:hAnsi="Times New Roman" w:eastAsia="楷体_GB2312" w:cs="Times New Roman"/>
          <w:b/>
          <w:sz w:val="32"/>
          <w:szCs w:val="32"/>
        </w:rPr>
        <w:t>（一）“三公”经费财政拨款支出决算总体情况说明</w:t>
      </w:r>
      <w:bookmarkEnd w:id="42"/>
    </w:p>
    <w:p w14:paraId="38291826">
      <w:pPr>
        <w:spacing w:line="600" w:lineRule="exact"/>
        <w:ind w:firstLine="640"/>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sz w:val="32"/>
          <w:szCs w:val="32"/>
        </w:rPr>
        <w:t>2024年度“三公”经费财政拨款支出决算为</w:t>
      </w:r>
      <w:r>
        <w:rPr>
          <w:rFonts w:hint="default" w:ascii="Times New Roman" w:hAnsi="Times New Roman" w:eastAsia="仿宋_GB2312" w:cs="Times New Roman"/>
          <w:sz w:val="32"/>
          <w:szCs w:val="32"/>
          <w:lang w:val="en-US" w:eastAsia="zh-CN"/>
        </w:rPr>
        <w:t>14.4</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%，与预算数持平</w:t>
      </w:r>
      <w:r>
        <w:rPr>
          <w:rFonts w:hint="default" w:ascii="Times New Roman" w:hAnsi="Times New Roman" w:eastAsia="仿宋_GB2312" w:cs="Times New Roman"/>
          <w:sz w:val="32"/>
          <w:szCs w:val="32"/>
          <w:lang w:eastAsia="zh-CN"/>
        </w:rPr>
        <w:t>。</w:t>
      </w:r>
    </w:p>
    <w:p w14:paraId="181B4920">
      <w:pPr>
        <w:spacing w:line="600" w:lineRule="exact"/>
        <w:ind w:firstLine="643" w:firstLineChars="200"/>
        <w:outlineLvl w:val="2"/>
        <w:rPr>
          <w:rFonts w:hint="default" w:ascii="Times New Roman" w:hAnsi="Times New Roman" w:eastAsia="楷体_GB2312" w:cs="Times New Roman"/>
          <w:b/>
          <w:sz w:val="32"/>
          <w:szCs w:val="32"/>
        </w:rPr>
      </w:pPr>
      <w:bookmarkStart w:id="43" w:name="_Toc15377217"/>
      <w:r>
        <w:rPr>
          <w:rFonts w:hint="default" w:ascii="Times New Roman" w:hAnsi="Times New Roman" w:eastAsia="楷体_GB2312" w:cs="Times New Roman"/>
          <w:b/>
          <w:sz w:val="32"/>
          <w:szCs w:val="32"/>
        </w:rPr>
        <w:t>（二）“三公”经费财政拨款支出决算具体情况说明</w:t>
      </w:r>
      <w:bookmarkEnd w:id="43"/>
    </w:p>
    <w:p w14:paraId="5D50E72E">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2024年度“三公”经费财政拨款支出决算中，因公出国（境）费支出决算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万元；公务用车购置及运行维护费支出决算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万元；公务接待费支出决算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14:paraId="73D482AB">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 w:cs="Times New Roman"/>
          <w:color w:val="auto"/>
          <w:sz w:val="32"/>
          <w:szCs w:val="32"/>
          <w:highlight w:val="none"/>
          <w:lang w:eastAsia="zh-CN"/>
        </w:rPr>
        <w:pict>
          <v:shape id="_x0000_s1029" o:spid="_x0000_s1029" o:spt="75" type="#_x0000_t75" style="position:absolute;left:0pt;margin-left:57.7pt;margin-top:6.35pt;height:242.4pt;width:313.2pt;mso-wrap-distance-bottom:0pt;mso-wrap-distance-left:9pt;mso-wrap-distance-right:9pt;mso-wrap-distance-top:0pt;z-index:251662336;mso-width-relative:page;mso-height-relative:page;" o:ole="t" filled="f" o:preferrelative="t" stroked="f" coordsize="21600,21600">
            <v:path/>
            <v:fill on="f" focussize="0,0"/>
            <v:stroke on="f"/>
            <v:imagedata r:id="rId23" o:title=""/>
            <o:lock v:ext="edit" aspectratio="t"/>
            <w10:wrap type="square"/>
          </v:shape>
          <o:OLEObject Type="Embed" ProgID="Excel.Chart.8" ShapeID="_x0000_s1029" DrawAspect="Content" ObjectID="_1468075731" r:id="rId22">
            <o:LockedField>false</o:LockedField>
          </o:OLEObject>
        </w:pict>
      </w:r>
    </w:p>
    <w:p w14:paraId="7459C990">
      <w:pPr>
        <w:spacing w:line="600" w:lineRule="exact"/>
        <w:ind w:firstLine="640"/>
        <w:rPr>
          <w:rFonts w:hint="default" w:ascii="Times New Roman" w:hAnsi="Times New Roman" w:eastAsia="仿宋_GB2312" w:cs="Times New Roman"/>
          <w:sz w:val="32"/>
          <w:szCs w:val="32"/>
        </w:rPr>
      </w:pPr>
    </w:p>
    <w:p w14:paraId="072AD91E">
      <w:pPr>
        <w:spacing w:line="600" w:lineRule="exact"/>
        <w:ind w:firstLine="640"/>
        <w:rPr>
          <w:rFonts w:hint="default" w:ascii="Times New Roman" w:hAnsi="Times New Roman" w:eastAsia="仿宋_GB2312" w:cs="Times New Roman"/>
          <w:sz w:val="32"/>
          <w:szCs w:val="32"/>
        </w:rPr>
      </w:pPr>
    </w:p>
    <w:p w14:paraId="22A228CE">
      <w:pPr>
        <w:spacing w:line="600" w:lineRule="exact"/>
        <w:ind w:firstLine="640"/>
        <w:rPr>
          <w:rFonts w:hint="default" w:ascii="Times New Roman" w:hAnsi="Times New Roman" w:eastAsia="仿宋_GB2312" w:cs="Times New Roman"/>
          <w:sz w:val="32"/>
          <w:szCs w:val="32"/>
        </w:rPr>
      </w:pPr>
    </w:p>
    <w:p w14:paraId="1BD2AEF7">
      <w:pPr>
        <w:spacing w:line="600" w:lineRule="exact"/>
        <w:rPr>
          <w:rFonts w:hint="default" w:ascii="Times New Roman" w:hAnsi="Times New Roman" w:eastAsia="仿宋_GB2312" w:cs="Times New Roman"/>
          <w:sz w:val="32"/>
          <w:szCs w:val="32"/>
        </w:rPr>
      </w:pPr>
    </w:p>
    <w:p w14:paraId="59D176C0">
      <w:pPr>
        <w:spacing w:line="600" w:lineRule="exact"/>
        <w:ind w:firstLine="640"/>
        <w:rPr>
          <w:rFonts w:hint="default" w:ascii="Times New Roman" w:hAnsi="Times New Roman" w:eastAsia="仿宋_GB2312" w:cs="Times New Roman"/>
          <w:sz w:val="32"/>
          <w:szCs w:val="32"/>
        </w:rPr>
      </w:pPr>
    </w:p>
    <w:p w14:paraId="3502AD73">
      <w:pPr>
        <w:spacing w:line="600" w:lineRule="exact"/>
        <w:ind w:firstLine="1609" w:firstLineChars="50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（图7：“三公”经费财政拨款支出结构）</w:t>
      </w:r>
    </w:p>
    <w:p w14:paraId="5BBB81D4">
      <w:pPr>
        <w:numPr>
          <w:ilvl w:val="0"/>
          <w:numId w:val="0"/>
        </w:numPr>
        <w:spacing w:line="600" w:lineRule="exact"/>
        <w:ind w:firstLine="643" w:firstLineChars="200"/>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因公出国（境）经费支出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w:t>
      </w:r>
      <w:r>
        <w:rPr>
          <w:rFonts w:hint="default" w:ascii="Times New Roman" w:hAnsi="Times New Roman" w:eastAsia="仿宋_GB2312" w:cs="Times New Roman"/>
          <w:b/>
          <w:bCs/>
          <w:sz w:val="32"/>
          <w:szCs w:val="32"/>
          <w:lang w:val="en-US" w:eastAsia="zh-CN"/>
        </w:rPr>
        <w:t>未安排因公出国活动</w:t>
      </w:r>
      <w:r>
        <w:rPr>
          <w:rFonts w:hint="default" w:ascii="Times New Roman" w:hAnsi="Times New Roman" w:eastAsia="仿宋_GB2312" w:cs="Times New Roman"/>
          <w:b/>
          <w:bCs/>
          <w:sz w:val="32"/>
          <w:szCs w:val="32"/>
          <w:lang w:eastAsia="zh-CN"/>
        </w:rPr>
        <w:t>。</w:t>
      </w:r>
    </w:p>
    <w:p w14:paraId="46B9BD6F">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b/>
          <w:bCs/>
          <w:sz w:val="32"/>
          <w:szCs w:val="32"/>
          <w:lang w:val="en-US" w:eastAsia="zh-CN"/>
        </w:rPr>
        <w:t>14.4</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rPr>
        <w:t>2023年度</w:t>
      </w:r>
      <w:r>
        <w:rPr>
          <w:rFonts w:hint="default" w:ascii="Times New Roman" w:hAnsi="Times New Roman" w:eastAsia="仿宋_GB2312" w:cs="Times New Roman"/>
          <w:sz w:val="32"/>
          <w:szCs w:val="32"/>
          <w:lang w:val="en-US" w:eastAsia="zh-CN"/>
        </w:rPr>
        <w:t>持平。</w:t>
      </w:r>
    </w:p>
    <w:p w14:paraId="2F80BDA2">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其中：公务用车购置支出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万元。全年按规定更新购置公务用车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截至2024年12月31日，单位共有公务用车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val="en-US" w:eastAsia="zh-CN"/>
        </w:rPr>
        <w:t>都是</w:t>
      </w:r>
      <w:r>
        <w:rPr>
          <w:rFonts w:hint="default" w:ascii="Times New Roman" w:hAnsi="Times New Roman" w:eastAsia="仿宋_GB2312" w:cs="Times New Roman"/>
          <w:sz w:val="32"/>
          <w:szCs w:val="32"/>
        </w:rPr>
        <w:t>越野车。</w:t>
      </w:r>
    </w:p>
    <w:p w14:paraId="72BF8091">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公务用车运行维护费支出</w:t>
      </w:r>
      <w:r>
        <w:rPr>
          <w:rFonts w:hint="default" w:ascii="Times New Roman" w:hAnsi="Times New Roman" w:eastAsia="仿宋_GB2312" w:cs="Times New Roman"/>
          <w:sz w:val="32"/>
          <w:szCs w:val="32"/>
          <w:lang w:val="en-US" w:eastAsia="zh-CN"/>
        </w:rPr>
        <w:t>14.4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主要用于</w:t>
      </w:r>
      <w:r>
        <w:rPr>
          <w:rFonts w:hint="default" w:ascii="Times New Roman" w:hAnsi="Times New Roman" w:eastAsia="仿宋_GB2312" w:cs="Times New Roman"/>
          <w:sz w:val="32"/>
          <w:szCs w:val="32"/>
          <w:lang w:val="en-US" w:eastAsia="zh-CN"/>
        </w:rPr>
        <w:t>开展党建调研、驻村帮扶督导、日常工作等</w:t>
      </w:r>
      <w:r>
        <w:rPr>
          <w:rFonts w:hint="default" w:ascii="Times New Roman" w:hAnsi="Times New Roman" w:eastAsia="仿宋_GB2312" w:cs="Times New Roman"/>
          <w:sz w:val="32"/>
          <w:szCs w:val="32"/>
        </w:rPr>
        <w:t>所需的公务用车燃料费、维修费、过路过桥费、保险费等支出。</w:t>
      </w:r>
    </w:p>
    <w:p w14:paraId="0DF7D7CC">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3.公务接待费支出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w:t>
      </w:r>
      <w:r>
        <w:rPr>
          <w:rFonts w:hint="default" w:ascii="Times New Roman" w:hAnsi="Times New Roman" w:eastAsia="仿宋_GB2312" w:cs="Times New Roman"/>
          <w:b/>
          <w:bCs/>
          <w:sz w:val="32"/>
          <w:szCs w:val="32"/>
          <w:lang w:val="en-US" w:eastAsia="zh-CN"/>
        </w:rPr>
        <w:t>公</w:t>
      </w:r>
      <w:r>
        <w:rPr>
          <w:rFonts w:hint="default" w:ascii="Times New Roman" w:hAnsi="Times New Roman" w:eastAsia="仿宋_GB2312" w:cs="Times New Roman"/>
          <w:sz w:val="32"/>
          <w:szCs w:val="32"/>
        </w:rPr>
        <w:t>务接待费支出决算</w:t>
      </w:r>
      <w:r>
        <w:rPr>
          <w:rFonts w:hint="default"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rPr>
        <w:t>2023年度</w:t>
      </w:r>
      <w:r>
        <w:rPr>
          <w:rFonts w:hint="default" w:ascii="Times New Roman" w:hAnsi="Times New Roman" w:eastAsia="仿宋_GB2312" w:cs="Times New Roman"/>
          <w:sz w:val="32"/>
          <w:szCs w:val="32"/>
          <w:lang w:val="en-US" w:eastAsia="zh-CN"/>
        </w:rPr>
        <w:t>持平。</w:t>
      </w:r>
      <w:bookmarkStart w:id="44" w:name="_Toc15396610"/>
      <w:bookmarkStart w:id="45" w:name="_Toc15377218"/>
    </w:p>
    <w:p w14:paraId="47228CBE">
      <w:pPr>
        <w:spacing w:line="600" w:lineRule="exact"/>
        <w:ind w:firstLine="640"/>
        <w:outlineLvl w:val="1"/>
        <w:rPr>
          <w:rStyle w:val="30"/>
          <w:rFonts w:hint="default" w:ascii="Times New Roman" w:hAnsi="Times New Roman" w:eastAsia="黑体" w:cs="Times New Roman"/>
        </w:rPr>
      </w:pPr>
      <w:r>
        <w:rPr>
          <w:rFonts w:hint="default" w:ascii="Times New Roman" w:hAnsi="Times New Roman" w:eastAsia="黑体" w:cs="Times New Roman"/>
          <w:sz w:val="32"/>
          <w:szCs w:val="32"/>
        </w:rPr>
        <w:t>八、</w:t>
      </w:r>
      <w:r>
        <w:rPr>
          <w:rStyle w:val="30"/>
          <w:rFonts w:hint="default" w:ascii="Times New Roman" w:hAnsi="Times New Roman" w:eastAsia="黑体" w:cs="Times New Roman"/>
          <w:b w:val="0"/>
        </w:rPr>
        <w:t>政府性基金预算支出决算情况说明</w:t>
      </w:r>
      <w:bookmarkEnd w:id="44"/>
      <w:bookmarkEnd w:id="45"/>
    </w:p>
    <w:p w14:paraId="469BDC26">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2024年度政府性基金预算财政拨款支出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14:paraId="4A9A739A">
      <w:pPr>
        <w:spacing w:line="600" w:lineRule="exact"/>
        <w:ind w:left="630"/>
        <w:outlineLvl w:val="1"/>
        <w:rPr>
          <w:rStyle w:val="30"/>
          <w:rFonts w:hint="default" w:ascii="Times New Roman" w:hAnsi="Times New Roman" w:eastAsia="黑体" w:cs="Times New Roman"/>
          <w:b w:val="0"/>
        </w:rPr>
      </w:pPr>
      <w:bookmarkStart w:id="46" w:name="_Toc15396611"/>
      <w:bookmarkStart w:id="47" w:name="_Toc15377219"/>
      <w:r>
        <w:rPr>
          <w:rStyle w:val="30"/>
          <w:rFonts w:hint="default" w:ascii="Times New Roman" w:hAnsi="Times New Roman" w:eastAsia="黑体" w:cs="Times New Roman"/>
          <w:b w:val="0"/>
        </w:rPr>
        <w:t>九、国有资本经营预算支出决算情况说明</w:t>
      </w:r>
      <w:bookmarkEnd w:id="46"/>
      <w:bookmarkEnd w:id="47"/>
    </w:p>
    <w:p w14:paraId="7AE95F82">
      <w:pPr>
        <w:spacing w:line="600" w:lineRule="exact"/>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2024年度国有资本经营预算财政拨款支出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p>
    <w:p w14:paraId="2CA2FA4F">
      <w:pPr>
        <w:spacing w:line="600" w:lineRule="exact"/>
        <w:ind w:left="630"/>
        <w:outlineLvl w:val="1"/>
        <w:rPr>
          <w:rStyle w:val="30"/>
          <w:rFonts w:hint="default" w:ascii="Times New Roman" w:hAnsi="Times New Roman" w:eastAsia="黑体" w:cs="Times New Roman"/>
          <w:b w:val="0"/>
        </w:rPr>
      </w:pPr>
      <w:bookmarkStart w:id="48" w:name="_Toc15396612"/>
      <w:bookmarkStart w:id="49" w:name="_Toc15377221"/>
      <w:r>
        <w:rPr>
          <w:rStyle w:val="30"/>
          <w:rFonts w:hint="default" w:ascii="Times New Roman" w:hAnsi="Times New Roman" w:eastAsia="黑体" w:cs="Times New Roman"/>
          <w:b w:val="0"/>
        </w:rPr>
        <w:t>十、其他重要事项的情况说明</w:t>
      </w:r>
      <w:bookmarkEnd w:id="48"/>
      <w:bookmarkEnd w:id="49"/>
    </w:p>
    <w:p w14:paraId="2635AD73">
      <w:pPr>
        <w:spacing w:line="600" w:lineRule="exact"/>
        <w:ind w:firstLine="643" w:firstLineChars="200"/>
        <w:outlineLvl w:val="2"/>
        <w:rPr>
          <w:rFonts w:hint="default" w:ascii="Times New Roman" w:hAnsi="Times New Roman" w:eastAsia="楷体_GB2312" w:cs="Times New Roman"/>
          <w:b/>
          <w:sz w:val="32"/>
          <w:szCs w:val="32"/>
        </w:rPr>
      </w:pPr>
      <w:bookmarkStart w:id="50" w:name="_Toc15377222"/>
      <w:r>
        <w:rPr>
          <w:rFonts w:hint="default" w:ascii="Times New Roman" w:hAnsi="Times New Roman" w:eastAsia="楷体_GB2312" w:cs="Times New Roman"/>
          <w:b/>
          <w:sz w:val="32"/>
          <w:szCs w:val="32"/>
        </w:rPr>
        <w:t>（一）机关运行经费支出情况</w:t>
      </w:r>
      <w:bookmarkEnd w:id="50"/>
    </w:p>
    <w:p w14:paraId="634232B8">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州直机关工委</w:t>
      </w:r>
      <w:r>
        <w:rPr>
          <w:rFonts w:hint="default" w:ascii="Times New Roman" w:hAnsi="Times New Roman" w:eastAsia="仿宋_GB2312" w:cs="Times New Roman"/>
          <w:color w:val="auto"/>
          <w:sz w:val="32"/>
          <w:szCs w:val="32"/>
          <w:highlight w:val="none"/>
        </w:rPr>
        <w:t>机关运行经费支出</w:t>
      </w:r>
      <w:r>
        <w:rPr>
          <w:rFonts w:hint="default" w:ascii="Times New Roman" w:hAnsi="Times New Roman" w:eastAsia="仿宋_GB2312" w:cs="Times New Roman"/>
          <w:color w:val="auto"/>
          <w:sz w:val="32"/>
          <w:szCs w:val="32"/>
          <w:highlight w:val="none"/>
          <w:lang w:val="en-US" w:eastAsia="zh-CN"/>
        </w:rPr>
        <w:t>61.54</w:t>
      </w:r>
      <w:r>
        <w:rPr>
          <w:rFonts w:hint="default" w:ascii="Times New Roman" w:hAnsi="Times New Roman" w:eastAsia="仿宋_GB2312" w:cs="Times New Roman"/>
          <w:color w:val="auto"/>
          <w:sz w:val="32"/>
          <w:szCs w:val="32"/>
          <w:highlight w:val="none"/>
        </w:rPr>
        <w:t>万元，比</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lang w:val="en-US" w:eastAsia="zh-CN"/>
        </w:rPr>
        <w:t>减少9.93</w:t>
      </w:r>
      <w:r>
        <w:rPr>
          <w:rFonts w:hint="default" w:ascii="Times New Roman" w:hAnsi="Times New Roman" w:eastAsia="仿宋_GB2312" w:cs="Times New Roman"/>
          <w:color w:val="auto"/>
          <w:sz w:val="32"/>
          <w:szCs w:val="32"/>
          <w:highlight w:val="none"/>
        </w:rPr>
        <w:t>元，</w:t>
      </w:r>
      <w:r>
        <w:rPr>
          <w:rFonts w:hint="default" w:ascii="Times New Roman" w:hAnsi="Times New Roman" w:eastAsia="仿宋_GB2312" w:cs="Times New Roman"/>
          <w:color w:val="auto"/>
          <w:sz w:val="32"/>
          <w:szCs w:val="32"/>
          <w:highlight w:val="none"/>
          <w:lang w:val="en-US" w:eastAsia="zh-CN"/>
        </w:rPr>
        <w:t>下降13.2</w:t>
      </w:r>
      <w:r>
        <w:rPr>
          <w:rFonts w:hint="default" w:ascii="Times New Roman" w:hAnsi="Times New Roman" w:eastAsia="仿宋_GB2312" w:cs="Times New Roman"/>
          <w:color w:val="auto"/>
          <w:sz w:val="32"/>
          <w:szCs w:val="32"/>
          <w:highlight w:val="none"/>
        </w:rPr>
        <w:t>%。主要原因</w:t>
      </w:r>
      <w:r>
        <w:rPr>
          <w:rFonts w:hint="default" w:ascii="Times New Roman" w:hAnsi="Times New Roman" w:eastAsia="仿宋_GB2312" w:cs="Times New Roman"/>
          <w:color w:val="auto"/>
          <w:sz w:val="32"/>
          <w:szCs w:val="32"/>
          <w:highlight w:val="none"/>
          <w:lang w:val="en-US" w:eastAsia="zh-CN"/>
        </w:rPr>
        <w:t>为：一是严格贯彻落实中央八项规定精神，厉行节约，大力压缩一</w:t>
      </w:r>
    </w:p>
    <w:p w14:paraId="1EBB6332">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highlight w:val="none"/>
          <w:lang w:val="en-US" w:eastAsia="zh-CN"/>
        </w:rPr>
        <w:t>般性支出；二是与2023年比较，部分阶段性工作任务量减少。</w:t>
      </w:r>
    </w:p>
    <w:p w14:paraId="55FA91AE">
      <w:pPr>
        <w:spacing w:line="600" w:lineRule="exact"/>
        <w:ind w:firstLine="643" w:firstLineChars="200"/>
        <w:outlineLvl w:val="2"/>
        <w:rPr>
          <w:rFonts w:hint="default" w:ascii="Times New Roman" w:hAnsi="Times New Roman" w:eastAsia="楷体_GB2312" w:cs="Times New Roman"/>
          <w:b/>
          <w:sz w:val="32"/>
          <w:szCs w:val="32"/>
        </w:rPr>
      </w:pPr>
      <w:bookmarkStart w:id="51" w:name="_Toc15377223"/>
      <w:r>
        <w:rPr>
          <w:rFonts w:hint="default" w:ascii="Times New Roman" w:hAnsi="Times New Roman" w:eastAsia="楷体_GB2312" w:cs="Times New Roman"/>
          <w:b/>
          <w:sz w:val="32"/>
          <w:szCs w:val="32"/>
        </w:rPr>
        <w:t>（二）政府采购支出情况</w:t>
      </w:r>
      <w:bookmarkEnd w:id="51"/>
    </w:p>
    <w:p w14:paraId="5F6896AF">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highlight w:val="none"/>
          <w:lang w:val="en-US" w:eastAsia="zh-CN"/>
        </w:rPr>
        <w:t>2024年度，州直机关工委采购支出总额4.25万元，其中：政府采购货物支出4.25万元，主要用于采购13台空调，保障干部职工日常供暖需求。授予小微企业合同金额4.25万元，占政府采购支出总额的100%。</w:t>
      </w:r>
    </w:p>
    <w:p w14:paraId="45302635">
      <w:pPr>
        <w:spacing w:line="600" w:lineRule="exact"/>
        <w:ind w:firstLine="643" w:firstLineChars="200"/>
        <w:outlineLvl w:val="2"/>
        <w:rPr>
          <w:rFonts w:hint="default" w:ascii="Times New Roman" w:hAnsi="Times New Roman" w:eastAsia="楷体_GB2312" w:cs="Times New Roman"/>
          <w:b/>
          <w:sz w:val="32"/>
          <w:szCs w:val="32"/>
        </w:rPr>
      </w:pPr>
      <w:bookmarkStart w:id="52" w:name="_Toc15377224"/>
      <w:r>
        <w:rPr>
          <w:rFonts w:hint="default" w:ascii="Times New Roman" w:hAnsi="Times New Roman" w:eastAsia="楷体_GB2312" w:cs="Times New Roman"/>
          <w:b/>
          <w:sz w:val="32"/>
          <w:szCs w:val="32"/>
        </w:rPr>
        <w:t>（三）国有资产占有使用情况</w:t>
      </w:r>
      <w:bookmarkEnd w:id="52"/>
    </w:p>
    <w:p w14:paraId="1C776524">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截至2024年12月31日，</w:t>
      </w:r>
      <w:r>
        <w:rPr>
          <w:rFonts w:hint="default" w:ascii="Times New Roman" w:hAnsi="Times New Roman" w:eastAsia="仿宋_GB2312" w:cs="Times New Roman"/>
          <w:sz w:val="32"/>
          <w:szCs w:val="32"/>
          <w:lang w:val="en-US" w:eastAsia="zh-CN"/>
        </w:rPr>
        <w:t>州直机关工委</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辆，其中：主要负责人用车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辆、应急保障用车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辆。单价100万元（含）以上设备（不含车辆）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14:paraId="43666F02">
      <w:pPr>
        <w:spacing w:line="600" w:lineRule="exact"/>
        <w:ind w:firstLine="643" w:firstLineChars="200"/>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14:paraId="1CEAE84E">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w:t>
      </w:r>
      <w:r>
        <w:rPr>
          <w:rFonts w:hint="default" w:ascii="Times New Roman" w:hAnsi="Times New Roman" w:eastAsia="仿宋_GB2312" w:cs="Times New Roman"/>
          <w:sz w:val="32"/>
          <w:szCs w:val="32"/>
          <w:lang w:val="en-US" w:eastAsia="zh-CN"/>
        </w:rPr>
        <w:t>本部门</w:t>
      </w:r>
      <w:r>
        <w:rPr>
          <w:rFonts w:hint="default" w:ascii="Times New Roman" w:hAnsi="Times New Roman" w:eastAsia="仿宋_GB2312" w:cs="Times New Roman"/>
          <w:sz w:val="32"/>
          <w:szCs w:val="32"/>
        </w:rPr>
        <w:t>在2024年度预算编制阶段，组织对</w:t>
      </w:r>
      <w:r>
        <w:rPr>
          <w:rFonts w:hint="default" w:ascii="Times New Roman" w:hAnsi="Times New Roman" w:eastAsia="仿宋_GB2312" w:cs="Times New Roman"/>
          <w:sz w:val="32"/>
          <w:szCs w:val="32"/>
          <w:lang w:val="en-US" w:eastAsia="zh-CN"/>
        </w:rPr>
        <w:t>党建调研工作、纪检工作</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个项目开展了预算事前绩效评估，对</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个项目编制了绩效目标，预算执行过程中，选取</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个项目开展绩效监控</w:t>
      </w:r>
      <w:r>
        <w:rPr>
          <w:rFonts w:hint="default" w:ascii="Times New Roman" w:hAnsi="Times New Roman" w:eastAsia="仿宋_GB2312" w:cs="Times New Roman"/>
          <w:sz w:val="32"/>
          <w:szCs w:val="32"/>
          <w:lang w:eastAsia="zh-CN"/>
        </w:rPr>
        <w:t>，</w:t>
      </w:r>
      <w:r>
        <w:rPr>
          <w:rFonts w:hint="default" w:ascii="Times New Roman" w:hAnsi="Times New Roman" w:eastAsia="仿宋" w:cs="Times New Roman"/>
          <w:color w:val="000000"/>
          <w:sz w:val="32"/>
          <w:szCs w:val="32"/>
        </w:rPr>
        <w:t>年终执行完毕后，对</w:t>
      </w:r>
      <w:r>
        <w:rPr>
          <w:rFonts w:hint="default" w:ascii="Times New Roman" w:hAnsi="Times New Roman" w:eastAsia="仿宋" w:cs="Times New Roman"/>
          <w:color w:val="000000"/>
          <w:sz w:val="32"/>
          <w:szCs w:val="32"/>
          <w:lang w:val="en-US" w:eastAsia="zh-CN"/>
        </w:rPr>
        <w:t>20</w:t>
      </w:r>
      <w:r>
        <w:rPr>
          <w:rFonts w:hint="default" w:ascii="Times New Roman" w:hAnsi="Times New Roman" w:eastAsia="仿宋" w:cs="Times New Roman"/>
          <w:color w:val="000000"/>
          <w:sz w:val="32"/>
          <w:szCs w:val="32"/>
        </w:rPr>
        <w:t>个项目开展了绩效自评，绩效目标自评表见第四部分附件。</w:t>
      </w:r>
    </w:p>
    <w:p w14:paraId="4D9F259B">
      <w:pPr>
        <w:spacing w:line="600" w:lineRule="exact"/>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组织对2024年度一般公共预算全面开展绩效自评，形成</w:t>
      </w:r>
      <w:r>
        <w:rPr>
          <w:rFonts w:hint="default" w:ascii="Times New Roman" w:hAnsi="Times New Roman" w:eastAsia="仿宋_GB2312" w:cs="Times New Roman"/>
          <w:sz w:val="32"/>
          <w:szCs w:val="32"/>
          <w:lang w:val="en-US" w:eastAsia="zh-CN"/>
        </w:rPr>
        <w:t>中共阿坝州直属机关工作委员会</w:t>
      </w:r>
      <w:r>
        <w:rPr>
          <w:rFonts w:hint="default" w:ascii="Times New Roman" w:hAnsi="Times New Roman" w:eastAsia="仿宋_GB2312" w:cs="Times New Roman"/>
          <w:sz w:val="32"/>
          <w:szCs w:val="32"/>
        </w:rPr>
        <w:t>部门整体绩效自评报告，部门整体（含部门预算项目）绩效自评得分为</w:t>
      </w:r>
      <w:r>
        <w:rPr>
          <w:rFonts w:hint="default" w:ascii="Times New Roman" w:hAnsi="Times New Roman" w:eastAsia="仿宋_GB2312" w:cs="Times New Roman"/>
          <w:sz w:val="32"/>
          <w:szCs w:val="32"/>
          <w:lang w:val="en-US" w:eastAsia="zh-CN"/>
        </w:rPr>
        <w:t>98</w:t>
      </w:r>
      <w:r>
        <w:rPr>
          <w:rFonts w:hint="default" w:ascii="Times New Roman" w:hAnsi="Times New Roman" w:eastAsia="仿宋_GB2312" w:cs="Times New Roman"/>
          <w:sz w:val="32"/>
          <w:szCs w:val="32"/>
        </w:rPr>
        <w:t>分，绩效自评综述</w:t>
      </w:r>
      <w:r>
        <w:rPr>
          <w:rFonts w:hint="default" w:ascii="Times New Roman" w:hAnsi="Times New Roman" w:eastAsia="仿宋_GB2312" w:cs="Times New Roman"/>
          <w:sz w:val="32"/>
          <w:szCs w:val="32"/>
          <w:lang w:val="en-US" w:eastAsia="zh-CN"/>
        </w:rPr>
        <w:t>部门整体支出管理情况得到提升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绩效自评报告详见附件。</w:t>
      </w:r>
    </w:p>
    <w:p w14:paraId="248FD803">
      <w:pPr>
        <w:pStyle w:val="2"/>
        <w:rPr>
          <w:rFonts w:hint="default" w:ascii="Times New Roman" w:hAnsi="Times New Roman" w:cs="Times New Roman"/>
        </w:rPr>
      </w:pPr>
    </w:p>
    <w:p w14:paraId="3367D391">
      <w:pPr>
        <w:spacing w:line="600" w:lineRule="exact"/>
        <w:jc w:val="center"/>
        <w:outlineLvl w:val="0"/>
        <w:rPr>
          <w:rFonts w:hint="default" w:ascii="Times New Roman" w:hAnsi="Times New Roman" w:eastAsia="黑体" w:cs="Times New Roman"/>
          <w:sz w:val="44"/>
          <w:szCs w:val="44"/>
        </w:rPr>
      </w:pPr>
      <w:bookmarkStart w:id="53" w:name="_Toc15377225"/>
      <w:bookmarkStart w:id="54" w:name="_Toc15396613"/>
    </w:p>
    <w:p w14:paraId="53F51ACD">
      <w:pPr>
        <w:spacing w:line="600" w:lineRule="exact"/>
        <w:jc w:val="center"/>
        <w:outlineLvl w:val="0"/>
        <w:rPr>
          <w:rFonts w:hint="default" w:ascii="Times New Roman" w:hAnsi="Times New Roman" w:eastAsia="黑体" w:cs="Times New Roman"/>
          <w:sz w:val="44"/>
          <w:szCs w:val="44"/>
        </w:rPr>
      </w:pPr>
    </w:p>
    <w:p w14:paraId="1729C489">
      <w:pPr>
        <w:spacing w:line="600" w:lineRule="exact"/>
        <w:jc w:val="center"/>
        <w:outlineLvl w:val="0"/>
        <w:rPr>
          <w:rFonts w:hint="default" w:ascii="Times New Roman" w:hAnsi="Times New Roman" w:eastAsia="黑体" w:cs="Times New Roman"/>
          <w:sz w:val="44"/>
          <w:szCs w:val="44"/>
        </w:rPr>
      </w:pPr>
    </w:p>
    <w:p w14:paraId="419448F3">
      <w:pPr>
        <w:spacing w:line="600" w:lineRule="exact"/>
        <w:jc w:val="center"/>
        <w:outlineLvl w:val="0"/>
        <w:rPr>
          <w:rFonts w:hint="default" w:ascii="Times New Roman" w:hAnsi="Times New Roman" w:eastAsia="黑体" w:cs="Times New Roman"/>
          <w:sz w:val="44"/>
          <w:szCs w:val="44"/>
        </w:rPr>
      </w:pPr>
    </w:p>
    <w:p w14:paraId="0644F8B4">
      <w:pPr>
        <w:spacing w:line="600" w:lineRule="exact"/>
        <w:jc w:val="center"/>
        <w:outlineLvl w:val="0"/>
        <w:rPr>
          <w:rFonts w:hint="default" w:ascii="Times New Roman" w:hAnsi="Times New Roman" w:eastAsia="黑体" w:cs="Times New Roman"/>
          <w:sz w:val="44"/>
          <w:szCs w:val="44"/>
        </w:rPr>
      </w:pPr>
    </w:p>
    <w:p w14:paraId="05F6DC89">
      <w:pPr>
        <w:spacing w:line="600" w:lineRule="exact"/>
        <w:jc w:val="center"/>
        <w:outlineLvl w:val="0"/>
        <w:rPr>
          <w:rFonts w:hint="default" w:ascii="Times New Roman" w:hAnsi="Times New Roman" w:eastAsia="黑体" w:cs="Times New Roman"/>
          <w:sz w:val="44"/>
          <w:szCs w:val="44"/>
        </w:rPr>
      </w:pPr>
    </w:p>
    <w:p w14:paraId="74551523">
      <w:pPr>
        <w:spacing w:line="600" w:lineRule="exact"/>
        <w:jc w:val="center"/>
        <w:outlineLvl w:val="0"/>
        <w:rPr>
          <w:rFonts w:hint="default" w:ascii="Times New Roman" w:hAnsi="Times New Roman" w:eastAsia="黑体" w:cs="Times New Roman"/>
          <w:sz w:val="44"/>
          <w:szCs w:val="44"/>
        </w:rPr>
      </w:pPr>
    </w:p>
    <w:p w14:paraId="1DC265D2">
      <w:pPr>
        <w:spacing w:line="600" w:lineRule="exact"/>
        <w:jc w:val="center"/>
        <w:outlineLvl w:val="0"/>
        <w:rPr>
          <w:rFonts w:hint="default" w:ascii="Times New Roman" w:hAnsi="Times New Roman" w:eastAsia="黑体" w:cs="Times New Roman"/>
          <w:sz w:val="44"/>
          <w:szCs w:val="44"/>
        </w:rPr>
      </w:pPr>
    </w:p>
    <w:p w14:paraId="533A5F8A">
      <w:pPr>
        <w:spacing w:line="600" w:lineRule="exact"/>
        <w:jc w:val="center"/>
        <w:outlineLvl w:val="0"/>
        <w:rPr>
          <w:rFonts w:hint="default" w:ascii="Times New Roman" w:hAnsi="Times New Roman" w:eastAsia="黑体" w:cs="Times New Roman"/>
          <w:sz w:val="44"/>
          <w:szCs w:val="44"/>
        </w:rPr>
      </w:pPr>
    </w:p>
    <w:p w14:paraId="429475AD">
      <w:pPr>
        <w:spacing w:line="600" w:lineRule="exact"/>
        <w:jc w:val="center"/>
        <w:outlineLvl w:val="0"/>
        <w:rPr>
          <w:rFonts w:hint="default" w:ascii="Times New Roman" w:hAnsi="Times New Roman" w:eastAsia="黑体" w:cs="Times New Roman"/>
          <w:sz w:val="44"/>
          <w:szCs w:val="44"/>
        </w:rPr>
      </w:pPr>
    </w:p>
    <w:p w14:paraId="4892292E">
      <w:pPr>
        <w:pStyle w:val="4"/>
        <w:rPr>
          <w:rFonts w:hint="default" w:ascii="Times New Roman" w:hAnsi="Times New Roman" w:eastAsia="黑体" w:cs="Times New Roman"/>
          <w:sz w:val="44"/>
          <w:szCs w:val="44"/>
        </w:rPr>
      </w:pPr>
    </w:p>
    <w:p w14:paraId="25A9AEA5">
      <w:pPr>
        <w:rPr>
          <w:rFonts w:hint="default" w:ascii="Times New Roman" w:hAnsi="Times New Roman" w:eastAsia="黑体" w:cs="Times New Roman"/>
          <w:sz w:val="44"/>
          <w:szCs w:val="44"/>
        </w:rPr>
      </w:pPr>
    </w:p>
    <w:p w14:paraId="0221C3E2">
      <w:pPr>
        <w:pStyle w:val="4"/>
        <w:rPr>
          <w:rFonts w:hint="default" w:ascii="Times New Roman" w:hAnsi="Times New Roman" w:eastAsia="黑体" w:cs="Times New Roman"/>
          <w:sz w:val="44"/>
          <w:szCs w:val="44"/>
        </w:rPr>
      </w:pPr>
    </w:p>
    <w:p w14:paraId="4CE0A59A">
      <w:pPr>
        <w:rPr>
          <w:rFonts w:hint="default" w:ascii="Times New Roman" w:hAnsi="Times New Roman" w:eastAsia="黑体" w:cs="Times New Roman"/>
          <w:sz w:val="44"/>
          <w:szCs w:val="44"/>
        </w:rPr>
      </w:pPr>
    </w:p>
    <w:p w14:paraId="3F0A4151">
      <w:pPr>
        <w:pStyle w:val="4"/>
        <w:rPr>
          <w:rFonts w:hint="default" w:ascii="Times New Roman" w:hAnsi="Times New Roman" w:eastAsia="黑体" w:cs="Times New Roman"/>
          <w:sz w:val="44"/>
          <w:szCs w:val="44"/>
        </w:rPr>
      </w:pPr>
    </w:p>
    <w:p w14:paraId="494999FD">
      <w:pPr>
        <w:pStyle w:val="4"/>
        <w:rPr>
          <w:rFonts w:hint="default"/>
        </w:rPr>
      </w:pPr>
    </w:p>
    <w:p w14:paraId="2502AB91">
      <w:pPr>
        <w:spacing w:line="600" w:lineRule="exact"/>
        <w:jc w:val="center"/>
        <w:outlineLvl w:val="0"/>
        <w:rPr>
          <w:rFonts w:hint="default" w:ascii="Times New Roman" w:hAnsi="Times New Roman" w:eastAsia="黑体" w:cs="Times New Roman"/>
          <w:sz w:val="44"/>
          <w:szCs w:val="44"/>
        </w:rPr>
      </w:pPr>
    </w:p>
    <w:p w14:paraId="2CEF0CA7">
      <w:pPr>
        <w:spacing w:line="600" w:lineRule="exact"/>
        <w:jc w:val="center"/>
        <w:outlineLvl w:val="0"/>
        <w:rPr>
          <w:rFonts w:hint="default" w:ascii="Times New Roman" w:hAnsi="Times New Roman" w:eastAsia="黑体" w:cs="Times New Roman"/>
          <w:sz w:val="44"/>
          <w:szCs w:val="44"/>
        </w:rPr>
      </w:pPr>
    </w:p>
    <w:p w14:paraId="6F45BA35">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第三部分  名词解释</w:t>
      </w:r>
      <w:bookmarkEnd w:id="53"/>
      <w:bookmarkEnd w:id="54"/>
    </w:p>
    <w:p w14:paraId="46850336">
      <w:pPr>
        <w:spacing w:line="600" w:lineRule="exact"/>
        <w:jc w:val="left"/>
        <w:rPr>
          <w:rFonts w:hint="default" w:ascii="Times New Roman" w:hAnsi="Times New Roman" w:cs="Times New Roman"/>
          <w:b/>
          <w:sz w:val="44"/>
          <w:szCs w:val="44"/>
        </w:rPr>
      </w:pPr>
    </w:p>
    <w:p w14:paraId="3D83638B">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000000"/>
          <w:kern w:val="0"/>
          <w:sz w:val="32"/>
          <w:szCs w:val="32"/>
        </w:rPr>
      </w:pPr>
      <w:bookmarkStart w:id="55" w:name="_Toc15377226"/>
      <w:r>
        <w:rPr>
          <w:rFonts w:hint="default" w:ascii="Times New Roman" w:hAnsi="Times New Roman" w:eastAsia="仿宋_GB2312" w:cs="Times New Roman"/>
          <w:color w:val="000000"/>
          <w:kern w:val="0"/>
          <w:sz w:val="32"/>
          <w:szCs w:val="32"/>
        </w:rPr>
        <w:t>1.财政拨款收入：指单位从同级财政部门取得的财政预算资金。</w:t>
      </w:r>
    </w:p>
    <w:p w14:paraId="0DF2C43B">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2.事业收入：指事业单位开展专业业务活动及辅助活动取得的收入。</w:t>
      </w:r>
    </w:p>
    <w:p w14:paraId="35C1145B">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3.经营收入：指事业单位在专业业务活动及其辅助活动之外开展非独立核算经营活动取得的收入。</w:t>
      </w:r>
    </w:p>
    <w:p w14:paraId="48E5F855">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4.其他收入：指单位取得的除上述收入以外的各项收入。主要是银行利息收入。</w:t>
      </w:r>
    </w:p>
    <w:p w14:paraId="3C8DB40C">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5.使用非财政拨款结余：指事业单位使用以前年度积累的非财政拨款结余弥补当年收支差额的金额。 </w:t>
      </w:r>
    </w:p>
    <w:p w14:paraId="55E2FF91">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6.年初结转和结余：指以前年度尚未完成、结转到本年按有关规定继续使用的资金。 </w:t>
      </w:r>
    </w:p>
    <w:p w14:paraId="660FB914">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7.结余分配：指事业单位按照会计制度规定缴纳的所得税、提取的专用结余以及转入非财政拨款结余的金额等。</w:t>
      </w:r>
    </w:p>
    <w:p w14:paraId="4317AD3C">
      <w:pPr>
        <w:pStyle w:val="27"/>
        <w:keepNext w:val="0"/>
        <w:keepLines w:val="0"/>
        <w:widowControl w:val="0"/>
        <w:suppressLineNumbers w:val="0"/>
        <w:spacing w:line="560" w:lineRule="exact"/>
        <w:ind w:left="0"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8.年末结转和结余：指单位按有关规定结转到下年或以后年度继续使用的资金。</w:t>
      </w:r>
    </w:p>
    <w:p w14:paraId="66C68454">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9.一般公共服务（2013101）：指一般公共服务中的党委办公厅（室）及相关机关事务中的行政运行。一般公共服务（2013102）：一般公共服务中的党委办公厅（室）及相关机关事务中的一般行政管理事务。</w:t>
      </w:r>
    </w:p>
    <w:p w14:paraId="530B8057">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10.社会保障和就业（2080505）：指社会保障和就业支出中的行政事业单位离退休中的机关事业单位基本养老保险缴费支出。</w:t>
      </w:r>
    </w:p>
    <w:p w14:paraId="0BDABB72">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11.社会保障和就业（2080506）：指社会保障和就业支出中的行政事业单位离退休中的机关事业单位职业年金缴费支出。</w:t>
      </w:r>
    </w:p>
    <w:p w14:paraId="35163AF3">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12.医疗卫生与计划生育（2100501）：指医疗卫生与计划生育中的医疗保障中的行政单位医疗。</w:t>
      </w:r>
    </w:p>
    <w:p w14:paraId="62F064B2">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13.住房保障支出（2210201）：指住房保障支出中的住房改革支出中的住房公积金。</w:t>
      </w:r>
    </w:p>
    <w:p w14:paraId="40E7025E">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14.基本支出：指为保障机构正常运转、完成日常工作任务而发生的人员支出和公用支出。</w:t>
      </w:r>
    </w:p>
    <w:p w14:paraId="7EF98CD8">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15.项目支出：指在基本支出之外为完成特定行政任务和事业发展目标所发生的支出。</w:t>
      </w:r>
    </w:p>
    <w:p w14:paraId="313DFB6D">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16.经营支出：指事业单位在专业业务活动及其辅助活动之外开展非独立核算经营活动发生的支出。</w:t>
      </w:r>
    </w:p>
    <w:p w14:paraId="1686F1ED">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17.“三公”经费：指部门用财政拨款安排的因公出国（境）费、公务用车购置及运行费和公务接待费。其中，因公出国（境）费反映单位公务出国（境）的国际旅费、 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D8FED78">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18.机关运行经费：为保障行政单位（含参照公务员法管理的事业单位）运行用于购买货物和服务的各项资金，包括办公及印刷费、邮电费、差旅费、会议费、福利费、 日常维修费、专用材料及一般设备购置费、办公用房水电费、办公用房取暖费、办公用房物业管理费、公务用车运行维护费以及其他费用。</w:t>
      </w:r>
    </w:p>
    <w:p w14:paraId="4A9514C0">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19.基本支出：指为保障机构正常运转、完成日常工作任务而发生的人员支出和公用支出。</w:t>
      </w:r>
    </w:p>
    <w:p w14:paraId="3EAB0789">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 xml:space="preserve">20.项目支出：指在基本支出之外为完成特定行政任务和事业发展目标所发生的支出。 </w:t>
      </w:r>
    </w:p>
    <w:p w14:paraId="1742D18C">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21.经营支出：指事业单位在专业业务活动及其辅助活动之外开展非独立核算经营活动发生的支出。</w:t>
      </w:r>
    </w:p>
    <w:p w14:paraId="2C0AAE03">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D8DFD48">
      <w:pPr>
        <w:keepNext w:val="0"/>
        <w:keepLines w:val="0"/>
        <w:widowControl/>
        <w:suppressLineNumbers w:val="0"/>
        <w:spacing w:line="576" w:lineRule="exact"/>
        <w:ind w:left="0" w:firstLine="640" w:firstLineChars="200"/>
        <w:jc w:val="left"/>
        <w:rPr>
          <w:rFonts w:hint="default" w:ascii="Times New Roman" w:hAnsi="Times New Roman" w:eastAsia="仿宋_GB2312" w:cs="Times New Roman"/>
          <w:b w:val="0"/>
          <w:color w:val="000000"/>
          <w:kern w:val="0"/>
          <w:sz w:val="32"/>
          <w:szCs w:val="32"/>
        </w:rPr>
      </w:pPr>
      <w:r>
        <w:rPr>
          <w:rFonts w:hint="default" w:ascii="Times New Roman" w:hAnsi="Times New Roman" w:eastAsia="仿宋_GB2312" w:cs="Times New Roman"/>
          <w:b w:val="0"/>
          <w:color w:val="000000"/>
          <w:kern w:val="0"/>
          <w:sz w:val="32"/>
          <w:szCs w:val="32"/>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70BB36A">
      <w:pPr>
        <w:spacing w:line="600" w:lineRule="exact"/>
        <w:jc w:val="center"/>
        <w:outlineLvl w:val="0"/>
        <w:rPr>
          <w:rFonts w:hint="default" w:ascii="Times New Roman" w:hAnsi="Times New Roman" w:eastAsia="黑体" w:cs="Times New Roman"/>
          <w:color w:val="auto"/>
          <w:sz w:val="44"/>
          <w:szCs w:val="44"/>
          <w:highlight w:val="none"/>
        </w:rPr>
      </w:pPr>
    </w:p>
    <w:p w14:paraId="42A72EEF">
      <w:pPr>
        <w:spacing w:line="600" w:lineRule="exact"/>
        <w:jc w:val="center"/>
        <w:outlineLvl w:val="0"/>
        <w:rPr>
          <w:rFonts w:hint="default" w:ascii="Times New Roman" w:hAnsi="Times New Roman" w:eastAsia="黑体" w:cs="Times New Roman"/>
          <w:color w:val="auto"/>
          <w:sz w:val="44"/>
          <w:szCs w:val="44"/>
          <w:highlight w:val="none"/>
        </w:rPr>
      </w:pPr>
    </w:p>
    <w:p w14:paraId="0D601F6E">
      <w:pPr>
        <w:spacing w:line="600" w:lineRule="exact"/>
        <w:jc w:val="center"/>
        <w:outlineLvl w:val="0"/>
        <w:rPr>
          <w:rFonts w:hint="default" w:ascii="Times New Roman" w:hAnsi="Times New Roman" w:eastAsia="黑体" w:cs="Times New Roman"/>
          <w:color w:val="auto"/>
          <w:sz w:val="44"/>
          <w:szCs w:val="44"/>
          <w:highlight w:val="none"/>
        </w:rPr>
      </w:pPr>
    </w:p>
    <w:p w14:paraId="0596286A">
      <w:pPr>
        <w:spacing w:line="600" w:lineRule="exact"/>
        <w:jc w:val="center"/>
        <w:rPr>
          <w:rStyle w:val="29"/>
          <w:rFonts w:hint="default" w:ascii="Times New Roman" w:hAnsi="Times New Roman" w:eastAsia="黑体" w:cs="Times New Roman"/>
          <w:b w:val="0"/>
        </w:rPr>
      </w:pPr>
      <w:r>
        <w:rPr>
          <w:rFonts w:hint="default" w:ascii="Times New Roman" w:hAnsi="Times New Roman" w:eastAsia="仿宋_GB2312" w:cs="Times New Roman"/>
          <w:sz w:val="32"/>
          <w:szCs w:val="32"/>
        </w:rPr>
        <w:br w:type="page"/>
      </w:r>
      <w:bookmarkStart w:id="56" w:name="_Toc15396614"/>
      <w:r>
        <w:rPr>
          <w:rFonts w:hint="eastAsia" w:ascii="方正小标宋简体" w:hAnsi="方正小标宋简体" w:eastAsia="方正小标宋简体" w:cs="方正小标宋简体"/>
          <w:sz w:val="44"/>
          <w:szCs w:val="44"/>
        </w:rPr>
        <w:t>第四部分  附件</w:t>
      </w:r>
      <w:bookmarkEnd w:id="56"/>
    </w:p>
    <w:p w14:paraId="7BA44CB3">
      <w:pPr>
        <w:spacing w:line="572" w:lineRule="exact"/>
        <w:jc w:val="left"/>
        <w:outlineLvl w:val="0"/>
        <w:rPr>
          <w:rFonts w:hint="default" w:ascii="Times New Roman" w:hAnsi="Times New Roman" w:eastAsia="黑体" w:cs="Times New Roman"/>
          <w:color w:val="FF0000"/>
          <w:sz w:val="32"/>
          <w:szCs w:val="32"/>
        </w:rPr>
      </w:pPr>
    </w:p>
    <w:p w14:paraId="3E5D851F">
      <w:pPr>
        <w:widowControl/>
        <w:spacing w:line="578" w:lineRule="exact"/>
        <w:contextualSpacing/>
        <w:jc w:val="center"/>
        <w:rPr>
          <w:rFonts w:hint="default" w:ascii="Times New Roman" w:hAnsi="Times New Roman" w:eastAsia="微软雅黑" w:cs="Times New Roman"/>
          <w:bCs/>
          <w:sz w:val="44"/>
          <w:szCs w:val="44"/>
          <w:shd w:val="clear" w:color="auto" w:fill="FFFFFF"/>
        </w:rPr>
      </w:pPr>
      <w:r>
        <w:rPr>
          <w:rFonts w:hint="default" w:ascii="Times New Roman" w:hAnsi="Times New Roman" w:eastAsia="微软雅黑" w:cs="Times New Roman"/>
          <w:bCs/>
          <w:sz w:val="44"/>
          <w:szCs w:val="44"/>
          <w:shd w:val="clear" w:color="auto" w:fill="FFFFFF"/>
        </w:rPr>
        <w:t>部门预算绩效评价报告</w:t>
      </w:r>
    </w:p>
    <w:p w14:paraId="73910544">
      <w:pPr>
        <w:widowControl/>
        <w:adjustRightInd w:val="0"/>
        <w:snapToGrid w:val="0"/>
        <w:spacing w:line="578" w:lineRule="exact"/>
        <w:ind w:firstLine="480" w:firstLineChars="200"/>
        <w:contextualSpacing/>
        <w:jc w:val="left"/>
        <w:rPr>
          <w:rFonts w:hint="default" w:ascii="Times New Roman" w:hAnsi="Times New Roman" w:eastAsia="黑体" w:cs="Times New Roman"/>
          <w:color w:val="000000"/>
          <w:kern w:val="0"/>
          <w:sz w:val="24"/>
          <w:szCs w:val="32"/>
          <w:shd w:val="clear" w:color="auto" w:fill="FFFFFF"/>
        </w:rPr>
      </w:pPr>
    </w:p>
    <w:p w14:paraId="7A6B611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sz w:val="32"/>
          <w:szCs w:val="32"/>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14:paraId="28764FF6">
      <w:pPr>
        <w:pStyle w:val="36"/>
        <w:keepNext w:val="0"/>
        <w:keepLines w:val="0"/>
        <w:pageBreakBefore w:val="0"/>
        <w:widowControl w:val="0"/>
        <w:kinsoku/>
        <w:wordWrap/>
        <w:overflowPunct/>
        <w:topLinePunct w:val="0"/>
        <w:autoSpaceDE/>
        <w:autoSpaceDN/>
        <w:bidi w:val="0"/>
        <w:spacing w:line="576" w:lineRule="exact"/>
        <w:ind w:firstLine="643" w:firstLineChars="200"/>
        <w:rPr>
          <w:rFonts w:hint="default"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（一）机构组成。</w:t>
      </w:r>
      <w:r>
        <w:rPr>
          <w:rFonts w:hint="default" w:ascii="Times New Roman" w:hAnsi="Times New Roman" w:eastAsia="仿宋_GB2312" w:cs="Times New Roman"/>
          <w:sz w:val="32"/>
          <w:szCs w:val="32"/>
          <w:u w:val="none"/>
        </w:rPr>
        <w:t>州直机关工委属一级预算</w:t>
      </w:r>
      <w:r>
        <w:rPr>
          <w:rFonts w:hint="default" w:ascii="Times New Roman" w:hAnsi="Times New Roman" w:eastAsia="仿宋_GB2312" w:cs="Times New Roman"/>
          <w:sz w:val="32"/>
          <w:szCs w:val="32"/>
          <w:u w:val="none"/>
          <w:lang w:val="en-US" w:eastAsia="zh-CN"/>
        </w:rPr>
        <w:t>行政</w:t>
      </w:r>
      <w:r>
        <w:rPr>
          <w:rFonts w:hint="default" w:ascii="Times New Roman" w:hAnsi="Times New Roman" w:eastAsia="仿宋_GB2312" w:cs="Times New Roman"/>
          <w:sz w:val="32"/>
          <w:szCs w:val="32"/>
          <w:u w:val="none"/>
        </w:rPr>
        <w:t>单位</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color w:val="000000"/>
          <w:sz w:val="32"/>
          <w:szCs w:val="32"/>
        </w:rPr>
        <w:t>内设办公室、组织科、宣传统战科</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州直机关纪检监察工委综合室4</w:t>
      </w:r>
      <w:r>
        <w:rPr>
          <w:rFonts w:hint="default" w:ascii="Times New Roman" w:hAnsi="Times New Roman" w:eastAsia="仿宋_GB2312" w:cs="Times New Roman"/>
          <w:color w:val="000000"/>
          <w:sz w:val="32"/>
          <w:szCs w:val="32"/>
        </w:rPr>
        <w:t>个</w:t>
      </w:r>
      <w:r>
        <w:rPr>
          <w:rFonts w:hint="default" w:ascii="Times New Roman" w:hAnsi="Times New Roman" w:eastAsia="仿宋_GB2312" w:cs="Times New Roman"/>
          <w:color w:val="000000"/>
          <w:sz w:val="32"/>
          <w:szCs w:val="32"/>
          <w:lang w:val="en-US" w:eastAsia="zh-CN"/>
        </w:rPr>
        <w:t>科室</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2024年新增下属二级单位阿坝州直属机关基层帮扶工作服务中心，属正科级公益一类事业单位。</w:t>
      </w:r>
    </w:p>
    <w:p w14:paraId="3B9072F4">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（二）机构职能。</w:t>
      </w:r>
    </w:p>
    <w:p w14:paraId="6C9F36ED">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color w:val="000000"/>
          <w:kern w:val="0"/>
          <w:sz w:val="32"/>
          <w:szCs w:val="32"/>
          <w:lang w:val="en-US" w:eastAsia="zh-CN" w:bidi="ar-SA"/>
        </w:rPr>
        <w:t>规划州直机关党的建设，分类指导州直机关党组织抓好党的政治、思想、组织、作风、纪律、制度建设和党员的发展、教育、管理工作。</w:t>
      </w:r>
    </w:p>
    <w:p w14:paraId="02FA8694">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color w:val="000000"/>
          <w:kern w:val="0"/>
          <w:sz w:val="32"/>
          <w:szCs w:val="32"/>
          <w:lang w:val="en-US" w:eastAsia="zh-CN" w:bidi="ar-SA"/>
        </w:rPr>
        <w:t>负责实施州直机关领导班子、领导干部的思想政治和作风建设；指导州直机关党组织加强党风廉政建设；指导州直机关各级党组织实施对党员特别是党员领导干部的监督。</w:t>
      </w:r>
    </w:p>
    <w:p w14:paraId="01C70750">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color w:val="000000"/>
          <w:kern w:val="0"/>
          <w:sz w:val="32"/>
          <w:szCs w:val="32"/>
          <w:lang w:val="en-US" w:eastAsia="zh-CN" w:bidi="ar-SA"/>
        </w:rPr>
        <w:t>综合指导州直机关精神文明建设有关工作，承担州直机关思想、道德、文化建设工作。</w:t>
      </w:r>
    </w:p>
    <w:p w14:paraId="79F7DF41">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color w:val="000000"/>
          <w:kern w:val="0"/>
          <w:sz w:val="32"/>
          <w:szCs w:val="32"/>
          <w:lang w:val="en-US" w:eastAsia="zh-CN" w:bidi="ar-SA"/>
        </w:rPr>
        <w:t>负责审批州直机关各部门机关党委、直属总支、支部和机关纪委的建立、领导班子的组成；负责州直机关各部门机关党委、直属总支、支部和纪委负责人的考核、任免和培训工作。</w:t>
      </w:r>
    </w:p>
    <w:p w14:paraId="65725695">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color w:val="000000"/>
          <w:kern w:val="0"/>
          <w:sz w:val="32"/>
          <w:szCs w:val="32"/>
          <w:lang w:val="en-US" w:eastAsia="zh-CN" w:bidi="ar-SA"/>
        </w:rPr>
        <w:t>领导州直机关党的纪律检查工作，按照干部管理权限依照党章和其他党内法规履行监督、执纪、问责职责，依照监察法和有关法律规定履行监督、调查、处置职责；审理州纪委监委派驻州级党和国家机关纪检监察组审查的党组织和党员违反党纪的案件、调查的公职人员职务违法案件。</w:t>
      </w:r>
    </w:p>
    <w:p w14:paraId="76A5A854">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color w:val="000000"/>
          <w:kern w:val="0"/>
          <w:sz w:val="32"/>
          <w:szCs w:val="32"/>
          <w:lang w:val="en-US" w:eastAsia="zh-CN" w:bidi="ar-SA"/>
        </w:rPr>
        <w:t>指导州直机关党组织抓好党员和干部的理论学习、党的路线方针政策以及科学文化业务知识的学习；组织实施州直机关党员、党务干部和入党积极分子的教育培训工作。</w:t>
      </w:r>
    </w:p>
    <w:p w14:paraId="4F485520">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color w:val="000000"/>
          <w:kern w:val="0"/>
          <w:sz w:val="32"/>
          <w:szCs w:val="32"/>
          <w:lang w:val="en-US" w:eastAsia="zh-CN" w:bidi="ar-SA"/>
        </w:rPr>
        <w:t>指导州直机关各部门机关党组织配合行政领导做好思想政治工作、统战工作和社会稳定工作。</w:t>
      </w:r>
    </w:p>
    <w:p w14:paraId="18F03683">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color w:val="000000"/>
          <w:kern w:val="0"/>
          <w:sz w:val="32"/>
          <w:szCs w:val="32"/>
          <w:lang w:val="en-US" w:eastAsia="zh-CN" w:bidi="ar-SA"/>
        </w:rPr>
        <w:t>领导州直机关工、青、妇等群众组织的工作。</w:t>
      </w:r>
    </w:p>
    <w:p w14:paraId="72411722">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color w:val="000000"/>
          <w:kern w:val="0"/>
          <w:sz w:val="32"/>
          <w:szCs w:val="32"/>
          <w:lang w:val="en-US" w:eastAsia="zh-CN" w:bidi="ar-SA"/>
        </w:rPr>
        <w:t>负责州直部门（单位）驻村干部轮换和安排及帮扶工作队员管理服务等工作。</w:t>
      </w:r>
    </w:p>
    <w:p w14:paraId="5AA8AD43">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color w:val="000000"/>
          <w:kern w:val="0"/>
          <w:sz w:val="32"/>
          <w:szCs w:val="32"/>
          <w:lang w:val="en-US" w:eastAsia="zh-CN" w:bidi="ar-SA"/>
        </w:rPr>
        <w:t>完成州委交办的其他事项。</w:t>
      </w:r>
    </w:p>
    <w:p w14:paraId="719FC96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rPr>
      </w:pPr>
      <w:r>
        <w:rPr>
          <w:rFonts w:hint="default" w:ascii="Times New Roman" w:hAnsi="Times New Roman" w:eastAsia="楷体_GB2312" w:cs="Times New Roman"/>
          <w:b/>
          <w:bCs/>
          <w:color w:val="000000"/>
          <w:kern w:val="0"/>
          <w:sz w:val="32"/>
          <w:szCs w:val="32"/>
          <w:highlight w:val="none"/>
          <w:shd w:val="clear" w:color="auto" w:fill="FFFFFF"/>
          <w:lang w:val="zh-CN"/>
        </w:rPr>
        <w:t>（三）人员概况。</w:t>
      </w:r>
      <w:r>
        <w:rPr>
          <w:rFonts w:hint="default" w:ascii="Times New Roman" w:hAnsi="Times New Roman" w:eastAsia="仿宋_GB2312" w:cs="Times New Roman"/>
          <w:sz w:val="32"/>
          <w:szCs w:val="32"/>
        </w:rPr>
        <w:t>截至202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年末，</w:t>
      </w:r>
      <w:r>
        <w:rPr>
          <w:rFonts w:hint="default" w:ascii="Times New Roman" w:hAnsi="Times New Roman" w:eastAsia="仿宋_GB2312" w:cs="Times New Roman"/>
          <w:color w:val="000000"/>
          <w:sz w:val="32"/>
          <w:szCs w:val="32"/>
        </w:rPr>
        <w:t>州直机关工委总编制</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人，</w:t>
      </w:r>
      <w:r>
        <w:rPr>
          <w:rFonts w:hint="default" w:ascii="Times New Roman" w:hAnsi="Times New Roman" w:eastAsia="仿宋_GB2312" w:cs="Times New Roman"/>
          <w:color w:val="000000"/>
          <w:sz w:val="32"/>
          <w:szCs w:val="32"/>
          <w:lang w:val="en-US" w:eastAsia="zh-CN"/>
        </w:rPr>
        <w:t>其中</w:t>
      </w:r>
      <w:r>
        <w:rPr>
          <w:rFonts w:hint="default" w:ascii="Times New Roman" w:hAnsi="Times New Roman" w:eastAsia="仿宋_GB2312" w:cs="Times New Roman"/>
          <w:color w:val="000000"/>
          <w:sz w:val="32"/>
          <w:szCs w:val="32"/>
        </w:rPr>
        <w:t>行政编制</w:t>
      </w:r>
      <w:r>
        <w:rPr>
          <w:rFonts w:hint="default" w:ascii="Times New Roman" w:hAnsi="Times New Roman" w:eastAsia="仿宋_GB2312" w:cs="Times New Roman"/>
          <w:color w:val="000000"/>
          <w:sz w:val="32"/>
          <w:szCs w:val="32"/>
          <w:lang w:val="en-US" w:eastAsia="zh-CN"/>
        </w:rPr>
        <w:t>16，事业编制5人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行政</w:t>
      </w:r>
      <w:r>
        <w:rPr>
          <w:rFonts w:hint="default" w:ascii="Times New Roman" w:hAnsi="Times New Roman" w:eastAsia="仿宋_GB2312" w:cs="Times New Roman"/>
          <w:color w:val="000000"/>
          <w:sz w:val="32"/>
          <w:szCs w:val="32"/>
        </w:rPr>
        <w:t>在职人员</w:t>
      </w:r>
      <w:r>
        <w:rPr>
          <w:rFonts w:hint="default" w:ascii="Times New Roman" w:hAnsi="Times New Roman" w:eastAsia="仿宋_GB2312" w:cs="Times New Roman"/>
          <w:color w:val="000000"/>
          <w:sz w:val="32"/>
          <w:szCs w:val="32"/>
          <w:lang w:val="en-US" w:eastAsia="zh-CN"/>
        </w:rPr>
        <w:t>14</w:t>
      </w:r>
      <w:r>
        <w:rPr>
          <w:rFonts w:hint="default" w:ascii="Times New Roman" w:hAnsi="Times New Roman" w:eastAsia="仿宋_GB2312" w:cs="Times New Roman"/>
          <w:color w:val="000000"/>
          <w:sz w:val="32"/>
          <w:szCs w:val="32"/>
        </w:rPr>
        <w:t>人，其中：行政人员</w:t>
      </w:r>
      <w:r>
        <w:rPr>
          <w:rFonts w:hint="default"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人，工勤人员</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事业在职人员1人。</w:t>
      </w:r>
      <w:r>
        <w:rPr>
          <w:rFonts w:hint="default" w:ascii="Times New Roman" w:hAnsi="Times New Roman" w:eastAsia="仿宋_GB2312" w:cs="Times New Roman"/>
          <w:color w:val="000000"/>
          <w:sz w:val="32"/>
          <w:szCs w:val="32"/>
        </w:rPr>
        <w:t>离休人员1人，退休人员</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人。</w:t>
      </w:r>
    </w:p>
    <w:p w14:paraId="28D53FC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06B1C914">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p>
    <w:p w14:paraId="0D38AAE2">
      <w:pPr>
        <w:pStyle w:val="37"/>
        <w:keepNext w:val="0"/>
        <w:keepLines w:val="0"/>
        <w:pageBreakBefore w:val="0"/>
        <w:kinsoku/>
        <w:wordWrap/>
        <w:overflowPunct/>
        <w:topLinePunct w:val="0"/>
        <w:autoSpaceDE/>
        <w:autoSpaceDN/>
        <w:bidi w:val="0"/>
        <w:adjustRightInd/>
        <w:spacing w:line="576" w:lineRule="exact"/>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color w:val="000000"/>
          <w:sz w:val="32"/>
          <w:szCs w:val="32"/>
          <w:lang w:val="en-US" w:eastAsia="zh-CN"/>
        </w:rPr>
        <w:t>州直机关</w:t>
      </w:r>
      <w:r>
        <w:rPr>
          <w:rFonts w:hint="default" w:ascii="Times New Roman" w:hAnsi="Times New Roman" w:eastAsia="仿宋_GB2312" w:cs="Times New Roman"/>
          <w:color w:val="000000"/>
          <w:sz w:val="32"/>
          <w:szCs w:val="32"/>
        </w:rPr>
        <w:t>工委</w:t>
      </w:r>
      <w:r>
        <w:rPr>
          <w:rFonts w:hint="default" w:ascii="Times New Roman" w:hAnsi="Times New Roman" w:eastAsia="仿宋_GB2312" w:cs="Times New Roman"/>
          <w:color w:val="000000"/>
          <w:sz w:val="32"/>
          <w:szCs w:val="32"/>
          <w:lang w:val="en-US" w:eastAsia="zh-CN"/>
        </w:rPr>
        <w:t>部门</w:t>
      </w: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24</w:t>
      </w:r>
      <w:r>
        <w:rPr>
          <w:rFonts w:hint="default" w:ascii="Times New Roman" w:hAnsi="Times New Roman" w:eastAsia="仿宋_GB2312" w:cs="Times New Roman"/>
          <w:color w:val="000000"/>
          <w:sz w:val="32"/>
          <w:szCs w:val="32"/>
        </w:rPr>
        <w:t>年度</w:t>
      </w:r>
      <w:r>
        <w:rPr>
          <w:rFonts w:hint="default" w:ascii="Times New Roman" w:hAnsi="Times New Roman" w:eastAsia="仿宋_GB2312" w:cs="Times New Roman"/>
          <w:color w:val="000000"/>
          <w:sz w:val="32"/>
          <w:szCs w:val="32"/>
          <w:lang w:val="en-US" w:eastAsia="zh-CN"/>
        </w:rPr>
        <w:t>年初一般公共预算财政</w:t>
      </w:r>
      <w:r>
        <w:rPr>
          <w:rFonts w:hint="default" w:ascii="Times New Roman" w:hAnsi="Times New Roman" w:eastAsia="仿宋_GB2312" w:cs="Times New Roman"/>
          <w:color w:val="000000"/>
          <w:sz w:val="32"/>
          <w:szCs w:val="32"/>
        </w:rPr>
        <w:t>拨款收入</w:t>
      </w:r>
      <w:r>
        <w:rPr>
          <w:rFonts w:hint="default" w:ascii="Times New Roman" w:hAnsi="Times New Roman" w:eastAsia="仿宋_GB2312" w:cs="Times New Roman"/>
          <w:color w:val="000000"/>
          <w:sz w:val="32"/>
          <w:szCs w:val="32"/>
          <w:lang w:val="en-US" w:eastAsia="zh-CN"/>
        </w:rPr>
        <w:t>669.35万</w:t>
      </w:r>
      <w:r>
        <w:rPr>
          <w:rFonts w:hint="default" w:ascii="Times New Roman" w:hAnsi="Times New Roman" w:eastAsia="仿宋_GB2312" w:cs="Times New Roman"/>
          <w:color w:val="000000"/>
          <w:sz w:val="32"/>
          <w:szCs w:val="32"/>
        </w:rPr>
        <w:t>元，本年财政资金收入合计为</w:t>
      </w:r>
      <w:r>
        <w:rPr>
          <w:rFonts w:hint="default" w:ascii="Times New Roman" w:hAnsi="Times New Roman" w:eastAsia="仿宋_GB2312" w:cs="Times New Roman"/>
          <w:color w:val="000000"/>
          <w:sz w:val="32"/>
          <w:szCs w:val="32"/>
          <w:lang w:val="en-US" w:eastAsia="zh-CN"/>
        </w:rPr>
        <w:t>669.35万</w:t>
      </w:r>
      <w:r>
        <w:rPr>
          <w:rFonts w:hint="default" w:ascii="Times New Roman" w:hAnsi="Times New Roman" w:eastAsia="仿宋_GB2312" w:cs="Times New Roman"/>
          <w:color w:val="000000"/>
          <w:sz w:val="32"/>
          <w:szCs w:val="32"/>
        </w:rPr>
        <w:t>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其他收入0元，全年收入合计669.35万元</w:t>
      </w:r>
      <w:r>
        <w:rPr>
          <w:rFonts w:hint="default" w:ascii="Times New Roman" w:hAnsi="Times New Roman" w:eastAsia="仿宋_GB2312" w:cs="Times New Roman"/>
          <w:color w:val="000000"/>
          <w:sz w:val="32"/>
          <w:szCs w:val="32"/>
        </w:rPr>
        <w:t>。</w:t>
      </w:r>
    </w:p>
    <w:p w14:paraId="58B7A82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p>
    <w:p w14:paraId="4DFA787E">
      <w:pPr>
        <w:pStyle w:val="28"/>
        <w:keepNext w:val="0"/>
        <w:keepLines w:val="0"/>
        <w:pageBreakBefore w:val="0"/>
        <w:widowControl w:val="0"/>
        <w:kinsoku/>
        <w:wordWrap/>
        <w:overflowPunct/>
        <w:topLinePunct w:val="0"/>
        <w:autoSpaceDE/>
        <w:autoSpaceDN/>
        <w:bidi w:val="0"/>
        <w:adjustRightInd/>
        <w:spacing w:line="576" w:lineRule="exact"/>
        <w:ind w:left="0" w:firstLine="640" w:firstLineChars="200"/>
        <w:rPr>
          <w:rFonts w:hint="default" w:ascii="Times New Roman" w:hAnsi="Times New Roman" w:eastAsia="仿宋_GB2312" w:cs="Times New Roman"/>
          <w:color w:val="000000"/>
          <w:sz w:val="32"/>
          <w:szCs w:val="32"/>
          <w:u w:val="none" w:color="000000"/>
          <w:lang w:val="en-US" w:eastAsia="zh-CN" w:bidi="ar-SA"/>
        </w:rPr>
      </w:pPr>
      <w:r>
        <w:rPr>
          <w:rFonts w:hint="default" w:ascii="Times New Roman" w:hAnsi="Times New Roman" w:eastAsia="仿宋_GB2312" w:cs="Times New Roman"/>
          <w:color w:val="000000"/>
          <w:sz w:val="32"/>
          <w:szCs w:val="32"/>
          <w:u w:val="none" w:color="000000"/>
          <w:lang w:val="en-US" w:eastAsia="zh-CN" w:bidi="ar-SA"/>
        </w:rPr>
        <w:t>州直机关工委部门2024年度年初预算支出合计669.35万元，其中基本支出555.47万元，含人员经费503.25万元，公用经费52.22万元；项目支出113.87万元。</w:t>
      </w:r>
    </w:p>
    <w:p w14:paraId="4B605A3B">
      <w:pPr>
        <w:keepNext w:val="0"/>
        <w:keepLines w:val="0"/>
        <w:pageBreakBefore w:val="0"/>
        <w:widowControl w:val="0"/>
        <w:kinsoku/>
        <w:wordWrap/>
        <w:overflowPunct/>
        <w:topLinePunct w:val="0"/>
        <w:autoSpaceDE/>
        <w:autoSpaceDN/>
        <w:bidi w:val="0"/>
        <w:adjustRightInd/>
        <w:spacing w:line="576" w:lineRule="exact"/>
        <w:ind w:firstLine="643" w:firstLineChars="200"/>
        <w:jc w:val="both"/>
        <w:textAlignment w:val="auto"/>
        <w:rPr>
          <w:rFonts w:hint="default" w:ascii="Times New Roman" w:hAnsi="Times New Roman" w:eastAsia="方正仿宋_GB2312" w:cs="Times New Roman"/>
          <w:b/>
          <w:bCs/>
          <w:color w:val="000000"/>
          <w:sz w:val="32"/>
          <w:szCs w:val="32"/>
          <w:u w:val="none" w:color="000000"/>
          <w:lang w:val="en-US" w:eastAsia="zh-CN" w:bidi="ar-SA"/>
        </w:rPr>
      </w:pPr>
      <w:r>
        <w:rPr>
          <w:rFonts w:hint="default" w:ascii="Times New Roman" w:hAnsi="Times New Roman" w:eastAsia="方正仿宋_GB2312" w:cs="Times New Roman"/>
          <w:b/>
          <w:bCs/>
          <w:color w:val="000000"/>
          <w:sz w:val="32"/>
          <w:szCs w:val="32"/>
          <w:u w:val="none" w:color="000000"/>
          <w:lang w:val="en-US" w:eastAsia="zh-CN" w:bidi="ar-SA"/>
        </w:rPr>
        <w:t>主要完成工作任务：</w:t>
      </w:r>
    </w:p>
    <w:p w14:paraId="13096AB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color w:val="000000"/>
          <w:kern w:val="0"/>
          <w:sz w:val="32"/>
          <w:szCs w:val="32"/>
          <w:u w:val="none" w:color="000000"/>
          <w:lang w:val="en-US" w:eastAsia="zh-CN" w:bidi="ar-SA"/>
        </w:rPr>
      </w:pPr>
      <w:r>
        <w:rPr>
          <w:rFonts w:hint="default" w:ascii="Times New Roman" w:hAnsi="Times New Roman" w:eastAsia="仿宋_GB2312" w:cs="Times New Roman"/>
          <w:b/>
          <w:bCs/>
          <w:color w:val="000000"/>
          <w:kern w:val="0"/>
          <w:sz w:val="32"/>
          <w:szCs w:val="32"/>
          <w:u w:val="none" w:color="000000"/>
          <w:lang w:val="en-US" w:eastAsia="zh-CN" w:bidi="ar-SA"/>
        </w:rPr>
        <w:t>一是加强政治建设。</w:t>
      </w:r>
      <w:r>
        <w:rPr>
          <w:rFonts w:hint="default" w:ascii="Times New Roman" w:hAnsi="Times New Roman" w:eastAsia="仿宋_GB2312" w:cs="Times New Roman"/>
          <w:color w:val="000000"/>
          <w:kern w:val="0"/>
          <w:sz w:val="32"/>
          <w:szCs w:val="32"/>
          <w:u w:val="none" w:color="000000"/>
          <w:lang w:val="en-US" w:eastAsia="zh-CN" w:bidi="ar-SA"/>
        </w:rPr>
        <w:t>督促州直部门（单位）党组织把带头做到“两个维护”作为首要政治纪律，</w:t>
      </w:r>
      <w:r>
        <w:rPr>
          <w:rFonts w:hint="eastAsia" w:eastAsia="仿宋_GB2312" w:cs="Times New Roman"/>
          <w:color w:val="000000"/>
          <w:kern w:val="0"/>
          <w:sz w:val="32"/>
          <w:szCs w:val="32"/>
          <w:u w:val="none" w:color="000000"/>
          <w:lang w:val="en-US" w:eastAsia="zh-CN" w:bidi="ar-SA"/>
        </w:rPr>
        <w:t>深入开展学习贯彻习近平新时代中国特色社会主义思想主题教育</w:t>
      </w:r>
      <w:r>
        <w:rPr>
          <w:rFonts w:hint="default" w:ascii="Times New Roman" w:hAnsi="Times New Roman" w:eastAsia="仿宋_GB2312" w:cs="Times New Roman"/>
          <w:color w:val="000000"/>
          <w:kern w:val="0"/>
          <w:sz w:val="32"/>
          <w:szCs w:val="32"/>
          <w:u w:val="none" w:color="000000"/>
          <w:lang w:val="en-US" w:eastAsia="zh-CN" w:bidi="ar-SA"/>
        </w:rPr>
        <w:t>、优良传统教育和形势政策教育，引导机关党员干部严守党的政治纪律和政治规矩。</w:t>
      </w:r>
      <w:bookmarkStart w:id="72" w:name="_GoBack"/>
      <w:bookmarkEnd w:id="72"/>
    </w:p>
    <w:p w14:paraId="005EFEB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color w:val="000000"/>
          <w:kern w:val="0"/>
          <w:sz w:val="32"/>
          <w:szCs w:val="32"/>
          <w:u w:val="none" w:color="000000"/>
          <w:lang w:val="en-US" w:eastAsia="zh-CN" w:bidi="ar-SA"/>
        </w:rPr>
      </w:pPr>
      <w:r>
        <w:rPr>
          <w:rFonts w:hint="default" w:ascii="Times New Roman" w:hAnsi="Times New Roman" w:eastAsia="仿宋_GB2312" w:cs="Times New Roman"/>
          <w:b/>
          <w:bCs/>
          <w:color w:val="000000"/>
          <w:kern w:val="0"/>
          <w:sz w:val="32"/>
          <w:szCs w:val="32"/>
          <w:u w:val="none" w:color="000000"/>
          <w:lang w:val="en-US" w:eastAsia="zh-CN" w:bidi="ar-SA"/>
        </w:rPr>
        <w:t>二是加强宣传教育</w:t>
      </w:r>
      <w:r>
        <w:rPr>
          <w:rFonts w:hint="default" w:ascii="Times New Roman" w:hAnsi="Times New Roman" w:eastAsia="仿宋_GB2312" w:cs="Times New Roman"/>
          <w:color w:val="000000"/>
          <w:kern w:val="0"/>
          <w:sz w:val="32"/>
          <w:szCs w:val="32"/>
          <w:u w:val="none" w:color="000000"/>
          <w:lang w:val="en-US" w:eastAsia="zh-CN" w:bidi="ar-SA"/>
        </w:rPr>
        <w:t>。深入开展对党忠诚教育、优良传统教育和形势政策教育，用活用好“指尖微党建”平台，引导机关党员干部严守党的政治纪律和政治规矩。</w:t>
      </w:r>
    </w:p>
    <w:p w14:paraId="79853AE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color w:val="000000"/>
          <w:kern w:val="0"/>
          <w:sz w:val="32"/>
          <w:szCs w:val="32"/>
          <w:u w:val="none" w:color="000000"/>
          <w:lang w:val="en-US" w:eastAsia="zh-CN" w:bidi="ar-SA"/>
        </w:rPr>
      </w:pPr>
      <w:r>
        <w:rPr>
          <w:rFonts w:hint="default" w:ascii="Times New Roman" w:hAnsi="Times New Roman" w:eastAsia="仿宋_GB2312" w:cs="Times New Roman"/>
          <w:b/>
          <w:bCs/>
          <w:color w:val="000000"/>
          <w:kern w:val="0"/>
          <w:sz w:val="32"/>
          <w:szCs w:val="32"/>
          <w:u w:val="none" w:color="000000"/>
          <w:lang w:val="en-US" w:eastAsia="zh-CN" w:bidi="ar-SA"/>
        </w:rPr>
        <w:t>三是强化基层组织</w:t>
      </w:r>
      <w:r>
        <w:rPr>
          <w:rFonts w:hint="default" w:ascii="Times New Roman" w:hAnsi="Times New Roman" w:eastAsia="仿宋_GB2312" w:cs="Times New Roman"/>
          <w:color w:val="000000"/>
          <w:kern w:val="0"/>
          <w:sz w:val="32"/>
          <w:szCs w:val="32"/>
          <w:u w:val="none" w:color="000000"/>
          <w:lang w:val="zh-TW" w:eastAsia="zh-CN" w:bidi="ar-SA"/>
        </w:rPr>
        <w:t>。</w:t>
      </w:r>
      <w:r>
        <w:rPr>
          <w:rFonts w:hint="default" w:ascii="Times New Roman" w:hAnsi="Times New Roman" w:eastAsia="仿宋_GB2312" w:cs="Times New Roman"/>
          <w:color w:val="000000"/>
          <w:kern w:val="0"/>
          <w:sz w:val="32"/>
          <w:szCs w:val="32"/>
          <w:u w:val="none" w:color="000000"/>
          <w:lang w:val="en-US" w:eastAsia="zh-CN" w:bidi="ar-SA"/>
        </w:rPr>
        <w:t>深化“净土先锋”机关党建品牌创建，分层分类开展党员教育培训，强化机关党建分类指导、党内关怀帮扶，常态开展“创先争优”活动。</w:t>
      </w:r>
    </w:p>
    <w:p w14:paraId="3711C1E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color w:val="000000"/>
          <w:kern w:val="0"/>
          <w:sz w:val="32"/>
          <w:szCs w:val="32"/>
          <w:u w:val="none" w:color="000000"/>
          <w:lang w:val="en-US" w:eastAsia="zh-CN" w:bidi="ar-SA"/>
        </w:rPr>
      </w:pPr>
      <w:r>
        <w:rPr>
          <w:rFonts w:hint="default" w:ascii="Times New Roman" w:hAnsi="Times New Roman" w:eastAsia="仿宋_GB2312" w:cs="Times New Roman"/>
          <w:b/>
          <w:bCs/>
          <w:color w:val="000000"/>
          <w:kern w:val="0"/>
          <w:sz w:val="32"/>
          <w:szCs w:val="32"/>
          <w:u w:val="none" w:color="000000"/>
          <w:lang w:val="en-US" w:eastAsia="zh-CN" w:bidi="ar-SA"/>
        </w:rPr>
        <w:t>四是管好驻村干部。</w:t>
      </w:r>
      <w:r>
        <w:rPr>
          <w:rFonts w:hint="default" w:ascii="Times New Roman" w:hAnsi="Times New Roman" w:eastAsia="仿宋_GB2312" w:cs="Times New Roman"/>
          <w:color w:val="000000"/>
          <w:kern w:val="0"/>
          <w:sz w:val="32"/>
          <w:szCs w:val="32"/>
          <w:u w:val="none" w:color="000000"/>
          <w:lang w:val="en-US" w:eastAsia="zh-CN" w:bidi="ar-SA"/>
        </w:rPr>
        <w:t>进一步明确联系帮扶力量职责任务，压紧压实工作责任，做好驻村帮扶工作考核、督查等。</w:t>
      </w:r>
    </w:p>
    <w:p w14:paraId="5CFE306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color w:val="000000"/>
          <w:kern w:val="0"/>
          <w:sz w:val="32"/>
          <w:szCs w:val="32"/>
          <w:u w:val="none" w:color="000000"/>
          <w:lang w:val="en-US" w:eastAsia="zh-CN" w:bidi="ar-SA"/>
        </w:rPr>
      </w:pPr>
      <w:r>
        <w:rPr>
          <w:rFonts w:hint="default" w:ascii="Times New Roman" w:hAnsi="Times New Roman" w:eastAsia="仿宋_GB2312" w:cs="Times New Roman"/>
          <w:b/>
          <w:bCs/>
          <w:color w:val="000000"/>
          <w:kern w:val="0"/>
          <w:sz w:val="32"/>
          <w:szCs w:val="32"/>
          <w:u w:val="none" w:color="000000"/>
          <w:lang w:val="en-US" w:eastAsia="zh-CN" w:bidi="ar-SA"/>
        </w:rPr>
        <w:t>五是强化政治监督</w:t>
      </w:r>
      <w:r>
        <w:rPr>
          <w:rFonts w:hint="default" w:ascii="Times New Roman" w:hAnsi="Times New Roman" w:eastAsia="仿宋_GB2312" w:cs="Times New Roman"/>
          <w:color w:val="000000"/>
          <w:kern w:val="0"/>
          <w:sz w:val="32"/>
          <w:szCs w:val="32"/>
          <w:u w:val="none" w:color="000000"/>
          <w:lang w:val="en-US" w:eastAsia="zh-CN" w:bidi="ar-SA"/>
        </w:rPr>
        <w:t>。聚焦“两个维护”，加强正风肃纪监督检查，推动全面从严治党主体责任落实，开展廉洁从政教育。</w:t>
      </w:r>
    </w:p>
    <w:p w14:paraId="66CB417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color w:val="000000"/>
          <w:kern w:val="2"/>
          <w:sz w:val="32"/>
          <w:szCs w:val="32"/>
          <w:u w:val="none" w:color="000000"/>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sz w:val="32"/>
          <w:szCs w:val="32"/>
        </w:rPr>
        <w:t>结余分配和结转结余情况</w:t>
      </w:r>
      <w:r>
        <w:rPr>
          <w:rFonts w:hint="default" w:ascii="Times New Roman" w:hAnsi="Times New Roman" w:eastAsia="楷体_GB2312" w:cs="Times New Roman"/>
          <w:b/>
          <w:sz w:val="32"/>
          <w:szCs w:val="32"/>
          <w:lang w:eastAsia="zh-CN"/>
        </w:rPr>
        <w:t>。</w:t>
      </w:r>
      <w:r>
        <w:rPr>
          <w:rFonts w:hint="default" w:ascii="Times New Roman" w:hAnsi="Times New Roman" w:eastAsia="仿宋_GB2312" w:cs="Times New Roman"/>
          <w:color w:val="000000"/>
          <w:kern w:val="2"/>
          <w:sz w:val="32"/>
          <w:szCs w:val="32"/>
          <w:u w:val="none" w:color="000000"/>
          <w:lang w:val="en-US" w:eastAsia="zh-CN" w:bidi="ar-SA"/>
        </w:rPr>
        <w:t>州直机关工委2024年决算报表无结转结余情况。</w:t>
      </w:r>
    </w:p>
    <w:p w14:paraId="2F8EF86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14:paraId="3571CCC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color w:val="000000"/>
          <w:kern w:val="0"/>
          <w:sz w:val="32"/>
          <w:szCs w:val="32"/>
          <w:highlight w:val="yellow"/>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p>
    <w:p w14:paraId="5EA0893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1.</w:t>
      </w:r>
      <w:r>
        <w:rPr>
          <w:rFonts w:hint="default" w:ascii="Times New Roman" w:hAnsi="Times New Roman" w:eastAsia="楷体_GB2312" w:cs="Times New Roman"/>
          <w:b/>
          <w:bCs/>
          <w:color w:val="000000"/>
          <w:kern w:val="0"/>
          <w:sz w:val="32"/>
          <w:szCs w:val="32"/>
          <w:highlight w:val="none"/>
          <w:shd w:val="clear" w:color="auto" w:fill="FFFFFF"/>
          <w:lang w:val="zh-CN"/>
        </w:rPr>
        <w:t>履职效能。</w:t>
      </w:r>
    </w:p>
    <w:p w14:paraId="75E5023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val="0"/>
          <w:bCs w:val="0"/>
          <w:color w:val="000000"/>
          <w:sz w:val="32"/>
          <w:szCs w:val="32"/>
          <w:u w:val="none" w:color="000000"/>
          <w:lang w:val="en-US" w:eastAsia="zh-CN" w:bidi="ar-SA"/>
        </w:rPr>
      </w:pPr>
      <w:r>
        <w:rPr>
          <w:rFonts w:hint="default" w:ascii="Times New Roman" w:hAnsi="Times New Roman" w:eastAsia="仿宋_GB2312" w:cs="Times New Roman"/>
          <w:b/>
          <w:bCs/>
          <w:color w:val="000000"/>
          <w:kern w:val="0"/>
          <w:sz w:val="32"/>
          <w:szCs w:val="32"/>
          <w:highlight w:val="none"/>
          <w:u w:val="none"/>
          <w:shd w:val="clear" w:color="auto" w:fill="FFFFFF"/>
          <w:lang w:val="en-US" w:eastAsia="zh-CN" w:bidi="ar-SA"/>
        </w:rPr>
        <w:t>州直机关党员干部教育培训工作经费：</w:t>
      </w:r>
      <w:r>
        <w:rPr>
          <w:rFonts w:hint="default" w:ascii="Times New Roman" w:hAnsi="Times New Roman" w:eastAsia="仿宋_GB2312" w:cs="Times New Roman"/>
          <w:b w:val="0"/>
          <w:bCs w:val="0"/>
          <w:sz w:val="32"/>
          <w:szCs w:val="32"/>
          <w:lang w:val="en-US" w:eastAsia="zh-CN"/>
        </w:rPr>
        <w:t>分层分类举办党组织书记、党务干部、入党积极分子、</w:t>
      </w:r>
      <w:r>
        <w:rPr>
          <w:rFonts w:hint="default" w:ascii="Times New Roman" w:hAnsi="Times New Roman" w:eastAsia="仿宋_GB2312" w:cs="Times New Roman"/>
          <w:b w:val="0"/>
          <w:bCs w:val="0"/>
          <w:sz w:val="32"/>
          <w:szCs w:val="32"/>
          <w:lang w:eastAsia="zh-CN"/>
        </w:rPr>
        <w:t>青年理论骨干、</w:t>
      </w:r>
      <w:r>
        <w:rPr>
          <w:rFonts w:hint="default" w:ascii="Times New Roman" w:hAnsi="Times New Roman" w:eastAsia="仿宋_GB2312" w:cs="Times New Roman"/>
          <w:b w:val="0"/>
          <w:bCs w:val="0"/>
          <w:sz w:val="32"/>
          <w:szCs w:val="32"/>
          <w:lang w:val="en-US" w:eastAsia="zh-CN"/>
        </w:rPr>
        <w:t>纪检干部、驻村干部等示范培训班7期、培训731人次，指导州直各部门做好全员培训，为奋力建设民族地区高质量发展阿坝典范积蓄思想动能。举办第五届机关公文写作培训暨技能大赛，采取“先学习+后竞赛”的方式，组织82个州级部门、13县（市）共95名选手以赛促学、以赛提能，搭建了青年党员干部锤炼本领、展示风采的平台。</w:t>
      </w:r>
    </w:p>
    <w:p w14:paraId="24C7023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pPr>
      <w:r>
        <w:rPr>
          <w:rFonts w:hint="default" w:ascii="Times New Roman" w:hAnsi="Times New Roman" w:eastAsia="仿宋_GB2312" w:cs="Times New Roman"/>
          <w:b/>
          <w:bCs/>
          <w:color w:val="000000"/>
          <w:kern w:val="0"/>
          <w:sz w:val="32"/>
          <w:szCs w:val="32"/>
          <w:highlight w:val="none"/>
          <w:u w:val="none"/>
          <w:shd w:val="clear" w:color="auto" w:fill="FFFFFF"/>
          <w:lang w:val="en-US" w:eastAsia="zh-CN" w:bidi="ar-SA"/>
        </w:rPr>
        <w:t>党建品牌创建及机关党建联动工作经费：</w:t>
      </w:r>
      <w:r>
        <w:rPr>
          <w:rFonts w:hint="default" w:ascii="Times New Roman" w:hAnsi="Times New Roman" w:eastAsia="仿宋_GB2312" w:cs="Times New Roman"/>
          <w:b w:val="0"/>
          <w:bCs w:val="0"/>
          <w:sz w:val="32"/>
          <w:szCs w:val="32"/>
          <w:lang w:val="en-US" w:eastAsia="zh-CN"/>
        </w:rPr>
        <w:t>以“净土先锋”党建品牌建设为抓手，深入推动机关党建与业务工作深度融合，以“现场观摩+大会”相结合的方式，盘点总结2023年品牌建设成效，抓实2024年13个部门品牌建设工作，分行业、按类别梯次培育具有阿坝机关特色、部门特点的子品牌25个，形成“1+N”党建品牌创建矩阵。深化机关党建“四分”工作机制，完善考核评估体系，对95个部门</w:t>
      </w:r>
      <w:r>
        <w:rPr>
          <w:rFonts w:hint="default" w:ascii="Times New Roman" w:hAnsi="Times New Roman" w:eastAsia="仿宋_GB2312" w:cs="Times New Roman"/>
          <w:b w:val="0"/>
          <w:bCs w:val="0"/>
          <w:sz w:val="32"/>
          <w:szCs w:val="32"/>
          <w:lang w:eastAsia="zh-CN"/>
        </w:rPr>
        <w:t>（单位）</w:t>
      </w:r>
      <w:r>
        <w:rPr>
          <w:rFonts w:hint="default" w:ascii="Times New Roman" w:hAnsi="Times New Roman" w:eastAsia="仿宋_GB2312" w:cs="Times New Roman"/>
          <w:b w:val="0"/>
          <w:bCs w:val="0"/>
          <w:sz w:val="32"/>
          <w:szCs w:val="32"/>
          <w:lang w:val="en-US" w:eastAsia="zh-CN"/>
        </w:rPr>
        <w:t>党组（党委）全覆盖开展履行党建责任制、推动党组织标准化规范化实战化调研指导，推动各责任主体对标履职尽责。</w:t>
      </w:r>
    </w:p>
    <w:p w14:paraId="76943B3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color w:val="000000"/>
          <w:kern w:val="0"/>
          <w:sz w:val="32"/>
          <w:szCs w:val="32"/>
          <w:highlight w:val="none"/>
          <w:u w:val="none"/>
          <w:shd w:val="clear" w:color="auto" w:fill="FFFFFF"/>
          <w:lang w:val="en-US" w:eastAsia="zh-CN" w:bidi="ar-SA"/>
        </w:rPr>
        <w:t>纪检工作经费</w:t>
      </w:r>
      <w:r>
        <w:rPr>
          <w:rFonts w:hint="default" w:ascii="Times New Roman" w:hAnsi="Times New Roman" w:cs="Times New Roman"/>
          <w:b/>
          <w:bCs/>
          <w:color w:val="000000"/>
          <w:kern w:val="0"/>
          <w:sz w:val="32"/>
          <w:szCs w:val="32"/>
          <w:highlight w:val="none"/>
          <w:u w:val="none"/>
          <w:shd w:val="clear" w:color="auto" w:fill="FFFFFF"/>
          <w:lang w:val="en-US" w:eastAsia="zh-CN" w:bidi="ar-SA"/>
        </w:rPr>
        <w:t>：</w:t>
      </w:r>
      <w:r>
        <w:rPr>
          <w:rFonts w:hint="default" w:ascii="Times New Roman" w:hAnsi="Times New Roman" w:eastAsia="仿宋_GB2312" w:cs="Times New Roman"/>
          <w:b w:val="0"/>
          <w:bCs w:val="0"/>
          <w:sz w:val="32"/>
          <w:szCs w:val="32"/>
          <w:lang w:eastAsia="zh-CN"/>
        </w:rPr>
        <w:t>依纪、依规审理州直机关科级及以下党员干部、公职人员违纪违法案件21件，指导发案部门（单位）扎实开展组织生活会警示教育及以案促改工作。开展州直机关干部担当作为专题调研，对2023年38名违纪人员进行教育回访。</w:t>
      </w:r>
    </w:p>
    <w:p w14:paraId="06E7C28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000000"/>
          <w:kern w:val="0"/>
          <w:sz w:val="32"/>
          <w:szCs w:val="32"/>
          <w:highlight w:val="none"/>
          <w:u w:val="none"/>
          <w:shd w:val="clear" w:color="auto" w:fill="FFFFFF"/>
          <w:lang w:val="en-US" w:eastAsia="zh-CN" w:bidi="ar-SA"/>
        </w:rPr>
        <w:t>统战群工工作经费</w:t>
      </w:r>
      <w:r>
        <w:rPr>
          <w:rFonts w:hint="default" w:ascii="Times New Roman" w:hAnsi="Times New Roman" w:cs="Times New Roman"/>
          <w:b/>
          <w:bCs/>
          <w:color w:val="000000"/>
          <w:kern w:val="0"/>
          <w:sz w:val="32"/>
          <w:szCs w:val="32"/>
          <w:highlight w:val="none"/>
          <w:u w:val="none"/>
          <w:shd w:val="clear" w:color="auto" w:fill="FFFFFF"/>
          <w:lang w:val="en-US" w:eastAsia="zh-CN" w:bidi="ar-SA"/>
        </w:rPr>
        <w:t>：</w:t>
      </w:r>
      <w:r>
        <w:rPr>
          <w:rFonts w:hint="default" w:ascii="Times New Roman" w:hAnsi="Times New Roman" w:eastAsia="仿宋_GB2312" w:cs="Times New Roman"/>
          <w:b w:val="0"/>
          <w:bCs w:val="0"/>
          <w:sz w:val="32"/>
          <w:szCs w:val="32"/>
          <w:lang w:val="en-US" w:eastAsia="zh-CN"/>
        </w:rPr>
        <w:t>将</w:t>
      </w:r>
      <w:r>
        <w:rPr>
          <w:rFonts w:hint="default" w:ascii="Times New Roman" w:hAnsi="Times New Roman" w:eastAsia="仿宋_GB2312" w:cs="Times New Roman"/>
          <w:b w:val="0"/>
          <w:bCs w:val="0"/>
          <w:sz w:val="32"/>
          <w:szCs w:val="32"/>
          <w:lang w:eastAsia="zh-CN"/>
        </w:rPr>
        <w:t>“爱心爸妈”助学结对关爱服务工作作为贯彻落实习近平总书记重要指示精神的实际行动，</w:t>
      </w:r>
      <w:r>
        <w:rPr>
          <w:rFonts w:hint="default" w:ascii="Times New Roman" w:hAnsi="Times New Roman" w:eastAsia="仿宋_GB2312" w:cs="Times New Roman"/>
          <w:b w:val="0"/>
          <w:bCs w:val="0"/>
          <w:sz w:val="32"/>
          <w:szCs w:val="32"/>
        </w:rPr>
        <w:t>坚持一把手亲自抓、逐级抓落实，</w:t>
      </w:r>
      <w:r>
        <w:rPr>
          <w:rFonts w:hint="default" w:ascii="Times New Roman" w:hAnsi="Times New Roman" w:eastAsia="仿宋_GB2312" w:cs="Times New Roman"/>
          <w:b w:val="0"/>
          <w:bCs w:val="0"/>
          <w:sz w:val="32"/>
          <w:szCs w:val="32"/>
          <w:lang w:val="en-US" w:eastAsia="zh-CN"/>
        </w:rPr>
        <w:t>36名</w:t>
      </w:r>
      <w:r>
        <w:rPr>
          <w:rFonts w:hint="default" w:ascii="Times New Roman" w:hAnsi="Times New Roman" w:eastAsia="仿宋_GB2312" w:cs="Times New Roman"/>
          <w:b w:val="0"/>
          <w:bCs w:val="0"/>
          <w:sz w:val="32"/>
          <w:szCs w:val="32"/>
        </w:rPr>
        <w:t>厅级领导干部率先带头，</w:t>
      </w:r>
      <w:r>
        <w:rPr>
          <w:rFonts w:hint="default" w:ascii="Times New Roman" w:hAnsi="Times New Roman" w:eastAsia="仿宋_GB2312" w:cs="Times New Roman"/>
          <w:b w:val="0"/>
          <w:bCs w:val="0"/>
          <w:sz w:val="32"/>
          <w:szCs w:val="32"/>
          <w:lang w:val="en-US" w:eastAsia="zh-CN"/>
        </w:rPr>
        <w:t>137</w:t>
      </w:r>
      <w:r>
        <w:rPr>
          <w:rFonts w:hint="default" w:ascii="Times New Roman" w:hAnsi="Times New Roman" w:eastAsia="仿宋_GB2312" w:cs="Times New Roman"/>
          <w:b w:val="0"/>
          <w:bCs w:val="0"/>
          <w:sz w:val="32"/>
          <w:szCs w:val="32"/>
        </w:rPr>
        <w:t>个州直部门（单位）与</w:t>
      </w: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lang w:eastAsia="zh-CN"/>
        </w:rPr>
        <w:t>43</w:t>
      </w:r>
      <w:r>
        <w:rPr>
          <w:rFonts w:hint="default" w:ascii="Times New Roman" w:hAnsi="Times New Roman" w:eastAsia="仿宋_GB2312" w:cs="Times New Roman"/>
          <w:b w:val="0"/>
          <w:bCs w:val="0"/>
          <w:sz w:val="32"/>
          <w:szCs w:val="32"/>
        </w:rPr>
        <w:t>名失辍学返校复学少年儿童完成“爱心爸妈”首轮结对，让结对关爱“联”起来、“动”起来、“暖”起来，推动“爱心爸妈”结对关爱落地见效。</w:t>
      </w:r>
      <w:r>
        <w:rPr>
          <w:rFonts w:hint="default" w:ascii="Times New Roman" w:hAnsi="Times New Roman" w:eastAsia="仿宋_GB2312" w:cs="Times New Roman"/>
          <w:b w:val="0"/>
          <w:bCs w:val="0"/>
          <w:sz w:val="32"/>
          <w:szCs w:val="32"/>
          <w:lang w:val="en-US" w:eastAsia="zh-CN"/>
        </w:rPr>
        <w:t>积极指导3个团组织、9个妇女组织换届选举，巩固群团组织建设根基，提升工作效能。全面推进“八五”普法规划的实施，以“三八”国际妇女节为契机，在州直机关妇女组织开展法治宣传教</w:t>
      </w:r>
      <w:r>
        <w:rPr>
          <w:rFonts w:hint="default" w:ascii="Times New Roman" w:hAnsi="Times New Roman" w:eastAsia="仿宋_GB2312" w:cs="Times New Roman"/>
          <w:b w:val="0"/>
          <w:bCs w:val="0"/>
          <w:sz w:val="32"/>
          <w:szCs w:val="32"/>
          <w:highlight w:val="none"/>
          <w:lang w:val="en-US" w:eastAsia="zh-CN"/>
        </w:rPr>
        <w:t>育，举办</w:t>
      </w:r>
      <w:r>
        <w:rPr>
          <w:rFonts w:hint="default" w:ascii="Times New Roman" w:hAnsi="Times New Roman" w:eastAsia="仿宋_GB2312" w:cs="Times New Roman"/>
          <w:sz w:val="32"/>
          <w:szCs w:val="32"/>
          <w:lang w:val="en-US" w:eastAsia="zh-CN"/>
        </w:rPr>
        <w:t>《中华人民共和国妇女权益保障法》专题讲座，进一步提升了妇女们维护自身合法权益的意识。为州直机关102个妇女组织订阅2025年度《分忧》刊物，充分利用宣传舆论平台，加强思想引领，推动提升工作效能与素质。</w:t>
      </w:r>
    </w:p>
    <w:p w14:paraId="60E993F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highlight w:val="none"/>
          <w:u w:val="none"/>
          <w:shd w:val="clear" w:color="auto" w:fill="FFFFFF"/>
          <w:lang w:val="en-US" w:eastAsia="zh-CN" w:bidi="ar-SA"/>
        </w:rPr>
        <w:t>州驻村帮扶工作经费：</w:t>
      </w:r>
      <w:r>
        <w:rPr>
          <w:rFonts w:hint="default" w:ascii="Times New Roman" w:hAnsi="Times New Roman" w:eastAsia="仿宋_GB2312" w:cs="Times New Roman"/>
          <w:b w:val="0"/>
          <w:bCs w:val="0"/>
          <w:sz w:val="32"/>
          <w:szCs w:val="32"/>
          <w:lang w:val="en-US" w:eastAsia="zh-CN"/>
        </w:rPr>
        <w:t>围绕定点帮扶和托底性帮扶目标任务，建立受扶乡镇、村（社区）和州级帮扶部门（单位）双向对接和“牵头部门抓总包乡镇、责任部门分级负责包村（社区）”工作机制。落实130个州级部门（单位）定点帮扶55个村职责，督促指导州级定点帮扶部门（单位）先后深入定点帮扶联系村开展调研100余次</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严格落实“四个不摘”工作要求，按照“大稳定、小调整”“补短板、扶弱村”和“应派尽派”原则，聚焦已脱贫村、托底性帮扶特别困难村、乡村振兴任务重的村、集体经济薄弱村和党组织软弱涣散村等重点，组织州、县力量，在深入摸排，反复研判的基础上，通过“新增派一批+轮换一批+调整一批”方式，采取“个人自荐+组织推荐+集中审核”，先后2批次，优化调整选派政治素质好、工作能力强、敢于担当的驻村干部134名，其中新增派66人，调整50人，轮换18人，州级选派驻村干部由2023年的204名，增长到269名。</w:t>
      </w:r>
    </w:p>
    <w:p w14:paraId="76A2F7B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color w:val="000000"/>
          <w:kern w:val="0"/>
          <w:sz w:val="32"/>
          <w:szCs w:val="32"/>
          <w:highlight w:val="none"/>
          <w:u w:val="none"/>
          <w:shd w:val="clear" w:color="auto" w:fill="FFFFFF"/>
          <w:lang w:val="en-US" w:eastAsia="zh-CN" w:bidi="ar-SA"/>
        </w:rPr>
        <w:t>办公设备购置：</w:t>
      </w:r>
      <w:r>
        <w:rPr>
          <w:rFonts w:hint="default" w:ascii="Times New Roman" w:hAnsi="Times New Roman" w:eastAsia="仿宋_GB2312" w:cs="Times New Roman"/>
          <w:b w:val="0"/>
          <w:bCs w:val="0"/>
          <w:sz w:val="32"/>
          <w:szCs w:val="32"/>
          <w:lang w:val="en-US" w:eastAsia="zh-CN"/>
        </w:rPr>
        <w:t>为切实改善机关办公环境，提升干部职工队伍工作效率，通过公开招标方式完成13台空调设备采购工作，采购的13台2匹立式空调已完成安装投入使用，有效解决了冬季办公区取暖的问题，为干部职工创造了舒适健康的工作环境，切实保障了工作的高效运转。</w:t>
      </w:r>
    </w:p>
    <w:p w14:paraId="0CC969B7">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2.</w:t>
      </w:r>
      <w:r>
        <w:rPr>
          <w:rFonts w:hint="default" w:ascii="Times New Roman" w:hAnsi="Times New Roman" w:eastAsia="楷体_GB2312" w:cs="Times New Roman"/>
          <w:b/>
          <w:bCs/>
          <w:color w:val="000000"/>
          <w:kern w:val="0"/>
          <w:sz w:val="32"/>
          <w:szCs w:val="32"/>
          <w:highlight w:val="none"/>
          <w:shd w:val="clear" w:color="auto" w:fill="FFFFFF"/>
          <w:lang w:val="zh-CN"/>
        </w:rPr>
        <w:t>预算管理</w:t>
      </w:r>
      <w:r>
        <w:rPr>
          <w:rFonts w:hint="default" w:ascii="Times New Roman" w:hAnsi="Times New Roman" w:eastAsia="楷体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en-US" w:eastAsia="zh-CN"/>
        </w:rPr>
        <w:t>严格执行预算管理相关规定，坚持一个部门一本预算，加强全口径预算管理。根据工作开展实际，坚持“依法依规、突出重点、讲求绩效”的基本原则，严格预算编制，不断提高预算完整性、规范性、真实性、准确性。根据日常经济业务的开展，坚持先有预算后有支出，严禁超预算安排支出或开展政府采购，严格按照预算规定的支出用途使用资金，严格执行各项经费开支标准，合理安排支出进度，规范预算执行。会计年度结束后，加强预算绩效管理，推进预算信息公开，不断提高预算管理的规范化、科学化、标准化水平和透明度，增强财政资源统筹能力，硬化预算刚性约束，提高资金使用绩效。</w:t>
      </w:r>
    </w:p>
    <w:p w14:paraId="517FC925">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contextualSpacing/>
        <w:jc w:val="left"/>
        <w:textAlignment w:val="auto"/>
        <w:rPr>
          <w:rFonts w:hint="default" w:ascii="Times New Roman" w:hAnsi="Times New Roman" w:cs="Times New Roman"/>
          <w:color w:val="000000"/>
          <w:kern w:val="0"/>
          <w:sz w:val="32"/>
          <w:szCs w:val="32"/>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3.</w:t>
      </w:r>
      <w:r>
        <w:rPr>
          <w:rFonts w:hint="default" w:ascii="Times New Roman" w:hAnsi="Times New Roman" w:eastAsia="楷体_GB2312" w:cs="Times New Roman"/>
          <w:b/>
          <w:bCs/>
          <w:color w:val="000000"/>
          <w:kern w:val="0"/>
          <w:sz w:val="32"/>
          <w:szCs w:val="32"/>
          <w:highlight w:val="none"/>
          <w:shd w:val="clear" w:color="auto" w:fill="FFFFFF"/>
          <w:lang w:val="zh-CN"/>
        </w:rPr>
        <w:t>财务管理。</w:t>
      </w:r>
      <w:r>
        <w:rPr>
          <w:rFonts w:hint="default" w:ascii="Times New Roman" w:hAnsi="Times New Roman" w:eastAsia="仿宋_GB2312" w:cs="Times New Roman"/>
          <w:color w:val="000000"/>
          <w:kern w:val="0"/>
          <w:sz w:val="32"/>
          <w:szCs w:val="32"/>
          <w:shd w:val="clear" w:color="auto" w:fill="FFFFFF"/>
          <w:lang w:val="en-US" w:eastAsia="zh-CN"/>
        </w:rPr>
        <w:t>严格遵循《中华人民共和国会计法》《中华人民共和国预算法》《政府会计准则-基本准则》《政府会计制度-行政事业单位会计科目和报表》等法律、行政法规和规章。制定了《州直机关工委财务管理制度》，建立健全内控相关制度，加强资金使用监管，实时对我委的用款计划进行审核，每一笔资金的拨付过程都处于财政部门和银行相互制约、相互监督的监控之下，提高财政资金运行透明度。</w:t>
      </w:r>
    </w:p>
    <w:p w14:paraId="28970D7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4.</w:t>
      </w:r>
      <w:r>
        <w:rPr>
          <w:rFonts w:hint="default" w:ascii="Times New Roman" w:hAnsi="Times New Roman" w:eastAsia="楷体_GB2312" w:cs="Times New Roman"/>
          <w:b/>
          <w:bCs/>
          <w:color w:val="000000"/>
          <w:kern w:val="0"/>
          <w:sz w:val="32"/>
          <w:szCs w:val="32"/>
          <w:highlight w:val="none"/>
          <w:shd w:val="clear" w:color="auto" w:fill="FFFFFF"/>
          <w:lang w:val="zh-CN"/>
        </w:rPr>
        <w:t>资产管理。</w:t>
      </w:r>
      <w:r>
        <w:rPr>
          <w:rFonts w:hint="default" w:ascii="Times New Roman" w:hAnsi="Times New Roman" w:eastAsia="仿宋_GB2312" w:cs="Times New Roman"/>
          <w:sz w:val="32"/>
          <w:szCs w:val="32"/>
          <w:lang w:bidi="ar-SA"/>
        </w:rPr>
        <w:t>制定了资产管理制度；明确资产配置、使用、处置等程序和审核审批权限。编制部门预算同步编制新增资产配置预算；国有资产交付使用后及时准确入账；在建工程及时转为固定资产。明确资产使用和保管责任人、落实资产使用人在资产管理中的责任；国有资产折旧的计提符合相关会计规范；行政事业性国有资产纳入四川省行政事业单位资产管理信息系统动态管理。行政事业单位资产处置按规定报批，处置收益及时足额上缴财政；</w:t>
      </w:r>
      <w:r>
        <w:rPr>
          <w:rFonts w:hint="default" w:ascii="Times New Roman" w:hAnsi="Times New Roman" w:eastAsia="仿宋_GB2312" w:cs="Times New Roman"/>
          <w:sz w:val="32"/>
          <w:szCs w:val="32"/>
          <w:lang w:val="en-US" w:eastAsia="zh-CN" w:bidi="ar-SA"/>
        </w:rPr>
        <w:t>我委</w:t>
      </w:r>
      <w:r>
        <w:rPr>
          <w:rFonts w:hint="default" w:ascii="Times New Roman" w:hAnsi="Times New Roman" w:eastAsia="仿宋_GB2312" w:cs="Times New Roman"/>
          <w:sz w:val="32"/>
          <w:szCs w:val="32"/>
          <w:lang w:bidi="ar-SA"/>
        </w:rPr>
        <w:t>资产无出租、对外投资情况</w:t>
      </w:r>
      <w:r>
        <w:rPr>
          <w:rFonts w:hint="default" w:ascii="Times New Roman" w:hAnsi="Times New Roman" w:eastAsia="仿宋_GB2312" w:cs="Times New Roman"/>
          <w:color w:val="000000"/>
          <w:kern w:val="0"/>
          <w:sz w:val="32"/>
          <w:szCs w:val="32"/>
          <w:highlight w:val="none"/>
          <w:shd w:val="clear" w:color="auto" w:fill="FFFFFF"/>
          <w:lang w:val="zh-CN"/>
        </w:rPr>
        <w:t>围绕人均资产变化率、资产利用率、资产盘活率进行绩效分析。</w:t>
      </w:r>
    </w:p>
    <w:p w14:paraId="6B4CCFE0">
      <w:pPr>
        <w:spacing w:line="560" w:lineRule="exact"/>
        <w:ind w:firstLine="643" w:firstLineChars="200"/>
        <w:rPr>
          <w:rFonts w:hint="default" w:ascii="Times New Roman" w:hAnsi="Times New Roman" w:eastAsia="仿宋_GB2312" w:cs="Times New Roman"/>
          <w:sz w:val="32"/>
          <w:szCs w:val="32"/>
          <w:lang w:bidi="ar-SA"/>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5.</w:t>
      </w:r>
      <w:r>
        <w:rPr>
          <w:rFonts w:hint="default" w:ascii="Times New Roman" w:hAnsi="Times New Roman" w:eastAsia="楷体_GB2312" w:cs="Times New Roman"/>
          <w:b/>
          <w:bCs/>
          <w:color w:val="000000"/>
          <w:kern w:val="0"/>
          <w:sz w:val="32"/>
          <w:szCs w:val="32"/>
          <w:highlight w:val="none"/>
          <w:shd w:val="clear" w:color="auto" w:fill="FFFFFF"/>
          <w:lang w:val="zh-CN"/>
        </w:rPr>
        <w:t>采购管理。</w:t>
      </w:r>
      <w:r>
        <w:rPr>
          <w:rFonts w:hint="default" w:ascii="Times New Roman" w:hAnsi="Times New Roman" w:eastAsia="仿宋_GB2312" w:cs="Times New Roman"/>
          <w:sz w:val="32"/>
          <w:szCs w:val="32"/>
          <w:lang w:bidi="ar-SA"/>
        </w:rPr>
        <w:t>政府采购编制应编尽编；不存在无预算采购、超预算采购情况；按规定进行政府采购计划备案；按照合同约定及时支付资金</w:t>
      </w:r>
      <w:r>
        <w:rPr>
          <w:rFonts w:hint="default" w:ascii="Times New Roman" w:hAnsi="Times New Roman" w:eastAsia="仿宋_GB2312" w:cs="Times New Roman"/>
          <w:b/>
          <w:bCs/>
          <w:sz w:val="32"/>
          <w:szCs w:val="32"/>
          <w:lang w:bidi="ar-SA"/>
        </w:rPr>
        <w:t>。</w:t>
      </w:r>
      <w:r>
        <w:rPr>
          <w:rFonts w:hint="default" w:ascii="Times New Roman" w:hAnsi="Times New Roman" w:eastAsia="仿宋_GB2312" w:cs="Times New Roman"/>
          <w:sz w:val="32"/>
          <w:szCs w:val="32"/>
          <w:lang w:bidi="ar-SA"/>
        </w:rPr>
        <w:t>按法定采购方式和程序实施采购；不存在拆分项目预算规避政府采购或公开招标情况；按采购文件确定事项签订政府采购合同，按规定公告、备案政府采购合同；政府采购系统中的政府采购信息真实、准确、合法。政府采购行为中不存在限制政府采购供应商及对内外资企业实行差别待遇或歧视等问题。</w:t>
      </w:r>
    </w:p>
    <w:p w14:paraId="134D4069">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69D54B8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en-US" w:eastAsia="zh-CN"/>
        </w:rPr>
        <w:t>常年项目绩效分析。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rPr>
        <w:t>该类项目总数</w:t>
      </w:r>
      <w:r>
        <w:rPr>
          <w:rFonts w:hint="default" w:ascii="Times New Roman" w:hAnsi="Times New Roman" w:eastAsia="仿宋_GB2312" w:cs="Times New Roman"/>
          <w:color w:val="000000"/>
          <w:kern w:val="0"/>
          <w:sz w:val="32"/>
          <w:szCs w:val="32"/>
          <w:highlight w:val="none"/>
          <w:shd w:val="clear" w:color="auto" w:fill="FFFFFF"/>
          <w:lang w:val="en-US" w:eastAsia="zh-CN"/>
        </w:rPr>
        <w:t>20</w:t>
      </w:r>
      <w:r>
        <w:rPr>
          <w:rFonts w:hint="default" w:ascii="Times New Roman" w:hAnsi="Times New Roman" w:eastAsia="仿宋_GB2312" w:cs="Times New Roman"/>
          <w:color w:val="000000"/>
          <w:kern w:val="0"/>
          <w:sz w:val="32"/>
          <w:szCs w:val="32"/>
          <w:highlight w:val="none"/>
          <w:shd w:val="clear" w:color="auto" w:fill="FFFFFF"/>
          <w:lang w:val="zh-CN" w:eastAsia="zh-CN"/>
        </w:rPr>
        <w:t>个，涉及预算总金额</w:t>
      </w:r>
      <w:r>
        <w:rPr>
          <w:rFonts w:hint="default" w:ascii="Times New Roman" w:hAnsi="Times New Roman" w:eastAsia="仿宋_GB2312" w:cs="Times New Roman"/>
          <w:color w:val="000000"/>
          <w:kern w:val="0"/>
          <w:sz w:val="32"/>
          <w:szCs w:val="32"/>
          <w:highlight w:val="none"/>
          <w:shd w:val="clear" w:color="auto" w:fill="FFFFFF"/>
          <w:lang w:val="en-US" w:eastAsia="zh-CN"/>
        </w:rPr>
        <w:t xml:space="preserve"> 669.35</w:t>
      </w:r>
      <w:r>
        <w:rPr>
          <w:rFonts w:hint="default" w:ascii="Times New Roman" w:hAnsi="Times New Roman" w:eastAsia="仿宋_GB2312" w:cs="Times New Roman"/>
          <w:color w:val="000000"/>
          <w:kern w:val="0"/>
          <w:sz w:val="32"/>
          <w:szCs w:val="32"/>
          <w:highlight w:val="none"/>
          <w:shd w:val="clear" w:color="auto" w:fill="FFFFFF"/>
          <w:lang w:val="zh-CN" w:eastAsia="zh-CN"/>
        </w:rPr>
        <w:t>万元，</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default" w:ascii="Times New Roman" w:hAnsi="Times New Roman" w:eastAsia="仿宋_GB2312" w:cs="Times New Roman"/>
          <w:color w:val="000000"/>
          <w:kern w:val="0"/>
          <w:sz w:val="32"/>
          <w:szCs w:val="32"/>
          <w:highlight w:val="none"/>
          <w:shd w:val="clear" w:color="auto" w:fill="FFFFFF"/>
          <w:lang w:val="en-US" w:eastAsia="zh-CN"/>
        </w:rPr>
        <w:t>2</w:t>
      </w:r>
      <w:r>
        <w:rPr>
          <w:rFonts w:hint="default" w:ascii="Times New Roman" w:hAnsi="Times New Roman" w:eastAsia="仿宋_GB2312" w:cs="Times New Roman"/>
          <w:color w:val="000000"/>
          <w:kern w:val="0"/>
          <w:sz w:val="32"/>
          <w:szCs w:val="32"/>
          <w:highlight w:val="none"/>
          <w:shd w:val="clear" w:color="auto" w:fill="FFFFFF"/>
          <w:lang w:val="zh-CN"/>
        </w:rPr>
        <w:t>月预算执行总体进度为</w:t>
      </w:r>
      <w:r>
        <w:rPr>
          <w:rFonts w:hint="default" w:ascii="Times New Roman" w:hAnsi="Times New Roman" w:eastAsia="仿宋_GB2312" w:cs="Times New Roman"/>
          <w:color w:val="000000"/>
          <w:kern w:val="0"/>
          <w:sz w:val="32"/>
          <w:szCs w:val="32"/>
          <w:highlight w:val="none"/>
          <w:shd w:val="clear" w:color="auto" w:fill="FFFFFF"/>
          <w:lang w:val="en-US" w:eastAsia="zh-CN"/>
        </w:rPr>
        <w:t>100</w:t>
      </w:r>
      <w:r>
        <w:rPr>
          <w:rFonts w:hint="default" w:ascii="Times New Roman" w:hAnsi="Times New Roman" w:eastAsia="仿宋_GB2312" w:cs="Times New Roman"/>
          <w:color w:val="000000"/>
          <w:kern w:val="0"/>
          <w:sz w:val="32"/>
          <w:szCs w:val="32"/>
          <w:highlight w:val="none"/>
          <w:shd w:val="clear" w:color="auto" w:fill="FFFFFF"/>
          <w:lang w:val="zh-CN"/>
        </w:rPr>
        <w:t>%，其中：</w:t>
      </w:r>
      <w:r>
        <w:rPr>
          <w:rFonts w:hint="default" w:ascii="Times New Roman" w:hAnsi="Times New Roman" w:eastAsia="仿宋_GB2312" w:cs="Times New Roman"/>
          <w:color w:val="000000"/>
          <w:kern w:val="0"/>
          <w:sz w:val="32"/>
          <w:szCs w:val="32"/>
          <w:highlight w:val="none"/>
          <w:shd w:val="clear" w:color="auto" w:fill="FFFFFF"/>
          <w:lang w:val="zh-CN" w:eastAsia="zh-CN"/>
        </w:rPr>
        <w:t>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rPr>
        <w:t>10%</w:t>
      </w:r>
      <w:r>
        <w:rPr>
          <w:rFonts w:hint="default" w:ascii="Times New Roman" w:hAnsi="Times New Roman" w:eastAsia="仿宋_GB2312" w:cs="Times New Roman"/>
          <w:color w:val="000000"/>
          <w:kern w:val="0"/>
          <w:sz w:val="32"/>
          <w:szCs w:val="32"/>
          <w:highlight w:val="none"/>
          <w:shd w:val="clear" w:color="auto" w:fill="FFFFFF"/>
          <w:lang w:val="zh-CN" w:eastAsia="zh-CN"/>
        </w:rPr>
        <w:t>的项目共计</w:t>
      </w:r>
      <w:r>
        <w:rPr>
          <w:rFonts w:hint="default" w:ascii="Times New Roman" w:hAnsi="Times New Roman" w:eastAsia="仿宋_GB2312" w:cs="Times New Roman"/>
          <w:color w:val="000000"/>
          <w:kern w:val="0"/>
          <w:sz w:val="32"/>
          <w:szCs w:val="32"/>
          <w:highlight w:val="none"/>
          <w:shd w:val="clear" w:color="auto" w:fill="FFFFFF"/>
          <w:lang w:val="en-US" w:eastAsia="zh-CN"/>
        </w:rPr>
        <w:t>0</w:t>
      </w:r>
      <w:r>
        <w:rPr>
          <w:rFonts w:hint="default" w:ascii="Times New Roman" w:hAnsi="Times New Roman" w:eastAsia="仿宋_GB2312" w:cs="Times New Roman"/>
          <w:color w:val="000000"/>
          <w:kern w:val="0"/>
          <w:sz w:val="32"/>
          <w:szCs w:val="32"/>
          <w:highlight w:val="none"/>
          <w:shd w:val="clear" w:color="auto" w:fill="FFFFFF"/>
          <w:lang w:val="zh-CN" w:eastAsia="zh-CN"/>
        </w:rPr>
        <w:t>个。</w:t>
      </w:r>
    </w:p>
    <w:p w14:paraId="47CFE56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en-US" w:eastAsia="zh-CN"/>
        </w:rPr>
        <w:t>阶段（一次性）项目绩效分析。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rPr>
        <w:t>该类项目总数</w:t>
      </w:r>
      <w:r>
        <w:rPr>
          <w:rFonts w:hint="default" w:ascii="Times New Roman" w:hAnsi="Times New Roman" w:eastAsia="仿宋_GB2312" w:cs="Times New Roman"/>
          <w:color w:val="000000"/>
          <w:kern w:val="0"/>
          <w:sz w:val="32"/>
          <w:szCs w:val="32"/>
          <w:highlight w:val="none"/>
          <w:shd w:val="clear" w:color="auto" w:fill="FFFFFF"/>
          <w:lang w:val="en-US" w:eastAsia="zh-CN"/>
        </w:rPr>
        <w:t>0</w:t>
      </w:r>
      <w:r>
        <w:rPr>
          <w:rFonts w:hint="default" w:ascii="Times New Roman" w:hAnsi="Times New Roman" w:eastAsia="仿宋_GB2312" w:cs="Times New Roman"/>
          <w:color w:val="000000"/>
          <w:kern w:val="0"/>
          <w:sz w:val="32"/>
          <w:szCs w:val="32"/>
          <w:highlight w:val="none"/>
          <w:shd w:val="clear" w:color="auto" w:fill="FFFFFF"/>
          <w:lang w:val="zh-CN" w:eastAsia="zh-CN"/>
        </w:rPr>
        <w:t>个。</w:t>
      </w:r>
    </w:p>
    <w:p w14:paraId="0939B36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color w:val="000000"/>
          <w:kern w:val="0"/>
          <w:sz w:val="32"/>
          <w:szCs w:val="32"/>
          <w:highlight w:val="none"/>
          <w:shd w:val="clear" w:color="auto" w:fill="FFFFFF"/>
          <w:lang w:val="en-US" w:eastAsia="zh-CN"/>
        </w:rPr>
        <w:t>1.</w:t>
      </w:r>
      <w:r>
        <w:rPr>
          <w:rFonts w:hint="default" w:ascii="Times New Roman" w:hAnsi="Times New Roman" w:eastAsia="楷体_GB2312" w:cs="Times New Roman"/>
          <w:color w:val="000000"/>
          <w:kern w:val="0"/>
          <w:sz w:val="32"/>
          <w:szCs w:val="32"/>
          <w:highlight w:val="none"/>
          <w:shd w:val="clear" w:color="auto" w:fill="FFFFFF"/>
          <w:lang w:val="zh-CN"/>
        </w:rPr>
        <w:t>项目决策。</w:t>
      </w:r>
      <w:r>
        <w:rPr>
          <w:rFonts w:hint="default" w:ascii="Times New Roman" w:hAnsi="Times New Roman" w:eastAsia="仿宋_GB2312" w:cs="Times New Roman"/>
          <w:color w:val="000000"/>
          <w:kern w:val="0"/>
          <w:sz w:val="32"/>
          <w:szCs w:val="32"/>
          <w:highlight w:val="none"/>
          <w:shd w:val="clear" w:color="auto" w:fill="FFFFFF"/>
          <w:lang w:val="en-US" w:eastAsia="zh-CN"/>
        </w:rPr>
        <w:t>2024年按照州直机关工委职能职责，负责领导州直机关党的工作，年初建立常年项目20个。20个项目都按照相关要求在预算管理一体化系统中进行了项目入库的录入。</w:t>
      </w:r>
    </w:p>
    <w:p w14:paraId="45C6955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楷体_GB2312" w:cs="Times New Roman"/>
          <w:color w:val="000000"/>
          <w:kern w:val="0"/>
          <w:sz w:val="32"/>
          <w:szCs w:val="32"/>
          <w:highlight w:val="none"/>
          <w:shd w:val="clear" w:color="auto" w:fill="FFFFFF"/>
          <w:lang w:val="en-US" w:eastAsia="zh-CN"/>
        </w:rPr>
        <w:t>2.项目执行</w:t>
      </w:r>
      <w:r>
        <w:rPr>
          <w:rFonts w:hint="default" w:ascii="Times New Roman" w:hAnsi="Times New Roman" w:eastAsia="楷体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eastAsia="zh-CN"/>
        </w:rPr>
        <w:t>实施"额度总控、项目零基"编制办法，在项目支出控制额度内，按轻重缓急和绩效因素优先保障重点、刚性项目支出，严格控制一般性支出，严禁留硬缺口。严格执行相关项目支出标准，真实反映支出需求，不得重复申报或虚假申报项目。坚持先有项目再安排预算，所有支出以项目形式纳入项目库，未入库项目一律不安排预算。做实做细项目储备，纳入预算项目库的项目应当按规定完成可行性研究论证，制定具体实施计划等各项前期工作，做到预算一经批准即可实施。</w:t>
      </w:r>
    </w:p>
    <w:p w14:paraId="15EB0C80">
      <w:pPr>
        <w:keepNext w:val="0"/>
        <w:keepLines w:val="0"/>
        <w:pageBreakBefore w:val="0"/>
        <w:widowControl w:val="0"/>
        <w:kinsoku/>
        <w:wordWrap/>
        <w:overflowPunct/>
        <w:topLinePunct w:val="0"/>
        <w:autoSpaceDE/>
        <w:autoSpaceDN/>
        <w:bidi w:val="0"/>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color w:val="000000"/>
          <w:kern w:val="0"/>
          <w:sz w:val="32"/>
          <w:szCs w:val="32"/>
          <w:highlight w:val="none"/>
          <w:shd w:val="clear" w:color="auto" w:fill="FFFFFF"/>
          <w:lang w:val="en-US" w:eastAsia="zh-CN"/>
        </w:rPr>
        <w:t>3.</w:t>
      </w:r>
      <w:r>
        <w:rPr>
          <w:rFonts w:hint="default" w:ascii="Times New Roman" w:hAnsi="Times New Roman" w:eastAsia="楷体_GB2312" w:cs="Times New Roman"/>
          <w:color w:val="000000"/>
          <w:kern w:val="0"/>
          <w:sz w:val="32"/>
          <w:szCs w:val="32"/>
          <w:highlight w:val="none"/>
          <w:shd w:val="clear" w:color="auto" w:fill="FFFFFF"/>
          <w:lang w:val="zh-CN"/>
        </w:rPr>
        <w:t>目标实现。</w:t>
      </w:r>
      <w:r>
        <w:rPr>
          <w:rFonts w:hint="default" w:ascii="Times New Roman" w:hAnsi="Times New Roman" w:eastAsia="仿宋_GB2312" w:cs="Times New Roman"/>
          <w:b/>
          <w:bCs/>
          <w:color w:val="000000"/>
          <w:kern w:val="0"/>
          <w:sz w:val="32"/>
          <w:szCs w:val="32"/>
          <w:highlight w:val="none"/>
          <w:shd w:val="clear" w:color="auto" w:fill="FFFFFF"/>
          <w:lang w:val="en-US" w:eastAsia="zh-CN"/>
        </w:rPr>
        <w:t>一是政治引领筑牢根基。</w:t>
      </w:r>
      <w:r>
        <w:rPr>
          <w:rFonts w:hint="default" w:ascii="Times New Roman" w:hAnsi="Times New Roman" w:eastAsia="仿宋_GB2312" w:cs="Times New Roman"/>
          <w:color w:val="000000"/>
          <w:kern w:val="0"/>
          <w:sz w:val="32"/>
          <w:szCs w:val="32"/>
          <w:highlight w:val="none"/>
          <w:shd w:val="clear" w:color="auto" w:fill="FFFFFF"/>
          <w:lang w:val="en-US" w:eastAsia="zh-CN"/>
        </w:rPr>
        <w:t>坚持把学习贯彻习近平新时代中国特色社会主义思想作为首要政治任务，严格落实党委（党组）理论学习中心组 “第一议题” 制度，通过 “联学 + 列席旁听” 机制实现 86 个州直部门全覆盖督导。通过 “领导干部带头讲 + 专业讲师集中讲 + 共建组分散讲” 模式，开展党的二十届三中全会精神宣讲 200 余场次。</w:t>
      </w:r>
      <w:r>
        <w:rPr>
          <w:rFonts w:hint="default" w:ascii="Times New Roman" w:hAnsi="Times New Roman" w:eastAsia="仿宋_GB2312" w:cs="Times New Roman"/>
          <w:b/>
          <w:bCs/>
          <w:color w:val="000000"/>
          <w:kern w:val="0"/>
          <w:sz w:val="32"/>
          <w:szCs w:val="32"/>
          <w:highlight w:val="none"/>
          <w:shd w:val="clear" w:color="auto" w:fill="FFFFFF"/>
          <w:lang w:val="en-US" w:eastAsia="zh-CN"/>
        </w:rPr>
        <w:t>二是组织建设提质增效。</w:t>
      </w:r>
      <w:r>
        <w:rPr>
          <w:rFonts w:hint="default" w:ascii="Times New Roman" w:hAnsi="Times New Roman" w:eastAsia="仿宋_GB2312" w:cs="Times New Roman"/>
          <w:color w:val="000000"/>
          <w:kern w:val="0"/>
          <w:sz w:val="32"/>
          <w:szCs w:val="32"/>
          <w:highlight w:val="none"/>
          <w:shd w:val="clear" w:color="auto" w:fill="FFFFFF"/>
          <w:lang w:val="en-US" w:eastAsia="zh-CN"/>
        </w:rPr>
        <w:t>全年发展党员 81 名、转正 79 名，完成 103 名入党积极分子培训，发放 “光荣在党 50 年” 纪念章 61 枚，落实党内帮扶资金 11.4 万元。深化 “净土先锋” 党建品牌建设，构建 “1+N” 矩阵体系，培育 25 个特色子品牌，通过 “现场观摩 + 经验交流” 推动 13 个部门党建与业务深度融合。推进 “四强” 党支部建设，实现 10 个部门 “一把手” 兼任支部书记，州公安局政治安全保卫党支部获评全省先进基层党组织。创新党员 “政治生日” 短信提醒机制，全年 5561 名党员获个性化问候。</w:t>
      </w:r>
      <w:r>
        <w:rPr>
          <w:rFonts w:hint="default" w:ascii="Times New Roman" w:hAnsi="Times New Roman" w:eastAsia="仿宋_GB2312" w:cs="Times New Roman"/>
          <w:b/>
          <w:bCs/>
          <w:color w:val="000000"/>
          <w:kern w:val="0"/>
          <w:sz w:val="32"/>
          <w:szCs w:val="32"/>
          <w:highlight w:val="none"/>
          <w:shd w:val="clear" w:color="auto" w:fill="FFFFFF"/>
          <w:lang w:val="en-US" w:eastAsia="zh-CN"/>
        </w:rPr>
        <w:t>三是服务大局彰显担当。</w:t>
      </w:r>
      <w:r>
        <w:rPr>
          <w:rFonts w:hint="default" w:ascii="Times New Roman" w:hAnsi="Times New Roman" w:eastAsia="仿宋_GB2312" w:cs="Times New Roman"/>
          <w:color w:val="000000"/>
          <w:kern w:val="0"/>
          <w:sz w:val="32"/>
          <w:szCs w:val="32"/>
          <w:highlight w:val="none"/>
          <w:shd w:val="clear" w:color="auto" w:fill="FFFFFF"/>
          <w:lang w:val="en-US" w:eastAsia="zh-CN"/>
        </w:rPr>
        <w:t>组建机关党员志愿服务队，深化社区 “双报到” 三单模式，推动 24 项民生需求落地。优化调整 134 名驻村干部，开展州级示范培训 1 期、县级培训 20 余期，实现 269 名驻村队员全覆盖轮训。建立 13 个党建共建组，组织 6500 余名党员开展 “要事共商、资源共享” 活动。创新开展 “爱心爸妈” 结对助学，36 名厅级干部带头、137 个部门结对 443 名失辍学儿童，构建 “联、动、暖” 关爱体系。</w:t>
      </w:r>
      <w:r>
        <w:rPr>
          <w:rFonts w:hint="default" w:ascii="Times New Roman" w:hAnsi="Times New Roman" w:eastAsia="仿宋_GB2312" w:cs="Times New Roman"/>
          <w:b/>
          <w:bCs/>
          <w:color w:val="000000"/>
          <w:kern w:val="0"/>
          <w:sz w:val="32"/>
          <w:szCs w:val="32"/>
          <w:highlight w:val="none"/>
          <w:shd w:val="clear" w:color="auto" w:fill="FFFFFF"/>
          <w:lang w:val="en-US" w:eastAsia="zh-CN"/>
        </w:rPr>
        <w:t>四是清廉机关纵深推进。</w:t>
      </w:r>
      <w:r>
        <w:rPr>
          <w:rFonts w:hint="default" w:ascii="Times New Roman" w:hAnsi="Times New Roman" w:eastAsia="仿宋_GB2312" w:cs="Times New Roman"/>
          <w:color w:val="000000"/>
          <w:kern w:val="0"/>
          <w:sz w:val="32"/>
          <w:szCs w:val="32"/>
          <w:highlight w:val="none"/>
          <w:shd w:val="clear" w:color="auto" w:fill="FFFFFF"/>
          <w:lang w:val="en-US" w:eastAsia="zh-CN"/>
        </w:rPr>
        <w:t>开展机关纪委 “五化” 问题专项整治，建立联动工作机制，组织纪检干部跟班学习。紧盯节日 “四风” 问题，发送廉洁短信 5000 余条，实现公务活动扫码支付全覆盖。完善 “四分” 考核体系，开展 95 个部门党建责任制调研，审理违纪案件 21 件，完成 38 名受处分干部教育回访。创新 “指尖微党建” 监督平台，推动作风建设常态化。五是能力提升精准赋能。举办党纪学习教育专题班，发放《条例》6400 余册，实现县处级干部网络培训全覆盖。分层分类开展党组织书记、党务干部等 6 类示范培训，覆盖 412 人次。创新举办第五届机关公文写作技能大赛，95 名选手以赛促学，搭建青年干部成长平台。</w:t>
      </w:r>
    </w:p>
    <w:p w14:paraId="1E4873B1">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仿宋_GB2312"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方正仿宋_GB2312" w:cs="Times New Roman"/>
          <w:color w:val="000000"/>
          <w:kern w:val="0"/>
          <w:sz w:val="32"/>
          <w:szCs w:val="32"/>
          <w:highlight w:val="none"/>
          <w:shd w:val="clear" w:color="auto" w:fill="FFFFFF"/>
          <w:lang w:val="en-US" w:eastAsia="zh-CN"/>
        </w:rPr>
        <w:t>州直机关工委2024年末资产220.18元，累计折旧170.18万元，资产净值50万元。2023年工作未实施政府采购项目、不涉及债券资金及政府采购购买服务。</w:t>
      </w:r>
    </w:p>
    <w:p w14:paraId="1F87906D">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b/>
          <w:bCs/>
          <w:sz w:val="32"/>
          <w:szCs w:val="32"/>
          <w:lang w:val="zh-CN"/>
        </w:rPr>
        <w:t>（四）绩效结果应用情况。</w:t>
      </w:r>
      <w:r>
        <w:rPr>
          <w:rFonts w:hint="default" w:ascii="Times New Roman" w:hAnsi="Times New Roman" w:eastAsia="仿宋_GB2312" w:cs="Times New Roman"/>
          <w:color w:val="000000"/>
          <w:kern w:val="0"/>
          <w:sz w:val="32"/>
          <w:szCs w:val="32"/>
          <w:highlight w:val="none"/>
          <w:shd w:val="clear" w:color="auto" w:fill="FFFFFF"/>
          <w:lang w:val="en-US" w:eastAsia="zh-CN"/>
        </w:rPr>
        <w:t>通过全面开展部门整体支出绩效评价，强化了我委财政支出绩效管理，进一步科学合理编制年度预算，切实发挥了财政资金资源配置作用。</w:t>
      </w:r>
    </w:p>
    <w:p w14:paraId="34E2212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14:paraId="3019F3EB">
      <w:pPr>
        <w:widowControl/>
        <w:adjustRightInd w:val="0"/>
        <w:snapToGrid w:val="0"/>
        <w:spacing w:line="580" w:lineRule="exact"/>
        <w:ind w:firstLine="643" w:firstLineChars="200"/>
        <w:contextualSpacing/>
        <w:jc w:val="left"/>
        <w:rPr>
          <w:rFonts w:hint="default" w:ascii="Times New Roman" w:hAnsi="Times New Roman" w:eastAsia="仿宋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default" w:ascii="Times New Roman" w:hAnsi="Times New Roman" w:eastAsia="仿宋_GB2312" w:cs="Times New Roman"/>
          <w:color w:val="000000"/>
          <w:kern w:val="0"/>
          <w:sz w:val="32"/>
          <w:szCs w:val="32"/>
          <w:shd w:val="clear" w:color="auto" w:fill="FFFFFF"/>
          <w:lang w:val="en-US" w:eastAsia="zh-CN" w:bidi="ar-SA"/>
        </w:rPr>
        <w:t>2024年度，我委根据年初工作规划和预算编制计划，积极履职、强化管理，较好地完成了年度工作目标，通过加强预算收支管理、建立健全内部控制制度、梳理内部管理流程，部门整体支出管理情况得到提升。2024年度部门整体支出绩效评价自评</w:t>
      </w:r>
      <w:r>
        <w:rPr>
          <w:rFonts w:hint="default" w:ascii="Times New Roman" w:hAnsi="Times New Roman" w:eastAsia="仿宋_GB2312" w:cs="Times New Roman"/>
          <w:color w:val="000000"/>
          <w:kern w:val="0"/>
          <w:sz w:val="32"/>
          <w:szCs w:val="32"/>
          <w:highlight w:val="none"/>
          <w:shd w:val="clear" w:color="auto" w:fill="FFFFFF"/>
          <w:lang w:val="en-US" w:eastAsia="zh-CN" w:bidi="ar-SA"/>
        </w:rPr>
        <w:t>得分为98分。</w:t>
      </w:r>
    </w:p>
    <w:p w14:paraId="05317209">
      <w:pPr>
        <w:widowControl/>
        <w:adjustRightInd w:val="0"/>
        <w:snapToGrid w:val="0"/>
        <w:spacing w:line="580" w:lineRule="exact"/>
        <w:ind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0234BCA0">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bidi="ar-SA"/>
        </w:rPr>
      </w:pPr>
      <w:r>
        <w:rPr>
          <w:rFonts w:hint="default" w:ascii="Times New Roman" w:hAnsi="Times New Roman" w:eastAsia="仿宋_GB2312" w:cs="Times New Roman"/>
          <w:color w:val="000000"/>
          <w:kern w:val="0"/>
          <w:sz w:val="32"/>
          <w:szCs w:val="32"/>
          <w:shd w:val="clear" w:color="auto" w:fill="FFFFFF"/>
          <w:lang w:val="en-US" w:eastAsia="zh-CN" w:bidi="ar-SA"/>
        </w:rPr>
        <w:t>部分项目预算执行进度相对滞后。</w:t>
      </w:r>
    </w:p>
    <w:p w14:paraId="3A3D314D">
      <w:pPr>
        <w:widowControl/>
        <w:numPr>
          <w:ilvl w:val="0"/>
          <w:numId w:val="2"/>
        </w:numPr>
        <w:adjustRightInd w:val="0"/>
        <w:snapToGrid w:val="0"/>
        <w:spacing w:line="580" w:lineRule="exact"/>
        <w:ind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p>
    <w:p w14:paraId="466BC666">
      <w:pPr>
        <w:widowControl/>
        <w:adjustRightInd w:val="0"/>
        <w:snapToGrid w:val="0"/>
        <w:spacing w:line="580" w:lineRule="exact"/>
        <w:ind w:firstLine="640" w:firstLineChars="200"/>
        <w:contextualSpacing/>
        <w:jc w:val="left"/>
        <w:rPr>
          <w:rFonts w:hint="default" w:ascii="Times New Roman" w:hAnsi="Times New Roman" w:eastAsia="仿宋_GB2312" w:cs="Times New Roman"/>
          <w:sz w:val="32"/>
          <w:lang w:val="zh-CN" w:bidi="ar"/>
        </w:rPr>
      </w:pPr>
      <w:bookmarkStart w:id="57" w:name="_Hlk110546638"/>
      <w:r>
        <w:rPr>
          <w:rFonts w:hint="default" w:ascii="Times New Roman" w:hAnsi="Times New Roman" w:eastAsia="仿宋_GB2312" w:cs="Times New Roman"/>
          <w:color w:val="000000"/>
          <w:kern w:val="0"/>
          <w:sz w:val="32"/>
          <w:szCs w:val="32"/>
          <w:shd w:val="clear" w:color="auto" w:fill="FFFFFF"/>
          <w:lang w:val="en-US" w:eastAsia="zh-CN" w:bidi="ar-SA"/>
        </w:rPr>
        <w:t>一是认真做好项目的执行，根据年初预算安排和项目实施进度等认真编制用款计划，待项目完成后，加快资金拨付。二是根据项目执行情况，及时调整项目，加强项目全过程跟踪管理</w:t>
      </w:r>
      <w:bookmarkEnd w:id="57"/>
      <w:r>
        <w:rPr>
          <w:rFonts w:hint="default" w:ascii="Times New Roman" w:hAnsi="Times New Roman" w:eastAsia="仿宋_GB2312" w:cs="Times New Roman"/>
          <w:color w:val="000000"/>
          <w:kern w:val="0"/>
          <w:sz w:val="32"/>
          <w:szCs w:val="32"/>
          <w:shd w:val="clear" w:color="auto" w:fill="FFFFFF"/>
          <w:lang w:val="en-US" w:eastAsia="zh-CN" w:bidi="ar-SA"/>
        </w:rPr>
        <w:t>。</w:t>
      </w:r>
    </w:p>
    <w:p w14:paraId="5B72C019">
      <w:pPr>
        <w:pStyle w:val="8"/>
        <w:spacing w:line="560" w:lineRule="exact"/>
        <w:ind w:left="0" w:leftChars="0" w:firstLine="640"/>
        <w:rPr>
          <w:rFonts w:hint="default" w:ascii="Times New Roman" w:hAnsi="Times New Roman" w:eastAsia="仿宋_GB2312" w:cs="Times New Roman"/>
          <w:sz w:val="32"/>
          <w:lang w:val="zh-CN" w:bidi="ar"/>
        </w:rPr>
      </w:pPr>
      <w:r>
        <w:rPr>
          <w:rFonts w:hint="default" w:ascii="Times New Roman" w:hAnsi="Times New Roman" w:eastAsia="仿宋_GB2312" w:cs="Times New Roman"/>
          <w:sz w:val="32"/>
          <w:lang w:val="zh-CN" w:bidi="ar"/>
        </w:rPr>
        <w:t>附表：</w:t>
      </w:r>
      <w:r>
        <w:rPr>
          <w:rFonts w:hint="default" w:ascii="Times New Roman" w:hAnsi="Times New Roman" w:eastAsia="仿宋_GB2312" w:cs="Times New Roman"/>
          <w:sz w:val="32"/>
          <w:lang w:bidi="ar"/>
        </w:rPr>
        <w:t>部门预算项目支出绩效自评表（2024年度）</w:t>
      </w:r>
    </w:p>
    <w:p w14:paraId="6FA3E27D">
      <w:pPr>
        <w:pStyle w:val="8"/>
        <w:spacing w:line="560" w:lineRule="exact"/>
        <w:ind w:left="0" w:leftChars="0" w:firstLine="0" w:firstLineChars="0"/>
        <w:rPr>
          <w:rFonts w:hint="default" w:ascii="Times New Roman" w:hAnsi="Times New Roman" w:cs="Times New Roman"/>
          <w:sz w:val="32"/>
          <w:highlight w:val="yellow"/>
          <w:lang w:val="zh-CN"/>
        </w:rPr>
      </w:pPr>
    </w:p>
    <w:p w14:paraId="1F8F5A0F">
      <w:pPr>
        <w:keepNext w:val="0"/>
        <w:keepLines w:val="0"/>
        <w:pageBreakBefore w:val="0"/>
        <w:kinsoku/>
        <w:wordWrap/>
        <w:overflowPunct/>
        <w:topLinePunct w:val="0"/>
        <w:autoSpaceDE/>
        <w:autoSpaceDN/>
        <w:bidi w:val="0"/>
        <w:spacing w:line="578" w:lineRule="exact"/>
        <w:ind w:firstLine="4480" w:firstLineChars="1400"/>
        <w:textAlignment w:val="auto"/>
        <w:rPr>
          <w:rFonts w:hint="default" w:ascii="Times New Roman" w:hAnsi="Times New Roman" w:eastAsia="仿宋_GB2312" w:cs="Times New Roman"/>
          <w:kern w:val="2"/>
          <w:sz w:val="32"/>
          <w:szCs w:val="24"/>
          <w:highlight w:val="none"/>
          <w:lang w:val="en-US" w:eastAsia="zh-CN" w:bidi="ar-SA"/>
        </w:rPr>
      </w:pPr>
    </w:p>
    <w:tbl>
      <w:tblPr>
        <w:tblStyle w:val="16"/>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290"/>
        <w:gridCol w:w="1058"/>
        <w:gridCol w:w="926"/>
        <w:gridCol w:w="1113"/>
      </w:tblGrid>
      <w:tr w14:paraId="25472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196D4FF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微软雅黑" w:cs="Times New Roman"/>
                <w:i w:val="0"/>
                <w:color w:val="000000"/>
                <w:kern w:val="0"/>
                <w:sz w:val="44"/>
                <w:szCs w:val="44"/>
                <w:u w:val="none"/>
                <w:lang w:val="en-US" w:eastAsia="zh-CN" w:bidi="ar"/>
              </w:rPr>
              <w:t>部门预算项目支出绩效自评表</w:t>
            </w:r>
          </w:p>
        </w:tc>
      </w:tr>
      <w:tr w14:paraId="4E3EB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6B9048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（2024年度）</w:t>
            </w:r>
          </w:p>
        </w:tc>
      </w:tr>
      <w:tr w14:paraId="65F29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164FDDCF">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3410C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9C9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E23B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中共阿坝州直属机关工作委员会</w:t>
            </w:r>
          </w:p>
        </w:tc>
      </w:tr>
      <w:tr w14:paraId="34B52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246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26A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44B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A98D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7BED0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899C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379C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669.35</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350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669.35</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0970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0</w:t>
            </w:r>
          </w:p>
        </w:tc>
      </w:tr>
      <w:tr w14:paraId="6AE3A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0A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52FBA0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079B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一是加强政治建设。督促州直部门（单位）党组织把带头做到“两个维护”作为首要政治纪律，</w:t>
            </w:r>
            <w:r>
              <w:rPr>
                <w:rFonts w:hint="eastAsia" w:cs="Times New Roman"/>
                <w:i w:val="0"/>
                <w:color w:val="000000"/>
                <w:kern w:val="0"/>
                <w:sz w:val="24"/>
                <w:szCs w:val="24"/>
                <w:u w:val="none"/>
                <w:lang w:val="en-US" w:eastAsia="zh-CN" w:bidi="ar"/>
              </w:rPr>
              <w:t>深入开展学习贯彻习近平新时代中国特色社会主义思想主题教育</w:t>
            </w:r>
            <w:r>
              <w:rPr>
                <w:rFonts w:hint="default" w:ascii="Times New Roman" w:hAnsi="Times New Roman" w:eastAsia="宋体" w:cs="Times New Roman"/>
                <w:i w:val="0"/>
                <w:color w:val="000000"/>
                <w:kern w:val="0"/>
                <w:sz w:val="24"/>
                <w:szCs w:val="24"/>
                <w:u w:val="none"/>
                <w:lang w:val="en-US" w:eastAsia="zh-CN" w:bidi="ar"/>
              </w:rPr>
              <w:t>、优良传统教育和形势政策教育，引导机关党员干部严守党的政治纪律和政治规矩。</w:t>
            </w:r>
          </w:p>
          <w:p w14:paraId="37C8078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二是加强宣传教育。深入开展对党忠诚教育、优良传统教育和形势政策教育，用活用好“指尖微党建”平台，引导机关党员干部严守党的政治纪律和政治规矩。</w:t>
            </w:r>
          </w:p>
          <w:p w14:paraId="46F4BFF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三是强化基层组织</w:t>
            </w:r>
            <w:r>
              <w:rPr>
                <w:rFonts w:hint="default" w:ascii="Times New Roman" w:hAnsi="Times New Roman" w:eastAsia="宋体" w:cs="Times New Roman"/>
                <w:i w:val="0"/>
                <w:color w:val="000000"/>
                <w:kern w:val="0"/>
                <w:sz w:val="24"/>
                <w:szCs w:val="24"/>
                <w:u w:val="none"/>
                <w:lang w:val="zh-TW" w:eastAsia="zh-CN" w:bidi="ar"/>
              </w:rPr>
              <w:t>。</w:t>
            </w:r>
            <w:r>
              <w:rPr>
                <w:rFonts w:hint="default" w:ascii="Times New Roman" w:hAnsi="Times New Roman" w:eastAsia="宋体" w:cs="Times New Roman"/>
                <w:i w:val="0"/>
                <w:color w:val="000000"/>
                <w:kern w:val="0"/>
                <w:sz w:val="24"/>
                <w:szCs w:val="24"/>
                <w:u w:val="none"/>
                <w:lang w:val="en-US" w:eastAsia="zh-CN" w:bidi="ar"/>
              </w:rPr>
              <w:t>深化“净土先锋”机关党建品牌创建，分层分类开展党员教育培训，强化机关党建分类指导、党内关怀帮扶，常态开展“创先争优”活动。</w:t>
            </w:r>
          </w:p>
          <w:p w14:paraId="1F36B2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四是管好驻村干部。进一步明确联系帮扶力量职责任务，压紧压实工作责任，做好驻村帮扶工作考核、督查等。</w:t>
            </w:r>
          </w:p>
          <w:p w14:paraId="6048078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五是强化政治监督。聚焦“两个维护”，加强正风肃纪监督检查，推动全面从严治党主体责任落实，开展廉洁从政教育。</w:t>
            </w:r>
          </w:p>
        </w:tc>
      </w:tr>
      <w:tr w14:paraId="22C6E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291727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5CC9D2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C4F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C4D7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60D65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16324A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8A1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纪检工作</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D9FD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cs="Times New Roman"/>
                <w:lang w:val="en-US" w:eastAsia="zh-CN"/>
              </w:rPr>
            </w:pPr>
            <w:r>
              <w:rPr>
                <w:rFonts w:hint="default" w:ascii="Times New Roman" w:hAnsi="Times New Roman" w:eastAsia="宋体" w:cs="Times New Roman"/>
                <w:i w:val="0"/>
                <w:color w:val="000000"/>
                <w:kern w:val="0"/>
                <w:sz w:val="24"/>
                <w:szCs w:val="24"/>
                <w:u w:val="none"/>
                <w:lang w:val="en-US" w:eastAsia="zh-CN" w:bidi="ar"/>
              </w:rPr>
              <w:t>认真落实党风廉政建设责任制，审理州直机关科级及以下党员干部、公职人员违纪违法案件21件，举办州直机关纪检干部综合业务提升培训班。</w:t>
            </w:r>
          </w:p>
        </w:tc>
      </w:tr>
      <w:tr w14:paraId="3A532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7" w:hRule="atLeast"/>
          <w:jc w:val="center"/>
        </w:trPr>
        <w:tc>
          <w:tcPr>
            <w:tcW w:w="1309" w:type="dxa"/>
            <w:vMerge w:val="continue"/>
            <w:tcBorders>
              <w:left w:val="single" w:color="000000" w:sz="4" w:space="0"/>
              <w:right w:val="single" w:color="000000" w:sz="4" w:space="0"/>
            </w:tcBorders>
            <w:shd w:val="clear" w:color="auto" w:fill="auto"/>
            <w:vAlign w:val="center"/>
          </w:tcPr>
          <w:p w14:paraId="7CD04AB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26EB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统战群工工作</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57D55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cs="Times New Roman"/>
              </w:rPr>
            </w:pPr>
            <w:r>
              <w:rPr>
                <w:rFonts w:hint="default" w:ascii="Times New Roman" w:hAnsi="Times New Roman" w:eastAsia="宋体" w:cs="Times New Roman"/>
                <w:i w:val="0"/>
                <w:color w:val="000000"/>
                <w:kern w:val="0"/>
                <w:sz w:val="24"/>
                <w:szCs w:val="24"/>
                <w:u w:val="none"/>
                <w:lang w:val="en-US" w:eastAsia="zh-CN" w:bidi="ar"/>
              </w:rPr>
              <w:t>推动群团组织依法依章程开展工作、发挥作用，指导12个群团组织按期换届，举办妇女专题讲座，动员号召139个部门（单位）429人主动报名参与爱心爸妈结对帮扶。全覆盖开展州直部门（单位）、州属企事业单位科级及以下干部职工因私出国（境）证件的清理自查工作。</w:t>
            </w:r>
          </w:p>
        </w:tc>
      </w:tr>
      <w:tr w14:paraId="48000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65F881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A0C7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党建品牌创建及机关党建联动工作</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228F77">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深入推动机关党建与业务工作深度融合，以“现场观摩+大会”相结合的方式，盘点总结2023年品牌建设成效，抓实2024年13个部门品牌建设工作，分行业、按类别梯次培育具有阿坝机关特色、部门特点的子品牌25个，形成“1+N”党建品牌创建矩阵。</w:t>
            </w:r>
          </w:p>
        </w:tc>
      </w:tr>
      <w:tr w14:paraId="4A974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08" w:hRule="atLeast"/>
          <w:jc w:val="center"/>
        </w:trPr>
        <w:tc>
          <w:tcPr>
            <w:tcW w:w="1309" w:type="dxa"/>
            <w:vMerge w:val="continue"/>
            <w:tcBorders>
              <w:left w:val="single" w:color="000000" w:sz="4" w:space="0"/>
              <w:right w:val="single" w:color="000000" w:sz="4" w:space="0"/>
            </w:tcBorders>
            <w:shd w:val="clear" w:color="auto" w:fill="auto"/>
            <w:vAlign w:val="center"/>
          </w:tcPr>
          <w:p w14:paraId="6043D4A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C819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州驻村帮扶工作</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27BCF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督促指导州级定点帮扶部门（单位）先后深入定点帮扶联系村开展调研100余次，通过“新增派一批+轮换一批+调整一批”方式，采取“个人自荐+组织推荐+集中审核”，先后2批次，优化调整选派政治素质好、工作能力强、敢于担当的驻村干部134名，深入红原、阿坝、若尔盖、松潘、九寨沟、金川、马尔康7县20个乡镇，实地调研察看驻村干部在岗履职、后勤保障落实等情况。</w:t>
            </w:r>
          </w:p>
        </w:tc>
      </w:tr>
      <w:tr w14:paraId="577BF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4" w:hRule="atLeast"/>
          <w:jc w:val="center"/>
        </w:trPr>
        <w:tc>
          <w:tcPr>
            <w:tcW w:w="1309" w:type="dxa"/>
            <w:vMerge w:val="continue"/>
            <w:tcBorders>
              <w:left w:val="single" w:color="000000" w:sz="4" w:space="0"/>
              <w:right w:val="single" w:color="000000" w:sz="4" w:space="0"/>
            </w:tcBorders>
            <w:shd w:val="clear" w:color="auto" w:fill="auto"/>
            <w:vAlign w:val="center"/>
          </w:tcPr>
          <w:p w14:paraId="00E28FA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98E4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办公设备购置</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A5F8E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通过公开招标方式完成13台空调设备采购工作，采购空调已完成安装投入使用，有效解决了冬季办公区取暖的问题。</w:t>
            </w:r>
          </w:p>
        </w:tc>
      </w:tr>
      <w:tr w14:paraId="741E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BAFF84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82E5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州直机关党员干部教育培训工作</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265D5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分层分类举办党组织书记、党务干部、入党积极分子、青年理论骨干、纪检干部、驻村干部等示范培训班7期、培训731人次。</w:t>
            </w:r>
          </w:p>
        </w:tc>
      </w:tr>
      <w:tr w14:paraId="3E697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719EB42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0DF6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党建调研工作</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6A6E7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深化机关党建“四分”工作机制，对95个部门（单位）党组（党委）及小金县、若尔盖县开展履行党建责任制、推动党组织标准化规范化实战化调研指导。</w:t>
            </w:r>
          </w:p>
        </w:tc>
      </w:tr>
      <w:tr w14:paraId="14C00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718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2C43A9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3C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E8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70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A8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27EE95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CA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5B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57F9AD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A1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7D8738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00115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FD74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969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C7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315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参训人数</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EA77">
            <w:pPr>
              <w:keepNext w:val="0"/>
              <w:keepLines w:val="0"/>
              <w:pageBreakBefore w:val="0"/>
              <w:widowControl/>
              <w:suppressLineNumbers w:val="0"/>
              <w:kinsoku/>
              <w:wordWrap/>
              <w:overflowPunct/>
              <w:topLinePunct w:val="0"/>
              <w:autoSpaceDE/>
              <w:autoSpaceDN/>
              <w:bidi w:val="0"/>
              <w:adjustRightInd/>
              <w:snapToGrid/>
              <w:spacing w:line="300" w:lineRule="exact"/>
              <w:ind w:firstLine="457" w:firstLineChars="0"/>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58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710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3B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8A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25</w:t>
            </w:r>
          </w:p>
        </w:tc>
        <w:tc>
          <w:tcPr>
            <w:tcW w:w="1113" w:type="dxa"/>
            <w:tcBorders>
              <w:left w:val="single" w:color="000000" w:sz="4" w:space="0"/>
              <w:bottom w:val="single" w:color="000000" w:sz="4" w:space="0"/>
              <w:right w:val="single" w:color="000000" w:sz="4" w:space="0"/>
            </w:tcBorders>
            <w:shd w:val="clear" w:color="auto" w:fill="auto"/>
            <w:vAlign w:val="center"/>
          </w:tcPr>
          <w:p w14:paraId="358A2D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826</w:t>
            </w:r>
          </w:p>
        </w:tc>
      </w:tr>
      <w:tr w14:paraId="6FD83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26B3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711A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AF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B07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en-US" w:eastAsia="zh-CN"/>
              </w:rPr>
              <w:t>参训人员</w:t>
            </w:r>
            <w:r>
              <w:rPr>
                <w:rFonts w:hint="default" w:ascii="Times New Roman" w:hAnsi="Times New Roman" w:eastAsia="宋体" w:cs="Times New Roman"/>
                <w:i w:val="0"/>
                <w:color w:val="000000"/>
                <w:sz w:val="24"/>
                <w:szCs w:val="24"/>
                <w:u w:val="none"/>
              </w:rPr>
              <w:t>培训效果</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F90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en-US" w:eastAsia="zh-CN"/>
              </w:rPr>
              <w:t>定性</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BA4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全面提升驻村干部履职能力、党务工作者党建业务水平、青年干部理论素养及公文写作能力。</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4BB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31B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25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D97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p>
        </w:tc>
      </w:tr>
      <w:tr w14:paraId="283DD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48C6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A864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4E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880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项目完成时限</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CF8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定性</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043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2024年12月前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96A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02D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25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F0D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p>
        </w:tc>
      </w:tr>
      <w:tr w14:paraId="47D55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6"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7615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60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7A6C26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713256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AB9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党建督导的效果</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8F4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定性</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0C6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 xml:space="preserve">通过党建督导 “三会一课”、主题党日等制度落实，基层党组织标准化显著提高。 </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CE1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F84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25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187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r>
      <w:tr w14:paraId="1D891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8"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1ACF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F8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C3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76F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服务对象满意度</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14B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lang w:val="en-US" w:eastAsia="zh-CN"/>
              </w:rPr>
              <w:t>定性</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E9E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提</w:t>
            </w:r>
            <w:r>
              <w:rPr>
                <w:rFonts w:hint="default" w:ascii="Times New Roman" w:hAnsi="Times New Roman" w:eastAsia="宋体" w:cs="Times New Roman"/>
                <w:i w:val="0"/>
                <w:color w:val="000000"/>
                <w:kern w:val="0"/>
                <w:sz w:val="24"/>
                <w:szCs w:val="24"/>
                <w:u w:val="none"/>
                <w:lang w:val="en-US" w:eastAsia="zh-CN" w:bidi="ar"/>
              </w:rPr>
              <w:t>升办公区域环境，激发干部职工干事热情，满意度达100%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50C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6BF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lang w:val="en-US" w:eastAsia="zh-CN"/>
              </w:rPr>
              <w:t>25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34E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p>
        </w:tc>
      </w:tr>
    </w:tbl>
    <w:p w14:paraId="0BF36035">
      <w:pPr>
        <w:rPr>
          <w:rFonts w:hint="default" w:ascii="Times New Roman" w:hAnsi="Times New Roman" w:eastAsia="黑体" w:cs="Times New Roman"/>
          <w:kern w:val="0"/>
          <w:sz w:val="32"/>
          <w:szCs w:val="32"/>
          <w:shd w:val="clear" w:color="auto" w:fill="FFFFFF"/>
          <w:lang w:val="en-US" w:eastAsia="zh-CN"/>
        </w:rPr>
      </w:pPr>
    </w:p>
    <w:p w14:paraId="1A2CB258">
      <w:pPr>
        <w:pStyle w:val="2"/>
        <w:rPr>
          <w:rFonts w:hint="default" w:ascii="Times New Roman" w:hAnsi="Times New Roman" w:eastAsia="黑体" w:cs="Times New Roman"/>
          <w:kern w:val="0"/>
          <w:sz w:val="32"/>
          <w:szCs w:val="32"/>
          <w:shd w:val="clear" w:color="auto" w:fill="FFFFFF"/>
          <w:lang w:val="en-US" w:eastAsia="zh-CN"/>
        </w:rPr>
      </w:pPr>
    </w:p>
    <w:p w14:paraId="040132E1">
      <w:pPr>
        <w:rPr>
          <w:rFonts w:hint="default" w:ascii="Times New Roman" w:hAnsi="Times New Roman" w:eastAsia="黑体" w:cs="Times New Roman"/>
          <w:kern w:val="0"/>
          <w:sz w:val="32"/>
          <w:szCs w:val="32"/>
          <w:shd w:val="clear" w:color="auto" w:fill="FFFFFF"/>
          <w:lang w:val="en-US" w:eastAsia="zh-CN"/>
        </w:rPr>
      </w:pPr>
    </w:p>
    <w:p w14:paraId="5B703697">
      <w:pPr>
        <w:pStyle w:val="2"/>
        <w:rPr>
          <w:rFonts w:hint="default" w:ascii="Times New Roman" w:hAnsi="Times New Roman" w:eastAsia="黑体" w:cs="Times New Roman"/>
          <w:kern w:val="0"/>
          <w:sz w:val="32"/>
          <w:szCs w:val="32"/>
          <w:shd w:val="clear" w:color="auto" w:fill="FFFFFF"/>
          <w:lang w:val="en-US" w:eastAsia="zh-CN"/>
        </w:rPr>
      </w:pPr>
    </w:p>
    <w:p w14:paraId="608D9CE7">
      <w:pPr>
        <w:pStyle w:val="2"/>
        <w:ind w:left="0" w:leftChars="0" w:firstLine="0" w:firstLineChars="0"/>
        <w:rPr>
          <w:rFonts w:hint="default" w:ascii="Times New Roman" w:hAnsi="Times New Roman" w:eastAsia="黑体" w:cs="Times New Roman"/>
          <w:kern w:val="0"/>
          <w:sz w:val="32"/>
          <w:szCs w:val="32"/>
          <w:shd w:val="clear" w:color="auto" w:fill="FFFFFF"/>
          <w:lang w:val="en-US" w:eastAsia="zh-CN"/>
        </w:rPr>
      </w:pPr>
    </w:p>
    <w:p w14:paraId="7DC0C453">
      <w:pPr>
        <w:rPr>
          <w:rFonts w:hint="default" w:ascii="Times New Roman" w:hAnsi="Times New Roman" w:cs="Times New Roman"/>
          <w:lang w:val="en-US" w:eastAsia="zh-CN"/>
        </w:rPr>
      </w:pPr>
    </w:p>
    <w:p w14:paraId="1B6BC85D">
      <w:pPr>
        <w:pStyle w:val="2"/>
        <w:ind w:left="0" w:leftChars="0" w:firstLine="0" w:firstLineChars="0"/>
        <w:rPr>
          <w:rFonts w:hint="default" w:ascii="Times New Roman" w:hAnsi="Times New Roman" w:cs="Times New Roman"/>
          <w:lang w:val="en-US" w:eastAsia="zh-CN"/>
        </w:rPr>
      </w:pPr>
    </w:p>
    <w:p w14:paraId="0627CCBC">
      <w:pPr>
        <w:bidi w:val="0"/>
        <w:rPr>
          <w:rFonts w:hint="default" w:ascii="Times New Roman" w:hAnsi="Times New Roman" w:cs="Times New Roman"/>
          <w:lang w:val="en-US" w:eastAsia="zh-CN"/>
        </w:rPr>
      </w:pPr>
    </w:p>
    <w:p w14:paraId="41524894">
      <w:pPr>
        <w:bidi w:val="0"/>
        <w:jc w:val="left"/>
        <w:rPr>
          <w:rFonts w:hint="default" w:ascii="Times New Roman" w:hAnsi="Times New Roman" w:cs="Times New Roman"/>
          <w:lang w:val="en-US" w:eastAsia="zh-CN"/>
        </w:rPr>
        <w:sectPr>
          <w:footerReference r:id="rId6" w:type="first"/>
          <w:footerReference r:id="rId5" w:type="default"/>
          <w:pgSz w:w="11906" w:h="16838"/>
          <w:pgMar w:top="1440" w:right="1800" w:bottom="1440" w:left="1800" w:header="851" w:footer="992" w:gutter="0"/>
          <w:pgNumType w:fmt="numberInDash" w:start="2"/>
          <w:cols w:space="425" w:num="1"/>
          <w:docGrid w:type="lines" w:linePitch="312" w:charSpace="0"/>
        </w:sectPr>
      </w:pPr>
    </w:p>
    <w:tbl>
      <w:tblPr>
        <w:tblStyle w:val="16"/>
        <w:tblpPr w:leftFromText="180" w:rightFromText="180" w:vertAnchor="text" w:horzAnchor="page" w:tblpX="1599" w:tblpY="-158"/>
        <w:tblOverlap w:val="never"/>
        <w:tblW w:w="13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6"/>
        <w:gridCol w:w="1838"/>
        <w:gridCol w:w="1625"/>
        <w:gridCol w:w="1999"/>
        <w:gridCol w:w="814"/>
        <w:gridCol w:w="1852"/>
        <w:gridCol w:w="547"/>
        <w:gridCol w:w="1041"/>
        <w:gridCol w:w="538"/>
        <w:gridCol w:w="875"/>
        <w:gridCol w:w="1330"/>
      </w:tblGrid>
      <w:tr w14:paraId="539C9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728F870C">
            <w:pPr>
              <w:keepNext w:val="0"/>
              <w:keepLines w:val="0"/>
              <w:widowControl/>
              <w:suppressLineNumbers w:val="0"/>
              <w:ind w:firstLine="4006" w:firstLineChars="1900"/>
              <w:jc w:val="both"/>
              <w:textAlignment w:val="center"/>
              <w:rPr>
                <w:rFonts w:hint="default" w:ascii="Times New Roman" w:hAnsi="Times New Roman" w:eastAsia="黑体" w:cs="Times New Roman"/>
                <w:b/>
                <w:bCs/>
                <w:i w:val="0"/>
                <w:iCs w:val="0"/>
                <w:color w:val="000000"/>
                <w:sz w:val="13"/>
                <w:szCs w:val="13"/>
                <w:u w:val="none"/>
              </w:rPr>
            </w:pPr>
            <w:r>
              <w:rPr>
                <w:rFonts w:hint="default" w:ascii="Times New Roman" w:hAnsi="Times New Roman" w:eastAsia="黑体" w:cs="Times New Roman"/>
                <w:b/>
                <w:bCs/>
                <w:i w:val="0"/>
                <w:iCs w:val="0"/>
                <w:color w:val="000000"/>
                <w:kern w:val="0"/>
                <w:sz w:val="21"/>
                <w:szCs w:val="21"/>
                <w:u w:val="none"/>
                <w:lang w:val="en-US" w:eastAsia="zh-CN" w:bidi="ar"/>
              </w:rPr>
              <w:t>部门预算项目支出绩效自评表（2024年度）</w:t>
            </w:r>
          </w:p>
        </w:tc>
      </w:tr>
      <w:tr w14:paraId="4CEE8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241302BB">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5F22C446">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51320021T000000048589</w:t>
            </w:r>
            <w:r>
              <w:rPr>
                <w:rFonts w:hint="eastAsia" w:cs="Times New Roman"/>
                <w:i w:val="0"/>
                <w:iCs w:val="0"/>
                <w:color w:val="000000"/>
                <w:kern w:val="0"/>
                <w:sz w:val="13"/>
                <w:szCs w:val="13"/>
                <w:u w:val="none"/>
                <w:lang w:val="en-US" w:eastAsia="zh-CN" w:bidi="ar"/>
              </w:rPr>
              <w:t>－</w:t>
            </w:r>
            <w:r>
              <w:rPr>
                <w:rFonts w:hint="default" w:ascii="Times New Roman" w:hAnsi="Times New Roman" w:eastAsia="宋体" w:cs="Times New Roman"/>
                <w:i w:val="0"/>
                <w:iCs w:val="0"/>
                <w:color w:val="000000"/>
                <w:kern w:val="0"/>
                <w:sz w:val="13"/>
                <w:szCs w:val="13"/>
                <w:u w:val="none"/>
                <w:lang w:val="en-US" w:eastAsia="zh-CN" w:bidi="ar"/>
              </w:rPr>
              <w:t>纪检工作经费</w:t>
            </w:r>
          </w:p>
        </w:tc>
      </w:tr>
      <w:tr w14:paraId="2F63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7920EBED">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62711221">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州直机关工委部门</w:t>
            </w:r>
          </w:p>
        </w:tc>
        <w:tc>
          <w:tcPr>
            <w:tcW w:w="1041" w:type="dxa"/>
            <w:tcBorders>
              <w:top w:val="nil"/>
              <w:left w:val="nil"/>
              <w:bottom w:val="nil"/>
              <w:right w:val="nil"/>
            </w:tcBorders>
            <w:noWrap w:val="0"/>
            <w:vAlign w:val="center"/>
          </w:tcPr>
          <w:p w14:paraId="7AA75FF7">
            <w:pPr>
              <w:keepNext w:val="0"/>
              <w:keepLines w:val="0"/>
              <w:widowControl/>
              <w:suppressLineNumbers w:val="0"/>
              <w:jc w:val="left"/>
              <w:textAlignment w:val="center"/>
              <w:rPr>
                <w:rFonts w:hint="default" w:ascii="Times New Roman" w:hAnsi="Times New Roman" w:eastAsia="黑体" w:cs="Times New Roman"/>
                <w:i w:val="0"/>
                <w:iCs w:val="0"/>
                <w:color w:val="000000"/>
                <w:sz w:val="13"/>
                <w:szCs w:val="13"/>
                <w:u w:val="none"/>
              </w:rPr>
            </w:pPr>
            <w:r>
              <w:rPr>
                <w:rFonts w:hint="default" w:ascii="Times New Roman" w:hAnsi="Times New Roman" w:eastAsia="黑体" w:cs="Times New Roman"/>
                <w:i w:val="0"/>
                <w:iCs w:val="0"/>
                <w:color w:val="000000"/>
                <w:kern w:val="0"/>
                <w:sz w:val="13"/>
                <w:szCs w:val="13"/>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01881C7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州直机关工委</w:t>
            </w:r>
          </w:p>
        </w:tc>
      </w:tr>
      <w:tr w14:paraId="10CB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2F5055D">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7BB62A">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23E9E7D1">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560E1C6A">
            <w:pPr>
              <w:keepNext w:val="0"/>
              <w:keepLines w:val="0"/>
              <w:widowControl/>
              <w:suppressLineNumbers w:val="0"/>
              <w:jc w:val="center"/>
              <w:textAlignment w:val="center"/>
              <w:rPr>
                <w:rFonts w:hint="default" w:ascii="Times New Roman" w:hAnsi="Times New Roman" w:eastAsia="黑体" w:cs="Times New Roman"/>
                <w:i w:val="0"/>
                <w:iCs w:val="0"/>
                <w:color w:val="000000"/>
                <w:sz w:val="13"/>
                <w:szCs w:val="13"/>
                <w:u w:val="none"/>
              </w:rPr>
            </w:pPr>
            <w:r>
              <w:rPr>
                <w:rFonts w:hint="default" w:ascii="Times New Roman" w:hAnsi="Times New Roman" w:eastAsia="黑体" w:cs="Times New Roman"/>
                <w:i w:val="0"/>
                <w:iCs w:val="0"/>
                <w:color w:val="000000"/>
                <w:kern w:val="0"/>
                <w:sz w:val="13"/>
                <w:szCs w:val="13"/>
                <w:u w:val="none"/>
                <w:lang w:val="en-US" w:eastAsia="zh-CN" w:bidi="ar"/>
              </w:rPr>
              <w:t>年度目标完成情况</w:t>
            </w:r>
          </w:p>
        </w:tc>
      </w:tr>
      <w:tr w14:paraId="299F6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081A79">
            <w:pPr>
              <w:rPr>
                <w:rFonts w:hint="default" w:ascii="Times New Roman" w:hAnsi="Times New Roman" w:eastAsia="宋体" w:cs="Times New Roman"/>
                <w:i w:val="0"/>
                <w:iCs w:val="0"/>
                <w:color w:val="000000"/>
                <w:sz w:val="13"/>
                <w:szCs w:val="13"/>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ADFCD3">
            <w:pPr>
              <w:rPr>
                <w:rFonts w:hint="default" w:ascii="Times New Roman" w:hAnsi="Times New Roman" w:eastAsia="宋体" w:cs="Times New Roman"/>
                <w:i w:val="0"/>
                <w:iCs w:val="0"/>
                <w:color w:val="000000"/>
                <w:sz w:val="13"/>
                <w:szCs w:val="13"/>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2B3F8ED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　对州直机关党群部门领导班子和班子成员落实党风廉政建设责任制开展日常监督和考核。完成州直机关科级及以下干部职工违纪违法案的审理，举办1期专题讲座。</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0354CC3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保障州直机关纪检监察工委依法依规履行职责。</w:t>
            </w:r>
          </w:p>
        </w:tc>
      </w:tr>
      <w:tr w14:paraId="0396C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5BA51A">
            <w:pP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BA172F1">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2FD822E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开展机关纪委“五化”问题专项整治，转变机关纪委干部作风，制发《机关纪委联动工作机制》，开展元旦春节、五一、国庆、中秋“四风”树新风监督检查，指导95个州直部门（单位）开展党纪学习教育，引导党员干部学纪、知纪、明纪、守纪，依纪、依规审理州直机关科级及以下党员干部、公职人员违纪违法案件21件。</w:t>
            </w:r>
          </w:p>
        </w:tc>
      </w:tr>
      <w:tr w14:paraId="13C73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37E082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88728C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D14C69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362BFA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569842CC">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3BB592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C0A24F7">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E4246B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50A62FE">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原因</w:t>
            </w:r>
          </w:p>
        </w:tc>
      </w:tr>
      <w:tr w14:paraId="2D137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3DFB1A">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41B1E2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3183B3C">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AC6E29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E9D8B6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C680AAE">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6B711E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8AD495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C277A3E">
            <w:pPr>
              <w:keepNext w:val="0"/>
              <w:keepLines w:val="0"/>
              <w:widowControl/>
              <w:suppressLineNumbers w:val="0"/>
              <w:jc w:val="left"/>
              <w:textAlignment w:val="center"/>
              <w:rPr>
                <w:rFonts w:hint="default" w:ascii="Times New Roman" w:hAnsi="Times New Roman" w:eastAsia="黑体" w:cs="Times New Roman"/>
                <w:i/>
                <w:iCs/>
                <w:color w:val="000000"/>
                <w:sz w:val="13"/>
                <w:szCs w:val="13"/>
                <w:u w:val="none"/>
              </w:rPr>
            </w:pPr>
          </w:p>
        </w:tc>
      </w:tr>
      <w:tr w14:paraId="482D7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299410">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12159A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DC9B42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B20F5E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5E23904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8D4E6AC">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96A4AE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7E301D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88376F">
            <w:pPr>
              <w:rPr>
                <w:rFonts w:hint="default" w:ascii="Times New Roman" w:hAnsi="Times New Roman" w:eastAsia="黑体" w:cs="Times New Roman"/>
                <w:i/>
                <w:iCs/>
                <w:color w:val="000000"/>
                <w:sz w:val="13"/>
                <w:szCs w:val="13"/>
                <w:u w:val="none"/>
              </w:rPr>
            </w:pPr>
          </w:p>
        </w:tc>
      </w:tr>
      <w:tr w14:paraId="79954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040AB5">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F6FC31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E4A55D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883E66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A91A877">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3FD587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B2D3F5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7D0E60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92814">
            <w:pPr>
              <w:rPr>
                <w:rFonts w:hint="default" w:ascii="Times New Roman" w:hAnsi="Times New Roman" w:eastAsia="黑体" w:cs="Times New Roman"/>
                <w:i/>
                <w:iCs/>
                <w:color w:val="000000"/>
                <w:sz w:val="13"/>
                <w:szCs w:val="13"/>
                <w:u w:val="none"/>
              </w:rPr>
            </w:pPr>
          </w:p>
        </w:tc>
      </w:tr>
      <w:tr w14:paraId="55C9D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F8831C">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92ECBB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A09A80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6B7CC1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81C727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18F6C1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2257F0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CCEDA7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D719F3">
            <w:pPr>
              <w:rPr>
                <w:rFonts w:hint="default" w:ascii="Times New Roman" w:hAnsi="Times New Roman" w:eastAsia="黑体" w:cs="Times New Roman"/>
                <w:i/>
                <w:iCs/>
                <w:color w:val="000000"/>
                <w:sz w:val="13"/>
                <w:szCs w:val="13"/>
                <w:u w:val="none"/>
              </w:rPr>
            </w:pPr>
          </w:p>
        </w:tc>
      </w:tr>
      <w:tr w14:paraId="31033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3C29A">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BEC1F5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1B10361">
            <w:pPr>
              <w:jc w:val="center"/>
              <w:rPr>
                <w:rFonts w:hint="default" w:ascii="Times New Roman" w:hAnsi="Times New Roman" w:eastAsia="微软雅黑" w:cs="Times New Roman"/>
                <w:i/>
                <w:iCs/>
                <w:color w:val="000000"/>
                <w:sz w:val="13"/>
                <w:szCs w:val="13"/>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6F8BAA2">
            <w:pPr>
              <w:jc w:val="center"/>
              <w:rPr>
                <w:rFonts w:hint="default" w:ascii="Times New Roman" w:hAnsi="Times New Roman" w:eastAsia="微软雅黑" w:cs="Times New Roman"/>
                <w:i/>
                <w:iCs/>
                <w:color w:val="000000"/>
                <w:sz w:val="13"/>
                <w:szCs w:val="13"/>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3C3CA81">
            <w:pPr>
              <w:jc w:val="center"/>
              <w:rPr>
                <w:rFonts w:hint="default" w:ascii="Times New Roman" w:hAnsi="Times New Roman" w:eastAsia="微软雅黑" w:cs="Times New Roman"/>
                <w:i/>
                <w:iCs/>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6111A0E">
            <w:pPr>
              <w:jc w:val="center"/>
              <w:rPr>
                <w:rFonts w:hint="default" w:ascii="Times New Roman" w:hAnsi="Times New Roman" w:eastAsia="微软雅黑" w:cs="Times New Roman"/>
                <w:i/>
                <w:iCs/>
                <w:color w:val="000000"/>
                <w:sz w:val="13"/>
                <w:szCs w:val="13"/>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E18C80C">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E22791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69DC7">
            <w:pPr>
              <w:rPr>
                <w:rFonts w:hint="default" w:ascii="Times New Roman" w:hAnsi="Times New Roman" w:eastAsia="黑体" w:cs="Times New Roman"/>
                <w:i/>
                <w:iCs/>
                <w:color w:val="000000"/>
                <w:sz w:val="13"/>
                <w:szCs w:val="13"/>
                <w:u w:val="none"/>
              </w:rPr>
            </w:pPr>
          </w:p>
        </w:tc>
      </w:tr>
      <w:tr w14:paraId="2F452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EBD927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65EC82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EAA9EC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F2DBB0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FD8362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42EF30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382AF6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5A31E17">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A401DA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FB6F99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253E54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未完成原因分析</w:t>
            </w:r>
          </w:p>
        </w:tc>
      </w:tr>
      <w:tr w14:paraId="7BE63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438901">
            <w:pPr>
              <w:jc w:val="center"/>
              <w:rPr>
                <w:rFonts w:hint="default" w:ascii="Times New Roman" w:hAnsi="Times New Roman" w:eastAsia="宋体" w:cs="Times New Roman"/>
                <w:i w:val="0"/>
                <w:iCs w:val="0"/>
                <w:color w:val="000000"/>
                <w:sz w:val="13"/>
                <w:szCs w:val="13"/>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1B84DB9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21B012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656106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州直机关党委</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182AF4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CF3BF2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23</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76938F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AF9804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23</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CC5245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060DF0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08E08A1">
            <w:pPr>
              <w:jc w:val="center"/>
              <w:rPr>
                <w:rFonts w:hint="default" w:ascii="Times New Roman" w:hAnsi="Times New Roman" w:eastAsia="微软雅黑" w:cs="Times New Roman"/>
                <w:i/>
                <w:iCs/>
                <w:color w:val="000000"/>
                <w:sz w:val="13"/>
                <w:szCs w:val="13"/>
                <w:u w:val="none"/>
              </w:rPr>
            </w:pPr>
          </w:p>
        </w:tc>
      </w:tr>
      <w:tr w14:paraId="082E3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C2AF2A">
            <w:pPr>
              <w:jc w:val="center"/>
              <w:rPr>
                <w:rFonts w:hint="default" w:ascii="Times New Roman" w:hAnsi="Times New Roman" w:eastAsia="宋体" w:cs="Times New Roman"/>
                <w:i w:val="0"/>
                <w:iCs w:val="0"/>
                <w:color w:val="000000"/>
                <w:sz w:val="13"/>
                <w:szCs w:val="13"/>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19C5DD">
            <w:pPr>
              <w:jc w:val="center"/>
              <w:rPr>
                <w:rFonts w:hint="default" w:ascii="Times New Roman" w:hAnsi="Times New Roman" w:eastAsia="宋体" w:cs="Times New Roman"/>
                <w:i w:val="0"/>
                <w:iCs w:val="0"/>
                <w:color w:val="000000"/>
                <w:sz w:val="13"/>
                <w:szCs w:val="13"/>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1C302A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质量指标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5A9829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州直机关党委</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9EBDB5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62EFDD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720ABE6C">
            <w:pPr>
              <w:jc w:val="center"/>
              <w:rPr>
                <w:rFonts w:hint="default" w:ascii="Times New Roman" w:hAnsi="Times New Roman" w:eastAsia="宋体" w:cs="Times New Roman"/>
                <w:i w:val="0"/>
                <w:iCs w:val="0"/>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429CC72">
            <w:pPr>
              <w:jc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C4A0987">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6571C6C">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425CA24">
            <w:pPr>
              <w:jc w:val="center"/>
              <w:rPr>
                <w:rFonts w:hint="default" w:ascii="Times New Roman" w:hAnsi="Times New Roman" w:eastAsia="微软雅黑" w:cs="Times New Roman"/>
                <w:i/>
                <w:iCs/>
                <w:color w:val="000000"/>
                <w:sz w:val="13"/>
                <w:szCs w:val="13"/>
                <w:u w:val="none"/>
              </w:rPr>
            </w:pPr>
          </w:p>
        </w:tc>
      </w:tr>
      <w:tr w14:paraId="68BC4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AB34B6">
            <w:pPr>
              <w:jc w:val="center"/>
              <w:rPr>
                <w:rFonts w:hint="default" w:ascii="Times New Roman" w:hAnsi="Times New Roman" w:eastAsia="宋体" w:cs="Times New Roman"/>
                <w:i w:val="0"/>
                <w:iCs w:val="0"/>
                <w:color w:val="000000"/>
                <w:sz w:val="13"/>
                <w:szCs w:val="13"/>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88179">
            <w:pPr>
              <w:jc w:val="center"/>
              <w:rPr>
                <w:rFonts w:hint="default" w:ascii="Times New Roman" w:hAnsi="Times New Roman" w:eastAsia="宋体" w:cs="Times New Roman"/>
                <w:i w:val="0"/>
                <w:iCs w:val="0"/>
                <w:color w:val="000000"/>
                <w:sz w:val="13"/>
                <w:szCs w:val="13"/>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FF5AC9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时效指标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FFA1E6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项目完成时间</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F3252A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E50669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12月底前</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3ABE950">
            <w:pPr>
              <w:jc w:val="center"/>
              <w:rPr>
                <w:rFonts w:hint="default" w:ascii="Times New Roman" w:hAnsi="Times New Roman" w:eastAsia="宋体" w:cs="Times New Roman"/>
                <w:i w:val="0"/>
                <w:iCs w:val="0"/>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C309DFB">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已完成</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98A339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D32023C">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17B8810">
            <w:pPr>
              <w:jc w:val="center"/>
              <w:rPr>
                <w:rFonts w:hint="default" w:ascii="Times New Roman" w:hAnsi="Times New Roman" w:eastAsia="微软雅黑" w:cs="Times New Roman"/>
                <w:i/>
                <w:iCs/>
                <w:color w:val="000000"/>
                <w:sz w:val="13"/>
                <w:szCs w:val="13"/>
                <w:u w:val="none"/>
              </w:rPr>
            </w:pPr>
          </w:p>
        </w:tc>
      </w:tr>
      <w:tr w14:paraId="55031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840368">
            <w:pPr>
              <w:jc w:val="center"/>
              <w:rPr>
                <w:rFonts w:hint="default" w:ascii="Times New Roman" w:hAnsi="Times New Roman" w:eastAsia="宋体" w:cs="Times New Roman"/>
                <w:i w:val="0"/>
                <w:iCs w:val="0"/>
                <w:color w:val="000000"/>
                <w:sz w:val="13"/>
                <w:szCs w:val="13"/>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50415D0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效益指标</w:t>
            </w:r>
          </w:p>
        </w:tc>
        <w:tc>
          <w:tcPr>
            <w:tcW w:w="16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088963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6F02E2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推进州直机关党风廉政建设</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0064FC7E">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072EAB2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E1A8429">
            <w:pPr>
              <w:jc w:val="center"/>
              <w:rPr>
                <w:rFonts w:hint="default" w:ascii="Times New Roman" w:hAnsi="Times New Roman" w:eastAsia="宋体" w:cs="Times New Roman"/>
                <w:i w:val="0"/>
                <w:iCs w:val="0"/>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36579C1">
            <w:pPr>
              <w:jc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F1EF20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6DF713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22F36C9">
            <w:pPr>
              <w:jc w:val="center"/>
              <w:rPr>
                <w:rFonts w:hint="default" w:ascii="Times New Roman" w:hAnsi="Times New Roman" w:eastAsia="微软雅黑" w:cs="Times New Roman"/>
                <w:i/>
                <w:iCs/>
                <w:color w:val="000000"/>
                <w:sz w:val="13"/>
                <w:szCs w:val="13"/>
                <w:u w:val="none"/>
              </w:rPr>
            </w:pPr>
          </w:p>
        </w:tc>
      </w:tr>
      <w:tr w14:paraId="40133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0602AA">
            <w:pPr>
              <w:jc w:val="center"/>
              <w:rPr>
                <w:rFonts w:hint="default" w:ascii="Times New Roman" w:hAnsi="Times New Roman" w:eastAsia="宋体" w:cs="Times New Roman"/>
                <w:i w:val="0"/>
                <w:iCs w:val="0"/>
                <w:color w:val="000000"/>
                <w:sz w:val="13"/>
                <w:szCs w:val="13"/>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47FB9">
            <w:pPr>
              <w:jc w:val="center"/>
              <w:rPr>
                <w:rFonts w:hint="default" w:ascii="Times New Roman" w:hAnsi="Times New Roman" w:eastAsia="宋体" w:cs="Times New Roman"/>
                <w:i w:val="0"/>
                <w:iCs w:val="0"/>
                <w:color w:val="000000"/>
                <w:sz w:val="13"/>
                <w:szCs w:val="13"/>
                <w:u w:val="none"/>
              </w:rPr>
            </w:pPr>
          </w:p>
        </w:tc>
        <w:tc>
          <w:tcPr>
            <w:tcW w:w="16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D1D087">
            <w:pPr>
              <w:jc w:val="center"/>
              <w:rPr>
                <w:rFonts w:hint="default" w:ascii="Times New Roman" w:hAnsi="Times New Roman" w:eastAsia="宋体" w:cs="Times New Roman"/>
                <w:i w:val="0"/>
                <w:iCs w:val="0"/>
                <w:color w:val="000000"/>
                <w:sz w:val="13"/>
                <w:szCs w:val="13"/>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69AE50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进一步推动州直机关反腐倡廉工作</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1CDA3CE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A8ECC7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39253BA">
            <w:pPr>
              <w:jc w:val="center"/>
              <w:rPr>
                <w:rFonts w:hint="default" w:ascii="Times New Roman" w:hAnsi="Times New Roman" w:eastAsia="宋体" w:cs="Times New Roman"/>
                <w:i w:val="0"/>
                <w:iCs w:val="0"/>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5E8099E">
            <w:pPr>
              <w:jc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24C72B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8ACE69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41CD70E">
            <w:pPr>
              <w:jc w:val="center"/>
              <w:rPr>
                <w:rFonts w:hint="default" w:ascii="Times New Roman" w:hAnsi="Times New Roman" w:eastAsia="微软雅黑" w:cs="Times New Roman"/>
                <w:i/>
                <w:iCs/>
                <w:color w:val="000000"/>
                <w:sz w:val="13"/>
                <w:szCs w:val="13"/>
                <w:u w:val="none"/>
              </w:rPr>
            </w:pPr>
          </w:p>
        </w:tc>
      </w:tr>
      <w:tr w14:paraId="278F7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CE9BB9">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AE2F02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满意度指标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69E4DA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服务对象满意度指标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A1A5457">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职工满意度</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B1D00D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0F1C90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90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9F7FC0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388F390">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90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6213B4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31CBE8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1ACA600">
            <w:pPr>
              <w:jc w:val="center"/>
              <w:rPr>
                <w:rFonts w:hint="default" w:ascii="Times New Roman" w:hAnsi="Times New Roman" w:eastAsia="微软雅黑" w:cs="Times New Roman"/>
                <w:i/>
                <w:iCs/>
                <w:color w:val="000000"/>
                <w:sz w:val="13"/>
                <w:szCs w:val="13"/>
                <w:u w:val="none"/>
              </w:rPr>
            </w:pPr>
          </w:p>
        </w:tc>
      </w:tr>
      <w:tr w14:paraId="23F9F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6BE939">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416EB51">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成本指标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B8EB22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经济成本指标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6E1BB9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人均成本</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0C95C56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8898AA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470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A6EE89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人/天</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987DE6D">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470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275616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30177A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DB9EC7C">
            <w:pPr>
              <w:jc w:val="center"/>
              <w:rPr>
                <w:rFonts w:hint="default" w:ascii="Times New Roman" w:hAnsi="Times New Roman" w:eastAsia="微软雅黑" w:cs="Times New Roman"/>
                <w:i/>
                <w:iCs/>
                <w:color w:val="000000"/>
                <w:sz w:val="13"/>
                <w:szCs w:val="13"/>
                <w:u w:val="none"/>
              </w:rPr>
            </w:pPr>
          </w:p>
        </w:tc>
      </w:tr>
      <w:tr w14:paraId="22E25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25C0854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89F757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ACFBF09">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C084324">
            <w:pPr>
              <w:rPr>
                <w:rFonts w:hint="default" w:ascii="Times New Roman" w:hAnsi="Times New Roman" w:eastAsia="宋体" w:cs="Times New Roman"/>
                <w:i w:val="0"/>
                <w:iCs w:val="0"/>
                <w:color w:val="000000"/>
                <w:sz w:val="13"/>
                <w:szCs w:val="13"/>
                <w:u w:val="none"/>
              </w:rPr>
            </w:pPr>
          </w:p>
        </w:tc>
      </w:tr>
      <w:tr w14:paraId="7191E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08FA5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43DC69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通过项目的实施。在培训方面，州直机关纪检干部业务能力水平得到了一次较大的提高；在案件审理方面，全年完成38件违纪案件审理，分别给予不同程度的纪律处分，干部队伍得到了净化；在执纪方面，全覆盖教育回访了2022年受到党纪政务处分人员，勉励他们放下包袱、勤奋工作；在纪检干部教育整顿活动中，牵头开展了州直机关纪检干部教育整顿工作，坚持刀刃向内开展自查自纠，共查摆问题415条，督促问题整改取得实实在在的成效。</w:t>
            </w:r>
          </w:p>
        </w:tc>
      </w:tr>
      <w:tr w14:paraId="62762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62FDA1E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6052D7F9">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3D364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27573F1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749B0A42">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11A47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26F9F01F">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32995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48B3D859">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7DEE585C">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51320021T000000048594</w:t>
            </w:r>
            <w:r>
              <w:rPr>
                <w:rFonts w:hint="eastAsia" w:cs="Times New Roman"/>
                <w:i w:val="0"/>
                <w:iCs w:val="0"/>
                <w:color w:val="000000"/>
                <w:kern w:val="0"/>
                <w:sz w:val="13"/>
                <w:szCs w:val="13"/>
                <w:u w:val="none"/>
                <w:lang w:val="en-US" w:eastAsia="zh-CN" w:bidi="ar"/>
              </w:rPr>
              <w:t>－</w:t>
            </w:r>
            <w:r>
              <w:rPr>
                <w:rFonts w:hint="default" w:ascii="Times New Roman" w:hAnsi="Times New Roman" w:eastAsia="宋体" w:cs="Times New Roman"/>
                <w:i w:val="0"/>
                <w:iCs w:val="0"/>
                <w:color w:val="000000"/>
                <w:kern w:val="0"/>
                <w:sz w:val="13"/>
                <w:szCs w:val="13"/>
                <w:u w:val="none"/>
                <w:lang w:val="en-US" w:eastAsia="zh-CN" w:bidi="ar"/>
              </w:rPr>
              <w:t>党建调研工作经费</w:t>
            </w:r>
          </w:p>
        </w:tc>
      </w:tr>
      <w:tr w14:paraId="67535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049967DA">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5353D4D2">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州直机关工委部门</w:t>
            </w:r>
          </w:p>
        </w:tc>
        <w:tc>
          <w:tcPr>
            <w:tcW w:w="1041" w:type="dxa"/>
            <w:tcBorders>
              <w:top w:val="nil"/>
              <w:left w:val="nil"/>
              <w:bottom w:val="nil"/>
              <w:right w:val="nil"/>
            </w:tcBorders>
            <w:noWrap w:val="0"/>
            <w:vAlign w:val="center"/>
          </w:tcPr>
          <w:p w14:paraId="0699E450">
            <w:pPr>
              <w:keepNext w:val="0"/>
              <w:keepLines w:val="0"/>
              <w:widowControl/>
              <w:suppressLineNumbers w:val="0"/>
              <w:jc w:val="left"/>
              <w:textAlignment w:val="center"/>
              <w:rPr>
                <w:rFonts w:hint="default" w:ascii="Times New Roman" w:hAnsi="Times New Roman" w:eastAsia="黑体" w:cs="Times New Roman"/>
                <w:i w:val="0"/>
                <w:iCs w:val="0"/>
                <w:color w:val="000000"/>
                <w:sz w:val="13"/>
                <w:szCs w:val="13"/>
                <w:u w:val="none"/>
              </w:rPr>
            </w:pPr>
            <w:r>
              <w:rPr>
                <w:rFonts w:hint="default" w:ascii="Times New Roman" w:hAnsi="Times New Roman" w:eastAsia="黑体" w:cs="Times New Roman"/>
                <w:i w:val="0"/>
                <w:iCs w:val="0"/>
                <w:color w:val="000000"/>
                <w:kern w:val="0"/>
                <w:sz w:val="13"/>
                <w:szCs w:val="13"/>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6824339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州直机关工委</w:t>
            </w:r>
          </w:p>
        </w:tc>
      </w:tr>
      <w:tr w14:paraId="583D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A16C89F">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7624E881">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0B4E5E1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420D37C4">
            <w:pPr>
              <w:keepNext w:val="0"/>
              <w:keepLines w:val="0"/>
              <w:widowControl/>
              <w:suppressLineNumbers w:val="0"/>
              <w:jc w:val="center"/>
              <w:textAlignment w:val="center"/>
              <w:rPr>
                <w:rFonts w:hint="default" w:ascii="Times New Roman" w:hAnsi="Times New Roman" w:eastAsia="黑体" w:cs="Times New Roman"/>
                <w:i w:val="0"/>
                <w:iCs w:val="0"/>
                <w:color w:val="000000"/>
                <w:sz w:val="13"/>
                <w:szCs w:val="13"/>
                <w:u w:val="none"/>
              </w:rPr>
            </w:pPr>
            <w:r>
              <w:rPr>
                <w:rFonts w:hint="default" w:ascii="Times New Roman" w:hAnsi="Times New Roman" w:eastAsia="黑体" w:cs="Times New Roman"/>
                <w:i w:val="0"/>
                <w:iCs w:val="0"/>
                <w:color w:val="000000"/>
                <w:kern w:val="0"/>
                <w:sz w:val="13"/>
                <w:szCs w:val="13"/>
                <w:u w:val="none"/>
                <w:lang w:val="en-US" w:eastAsia="zh-CN" w:bidi="ar"/>
              </w:rPr>
              <w:t>年度目标完成情况</w:t>
            </w:r>
          </w:p>
        </w:tc>
      </w:tr>
      <w:tr w14:paraId="3DED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1853C5">
            <w:pPr>
              <w:rPr>
                <w:rFonts w:hint="default" w:ascii="Times New Roman" w:hAnsi="Times New Roman" w:eastAsia="宋体" w:cs="Times New Roman"/>
                <w:i w:val="0"/>
                <w:iCs w:val="0"/>
                <w:color w:val="000000"/>
                <w:sz w:val="13"/>
                <w:szCs w:val="13"/>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623CDC">
            <w:pPr>
              <w:rPr>
                <w:rFonts w:hint="default" w:ascii="Times New Roman" w:hAnsi="Times New Roman" w:eastAsia="宋体" w:cs="Times New Roman"/>
                <w:i w:val="0"/>
                <w:iCs w:val="0"/>
                <w:color w:val="000000"/>
                <w:sz w:val="13"/>
                <w:szCs w:val="13"/>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3FD6650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围绕机关党建和业务工作融合并进开展调研，对州直部门（单位）及13县（市）进行党建督导，四个片区至少召开1次片区</w:t>
            </w:r>
            <w:r>
              <w:rPr>
                <w:rFonts w:hint="eastAsia" w:cs="Times New Roman"/>
                <w:i w:val="0"/>
                <w:iCs w:val="0"/>
                <w:color w:val="000000"/>
                <w:kern w:val="0"/>
                <w:sz w:val="13"/>
                <w:szCs w:val="13"/>
                <w:u w:val="none"/>
                <w:lang w:val="en-US" w:eastAsia="zh-CN" w:bidi="ar"/>
              </w:rPr>
              <w:t>联席会议</w:t>
            </w:r>
            <w:r>
              <w:rPr>
                <w:rFonts w:hint="default" w:ascii="Times New Roman" w:hAnsi="Times New Roman" w:eastAsia="宋体" w:cs="Times New Roman"/>
                <w:i w:val="0"/>
                <w:iCs w:val="0"/>
                <w:color w:val="000000"/>
                <w:kern w:val="0"/>
                <w:sz w:val="13"/>
                <w:szCs w:val="13"/>
                <w:u w:val="none"/>
                <w:lang w:val="en-US" w:eastAsia="zh-CN" w:bidi="ar"/>
              </w:rPr>
              <w:t>，建立机关党建工作内部督查机制，优化机关党建工作考评机制，推动党建和业务融合并进、良性发展”。</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7ED0042E">
            <w:pPr>
              <w:keepNext w:val="0"/>
              <w:keepLines w:val="0"/>
              <w:pageBreakBefore w:val="0"/>
              <w:widowControl/>
              <w:suppressLineNumbers w:val="0"/>
              <w:tabs>
                <w:tab w:val="left" w:pos="1059"/>
              </w:tabs>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3"/>
                <w:szCs w:val="13"/>
                <w:u w:val="none"/>
                <w:lang w:eastAsia="zh-CN"/>
              </w:rPr>
            </w:pPr>
            <w:r>
              <w:rPr>
                <w:rFonts w:hint="default" w:ascii="Times New Roman" w:hAnsi="Times New Roman" w:eastAsia="黑体" w:cs="Times New Roman"/>
                <w:i w:val="0"/>
                <w:iCs w:val="0"/>
                <w:color w:val="000000"/>
                <w:sz w:val="13"/>
                <w:szCs w:val="13"/>
                <w:u w:val="none"/>
                <w:lang w:eastAsia="zh-CN"/>
              </w:rPr>
              <w:t>围绕有效破解机关党建“两张皮”问题和“灯下黑”等突出问题。</w:t>
            </w:r>
          </w:p>
        </w:tc>
      </w:tr>
      <w:tr w14:paraId="49250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00922">
            <w:pP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F3B4127">
            <w:pPr>
              <w:keepNext w:val="0"/>
              <w:keepLines w:val="0"/>
              <w:widowControl/>
              <w:suppressLineNumbers w:val="0"/>
              <w:jc w:val="lef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1E44CFC5">
            <w:pPr>
              <w:tabs>
                <w:tab w:val="left" w:pos="3794"/>
              </w:tabs>
              <w:rPr>
                <w:rFonts w:hint="default" w:ascii="Times New Roman" w:hAnsi="Times New Roman" w:eastAsia="宋体" w:cs="Times New Roman"/>
                <w:i w:val="0"/>
                <w:iCs w:val="0"/>
                <w:color w:val="000000"/>
                <w:sz w:val="13"/>
                <w:szCs w:val="13"/>
                <w:u w:val="none"/>
                <w:lang w:eastAsia="zh-CN"/>
              </w:rPr>
            </w:pPr>
            <w:r>
              <w:rPr>
                <w:rFonts w:hint="default" w:ascii="Times New Roman" w:hAnsi="Times New Roman" w:eastAsia="宋体" w:cs="Times New Roman"/>
                <w:i w:val="0"/>
                <w:iCs w:val="0"/>
                <w:color w:val="000000"/>
                <w:sz w:val="13"/>
                <w:szCs w:val="13"/>
                <w:u w:val="none"/>
                <w:lang w:eastAsia="zh-CN"/>
              </w:rPr>
              <w:t>绕机关党建和业务工作，2024年深入95个州直部门级小金、若尔盖县开展党建调研工作。</w:t>
            </w:r>
          </w:p>
        </w:tc>
      </w:tr>
      <w:tr w14:paraId="1AA8B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8F43F5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48AEFE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617C95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1ED19A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820DED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58B9A6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094A6C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BFD074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DEF133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原因</w:t>
            </w:r>
          </w:p>
        </w:tc>
      </w:tr>
      <w:tr w14:paraId="71F59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AAD15B">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7705A9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3D9196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8B793D7">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6.06</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654499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6.06</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7D5CF5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B131B2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46714EE">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C11015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3"/>
                <w:szCs w:val="13"/>
                <w:u w:val="none"/>
              </w:rPr>
            </w:pPr>
            <w:r>
              <w:rPr>
                <w:rFonts w:hint="default" w:ascii="Times New Roman" w:hAnsi="Times New Roman" w:eastAsia="黑体" w:cs="Times New Roman"/>
                <w:i w:val="0"/>
                <w:iCs w:val="0"/>
                <w:color w:val="000000"/>
                <w:sz w:val="13"/>
                <w:szCs w:val="13"/>
                <w:u w:val="none"/>
              </w:rPr>
              <w:t>严格执行过紧日子要求，厉行节约。</w:t>
            </w:r>
          </w:p>
        </w:tc>
      </w:tr>
      <w:tr w14:paraId="73E49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74DC86">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D4082D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A6A9A5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3D52D9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6.06</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4116B2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6.06</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1B21CD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36A9BF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0F4B5C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B636FE">
            <w:pPr>
              <w:rPr>
                <w:rFonts w:hint="default" w:ascii="Times New Roman" w:hAnsi="Times New Roman" w:eastAsia="黑体" w:cs="Times New Roman"/>
                <w:i w:val="0"/>
                <w:iCs w:val="0"/>
                <w:color w:val="000000"/>
                <w:sz w:val="13"/>
                <w:szCs w:val="13"/>
                <w:u w:val="none"/>
              </w:rPr>
            </w:pPr>
          </w:p>
        </w:tc>
      </w:tr>
      <w:tr w14:paraId="302DB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196A8C">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F1EB3F7">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5C50EA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682674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0F22265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FDD0407">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45F8B9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87A118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AA06B0">
            <w:pPr>
              <w:rPr>
                <w:rFonts w:hint="default" w:ascii="Times New Roman" w:hAnsi="Times New Roman" w:eastAsia="黑体" w:cs="Times New Roman"/>
                <w:i w:val="0"/>
                <w:iCs w:val="0"/>
                <w:color w:val="000000"/>
                <w:sz w:val="13"/>
                <w:szCs w:val="13"/>
                <w:u w:val="none"/>
              </w:rPr>
            </w:pPr>
          </w:p>
        </w:tc>
      </w:tr>
      <w:tr w14:paraId="23326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7E514">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D4C7F5E">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263A74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627AA7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A0B16F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60E42CE">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B0657F1">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8ABA91C">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AB160C">
            <w:pPr>
              <w:rPr>
                <w:rFonts w:hint="default" w:ascii="Times New Roman" w:hAnsi="Times New Roman" w:eastAsia="黑体" w:cs="Times New Roman"/>
                <w:i w:val="0"/>
                <w:iCs w:val="0"/>
                <w:color w:val="000000"/>
                <w:sz w:val="13"/>
                <w:szCs w:val="13"/>
                <w:u w:val="none"/>
              </w:rPr>
            </w:pPr>
          </w:p>
        </w:tc>
      </w:tr>
      <w:tr w14:paraId="4C799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30460F">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2583F7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0EB8B8B">
            <w:pPr>
              <w:jc w:val="center"/>
              <w:rPr>
                <w:rFonts w:hint="default" w:ascii="Times New Roman" w:hAnsi="Times New Roman" w:eastAsia="微软雅黑" w:cs="Times New Roman"/>
                <w:i w:val="0"/>
                <w:iCs w:val="0"/>
                <w:color w:val="000000"/>
                <w:sz w:val="13"/>
                <w:szCs w:val="13"/>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CC3E482">
            <w:pPr>
              <w:jc w:val="center"/>
              <w:rPr>
                <w:rFonts w:hint="default" w:ascii="Times New Roman" w:hAnsi="Times New Roman" w:eastAsia="微软雅黑" w:cs="Times New Roman"/>
                <w:i w:val="0"/>
                <w:iCs w:val="0"/>
                <w:color w:val="000000"/>
                <w:sz w:val="13"/>
                <w:szCs w:val="13"/>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501660D">
            <w:pPr>
              <w:jc w:val="center"/>
              <w:rPr>
                <w:rFonts w:hint="default" w:ascii="Times New Roman" w:hAnsi="Times New Roman" w:eastAsia="微软雅黑" w:cs="Times New Roman"/>
                <w:i w:val="0"/>
                <w:iCs w:val="0"/>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B49598B">
            <w:pPr>
              <w:jc w:val="center"/>
              <w:rPr>
                <w:rFonts w:hint="default" w:ascii="Times New Roman" w:hAnsi="Times New Roman" w:eastAsia="微软雅黑" w:cs="Times New Roman"/>
                <w:i w:val="0"/>
                <w:iCs w:val="0"/>
                <w:color w:val="000000"/>
                <w:sz w:val="13"/>
                <w:szCs w:val="13"/>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13744F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B8C763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29ABA5">
            <w:pPr>
              <w:rPr>
                <w:rFonts w:hint="default" w:ascii="Times New Roman" w:hAnsi="Times New Roman" w:eastAsia="黑体" w:cs="Times New Roman"/>
                <w:i w:val="0"/>
                <w:iCs w:val="0"/>
                <w:color w:val="000000"/>
                <w:sz w:val="13"/>
                <w:szCs w:val="13"/>
                <w:u w:val="none"/>
              </w:rPr>
            </w:pPr>
          </w:p>
        </w:tc>
      </w:tr>
      <w:tr w14:paraId="3D367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36963D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464E77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6EF1901">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9C873C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0157AC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92560FE">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0862B1B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6ACF65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0E6032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ADB6A1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EB0725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未完成原因分析</w:t>
            </w:r>
          </w:p>
        </w:tc>
      </w:tr>
      <w:tr w14:paraId="7741E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F410B5">
            <w:pPr>
              <w:jc w:val="center"/>
              <w:rPr>
                <w:rFonts w:hint="default" w:ascii="Times New Roman" w:hAnsi="Times New Roman" w:eastAsia="宋体" w:cs="Times New Roman"/>
                <w:i w:val="0"/>
                <w:iCs w:val="0"/>
                <w:color w:val="000000"/>
                <w:sz w:val="13"/>
                <w:szCs w:val="13"/>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3F04A0A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896088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0926582">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召开片区</w:t>
            </w:r>
            <w:r>
              <w:rPr>
                <w:rFonts w:hint="eastAsia" w:cs="Times New Roman"/>
                <w:i w:val="0"/>
                <w:iCs w:val="0"/>
                <w:color w:val="000000"/>
                <w:kern w:val="0"/>
                <w:sz w:val="13"/>
                <w:szCs w:val="13"/>
                <w:u w:val="none"/>
                <w:lang w:val="en-US" w:eastAsia="zh-CN" w:bidi="ar"/>
              </w:rPr>
              <w:t>联席会</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6E5C39D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FF39F1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71744EA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场次</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863B23C">
            <w:pPr>
              <w:jc w:val="center"/>
              <w:rPr>
                <w:rFonts w:hint="default" w:ascii="Times New Roman" w:hAnsi="Times New Roman" w:eastAsia="微软雅黑" w:cs="Times New Roman"/>
                <w:i w:val="0"/>
                <w:iCs w:val="0"/>
                <w:color w:val="000000"/>
                <w:sz w:val="13"/>
                <w:szCs w:val="13"/>
                <w:u w:val="none"/>
                <w:lang w:val="en-US" w:eastAsia="zh-CN"/>
              </w:rPr>
            </w:pPr>
            <w:r>
              <w:rPr>
                <w:rFonts w:hint="default" w:ascii="Times New Roman" w:hAnsi="Times New Roman" w:eastAsia="微软雅黑" w:cs="Times New Roman"/>
                <w:i w:val="0"/>
                <w:iCs w:val="0"/>
                <w:color w:val="000000"/>
                <w:sz w:val="13"/>
                <w:szCs w:val="13"/>
                <w:u w:val="none"/>
                <w:lang w:val="en-US" w:eastAsia="zh-CN"/>
              </w:rPr>
              <w:t>3</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B0DEC4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B931A86">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C0081EC">
            <w:pPr>
              <w:jc w:val="center"/>
              <w:rPr>
                <w:rFonts w:hint="default" w:ascii="Times New Roman" w:hAnsi="Times New Roman" w:eastAsia="微软雅黑" w:cs="Times New Roman"/>
                <w:i w:val="0"/>
                <w:iCs w:val="0"/>
                <w:color w:val="000000"/>
                <w:sz w:val="13"/>
                <w:szCs w:val="13"/>
                <w:u w:val="none"/>
              </w:rPr>
            </w:pPr>
          </w:p>
        </w:tc>
      </w:tr>
      <w:tr w14:paraId="33C36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4B8B56">
            <w:pPr>
              <w:jc w:val="center"/>
              <w:rPr>
                <w:rFonts w:hint="default" w:ascii="Times New Roman" w:hAnsi="Times New Roman" w:eastAsia="宋体" w:cs="Times New Roman"/>
                <w:i w:val="0"/>
                <w:iCs w:val="0"/>
                <w:color w:val="000000"/>
                <w:sz w:val="13"/>
                <w:szCs w:val="13"/>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FABC6">
            <w:pPr>
              <w:jc w:val="center"/>
              <w:rPr>
                <w:rFonts w:hint="default" w:ascii="Times New Roman" w:hAnsi="Times New Roman" w:eastAsia="宋体" w:cs="Times New Roman"/>
                <w:i w:val="0"/>
                <w:iCs w:val="0"/>
                <w:color w:val="000000"/>
                <w:sz w:val="13"/>
                <w:szCs w:val="13"/>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A96E27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质量指标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9F1CCE1">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提升片区党建水平</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F06598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699134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进一步推动</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C5CD00B">
            <w:pPr>
              <w:jc w:val="center"/>
              <w:rPr>
                <w:rFonts w:hint="default" w:ascii="Times New Roman" w:hAnsi="Times New Roman" w:eastAsia="宋体" w:cs="Times New Roman"/>
                <w:i w:val="0"/>
                <w:iCs w:val="0"/>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3E0766D">
            <w:pPr>
              <w:jc w:val="center"/>
              <w:rPr>
                <w:rFonts w:hint="default" w:ascii="Times New Roman" w:hAnsi="Times New Roman" w:eastAsia="微软雅黑"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进一步推动</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1AF48A7">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80190C0">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069A3E7">
            <w:pPr>
              <w:jc w:val="center"/>
              <w:rPr>
                <w:rFonts w:hint="default" w:ascii="Times New Roman" w:hAnsi="Times New Roman" w:eastAsia="微软雅黑" w:cs="Times New Roman"/>
                <w:i w:val="0"/>
                <w:iCs w:val="0"/>
                <w:color w:val="000000"/>
                <w:sz w:val="13"/>
                <w:szCs w:val="13"/>
                <w:u w:val="none"/>
              </w:rPr>
            </w:pPr>
          </w:p>
        </w:tc>
      </w:tr>
      <w:tr w14:paraId="211D8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F1C8AE">
            <w:pPr>
              <w:jc w:val="center"/>
              <w:rPr>
                <w:rFonts w:hint="default" w:ascii="Times New Roman" w:hAnsi="Times New Roman" w:eastAsia="宋体" w:cs="Times New Roman"/>
                <w:i w:val="0"/>
                <w:iCs w:val="0"/>
                <w:color w:val="000000"/>
                <w:sz w:val="13"/>
                <w:szCs w:val="13"/>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A89F74">
            <w:pPr>
              <w:jc w:val="center"/>
              <w:rPr>
                <w:rFonts w:hint="default" w:ascii="Times New Roman" w:hAnsi="Times New Roman" w:eastAsia="宋体" w:cs="Times New Roman"/>
                <w:i w:val="0"/>
                <w:iCs w:val="0"/>
                <w:color w:val="000000"/>
                <w:sz w:val="13"/>
                <w:szCs w:val="13"/>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3BCEE4C">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时效指标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05BBCA6">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项目完成时间</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8B27EC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D8AEF3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12月底前</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81F5BED">
            <w:pPr>
              <w:jc w:val="center"/>
              <w:rPr>
                <w:rFonts w:hint="default" w:ascii="Times New Roman" w:hAnsi="Times New Roman" w:eastAsia="宋体" w:cs="Times New Roman"/>
                <w:i w:val="0"/>
                <w:iCs w:val="0"/>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F008FD3">
            <w:pPr>
              <w:jc w:val="center"/>
              <w:rPr>
                <w:rFonts w:hint="default" w:ascii="Times New Roman" w:hAnsi="Times New Roman" w:eastAsia="微软雅黑" w:cs="Times New Roman"/>
                <w:i w:val="0"/>
                <w:iCs w:val="0"/>
                <w:color w:val="000000"/>
                <w:sz w:val="13"/>
                <w:szCs w:val="13"/>
                <w:u w:val="none"/>
                <w:lang w:val="en-US" w:eastAsia="zh-CN"/>
              </w:rPr>
            </w:pPr>
            <w:r>
              <w:rPr>
                <w:rFonts w:hint="default" w:ascii="Times New Roman" w:hAnsi="Times New Roman" w:eastAsia="微软雅黑" w:cs="Times New Roman"/>
                <w:i w:val="0"/>
                <w:iCs w:val="0"/>
                <w:color w:val="000000"/>
                <w:sz w:val="13"/>
                <w:szCs w:val="13"/>
                <w:u w:val="none"/>
                <w:lang w:val="en-US" w:eastAsia="zh-CN"/>
              </w:rPr>
              <w:t>已完成</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B0120C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0968962">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2BE1DE6">
            <w:pPr>
              <w:jc w:val="center"/>
              <w:rPr>
                <w:rFonts w:hint="default" w:ascii="Times New Roman" w:hAnsi="Times New Roman" w:eastAsia="微软雅黑" w:cs="Times New Roman"/>
                <w:i w:val="0"/>
                <w:iCs w:val="0"/>
                <w:color w:val="000000"/>
                <w:sz w:val="13"/>
                <w:szCs w:val="13"/>
                <w:u w:val="none"/>
              </w:rPr>
            </w:pPr>
          </w:p>
        </w:tc>
      </w:tr>
      <w:tr w14:paraId="07A8A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1618C4">
            <w:pPr>
              <w:jc w:val="center"/>
              <w:rPr>
                <w:rFonts w:hint="default" w:ascii="Times New Roman" w:hAnsi="Times New Roman" w:eastAsia="宋体" w:cs="Times New Roman"/>
                <w:i w:val="0"/>
                <w:iCs w:val="0"/>
                <w:color w:val="000000"/>
                <w:sz w:val="13"/>
                <w:szCs w:val="13"/>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32889EE1">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0A66A1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经济效益指标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008E33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党建促进经济发展</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B6E1E0E">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75E354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进一步推动</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C5C8FA4">
            <w:pPr>
              <w:jc w:val="center"/>
              <w:rPr>
                <w:rFonts w:hint="default" w:ascii="Times New Roman" w:hAnsi="Times New Roman" w:eastAsia="宋体" w:cs="Times New Roman"/>
                <w:i w:val="0"/>
                <w:iCs w:val="0"/>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49258E6">
            <w:pPr>
              <w:jc w:val="center"/>
              <w:rPr>
                <w:rFonts w:hint="default" w:ascii="Times New Roman" w:hAnsi="Times New Roman" w:eastAsia="微软雅黑"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进一步推动</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3C17E7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54CD2E7">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31BDE66">
            <w:pPr>
              <w:jc w:val="center"/>
              <w:rPr>
                <w:rFonts w:hint="default" w:ascii="Times New Roman" w:hAnsi="Times New Roman" w:eastAsia="微软雅黑" w:cs="Times New Roman"/>
                <w:i w:val="0"/>
                <w:iCs w:val="0"/>
                <w:color w:val="000000"/>
                <w:sz w:val="13"/>
                <w:szCs w:val="13"/>
                <w:u w:val="none"/>
              </w:rPr>
            </w:pPr>
          </w:p>
        </w:tc>
      </w:tr>
      <w:tr w14:paraId="3E1B5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1384A8">
            <w:pPr>
              <w:jc w:val="center"/>
              <w:rPr>
                <w:rFonts w:hint="default" w:ascii="Times New Roman" w:hAnsi="Times New Roman" w:eastAsia="宋体" w:cs="Times New Roman"/>
                <w:i w:val="0"/>
                <w:iCs w:val="0"/>
                <w:color w:val="000000"/>
                <w:sz w:val="13"/>
                <w:szCs w:val="13"/>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890D7C">
            <w:pPr>
              <w:jc w:val="center"/>
              <w:rPr>
                <w:rFonts w:hint="default" w:ascii="Times New Roman" w:hAnsi="Times New Roman" w:eastAsia="宋体" w:cs="Times New Roman"/>
                <w:i w:val="0"/>
                <w:iCs w:val="0"/>
                <w:color w:val="000000"/>
                <w:sz w:val="13"/>
                <w:szCs w:val="13"/>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417F86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93E58B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优化机关党建工作考核机制</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18C51EE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0AE7F4BE">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进一步优化</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BF9F43E">
            <w:pPr>
              <w:jc w:val="center"/>
              <w:rPr>
                <w:rFonts w:hint="default" w:ascii="Times New Roman" w:hAnsi="Times New Roman" w:eastAsia="宋体" w:cs="Times New Roman"/>
                <w:i w:val="0"/>
                <w:iCs w:val="0"/>
                <w:color w:val="000000"/>
                <w:sz w:val="13"/>
                <w:szCs w:val="13"/>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88DA27A">
            <w:pPr>
              <w:jc w:val="center"/>
              <w:rPr>
                <w:rFonts w:hint="default" w:ascii="Times New Roman" w:hAnsi="Times New Roman" w:eastAsia="微软雅黑"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进一步优化</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CE19F6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2B5E16B">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DFA2465">
            <w:pPr>
              <w:jc w:val="center"/>
              <w:rPr>
                <w:rFonts w:hint="default" w:ascii="Times New Roman" w:hAnsi="Times New Roman" w:eastAsia="微软雅黑" w:cs="Times New Roman"/>
                <w:i w:val="0"/>
                <w:iCs w:val="0"/>
                <w:color w:val="000000"/>
                <w:sz w:val="13"/>
                <w:szCs w:val="13"/>
                <w:u w:val="none"/>
              </w:rPr>
            </w:pPr>
          </w:p>
        </w:tc>
      </w:tr>
      <w:tr w14:paraId="5FAA1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E4D53B">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1C6B1D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满意度指标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A8655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服务对象满意度指标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AD78A9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各县组织部大于等于90%</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6B5BAAA">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2A2484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90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09420A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40D7041">
            <w:pPr>
              <w:jc w:val="center"/>
              <w:rPr>
                <w:rFonts w:hint="default" w:ascii="Times New Roman" w:hAnsi="Times New Roman" w:eastAsia="微软雅黑" w:cs="Times New Roman"/>
                <w:i w:val="0"/>
                <w:iCs w:val="0"/>
                <w:color w:val="000000"/>
                <w:sz w:val="13"/>
                <w:szCs w:val="13"/>
                <w:u w:val="none"/>
                <w:lang w:val="en-US" w:eastAsia="zh-CN"/>
              </w:rPr>
            </w:pPr>
            <w:r>
              <w:rPr>
                <w:rFonts w:hint="default" w:ascii="Times New Roman" w:hAnsi="Times New Roman" w:eastAsia="微软雅黑" w:cs="Times New Roman"/>
                <w:i w:val="0"/>
                <w:iCs w:val="0"/>
                <w:color w:val="000000"/>
                <w:sz w:val="13"/>
                <w:szCs w:val="13"/>
                <w:u w:val="none"/>
                <w:lang w:val="en-US" w:eastAsia="zh-CN"/>
              </w:rPr>
              <w:t>90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9D1BB0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498D0E2">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996D7E5">
            <w:pPr>
              <w:jc w:val="center"/>
              <w:rPr>
                <w:rFonts w:hint="default" w:ascii="Times New Roman" w:hAnsi="Times New Roman" w:eastAsia="微软雅黑" w:cs="Times New Roman"/>
                <w:i w:val="0"/>
                <w:iCs w:val="0"/>
                <w:color w:val="000000"/>
                <w:sz w:val="13"/>
                <w:szCs w:val="13"/>
                <w:u w:val="none"/>
              </w:rPr>
            </w:pPr>
          </w:p>
        </w:tc>
      </w:tr>
      <w:tr w14:paraId="6C98B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8C244E">
            <w:pPr>
              <w:jc w:val="center"/>
              <w:rPr>
                <w:rFonts w:hint="default" w:ascii="Times New Roman" w:hAnsi="Times New Roman" w:eastAsia="宋体" w:cs="Times New Roman"/>
                <w:i w:val="0"/>
                <w:iCs w:val="0"/>
                <w:color w:val="000000"/>
                <w:sz w:val="13"/>
                <w:szCs w:val="13"/>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D71ABB9">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成本指标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75AC721">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经济成本指标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D52145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人均调研成本</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E771D7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CB4BB93">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470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66725E4">
            <w:pPr>
              <w:jc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人/天</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E8CF138">
            <w:pPr>
              <w:jc w:val="center"/>
              <w:rPr>
                <w:rFonts w:hint="default" w:ascii="Times New Roman" w:hAnsi="Times New Roman" w:eastAsia="微软雅黑" w:cs="Times New Roman"/>
                <w:i w:val="0"/>
                <w:iCs w:val="0"/>
                <w:color w:val="000000"/>
                <w:sz w:val="13"/>
                <w:szCs w:val="13"/>
                <w:u w:val="none"/>
                <w:lang w:val="en-US" w:eastAsia="zh-CN"/>
              </w:rPr>
            </w:pPr>
            <w:r>
              <w:rPr>
                <w:rFonts w:hint="default" w:ascii="Times New Roman" w:hAnsi="Times New Roman" w:eastAsia="微软雅黑" w:cs="Times New Roman"/>
                <w:i w:val="0"/>
                <w:iCs w:val="0"/>
                <w:color w:val="000000"/>
                <w:sz w:val="13"/>
                <w:szCs w:val="13"/>
                <w:u w:val="none"/>
                <w:lang w:val="en-US" w:eastAsia="zh-CN"/>
              </w:rPr>
              <w:t>470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6FE9EFF">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BDAFAC4">
            <w:pPr>
              <w:jc w:val="cente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499C12B">
            <w:pPr>
              <w:jc w:val="center"/>
              <w:rPr>
                <w:rFonts w:hint="default" w:ascii="Times New Roman" w:hAnsi="Times New Roman" w:eastAsia="微软雅黑" w:cs="Times New Roman"/>
                <w:i w:val="0"/>
                <w:iCs w:val="0"/>
                <w:color w:val="000000"/>
                <w:sz w:val="13"/>
                <w:szCs w:val="13"/>
                <w:u w:val="none"/>
              </w:rPr>
            </w:pPr>
          </w:p>
        </w:tc>
      </w:tr>
      <w:tr w14:paraId="0E365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2638624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99451A0">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7C9FF01">
            <w:pPr>
              <w:rPr>
                <w:rFonts w:hint="default" w:ascii="Times New Roman" w:hAnsi="Times New Roman" w:eastAsia="宋体" w:cs="Times New Roman"/>
                <w:i w:val="0"/>
                <w:iCs w:val="0"/>
                <w:color w:val="000000"/>
                <w:sz w:val="13"/>
                <w:szCs w:val="13"/>
                <w:u w:val="none"/>
                <w:lang w:val="en-US" w:eastAsia="zh-CN"/>
              </w:rPr>
            </w:pPr>
            <w:r>
              <w:rPr>
                <w:rFonts w:hint="default" w:ascii="Times New Roman" w:hAnsi="Times New Roman" w:eastAsia="宋体" w:cs="Times New Roman"/>
                <w:i w:val="0"/>
                <w:iCs w:val="0"/>
                <w:color w:val="000000"/>
                <w:sz w:val="13"/>
                <w:szCs w:val="13"/>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C6AF62B">
            <w:pPr>
              <w:rPr>
                <w:rFonts w:hint="default" w:ascii="Times New Roman" w:hAnsi="Times New Roman" w:eastAsia="宋体" w:cs="Times New Roman"/>
                <w:i w:val="0"/>
                <w:iCs w:val="0"/>
                <w:color w:val="000000"/>
                <w:sz w:val="13"/>
                <w:szCs w:val="13"/>
                <w:u w:val="none"/>
              </w:rPr>
            </w:pPr>
          </w:p>
        </w:tc>
      </w:tr>
      <w:tr w14:paraId="4768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2522F4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2A31DD9E">
            <w:pPr>
              <w:keepNext w:val="0"/>
              <w:keepLines w:val="0"/>
              <w:widowControl/>
              <w:suppressLineNumbers w:val="0"/>
              <w:jc w:val="left"/>
              <w:textAlignment w:val="center"/>
              <w:rPr>
                <w:rFonts w:hint="default" w:ascii="Times New Roman" w:hAnsi="Times New Roman" w:eastAsia="微软雅黑" w:cs="Times New Roman"/>
                <w:i w:val="0"/>
                <w:iCs w:val="0"/>
                <w:color w:val="000000"/>
                <w:sz w:val="13"/>
                <w:szCs w:val="13"/>
                <w:u w:val="none"/>
                <w:lang w:val="en-US"/>
              </w:rPr>
            </w:pPr>
            <w:r>
              <w:rPr>
                <w:rFonts w:hint="default" w:ascii="Times New Roman" w:hAnsi="Times New Roman" w:eastAsia="微软雅黑" w:cs="Times New Roman"/>
                <w:i w:val="0"/>
                <w:iCs w:val="0"/>
                <w:color w:val="000000"/>
                <w:kern w:val="0"/>
                <w:sz w:val="13"/>
                <w:szCs w:val="13"/>
                <w:u w:val="none"/>
                <w:lang w:val="en-US" w:eastAsia="zh-CN" w:bidi="ar"/>
              </w:rPr>
              <w:t>2024年完成了项目设定目标。</w:t>
            </w:r>
          </w:p>
        </w:tc>
      </w:tr>
      <w:tr w14:paraId="0721E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56D744D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0F69AFBA">
            <w:pPr>
              <w:keepNext w:val="0"/>
              <w:keepLines w:val="0"/>
              <w:widowControl/>
              <w:suppressLineNumbers w:val="0"/>
              <w:jc w:val="left"/>
              <w:textAlignment w:val="center"/>
              <w:rPr>
                <w:rFonts w:hint="default" w:ascii="Times New Roman" w:hAnsi="Times New Roman" w:eastAsia="微软雅黑" w:cs="Times New Roman"/>
                <w:i w:val="0"/>
                <w:iCs w:val="0"/>
                <w:color w:val="000000"/>
                <w:sz w:val="13"/>
                <w:szCs w:val="13"/>
                <w:u w:val="none"/>
                <w:lang w:val="en-US" w:eastAsia="zh-CN"/>
              </w:rPr>
            </w:pPr>
            <w:r>
              <w:rPr>
                <w:rFonts w:hint="default" w:ascii="Times New Roman" w:hAnsi="Times New Roman" w:eastAsia="微软雅黑" w:cs="Times New Roman"/>
                <w:i w:val="0"/>
                <w:iCs w:val="0"/>
                <w:color w:val="000000"/>
                <w:sz w:val="13"/>
                <w:szCs w:val="13"/>
                <w:u w:val="none"/>
                <w:lang w:val="en-US" w:eastAsia="zh-CN"/>
              </w:rPr>
              <w:t>无</w:t>
            </w:r>
          </w:p>
        </w:tc>
      </w:tr>
      <w:tr w14:paraId="1F291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1EB971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21442C4D">
            <w:pPr>
              <w:keepNext w:val="0"/>
              <w:keepLines w:val="0"/>
              <w:widowControl/>
              <w:suppressLineNumbers w:val="0"/>
              <w:jc w:val="left"/>
              <w:textAlignment w:val="center"/>
              <w:rPr>
                <w:rFonts w:hint="default" w:ascii="Times New Roman" w:hAnsi="Times New Roman" w:eastAsia="微软雅黑" w:cs="Times New Roman"/>
                <w:i w:val="0"/>
                <w:iCs w:val="0"/>
                <w:color w:val="000000"/>
                <w:sz w:val="13"/>
                <w:szCs w:val="13"/>
                <w:u w:val="none"/>
              </w:rPr>
            </w:pPr>
            <w:r>
              <w:rPr>
                <w:rFonts w:hint="default" w:ascii="Times New Roman" w:hAnsi="Times New Roman" w:eastAsia="微软雅黑" w:cs="Times New Roman"/>
                <w:i w:val="0"/>
                <w:iCs w:val="0"/>
                <w:color w:val="000000"/>
                <w:kern w:val="0"/>
                <w:sz w:val="13"/>
                <w:szCs w:val="13"/>
                <w:u w:val="none"/>
                <w:lang w:val="en-US" w:eastAsia="zh-CN" w:bidi="ar"/>
              </w:rPr>
              <w:t>无</w:t>
            </w:r>
          </w:p>
        </w:tc>
      </w:tr>
      <w:tr w14:paraId="54AAF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62B2B967">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78C57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67BE0E30">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4645E2FA">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51320021T000000048597-统战群工工作经费</w:t>
            </w:r>
          </w:p>
        </w:tc>
      </w:tr>
      <w:tr w14:paraId="148D7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46B0A6F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8AE9BA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州直机关工委部门</w:t>
            </w:r>
          </w:p>
        </w:tc>
        <w:tc>
          <w:tcPr>
            <w:tcW w:w="1041" w:type="dxa"/>
            <w:tcBorders>
              <w:top w:val="nil"/>
              <w:left w:val="nil"/>
              <w:bottom w:val="nil"/>
              <w:right w:val="nil"/>
            </w:tcBorders>
            <w:noWrap w:val="0"/>
            <w:vAlign w:val="center"/>
          </w:tcPr>
          <w:p w14:paraId="10CDE45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黑体" w:cs="Times New Roman"/>
                <w:i w:val="0"/>
                <w:iCs w:val="0"/>
                <w:color w:val="000000"/>
                <w:kern w:val="0"/>
                <w:sz w:val="15"/>
                <w:szCs w:val="15"/>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0804977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州直机关工委</w:t>
            </w:r>
          </w:p>
        </w:tc>
      </w:tr>
      <w:tr w14:paraId="6DB8D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8FD6A5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7E9537D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4509C92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6D0BE9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黑体" w:cs="Times New Roman"/>
                <w:i w:val="0"/>
                <w:iCs w:val="0"/>
                <w:color w:val="000000"/>
                <w:kern w:val="0"/>
                <w:sz w:val="15"/>
                <w:szCs w:val="15"/>
                <w:u w:val="none"/>
                <w:lang w:val="en-US" w:eastAsia="zh-CN" w:bidi="ar"/>
              </w:rPr>
              <w:t>年度目标完成情况</w:t>
            </w:r>
          </w:p>
        </w:tc>
      </w:tr>
      <w:tr w14:paraId="71BE0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691BBF">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39EF2">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63AE041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开展驻村帮扶、统战群团、因私出国（境）证件管理等日常工作，举办1</w:t>
            </w:r>
            <w:r>
              <w:rPr>
                <w:rFonts w:hint="eastAsia" w:cs="Times New Roman"/>
                <w:i w:val="0"/>
                <w:iCs w:val="0"/>
                <w:color w:val="000000"/>
                <w:kern w:val="0"/>
                <w:sz w:val="15"/>
                <w:szCs w:val="15"/>
                <w:u w:val="none"/>
                <w:lang w:val="en-US" w:eastAsia="zh-CN" w:bidi="ar"/>
              </w:rPr>
              <w:t>次</w:t>
            </w:r>
            <w:r>
              <w:rPr>
                <w:rFonts w:hint="default" w:ascii="Times New Roman" w:hAnsi="Times New Roman" w:eastAsia="宋体" w:cs="Times New Roman"/>
                <w:i w:val="0"/>
                <w:iCs w:val="0"/>
                <w:color w:val="000000"/>
                <w:kern w:val="0"/>
                <w:sz w:val="15"/>
                <w:szCs w:val="15"/>
                <w:u w:val="none"/>
                <w:lang w:val="en-US" w:eastAsia="zh-CN" w:bidi="ar"/>
              </w:rPr>
              <w:t>州直机关300名妇女干部参加的婚姻家庭纠纷预防化解暨妇女儿童维权工作专题讲座，举办州直机关团员青年、妇女参加宣传宣讲活动，指导州直各部门党组织开展统战工作，抓实工委民族团结相关工作。</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7E1ECD2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全面完成年初设定目标。</w:t>
            </w:r>
          </w:p>
        </w:tc>
      </w:tr>
      <w:tr w14:paraId="5150C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6F5E6">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3064E6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41B867FD">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sz w:val="15"/>
                <w:szCs w:val="15"/>
                <w:u w:val="none"/>
              </w:rPr>
              <w:t>举办了《中华人民共和国妇女权益保障法》等专题讲座2场，积极动员州直部门434名干部职工、18个机关妇女组织24位爱心妈妈结对帮扶455名留守困境失掇学儿童，深入推进关爱行动；指导新成立1</w:t>
            </w:r>
            <w:r>
              <w:rPr>
                <w:rFonts w:hint="eastAsia" w:cs="Times New Roman"/>
                <w:i w:val="0"/>
                <w:iCs w:val="0"/>
                <w:color w:val="000000"/>
                <w:sz w:val="15"/>
                <w:szCs w:val="15"/>
                <w:u w:val="none"/>
                <w:lang w:eastAsia="zh-CN"/>
              </w:rPr>
              <w:t>个独</w:t>
            </w:r>
            <w:r>
              <w:rPr>
                <w:rFonts w:hint="default" w:ascii="Times New Roman" w:hAnsi="Times New Roman" w:eastAsia="宋体" w:cs="Times New Roman"/>
                <w:i w:val="0"/>
                <w:iCs w:val="0"/>
                <w:color w:val="000000"/>
                <w:sz w:val="15"/>
                <w:szCs w:val="15"/>
                <w:u w:val="none"/>
              </w:rPr>
              <w:t>立妇委会，12个群团组织按期换届，配强了群团干部，全覆盖开展州直部门（单位）、州属企事业单位科级及以下干部职工因私出国（境）证件的清理自查工作，持续巩固因私出入国（境）证件集中管理成果。</w:t>
            </w:r>
          </w:p>
        </w:tc>
      </w:tr>
      <w:tr w14:paraId="34E25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9B352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2888A8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3FA8A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E6966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505DE4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2D7EAD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D001C1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EC745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BB4B3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原因</w:t>
            </w:r>
          </w:p>
        </w:tc>
      </w:tr>
      <w:tr w14:paraId="534D8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A859A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FE20D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B22DE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07F9D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5D3CF7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933124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31E9D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325AE1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6FBA84E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rPr>
            </w:pPr>
          </w:p>
        </w:tc>
      </w:tr>
      <w:tr w14:paraId="4C3B9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418AB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D4D30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DC5F28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F14DC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FBD7C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EFAB0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ACB129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2C6B8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E8D868">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11EAA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DDF4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83196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C8F07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3BD02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5E9B4FF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331DA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58C122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F8E829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D20E8">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04011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ED13B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F92CD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F6F6B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AECFF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0BF50D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6F913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125AE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D4F49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3EEA3">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69E4E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5A2D2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47CA96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F16A75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30B990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275955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DA364B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3E8FD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9AD71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AC2D84">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3B438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1FA445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D5BC5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5F1EF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09ECE3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55BEF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70E0F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AAF75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D0FAA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7FDAA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D232E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2F9644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未完成原因分析</w:t>
            </w:r>
          </w:p>
        </w:tc>
      </w:tr>
      <w:tr w14:paraId="593C0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C66E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43E6A5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EDD57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5AD57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州直机关部门（单位）</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E4FF6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42004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103</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3368E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5DB854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103</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1B52A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A0A6D9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EE0EA4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2F752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9E34F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5A1CE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9CE36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质量指标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07A4EB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提升群团工作水平</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673AC7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D22DA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进一步提升</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7BAB171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ABF72C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进一步提升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76EB84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414997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69307A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1625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DBA8C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D7F9B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472A8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时效指标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E06EF0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活动开展时间</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A6C735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AA09C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12月底前</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157B71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FEC372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已完成</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D5DF1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A53D9A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2227DF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7B085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DADF4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C6E5D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D4299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BEA186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促进州直机关群团工作有序发展</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B0AAE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03ED61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进一步促进</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D4333C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FDC053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进一步促进</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26A1FB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3AF365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62615D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469C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BE1EF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9315C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满意度指标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DECAA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服务对象满意度指标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F37F2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州直机关群团满意度</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897D5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0FA49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41CAC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0A1532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90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985291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FA6615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04D0BE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0823D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1ADAD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03BB6E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成本指标</w:t>
            </w:r>
          </w:p>
        </w:tc>
        <w:tc>
          <w:tcPr>
            <w:tcW w:w="16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B1997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经济成本指标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A5406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出差人均成本</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7768B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C1580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5BC29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人/天</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C65486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470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83349F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7F6140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642CE9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47557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23013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88977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98D15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634E28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开展活动人均成本</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6488F8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99410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230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F6FD2A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人/天</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30DFFC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150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74AB96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39B840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791C03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61A31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678AFA3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D6A4A4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71436E1">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FED0CCC">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r>
      <w:tr w14:paraId="086CE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7A88CD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4CA097B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项目总体运行良好，项目自评总分100分。</w:t>
            </w:r>
          </w:p>
        </w:tc>
      </w:tr>
      <w:tr w14:paraId="1E86F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15E6F1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56B9FD1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无</w:t>
            </w:r>
          </w:p>
        </w:tc>
      </w:tr>
      <w:tr w14:paraId="3391D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04CB00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67AE53D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无</w:t>
            </w:r>
          </w:p>
        </w:tc>
      </w:tr>
      <w:tr w14:paraId="1A869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4508080E">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548AF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66A64F7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49EF9E3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51320021T000000048598-州直机关党员干部教育培训工作经费</w:t>
            </w:r>
          </w:p>
        </w:tc>
      </w:tr>
      <w:tr w14:paraId="1DB1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66E045F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59B025B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州直机关工委部门</w:t>
            </w:r>
          </w:p>
        </w:tc>
        <w:tc>
          <w:tcPr>
            <w:tcW w:w="1041" w:type="dxa"/>
            <w:tcBorders>
              <w:top w:val="nil"/>
              <w:left w:val="nil"/>
              <w:bottom w:val="nil"/>
              <w:right w:val="nil"/>
            </w:tcBorders>
            <w:noWrap w:val="0"/>
            <w:vAlign w:val="center"/>
          </w:tcPr>
          <w:p w14:paraId="0641B08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黑体" w:cs="Times New Roman"/>
                <w:i w:val="0"/>
                <w:iCs w:val="0"/>
                <w:color w:val="000000"/>
                <w:kern w:val="0"/>
                <w:sz w:val="15"/>
                <w:szCs w:val="15"/>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623B49C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州直机关工委</w:t>
            </w:r>
          </w:p>
        </w:tc>
      </w:tr>
      <w:tr w14:paraId="224C5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EB0034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608CF9F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051C87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7FAC8F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黑体" w:cs="Times New Roman"/>
                <w:i w:val="0"/>
                <w:iCs w:val="0"/>
                <w:color w:val="000000"/>
                <w:kern w:val="0"/>
                <w:sz w:val="15"/>
                <w:szCs w:val="15"/>
                <w:u w:val="none"/>
                <w:lang w:val="en-US" w:eastAsia="zh-CN" w:bidi="ar"/>
              </w:rPr>
              <w:t>年度目标完成情况</w:t>
            </w:r>
          </w:p>
        </w:tc>
      </w:tr>
      <w:tr w14:paraId="4408E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6541D9">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34B0F4">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2723877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举办州直机关党组织书记培训</w:t>
            </w:r>
            <w:r>
              <w:rPr>
                <w:rFonts w:hint="default" w:ascii="Times New Roman" w:hAnsi="Times New Roman" w:cs="Times New Roman"/>
                <w:i w:val="0"/>
                <w:iCs w:val="0"/>
                <w:color w:val="000000"/>
                <w:kern w:val="0"/>
                <w:sz w:val="15"/>
                <w:szCs w:val="15"/>
                <w:u w:val="none"/>
                <w:lang w:val="en-US" w:eastAsia="zh-CN" w:bidi="ar"/>
              </w:rPr>
              <w:t>、</w:t>
            </w:r>
            <w:r>
              <w:rPr>
                <w:rFonts w:hint="default" w:ascii="Times New Roman" w:hAnsi="Times New Roman" w:eastAsia="宋体" w:cs="Times New Roman"/>
                <w:i w:val="0"/>
                <w:iCs w:val="0"/>
                <w:color w:val="000000"/>
                <w:kern w:val="0"/>
                <w:sz w:val="15"/>
                <w:szCs w:val="15"/>
                <w:u w:val="none"/>
                <w:lang w:val="en-US" w:eastAsia="zh-CN" w:bidi="ar"/>
              </w:rPr>
              <w:t>入党积极分子培训</w:t>
            </w:r>
            <w:r>
              <w:rPr>
                <w:rFonts w:hint="default" w:ascii="Times New Roman" w:hAnsi="Times New Roman" w:cs="Times New Roman"/>
                <w:i w:val="0"/>
                <w:iCs w:val="0"/>
                <w:color w:val="000000"/>
                <w:kern w:val="0"/>
                <w:sz w:val="15"/>
                <w:szCs w:val="15"/>
                <w:u w:val="none"/>
                <w:lang w:val="en-US" w:eastAsia="zh-CN" w:bidi="ar"/>
              </w:rPr>
              <w:t>、</w:t>
            </w:r>
            <w:r>
              <w:rPr>
                <w:rFonts w:hint="default" w:ascii="Times New Roman" w:hAnsi="Times New Roman" w:eastAsia="宋体" w:cs="Times New Roman"/>
                <w:i w:val="0"/>
                <w:iCs w:val="0"/>
                <w:color w:val="000000"/>
                <w:kern w:val="0"/>
                <w:sz w:val="15"/>
                <w:szCs w:val="15"/>
                <w:u w:val="none"/>
                <w:lang w:val="en-US" w:eastAsia="zh-CN" w:bidi="ar"/>
              </w:rPr>
              <w:t>党务干部培训</w:t>
            </w:r>
            <w:r>
              <w:rPr>
                <w:rFonts w:hint="default" w:ascii="Times New Roman" w:hAnsi="Times New Roman" w:cs="Times New Roman"/>
                <w:i w:val="0"/>
                <w:iCs w:val="0"/>
                <w:color w:val="000000"/>
                <w:kern w:val="0"/>
                <w:sz w:val="15"/>
                <w:szCs w:val="15"/>
                <w:u w:val="none"/>
                <w:lang w:val="en-US" w:eastAsia="zh-CN" w:bidi="ar"/>
              </w:rPr>
              <w:t>、</w:t>
            </w:r>
            <w:r>
              <w:rPr>
                <w:rFonts w:hint="default" w:ascii="Times New Roman" w:hAnsi="Times New Roman" w:eastAsia="宋体" w:cs="Times New Roman"/>
                <w:i w:val="0"/>
                <w:iCs w:val="0"/>
                <w:color w:val="000000"/>
                <w:kern w:val="0"/>
                <w:sz w:val="15"/>
                <w:szCs w:val="15"/>
                <w:u w:val="none"/>
                <w:lang w:val="en-US" w:eastAsia="zh-CN" w:bidi="ar"/>
              </w:rPr>
              <w:t>州直机关青年干部理论素养和能力素质提升培训班</w:t>
            </w:r>
            <w:r>
              <w:rPr>
                <w:rFonts w:hint="default" w:ascii="Times New Roman" w:hAnsi="Times New Roman" w:cs="Times New Roman"/>
                <w:i w:val="0"/>
                <w:iCs w:val="0"/>
                <w:color w:val="000000"/>
                <w:kern w:val="0"/>
                <w:sz w:val="15"/>
                <w:szCs w:val="15"/>
                <w:u w:val="none"/>
                <w:lang w:val="en-US" w:eastAsia="zh-CN" w:bidi="ar"/>
              </w:rPr>
              <w:t>及</w:t>
            </w:r>
            <w:r>
              <w:rPr>
                <w:rFonts w:hint="default" w:ascii="Times New Roman" w:hAnsi="Times New Roman" w:eastAsia="宋体" w:cs="Times New Roman"/>
                <w:i w:val="0"/>
                <w:iCs w:val="0"/>
                <w:color w:val="000000"/>
                <w:kern w:val="0"/>
                <w:sz w:val="15"/>
                <w:szCs w:val="15"/>
                <w:u w:val="none"/>
                <w:lang w:val="en-US" w:eastAsia="zh-CN" w:bidi="ar"/>
              </w:rPr>
              <w:t>对州直机关选派的驻村干部示范培训</w:t>
            </w:r>
            <w:r>
              <w:rPr>
                <w:rFonts w:hint="default" w:ascii="Times New Roman" w:hAnsi="Times New Roman" w:cs="Times New Roman"/>
                <w:i w:val="0"/>
                <w:iCs w:val="0"/>
                <w:color w:val="000000"/>
                <w:kern w:val="0"/>
                <w:sz w:val="15"/>
                <w:szCs w:val="15"/>
                <w:u w:val="none"/>
                <w:lang w:val="en-US" w:eastAsia="zh-CN" w:bidi="ar"/>
              </w:rPr>
              <w:t>等7期培训。</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05BAAF9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分层分类举办党组织书记、党务干部、入党积极分子、青年理论骨干、纪检干部、驻村干部等培训班8期、培训班，826人参训，有效提升了机关党员干部的政治素养和履职能力。</w:t>
            </w:r>
          </w:p>
        </w:tc>
      </w:tr>
      <w:tr w14:paraId="4D2AB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4419B">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80AEC0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58FF8079">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sz w:val="15"/>
                <w:szCs w:val="15"/>
                <w:u w:val="none"/>
              </w:rPr>
              <w:t>2024 年，州直机关党员干部教育培训工作以学习贯彻党的二十大精神为主线，围绕州委中心工作，以 “提素质、强能力、促发展” 为目标，深入学习习近平新时代中国特色社会主义思想、党的二十大精神及习近平总书记关于四川、阿坝工作的重要指示批示精神，围绕乡村振兴、基层治理等中心工作，设置专题课程。</w:t>
            </w:r>
          </w:p>
        </w:tc>
      </w:tr>
      <w:tr w14:paraId="06818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3D1E2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916B5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FDBF2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ACB4B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7A5A1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B809C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618E0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11742F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2C9336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原因</w:t>
            </w:r>
          </w:p>
        </w:tc>
      </w:tr>
      <w:tr w14:paraId="5D0C7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B92D7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326EA6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E65FB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BB70F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0D751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38510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A803A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110F06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5F742CE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rPr>
            </w:pPr>
          </w:p>
        </w:tc>
      </w:tr>
      <w:tr w14:paraId="6EC72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CE362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16B10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CC0424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4BCCB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D9F5B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80.00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BEE40B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FF44C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A30AA9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C4E618">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4959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8EEDC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457780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C8CFB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3DA207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3106E6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62E64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2D5E3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4DA6CF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17E291">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3A81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236D7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6BBF0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64D49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48004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4AA7D0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E39DB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43E2C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24DB1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69D8E1">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14A75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A031DB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54749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185BF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4E5E9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C689B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B123D4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A8F8C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2F18C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43CF9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C52EE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99DFA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未完成原因分析</w:t>
            </w:r>
          </w:p>
        </w:tc>
      </w:tr>
      <w:tr w14:paraId="39CFD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C01DA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5D218B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产出指标</w:t>
            </w:r>
          </w:p>
        </w:tc>
        <w:tc>
          <w:tcPr>
            <w:tcW w:w="16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E217E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FAE0C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参训人数</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16C83D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EF071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70AF8DD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人</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7D1E54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826</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39F4A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A830C2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4A8AAD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793A6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08611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88D3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B719F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3FDF7E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举办培训班场次</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82118E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0CFA1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B8DCE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次</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BD9B57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8</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3DEAA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5C5B56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246D40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6EAA6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AC9DF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F06CA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C25FEB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质量指标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C219F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按照年初计划完成</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19BE69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930554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B2DFE4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F90133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8</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F544C8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F7E2DB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552DAB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23795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EA3A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EE4EC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779C4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时效指标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FFC66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项目完成时间</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487657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B2A42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12月底前</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00877D0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ABB86D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11月前完成</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0BD92B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AAA6B0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37FA4F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4BC82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0522E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C474B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2651A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540B99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提升参训人员业务水平</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791512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0DB35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进一步提升</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7520FC8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4F6E5E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进一步提升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26D03B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B4568E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E3AFE1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68C48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1C425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026F9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满意度指标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77F82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服务对象满意度指标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E82CD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参训人员满意度</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515AA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62FD1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67EDC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782814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90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E8AAD9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E21633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FA9E09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1FA53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8219B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1EFA23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成本指标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566845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经济成本指标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C5B87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人均培训成本</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5F4A2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05E389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7080E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元/天</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79FABC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400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B5142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CCF8AB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7C2E14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1F75B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11D3136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FFEAC6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6271E8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C2FDFD9">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r>
      <w:tr w14:paraId="6F03F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427343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0FB6662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该项目总体运行良好，项目自评总分100分。</w:t>
            </w:r>
          </w:p>
        </w:tc>
      </w:tr>
      <w:tr w14:paraId="10CEF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701F4A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21EDFE5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无</w:t>
            </w:r>
          </w:p>
        </w:tc>
      </w:tr>
      <w:tr w14:paraId="1A7E0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01821F9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5F5F439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无</w:t>
            </w:r>
          </w:p>
        </w:tc>
      </w:tr>
      <w:tr w14:paraId="1A25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1935E32E">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30F0C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2D0DCE8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4D5764D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51320021T000000048599-州驻村帮扶工作经费</w:t>
            </w:r>
          </w:p>
        </w:tc>
      </w:tr>
      <w:tr w14:paraId="5B2F8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38BA52D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354B5B7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州直机关工委部门</w:t>
            </w:r>
          </w:p>
        </w:tc>
        <w:tc>
          <w:tcPr>
            <w:tcW w:w="1041" w:type="dxa"/>
            <w:tcBorders>
              <w:top w:val="nil"/>
              <w:left w:val="nil"/>
              <w:bottom w:val="nil"/>
              <w:right w:val="nil"/>
            </w:tcBorders>
            <w:noWrap w:val="0"/>
            <w:vAlign w:val="center"/>
          </w:tcPr>
          <w:p w14:paraId="123250D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黑体" w:cs="Times New Roman"/>
                <w:i w:val="0"/>
                <w:iCs w:val="0"/>
                <w:color w:val="000000"/>
                <w:kern w:val="0"/>
                <w:sz w:val="15"/>
                <w:szCs w:val="15"/>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695F39A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州直机关工委</w:t>
            </w:r>
          </w:p>
        </w:tc>
      </w:tr>
      <w:tr w14:paraId="41F6E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E7007B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2C6329D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1BB035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7FEEED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黑体" w:cs="Times New Roman"/>
                <w:i w:val="0"/>
                <w:iCs w:val="0"/>
                <w:color w:val="000000"/>
                <w:kern w:val="0"/>
                <w:sz w:val="15"/>
                <w:szCs w:val="15"/>
                <w:u w:val="none"/>
                <w:lang w:val="en-US" w:eastAsia="zh-CN" w:bidi="ar"/>
              </w:rPr>
              <w:t>年度目标完成情况</w:t>
            </w:r>
          </w:p>
        </w:tc>
      </w:tr>
      <w:tr w14:paraId="1BB90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3B5087">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B031B6">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61FB335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　做好13县（市）和州直各部门开展驻村帮扶工作督促指导。</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6DD506A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sz w:val="15"/>
                <w:szCs w:val="15"/>
                <w:u w:val="none"/>
              </w:rPr>
              <w:t>聚焦帮扶工作“对象、措施、成效”三个精准，通过“优选派、实举措、建机制、提能力、强管理”，充分发挥州级帮扶部门（单位）和广大驻村干部作用，积极服务乡村振兴发展战略，为奋力建设民族地区高质量发展阿坝典范夯基赋能。</w:t>
            </w:r>
          </w:p>
        </w:tc>
      </w:tr>
      <w:tr w14:paraId="55B10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ECDF6C">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0503A9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19EAACB6">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sz w:val="15"/>
                <w:szCs w:val="15"/>
                <w:u w:val="none"/>
              </w:rPr>
              <w:t>通过“新增派一批+轮换一批+调整一批”方式，采取“个人自荐+组织推荐+集中审核”，先后2批次，优化调整选派政治素质好、工作能力强、敢于担当的驻村干部134名；坚持州、县联动，采取分层次、分类别、分专题等方式，先后举办州级示范培训1期，县级兜底培训20余期，确保269名州级选派驻村第一书记和工作队员专题培训全覆盖，成立4个工作调研督导组，深入92个州直部门（单位），采取看、听、查、谈等方式，调研督促指导州直部门（单位）定点帮扶、驻村干部跟踪管理工作，发现问题10个，督促限期整改10个，采取“四不两直”方式，由常务副书记和分管领导带队先后深入红原、阿坝、若尔盖、松潘、九寨沟、金川、马尔康7县20个乡镇,实地调研察看驻村干部在岗履职、后勤保障落实等情况。</w:t>
            </w:r>
          </w:p>
        </w:tc>
      </w:tr>
      <w:tr w14:paraId="654E4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22753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13E79B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87745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015F36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BDFE00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364388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888FFC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A3B80C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CCFD3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原因</w:t>
            </w:r>
          </w:p>
        </w:tc>
      </w:tr>
      <w:tr w14:paraId="501DA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857AB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7A1805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6B9DB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12.00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DF113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11.60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7849A7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11.60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A5DC7F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17282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329727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13E59E7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rPr>
            </w:pPr>
          </w:p>
        </w:tc>
      </w:tr>
      <w:tr w14:paraId="43EA7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FF3CE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DEAC5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E54FD7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12.00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B305F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11.60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00417D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11.60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A0FC2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846D2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D8EEF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50A426">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30B9D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689F5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451052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B176CF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C7C663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7621A8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9ACA76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759028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D513E4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266654">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00FFB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084C7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190885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872AA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D610B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E4EF4B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2A277B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E346BC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AE6BD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BBC7C5">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5"/>
                <w:szCs w:val="15"/>
                <w:u w:val="none"/>
              </w:rPr>
            </w:pPr>
          </w:p>
        </w:tc>
      </w:tr>
      <w:tr w14:paraId="67960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8C7A0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E1A8F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10DB8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37B27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713DC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C6E3F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142CF6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283DF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15B29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A9E392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EECEF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未完成原因分析</w:t>
            </w:r>
          </w:p>
        </w:tc>
      </w:tr>
      <w:tr w14:paraId="4311B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B54A6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348E6C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0558BD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CB1DB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选派驻村干部的州级部门（单位））</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4086C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6BCA7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103</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1E5BA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87A0AF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103</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98E7F8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F1B36C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964E93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2E07A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B8357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6342F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0B4060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质量指标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B9DEC1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通过考核</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C95C3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5CE7D6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05F5F42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625F97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507DD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4ED8F5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CC49B4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40D58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C1186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5F1DF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4A56F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时效指标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DF8FB8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项目完成时间</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8514F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9421D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12月底前</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192695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98ADA0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11月底前</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1BA55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4AD356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EE0C66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286A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0BF4D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0B6E2E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7061C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C35A6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促进全面乡村振兴</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10B456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6D9DE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进一步促进</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0910C56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71C7A0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进一步促进</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13758F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A32974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83C259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0BC67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8925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2B9CB94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满意度指标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F1023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服务对象满意度指标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0DBD0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驻村干部</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18C855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18D9F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73A077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E0C049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90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89EC1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A3C31A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396E19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074E8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69556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59CE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22923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帮扶对象满意度指标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E33E3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定点帮扶村满意度</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693A52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783692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90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B66D7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137D7B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90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50A09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71E1FA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13E7D5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35D13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C69BA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577AE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成本指标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E865D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经济成本指标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CD60D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出差成本</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151A42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BFD9A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470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ACF7E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元/天</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3E8115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470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F4EEF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96070C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37DAEC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rPr>
            </w:pPr>
          </w:p>
        </w:tc>
      </w:tr>
      <w:tr w14:paraId="7C80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1370D6D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5E761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2DF413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8383490">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r>
      <w:tr w14:paraId="21682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55A20C6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3BCF8DA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该项目总体运行良好，项目自评总分100分。</w:t>
            </w:r>
          </w:p>
        </w:tc>
      </w:tr>
      <w:tr w14:paraId="6F1F6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714AAB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1C44DE1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无</w:t>
            </w:r>
          </w:p>
        </w:tc>
      </w:tr>
      <w:tr w14:paraId="5EC23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6FC4CFF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727E5CE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无</w:t>
            </w:r>
          </w:p>
        </w:tc>
      </w:tr>
      <w:tr w14:paraId="14689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0FC3325E">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6907B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3AFF65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13E6BD2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51320022R000005203810-追加州级部门建房补贴</w:t>
            </w:r>
          </w:p>
        </w:tc>
      </w:tr>
      <w:tr w14:paraId="50BB1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3D1FADE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390007A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62806733">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298022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4D29B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D4E675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2F32B46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0EE4D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2A9B4846">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5918A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FE653B">
            <w:pP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FEE82">
            <w:pPr>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5910CE76">
            <w:pPr>
              <w:rPr>
                <w:rFonts w:hint="default" w:ascii="Times New Roman" w:hAnsi="Times New Roman" w:eastAsia="宋体" w:cs="Times New Roman"/>
                <w:i w:val="0"/>
                <w:iCs w:val="0"/>
                <w:color w:val="000000"/>
                <w:sz w:val="18"/>
                <w:szCs w:val="18"/>
                <w:u w:val="none"/>
                <w:lang w:eastAsia="zh-CN"/>
              </w:rPr>
            </w:pPr>
            <w:r>
              <w:rPr>
                <w:rFonts w:hint="default" w:ascii="Times New Roman" w:hAnsi="Times New Roman" w:cs="Times New Roman"/>
                <w:color w:val="000000"/>
                <w:kern w:val="0"/>
                <w:sz w:val="18"/>
                <w:szCs w:val="18"/>
                <w:lang w:bidi="ar"/>
              </w:rPr>
              <w:t>严格执行相关政策，保障工资及时、足额发放或社保及时、足额缴纳，预算编制科学合理，减少结余资金</w:t>
            </w:r>
            <w:r>
              <w:rPr>
                <w:rFonts w:hint="default" w:ascii="Times New Roman" w:hAnsi="Times New Roman" w:cs="Times New Roman"/>
                <w:color w:val="000000"/>
                <w:kern w:val="0"/>
                <w:sz w:val="18"/>
                <w:szCs w:val="18"/>
                <w:lang w:eastAsia="zh-CN" w:bidi="ar"/>
              </w:rPr>
              <w:t>。</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3A08547A">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w:t>
            </w:r>
          </w:p>
        </w:tc>
      </w:tr>
      <w:tr w14:paraId="00D48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1602DB">
            <w:pP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B18BFB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18844B75">
            <w:pP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严格执行相关政策，保障工资及时、足额发放或社保及时、足额缴纳，预算编制科学合理，减少结余资金</w:t>
            </w:r>
            <w:r>
              <w:rPr>
                <w:rFonts w:hint="default" w:ascii="Times New Roman" w:hAnsi="Times New Roman" w:cs="Times New Roman"/>
                <w:color w:val="000000"/>
                <w:kern w:val="0"/>
                <w:sz w:val="18"/>
                <w:szCs w:val="18"/>
                <w:lang w:eastAsia="zh-CN" w:bidi="ar"/>
              </w:rPr>
              <w:t>。</w:t>
            </w:r>
          </w:p>
        </w:tc>
      </w:tr>
      <w:tr w14:paraId="3F5F3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B95F7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4C4FB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0FA06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EC33B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47610F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F7F6F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DED57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A148A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35B98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52647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3E1F12">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34467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CEBE9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CB0B3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E5EA7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65571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67350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7A75F78">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2449F45">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4417E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46098B">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5D49F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A1871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9D0AB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DF540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481EE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ABD5D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E3A4A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F6C93">
            <w:pPr>
              <w:rPr>
                <w:rFonts w:hint="default" w:ascii="Times New Roman" w:hAnsi="Times New Roman" w:eastAsia="黑体" w:cs="Times New Roman"/>
                <w:i/>
                <w:iCs/>
                <w:color w:val="000000"/>
                <w:sz w:val="18"/>
                <w:szCs w:val="18"/>
                <w:u w:val="none"/>
              </w:rPr>
            </w:pPr>
          </w:p>
        </w:tc>
      </w:tr>
      <w:tr w14:paraId="1FEF7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0DF6BA">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481CE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50F36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A0F14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C30FE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E2430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5A476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448206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ABAF8">
            <w:pPr>
              <w:rPr>
                <w:rFonts w:hint="default" w:ascii="Times New Roman" w:hAnsi="Times New Roman" w:eastAsia="黑体" w:cs="Times New Roman"/>
                <w:i/>
                <w:iCs/>
                <w:color w:val="000000"/>
                <w:sz w:val="18"/>
                <w:szCs w:val="18"/>
                <w:u w:val="none"/>
              </w:rPr>
            </w:pPr>
          </w:p>
        </w:tc>
      </w:tr>
      <w:tr w14:paraId="56146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4E2CCA">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722B5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928A2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E4FA3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93E02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D1BDE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2D9BE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BABDA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7FD886">
            <w:pPr>
              <w:rPr>
                <w:rFonts w:hint="default" w:ascii="Times New Roman" w:hAnsi="Times New Roman" w:eastAsia="黑体" w:cs="Times New Roman"/>
                <w:i/>
                <w:iCs/>
                <w:color w:val="000000"/>
                <w:sz w:val="18"/>
                <w:szCs w:val="18"/>
                <w:u w:val="none"/>
              </w:rPr>
            </w:pPr>
          </w:p>
        </w:tc>
      </w:tr>
      <w:tr w14:paraId="02929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98A1FC">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AAFE1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132E727">
            <w:pPr>
              <w:jc w:val="center"/>
              <w:rPr>
                <w:rFonts w:hint="default" w:ascii="Times New Roman" w:hAnsi="Times New Roman" w:eastAsia="微软雅黑" w:cs="Times New Roman"/>
                <w:i/>
                <w:iCs/>
                <w:color w:val="000000"/>
                <w:sz w:val="16"/>
                <w:szCs w:val="16"/>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462345C">
            <w:pPr>
              <w:jc w:val="center"/>
              <w:rPr>
                <w:rFonts w:hint="default" w:ascii="Times New Roman" w:hAnsi="Times New Roman" w:eastAsia="微软雅黑" w:cs="Times New Roman"/>
                <w:i/>
                <w:iCs/>
                <w:color w:val="000000"/>
                <w:sz w:val="16"/>
                <w:szCs w:val="16"/>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68EDCD1">
            <w:pPr>
              <w:jc w:val="center"/>
              <w:rPr>
                <w:rFonts w:hint="default" w:ascii="Times New Roman" w:hAnsi="Times New Roman" w:eastAsia="微软雅黑" w:cs="Times New Roman"/>
                <w:i/>
                <w:iCs/>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F016744">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BE8C7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D7259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C69F4C">
            <w:pPr>
              <w:rPr>
                <w:rFonts w:hint="default" w:ascii="Times New Roman" w:hAnsi="Times New Roman" w:eastAsia="黑体" w:cs="Times New Roman"/>
                <w:i/>
                <w:iCs/>
                <w:color w:val="000000"/>
                <w:sz w:val="18"/>
                <w:szCs w:val="18"/>
                <w:u w:val="none"/>
              </w:rPr>
            </w:pPr>
          </w:p>
        </w:tc>
      </w:tr>
      <w:tr w14:paraId="6223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4C8E2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E8811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8760D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98759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73D2E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A63A8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0DB153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4D7C6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6F566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01ADF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2A43D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74C5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44730B">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6E4F24D">
            <w:pPr>
              <w:jc w:val="center"/>
              <w:rPr>
                <w:rFonts w:hint="default" w:ascii="Times New Roman" w:hAnsi="Times New Roman" w:eastAsia="宋体" w:cs="Times New Roman"/>
                <w:i w:val="0"/>
                <w:iCs w:val="0"/>
                <w:color w:val="000000"/>
                <w:sz w:val="18"/>
                <w:szCs w:val="18"/>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71173D0">
            <w:pPr>
              <w:jc w:val="center"/>
              <w:rPr>
                <w:rFonts w:hint="default" w:ascii="Times New Roman" w:hAnsi="Times New Roman" w:eastAsia="宋体" w:cs="Times New Roman"/>
                <w:i w:val="0"/>
                <w:iCs w:val="0"/>
                <w:color w:val="000000"/>
                <w:sz w:val="18"/>
                <w:szCs w:val="18"/>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D8410A5">
            <w:pPr>
              <w:jc w:val="center"/>
              <w:rPr>
                <w:rFonts w:hint="default" w:ascii="Times New Roman" w:hAnsi="Times New Roman" w:eastAsia="宋体" w:cs="Times New Roman"/>
                <w:i w:val="0"/>
                <w:iCs w:val="0"/>
                <w:color w:val="000000"/>
                <w:sz w:val="18"/>
                <w:szCs w:val="18"/>
                <w:u w:val="none"/>
              </w:rPr>
            </w:pP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1EE0255">
            <w:pPr>
              <w:jc w:val="center"/>
              <w:rPr>
                <w:rFonts w:hint="default" w:ascii="Times New Roman" w:hAnsi="Times New Roman" w:eastAsia="宋体" w:cs="Times New Roman"/>
                <w:i w:val="0"/>
                <w:iCs w:val="0"/>
                <w:color w:val="000000"/>
                <w:sz w:val="18"/>
                <w:szCs w:val="18"/>
                <w:u w:val="none"/>
              </w:rPr>
            </w:pP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8F55ADB">
            <w:pPr>
              <w:jc w:val="center"/>
              <w:rPr>
                <w:rFonts w:hint="default" w:ascii="Times New Roman" w:hAnsi="Times New Roman" w:eastAsia="宋体" w:cs="Times New Roman"/>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3953CF7">
            <w:pPr>
              <w:jc w:val="center"/>
              <w:rPr>
                <w:rFonts w:hint="default" w:ascii="Times New Roman" w:hAnsi="Times New Roman" w:eastAsia="宋体" w:cs="Times New Roman"/>
                <w:i w:val="0"/>
                <w:iCs w:val="0"/>
                <w:color w:val="000000"/>
                <w:sz w:val="18"/>
                <w:szCs w:val="18"/>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45E7631">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F6A2119">
            <w:pPr>
              <w:jc w:val="center"/>
              <w:rPr>
                <w:rFonts w:hint="default" w:ascii="Times New Roman" w:hAnsi="Times New Roman" w:eastAsia="宋体" w:cs="Times New Roman"/>
                <w:i w:val="0"/>
                <w:iCs w:val="0"/>
                <w:color w:val="000000"/>
                <w:sz w:val="18"/>
                <w:szCs w:val="18"/>
                <w:u w:val="none"/>
              </w:rPr>
            </w:pP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DE24040">
            <w:pPr>
              <w:jc w:val="center"/>
              <w:rPr>
                <w:rFonts w:hint="default" w:ascii="Times New Roman" w:hAnsi="Times New Roman" w:eastAsia="宋体" w:cs="Times New Roman"/>
                <w:i w:val="0"/>
                <w:iCs w:val="0"/>
                <w:color w:val="000000"/>
                <w:sz w:val="18"/>
                <w:szCs w:val="18"/>
                <w:u w:val="none"/>
              </w:rPr>
            </w:pP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CFAC06F">
            <w:pPr>
              <w:jc w:val="center"/>
              <w:rPr>
                <w:rFonts w:hint="default" w:ascii="Times New Roman" w:hAnsi="Times New Roman" w:eastAsia="微软雅黑" w:cs="Times New Roman"/>
                <w:i/>
                <w:iCs/>
                <w:color w:val="000000"/>
                <w:sz w:val="16"/>
                <w:szCs w:val="16"/>
                <w:u w:val="none"/>
              </w:rPr>
            </w:pPr>
          </w:p>
        </w:tc>
      </w:tr>
      <w:tr w14:paraId="03FF5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5A9B48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B7D3D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4FE0081">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F2A4DFF">
            <w:pPr>
              <w:jc w:val="center"/>
              <w:rPr>
                <w:rFonts w:hint="default" w:ascii="Times New Roman" w:hAnsi="Times New Roman" w:eastAsia="宋体" w:cs="Times New Roman"/>
                <w:i w:val="0"/>
                <w:iCs w:val="0"/>
                <w:color w:val="000000"/>
                <w:sz w:val="18"/>
                <w:szCs w:val="18"/>
                <w:u w:val="none"/>
              </w:rPr>
            </w:pPr>
          </w:p>
        </w:tc>
      </w:tr>
      <w:tr w14:paraId="13E0C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77384F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4E740CE2">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项目总体执行良好。</w:t>
            </w:r>
          </w:p>
        </w:tc>
      </w:tr>
      <w:tr w14:paraId="09351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7D0001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5CEF013E">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52E95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3E18DE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1738195B">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5B2A4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tcBorders>
              <w:top w:val="nil"/>
              <w:left w:val="nil"/>
              <w:bottom w:val="nil"/>
              <w:right w:val="nil"/>
            </w:tcBorders>
            <w:noWrap w:val="0"/>
            <w:vAlign w:val="center"/>
          </w:tcPr>
          <w:p w14:paraId="6D647AB5">
            <w:pPr>
              <w:rPr>
                <w:rFonts w:hint="default" w:ascii="Times New Roman" w:hAnsi="Times New Roman" w:eastAsia="宋体" w:cs="Times New Roman"/>
                <w:i w:val="0"/>
                <w:iCs w:val="0"/>
                <w:color w:val="000000"/>
                <w:sz w:val="18"/>
                <w:szCs w:val="18"/>
                <w:u w:val="none"/>
              </w:rPr>
            </w:pPr>
          </w:p>
        </w:tc>
        <w:tc>
          <w:tcPr>
            <w:tcW w:w="1838" w:type="dxa"/>
            <w:tcBorders>
              <w:top w:val="nil"/>
              <w:left w:val="nil"/>
              <w:bottom w:val="nil"/>
              <w:right w:val="nil"/>
            </w:tcBorders>
            <w:noWrap w:val="0"/>
            <w:vAlign w:val="center"/>
          </w:tcPr>
          <w:p w14:paraId="572B9D11">
            <w:pPr>
              <w:rPr>
                <w:rFonts w:hint="default" w:ascii="Times New Roman" w:hAnsi="Times New Roman" w:eastAsia="宋体" w:cs="Times New Roman"/>
                <w:i w:val="0"/>
                <w:iCs w:val="0"/>
                <w:color w:val="000000"/>
                <w:sz w:val="18"/>
                <w:szCs w:val="18"/>
                <w:u w:val="none"/>
              </w:rPr>
            </w:pPr>
          </w:p>
        </w:tc>
        <w:tc>
          <w:tcPr>
            <w:tcW w:w="1625" w:type="dxa"/>
            <w:tcBorders>
              <w:top w:val="nil"/>
              <w:left w:val="nil"/>
              <w:bottom w:val="nil"/>
              <w:right w:val="nil"/>
            </w:tcBorders>
            <w:noWrap w:val="0"/>
            <w:vAlign w:val="center"/>
          </w:tcPr>
          <w:p w14:paraId="387C74ED">
            <w:pPr>
              <w:rPr>
                <w:rFonts w:hint="default" w:ascii="Times New Roman" w:hAnsi="Times New Roman" w:eastAsia="宋体" w:cs="Times New Roman"/>
                <w:i w:val="0"/>
                <w:iCs w:val="0"/>
                <w:color w:val="000000"/>
                <w:sz w:val="18"/>
                <w:szCs w:val="18"/>
                <w:u w:val="none"/>
              </w:rPr>
            </w:pPr>
          </w:p>
        </w:tc>
        <w:tc>
          <w:tcPr>
            <w:tcW w:w="1999" w:type="dxa"/>
            <w:tcBorders>
              <w:top w:val="nil"/>
              <w:left w:val="nil"/>
              <w:bottom w:val="nil"/>
              <w:right w:val="nil"/>
            </w:tcBorders>
            <w:noWrap w:val="0"/>
            <w:vAlign w:val="center"/>
          </w:tcPr>
          <w:p w14:paraId="3CAD8124">
            <w:pPr>
              <w:rPr>
                <w:rFonts w:hint="default" w:ascii="Times New Roman" w:hAnsi="Times New Roman" w:eastAsia="宋体" w:cs="Times New Roman"/>
                <w:i w:val="0"/>
                <w:iCs w:val="0"/>
                <w:color w:val="000000"/>
                <w:sz w:val="18"/>
                <w:szCs w:val="18"/>
                <w:u w:val="none"/>
              </w:rPr>
            </w:pPr>
          </w:p>
        </w:tc>
        <w:tc>
          <w:tcPr>
            <w:tcW w:w="814" w:type="dxa"/>
            <w:tcBorders>
              <w:top w:val="nil"/>
              <w:left w:val="nil"/>
              <w:bottom w:val="nil"/>
              <w:right w:val="nil"/>
            </w:tcBorders>
            <w:noWrap w:val="0"/>
            <w:vAlign w:val="center"/>
          </w:tcPr>
          <w:p w14:paraId="3E4B96CC">
            <w:pPr>
              <w:rPr>
                <w:rFonts w:hint="default" w:ascii="Times New Roman" w:hAnsi="Times New Roman" w:eastAsia="宋体" w:cs="Times New Roman"/>
                <w:i w:val="0"/>
                <w:iCs w:val="0"/>
                <w:color w:val="000000"/>
                <w:sz w:val="18"/>
                <w:szCs w:val="18"/>
                <w:u w:val="none"/>
              </w:rPr>
            </w:pPr>
          </w:p>
        </w:tc>
        <w:tc>
          <w:tcPr>
            <w:tcW w:w="1852" w:type="dxa"/>
            <w:tcBorders>
              <w:top w:val="nil"/>
              <w:left w:val="nil"/>
              <w:bottom w:val="nil"/>
              <w:right w:val="nil"/>
            </w:tcBorders>
            <w:noWrap w:val="0"/>
            <w:vAlign w:val="center"/>
          </w:tcPr>
          <w:p w14:paraId="621CD3AB">
            <w:pPr>
              <w:rPr>
                <w:rFonts w:hint="default" w:ascii="Times New Roman" w:hAnsi="Times New Roman" w:eastAsia="宋体" w:cs="Times New Roman"/>
                <w:i w:val="0"/>
                <w:iCs w:val="0"/>
                <w:color w:val="000000"/>
                <w:sz w:val="18"/>
                <w:szCs w:val="18"/>
                <w:u w:val="none"/>
              </w:rPr>
            </w:pPr>
          </w:p>
        </w:tc>
        <w:tc>
          <w:tcPr>
            <w:tcW w:w="547" w:type="dxa"/>
            <w:tcBorders>
              <w:top w:val="nil"/>
              <w:left w:val="nil"/>
              <w:bottom w:val="nil"/>
              <w:right w:val="nil"/>
            </w:tcBorders>
            <w:noWrap w:val="0"/>
            <w:vAlign w:val="center"/>
          </w:tcPr>
          <w:p w14:paraId="0B5A17D9">
            <w:pPr>
              <w:rPr>
                <w:rFonts w:hint="default" w:ascii="Times New Roman" w:hAnsi="Times New Roman" w:eastAsia="宋体" w:cs="Times New Roman"/>
                <w:i w:val="0"/>
                <w:iCs w:val="0"/>
                <w:color w:val="000000"/>
                <w:sz w:val="18"/>
                <w:szCs w:val="18"/>
                <w:u w:val="none"/>
              </w:rPr>
            </w:pPr>
          </w:p>
        </w:tc>
        <w:tc>
          <w:tcPr>
            <w:tcW w:w="1041" w:type="dxa"/>
            <w:tcBorders>
              <w:top w:val="nil"/>
              <w:left w:val="nil"/>
              <w:bottom w:val="nil"/>
              <w:right w:val="nil"/>
            </w:tcBorders>
            <w:noWrap w:val="0"/>
            <w:vAlign w:val="center"/>
          </w:tcPr>
          <w:p w14:paraId="6C2CE94D">
            <w:pPr>
              <w:rPr>
                <w:rFonts w:hint="default" w:ascii="Times New Roman" w:hAnsi="Times New Roman" w:eastAsia="宋体" w:cs="Times New Roman"/>
                <w:i w:val="0"/>
                <w:iCs w:val="0"/>
                <w:color w:val="000000"/>
                <w:sz w:val="18"/>
                <w:szCs w:val="18"/>
                <w:u w:val="none"/>
              </w:rPr>
            </w:pPr>
          </w:p>
        </w:tc>
        <w:tc>
          <w:tcPr>
            <w:tcW w:w="538" w:type="dxa"/>
            <w:tcBorders>
              <w:top w:val="nil"/>
              <w:left w:val="nil"/>
              <w:bottom w:val="nil"/>
              <w:right w:val="nil"/>
            </w:tcBorders>
            <w:noWrap w:val="0"/>
            <w:vAlign w:val="center"/>
          </w:tcPr>
          <w:p w14:paraId="33C868F3">
            <w:pPr>
              <w:rPr>
                <w:rFonts w:hint="default" w:ascii="Times New Roman" w:hAnsi="Times New Roman" w:eastAsia="宋体" w:cs="Times New Roman"/>
                <w:i w:val="0"/>
                <w:iCs w:val="0"/>
                <w:color w:val="000000"/>
                <w:sz w:val="18"/>
                <w:szCs w:val="18"/>
                <w:u w:val="none"/>
              </w:rPr>
            </w:pPr>
          </w:p>
        </w:tc>
        <w:tc>
          <w:tcPr>
            <w:tcW w:w="875" w:type="dxa"/>
            <w:tcBorders>
              <w:top w:val="nil"/>
              <w:left w:val="nil"/>
              <w:bottom w:val="nil"/>
              <w:right w:val="nil"/>
            </w:tcBorders>
            <w:noWrap w:val="0"/>
            <w:vAlign w:val="center"/>
          </w:tcPr>
          <w:p w14:paraId="7DEED9EC">
            <w:pPr>
              <w:rPr>
                <w:rFonts w:hint="default" w:ascii="Times New Roman" w:hAnsi="Times New Roman" w:eastAsia="宋体" w:cs="Times New Roman"/>
                <w:i w:val="0"/>
                <w:iCs w:val="0"/>
                <w:color w:val="000000"/>
                <w:sz w:val="18"/>
                <w:szCs w:val="18"/>
                <w:u w:val="none"/>
              </w:rPr>
            </w:pPr>
          </w:p>
        </w:tc>
        <w:tc>
          <w:tcPr>
            <w:tcW w:w="1330" w:type="dxa"/>
            <w:tcBorders>
              <w:top w:val="nil"/>
              <w:left w:val="nil"/>
              <w:bottom w:val="nil"/>
              <w:right w:val="nil"/>
            </w:tcBorders>
            <w:noWrap w:val="0"/>
            <w:vAlign w:val="center"/>
          </w:tcPr>
          <w:p w14:paraId="477D85B3">
            <w:pPr>
              <w:rPr>
                <w:rFonts w:hint="default" w:ascii="Times New Roman" w:hAnsi="Times New Roman" w:eastAsia="宋体" w:cs="Times New Roman"/>
                <w:i w:val="0"/>
                <w:iCs w:val="0"/>
                <w:color w:val="000000"/>
                <w:sz w:val="18"/>
                <w:szCs w:val="18"/>
                <w:u w:val="none"/>
              </w:rPr>
            </w:pPr>
          </w:p>
        </w:tc>
      </w:tr>
      <w:tr w14:paraId="7739B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4E17870E">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77513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159FB18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2789694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51320023R000008958406-年度考核奖预发（30%）</w:t>
            </w:r>
          </w:p>
        </w:tc>
      </w:tr>
      <w:tr w14:paraId="26C17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23B9CFC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1674CAD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44E6A59E">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 （盖章）</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0CEB3F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7F7D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4331FB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2127374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C6985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1C0405DA">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088A9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74EC4">
            <w:pP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822BB4">
            <w:pPr>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56B201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r>
              <w:rPr>
                <w:rFonts w:hint="default" w:ascii="Times New Roman" w:hAnsi="Times New Roman" w:cs="Times New Roman"/>
                <w:i w:val="0"/>
                <w:iCs w:val="0"/>
                <w:color w:val="000000"/>
                <w:kern w:val="0"/>
                <w:sz w:val="18"/>
                <w:szCs w:val="18"/>
                <w:u w:val="none"/>
                <w:lang w:val="en-US" w:eastAsia="zh-CN" w:bidi="ar"/>
              </w:rPr>
              <w:t>。</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6571AA5E">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w:t>
            </w:r>
          </w:p>
        </w:tc>
      </w:tr>
      <w:tr w14:paraId="758D8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F3968E">
            <w:pP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F8F806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5ECB8420">
            <w:pP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w:t>
            </w:r>
          </w:p>
        </w:tc>
      </w:tr>
      <w:tr w14:paraId="05EFE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7F45B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D0CA6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C48613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93AD4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60395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B8363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5E573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D0777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DBB95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7A141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80BB5F">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50CE9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7FA98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8ED11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23.27</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31263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23.27</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51DB7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E8CF9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00FFC55">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3454D02">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7D1D8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80460">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58D70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8A6D8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FC2F4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23.27</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44AAA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23.27</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65C4E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C5748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3152D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FD2DF8">
            <w:pPr>
              <w:rPr>
                <w:rFonts w:hint="default" w:ascii="Times New Roman" w:hAnsi="Times New Roman" w:eastAsia="黑体" w:cs="Times New Roman"/>
                <w:i/>
                <w:iCs/>
                <w:color w:val="000000"/>
                <w:sz w:val="18"/>
                <w:szCs w:val="18"/>
                <w:u w:val="none"/>
              </w:rPr>
            </w:pPr>
          </w:p>
        </w:tc>
      </w:tr>
      <w:tr w14:paraId="50EA8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9549E">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12D3D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7D3D4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96554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40F3DD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329B0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332A4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CD049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B8781D">
            <w:pPr>
              <w:rPr>
                <w:rFonts w:hint="default" w:ascii="Times New Roman" w:hAnsi="Times New Roman" w:eastAsia="黑体" w:cs="Times New Roman"/>
                <w:i/>
                <w:iCs/>
                <w:color w:val="000000"/>
                <w:sz w:val="18"/>
                <w:szCs w:val="18"/>
                <w:u w:val="none"/>
              </w:rPr>
            </w:pPr>
          </w:p>
        </w:tc>
      </w:tr>
      <w:tr w14:paraId="6ADDA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D4DB9B">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FEA2A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7804C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ED68F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75FEF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63E67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CEB53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B88F7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86E8C4">
            <w:pPr>
              <w:rPr>
                <w:rFonts w:hint="default" w:ascii="Times New Roman" w:hAnsi="Times New Roman" w:eastAsia="黑体" w:cs="Times New Roman"/>
                <w:i/>
                <w:iCs/>
                <w:color w:val="000000"/>
                <w:sz w:val="18"/>
                <w:szCs w:val="18"/>
                <w:u w:val="none"/>
              </w:rPr>
            </w:pPr>
          </w:p>
        </w:tc>
      </w:tr>
      <w:tr w14:paraId="0A216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8"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550EA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A1CAC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237B3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D1CA0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CFCBD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083588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FB493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FA838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052B6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C08BB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F3749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4F8BA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DDEF03">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FBB5B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AAFD0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FF7772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BC255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E49F1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0BB81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4EE0403">
            <w:pPr>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C7A41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C96A0F8">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31C2903">
            <w:pPr>
              <w:jc w:val="center"/>
              <w:rPr>
                <w:rFonts w:hint="default" w:ascii="Times New Roman" w:hAnsi="Times New Roman" w:eastAsia="微软雅黑" w:cs="Times New Roman"/>
                <w:i/>
                <w:iCs/>
                <w:color w:val="000000"/>
                <w:sz w:val="16"/>
                <w:szCs w:val="16"/>
                <w:u w:val="none"/>
              </w:rPr>
            </w:pPr>
          </w:p>
        </w:tc>
      </w:tr>
      <w:tr w14:paraId="700FA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DA7455">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662B9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F0DD0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994BF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6B08CB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BE0AE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7AB2B8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9460C27">
            <w:pPr>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E2476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74F7764">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6E00B54">
            <w:pPr>
              <w:jc w:val="center"/>
              <w:rPr>
                <w:rFonts w:hint="default" w:ascii="Times New Roman" w:hAnsi="Times New Roman" w:eastAsia="微软雅黑" w:cs="Times New Roman"/>
                <w:i/>
                <w:iCs/>
                <w:color w:val="000000"/>
                <w:sz w:val="16"/>
                <w:szCs w:val="16"/>
                <w:u w:val="none"/>
              </w:rPr>
            </w:pPr>
          </w:p>
        </w:tc>
      </w:tr>
      <w:tr w14:paraId="2A98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4C3CFF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FFD14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A756518">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76E4553">
            <w:pPr>
              <w:jc w:val="center"/>
              <w:rPr>
                <w:rFonts w:hint="default" w:ascii="Times New Roman" w:hAnsi="Times New Roman" w:eastAsia="宋体" w:cs="Times New Roman"/>
                <w:i w:val="0"/>
                <w:iCs w:val="0"/>
                <w:color w:val="000000"/>
                <w:sz w:val="18"/>
                <w:szCs w:val="18"/>
                <w:u w:val="none"/>
              </w:rPr>
            </w:pPr>
          </w:p>
        </w:tc>
      </w:tr>
      <w:tr w14:paraId="31404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7B8FD3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58C14A45">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0EC6D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7FA2CD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3AC965EC">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08975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61C4CB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225391A7">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2AC49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7DC57A50">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3EE2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346220E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3414237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51320023R000009914893-工资性支出</w:t>
            </w:r>
          </w:p>
        </w:tc>
      </w:tr>
      <w:tr w14:paraId="4D5F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0B50510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19ED59E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2BD3A6BE">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414072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3A019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C44ABA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665EED1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94A5C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1A37383D">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67D9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D6BA12">
            <w:pP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EE02E0">
            <w:pPr>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0FAE2B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7FACC276">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w:t>
            </w:r>
          </w:p>
        </w:tc>
      </w:tr>
      <w:tr w14:paraId="2C12D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99C299">
            <w:pP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D38515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0A060F47">
            <w:pP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w:t>
            </w:r>
          </w:p>
        </w:tc>
      </w:tr>
      <w:tr w14:paraId="172CC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613E0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72C6E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1B137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9D975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0A5FD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F9F4F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22DE7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384A5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2B25C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2975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DC3224">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CD237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80091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169.68</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D0D3A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178.01</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D68F3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178.01</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064F1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BC61C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579B62E">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50806931">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r>
              <w:rPr>
                <w:rFonts w:hint="default" w:ascii="Times New Roman" w:hAnsi="Times New Roman" w:eastAsia="黑体" w:cs="Times New Roman"/>
                <w:i/>
                <w:iCs/>
                <w:color w:val="000000"/>
                <w:kern w:val="0"/>
                <w:sz w:val="18"/>
                <w:szCs w:val="18"/>
                <w:u w:val="none"/>
                <w:lang w:val="en-US" w:eastAsia="zh-CN" w:bidi="ar"/>
              </w:rPr>
              <w:t>.</w:t>
            </w:r>
          </w:p>
        </w:tc>
      </w:tr>
      <w:tr w14:paraId="645FE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02EB8A">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53EC4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2ABFB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169.68</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0B49B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178.01</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D5427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178.01</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6FA4E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2511C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13837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20AF2E">
            <w:pPr>
              <w:rPr>
                <w:rFonts w:hint="default" w:ascii="Times New Roman" w:hAnsi="Times New Roman" w:eastAsia="黑体" w:cs="Times New Roman"/>
                <w:i/>
                <w:iCs/>
                <w:color w:val="000000"/>
                <w:sz w:val="18"/>
                <w:szCs w:val="18"/>
                <w:u w:val="none"/>
              </w:rPr>
            </w:pPr>
          </w:p>
        </w:tc>
      </w:tr>
      <w:tr w14:paraId="45C33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B9C40">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9E73F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FE96D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D7847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401C5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35CFF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F8274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F2BFB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28BDF">
            <w:pPr>
              <w:rPr>
                <w:rFonts w:hint="default" w:ascii="Times New Roman" w:hAnsi="Times New Roman" w:eastAsia="黑体" w:cs="Times New Roman"/>
                <w:i/>
                <w:iCs/>
                <w:color w:val="000000"/>
                <w:sz w:val="18"/>
                <w:szCs w:val="18"/>
                <w:u w:val="none"/>
              </w:rPr>
            </w:pPr>
          </w:p>
        </w:tc>
      </w:tr>
      <w:tr w14:paraId="6D438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1E5754">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61927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6C266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25DB1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F8175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A360D3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555C0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6E06D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5A9035">
            <w:pPr>
              <w:rPr>
                <w:rFonts w:hint="default" w:ascii="Times New Roman" w:hAnsi="Times New Roman" w:eastAsia="黑体" w:cs="Times New Roman"/>
                <w:i/>
                <w:iCs/>
                <w:color w:val="000000"/>
                <w:sz w:val="18"/>
                <w:szCs w:val="18"/>
                <w:u w:val="none"/>
              </w:rPr>
            </w:pPr>
          </w:p>
        </w:tc>
      </w:tr>
      <w:tr w14:paraId="43EF4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5B378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CEA98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A0748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BFA79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6701A8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FB6D9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80C8D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1495A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ADF2C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A2ADF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A4F56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503A2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5F34BF">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AECA2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9EB6E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9FEFE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6E7C5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40756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272B7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091830A">
            <w:pPr>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6DE74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744E354">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F910E82">
            <w:pPr>
              <w:jc w:val="center"/>
              <w:rPr>
                <w:rFonts w:hint="default" w:ascii="Times New Roman" w:hAnsi="Times New Roman" w:eastAsia="微软雅黑" w:cs="Times New Roman"/>
                <w:i/>
                <w:iCs/>
                <w:color w:val="000000"/>
                <w:sz w:val="16"/>
                <w:szCs w:val="16"/>
                <w:u w:val="none"/>
              </w:rPr>
            </w:pPr>
          </w:p>
        </w:tc>
      </w:tr>
      <w:tr w14:paraId="043DE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6EA71">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260F6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241E8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2B7F7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F9A11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EBA7F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C079E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B3F897C">
            <w:pPr>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A8F5E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BA2BCC3">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4EFBE6C">
            <w:pPr>
              <w:jc w:val="center"/>
              <w:rPr>
                <w:rFonts w:hint="default" w:ascii="Times New Roman" w:hAnsi="Times New Roman" w:eastAsia="微软雅黑" w:cs="Times New Roman"/>
                <w:i/>
                <w:iCs/>
                <w:color w:val="000000"/>
                <w:sz w:val="16"/>
                <w:szCs w:val="16"/>
                <w:u w:val="none"/>
              </w:rPr>
            </w:pPr>
          </w:p>
        </w:tc>
      </w:tr>
      <w:tr w14:paraId="3F1C3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05639C5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754E5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56824DE">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9AB1FD6">
            <w:pPr>
              <w:rPr>
                <w:rFonts w:hint="default" w:ascii="Times New Roman" w:hAnsi="Times New Roman" w:eastAsia="宋体" w:cs="Times New Roman"/>
                <w:i w:val="0"/>
                <w:iCs w:val="0"/>
                <w:color w:val="000000"/>
                <w:sz w:val="18"/>
                <w:szCs w:val="18"/>
                <w:u w:val="none"/>
              </w:rPr>
            </w:pPr>
          </w:p>
        </w:tc>
      </w:tr>
      <w:tr w14:paraId="792A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6F2FCC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2C858B6F">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7708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074924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131D60E3">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3FD2F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1DBFAB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527B68F8">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5DCC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005BB746">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6114F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0B3DAE5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0D27BC6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51320023R000009915221-单位缴费</w:t>
            </w:r>
          </w:p>
        </w:tc>
      </w:tr>
      <w:tr w14:paraId="26D41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3C14F02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F1D1F2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221BA6B2">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2DC7A2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11090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A52ABD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044DD7B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584161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1D5A00ED">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6F71D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CAF6DE">
            <w:pP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744625">
            <w:pPr>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2AB9FE9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01446DB0">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w:t>
            </w:r>
          </w:p>
        </w:tc>
      </w:tr>
      <w:tr w14:paraId="70B4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E51E8">
            <w:pP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FE3A83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0D0D1390">
            <w:pP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w:t>
            </w:r>
          </w:p>
        </w:tc>
      </w:tr>
      <w:tr w14:paraId="6710A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9B263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67A76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67D57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5746F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5D4AB1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1CBBD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69D39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66E41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34DAF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7F10B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511550">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C36D2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12DF3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110.07</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88DE6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108.50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A047D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108.50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4CB75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FA9E5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D4C86F2">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0F9525A1">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0FAA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8D6E57">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6DA7C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0EB6C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110.07</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2D340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108.50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52F2C0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108.50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E328A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78548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DBC4C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B47887">
            <w:pPr>
              <w:rPr>
                <w:rFonts w:hint="default" w:ascii="Times New Roman" w:hAnsi="Times New Roman" w:eastAsia="黑体" w:cs="Times New Roman"/>
                <w:i/>
                <w:iCs/>
                <w:color w:val="000000"/>
                <w:sz w:val="18"/>
                <w:szCs w:val="18"/>
                <w:u w:val="none"/>
              </w:rPr>
            </w:pPr>
          </w:p>
        </w:tc>
      </w:tr>
      <w:tr w14:paraId="4EEC9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6347C3">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34F05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6F74C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9A46F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03A68D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F2A90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54151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ABBE5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530B00">
            <w:pPr>
              <w:rPr>
                <w:rFonts w:hint="default" w:ascii="Times New Roman" w:hAnsi="Times New Roman" w:eastAsia="黑体" w:cs="Times New Roman"/>
                <w:i/>
                <w:iCs/>
                <w:color w:val="000000"/>
                <w:sz w:val="18"/>
                <w:szCs w:val="18"/>
                <w:u w:val="none"/>
              </w:rPr>
            </w:pPr>
          </w:p>
        </w:tc>
      </w:tr>
      <w:tr w14:paraId="29D52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85359F">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9FF9D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38A84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E0DBB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97D0E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FA7F5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7E400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85009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B05ADD">
            <w:pPr>
              <w:rPr>
                <w:rFonts w:hint="default" w:ascii="Times New Roman" w:hAnsi="Times New Roman" w:eastAsia="黑体" w:cs="Times New Roman"/>
                <w:i/>
                <w:iCs/>
                <w:color w:val="000000"/>
                <w:sz w:val="18"/>
                <w:szCs w:val="18"/>
                <w:u w:val="none"/>
              </w:rPr>
            </w:pPr>
          </w:p>
        </w:tc>
      </w:tr>
      <w:tr w14:paraId="564DC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A94275">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BB35E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7D3B176">
            <w:pPr>
              <w:jc w:val="center"/>
              <w:rPr>
                <w:rFonts w:hint="default" w:ascii="Times New Roman" w:hAnsi="Times New Roman" w:eastAsia="微软雅黑" w:cs="Times New Roman"/>
                <w:i/>
                <w:iCs/>
                <w:color w:val="000000"/>
                <w:sz w:val="16"/>
                <w:szCs w:val="16"/>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1E19E15">
            <w:pPr>
              <w:jc w:val="center"/>
              <w:rPr>
                <w:rFonts w:hint="default" w:ascii="Times New Roman" w:hAnsi="Times New Roman" w:eastAsia="微软雅黑" w:cs="Times New Roman"/>
                <w:i/>
                <w:iCs/>
                <w:color w:val="000000"/>
                <w:sz w:val="16"/>
                <w:szCs w:val="16"/>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6E40287">
            <w:pPr>
              <w:jc w:val="center"/>
              <w:rPr>
                <w:rFonts w:hint="default" w:ascii="Times New Roman" w:hAnsi="Times New Roman" w:eastAsia="微软雅黑" w:cs="Times New Roman"/>
                <w:i/>
                <w:iCs/>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1F2E11E">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C9342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21346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A432C">
            <w:pPr>
              <w:rPr>
                <w:rFonts w:hint="default" w:ascii="Times New Roman" w:hAnsi="Times New Roman" w:eastAsia="黑体" w:cs="Times New Roman"/>
                <w:i/>
                <w:iCs/>
                <w:color w:val="000000"/>
                <w:sz w:val="18"/>
                <w:szCs w:val="18"/>
                <w:u w:val="none"/>
              </w:rPr>
            </w:pPr>
          </w:p>
        </w:tc>
      </w:tr>
      <w:tr w14:paraId="0503B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21207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FF04D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2DA35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4FE70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FD35A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1DB9B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6EE05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D68E3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08958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64669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5940B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04D8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C72813">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78208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DDF62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EF3E56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8AC5F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0E8232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58CB9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9121851">
            <w:pPr>
              <w:jc w:val="center"/>
              <w:rPr>
                <w:rFonts w:hint="default" w:ascii="Times New Roman" w:hAnsi="Times New Roman" w:eastAsia="微软雅黑" w:cs="Times New Roman"/>
                <w:i/>
                <w:iCs/>
                <w:color w:val="000000"/>
                <w:sz w:val="16"/>
                <w:szCs w:val="16"/>
                <w:u w:val="none"/>
                <w:lang w:val="en-US" w:eastAsia="zh-CN"/>
              </w:rPr>
            </w:pPr>
            <w:r>
              <w:rPr>
                <w:rFonts w:hint="default" w:ascii="Times New Roman" w:hAnsi="Times New Roman" w:eastAsia="微软雅黑" w:cs="Times New Roman"/>
                <w:i/>
                <w:iCs/>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7E1A1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B5FE875">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5E81CD2">
            <w:pPr>
              <w:jc w:val="center"/>
              <w:rPr>
                <w:rFonts w:hint="default" w:ascii="Times New Roman" w:hAnsi="Times New Roman" w:eastAsia="微软雅黑" w:cs="Times New Roman"/>
                <w:i/>
                <w:iCs/>
                <w:color w:val="000000"/>
                <w:sz w:val="16"/>
                <w:szCs w:val="16"/>
                <w:u w:val="none"/>
              </w:rPr>
            </w:pPr>
          </w:p>
        </w:tc>
      </w:tr>
      <w:tr w14:paraId="6D07C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D0CA08">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34A25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CE1C8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BAA89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9E2A5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CB1C1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36900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1DABC2F">
            <w:pPr>
              <w:jc w:val="center"/>
              <w:rPr>
                <w:rFonts w:hint="default" w:ascii="Times New Roman" w:hAnsi="Times New Roman" w:eastAsia="微软雅黑" w:cs="Times New Roman"/>
                <w:i/>
                <w:iCs/>
                <w:color w:val="000000"/>
                <w:sz w:val="16"/>
                <w:szCs w:val="16"/>
                <w:u w:val="none"/>
                <w:lang w:val="en-US" w:eastAsia="zh-CN"/>
              </w:rPr>
            </w:pPr>
            <w:r>
              <w:rPr>
                <w:rFonts w:hint="default" w:ascii="Times New Roman" w:hAnsi="Times New Roman" w:eastAsia="微软雅黑" w:cs="Times New Roman"/>
                <w:i/>
                <w:iCs/>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210C3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E17824C">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79A3752">
            <w:pPr>
              <w:jc w:val="center"/>
              <w:rPr>
                <w:rFonts w:hint="default" w:ascii="Times New Roman" w:hAnsi="Times New Roman" w:eastAsia="微软雅黑" w:cs="Times New Roman"/>
                <w:i/>
                <w:iCs/>
                <w:color w:val="000000"/>
                <w:sz w:val="16"/>
                <w:szCs w:val="16"/>
                <w:u w:val="none"/>
              </w:rPr>
            </w:pPr>
          </w:p>
        </w:tc>
      </w:tr>
      <w:tr w14:paraId="56D7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75A7E1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CB296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37C02B7">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B85C8D2">
            <w:pPr>
              <w:jc w:val="center"/>
              <w:rPr>
                <w:rFonts w:hint="default" w:ascii="Times New Roman" w:hAnsi="Times New Roman" w:eastAsia="宋体" w:cs="Times New Roman"/>
                <w:i w:val="0"/>
                <w:iCs w:val="0"/>
                <w:color w:val="000000"/>
                <w:sz w:val="18"/>
                <w:szCs w:val="18"/>
                <w:u w:val="none"/>
              </w:rPr>
            </w:pPr>
          </w:p>
        </w:tc>
      </w:tr>
      <w:tr w14:paraId="1195F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0C98C7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7072E36D">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4B1BA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1808CF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77713CFA">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02058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0B44B9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6D337FD4">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1E6CE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3EF46ED0">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7D2F7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7E65C29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740A047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51320023R000009915925-聘用人员经费</w:t>
            </w:r>
          </w:p>
        </w:tc>
      </w:tr>
      <w:tr w14:paraId="6D92B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130325D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69C83B3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14237839">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575018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3D9FA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F9FF0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33F8F32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8552E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259E6CD5">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2A3AA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79324">
            <w:pP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7B070F">
            <w:pPr>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106D885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540038E5">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w:t>
            </w:r>
          </w:p>
        </w:tc>
      </w:tr>
      <w:tr w14:paraId="6698F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00FE8C">
            <w:pP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FED10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40A30286">
            <w:pP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w:t>
            </w:r>
          </w:p>
        </w:tc>
      </w:tr>
      <w:tr w14:paraId="0BD60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E794A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F8337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98E13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FC489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4F8250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548DB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856A8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963E5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B19CC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43F56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CD9976">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633CA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76303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35.14</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529D3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35.14</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F9837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35.14</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F88C0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7C203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3A8E58A">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54D0E421">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5F59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5E266D">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CE640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2F084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35.14</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E7704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35.14</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4AC308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35.14</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2B0A6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31A93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A2C28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8C307">
            <w:pPr>
              <w:rPr>
                <w:rFonts w:hint="default" w:ascii="Times New Roman" w:hAnsi="Times New Roman" w:eastAsia="黑体" w:cs="Times New Roman"/>
                <w:i/>
                <w:iCs/>
                <w:color w:val="000000"/>
                <w:sz w:val="18"/>
                <w:szCs w:val="18"/>
                <w:u w:val="none"/>
              </w:rPr>
            </w:pPr>
          </w:p>
        </w:tc>
      </w:tr>
      <w:tr w14:paraId="03D8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1469B1">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10D57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4C578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C0FB2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8E951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A2B7B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A00C4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AF333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42308">
            <w:pPr>
              <w:rPr>
                <w:rFonts w:hint="default" w:ascii="Times New Roman" w:hAnsi="Times New Roman" w:eastAsia="黑体" w:cs="Times New Roman"/>
                <w:i/>
                <w:iCs/>
                <w:color w:val="000000"/>
                <w:sz w:val="18"/>
                <w:szCs w:val="18"/>
                <w:u w:val="none"/>
              </w:rPr>
            </w:pPr>
          </w:p>
        </w:tc>
      </w:tr>
      <w:tr w14:paraId="52DB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39EDC6">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98CEA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B7877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4104E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142A5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D75E5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CA8A5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A55A4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EED30">
            <w:pPr>
              <w:rPr>
                <w:rFonts w:hint="default" w:ascii="Times New Roman" w:hAnsi="Times New Roman" w:eastAsia="黑体" w:cs="Times New Roman"/>
                <w:i/>
                <w:iCs/>
                <w:color w:val="000000"/>
                <w:sz w:val="18"/>
                <w:szCs w:val="18"/>
                <w:u w:val="none"/>
              </w:rPr>
            </w:pPr>
          </w:p>
        </w:tc>
      </w:tr>
      <w:tr w14:paraId="22CD7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F7CE66">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33DF1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D59F561">
            <w:pPr>
              <w:jc w:val="center"/>
              <w:rPr>
                <w:rFonts w:hint="default" w:ascii="Times New Roman" w:hAnsi="Times New Roman" w:eastAsia="微软雅黑" w:cs="Times New Roman"/>
                <w:i/>
                <w:iCs/>
                <w:color w:val="000000"/>
                <w:sz w:val="16"/>
                <w:szCs w:val="16"/>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FFFC1C6">
            <w:pPr>
              <w:jc w:val="center"/>
              <w:rPr>
                <w:rFonts w:hint="default" w:ascii="Times New Roman" w:hAnsi="Times New Roman" w:eastAsia="微软雅黑" w:cs="Times New Roman"/>
                <w:i/>
                <w:iCs/>
                <w:color w:val="000000"/>
                <w:sz w:val="16"/>
                <w:szCs w:val="16"/>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B843677">
            <w:pPr>
              <w:jc w:val="center"/>
              <w:rPr>
                <w:rFonts w:hint="default" w:ascii="Times New Roman" w:hAnsi="Times New Roman" w:eastAsia="微软雅黑" w:cs="Times New Roman"/>
                <w:i/>
                <w:iCs/>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812A0B1">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0149F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64FBB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914814">
            <w:pPr>
              <w:rPr>
                <w:rFonts w:hint="default" w:ascii="Times New Roman" w:hAnsi="Times New Roman" w:eastAsia="黑体" w:cs="Times New Roman"/>
                <w:i/>
                <w:iCs/>
                <w:color w:val="000000"/>
                <w:sz w:val="18"/>
                <w:szCs w:val="18"/>
                <w:u w:val="none"/>
              </w:rPr>
            </w:pPr>
          </w:p>
        </w:tc>
      </w:tr>
      <w:tr w14:paraId="2DFE1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72F7C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F0571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637F5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C3E25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565DA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385DF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072A09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365CE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F0850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89A0A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F212E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47355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BA474A">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D0435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F07D1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3FDBB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66B38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E3BF6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363C8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E377D5A">
            <w:pPr>
              <w:jc w:val="center"/>
              <w:rPr>
                <w:rFonts w:hint="default" w:ascii="Times New Roman" w:hAnsi="Times New Roman" w:eastAsia="微软雅黑" w:cs="Times New Roman"/>
                <w:i/>
                <w:iCs/>
                <w:color w:val="000000"/>
                <w:sz w:val="16"/>
                <w:szCs w:val="16"/>
                <w:u w:val="none"/>
                <w:lang w:val="en-US" w:eastAsia="zh-CN"/>
              </w:rPr>
            </w:pPr>
            <w:r>
              <w:rPr>
                <w:rFonts w:hint="default" w:ascii="Times New Roman" w:hAnsi="Times New Roman" w:eastAsia="微软雅黑" w:cs="Times New Roman"/>
                <w:i/>
                <w:iCs/>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C5D61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44D92F3">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D95D0AA">
            <w:pPr>
              <w:jc w:val="center"/>
              <w:rPr>
                <w:rFonts w:hint="default" w:ascii="Times New Roman" w:hAnsi="Times New Roman" w:eastAsia="微软雅黑" w:cs="Times New Roman"/>
                <w:i/>
                <w:iCs/>
                <w:color w:val="000000"/>
                <w:sz w:val="16"/>
                <w:szCs w:val="16"/>
                <w:u w:val="none"/>
              </w:rPr>
            </w:pPr>
          </w:p>
        </w:tc>
      </w:tr>
      <w:tr w14:paraId="7A883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588D41">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6E592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19630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B5746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523AC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0AC28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BD0E3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BDF83B6">
            <w:pPr>
              <w:jc w:val="center"/>
              <w:rPr>
                <w:rFonts w:hint="default" w:ascii="Times New Roman" w:hAnsi="Times New Roman" w:eastAsia="微软雅黑" w:cs="Times New Roman"/>
                <w:i/>
                <w:iCs/>
                <w:color w:val="000000"/>
                <w:sz w:val="16"/>
                <w:szCs w:val="16"/>
                <w:u w:val="none"/>
                <w:lang w:val="en-US" w:eastAsia="zh-CN"/>
              </w:rPr>
            </w:pPr>
            <w:r>
              <w:rPr>
                <w:rFonts w:hint="default" w:ascii="Times New Roman" w:hAnsi="Times New Roman" w:eastAsia="微软雅黑" w:cs="Times New Roman"/>
                <w:i/>
                <w:iCs/>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C99D3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95FF7A0">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509B698">
            <w:pPr>
              <w:jc w:val="center"/>
              <w:rPr>
                <w:rFonts w:hint="default" w:ascii="Times New Roman" w:hAnsi="Times New Roman" w:eastAsia="微软雅黑" w:cs="Times New Roman"/>
                <w:i/>
                <w:iCs/>
                <w:color w:val="000000"/>
                <w:sz w:val="16"/>
                <w:szCs w:val="16"/>
                <w:u w:val="none"/>
              </w:rPr>
            </w:pPr>
          </w:p>
        </w:tc>
      </w:tr>
      <w:tr w14:paraId="47D8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2F12AD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EBA97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0B3CFE8">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CDF047D">
            <w:pPr>
              <w:jc w:val="center"/>
              <w:rPr>
                <w:rFonts w:hint="default" w:ascii="Times New Roman" w:hAnsi="Times New Roman" w:eastAsia="宋体" w:cs="Times New Roman"/>
                <w:i w:val="0"/>
                <w:iCs w:val="0"/>
                <w:color w:val="000000"/>
                <w:sz w:val="18"/>
                <w:szCs w:val="18"/>
                <w:u w:val="none"/>
              </w:rPr>
            </w:pPr>
          </w:p>
        </w:tc>
      </w:tr>
      <w:tr w14:paraId="35208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368A31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4114BFE6">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529DC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6E34E5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3D4DCFB6">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1C227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7CC1F2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1A172F87">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0541A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29E27212">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562BF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338CF88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34512E4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51320023Y000009917272-日常公用经费</w:t>
            </w:r>
          </w:p>
        </w:tc>
      </w:tr>
      <w:tr w14:paraId="677CD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6E90C0E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290AEBE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州直机关工委部门</w:t>
            </w:r>
          </w:p>
        </w:tc>
        <w:tc>
          <w:tcPr>
            <w:tcW w:w="1041" w:type="dxa"/>
            <w:tcBorders>
              <w:top w:val="nil"/>
              <w:left w:val="nil"/>
              <w:bottom w:val="nil"/>
              <w:right w:val="nil"/>
            </w:tcBorders>
            <w:noWrap w:val="0"/>
            <w:vAlign w:val="center"/>
          </w:tcPr>
          <w:p w14:paraId="1D53983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黑体" w:cs="Times New Roman"/>
                <w:i w:val="0"/>
                <w:iCs w:val="0"/>
                <w:color w:val="000000"/>
                <w:kern w:val="0"/>
                <w:sz w:val="15"/>
                <w:szCs w:val="15"/>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168E61D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州直机关工委</w:t>
            </w:r>
          </w:p>
        </w:tc>
      </w:tr>
      <w:tr w14:paraId="5D7C7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22ECE6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77125B8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F5CE6B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11C8E3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黑体" w:cs="Times New Roman"/>
                <w:i w:val="0"/>
                <w:iCs w:val="0"/>
                <w:color w:val="000000"/>
                <w:sz w:val="15"/>
                <w:szCs w:val="15"/>
                <w:u w:val="none"/>
              </w:rPr>
            </w:pPr>
            <w:r>
              <w:rPr>
                <w:rFonts w:hint="default" w:ascii="Times New Roman" w:hAnsi="Times New Roman" w:eastAsia="黑体" w:cs="Times New Roman"/>
                <w:i w:val="0"/>
                <w:iCs w:val="0"/>
                <w:color w:val="000000"/>
                <w:kern w:val="0"/>
                <w:sz w:val="15"/>
                <w:szCs w:val="15"/>
                <w:u w:val="none"/>
                <w:lang w:val="en-US" w:eastAsia="zh-CN" w:bidi="ar"/>
              </w:rPr>
              <w:t>年度目标完成情况</w:t>
            </w:r>
          </w:p>
        </w:tc>
      </w:tr>
      <w:tr w14:paraId="4E9EA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50C071">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B869ED">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57747BE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提高预算编制质量，严格执行预算，保障单位日常运转。</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14366EB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kern w:val="0"/>
                <w:sz w:val="15"/>
                <w:szCs w:val="15"/>
                <w:u w:val="none"/>
                <w:lang w:val="en-US" w:eastAsia="zh-CN" w:bidi="ar"/>
              </w:rPr>
              <w:t>严格执行预算，保障单位日常运转。</w:t>
            </w:r>
          </w:p>
        </w:tc>
      </w:tr>
      <w:tr w14:paraId="0F5A7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623457">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7C0BE7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47347B79">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kern w:val="0"/>
                <w:sz w:val="15"/>
                <w:szCs w:val="15"/>
                <w:lang w:bidi="ar"/>
              </w:rPr>
              <w:t>财务按产生的经济科目，对预算进行调剂，保障会计核算经济科目与决算一致。</w:t>
            </w:r>
          </w:p>
        </w:tc>
      </w:tr>
      <w:tr w14:paraId="403F7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CE83A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8AC55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CD25A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81F65C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81FCE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99267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05AA3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69241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4604F5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原因</w:t>
            </w:r>
          </w:p>
        </w:tc>
      </w:tr>
      <w:tr w14:paraId="6096A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FFB77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715B5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B365D3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60.97</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61F31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60.71</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34C3C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60.71</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BD83B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DFCFD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2A3983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6EC3D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iCs/>
                <w:color w:val="000000"/>
                <w:sz w:val="15"/>
                <w:szCs w:val="15"/>
                <w:u w:val="none"/>
              </w:rPr>
            </w:pPr>
          </w:p>
        </w:tc>
      </w:tr>
      <w:tr w14:paraId="27CF0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7AA2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8B8418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7FB85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60.97</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7DEB1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60.71</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9F2C6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60.71</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96083B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AA481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32615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95E77D">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iCs/>
                <w:color w:val="000000"/>
                <w:sz w:val="15"/>
                <w:szCs w:val="15"/>
                <w:u w:val="none"/>
              </w:rPr>
            </w:pPr>
          </w:p>
        </w:tc>
      </w:tr>
      <w:tr w14:paraId="57D7E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A6646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7EED3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5B6C5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231ED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0A77E6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92DE01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60C83F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F2C60F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37D22F">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iCs/>
                <w:color w:val="000000"/>
                <w:sz w:val="15"/>
                <w:szCs w:val="15"/>
                <w:u w:val="none"/>
              </w:rPr>
            </w:pPr>
          </w:p>
        </w:tc>
      </w:tr>
      <w:tr w14:paraId="7D115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184C5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6A762C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0212CF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88E68B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BC5C5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ACC29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85EBB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489F4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D25BAF">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iCs/>
                <w:color w:val="000000"/>
                <w:sz w:val="15"/>
                <w:szCs w:val="15"/>
                <w:u w:val="none"/>
              </w:rPr>
            </w:pPr>
          </w:p>
        </w:tc>
      </w:tr>
      <w:tr w14:paraId="0CE2B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DD6FD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D5743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F39E24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iCs/>
                <w:color w:val="000000"/>
                <w:sz w:val="15"/>
                <w:szCs w:val="15"/>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A9B1EB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iCs/>
                <w:color w:val="000000"/>
                <w:sz w:val="15"/>
                <w:szCs w:val="15"/>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9B05CE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iCs/>
                <w:color w:val="000000"/>
                <w:sz w:val="15"/>
                <w:szCs w:val="15"/>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0F4E16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iCs/>
                <w:color w:val="000000"/>
                <w:sz w:val="15"/>
                <w:szCs w:val="15"/>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C7DAB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5D9735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606CA5">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iCs/>
                <w:color w:val="000000"/>
                <w:sz w:val="15"/>
                <w:szCs w:val="15"/>
                <w:u w:val="none"/>
              </w:rPr>
            </w:pPr>
          </w:p>
        </w:tc>
      </w:tr>
      <w:tr w14:paraId="6C9A3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7C887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B14CB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97146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00AD6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3935D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A970EC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5663DC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BF1FA6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6F660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3D0F6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618D8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未完成原因分析</w:t>
            </w:r>
          </w:p>
        </w:tc>
      </w:tr>
      <w:tr w14:paraId="5A9E0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A7987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5384D6F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B6E743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2E920F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科目调整次数</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4D1F4E7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68FD7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AA5EA0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次</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BC87CA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5</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649E4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324F33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D6C24F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iCs/>
                <w:color w:val="000000"/>
                <w:sz w:val="15"/>
                <w:szCs w:val="15"/>
                <w:u w:val="none"/>
              </w:rPr>
            </w:pPr>
          </w:p>
        </w:tc>
      </w:tr>
      <w:tr w14:paraId="2B590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8AA0D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BF75F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515D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质量指标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4FA40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预算编制准确率（计算方法为：∣（执行数-预算数）/预算数∣）</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616899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EC799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5</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8030B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C115F2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5</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A121C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647A8B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30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663E09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iCs/>
                <w:color w:val="000000"/>
                <w:sz w:val="15"/>
                <w:szCs w:val="15"/>
                <w:u w:val="none"/>
              </w:rPr>
            </w:pPr>
          </w:p>
        </w:tc>
      </w:tr>
      <w:tr w14:paraId="7AEAE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ADD95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698150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F60925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经济效益指标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6D10B2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eastAsia" w:cs="Times New Roman"/>
                <w:i w:val="0"/>
                <w:iCs w:val="0"/>
                <w:color w:val="000000"/>
                <w:kern w:val="0"/>
                <w:sz w:val="15"/>
                <w:szCs w:val="15"/>
                <w:u w:val="none"/>
                <w:lang w:val="en-US" w:eastAsia="zh-CN" w:bidi="ar"/>
              </w:rPr>
              <w:t>“三公”经费</w:t>
            </w:r>
            <w:r>
              <w:rPr>
                <w:rFonts w:hint="default" w:ascii="Times New Roman" w:hAnsi="Times New Roman" w:eastAsia="宋体" w:cs="Times New Roman"/>
                <w:i w:val="0"/>
                <w:iCs w:val="0"/>
                <w:color w:val="000000"/>
                <w:kern w:val="0"/>
                <w:sz w:val="15"/>
                <w:szCs w:val="15"/>
                <w:u w:val="none"/>
                <w:lang w:val="en-US" w:eastAsia="zh-CN" w:bidi="ar"/>
              </w:rPr>
              <w:t>控制率[计算方法为：（</w:t>
            </w:r>
            <w:r>
              <w:rPr>
                <w:rFonts w:hint="eastAsia" w:cs="Times New Roman"/>
                <w:i w:val="0"/>
                <w:iCs w:val="0"/>
                <w:color w:val="000000"/>
                <w:kern w:val="0"/>
                <w:sz w:val="15"/>
                <w:szCs w:val="15"/>
                <w:u w:val="none"/>
                <w:lang w:val="en-US" w:eastAsia="zh-CN" w:bidi="ar"/>
              </w:rPr>
              <w:t>“三公”经费</w:t>
            </w:r>
            <w:r>
              <w:rPr>
                <w:rFonts w:hint="default" w:ascii="Times New Roman" w:hAnsi="Times New Roman" w:eastAsia="宋体" w:cs="Times New Roman"/>
                <w:i w:val="0"/>
                <w:iCs w:val="0"/>
                <w:color w:val="000000"/>
                <w:kern w:val="0"/>
                <w:sz w:val="15"/>
                <w:szCs w:val="15"/>
                <w:u w:val="none"/>
                <w:lang w:val="en-US" w:eastAsia="zh-CN" w:bidi="ar"/>
              </w:rPr>
              <w:t>实际支出数/预算安排数]×100%）</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0F4D11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87176D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E4F16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0C6D61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630DE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99D584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1032CE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iCs/>
                <w:color w:val="000000"/>
                <w:sz w:val="15"/>
                <w:szCs w:val="15"/>
                <w:u w:val="none"/>
              </w:rPr>
            </w:pPr>
          </w:p>
        </w:tc>
      </w:tr>
      <w:tr w14:paraId="6521D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1EC23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6AFF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FFDA64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83F6C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运转保障率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D29DE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F6FDC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AFD51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E954DB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5"/>
                <w:szCs w:val="15"/>
                <w:u w:val="none"/>
                <w:lang w:val="en-US" w:eastAsia="zh-CN"/>
              </w:rPr>
            </w:pPr>
            <w:r>
              <w:rPr>
                <w:rFonts w:hint="default" w:ascii="Times New Roman" w:hAnsi="Times New Roman" w:eastAsia="微软雅黑" w:cs="Times New Roman"/>
                <w:i w:val="0"/>
                <w:iCs w:val="0"/>
                <w:color w:val="000000"/>
                <w:sz w:val="15"/>
                <w:szCs w:val="15"/>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861E86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3E4FF3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1F4297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iCs/>
                <w:color w:val="000000"/>
                <w:sz w:val="15"/>
                <w:szCs w:val="15"/>
                <w:u w:val="none"/>
              </w:rPr>
            </w:pPr>
          </w:p>
        </w:tc>
      </w:tr>
      <w:tr w14:paraId="303C8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5DA332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448588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BE7231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lang w:val="en-US" w:eastAsia="zh-CN"/>
              </w:rPr>
            </w:pPr>
            <w:r>
              <w:rPr>
                <w:rFonts w:hint="default" w:ascii="Times New Roman" w:hAnsi="Times New Roman" w:eastAsia="宋体" w:cs="Times New Roman"/>
                <w:i w:val="0"/>
                <w:iCs w:val="0"/>
                <w:color w:val="000000"/>
                <w:sz w:val="15"/>
                <w:szCs w:val="15"/>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E9B178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5"/>
                <w:szCs w:val="15"/>
                <w:u w:val="none"/>
              </w:rPr>
            </w:pPr>
          </w:p>
        </w:tc>
      </w:tr>
      <w:tr w14:paraId="7EBC5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5D3874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26CD817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42B22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564EBC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05E76E0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无</w:t>
            </w:r>
          </w:p>
        </w:tc>
      </w:tr>
      <w:tr w14:paraId="159BC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4EC91D3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726BB84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5"/>
                <w:szCs w:val="15"/>
                <w:u w:val="none"/>
              </w:rPr>
            </w:pPr>
            <w:r>
              <w:rPr>
                <w:rFonts w:hint="default" w:ascii="Times New Roman" w:hAnsi="Times New Roman" w:eastAsia="微软雅黑" w:cs="Times New Roman"/>
                <w:i w:val="0"/>
                <w:iCs w:val="0"/>
                <w:color w:val="000000"/>
                <w:kern w:val="0"/>
                <w:sz w:val="15"/>
                <w:szCs w:val="15"/>
                <w:u w:val="none"/>
                <w:lang w:val="en-US" w:eastAsia="zh-CN" w:bidi="ar"/>
              </w:rPr>
              <w:t>无</w:t>
            </w:r>
          </w:p>
        </w:tc>
      </w:tr>
      <w:tr w14:paraId="75CAD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48C3BC0F">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676B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5301C01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03BA7C7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51320024R000010654282-离休人员经费</w:t>
            </w:r>
          </w:p>
        </w:tc>
      </w:tr>
      <w:tr w14:paraId="63244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364B619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0AA7FAF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191024A3">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2711D9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305C2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392BE7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1A5645C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0E7D6A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4885BF12">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1C90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FC14A2">
            <w:pP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D8F4F">
            <w:pPr>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4E1E028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4E3A63B9">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color w:val="000000"/>
                <w:kern w:val="0"/>
                <w:sz w:val="18"/>
                <w:szCs w:val="18"/>
                <w:lang w:bidi="ar"/>
              </w:rPr>
              <w:t>严格执行相关政策，保障工资及时、足额发放。</w:t>
            </w:r>
          </w:p>
        </w:tc>
      </w:tr>
      <w:tr w14:paraId="43D50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AADE93">
            <w:pP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248CD5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5C01782A">
            <w:pP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6327D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07950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2E9DF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370C9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9C955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404257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B6940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5B161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73F0B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49467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4878C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EDDE6F">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F8521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5B05E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22.52</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F9A32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22.06</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4B670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22.06</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BA4A9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3C76C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33692AA">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A9D5D26">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79F46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3E3249">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6C120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B733E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22.52</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4A4C9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22.06</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83B93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22.06</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4E783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42C69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3F241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917A7">
            <w:pPr>
              <w:rPr>
                <w:rFonts w:hint="default" w:ascii="Times New Roman" w:hAnsi="Times New Roman" w:eastAsia="黑体" w:cs="Times New Roman"/>
                <w:i/>
                <w:iCs/>
                <w:color w:val="000000"/>
                <w:sz w:val="18"/>
                <w:szCs w:val="18"/>
                <w:u w:val="none"/>
              </w:rPr>
            </w:pPr>
          </w:p>
        </w:tc>
      </w:tr>
      <w:tr w14:paraId="01F9F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E3C3C0">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0E5E2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ABAB2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EFDAF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A00BD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2219E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ABC50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92B8A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C7609">
            <w:pPr>
              <w:rPr>
                <w:rFonts w:hint="default" w:ascii="Times New Roman" w:hAnsi="Times New Roman" w:eastAsia="黑体" w:cs="Times New Roman"/>
                <w:i/>
                <w:iCs/>
                <w:color w:val="000000"/>
                <w:sz w:val="18"/>
                <w:szCs w:val="18"/>
                <w:u w:val="none"/>
              </w:rPr>
            </w:pPr>
          </w:p>
        </w:tc>
      </w:tr>
      <w:tr w14:paraId="51C80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21FE3">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3DB51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685CD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42F1F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9BFDC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B6C46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B40A9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893F9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7AB51F">
            <w:pPr>
              <w:rPr>
                <w:rFonts w:hint="default" w:ascii="Times New Roman" w:hAnsi="Times New Roman" w:eastAsia="黑体" w:cs="Times New Roman"/>
                <w:i/>
                <w:iCs/>
                <w:color w:val="000000"/>
                <w:sz w:val="18"/>
                <w:szCs w:val="18"/>
                <w:u w:val="none"/>
              </w:rPr>
            </w:pPr>
          </w:p>
        </w:tc>
      </w:tr>
      <w:tr w14:paraId="29F81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4C36F4">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1A543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D838853">
            <w:pPr>
              <w:jc w:val="center"/>
              <w:rPr>
                <w:rFonts w:hint="default" w:ascii="Times New Roman" w:hAnsi="Times New Roman" w:eastAsia="微软雅黑" w:cs="Times New Roman"/>
                <w:i/>
                <w:iCs/>
                <w:color w:val="000000"/>
                <w:sz w:val="16"/>
                <w:szCs w:val="16"/>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132258A">
            <w:pPr>
              <w:jc w:val="center"/>
              <w:rPr>
                <w:rFonts w:hint="default" w:ascii="Times New Roman" w:hAnsi="Times New Roman" w:eastAsia="微软雅黑" w:cs="Times New Roman"/>
                <w:i/>
                <w:iCs/>
                <w:color w:val="000000"/>
                <w:sz w:val="16"/>
                <w:szCs w:val="16"/>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7BA2ED0">
            <w:pPr>
              <w:jc w:val="center"/>
              <w:rPr>
                <w:rFonts w:hint="default" w:ascii="Times New Roman" w:hAnsi="Times New Roman" w:eastAsia="微软雅黑" w:cs="Times New Roman"/>
                <w:i/>
                <w:iCs/>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3F30459">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BC24D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C5AB9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3415E6">
            <w:pPr>
              <w:rPr>
                <w:rFonts w:hint="default" w:ascii="Times New Roman" w:hAnsi="Times New Roman" w:eastAsia="黑体" w:cs="Times New Roman"/>
                <w:i/>
                <w:iCs/>
                <w:color w:val="000000"/>
                <w:sz w:val="18"/>
                <w:szCs w:val="18"/>
                <w:u w:val="none"/>
              </w:rPr>
            </w:pPr>
          </w:p>
        </w:tc>
      </w:tr>
      <w:tr w14:paraId="2B0A8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2"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55DCB5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8F1B6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7B15D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D001D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6E5B61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66B7A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B2FA7B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A9590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4EFBF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0F3CA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C1BDB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64989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6D1501">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9ADDE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33272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31594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C7DBB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D6AF3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A424F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3B9026B">
            <w:pPr>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E53D4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791B69B">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888F18F">
            <w:pPr>
              <w:jc w:val="center"/>
              <w:rPr>
                <w:rFonts w:hint="default" w:ascii="Times New Roman" w:hAnsi="Times New Roman" w:eastAsia="微软雅黑" w:cs="Times New Roman"/>
                <w:i/>
                <w:iCs/>
                <w:color w:val="000000"/>
                <w:sz w:val="16"/>
                <w:szCs w:val="16"/>
                <w:u w:val="none"/>
              </w:rPr>
            </w:pPr>
          </w:p>
        </w:tc>
      </w:tr>
      <w:tr w14:paraId="64D7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801A5">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2ABD9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58628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1BBE6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5ACA3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4B269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0CC069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350828B">
            <w:pPr>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C5A06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9A5368A">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86DA1C6">
            <w:pPr>
              <w:jc w:val="center"/>
              <w:rPr>
                <w:rFonts w:hint="default" w:ascii="Times New Roman" w:hAnsi="Times New Roman" w:eastAsia="微软雅黑" w:cs="Times New Roman"/>
                <w:i/>
                <w:iCs/>
                <w:color w:val="000000"/>
                <w:sz w:val="16"/>
                <w:szCs w:val="16"/>
                <w:u w:val="none"/>
              </w:rPr>
            </w:pPr>
          </w:p>
        </w:tc>
      </w:tr>
      <w:tr w14:paraId="38BC6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63B058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BCAE4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129E41F">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62BCA06">
            <w:pPr>
              <w:jc w:val="center"/>
              <w:rPr>
                <w:rFonts w:hint="default" w:ascii="Times New Roman" w:hAnsi="Times New Roman" w:eastAsia="宋体" w:cs="Times New Roman"/>
                <w:i w:val="0"/>
                <w:iCs w:val="0"/>
                <w:color w:val="000000"/>
                <w:sz w:val="18"/>
                <w:szCs w:val="18"/>
                <w:u w:val="none"/>
              </w:rPr>
            </w:pPr>
          </w:p>
        </w:tc>
      </w:tr>
      <w:tr w14:paraId="548EA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438719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287AA895">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54B1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63F2EC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58C717ED">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0CA15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11714A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0AF32AC1">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6B6BE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1F2A162F">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008A3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792E120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7EF3E4D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51320024R000010654621-退休人员经费</w:t>
            </w:r>
          </w:p>
        </w:tc>
      </w:tr>
      <w:tr w14:paraId="4AA32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733D67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14DD0CA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47A5C8CE">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 （盖章）</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679D2B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32CAA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2AD8D4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6C6C02F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231155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36FA3D04">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2C98F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4D6584">
            <w:pP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AF1505">
            <w:pPr>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4E8F0F5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314F7831">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b w:val="0"/>
                <w:bCs w:val="0"/>
                <w:color w:val="000000"/>
                <w:kern w:val="0"/>
                <w:sz w:val="18"/>
                <w:szCs w:val="18"/>
                <w:lang w:bidi="ar"/>
              </w:rPr>
              <w:t>严格执行相关政策，保障工资及时、足额发放</w:t>
            </w:r>
          </w:p>
        </w:tc>
      </w:tr>
      <w:tr w14:paraId="39E3D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F93B5">
            <w:pP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EA7699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32E4C1F7">
            <w:pP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C08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3278C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1583B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8FC9D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052C9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539A7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42B6AB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8584D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89EB83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FBFFF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64085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D54CFF">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1691D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BE02D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25.97</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71FAA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25.87</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77CA0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25.87</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DA307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22A933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2084C49">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C619988">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07795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E176EB">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729D5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CAF83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25.97</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4BCE0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25.87</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0A8D3C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25.87</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AA0D5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679A3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F887E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FA790E">
            <w:pPr>
              <w:rPr>
                <w:rFonts w:hint="default" w:ascii="Times New Roman" w:hAnsi="Times New Roman" w:eastAsia="黑体" w:cs="Times New Roman"/>
                <w:i/>
                <w:iCs/>
                <w:color w:val="000000"/>
                <w:sz w:val="18"/>
                <w:szCs w:val="18"/>
                <w:u w:val="none"/>
              </w:rPr>
            </w:pPr>
          </w:p>
        </w:tc>
      </w:tr>
      <w:tr w14:paraId="0EC8D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0F3F1">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B05EC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17DB6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8566E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57EB34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EEE8C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9D5E7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B8640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C81B91">
            <w:pPr>
              <w:rPr>
                <w:rFonts w:hint="default" w:ascii="Times New Roman" w:hAnsi="Times New Roman" w:eastAsia="黑体" w:cs="Times New Roman"/>
                <w:i/>
                <w:iCs/>
                <w:color w:val="000000"/>
                <w:sz w:val="18"/>
                <w:szCs w:val="18"/>
                <w:u w:val="none"/>
              </w:rPr>
            </w:pPr>
          </w:p>
        </w:tc>
      </w:tr>
      <w:tr w14:paraId="00A6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9A8C1C">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31EB9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238FA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C0BB5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CC528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6DD6E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BE2FC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C2AB2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896CD2">
            <w:pPr>
              <w:rPr>
                <w:rFonts w:hint="default" w:ascii="Times New Roman" w:hAnsi="Times New Roman" w:eastAsia="黑体" w:cs="Times New Roman"/>
                <w:i/>
                <w:iCs/>
                <w:color w:val="000000"/>
                <w:sz w:val="18"/>
                <w:szCs w:val="18"/>
                <w:u w:val="none"/>
              </w:rPr>
            </w:pPr>
          </w:p>
        </w:tc>
      </w:tr>
      <w:tr w14:paraId="2051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02A3BA">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842BE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03E66F2">
            <w:pPr>
              <w:jc w:val="center"/>
              <w:rPr>
                <w:rFonts w:hint="default" w:ascii="Times New Roman" w:hAnsi="Times New Roman" w:eastAsia="微软雅黑" w:cs="Times New Roman"/>
                <w:i/>
                <w:iCs/>
                <w:color w:val="000000"/>
                <w:sz w:val="16"/>
                <w:szCs w:val="16"/>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F188A84">
            <w:pPr>
              <w:jc w:val="center"/>
              <w:rPr>
                <w:rFonts w:hint="default" w:ascii="Times New Roman" w:hAnsi="Times New Roman" w:eastAsia="微软雅黑" w:cs="Times New Roman"/>
                <w:i/>
                <w:iCs/>
                <w:color w:val="000000"/>
                <w:sz w:val="16"/>
                <w:szCs w:val="16"/>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7091BC1">
            <w:pPr>
              <w:jc w:val="center"/>
              <w:rPr>
                <w:rFonts w:hint="default" w:ascii="Times New Roman" w:hAnsi="Times New Roman" w:eastAsia="微软雅黑" w:cs="Times New Roman"/>
                <w:i/>
                <w:iCs/>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C084498">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94844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71051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633DF0">
            <w:pPr>
              <w:rPr>
                <w:rFonts w:hint="default" w:ascii="Times New Roman" w:hAnsi="Times New Roman" w:eastAsia="黑体" w:cs="Times New Roman"/>
                <w:i/>
                <w:iCs/>
                <w:color w:val="000000"/>
                <w:sz w:val="18"/>
                <w:szCs w:val="18"/>
                <w:u w:val="none"/>
              </w:rPr>
            </w:pPr>
          </w:p>
        </w:tc>
      </w:tr>
      <w:tr w14:paraId="457D9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8"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DEA48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51379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FF0B5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E1020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9BF27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074D05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26B39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50EA3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2C2BE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A7F88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6F540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53BD1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F336FA">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B97B3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79BF6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A2DBF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6D876A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4C470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A9D39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FCACA4E">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9D11D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606C6A4">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A586AAA">
            <w:pPr>
              <w:jc w:val="center"/>
              <w:rPr>
                <w:rFonts w:hint="default" w:ascii="Times New Roman" w:hAnsi="Times New Roman" w:eastAsia="微软雅黑" w:cs="Times New Roman"/>
                <w:i/>
                <w:iCs/>
                <w:color w:val="000000"/>
                <w:sz w:val="16"/>
                <w:szCs w:val="16"/>
                <w:u w:val="none"/>
              </w:rPr>
            </w:pPr>
          </w:p>
        </w:tc>
      </w:tr>
      <w:tr w14:paraId="26057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3D6D04">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883BF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B858C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C308B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D589D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5C73D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A8C135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02DDEC0">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44536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A4809C4">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D2589F4">
            <w:pPr>
              <w:jc w:val="center"/>
              <w:rPr>
                <w:rFonts w:hint="default" w:ascii="Times New Roman" w:hAnsi="Times New Roman" w:eastAsia="微软雅黑" w:cs="Times New Roman"/>
                <w:i/>
                <w:iCs/>
                <w:color w:val="000000"/>
                <w:sz w:val="16"/>
                <w:szCs w:val="16"/>
                <w:u w:val="none"/>
              </w:rPr>
            </w:pPr>
          </w:p>
        </w:tc>
      </w:tr>
      <w:tr w14:paraId="761FA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1ECF53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9884B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8E3DA5D">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54CC786">
            <w:pPr>
              <w:jc w:val="center"/>
              <w:rPr>
                <w:rFonts w:hint="default" w:ascii="Times New Roman" w:hAnsi="Times New Roman" w:eastAsia="宋体" w:cs="Times New Roman"/>
                <w:i w:val="0"/>
                <w:iCs w:val="0"/>
                <w:color w:val="000000"/>
                <w:sz w:val="18"/>
                <w:szCs w:val="18"/>
                <w:u w:val="none"/>
              </w:rPr>
            </w:pPr>
          </w:p>
        </w:tc>
      </w:tr>
      <w:tr w14:paraId="2BDC6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3D2EDE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475445B8">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5E77F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7936C6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1F639E1E">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63FDC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4B4710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114F9600">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74996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7E78C27C">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62F72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0393343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1917FB8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51320024R000010655518-目标绩效奖（行政按月随工资发放70%部分）</w:t>
            </w:r>
          </w:p>
        </w:tc>
      </w:tr>
      <w:tr w14:paraId="1AC69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1AA8DDD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E71F2F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4387C21A">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20110A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31A7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119E2B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560765E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04EE35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51F416DA">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6099C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83E69">
            <w:pP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D4A1EB">
            <w:pPr>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0DCF06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63177DA4">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b w:val="0"/>
                <w:bCs w:val="0"/>
                <w:color w:val="000000"/>
                <w:kern w:val="0"/>
                <w:sz w:val="18"/>
                <w:szCs w:val="18"/>
                <w:lang w:bidi="ar"/>
              </w:rPr>
              <w:t>严格执行相关政策，保障工资及时、足额发放</w:t>
            </w:r>
          </w:p>
        </w:tc>
      </w:tr>
      <w:tr w14:paraId="3EC61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AC3BD4">
            <w:pP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21829D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6E09C322">
            <w:pP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r>
      <w:tr w14:paraId="2F43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B5BFE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78981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BAA95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32B0F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68871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98EC1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357D0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D617C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FEB04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2E3DF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BFCD93">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63FB5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6A5CD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66.80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4F0C0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68.36</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5EE609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68.36</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6C9ED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871DF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AAE2ECE">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E5B1C1C">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r>
              <w:rPr>
                <w:rFonts w:hint="default" w:ascii="Times New Roman" w:hAnsi="Times New Roman" w:eastAsia="黑体" w:cs="Times New Roman"/>
                <w:i/>
                <w:iCs/>
                <w:color w:val="000000"/>
                <w:kern w:val="0"/>
                <w:sz w:val="18"/>
                <w:szCs w:val="18"/>
                <w:u w:val="none"/>
                <w:lang w:val="en-US" w:eastAsia="zh-CN" w:bidi="ar"/>
              </w:rPr>
              <w:t>.</w:t>
            </w:r>
          </w:p>
        </w:tc>
      </w:tr>
      <w:tr w14:paraId="6E488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66B9D1">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3442A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AF42E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66.80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66CB8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68.36</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5372A7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68.36</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666268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3525F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F4343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59449D">
            <w:pPr>
              <w:rPr>
                <w:rFonts w:hint="default" w:ascii="Times New Roman" w:hAnsi="Times New Roman" w:eastAsia="黑体" w:cs="Times New Roman"/>
                <w:i/>
                <w:iCs/>
                <w:color w:val="000000"/>
                <w:sz w:val="18"/>
                <w:szCs w:val="18"/>
                <w:u w:val="none"/>
              </w:rPr>
            </w:pPr>
          </w:p>
        </w:tc>
      </w:tr>
      <w:tr w14:paraId="6DC53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1C622">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352C4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476DE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93589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2CCE24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E45CA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FD743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778E3C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BC5DD">
            <w:pPr>
              <w:rPr>
                <w:rFonts w:hint="default" w:ascii="Times New Roman" w:hAnsi="Times New Roman" w:eastAsia="黑体" w:cs="Times New Roman"/>
                <w:i/>
                <w:iCs/>
                <w:color w:val="000000"/>
                <w:sz w:val="18"/>
                <w:szCs w:val="18"/>
                <w:u w:val="none"/>
              </w:rPr>
            </w:pPr>
          </w:p>
        </w:tc>
      </w:tr>
      <w:tr w14:paraId="0802F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B4047">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B586F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AD581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F5B03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CD6E9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2789B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E196B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57BC4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446994">
            <w:pPr>
              <w:rPr>
                <w:rFonts w:hint="default" w:ascii="Times New Roman" w:hAnsi="Times New Roman" w:eastAsia="黑体" w:cs="Times New Roman"/>
                <w:i/>
                <w:iCs/>
                <w:color w:val="000000"/>
                <w:sz w:val="18"/>
                <w:szCs w:val="18"/>
                <w:u w:val="none"/>
              </w:rPr>
            </w:pPr>
          </w:p>
        </w:tc>
      </w:tr>
      <w:tr w14:paraId="22C18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EC8175">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B25EA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1EEDCD7">
            <w:pPr>
              <w:jc w:val="center"/>
              <w:rPr>
                <w:rFonts w:hint="default" w:ascii="Times New Roman" w:hAnsi="Times New Roman" w:eastAsia="微软雅黑" w:cs="Times New Roman"/>
                <w:i/>
                <w:iCs/>
                <w:color w:val="000000"/>
                <w:sz w:val="16"/>
                <w:szCs w:val="16"/>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A82D87F">
            <w:pPr>
              <w:jc w:val="center"/>
              <w:rPr>
                <w:rFonts w:hint="default" w:ascii="Times New Roman" w:hAnsi="Times New Roman" w:eastAsia="微软雅黑" w:cs="Times New Roman"/>
                <w:i/>
                <w:iCs/>
                <w:color w:val="000000"/>
                <w:sz w:val="16"/>
                <w:szCs w:val="16"/>
                <w:u w:val="none"/>
              </w:rPr>
            </w:pP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4C1CE1EC">
            <w:pPr>
              <w:jc w:val="center"/>
              <w:rPr>
                <w:rFonts w:hint="default" w:ascii="Times New Roman" w:hAnsi="Times New Roman" w:eastAsia="微软雅黑" w:cs="Times New Roman"/>
                <w:i/>
                <w:iCs/>
                <w:color w:val="000000"/>
                <w:sz w:val="16"/>
                <w:szCs w:val="16"/>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0BE42CA">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34E4B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44E3F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64C69C">
            <w:pPr>
              <w:rPr>
                <w:rFonts w:hint="default" w:ascii="Times New Roman" w:hAnsi="Times New Roman" w:eastAsia="黑体" w:cs="Times New Roman"/>
                <w:i/>
                <w:iCs/>
                <w:color w:val="000000"/>
                <w:sz w:val="18"/>
                <w:szCs w:val="18"/>
                <w:u w:val="none"/>
              </w:rPr>
            </w:pPr>
          </w:p>
        </w:tc>
      </w:tr>
      <w:tr w14:paraId="321B3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95A22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ECA38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549E3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66A60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608EA7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56821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DC019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5C695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2E489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25D04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7F09F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498B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9A60C7">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C267AC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53B56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DE3574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7EB45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1A140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4A90D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C8A3F12">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D27D2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84CAF22">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094B4E4">
            <w:pPr>
              <w:jc w:val="center"/>
              <w:rPr>
                <w:rFonts w:hint="default" w:ascii="Times New Roman" w:hAnsi="Times New Roman" w:eastAsia="微软雅黑" w:cs="Times New Roman"/>
                <w:i/>
                <w:iCs/>
                <w:color w:val="000000"/>
                <w:sz w:val="16"/>
                <w:szCs w:val="16"/>
                <w:u w:val="none"/>
              </w:rPr>
            </w:pPr>
          </w:p>
        </w:tc>
      </w:tr>
      <w:tr w14:paraId="268E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E77E91">
            <w:pPr>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1D219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C1AE2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CA724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E0506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F7CBC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26D7D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E73DD05">
            <w:pPr>
              <w:jc w:val="center"/>
              <w:rPr>
                <w:rFonts w:hint="default" w:ascii="Times New Roman" w:hAnsi="Times New Roman" w:eastAsia="微软雅黑" w:cs="Times New Roman"/>
                <w:i/>
                <w:iCs/>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9D076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937319F">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0376621">
            <w:pPr>
              <w:jc w:val="center"/>
              <w:rPr>
                <w:rFonts w:hint="default" w:ascii="Times New Roman" w:hAnsi="Times New Roman" w:eastAsia="微软雅黑" w:cs="Times New Roman"/>
                <w:i/>
                <w:iCs/>
                <w:color w:val="000000"/>
                <w:sz w:val="16"/>
                <w:szCs w:val="16"/>
                <w:u w:val="none"/>
              </w:rPr>
            </w:pPr>
          </w:p>
        </w:tc>
      </w:tr>
      <w:tr w14:paraId="74E08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1E7B98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34E1A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FC1B365">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F78B100">
            <w:pPr>
              <w:jc w:val="center"/>
              <w:rPr>
                <w:rFonts w:hint="default" w:ascii="Times New Roman" w:hAnsi="Times New Roman" w:eastAsia="宋体" w:cs="Times New Roman"/>
                <w:i w:val="0"/>
                <w:iCs w:val="0"/>
                <w:color w:val="000000"/>
                <w:sz w:val="18"/>
                <w:szCs w:val="18"/>
                <w:u w:val="none"/>
              </w:rPr>
            </w:pPr>
          </w:p>
        </w:tc>
      </w:tr>
      <w:tr w14:paraId="7C4E6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421FDE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3664AE95">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40C42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64D2E5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40BE6A00">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1394E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3BA5E4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70853DF5">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74FB8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095CFC5B">
            <w:pPr>
              <w:keepNext w:val="0"/>
              <w:keepLines w:val="0"/>
              <w:widowControl/>
              <w:suppressLineNumbers w:val="0"/>
              <w:ind w:firstLine="4216" w:firstLineChars="1400"/>
              <w:jc w:val="both"/>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5E811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3790839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061F0A6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51320024T000010422534-党建品牌创建及机关党建联动工作经费</w:t>
            </w:r>
          </w:p>
        </w:tc>
      </w:tr>
      <w:tr w14:paraId="030F5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2A766D7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30D157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10E4EB99">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23C866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42F87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4E2411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46B4D33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5F79007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43BC00B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12AA8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E44B86">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1E3BB6">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5C3F581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建立市（州）、州县（市）、州直机关党建三级联动机制，联动提升机关党建工作水平。2.2022年起，以品牌建设为突破、为载体、为举措，树牢州直机关“净土先锋”机关党建品牌和州直部门子品牌的创建工作，在全省、全国行业系创建特色品牌，同时，规范党内各项基本制度，切实达到州委刘坪书记要求的把州直机关党的建设工作开展的“红红火火、有声有色”。</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516D17E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持续破解机关党建与业务工作“两张皮”问题，推动机关党建与业务工作深度融合，全面深化2022年-2024年“净土先锋”党建总品牌+行业（系统）党建子品牌的“1+N”党建品牌矩阵，有效推动党建工作与中心工作深度融合、相互促进，持续推动州县机关党建联动提升。</w:t>
            </w:r>
          </w:p>
        </w:tc>
      </w:tr>
      <w:tr w14:paraId="5E363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419213">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2C1534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234E56D6">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sz w:val="18"/>
                <w:szCs w:val="18"/>
                <w:u w:val="none"/>
              </w:rPr>
              <w:t>持续构建州县党建联动机制，实现资源共享、难题共解；将95个州直部门组建为13个共建组，6500余名党员参与党组织共建活动。</w:t>
            </w:r>
          </w:p>
        </w:tc>
      </w:tr>
      <w:tr w14:paraId="64202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6ED863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0CADB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9039F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B670A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6F1B4C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B84CC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907E2E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1CC0C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DAC2E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2A732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ACC10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97E7D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92F5D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A0362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8.22</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A5B91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8.22</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889BE1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1DCFD7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941B6E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1E73085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8"/>
                <w:szCs w:val="18"/>
                <w:u w:val="none"/>
              </w:rPr>
            </w:pPr>
          </w:p>
        </w:tc>
      </w:tr>
      <w:tr w14:paraId="32EC8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5BDBF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DF9DC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C95549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98831C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8.22</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4624A9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8.22</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65EA3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1C80B6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202BAE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36699">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8"/>
                <w:szCs w:val="18"/>
                <w:u w:val="none"/>
              </w:rPr>
            </w:pPr>
          </w:p>
        </w:tc>
      </w:tr>
      <w:tr w14:paraId="71F83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8A725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E488C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CA1E8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BEB4C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143C559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F9BAF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8943E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8DDCF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2D9453">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8"/>
                <w:szCs w:val="18"/>
                <w:u w:val="none"/>
              </w:rPr>
            </w:pPr>
          </w:p>
        </w:tc>
      </w:tr>
      <w:tr w14:paraId="5FCB4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2C7D9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BD263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03401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A14660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F446AA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708699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3ACE3B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10B214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F03D6B">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8"/>
                <w:szCs w:val="18"/>
                <w:u w:val="none"/>
              </w:rPr>
            </w:pPr>
          </w:p>
        </w:tc>
      </w:tr>
      <w:tr w14:paraId="7325F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93A13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8C606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161D2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73F296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6DC28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921D3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A29D63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5D1FD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7745F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A9E6A1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8C777E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52300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6BE76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4879507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732AA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67C6E8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每年从州直机关推选党建品牌</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F2BDBF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9A44D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09DA95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19D87B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12</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739A2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113981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FF16D5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1E290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89EA3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A08FA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3B563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质量指标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047DB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通过验收合格</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02E1AD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E4F29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6C0C5A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2161D3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12</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B1C38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9FD12C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D109F6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3A0DD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3544F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5FBFA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22144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时效指标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C08F7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工作完成时间</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1BD0C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6E90B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12月底前</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183C8D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B5D964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已经完成</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4869B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DE645E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D372D2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0D7E5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FC30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D0093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E71ACD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80D53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保障工作正常开展</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52C4A1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E74B52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有效保障</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19D268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21F1FF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宋体" w:cs="Times New Roman"/>
                <w:i w:val="0"/>
                <w:iCs w:val="0"/>
                <w:color w:val="000000"/>
                <w:kern w:val="0"/>
                <w:sz w:val="18"/>
                <w:szCs w:val="18"/>
                <w:u w:val="none"/>
                <w:lang w:val="en-US" w:eastAsia="zh-CN" w:bidi="ar"/>
              </w:rPr>
              <w:t>有效保障</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BFA1B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0A7DFC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648AA6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0E2B1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8D4B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8C96F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满意度指标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A1E7C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服务对象满意度指标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5514A7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创建单位≥90%</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F792B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08FA8B7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D5828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700489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DC260D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09AF06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DB3A81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70C96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084D8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099662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成本指标</w:t>
            </w:r>
          </w:p>
        </w:tc>
        <w:tc>
          <w:tcPr>
            <w:tcW w:w="16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DD7F0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经济成本指标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93DA29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会议成本</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5445C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2253C4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8B3750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人/天</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177118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230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B4D1D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851FA5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859FC9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4E654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F714D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EF232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6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E23B6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DAEF46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人均成本</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1BD1C6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929B1E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470</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F8586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元/天</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FFC401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470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B5E36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DC49E5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ACCEA0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24B5B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3B12994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F18B2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8401AE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67C959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r>
      <w:tr w14:paraId="2A484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42271C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1973EF3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6B418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2B016C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5B04808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394ED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44E4D4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4061C7B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1D0D4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3075" w:type="dxa"/>
            <w:gridSpan w:val="11"/>
            <w:tcBorders>
              <w:top w:val="single" w:color="000000" w:sz="4" w:space="0"/>
              <w:left w:val="single" w:color="000000" w:sz="4" w:space="0"/>
              <w:bottom w:val="single" w:color="000000" w:sz="4" w:space="0"/>
              <w:right w:val="single" w:color="000000" w:sz="4" w:space="0"/>
            </w:tcBorders>
            <w:noWrap w:val="0"/>
            <w:vAlign w:val="center"/>
          </w:tcPr>
          <w:p w14:paraId="630323B9">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39936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0D491CF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5DF6B89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51320024T000010422539-办公设备购置</w:t>
            </w:r>
          </w:p>
        </w:tc>
      </w:tr>
      <w:tr w14:paraId="32214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2454" w:type="dxa"/>
            <w:gridSpan w:val="2"/>
            <w:tcBorders>
              <w:top w:val="single" w:color="000000" w:sz="4" w:space="0"/>
              <w:left w:val="single" w:color="000000" w:sz="4" w:space="0"/>
              <w:bottom w:val="single" w:color="000000" w:sz="4" w:space="0"/>
              <w:right w:val="single" w:color="000000" w:sz="4" w:space="0"/>
            </w:tcBorders>
            <w:noWrap w:val="0"/>
            <w:vAlign w:val="center"/>
          </w:tcPr>
          <w:p w14:paraId="044908C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6B63012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1041" w:type="dxa"/>
            <w:tcBorders>
              <w:top w:val="nil"/>
              <w:left w:val="nil"/>
              <w:bottom w:val="nil"/>
              <w:right w:val="nil"/>
            </w:tcBorders>
            <w:noWrap w:val="0"/>
            <w:vAlign w:val="center"/>
          </w:tcPr>
          <w:p w14:paraId="52A5D3D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 xml:space="preserve">实施单位 </w:t>
            </w:r>
          </w:p>
        </w:tc>
        <w:tc>
          <w:tcPr>
            <w:tcW w:w="2743" w:type="dxa"/>
            <w:gridSpan w:val="3"/>
            <w:tcBorders>
              <w:top w:val="single" w:color="000000" w:sz="4" w:space="0"/>
              <w:left w:val="single" w:color="000000" w:sz="4" w:space="0"/>
              <w:bottom w:val="single" w:color="000000" w:sz="4" w:space="0"/>
              <w:right w:val="single" w:color="000000" w:sz="4" w:space="0"/>
            </w:tcBorders>
            <w:noWrap w:val="0"/>
            <w:vAlign w:val="center"/>
          </w:tcPr>
          <w:p w14:paraId="71E4AB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44658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61288A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B836B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3C740B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63EDBD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25388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7B6A10">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47A663">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8"/>
                <w:szCs w:val="18"/>
                <w:u w:val="none"/>
              </w:rPr>
            </w:pPr>
          </w:p>
        </w:tc>
        <w:tc>
          <w:tcPr>
            <w:tcW w:w="6837" w:type="dxa"/>
            <w:gridSpan w:val="5"/>
            <w:tcBorders>
              <w:top w:val="single" w:color="000000" w:sz="4" w:space="0"/>
              <w:left w:val="single" w:color="000000" w:sz="4" w:space="0"/>
              <w:bottom w:val="single" w:color="000000" w:sz="4" w:space="0"/>
              <w:right w:val="single" w:color="000000" w:sz="4" w:space="0"/>
            </w:tcBorders>
            <w:noWrap w:val="0"/>
            <w:vAlign w:val="center"/>
          </w:tcPr>
          <w:p w14:paraId="7F67160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根据会议精神，2024年开始，党员组织关系转接需安装大组工网（涉密）的国产电脑操作。为切实做好党员信息保密工作，同时，为便于开展年底集中会审、党统数据统计等工作，实现党员信息管理信息化，需采购2台电脑，其中一台为便携式笔记本电脑（国产化）、另外一台为安装大组工（涉密）的台式电脑。2.购置空调13台。每台3500元，更好的满足干部职工冬季取暖需求</w:t>
            </w:r>
            <w:r>
              <w:rPr>
                <w:rFonts w:hint="default" w:ascii="Times New Roman" w:hAnsi="Times New Roman" w:cs="Times New Roman"/>
                <w:i w:val="0"/>
                <w:iCs w:val="0"/>
                <w:color w:val="000000"/>
                <w:kern w:val="0"/>
                <w:sz w:val="18"/>
                <w:szCs w:val="18"/>
                <w:u w:val="none"/>
                <w:lang w:val="en-US" w:eastAsia="zh-CN" w:bidi="ar"/>
              </w:rPr>
              <w:t>。</w:t>
            </w:r>
          </w:p>
        </w:tc>
        <w:tc>
          <w:tcPr>
            <w:tcW w:w="3784" w:type="dxa"/>
            <w:gridSpan w:val="4"/>
            <w:tcBorders>
              <w:top w:val="single" w:color="000000" w:sz="4" w:space="0"/>
              <w:left w:val="single" w:color="000000" w:sz="4" w:space="0"/>
              <w:bottom w:val="single" w:color="000000" w:sz="4" w:space="0"/>
              <w:right w:val="single" w:color="000000" w:sz="4" w:space="0"/>
            </w:tcBorders>
            <w:noWrap w:val="0"/>
            <w:vAlign w:val="center"/>
          </w:tcPr>
          <w:p w14:paraId="11017FD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根据年初目标，采购了13台空调；因相关要求，未采购2台电脑。</w:t>
            </w:r>
          </w:p>
        </w:tc>
      </w:tr>
      <w:tr w14:paraId="0D1C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0BE20D">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CAF1C7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621" w:type="dxa"/>
            <w:gridSpan w:val="9"/>
            <w:tcBorders>
              <w:top w:val="single" w:color="000000" w:sz="4" w:space="0"/>
              <w:left w:val="single" w:color="000000" w:sz="4" w:space="0"/>
              <w:bottom w:val="single" w:color="000000" w:sz="4" w:space="0"/>
              <w:right w:val="single" w:color="000000" w:sz="4" w:space="0"/>
            </w:tcBorders>
            <w:noWrap w:val="0"/>
            <w:vAlign w:val="center"/>
          </w:tcPr>
          <w:p w14:paraId="0C4EAB52">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sz w:val="18"/>
                <w:szCs w:val="18"/>
                <w:u w:val="none"/>
              </w:rPr>
              <w:t>根据年初目标，采购了13台空调；因相关要求，未采购2台电脑。</w:t>
            </w:r>
          </w:p>
        </w:tc>
      </w:tr>
      <w:tr w14:paraId="4A4A6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AA965D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CFEE0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C45FF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DD11B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8D337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E960B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61FD6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CCE52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1DF7B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29188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00B15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E7B4F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8577C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68D587C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4.25</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594402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4.25</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67F447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F49BC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4522F2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D27F39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黑体" w:cs="Times New Roman"/>
                <w:i w:val="0"/>
                <w:iCs w:val="0"/>
                <w:color w:val="000000"/>
                <w:sz w:val="18"/>
                <w:szCs w:val="18"/>
                <w:u w:val="none"/>
              </w:rPr>
            </w:pPr>
          </w:p>
        </w:tc>
      </w:tr>
      <w:tr w14:paraId="5A1E4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97E3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35858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483AF4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85F68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4.25</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4A712FE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4.25</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BA4FC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B1315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FB3EC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D97F2B">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8"/>
                <w:szCs w:val="18"/>
                <w:u w:val="none"/>
              </w:rPr>
            </w:pPr>
          </w:p>
        </w:tc>
      </w:tr>
      <w:tr w14:paraId="07542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F41F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3F05C6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9AB1F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2DBB241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3469C5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E2333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4C50C7E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3DA9CD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59A7B">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8"/>
                <w:szCs w:val="18"/>
                <w:u w:val="none"/>
              </w:rPr>
            </w:pPr>
          </w:p>
        </w:tc>
      </w:tr>
      <w:tr w14:paraId="5DAB9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8AE8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ECAAD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D0985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06C05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213" w:type="dxa"/>
            <w:gridSpan w:val="3"/>
            <w:tcBorders>
              <w:top w:val="single" w:color="000000" w:sz="4" w:space="0"/>
              <w:left w:val="single" w:color="000000" w:sz="4" w:space="0"/>
              <w:bottom w:val="single" w:color="000000" w:sz="4" w:space="0"/>
              <w:right w:val="single" w:color="000000" w:sz="4" w:space="0"/>
            </w:tcBorders>
            <w:noWrap w:val="0"/>
            <w:vAlign w:val="center"/>
          </w:tcPr>
          <w:p w14:paraId="7815090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2803E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11E122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102EC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3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DDED7">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黑体" w:cs="Times New Roman"/>
                <w:i w:val="0"/>
                <w:iCs w:val="0"/>
                <w:color w:val="000000"/>
                <w:sz w:val="18"/>
                <w:szCs w:val="18"/>
                <w:u w:val="none"/>
              </w:rPr>
            </w:pPr>
          </w:p>
        </w:tc>
      </w:tr>
      <w:tr w14:paraId="52DB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52019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A5F74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18DEBE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74A354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6DE63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119F1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620DD88">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度</w:t>
            </w:r>
            <w:r>
              <w:rPr>
                <w:rFonts w:hint="default" w:ascii="Times New Roman" w:hAnsi="Times New Roman" w:eastAsia="宋体" w:cs="Times New Roman"/>
                <w:i w:val="0"/>
                <w:iCs w:val="0"/>
                <w:color w:val="000000"/>
                <w:kern w:val="0"/>
                <w:sz w:val="18"/>
                <w:szCs w:val="18"/>
                <w:u w:val="none"/>
                <w:lang w:val="en-US" w:eastAsia="zh-CN" w:bidi="ar"/>
              </w:rPr>
              <w:t>量单位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5755AE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D516C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13A41E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411EF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25274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7D208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51EA43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DE1DB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31E970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购买办公设备数量</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DEDC53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5B4DE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5C62E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台</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09A688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13</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2D1F1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212A13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086585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6D1A2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8D174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3F719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A0251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质量指标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0654C1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验收合格</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57518B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CFC6E6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95</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8B0B3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9E6173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C33D3D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E2375E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B00E39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5EB2D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5B51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A930A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8DFEC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时效指标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DA956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项目完成情况</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EE21FF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F8E9E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12月底前</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1D8729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679840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10月前</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61FF30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DB2CDC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9A302A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38975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8923B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restart"/>
            <w:tcBorders>
              <w:top w:val="single" w:color="000000" w:sz="4" w:space="0"/>
              <w:left w:val="single" w:color="000000" w:sz="4" w:space="0"/>
              <w:bottom w:val="single" w:color="000000" w:sz="4" w:space="0"/>
              <w:right w:val="single" w:color="000000" w:sz="4" w:space="0"/>
            </w:tcBorders>
            <w:noWrap w:val="0"/>
            <w:vAlign w:val="center"/>
          </w:tcPr>
          <w:p w14:paraId="50501A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0BEBD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经济效益指标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1DA3CE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促进市场消费</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2408C22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DAB692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989ED7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F2B19A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4.25</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289BFF1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856322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57B93AC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01B11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4ABB5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A2CE1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17A19B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52391B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提升工作效率</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7C7FDD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B5B83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进一步提升</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88DED3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18E305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宋体" w:cs="Times New Roman"/>
                <w:i w:val="0"/>
                <w:iCs w:val="0"/>
                <w:color w:val="000000"/>
                <w:kern w:val="0"/>
                <w:sz w:val="18"/>
                <w:szCs w:val="18"/>
                <w:u w:val="none"/>
                <w:lang w:val="en-US" w:eastAsia="zh-CN" w:bidi="ar"/>
              </w:rPr>
              <w:t>进一步提升</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08FE5B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4182A6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D07D708">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03B21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0957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925035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满意度指标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7C77A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服务对象满意度指标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411520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干部职工满意度</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07995A6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CA2090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95</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0443FE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B86A67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7FEC77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9E35DB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78E8238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46231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97190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rPr>
            </w:pP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2A86EE9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成本指标</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882A27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经济成本指标</w:t>
            </w:r>
          </w:p>
        </w:tc>
        <w:tc>
          <w:tcPr>
            <w:tcW w:w="1999" w:type="dxa"/>
            <w:tcBorders>
              <w:top w:val="single" w:color="000000" w:sz="4" w:space="0"/>
              <w:left w:val="single" w:color="000000" w:sz="4" w:space="0"/>
              <w:bottom w:val="single" w:color="000000" w:sz="4" w:space="0"/>
              <w:right w:val="single" w:color="000000" w:sz="4" w:space="0"/>
            </w:tcBorders>
            <w:noWrap w:val="0"/>
            <w:vAlign w:val="center"/>
          </w:tcPr>
          <w:p w14:paraId="0B3A1C6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采购设备成本</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14:paraId="3C5159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870C8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236ADC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A5D893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4.25</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687F2B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1625E0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20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EA542A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i w:val="0"/>
                <w:iCs w:val="0"/>
                <w:color w:val="000000"/>
                <w:sz w:val="16"/>
                <w:szCs w:val="16"/>
                <w:u w:val="none"/>
              </w:rPr>
            </w:pPr>
          </w:p>
        </w:tc>
      </w:tr>
      <w:tr w14:paraId="670E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32" w:type="dxa"/>
            <w:gridSpan w:val="8"/>
            <w:tcBorders>
              <w:top w:val="single" w:color="000000" w:sz="4" w:space="0"/>
              <w:left w:val="single" w:color="000000" w:sz="4" w:space="0"/>
              <w:bottom w:val="single" w:color="000000" w:sz="4" w:space="0"/>
              <w:right w:val="single" w:color="000000" w:sz="4" w:space="0"/>
            </w:tcBorders>
            <w:noWrap w:val="0"/>
            <w:vAlign w:val="center"/>
          </w:tcPr>
          <w:p w14:paraId="622E8F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38" w:type="dxa"/>
            <w:tcBorders>
              <w:top w:val="single" w:color="000000" w:sz="4" w:space="0"/>
              <w:left w:val="single" w:color="000000" w:sz="4" w:space="0"/>
              <w:bottom w:val="single" w:color="000000" w:sz="4" w:space="0"/>
              <w:right w:val="single" w:color="000000" w:sz="4" w:space="0"/>
            </w:tcBorders>
            <w:noWrap w:val="0"/>
            <w:vAlign w:val="center"/>
          </w:tcPr>
          <w:p w14:paraId="5143BE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8CFC91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74549E3">
            <w:pPr>
              <w:keepNext w:val="0"/>
              <w:keepLines w:val="0"/>
              <w:pageBreakBefore w:val="0"/>
              <w:widowControl/>
              <w:kinsoku/>
              <w:wordWrap/>
              <w:overflowPunct/>
              <w:topLinePunct w:val="0"/>
              <w:autoSpaceDE/>
              <w:autoSpaceDN/>
              <w:bidi w:val="0"/>
              <w:adjustRightInd/>
              <w:snapToGrid/>
              <w:spacing w:line="200" w:lineRule="exact"/>
              <w:rPr>
                <w:rFonts w:hint="default" w:ascii="Times New Roman" w:hAnsi="Times New Roman" w:eastAsia="宋体" w:cs="Times New Roman"/>
                <w:i w:val="0"/>
                <w:iCs w:val="0"/>
                <w:color w:val="000000"/>
                <w:sz w:val="18"/>
                <w:szCs w:val="18"/>
                <w:u w:val="none"/>
              </w:rPr>
            </w:pPr>
          </w:p>
        </w:tc>
      </w:tr>
      <w:tr w14:paraId="1B063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02834E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65FB0DA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07792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1BCF9C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4D6BDEE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27D9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30ABFB4A">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459" w:type="dxa"/>
            <w:gridSpan w:val="10"/>
            <w:tcBorders>
              <w:top w:val="single" w:color="000000" w:sz="4" w:space="0"/>
              <w:left w:val="single" w:color="000000" w:sz="4" w:space="0"/>
              <w:bottom w:val="single" w:color="000000" w:sz="4" w:space="0"/>
              <w:right w:val="single" w:color="000000" w:sz="4" w:space="0"/>
            </w:tcBorders>
            <w:noWrap w:val="0"/>
            <w:vAlign w:val="center"/>
          </w:tcPr>
          <w:p w14:paraId="6DC822F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无</w:t>
            </w:r>
          </w:p>
        </w:tc>
      </w:tr>
    </w:tbl>
    <w:p w14:paraId="478173F2">
      <w:pPr>
        <w:pStyle w:val="6"/>
        <w:spacing w:beforeLines="0"/>
        <w:rPr>
          <w:rFonts w:hint="default" w:ascii="Times New Roman" w:hAnsi="Times New Roman" w:eastAsia="黑体" w:cs="Times New Roman"/>
          <w:sz w:val="32"/>
          <w:szCs w:val="32"/>
        </w:rPr>
      </w:pPr>
    </w:p>
    <w:p w14:paraId="2E6E8B07">
      <w:pPr>
        <w:pStyle w:val="2"/>
        <w:rPr>
          <w:rFonts w:hint="default" w:ascii="Times New Roman" w:hAnsi="Times New Roman" w:cs="Times New Roman"/>
        </w:rPr>
      </w:pPr>
    </w:p>
    <w:p w14:paraId="780E5650">
      <w:pPr>
        <w:rPr>
          <w:rFonts w:hint="default" w:ascii="Times New Roman" w:hAnsi="Times New Roman" w:cs="Times New Roman"/>
        </w:rPr>
      </w:pPr>
    </w:p>
    <w:p w14:paraId="52256F29">
      <w:pPr>
        <w:rPr>
          <w:rFonts w:hint="default" w:ascii="Times New Roman" w:hAnsi="Times New Roman" w:cs="Times New Roman"/>
        </w:rPr>
        <w:sectPr>
          <w:pgSz w:w="16838" w:h="11906" w:orient="landscape"/>
          <w:pgMar w:top="0" w:right="0" w:bottom="0" w:left="0" w:header="720" w:footer="720" w:gutter="0"/>
          <w:cols w:space="720" w:num="1"/>
          <w:docGrid w:type="lines" w:linePitch="312" w:charSpace="0"/>
        </w:sect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71"/>
        <w:gridCol w:w="2049"/>
        <w:gridCol w:w="1766"/>
        <w:gridCol w:w="2257"/>
        <w:gridCol w:w="680"/>
        <w:gridCol w:w="1315"/>
        <w:gridCol w:w="729"/>
        <w:gridCol w:w="1114"/>
        <w:gridCol w:w="539"/>
        <w:gridCol w:w="486"/>
        <w:gridCol w:w="2568"/>
      </w:tblGrid>
      <w:tr w14:paraId="0C7D6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center"/>
          </w:tcPr>
          <w:p w14:paraId="7C8384F4">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44ED8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0" w:type="pct"/>
            <w:gridSpan w:val="2"/>
            <w:tcBorders>
              <w:top w:val="single" w:color="000000" w:sz="4" w:space="0"/>
              <w:left w:val="single" w:color="000000" w:sz="4" w:space="0"/>
              <w:bottom w:val="single" w:color="000000" w:sz="4" w:space="0"/>
              <w:right w:val="single" w:color="000000" w:sz="4" w:space="0"/>
            </w:tcBorders>
            <w:noWrap w:val="0"/>
            <w:vAlign w:val="center"/>
          </w:tcPr>
          <w:p w14:paraId="66C0EDB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4039" w:type="pct"/>
            <w:gridSpan w:val="9"/>
            <w:tcBorders>
              <w:top w:val="single" w:color="000000" w:sz="4" w:space="0"/>
              <w:left w:val="single" w:color="000000" w:sz="4" w:space="0"/>
              <w:bottom w:val="single" w:color="000000" w:sz="4" w:space="0"/>
              <w:right w:val="single" w:color="000000" w:sz="4" w:space="0"/>
            </w:tcBorders>
            <w:noWrap w:val="0"/>
            <w:vAlign w:val="center"/>
          </w:tcPr>
          <w:p w14:paraId="387CD8D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51320025R000012338995-追加人员工资性支出</w:t>
            </w:r>
          </w:p>
        </w:tc>
      </w:tr>
      <w:tr w14:paraId="566F8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60" w:type="pct"/>
            <w:gridSpan w:val="2"/>
            <w:tcBorders>
              <w:top w:val="single" w:color="000000" w:sz="4" w:space="0"/>
              <w:left w:val="single" w:color="000000" w:sz="4" w:space="0"/>
              <w:bottom w:val="single" w:color="000000" w:sz="4" w:space="0"/>
              <w:right w:val="single" w:color="000000" w:sz="4" w:space="0"/>
            </w:tcBorders>
            <w:noWrap w:val="0"/>
            <w:vAlign w:val="center"/>
          </w:tcPr>
          <w:p w14:paraId="2B37243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2380" w:type="pct"/>
            <w:gridSpan w:val="5"/>
            <w:tcBorders>
              <w:top w:val="single" w:color="000000" w:sz="4" w:space="0"/>
              <w:left w:val="single" w:color="000000" w:sz="4" w:space="0"/>
              <w:bottom w:val="single" w:color="000000" w:sz="4" w:space="0"/>
              <w:right w:val="single" w:color="000000" w:sz="4" w:space="0"/>
            </w:tcBorders>
            <w:noWrap w:val="0"/>
            <w:vAlign w:val="center"/>
          </w:tcPr>
          <w:p w14:paraId="1E897C8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390" w:type="pct"/>
            <w:tcBorders>
              <w:top w:val="nil"/>
              <w:left w:val="nil"/>
              <w:bottom w:val="nil"/>
              <w:right w:val="nil"/>
            </w:tcBorders>
            <w:noWrap w:val="0"/>
            <w:vAlign w:val="center"/>
          </w:tcPr>
          <w:p w14:paraId="045078D6">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 （盖章）</w:t>
            </w:r>
          </w:p>
        </w:tc>
        <w:tc>
          <w:tcPr>
            <w:tcW w:w="1268" w:type="pct"/>
            <w:gridSpan w:val="3"/>
            <w:tcBorders>
              <w:top w:val="single" w:color="000000" w:sz="4" w:space="0"/>
              <w:left w:val="single" w:color="000000" w:sz="4" w:space="0"/>
              <w:bottom w:val="single" w:color="000000" w:sz="4" w:space="0"/>
              <w:right w:val="single" w:color="000000" w:sz="4" w:space="0"/>
            </w:tcBorders>
            <w:noWrap w:val="0"/>
            <w:vAlign w:val="center"/>
          </w:tcPr>
          <w:p w14:paraId="09FF27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州基层帮扶工作服务中心</w:t>
            </w:r>
          </w:p>
        </w:tc>
      </w:tr>
      <w:tr w14:paraId="346A4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237" w:type="pct"/>
            <w:vMerge w:val="restart"/>
            <w:tcBorders>
              <w:top w:val="single" w:color="000000" w:sz="4" w:space="0"/>
              <w:left w:val="single" w:color="000000" w:sz="4" w:space="0"/>
              <w:bottom w:val="single" w:color="000000" w:sz="4" w:space="0"/>
              <w:right w:val="single" w:color="000000" w:sz="4" w:space="0"/>
            </w:tcBorders>
            <w:noWrap w:val="0"/>
            <w:vAlign w:val="center"/>
          </w:tcPr>
          <w:p w14:paraId="2FFCE89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722" w:type="pct"/>
            <w:vMerge w:val="restart"/>
            <w:tcBorders>
              <w:top w:val="single" w:color="000000" w:sz="4" w:space="0"/>
              <w:left w:val="single" w:color="000000" w:sz="4" w:space="0"/>
              <w:bottom w:val="single" w:color="000000" w:sz="4" w:space="0"/>
              <w:right w:val="single" w:color="000000" w:sz="4" w:space="0"/>
            </w:tcBorders>
            <w:noWrap w:val="0"/>
            <w:vAlign w:val="center"/>
          </w:tcPr>
          <w:p w14:paraId="4630B71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2380" w:type="pct"/>
            <w:gridSpan w:val="5"/>
            <w:tcBorders>
              <w:top w:val="single" w:color="000000" w:sz="4" w:space="0"/>
              <w:left w:val="single" w:color="000000" w:sz="4" w:space="0"/>
              <w:bottom w:val="single" w:color="000000" w:sz="4" w:space="0"/>
              <w:right w:val="single" w:color="000000" w:sz="4" w:space="0"/>
            </w:tcBorders>
            <w:noWrap w:val="0"/>
            <w:vAlign w:val="center"/>
          </w:tcPr>
          <w:p w14:paraId="63FC4E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1658" w:type="pct"/>
            <w:gridSpan w:val="4"/>
            <w:tcBorders>
              <w:top w:val="single" w:color="000000" w:sz="4" w:space="0"/>
              <w:left w:val="single" w:color="000000" w:sz="4" w:space="0"/>
              <w:bottom w:val="single" w:color="000000" w:sz="4" w:space="0"/>
              <w:right w:val="single" w:color="000000" w:sz="4" w:space="0"/>
            </w:tcBorders>
            <w:noWrap w:val="0"/>
            <w:vAlign w:val="center"/>
          </w:tcPr>
          <w:p w14:paraId="20570A8A">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5F415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4E45BF">
            <w:pPr>
              <w:rPr>
                <w:rFonts w:hint="default" w:ascii="Times New Roman" w:hAnsi="Times New Roman" w:eastAsia="宋体" w:cs="Times New Roman"/>
                <w:i w:val="0"/>
                <w:iCs w:val="0"/>
                <w:color w:val="000000"/>
                <w:sz w:val="18"/>
                <w:szCs w:val="18"/>
                <w:u w:val="none"/>
              </w:rPr>
            </w:pPr>
          </w:p>
        </w:tc>
        <w:tc>
          <w:tcPr>
            <w:tcW w:w="7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3205513">
            <w:pPr>
              <w:rPr>
                <w:rFonts w:hint="default" w:ascii="Times New Roman" w:hAnsi="Times New Roman" w:eastAsia="宋体" w:cs="Times New Roman"/>
                <w:i w:val="0"/>
                <w:iCs w:val="0"/>
                <w:color w:val="000000"/>
                <w:sz w:val="18"/>
                <w:szCs w:val="18"/>
                <w:u w:val="none"/>
              </w:rPr>
            </w:pPr>
          </w:p>
        </w:tc>
        <w:tc>
          <w:tcPr>
            <w:tcW w:w="2380" w:type="pct"/>
            <w:gridSpan w:val="5"/>
            <w:tcBorders>
              <w:top w:val="single" w:color="000000" w:sz="4" w:space="0"/>
              <w:left w:val="single" w:color="000000" w:sz="4" w:space="0"/>
              <w:bottom w:val="single" w:color="000000" w:sz="4" w:space="0"/>
              <w:right w:val="single" w:color="000000" w:sz="4" w:space="0"/>
            </w:tcBorders>
            <w:noWrap w:val="0"/>
            <w:vAlign w:val="center"/>
          </w:tcPr>
          <w:p w14:paraId="51E996E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658" w:type="pct"/>
            <w:gridSpan w:val="4"/>
            <w:tcBorders>
              <w:top w:val="single" w:color="000000" w:sz="4" w:space="0"/>
              <w:left w:val="single" w:color="000000" w:sz="4" w:space="0"/>
              <w:bottom w:val="single" w:color="000000" w:sz="4" w:space="0"/>
              <w:right w:val="single" w:color="000000" w:sz="4" w:space="0"/>
            </w:tcBorders>
            <w:noWrap w:val="0"/>
            <w:vAlign w:val="center"/>
          </w:tcPr>
          <w:p w14:paraId="7804BE88">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color w:val="000000"/>
                <w:kern w:val="0"/>
                <w:sz w:val="18"/>
                <w:szCs w:val="18"/>
                <w:lang w:bidi="ar"/>
              </w:rPr>
              <w:t>严格执行相关政策，保障工资及时、足额发放。</w:t>
            </w:r>
          </w:p>
        </w:tc>
      </w:tr>
      <w:tr w14:paraId="12B8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A4A47A">
            <w:pP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683FEC1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5"/>
                <w:szCs w:val="15"/>
                <w:u w:val="none"/>
                <w:lang w:val="en-US" w:eastAsia="zh-CN" w:bidi="ar"/>
              </w:rPr>
              <w:t>2.项目实施内容及过程概述</w:t>
            </w:r>
          </w:p>
        </w:tc>
        <w:tc>
          <w:tcPr>
            <w:tcW w:w="4039" w:type="pct"/>
            <w:gridSpan w:val="9"/>
            <w:tcBorders>
              <w:top w:val="single" w:color="000000" w:sz="4" w:space="0"/>
              <w:left w:val="single" w:color="000000" w:sz="4" w:space="0"/>
              <w:bottom w:val="single" w:color="000000" w:sz="4" w:space="0"/>
              <w:right w:val="single" w:color="000000" w:sz="4" w:space="0"/>
            </w:tcBorders>
            <w:noWrap w:val="0"/>
            <w:vAlign w:val="center"/>
          </w:tcPr>
          <w:p w14:paraId="5CCE3729">
            <w:pP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严格执行相关政策，保障在职人员工资及时发放、足额发放，预算编制科学合理。</w:t>
            </w:r>
          </w:p>
        </w:tc>
      </w:tr>
      <w:tr w14:paraId="5464F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37" w:type="pct"/>
            <w:vMerge w:val="restart"/>
            <w:tcBorders>
              <w:top w:val="single" w:color="000000" w:sz="4" w:space="0"/>
              <w:left w:val="single" w:color="000000" w:sz="4" w:space="0"/>
              <w:bottom w:val="single" w:color="000000" w:sz="4" w:space="0"/>
              <w:right w:val="single" w:color="000000" w:sz="4" w:space="0"/>
            </w:tcBorders>
            <w:noWrap w:val="0"/>
            <w:vAlign w:val="center"/>
          </w:tcPr>
          <w:p w14:paraId="7DF3FF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73C546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4260B4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6951B8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0A1729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061636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53A4C9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1F400C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0209F3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01717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A29DD82">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613340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20E94F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53DE9B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37DE36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5FFACE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22723C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38EA9543">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906" w:type="pct"/>
            <w:vMerge w:val="restart"/>
            <w:tcBorders>
              <w:top w:val="single" w:color="000000" w:sz="4" w:space="0"/>
              <w:left w:val="single" w:color="000000" w:sz="4" w:space="0"/>
              <w:bottom w:val="single" w:color="000000" w:sz="4" w:space="0"/>
              <w:right w:val="single" w:color="000000" w:sz="4" w:space="0"/>
            </w:tcBorders>
            <w:noWrap w:val="0"/>
            <w:vAlign w:val="center"/>
          </w:tcPr>
          <w:p w14:paraId="423967B2">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5C8A2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AF2E40">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080127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28F421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71EAF2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615102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6AAC69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5732C3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623930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502611">
            <w:pPr>
              <w:rPr>
                <w:rFonts w:hint="default" w:ascii="Times New Roman" w:hAnsi="Times New Roman" w:eastAsia="黑体" w:cs="Times New Roman"/>
                <w:i/>
                <w:iCs/>
                <w:color w:val="000000"/>
                <w:sz w:val="18"/>
                <w:szCs w:val="18"/>
                <w:u w:val="none"/>
              </w:rPr>
            </w:pPr>
          </w:p>
        </w:tc>
      </w:tr>
      <w:tr w14:paraId="2F85B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074226">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0394BC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12C957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446CD5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51411A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5A76D2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3FD1B7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4CB333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2DB2A6">
            <w:pPr>
              <w:rPr>
                <w:rFonts w:hint="default" w:ascii="Times New Roman" w:hAnsi="Times New Roman" w:eastAsia="黑体" w:cs="Times New Roman"/>
                <w:i/>
                <w:iCs/>
                <w:color w:val="000000"/>
                <w:sz w:val="18"/>
                <w:szCs w:val="18"/>
                <w:u w:val="none"/>
              </w:rPr>
            </w:pPr>
          </w:p>
        </w:tc>
      </w:tr>
      <w:tr w14:paraId="0D141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B4E886">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17541A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201B7E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715D78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60" w:type="pct"/>
            <w:gridSpan w:val="3"/>
            <w:tcBorders>
              <w:top w:val="single" w:color="000000" w:sz="4" w:space="0"/>
              <w:left w:val="single" w:color="000000" w:sz="4" w:space="0"/>
              <w:bottom w:val="single" w:color="000000" w:sz="4" w:space="0"/>
              <w:right w:val="single" w:color="000000" w:sz="4" w:space="0"/>
            </w:tcBorders>
            <w:noWrap w:val="0"/>
            <w:vAlign w:val="center"/>
          </w:tcPr>
          <w:p w14:paraId="06C134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7ACCDE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193C4B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5F6F8D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E52DA34">
            <w:pPr>
              <w:rPr>
                <w:rFonts w:hint="default" w:ascii="Times New Roman" w:hAnsi="Times New Roman" w:eastAsia="黑体" w:cs="Times New Roman"/>
                <w:i/>
                <w:iCs/>
                <w:color w:val="000000"/>
                <w:sz w:val="18"/>
                <w:szCs w:val="18"/>
                <w:u w:val="none"/>
              </w:rPr>
            </w:pPr>
          </w:p>
        </w:tc>
      </w:tr>
      <w:tr w14:paraId="6A377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237" w:type="pct"/>
            <w:vMerge w:val="restart"/>
            <w:tcBorders>
              <w:top w:val="single" w:color="000000" w:sz="4" w:space="0"/>
              <w:left w:val="single" w:color="000000" w:sz="4" w:space="0"/>
              <w:bottom w:val="single" w:color="000000" w:sz="4" w:space="0"/>
              <w:right w:val="single" w:color="000000" w:sz="4" w:space="0"/>
            </w:tcBorders>
            <w:noWrap w:val="0"/>
            <w:vAlign w:val="center"/>
          </w:tcPr>
          <w:p w14:paraId="76F804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20C51C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73B63B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050B6E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3D584D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14:paraId="4A6E27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255" w:type="pct"/>
            <w:tcBorders>
              <w:top w:val="single" w:color="000000" w:sz="4" w:space="0"/>
              <w:left w:val="single" w:color="000000" w:sz="4" w:space="0"/>
              <w:bottom w:val="single" w:color="000000" w:sz="4" w:space="0"/>
              <w:right w:val="single" w:color="000000" w:sz="4" w:space="0"/>
            </w:tcBorders>
            <w:noWrap w:val="0"/>
            <w:vAlign w:val="center"/>
          </w:tcPr>
          <w:p w14:paraId="4BA0E1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635DB7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16C886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57CC31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132C22C3">
            <w:pPr>
              <w:keepNext w:val="0"/>
              <w:keepLines w:val="0"/>
              <w:widowControl/>
              <w:suppressLineNumbers w:val="0"/>
              <w:ind w:firstLine="360" w:firstLineChars="200"/>
              <w:jc w:val="both"/>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62FBD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C45A4A">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588B24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1C2B80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6255D2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559778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14:paraId="44AAE9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255" w:type="pct"/>
            <w:tcBorders>
              <w:top w:val="single" w:color="000000" w:sz="4" w:space="0"/>
              <w:left w:val="single" w:color="000000" w:sz="4" w:space="0"/>
              <w:bottom w:val="single" w:color="000000" w:sz="4" w:space="0"/>
              <w:right w:val="single" w:color="000000" w:sz="4" w:space="0"/>
            </w:tcBorders>
            <w:noWrap w:val="0"/>
            <w:vAlign w:val="center"/>
          </w:tcPr>
          <w:p w14:paraId="1576F4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657FF0E9">
            <w:pPr>
              <w:jc w:val="center"/>
              <w:rPr>
                <w:rFonts w:hint="default" w:ascii="Times New Roman" w:hAnsi="Times New Roman" w:eastAsia="微软雅黑" w:cs="Times New Roman"/>
                <w:i/>
                <w:iCs/>
                <w:color w:val="000000"/>
                <w:sz w:val="16"/>
                <w:szCs w:val="16"/>
                <w:u w:val="none"/>
              </w:rPr>
            </w:pP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784B09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16815D17">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562E20CE">
            <w:pPr>
              <w:jc w:val="center"/>
              <w:rPr>
                <w:rFonts w:hint="default" w:ascii="Times New Roman" w:hAnsi="Times New Roman" w:eastAsia="微软雅黑" w:cs="Times New Roman"/>
                <w:i/>
                <w:iCs/>
                <w:color w:val="000000"/>
                <w:sz w:val="16"/>
                <w:szCs w:val="16"/>
                <w:u w:val="none"/>
              </w:rPr>
            </w:pPr>
          </w:p>
        </w:tc>
      </w:tr>
      <w:tr w14:paraId="1B5A5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3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FE3FD1">
            <w:pPr>
              <w:jc w:val="center"/>
              <w:rPr>
                <w:rFonts w:hint="default" w:ascii="Times New Roman" w:hAnsi="Times New Roman" w:eastAsia="宋体" w:cs="Times New Roman"/>
                <w:i w:val="0"/>
                <w:iCs w:val="0"/>
                <w:color w:val="000000"/>
                <w:sz w:val="18"/>
                <w:szCs w:val="18"/>
                <w:u w:val="none"/>
              </w:rPr>
            </w:pPr>
          </w:p>
        </w:tc>
        <w:tc>
          <w:tcPr>
            <w:tcW w:w="722" w:type="pct"/>
            <w:tcBorders>
              <w:top w:val="single" w:color="000000" w:sz="4" w:space="0"/>
              <w:left w:val="single" w:color="000000" w:sz="4" w:space="0"/>
              <w:bottom w:val="single" w:color="000000" w:sz="4" w:space="0"/>
              <w:right w:val="single" w:color="000000" w:sz="4" w:space="0"/>
            </w:tcBorders>
            <w:noWrap w:val="0"/>
            <w:vAlign w:val="center"/>
          </w:tcPr>
          <w:p w14:paraId="6464BA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623" w:type="pct"/>
            <w:tcBorders>
              <w:top w:val="single" w:color="000000" w:sz="4" w:space="0"/>
              <w:left w:val="single" w:color="000000" w:sz="4" w:space="0"/>
              <w:bottom w:val="single" w:color="000000" w:sz="4" w:space="0"/>
              <w:right w:val="single" w:color="000000" w:sz="4" w:space="0"/>
            </w:tcBorders>
            <w:noWrap w:val="0"/>
            <w:vAlign w:val="center"/>
          </w:tcPr>
          <w:p w14:paraId="24B192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7F5319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47EF15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14:paraId="01228B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255" w:type="pct"/>
            <w:tcBorders>
              <w:top w:val="single" w:color="000000" w:sz="4" w:space="0"/>
              <w:left w:val="single" w:color="000000" w:sz="4" w:space="0"/>
              <w:bottom w:val="single" w:color="000000" w:sz="4" w:space="0"/>
              <w:right w:val="single" w:color="000000" w:sz="4" w:space="0"/>
            </w:tcBorders>
            <w:noWrap w:val="0"/>
            <w:vAlign w:val="center"/>
          </w:tcPr>
          <w:p w14:paraId="0F01F8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390" w:type="pct"/>
            <w:tcBorders>
              <w:top w:val="single" w:color="000000" w:sz="4" w:space="0"/>
              <w:left w:val="single" w:color="000000" w:sz="4" w:space="0"/>
              <w:bottom w:val="single" w:color="000000" w:sz="4" w:space="0"/>
              <w:right w:val="single" w:color="000000" w:sz="4" w:space="0"/>
            </w:tcBorders>
            <w:noWrap w:val="0"/>
            <w:vAlign w:val="center"/>
          </w:tcPr>
          <w:p w14:paraId="2DFBB54E">
            <w:pPr>
              <w:jc w:val="center"/>
              <w:rPr>
                <w:rFonts w:hint="default" w:ascii="Times New Roman" w:hAnsi="Times New Roman" w:eastAsia="微软雅黑" w:cs="Times New Roman"/>
                <w:i/>
                <w:iCs/>
                <w:color w:val="000000"/>
                <w:sz w:val="16"/>
                <w:szCs w:val="16"/>
                <w:u w:val="none"/>
              </w:rPr>
            </w:pP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162CCF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60BED3B0">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4EA5EFA8">
            <w:pPr>
              <w:jc w:val="center"/>
              <w:rPr>
                <w:rFonts w:hint="default" w:ascii="Times New Roman" w:hAnsi="Times New Roman" w:eastAsia="微软雅黑" w:cs="Times New Roman"/>
                <w:i/>
                <w:iCs/>
                <w:color w:val="000000"/>
                <w:sz w:val="16"/>
                <w:szCs w:val="16"/>
                <w:u w:val="none"/>
              </w:rPr>
            </w:pPr>
          </w:p>
        </w:tc>
      </w:tr>
      <w:tr w14:paraId="4CD21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31" w:type="pct"/>
            <w:gridSpan w:val="8"/>
            <w:tcBorders>
              <w:top w:val="single" w:color="000000" w:sz="4" w:space="0"/>
              <w:left w:val="single" w:color="000000" w:sz="4" w:space="0"/>
              <w:bottom w:val="single" w:color="000000" w:sz="4" w:space="0"/>
              <w:right w:val="single" w:color="000000" w:sz="4" w:space="0"/>
            </w:tcBorders>
            <w:noWrap w:val="0"/>
            <w:vAlign w:val="center"/>
          </w:tcPr>
          <w:p w14:paraId="0E3D0F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190" w:type="pct"/>
            <w:tcBorders>
              <w:top w:val="single" w:color="000000" w:sz="4" w:space="0"/>
              <w:left w:val="single" w:color="000000" w:sz="4" w:space="0"/>
              <w:bottom w:val="single" w:color="000000" w:sz="4" w:space="0"/>
              <w:right w:val="single" w:color="000000" w:sz="4" w:space="0"/>
            </w:tcBorders>
            <w:noWrap w:val="0"/>
            <w:vAlign w:val="center"/>
          </w:tcPr>
          <w:p w14:paraId="2337C6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14:paraId="1A2EF16E">
            <w:pP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906" w:type="pct"/>
            <w:tcBorders>
              <w:top w:val="single" w:color="000000" w:sz="4" w:space="0"/>
              <w:left w:val="single" w:color="000000" w:sz="4" w:space="0"/>
              <w:bottom w:val="single" w:color="000000" w:sz="4" w:space="0"/>
              <w:right w:val="single" w:color="000000" w:sz="4" w:space="0"/>
            </w:tcBorders>
            <w:noWrap w:val="0"/>
            <w:vAlign w:val="center"/>
          </w:tcPr>
          <w:p w14:paraId="4E4C2A56">
            <w:pPr>
              <w:rPr>
                <w:rFonts w:hint="default" w:ascii="Times New Roman" w:hAnsi="Times New Roman" w:eastAsia="宋体" w:cs="Times New Roman"/>
                <w:i w:val="0"/>
                <w:iCs w:val="0"/>
                <w:color w:val="000000"/>
                <w:sz w:val="18"/>
                <w:szCs w:val="18"/>
                <w:u w:val="none"/>
              </w:rPr>
            </w:pPr>
          </w:p>
        </w:tc>
      </w:tr>
      <w:tr w14:paraId="621C6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2F1B77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4762" w:type="pct"/>
            <w:gridSpan w:val="10"/>
            <w:tcBorders>
              <w:top w:val="single" w:color="000000" w:sz="4" w:space="0"/>
              <w:left w:val="single" w:color="000000" w:sz="4" w:space="0"/>
              <w:bottom w:val="single" w:color="000000" w:sz="4" w:space="0"/>
              <w:right w:val="single" w:color="000000" w:sz="4" w:space="0"/>
            </w:tcBorders>
            <w:noWrap w:val="0"/>
            <w:vAlign w:val="center"/>
          </w:tcPr>
          <w:p w14:paraId="06CA1C8F">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7B65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608AB3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4762" w:type="pct"/>
            <w:gridSpan w:val="10"/>
            <w:tcBorders>
              <w:top w:val="single" w:color="000000" w:sz="4" w:space="0"/>
              <w:left w:val="single" w:color="000000" w:sz="4" w:space="0"/>
              <w:bottom w:val="single" w:color="000000" w:sz="4" w:space="0"/>
              <w:right w:val="single" w:color="000000" w:sz="4" w:space="0"/>
            </w:tcBorders>
            <w:noWrap w:val="0"/>
            <w:vAlign w:val="center"/>
          </w:tcPr>
          <w:p w14:paraId="5534534C">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val="0"/>
                <w:iCs w:val="0"/>
                <w:color w:val="000000"/>
                <w:sz w:val="16"/>
                <w:szCs w:val="16"/>
                <w:u w:val="none"/>
                <w:lang w:val="en-US" w:eastAsia="zh-CN"/>
              </w:rPr>
              <w:t>无</w:t>
            </w:r>
          </w:p>
        </w:tc>
      </w:tr>
      <w:tr w14:paraId="775F6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2D01B4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4762" w:type="pct"/>
            <w:gridSpan w:val="10"/>
            <w:tcBorders>
              <w:top w:val="single" w:color="000000" w:sz="4" w:space="0"/>
              <w:left w:val="single" w:color="000000" w:sz="4" w:space="0"/>
              <w:bottom w:val="single" w:color="000000" w:sz="4" w:space="0"/>
              <w:right w:val="single" w:color="000000" w:sz="4" w:space="0"/>
            </w:tcBorders>
            <w:noWrap w:val="0"/>
            <w:vAlign w:val="center"/>
          </w:tcPr>
          <w:p w14:paraId="67876C88">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val="0"/>
                <w:iCs w:val="0"/>
                <w:color w:val="000000"/>
                <w:sz w:val="16"/>
                <w:szCs w:val="16"/>
                <w:u w:val="none"/>
                <w:lang w:val="en-US" w:eastAsia="zh-CN"/>
              </w:rPr>
              <w:t>无</w:t>
            </w:r>
          </w:p>
        </w:tc>
      </w:tr>
      <w:tr w14:paraId="6A0E1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7" w:type="pct"/>
            <w:tcBorders>
              <w:top w:val="nil"/>
              <w:left w:val="nil"/>
              <w:bottom w:val="nil"/>
              <w:right w:val="nil"/>
            </w:tcBorders>
            <w:noWrap w:val="0"/>
            <w:vAlign w:val="center"/>
          </w:tcPr>
          <w:p w14:paraId="51137654">
            <w:pPr>
              <w:rPr>
                <w:rFonts w:hint="default" w:ascii="Times New Roman" w:hAnsi="Times New Roman" w:eastAsia="宋体" w:cs="Times New Roman"/>
                <w:i w:val="0"/>
                <w:iCs w:val="0"/>
                <w:color w:val="000000"/>
                <w:sz w:val="18"/>
                <w:szCs w:val="18"/>
                <w:u w:val="none"/>
              </w:rPr>
            </w:pPr>
          </w:p>
        </w:tc>
        <w:tc>
          <w:tcPr>
            <w:tcW w:w="722" w:type="pct"/>
            <w:tcBorders>
              <w:top w:val="nil"/>
              <w:left w:val="nil"/>
              <w:bottom w:val="nil"/>
              <w:right w:val="nil"/>
            </w:tcBorders>
            <w:noWrap w:val="0"/>
            <w:vAlign w:val="center"/>
          </w:tcPr>
          <w:p w14:paraId="10B4AB1B">
            <w:pPr>
              <w:rPr>
                <w:rFonts w:hint="default" w:ascii="Times New Roman" w:hAnsi="Times New Roman" w:eastAsia="宋体" w:cs="Times New Roman"/>
                <w:i w:val="0"/>
                <w:iCs w:val="0"/>
                <w:color w:val="000000"/>
                <w:sz w:val="18"/>
                <w:szCs w:val="18"/>
                <w:u w:val="none"/>
              </w:rPr>
            </w:pPr>
          </w:p>
        </w:tc>
        <w:tc>
          <w:tcPr>
            <w:tcW w:w="623" w:type="pct"/>
            <w:tcBorders>
              <w:top w:val="nil"/>
              <w:left w:val="nil"/>
              <w:bottom w:val="nil"/>
              <w:right w:val="nil"/>
            </w:tcBorders>
            <w:noWrap w:val="0"/>
            <w:vAlign w:val="center"/>
          </w:tcPr>
          <w:p w14:paraId="15D968B7">
            <w:pPr>
              <w:rPr>
                <w:rFonts w:hint="default" w:ascii="Times New Roman" w:hAnsi="Times New Roman" w:eastAsia="宋体" w:cs="Times New Roman"/>
                <w:i w:val="0"/>
                <w:iCs w:val="0"/>
                <w:color w:val="000000"/>
                <w:sz w:val="18"/>
                <w:szCs w:val="18"/>
                <w:u w:val="none"/>
              </w:rPr>
            </w:pPr>
          </w:p>
        </w:tc>
        <w:tc>
          <w:tcPr>
            <w:tcW w:w="796" w:type="pct"/>
            <w:tcBorders>
              <w:top w:val="nil"/>
              <w:left w:val="nil"/>
              <w:bottom w:val="nil"/>
              <w:right w:val="nil"/>
            </w:tcBorders>
            <w:noWrap w:val="0"/>
            <w:vAlign w:val="center"/>
          </w:tcPr>
          <w:p w14:paraId="19659056">
            <w:pPr>
              <w:rPr>
                <w:rFonts w:hint="default" w:ascii="Times New Roman" w:hAnsi="Times New Roman" w:eastAsia="宋体" w:cs="Times New Roman"/>
                <w:i w:val="0"/>
                <w:iCs w:val="0"/>
                <w:color w:val="000000"/>
                <w:sz w:val="18"/>
                <w:szCs w:val="18"/>
                <w:u w:val="none"/>
              </w:rPr>
            </w:pPr>
          </w:p>
        </w:tc>
        <w:tc>
          <w:tcPr>
            <w:tcW w:w="240" w:type="pct"/>
            <w:tcBorders>
              <w:top w:val="nil"/>
              <w:left w:val="nil"/>
              <w:bottom w:val="nil"/>
              <w:right w:val="nil"/>
            </w:tcBorders>
            <w:noWrap w:val="0"/>
            <w:vAlign w:val="center"/>
          </w:tcPr>
          <w:p w14:paraId="0FBF8AD9">
            <w:pPr>
              <w:rPr>
                <w:rFonts w:hint="default" w:ascii="Times New Roman" w:hAnsi="Times New Roman" w:eastAsia="宋体" w:cs="Times New Roman"/>
                <w:i w:val="0"/>
                <w:iCs w:val="0"/>
                <w:color w:val="000000"/>
                <w:sz w:val="18"/>
                <w:szCs w:val="18"/>
                <w:u w:val="none"/>
              </w:rPr>
            </w:pPr>
          </w:p>
        </w:tc>
        <w:tc>
          <w:tcPr>
            <w:tcW w:w="464" w:type="pct"/>
            <w:tcBorders>
              <w:top w:val="nil"/>
              <w:left w:val="nil"/>
              <w:bottom w:val="nil"/>
              <w:right w:val="nil"/>
            </w:tcBorders>
            <w:noWrap w:val="0"/>
            <w:vAlign w:val="center"/>
          </w:tcPr>
          <w:p w14:paraId="0CEBF789">
            <w:pPr>
              <w:rPr>
                <w:rFonts w:hint="default" w:ascii="Times New Roman" w:hAnsi="Times New Roman" w:eastAsia="宋体" w:cs="Times New Roman"/>
                <w:i w:val="0"/>
                <w:iCs w:val="0"/>
                <w:color w:val="000000"/>
                <w:sz w:val="18"/>
                <w:szCs w:val="18"/>
                <w:u w:val="none"/>
              </w:rPr>
            </w:pPr>
          </w:p>
        </w:tc>
        <w:tc>
          <w:tcPr>
            <w:tcW w:w="255" w:type="pct"/>
            <w:tcBorders>
              <w:top w:val="nil"/>
              <w:left w:val="nil"/>
              <w:bottom w:val="nil"/>
              <w:right w:val="nil"/>
            </w:tcBorders>
            <w:noWrap w:val="0"/>
            <w:vAlign w:val="center"/>
          </w:tcPr>
          <w:p w14:paraId="130BDC65">
            <w:pPr>
              <w:rPr>
                <w:rFonts w:hint="default" w:ascii="Times New Roman" w:hAnsi="Times New Roman" w:eastAsia="宋体" w:cs="Times New Roman"/>
                <w:i w:val="0"/>
                <w:iCs w:val="0"/>
                <w:color w:val="000000"/>
                <w:sz w:val="18"/>
                <w:szCs w:val="18"/>
                <w:u w:val="none"/>
              </w:rPr>
            </w:pPr>
          </w:p>
        </w:tc>
        <w:tc>
          <w:tcPr>
            <w:tcW w:w="390" w:type="pct"/>
            <w:tcBorders>
              <w:top w:val="nil"/>
              <w:left w:val="nil"/>
              <w:bottom w:val="nil"/>
              <w:right w:val="nil"/>
            </w:tcBorders>
            <w:noWrap w:val="0"/>
            <w:vAlign w:val="center"/>
          </w:tcPr>
          <w:p w14:paraId="0F1F6C51">
            <w:pPr>
              <w:rPr>
                <w:rFonts w:hint="default" w:ascii="Times New Roman" w:hAnsi="Times New Roman" w:eastAsia="宋体" w:cs="Times New Roman"/>
                <w:i w:val="0"/>
                <w:iCs w:val="0"/>
                <w:color w:val="000000"/>
                <w:sz w:val="18"/>
                <w:szCs w:val="18"/>
                <w:u w:val="none"/>
              </w:rPr>
            </w:pPr>
          </w:p>
        </w:tc>
        <w:tc>
          <w:tcPr>
            <w:tcW w:w="190" w:type="pct"/>
            <w:tcBorders>
              <w:top w:val="nil"/>
              <w:left w:val="nil"/>
              <w:bottom w:val="nil"/>
              <w:right w:val="nil"/>
            </w:tcBorders>
            <w:noWrap w:val="0"/>
            <w:vAlign w:val="center"/>
          </w:tcPr>
          <w:p w14:paraId="0FB5D507">
            <w:pPr>
              <w:rPr>
                <w:rFonts w:hint="default" w:ascii="Times New Roman" w:hAnsi="Times New Roman" w:eastAsia="宋体" w:cs="Times New Roman"/>
                <w:i w:val="0"/>
                <w:iCs w:val="0"/>
                <w:color w:val="000000"/>
                <w:sz w:val="18"/>
                <w:szCs w:val="18"/>
                <w:u w:val="none"/>
              </w:rPr>
            </w:pPr>
          </w:p>
        </w:tc>
        <w:tc>
          <w:tcPr>
            <w:tcW w:w="171" w:type="pct"/>
            <w:tcBorders>
              <w:top w:val="nil"/>
              <w:left w:val="nil"/>
              <w:bottom w:val="nil"/>
              <w:right w:val="nil"/>
            </w:tcBorders>
            <w:noWrap w:val="0"/>
            <w:vAlign w:val="center"/>
          </w:tcPr>
          <w:p w14:paraId="2319723D">
            <w:pPr>
              <w:rPr>
                <w:rFonts w:hint="default" w:ascii="Times New Roman" w:hAnsi="Times New Roman" w:eastAsia="宋体" w:cs="Times New Roman"/>
                <w:i w:val="0"/>
                <w:iCs w:val="0"/>
                <w:color w:val="000000"/>
                <w:sz w:val="18"/>
                <w:szCs w:val="18"/>
                <w:u w:val="none"/>
              </w:rPr>
            </w:pPr>
          </w:p>
        </w:tc>
        <w:tc>
          <w:tcPr>
            <w:tcW w:w="906" w:type="pct"/>
            <w:tcBorders>
              <w:top w:val="nil"/>
              <w:left w:val="nil"/>
              <w:bottom w:val="nil"/>
              <w:right w:val="nil"/>
            </w:tcBorders>
            <w:noWrap w:val="0"/>
            <w:vAlign w:val="center"/>
          </w:tcPr>
          <w:p w14:paraId="32A34AA1">
            <w:pPr>
              <w:rPr>
                <w:rFonts w:hint="default" w:ascii="Times New Roman" w:hAnsi="Times New Roman" w:eastAsia="宋体" w:cs="Times New Roman"/>
                <w:i w:val="0"/>
                <w:iCs w:val="0"/>
                <w:color w:val="000000"/>
                <w:sz w:val="18"/>
                <w:szCs w:val="18"/>
                <w:u w:val="none"/>
              </w:rPr>
            </w:pPr>
          </w:p>
        </w:tc>
      </w:tr>
    </w:tbl>
    <w:p w14:paraId="09B29973">
      <w:pPr>
        <w:rPr>
          <w:rFonts w:hint="default" w:ascii="Times New Roman" w:hAnsi="Times New Roman" w:cs="Times New Roman"/>
          <w:lang w:eastAsia="zh-CN"/>
        </w:rPr>
      </w:pPr>
    </w:p>
    <w:p w14:paraId="2BC7D3A5">
      <w:pPr>
        <w:pStyle w:val="2"/>
        <w:rPr>
          <w:rFonts w:hint="default" w:ascii="Times New Roman" w:hAnsi="Times New Roman" w:cs="Times New Roman"/>
          <w:lang w:eastAsia="zh-CN"/>
        </w:rPr>
      </w:pPr>
    </w:p>
    <w:p w14:paraId="7DAA9601">
      <w:pPr>
        <w:rPr>
          <w:rFonts w:hint="default" w:ascii="Times New Roman" w:hAnsi="Times New Roman" w:cs="Times New Roman"/>
          <w:lang w:eastAsia="zh-CN"/>
        </w:rPr>
      </w:pPr>
    </w:p>
    <w:p w14:paraId="11928A3D">
      <w:pPr>
        <w:pStyle w:val="2"/>
        <w:rPr>
          <w:rFonts w:hint="default" w:ascii="Times New Roman" w:hAnsi="Times New Roman" w:cs="Times New Roman"/>
          <w:lang w:eastAsia="zh-CN"/>
        </w:rPr>
      </w:pPr>
    </w:p>
    <w:tbl>
      <w:tblPr>
        <w:tblStyle w:val="16"/>
        <w:tblW w:w="126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5"/>
        <w:gridCol w:w="1826"/>
        <w:gridCol w:w="1581"/>
        <w:gridCol w:w="2014"/>
        <w:gridCol w:w="649"/>
        <w:gridCol w:w="1029"/>
        <w:gridCol w:w="750"/>
        <w:gridCol w:w="980"/>
        <w:gridCol w:w="486"/>
        <w:gridCol w:w="486"/>
        <w:gridCol w:w="2269"/>
      </w:tblGrid>
      <w:tr w14:paraId="74C38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2685" w:type="dxa"/>
            <w:gridSpan w:val="11"/>
            <w:tcBorders>
              <w:top w:val="single" w:color="000000" w:sz="4" w:space="0"/>
              <w:left w:val="single" w:color="000000" w:sz="4" w:space="0"/>
              <w:bottom w:val="single" w:color="000000" w:sz="4" w:space="0"/>
              <w:right w:val="single" w:color="000000" w:sz="4" w:space="0"/>
            </w:tcBorders>
            <w:noWrap w:val="0"/>
            <w:vAlign w:val="center"/>
          </w:tcPr>
          <w:p w14:paraId="51F6B41D">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78A79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41" w:type="dxa"/>
            <w:gridSpan w:val="2"/>
            <w:tcBorders>
              <w:top w:val="single" w:color="000000" w:sz="4" w:space="0"/>
              <w:left w:val="single" w:color="000000" w:sz="4" w:space="0"/>
              <w:bottom w:val="single" w:color="000000" w:sz="4" w:space="0"/>
              <w:right w:val="single" w:color="000000" w:sz="4" w:space="0"/>
            </w:tcBorders>
            <w:noWrap w:val="0"/>
            <w:vAlign w:val="center"/>
          </w:tcPr>
          <w:p w14:paraId="1286BD9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244" w:type="dxa"/>
            <w:gridSpan w:val="9"/>
            <w:tcBorders>
              <w:top w:val="single" w:color="000000" w:sz="4" w:space="0"/>
              <w:left w:val="single" w:color="000000" w:sz="4" w:space="0"/>
              <w:bottom w:val="single" w:color="000000" w:sz="4" w:space="0"/>
              <w:right w:val="single" w:color="000000" w:sz="4" w:space="0"/>
            </w:tcBorders>
            <w:noWrap w:val="0"/>
            <w:vAlign w:val="center"/>
          </w:tcPr>
          <w:p w14:paraId="3F6F05A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51320025R000012339333-追加社保缴费支出</w:t>
            </w:r>
          </w:p>
        </w:tc>
      </w:tr>
      <w:tr w14:paraId="7F055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2441" w:type="dxa"/>
            <w:gridSpan w:val="2"/>
            <w:tcBorders>
              <w:top w:val="single" w:color="000000" w:sz="4" w:space="0"/>
              <w:left w:val="single" w:color="000000" w:sz="4" w:space="0"/>
              <w:bottom w:val="single" w:color="000000" w:sz="4" w:space="0"/>
              <w:right w:val="single" w:color="000000" w:sz="4" w:space="0"/>
            </w:tcBorders>
            <w:noWrap w:val="0"/>
            <w:vAlign w:val="center"/>
          </w:tcPr>
          <w:p w14:paraId="6233B99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023" w:type="dxa"/>
            <w:gridSpan w:val="5"/>
            <w:tcBorders>
              <w:top w:val="single" w:color="000000" w:sz="4" w:space="0"/>
              <w:left w:val="single" w:color="000000" w:sz="4" w:space="0"/>
              <w:bottom w:val="single" w:color="000000" w:sz="4" w:space="0"/>
              <w:right w:val="single" w:color="000000" w:sz="4" w:space="0"/>
            </w:tcBorders>
            <w:noWrap w:val="0"/>
            <w:vAlign w:val="center"/>
          </w:tcPr>
          <w:p w14:paraId="747A1A4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980" w:type="dxa"/>
            <w:tcBorders>
              <w:top w:val="nil"/>
              <w:left w:val="nil"/>
              <w:bottom w:val="nil"/>
              <w:right w:val="nil"/>
            </w:tcBorders>
            <w:noWrap w:val="0"/>
            <w:vAlign w:val="center"/>
          </w:tcPr>
          <w:p w14:paraId="3768D891">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 （盖章）</w:t>
            </w:r>
          </w:p>
        </w:tc>
        <w:tc>
          <w:tcPr>
            <w:tcW w:w="3241" w:type="dxa"/>
            <w:gridSpan w:val="3"/>
            <w:tcBorders>
              <w:top w:val="single" w:color="000000" w:sz="4" w:space="0"/>
              <w:left w:val="single" w:color="000000" w:sz="4" w:space="0"/>
              <w:bottom w:val="single" w:color="000000" w:sz="4" w:space="0"/>
              <w:right w:val="single" w:color="000000" w:sz="4" w:space="0"/>
            </w:tcBorders>
            <w:noWrap w:val="0"/>
            <w:vAlign w:val="center"/>
          </w:tcPr>
          <w:p w14:paraId="23CF24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州基层帮扶工作服务中心</w:t>
            </w:r>
          </w:p>
        </w:tc>
      </w:tr>
      <w:tr w14:paraId="0A7BE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5" w:type="dxa"/>
            <w:vMerge w:val="restart"/>
            <w:tcBorders>
              <w:top w:val="single" w:color="000000" w:sz="4" w:space="0"/>
              <w:left w:val="single" w:color="000000" w:sz="4" w:space="0"/>
              <w:bottom w:val="single" w:color="000000" w:sz="4" w:space="0"/>
              <w:right w:val="single" w:color="000000" w:sz="4" w:space="0"/>
            </w:tcBorders>
            <w:noWrap w:val="0"/>
            <w:vAlign w:val="center"/>
          </w:tcPr>
          <w:p w14:paraId="0B607C5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26" w:type="dxa"/>
            <w:vMerge w:val="restart"/>
            <w:tcBorders>
              <w:top w:val="single" w:color="000000" w:sz="4" w:space="0"/>
              <w:left w:val="single" w:color="000000" w:sz="4" w:space="0"/>
              <w:bottom w:val="single" w:color="000000" w:sz="4" w:space="0"/>
              <w:right w:val="single" w:color="000000" w:sz="4" w:space="0"/>
            </w:tcBorders>
            <w:noWrap w:val="0"/>
            <w:vAlign w:val="center"/>
          </w:tcPr>
          <w:p w14:paraId="6BABCF9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023" w:type="dxa"/>
            <w:gridSpan w:val="5"/>
            <w:tcBorders>
              <w:top w:val="single" w:color="000000" w:sz="4" w:space="0"/>
              <w:left w:val="single" w:color="000000" w:sz="4" w:space="0"/>
              <w:bottom w:val="single" w:color="000000" w:sz="4" w:space="0"/>
              <w:right w:val="single" w:color="000000" w:sz="4" w:space="0"/>
            </w:tcBorders>
            <w:noWrap w:val="0"/>
            <w:vAlign w:val="center"/>
          </w:tcPr>
          <w:p w14:paraId="4C35C1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4221" w:type="dxa"/>
            <w:gridSpan w:val="4"/>
            <w:tcBorders>
              <w:top w:val="single" w:color="000000" w:sz="4" w:space="0"/>
              <w:left w:val="single" w:color="000000" w:sz="4" w:space="0"/>
              <w:bottom w:val="single" w:color="000000" w:sz="4" w:space="0"/>
              <w:right w:val="single" w:color="000000" w:sz="4" w:space="0"/>
            </w:tcBorders>
            <w:noWrap w:val="0"/>
            <w:vAlign w:val="center"/>
          </w:tcPr>
          <w:p w14:paraId="3CDF5D9E">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358E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E0CC78">
            <w:pPr>
              <w:rPr>
                <w:rFonts w:hint="default" w:ascii="Times New Roman" w:hAnsi="Times New Roman" w:eastAsia="宋体" w:cs="Times New Roman"/>
                <w:i w:val="0"/>
                <w:iCs w:val="0"/>
                <w:color w:val="000000"/>
                <w:sz w:val="18"/>
                <w:szCs w:val="18"/>
                <w:u w:val="none"/>
              </w:rPr>
            </w:pPr>
          </w:p>
        </w:tc>
        <w:tc>
          <w:tcPr>
            <w:tcW w:w="1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91CBB3">
            <w:pPr>
              <w:rPr>
                <w:rFonts w:hint="default" w:ascii="Times New Roman" w:hAnsi="Times New Roman" w:eastAsia="宋体" w:cs="Times New Roman"/>
                <w:i w:val="0"/>
                <w:iCs w:val="0"/>
                <w:color w:val="000000"/>
                <w:sz w:val="18"/>
                <w:szCs w:val="18"/>
                <w:u w:val="none"/>
              </w:rPr>
            </w:pPr>
          </w:p>
        </w:tc>
        <w:tc>
          <w:tcPr>
            <w:tcW w:w="6023" w:type="dxa"/>
            <w:gridSpan w:val="5"/>
            <w:tcBorders>
              <w:top w:val="single" w:color="000000" w:sz="4" w:space="0"/>
              <w:left w:val="single" w:color="000000" w:sz="4" w:space="0"/>
              <w:bottom w:val="single" w:color="000000" w:sz="4" w:space="0"/>
              <w:right w:val="single" w:color="000000" w:sz="4" w:space="0"/>
            </w:tcBorders>
            <w:noWrap w:val="0"/>
            <w:vAlign w:val="center"/>
          </w:tcPr>
          <w:p w14:paraId="3CD21BE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221" w:type="dxa"/>
            <w:gridSpan w:val="4"/>
            <w:tcBorders>
              <w:top w:val="single" w:color="000000" w:sz="4" w:space="0"/>
              <w:left w:val="single" w:color="000000" w:sz="4" w:space="0"/>
              <w:bottom w:val="single" w:color="000000" w:sz="4" w:space="0"/>
              <w:right w:val="single" w:color="000000" w:sz="4" w:space="0"/>
            </w:tcBorders>
            <w:noWrap w:val="0"/>
            <w:vAlign w:val="center"/>
          </w:tcPr>
          <w:p w14:paraId="010A7AF6">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严格执行相关政策，保障工资及时、足额发放或社保及时、足额缴纳。</w:t>
            </w:r>
          </w:p>
        </w:tc>
      </w:tr>
      <w:tr w14:paraId="686C6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20D423">
            <w:pP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12196B8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244" w:type="dxa"/>
            <w:gridSpan w:val="9"/>
            <w:tcBorders>
              <w:top w:val="single" w:color="000000" w:sz="4" w:space="0"/>
              <w:left w:val="single" w:color="000000" w:sz="4" w:space="0"/>
              <w:bottom w:val="single" w:color="000000" w:sz="4" w:space="0"/>
              <w:right w:val="single" w:color="000000" w:sz="4" w:space="0"/>
            </w:tcBorders>
            <w:noWrap w:val="0"/>
            <w:vAlign w:val="center"/>
          </w:tcPr>
          <w:p w14:paraId="024D918C">
            <w:pP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color w:val="000000"/>
                <w:kern w:val="0"/>
                <w:sz w:val="18"/>
                <w:szCs w:val="18"/>
                <w:lang w:bidi="ar"/>
              </w:rPr>
              <w:t>严格执行相关政策，保障工资及时、足额发放或社保及时、足额缴纳，预算编制科学合理，减少结余资金。</w:t>
            </w:r>
          </w:p>
        </w:tc>
      </w:tr>
      <w:tr w14:paraId="27F7D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5" w:type="dxa"/>
            <w:vMerge w:val="restart"/>
            <w:tcBorders>
              <w:top w:val="single" w:color="000000" w:sz="4" w:space="0"/>
              <w:left w:val="single" w:color="000000" w:sz="4" w:space="0"/>
              <w:bottom w:val="single" w:color="000000" w:sz="4" w:space="0"/>
              <w:right w:val="single" w:color="000000" w:sz="4" w:space="0"/>
            </w:tcBorders>
            <w:noWrap w:val="0"/>
            <w:vAlign w:val="center"/>
          </w:tcPr>
          <w:p w14:paraId="22AD13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4E4FFC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47E617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275E53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6A5499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48B6C86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FC8BD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523C5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166E0F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7037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8853C2">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716E1B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777C82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64895B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1.48</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69F9AA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1.48</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4AEDEF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AFC27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8E48DC3">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2269" w:type="dxa"/>
            <w:vMerge w:val="restart"/>
            <w:tcBorders>
              <w:top w:val="single" w:color="000000" w:sz="4" w:space="0"/>
              <w:left w:val="single" w:color="000000" w:sz="4" w:space="0"/>
              <w:bottom w:val="single" w:color="000000" w:sz="4" w:space="0"/>
              <w:right w:val="single" w:color="000000" w:sz="4" w:space="0"/>
            </w:tcBorders>
            <w:noWrap w:val="0"/>
            <w:vAlign w:val="center"/>
          </w:tcPr>
          <w:p w14:paraId="61B762B9">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11C67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E3CE6F">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5C5765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7F0AE6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0D7B5C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1.48</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4766A9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1.48</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30599A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64733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2F159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09BDAC">
            <w:pPr>
              <w:rPr>
                <w:rFonts w:hint="default" w:ascii="Times New Roman" w:hAnsi="Times New Roman" w:eastAsia="黑体" w:cs="Times New Roman"/>
                <w:i/>
                <w:iCs/>
                <w:color w:val="000000"/>
                <w:sz w:val="18"/>
                <w:szCs w:val="18"/>
                <w:u w:val="none"/>
              </w:rPr>
            </w:pPr>
          </w:p>
        </w:tc>
      </w:tr>
      <w:tr w14:paraId="00F1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79FF01">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D4C6A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18CC61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51A5D7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743F1F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43DBAF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B133E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F5E66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EBA40">
            <w:pPr>
              <w:rPr>
                <w:rFonts w:hint="default" w:ascii="Times New Roman" w:hAnsi="Times New Roman" w:eastAsia="黑体" w:cs="Times New Roman"/>
                <w:i/>
                <w:iCs/>
                <w:color w:val="000000"/>
                <w:sz w:val="18"/>
                <w:szCs w:val="18"/>
                <w:u w:val="none"/>
              </w:rPr>
            </w:pPr>
          </w:p>
        </w:tc>
      </w:tr>
      <w:tr w14:paraId="4F82F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9365F">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623B8E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3651F8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35F485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1F7F47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710954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446A3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F63E5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6E74D2">
            <w:pPr>
              <w:rPr>
                <w:rFonts w:hint="default" w:ascii="Times New Roman" w:hAnsi="Times New Roman" w:eastAsia="黑体" w:cs="Times New Roman"/>
                <w:i/>
                <w:iCs/>
                <w:color w:val="000000"/>
                <w:sz w:val="18"/>
                <w:szCs w:val="18"/>
                <w:u w:val="none"/>
              </w:rPr>
            </w:pPr>
          </w:p>
        </w:tc>
      </w:tr>
      <w:tr w14:paraId="3ECEC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15" w:type="dxa"/>
            <w:vMerge w:val="restart"/>
            <w:tcBorders>
              <w:top w:val="single" w:color="000000" w:sz="4" w:space="0"/>
              <w:left w:val="single" w:color="000000" w:sz="4" w:space="0"/>
              <w:bottom w:val="single" w:color="000000" w:sz="4" w:space="0"/>
              <w:right w:val="single" w:color="000000" w:sz="4" w:space="0"/>
            </w:tcBorders>
            <w:noWrap w:val="0"/>
            <w:vAlign w:val="center"/>
          </w:tcPr>
          <w:p w14:paraId="5DA02B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36FF4B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48FD21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6B9B89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649" w:type="dxa"/>
            <w:tcBorders>
              <w:top w:val="single" w:color="000000" w:sz="4" w:space="0"/>
              <w:left w:val="single" w:color="000000" w:sz="4" w:space="0"/>
              <w:bottom w:val="single" w:color="000000" w:sz="4" w:space="0"/>
              <w:right w:val="single" w:color="000000" w:sz="4" w:space="0"/>
            </w:tcBorders>
            <w:noWrap w:val="0"/>
            <w:vAlign w:val="center"/>
          </w:tcPr>
          <w:p w14:paraId="5C3DA0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19B4DD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3A81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05A715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9D4C76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B1271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70434E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5D0DC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7B9F7F">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E571F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产出指标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05976C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数量指标</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1672E2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发放（缴纳）覆盖率</w:t>
            </w:r>
          </w:p>
        </w:tc>
        <w:tc>
          <w:tcPr>
            <w:tcW w:w="649" w:type="dxa"/>
            <w:tcBorders>
              <w:top w:val="single" w:color="000000" w:sz="4" w:space="0"/>
              <w:left w:val="single" w:color="000000" w:sz="4" w:space="0"/>
              <w:bottom w:val="single" w:color="000000" w:sz="4" w:space="0"/>
              <w:right w:val="single" w:color="000000" w:sz="4" w:space="0"/>
            </w:tcBorders>
            <w:noWrap w:val="0"/>
            <w:vAlign w:val="center"/>
          </w:tcPr>
          <w:p w14:paraId="7B42FF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712218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3F802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65D18027">
            <w:pPr>
              <w:jc w:val="center"/>
              <w:rPr>
                <w:rFonts w:hint="default" w:ascii="Times New Roman" w:hAnsi="Times New Roman" w:eastAsia="微软雅黑" w:cs="Times New Roman"/>
                <w:i/>
                <w:iCs/>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EF7A6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E7E9FCF">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60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2FC6EDAA">
            <w:pPr>
              <w:jc w:val="center"/>
              <w:rPr>
                <w:rFonts w:hint="default" w:ascii="Times New Roman" w:hAnsi="Times New Roman" w:eastAsia="微软雅黑" w:cs="Times New Roman"/>
                <w:i/>
                <w:iCs/>
                <w:color w:val="000000"/>
                <w:sz w:val="16"/>
                <w:szCs w:val="16"/>
                <w:u w:val="none"/>
              </w:rPr>
            </w:pPr>
          </w:p>
        </w:tc>
      </w:tr>
      <w:tr w14:paraId="0E605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349EF">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667401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6ECD2F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2014" w:type="dxa"/>
            <w:tcBorders>
              <w:top w:val="single" w:color="000000" w:sz="4" w:space="0"/>
              <w:left w:val="single" w:color="000000" w:sz="4" w:space="0"/>
              <w:bottom w:val="single" w:color="000000" w:sz="4" w:space="0"/>
              <w:right w:val="single" w:color="000000" w:sz="4" w:space="0"/>
            </w:tcBorders>
            <w:noWrap w:val="0"/>
            <w:vAlign w:val="center"/>
          </w:tcPr>
          <w:p w14:paraId="2FFD64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足额保障率（参保率）</w:t>
            </w:r>
          </w:p>
        </w:tc>
        <w:tc>
          <w:tcPr>
            <w:tcW w:w="649" w:type="dxa"/>
            <w:tcBorders>
              <w:top w:val="single" w:color="000000" w:sz="4" w:space="0"/>
              <w:left w:val="single" w:color="000000" w:sz="4" w:space="0"/>
              <w:bottom w:val="single" w:color="000000" w:sz="4" w:space="0"/>
              <w:right w:val="single" w:color="000000" w:sz="4" w:space="0"/>
            </w:tcBorders>
            <w:noWrap w:val="0"/>
            <w:vAlign w:val="center"/>
          </w:tcPr>
          <w:p w14:paraId="65124A2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4C2740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981C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15BE646F">
            <w:pPr>
              <w:jc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FBC88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BAC9BF6">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30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93B9975">
            <w:pPr>
              <w:jc w:val="center"/>
              <w:rPr>
                <w:rFonts w:hint="default" w:ascii="Times New Roman" w:hAnsi="Times New Roman" w:eastAsia="微软雅黑" w:cs="Times New Roman"/>
                <w:i/>
                <w:iCs/>
                <w:color w:val="000000"/>
                <w:sz w:val="16"/>
                <w:szCs w:val="16"/>
                <w:u w:val="none"/>
              </w:rPr>
            </w:pPr>
          </w:p>
        </w:tc>
      </w:tr>
      <w:tr w14:paraId="649F9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444" w:type="dxa"/>
            <w:gridSpan w:val="8"/>
            <w:tcBorders>
              <w:top w:val="single" w:color="000000" w:sz="4" w:space="0"/>
              <w:left w:val="single" w:color="000000" w:sz="4" w:space="0"/>
              <w:bottom w:val="single" w:color="000000" w:sz="4" w:space="0"/>
              <w:right w:val="single" w:color="000000" w:sz="4" w:space="0"/>
            </w:tcBorders>
            <w:noWrap w:val="0"/>
            <w:vAlign w:val="center"/>
          </w:tcPr>
          <w:p w14:paraId="6589AA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58135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51D45B8">
            <w:pP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759DB1C4">
            <w:pPr>
              <w:rPr>
                <w:rFonts w:hint="default" w:ascii="Times New Roman" w:hAnsi="Times New Roman" w:eastAsia="宋体" w:cs="Times New Roman"/>
                <w:i w:val="0"/>
                <w:iCs w:val="0"/>
                <w:color w:val="000000"/>
                <w:sz w:val="18"/>
                <w:szCs w:val="18"/>
                <w:u w:val="none"/>
              </w:rPr>
            </w:pPr>
          </w:p>
        </w:tc>
      </w:tr>
      <w:tr w14:paraId="16167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66A549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070" w:type="dxa"/>
            <w:gridSpan w:val="10"/>
            <w:tcBorders>
              <w:top w:val="single" w:color="000000" w:sz="4" w:space="0"/>
              <w:left w:val="single" w:color="000000" w:sz="4" w:space="0"/>
              <w:bottom w:val="single" w:color="000000" w:sz="4" w:space="0"/>
              <w:right w:val="single" w:color="000000" w:sz="4" w:space="0"/>
            </w:tcBorders>
            <w:noWrap w:val="0"/>
            <w:vAlign w:val="center"/>
          </w:tcPr>
          <w:p w14:paraId="19319BF6">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lang w:bidi="ar"/>
              </w:rPr>
              <w:t>项目总体执行良好。</w:t>
            </w:r>
          </w:p>
        </w:tc>
      </w:tr>
      <w:tr w14:paraId="6E0A8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328EA1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070" w:type="dxa"/>
            <w:gridSpan w:val="10"/>
            <w:tcBorders>
              <w:top w:val="single" w:color="000000" w:sz="4" w:space="0"/>
              <w:left w:val="single" w:color="000000" w:sz="4" w:space="0"/>
              <w:bottom w:val="single" w:color="000000" w:sz="4" w:space="0"/>
              <w:right w:val="single" w:color="000000" w:sz="4" w:space="0"/>
            </w:tcBorders>
            <w:noWrap w:val="0"/>
            <w:vAlign w:val="center"/>
          </w:tcPr>
          <w:p w14:paraId="5E393B06">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lang w:val="en-US" w:eastAsia="zh-CN"/>
              </w:rPr>
            </w:pPr>
            <w:r>
              <w:rPr>
                <w:rFonts w:hint="default" w:ascii="Times New Roman" w:hAnsi="Times New Roman" w:eastAsia="微软雅黑" w:cs="Times New Roman"/>
                <w:i w:val="0"/>
                <w:iCs w:val="0"/>
                <w:color w:val="000000"/>
                <w:sz w:val="16"/>
                <w:szCs w:val="16"/>
                <w:u w:val="none"/>
                <w:lang w:val="en-US" w:eastAsia="zh-CN"/>
              </w:rPr>
              <w:t>无</w:t>
            </w:r>
          </w:p>
        </w:tc>
      </w:tr>
      <w:tr w14:paraId="4CFE1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05CDBA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070" w:type="dxa"/>
            <w:gridSpan w:val="10"/>
            <w:tcBorders>
              <w:top w:val="single" w:color="000000" w:sz="4" w:space="0"/>
              <w:left w:val="single" w:color="000000" w:sz="4" w:space="0"/>
              <w:bottom w:val="single" w:color="000000" w:sz="4" w:space="0"/>
              <w:right w:val="single" w:color="000000" w:sz="4" w:space="0"/>
            </w:tcBorders>
            <w:noWrap w:val="0"/>
            <w:vAlign w:val="center"/>
          </w:tcPr>
          <w:p w14:paraId="3DDBCF5E">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bl>
    <w:p w14:paraId="3A778D20">
      <w:pPr>
        <w:rPr>
          <w:rFonts w:hint="default" w:ascii="Times New Roman" w:hAnsi="Times New Roman" w:cs="Times New Roman"/>
          <w:lang w:eastAsia="zh-CN"/>
        </w:rPr>
        <w:sectPr>
          <w:pgSz w:w="16838" w:h="11906" w:orient="landscape"/>
          <w:pgMar w:top="283" w:right="1440" w:bottom="0" w:left="1440" w:header="720" w:footer="720" w:gutter="0"/>
          <w:cols w:space="720" w:num="1"/>
          <w:docGrid w:type="lines" w:linePitch="312" w:charSpace="0"/>
        </w:sectPr>
      </w:pPr>
    </w:p>
    <w:p w14:paraId="7C636ABD">
      <w:pPr>
        <w:rPr>
          <w:rFonts w:hint="default" w:ascii="Times New Roman" w:hAnsi="Times New Roman" w:cs="Times New Roman"/>
        </w:rPr>
      </w:pPr>
    </w:p>
    <w:tbl>
      <w:tblPr>
        <w:tblStyle w:val="16"/>
        <w:tblW w:w="126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4"/>
        <w:gridCol w:w="1826"/>
        <w:gridCol w:w="1581"/>
        <w:gridCol w:w="2015"/>
        <w:gridCol w:w="468"/>
        <w:gridCol w:w="1492"/>
        <w:gridCol w:w="468"/>
        <w:gridCol w:w="980"/>
        <w:gridCol w:w="486"/>
        <w:gridCol w:w="486"/>
        <w:gridCol w:w="2269"/>
      </w:tblGrid>
      <w:tr w14:paraId="30974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2685" w:type="dxa"/>
            <w:gridSpan w:val="11"/>
            <w:tcBorders>
              <w:top w:val="single" w:color="000000" w:sz="4" w:space="0"/>
              <w:left w:val="single" w:color="000000" w:sz="4" w:space="0"/>
              <w:bottom w:val="single" w:color="000000" w:sz="4" w:space="0"/>
              <w:right w:val="single" w:color="000000" w:sz="4" w:space="0"/>
            </w:tcBorders>
            <w:noWrap w:val="0"/>
            <w:vAlign w:val="center"/>
          </w:tcPr>
          <w:p w14:paraId="28C8B5A6">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25E6D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40" w:type="dxa"/>
            <w:gridSpan w:val="2"/>
            <w:tcBorders>
              <w:top w:val="single" w:color="000000" w:sz="4" w:space="0"/>
              <w:left w:val="single" w:color="000000" w:sz="4" w:space="0"/>
              <w:bottom w:val="single" w:color="000000" w:sz="4" w:space="0"/>
              <w:right w:val="single" w:color="000000" w:sz="4" w:space="0"/>
            </w:tcBorders>
            <w:noWrap w:val="0"/>
            <w:vAlign w:val="center"/>
          </w:tcPr>
          <w:p w14:paraId="51FDA58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245" w:type="dxa"/>
            <w:gridSpan w:val="9"/>
            <w:tcBorders>
              <w:top w:val="single" w:color="000000" w:sz="4" w:space="0"/>
              <w:left w:val="single" w:color="000000" w:sz="4" w:space="0"/>
              <w:bottom w:val="single" w:color="000000" w:sz="4" w:space="0"/>
              <w:right w:val="single" w:color="000000" w:sz="4" w:space="0"/>
            </w:tcBorders>
            <w:noWrap w:val="0"/>
            <w:vAlign w:val="center"/>
          </w:tcPr>
          <w:p w14:paraId="4C549C7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51320025R000012338995-追加人员工资性支出</w:t>
            </w:r>
          </w:p>
        </w:tc>
      </w:tr>
      <w:tr w14:paraId="56A6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440" w:type="dxa"/>
            <w:gridSpan w:val="2"/>
            <w:tcBorders>
              <w:top w:val="single" w:color="000000" w:sz="4" w:space="0"/>
              <w:left w:val="single" w:color="000000" w:sz="4" w:space="0"/>
              <w:bottom w:val="single" w:color="000000" w:sz="4" w:space="0"/>
              <w:right w:val="single" w:color="000000" w:sz="4" w:space="0"/>
            </w:tcBorders>
            <w:noWrap w:val="0"/>
            <w:vAlign w:val="center"/>
          </w:tcPr>
          <w:p w14:paraId="6FD1F61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024" w:type="dxa"/>
            <w:gridSpan w:val="5"/>
            <w:tcBorders>
              <w:top w:val="single" w:color="000000" w:sz="4" w:space="0"/>
              <w:left w:val="single" w:color="000000" w:sz="4" w:space="0"/>
              <w:bottom w:val="single" w:color="000000" w:sz="4" w:space="0"/>
              <w:right w:val="single" w:color="000000" w:sz="4" w:space="0"/>
            </w:tcBorders>
            <w:noWrap w:val="0"/>
            <w:vAlign w:val="center"/>
          </w:tcPr>
          <w:p w14:paraId="66CE2D7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980" w:type="dxa"/>
            <w:tcBorders>
              <w:top w:val="nil"/>
              <w:left w:val="nil"/>
              <w:bottom w:val="nil"/>
              <w:right w:val="nil"/>
            </w:tcBorders>
            <w:noWrap w:val="0"/>
            <w:vAlign w:val="center"/>
          </w:tcPr>
          <w:p w14:paraId="668E729C">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 xml:space="preserve">实施单位 </w:t>
            </w:r>
          </w:p>
        </w:tc>
        <w:tc>
          <w:tcPr>
            <w:tcW w:w="3241" w:type="dxa"/>
            <w:gridSpan w:val="3"/>
            <w:tcBorders>
              <w:top w:val="single" w:color="000000" w:sz="4" w:space="0"/>
              <w:left w:val="single" w:color="000000" w:sz="4" w:space="0"/>
              <w:bottom w:val="single" w:color="000000" w:sz="4" w:space="0"/>
              <w:right w:val="single" w:color="000000" w:sz="4" w:space="0"/>
            </w:tcBorders>
            <w:noWrap w:val="0"/>
            <w:vAlign w:val="center"/>
          </w:tcPr>
          <w:p w14:paraId="2C3AAD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234D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4" w:type="dxa"/>
            <w:vMerge w:val="restart"/>
            <w:tcBorders>
              <w:top w:val="single" w:color="000000" w:sz="4" w:space="0"/>
              <w:left w:val="single" w:color="000000" w:sz="4" w:space="0"/>
              <w:bottom w:val="single" w:color="000000" w:sz="4" w:space="0"/>
              <w:right w:val="single" w:color="000000" w:sz="4" w:space="0"/>
            </w:tcBorders>
            <w:noWrap w:val="0"/>
            <w:vAlign w:val="center"/>
          </w:tcPr>
          <w:p w14:paraId="7A36635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26" w:type="dxa"/>
            <w:vMerge w:val="restart"/>
            <w:tcBorders>
              <w:top w:val="single" w:color="000000" w:sz="4" w:space="0"/>
              <w:left w:val="single" w:color="000000" w:sz="4" w:space="0"/>
              <w:bottom w:val="single" w:color="000000" w:sz="4" w:space="0"/>
              <w:right w:val="single" w:color="000000" w:sz="4" w:space="0"/>
            </w:tcBorders>
            <w:noWrap w:val="0"/>
            <w:vAlign w:val="center"/>
          </w:tcPr>
          <w:p w14:paraId="23EFEEC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024" w:type="dxa"/>
            <w:gridSpan w:val="5"/>
            <w:tcBorders>
              <w:top w:val="single" w:color="000000" w:sz="4" w:space="0"/>
              <w:left w:val="single" w:color="000000" w:sz="4" w:space="0"/>
              <w:bottom w:val="single" w:color="000000" w:sz="4" w:space="0"/>
              <w:right w:val="single" w:color="000000" w:sz="4" w:space="0"/>
            </w:tcBorders>
            <w:noWrap w:val="0"/>
            <w:vAlign w:val="center"/>
          </w:tcPr>
          <w:p w14:paraId="13588F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4221" w:type="dxa"/>
            <w:gridSpan w:val="4"/>
            <w:tcBorders>
              <w:top w:val="single" w:color="000000" w:sz="4" w:space="0"/>
              <w:left w:val="single" w:color="000000" w:sz="4" w:space="0"/>
              <w:bottom w:val="single" w:color="000000" w:sz="4" w:space="0"/>
              <w:right w:val="single" w:color="000000" w:sz="4" w:space="0"/>
            </w:tcBorders>
            <w:noWrap w:val="0"/>
            <w:vAlign w:val="center"/>
          </w:tcPr>
          <w:p w14:paraId="18786E29">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06B99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F85716">
            <w:pPr>
              <w:rPr>
                <w:rFonts w:hint="default" w:ascii="Times New Roman" w:hAnsi="Times New Roman" w:eastAsia="宋体" w:cs="Times New Roman"/>
                <w:i w:val="0"/>
                <w:iCs w:val="0"/>
                <w:color w:val="000000"/>
                <w:sz w:val="18"/>
                <w:szCs w:val="18"/>
                <w:u w:val="none"/>
              </w:rPr>
            </w:pPr>
          </w:p>
        </w:tc>
        <w:tc>
          <w:tcPr>
            <w:tcW w:w="1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054A3C">
            <w:pPr>
              <w:rPr>
                <w:rFonts w:hint="default" w:ascii="Times New Roman" w:hAnsi="Times New Roman" w:eastAsia="宋体" w:cs="Times New Roman"/>
                <w:i w:val="0"/>
                <w:iCs w:val="0"/>
                <w:color w:val="000000"/>
                <w:sz w:val="18"/>
                <w:szCs w:val="18"/>
                <w:u w:val="none"/>
              </w:rPr>
            </w:pPr>
          </w:p>
        </w:tc>
        <w:tc>
          <w:tcPr>
            <w:tcW w:w="6024" w:type="dxa"/>
            <w:gridSpan w:val="5"/>
            <w:tcBorders>
              <w:top w:val="single" w:color="000000" w:sz="4" w:space="0"/>
              <w:left w:val="single" w:color="000000" w:sz="4" w:space="0"/>
              <w:bottom w:val="single" w:color="000000" w:sz="4" w:space="0"/>
              <w:right w:val="single" w:color="000000" w:sz="4" w:space="0"/>
            </w:tcBorders>
            <w:noWrap w:val="0"/>
            <w:vAlign w:val="center"/>
          </w:tcPr>
          <w:p w14:paraId="7A978C36">
            <w:pPr>
              <w:rPr>
                <w:rFonts w:hint="default" w:ascii="Times New Roman" w:hAnsi="Times New Roman" w:eastAsia="宋体" w:cs="Times New Roman"/>
                <w:i w:val="0"/>
                <w:iCs w:val="0"/>
                <w:color w:val="000000"/>
                <w:sz w:val="18"/>
                <w:szCs w:val="18"/>
                <w:u w:val="none"/>
                <w:lang w:eastAsia="zh-CN"/>
              </w:rPr>
            </w:pPr>
            <w:r>
              <w:rPr>
                <w:rFonts w:hint="default" w:ascii="Times New Roman" w:hAnsi="Times New Roman" w:eastAsia="宋体" w:cs="Times New Roman"/>
                <w:i w:val="0"/>
                <w:iCs w:val="0"/>
                <w:color w:val="000000"/>
                <w:sz w:val="18"/>
                <w:szCs w:val="18"/>
                <w:u w:val="none"/>
              </w:rPr>
              <w:t>严格执行相关政策，保障工资及时、足额发放或社保及时、足额缴纳，预算编制科学合理，减少结余资金</w:t>
            </w:r>
            <w:r>
              <w:rPr>
                <w:rFonts w:hint="default" w:ascii="Times New Roman" w:hAnsi="Times New Roman" w:eastAsia="宋体" w:cs="Times New Roman"/>
                <w:i w:val="0"/>
                <w:iCs w:val="0"/>
                <w:color w:val="000000"/>
                <w:sz w:val="18"/>
                <w:szCs w:val="18"/>
                <w:u w:val="none"/>
                <w:lang w:eastAsia="zh-CN"/>
              </w:rPr>
              <w:t>。</w:t>
            </w:r>
          </w:p>
        </w:tc>
        <w:tc>
          <w:tcPr>
            <w:tcW w:w="4221" w:type="dxa"/>
            <w:gridSpan w:val="4"/>
            <w:tcBorders>
              <w:top w:val="single" w:color="000000" w:sz="4" w:space="0"/>
              <w:left w:val="single" w:color="000000" w:sz="4" w:space="0"/>
              <w:bottom w:val="single" w:color="000000" w:sz="4" w:space="0"/>
              <w:right w:val="single" w:color="000000" w:sz="4" w:space="0"/>
            </w:tcBorders>
            <w:noWrap w:val="0"/>
            <w:vAlign w:val="center"/>
          </w:tcPr>
          <w:p w14:paraId="235B00A0">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color w:val="000000"/>
                <w:kern w:val="0"/>
                <w:sz w:val="18"/>
                <w:szCs w:val="18"/>
                <w:lang w:bidi="ar"/>
              </w:rPr>
              <w:t>严格执行相关政策，保障工资及时、足额发放。</w:t>
            </w:r>
          </w:p>
        </w:tc>
      </w:tr>
      <w:tr w14:paraId="1BEF5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239DA">
            <w:pP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C4D10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245" w:type="dxa"/>
            <w:gridSpan w:val="9"/>
            <w:tcBorders>
              <w:top w:val="single" w:color="000000" w:sz="4" w:space="0"/>
              <w:left w:val="single" w:color="000000" w:sz="4" w:space="0"/>
              <w:bottom w:val="single" w:color="000000" w:sz="4" w:space="0"/>
              <w:right w:val="single" w:color="000000" w:sz="4" w:space="0"/>
            </w:tcBorders>
            <w:noWrap w:val="0"/>
            <w:vAlign w:val="center"/>
          </w:tcPr>
          <w:p w14:paraId="27036601">
            <w:pP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sz w:val="18"/>
                <w:szCs w:val="18"/>
                <w:u w:val="none"/>
              </w:rPr>
              <w:t>严格执行相关政策，保障工资及时、足额发放或社保及时、足额缴纳，预算编制科学合理，减少结余资金</w:t>
            </w:r>
            <w:r>
              <w:rPr>
                <w:rFonts w:hint="default" w:ascii="Times New Roman" w:hAnsi="Times New Roman" w:eastAsia="宋体" w:cs="Times New Roman"/>
                <w:i w:val="0"/>
                <w:iCs w:val="0"/>
                <w:color w:val="000000"/>
                <w:sz w:val="18"/>
                <w:szCs w:val="18"/>
                <w:u w:val="none"/>
                <w:lang w:eastAsia="zh-CN"/>
              </w:rPr>
              <w:t>。</w:t>
            </w:r>
          </w:p>
        </w:tc>
      </w:tr>
      <w:tr w14:paraId="2B2A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4" w:type="dxa"/>
            <w:vMerge w:val="restart"/>
            <w:tcBorders>
              <w:top w:val="single" w:color="000000" w:sz="4" w:space="0"/>
              <w:left w:val="single" w:color="000000" w:sz="4" w:space="0"/>
              <w:bottom w:val="single" w:color="000000" w:sz="4" w:space="0"/>
              <w:right w:val="single" w:color="000000" w:sz="4" w:space="0"/>
            </w:tcBorders>
            <w:noWrap w:val="0"/>
            <w:vAlign w:val="center"/>
          </w:tcPr>
          <w:p w14:paraId="19C8AB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534F9F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326A12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52874E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0C2800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483D9E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E228C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F7E52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4665D2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687E6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A550B7">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3026FB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1C6C71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2D3C51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17.82</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527F6A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17.82</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8E22C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01DB9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9C215A9">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2269" w:type="dxa"/>
            <w:vMerge w:val="restart"/>
            <w:tcBorders>
              <w:top w:val="single" w:color="000000" w:sz="4" w:space="0"/>
              <w:left w:val="single" w:color="000000" w:sz="4" w:space="0"/>
              <w:bottom w:val="single" w:color="000000" w:sz="4" w:space="0"/>
              <w:right w:val="single" w:color="000000" w:sz="4" w:space="0"/>
            </w:tcBorders>
            <w:noWrap w:val="0"/>
            <w:vAlign w:val="center"/>
          </w:tcPr>
          <w:p w14:paraId="15E5143D">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57AFF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362FCD">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21B87C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72A917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5026E7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17.82</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37C4CB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17.82</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0E42B0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8AF1F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A6CD5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3DC5D">
            <w:pPr>
              <w:rPr>
                <w:rFonts w:hint="default" w:ascii="Times New Roman" w:hAnsi="Times New Roman" w:eastAsia="黑体" w:cs="Times New Roman"/>
                <w:i/>
                <w:iCs/>
                <w:color w:val="000000"/>
                <w:sz w:val="18"/>
                <w:szCs w:val="18"/>
                <w:u w:val="none"/>
              </w:rPr>
            </w:pPr>
          </w:p>
        </w:tc>
      </w:tr>
      <w:tr w14:paraId="6470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600285">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4AFE21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2E03956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7C825C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7E4DB5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4E7B1D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A4DDC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72EEA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7C4AC0">
            <w:pPr>
              <w:rPr>
                <w:rFonts w:hint="default" w:ascii="Times New Roman" w:hAnsi="Times New Roman" w:eastAsia="黑体" w:cs="Times New Roman"/>
                <w:i/>
                <w:iCs/>
                <w:color w:val="000000"/>
                <w:sz w:val="18"/>
                <w:szCs w:val="18"/>
                <w:u w:val="none"/>
              </w:rPr>
            </w:pPr>
          </w:p>
        </w:tc>
      </w:tr>
      <w:tr w14:paraId="62252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32321F">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331507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665B73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26F415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4ED44D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07BEC8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08D92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6D044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10DA0A">
            <w:pPr>
              <w:rPr>
                <w:rFonts w:hint="default" w:ascii="Times New Roman" w:hAnsi="Times New Roman" w:eastAsia="黑体" w:cs="Times New Roman"/>
                <w:i/>
                <w:iCs/>
                <w:color w:val="000000"/>
                <w:sz w:val="18"/>
                <w:szCs w:val="18"/>
                <w:u w:val="none"/>
              </w:rPr>
            </w:pPr>
          </w:p>
        </w:tc>
      </w:tr>
      <w:tr w14:paraId="7382E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614" w:type="dxa"/>
            <w:vMerge w:val="restart"/>
            <w:tcBorders>
              <w:top w:val="single" w:color="000000" w:sz="4" w:space="0"/>
              <w:left w:val="single" w:color="000000" w:sz="4" w:space="0"/>
              <w:bottom w:val="single" w:color="000000" w:sz="4" w:space="0"/>
              <w:right w:val="single" w:color="000000" w:sz="4" w:space="0"/>
            </w:tcBorders>
            <w:noWrap w:val="0"/>
            <w:vAlign w:val="center"/>
          </w:tcPr>
          <w:p w14:paraId="462CA3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5C702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33E0FD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4D5FCE4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73D68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492" w:type="dxa"/>
            <w:tcBorders>
              <w:top w:val="single" w:color="000000" w:sz="4" w:space="0"/>
              <w:left w:val="single" w:color="000000" w:sz="4" w:space="0"/>
              <w:bottom w:val="single" w:color="000000" w:sz="4" w:space="0"/>
              <w:right w:val="single" w:color="000000" w:sz="4" w:space="0"/>
            </w:tcBorders>
            <w:noWrap w:val="0"/>
            <w:vAlign w:val="center"/>
          </w:tcPr>
          <w:p w14:paraId="59126B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AE569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126C9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AE6F5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77726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0E3C8A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2AED4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C2B3F">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36B75D04">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产出指标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32CA3F8E">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数量指标</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4741056D">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发放（缴纳）覆盖率</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4E6BCB">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w:t>
            </w:r>
          </w:p>
        </w:tc>
        <w:tc>
          <w:tcPr>
            <w:tcW w:w="1492" w:type="dxa"/>
            <w:tcBorders>
              <w:top w:val="single" w:color="000000" w:sz="4" w:space="0"/>
              <w:left w:val="single" w:color="000000" w:sz="4" w:space="0"/>
              <w:bottom w:val="single" w:color="000000" w:sz="4" w:space="0"/>
              <w:right w:val="single" w:color="000000" w:sz="4" w:space="0"/>
            </w:tcBorders>
            <w:noWrap w:val="0"/>
            <w:vAlign w:val="center"/>
          </w:tcPr>
          <w:p w14:paraId="2D5D65C2">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100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C0E03CC">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6031419D">
            <w:pPr>
              <w:widowControl/>
              <w:jc w:val="center"/>
              <w:textAlignment w:val="center"/>
              <w:rPr>
                <w:rFonts w:hint="default" w:ascii="Times New Roman" w:hAnsi="Times New Roman" w:eastAsia="微软雅黑" w:cs="Times New Roman"/>
                <w:i/>
                <w:iCs/>
                <w:color w:val="000000"/>
                <w:kern w:val="2"/>
                <w:sz w:val="16"/>
                <w:szCs w:val="16"/>
                <w:lang w:val="en-US" w:eastAsia="zh-CN" w:bidi="ar-SA"/>
              </w:rPr>
            </w:pPr>
            <w:r>
              <w:rPr>
                <w:rFonts w:hint="default" w:ascii="Times New Roman" w:hAnsi="Times New Roman" w:eastAsia="微软雅黑" w:cs="Times New Roman"/>
                <w:i/>
                <w:iCs/>
                <w:color w:val="000000"/>
                <w:kern w:val="0"/>
                <w:sz w:val="16"/>
                <w:szCs w:val="16"/>
                <w:lang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DE908EB">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val="en-US" w:eastAsia="zh-CN" w:bidi="ar"/>
              </w:rPr>
              <w:t>90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6FBB4B4">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val="en-US" w:eastAsia="zh-CN" w:bidi="ar"/>
              </w:rPr>
              <w:t>90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3560AF2B">
            <w:pPr>
              <w:jc w:val="center"/>
              <w:rPr>
                <w:rFonts w:hint="default" w:ascii="Times New Roman" w:hAnsi="Times New Roman" w:eastAsia="微软雅黑" w:cs="Times New Roman"/>
                <w:i/>
                <w:iCs/>
                <w:color w:val="000000"/>
                <w:kern w:val="2"/>
                <w:sz w:val="16"/>
                <w:szCs w:val="16"/>
                <w:lang w:val="en-US" w:eastAsia="zh-CN" w:bidi="ar-SA"/>
              </w:rPr>
            </w:pPr>
          </w:p>
        </w:tc>
      </w:tr>
      <w:tr w14:paraId="10995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444" w:type="dxa"/>
            <w:gridSpan w:val="8"/>
            <w:tcBorders>
              <w:top w:val="single" w:color="000000" w:sz="4" w:space="0"/>
              <w:left w:val="single" w:color="000000" w:sz="4" w:space="0"/>
              <w:bottom w:val="single" w:color="000000" w:sz="4" w:space="0"/>
              <w:right w:val="single" w:color="000000" w:sz="4" w:space="0"/>
            </w:tcBorders>
            <w:noWrap w:val="0"/>
            <w:vAlign w:val="center"/>
          </w:tcPr>
          <w:p w14:paraId="5905F8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7CF6DF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88E8473">
            <w:pP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09D986A4">
            <w:pPr>
              <w:rPr>
                <w:rFonts w:hint="default" w:ascii="Times New Roman" w:hAnsi="Times New Roman" w:eastAsia="宋体" w:cs="Times New Roman"/>
                <w:i w:val="0"/>
                <w:iCs w:val="0"/>
                <w:color w:val="000000"/>
                <w:sz w:val="18"/>
                <w:szCs w:val="18"/>
                <w:u w:val="none"/>
              </w:rPr>
            </w:pPr>
          </w:p>
        </w:tc>
      </w:tr>
      <w:tr w14:paraId="5CE99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614" w:type="dxa"/>
            <w:tcBorders>
              <w:top w:val="single" w:color="000000" w:sz="4" w:space="0"/>
              <w:left w:val="single" w:color="000000" w:sz="4" w:space="0"/>
              <w:bottom w:val="single" w:color="000000" w:sz="4" w:space="0"/>
              <w:right w:val="single" w:color="000000" w:sz="4" w:space="0"/>
            </w:tcBorders>
            <w:noWrap w:val="0"/>
            <w:vAlign w:val="center"/>
          </w:tcPr>
          <w:p w14:paraId="3F330B0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071" w:type="dxa"/>
            <w:gridSpan w:val="10"/>
            <w:tcBorders>
              <w:top w:val="single" w:color="000000" w:sz="4" w:space="0"/>
              <w:left w:val="single" w:color="000000" w:sz="4" w:space="0"/>
              <w:bottom w:val="single" w:color="000000" w:sz="4" w:space="0"/>
              <w:right w:val="single" w:color="000000" w:sz="4" w:space="0"/>
            </w:tcBorders>
            <w:noWrap w:val="0"/>
            <w:vAlign w:val="center"/>
          </w:tcPr>
          <w:p w14:paraId="766F151B">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lang w:bidi="ar"/>
              </w:rPr>
              <w:t>项目总体执行良好。</w:t>
            </w:r>
          </w:p>
        </w:tc>
      </w:tr>
      <w:tr w14:paraId="577E0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14" w:type="dxa"/>
            <w:tcBorders>
              <w:top w:val="single" w:color="000000" w:sz="4" w:space="0"/>
              <w:left w:val="single" w:color="000000" w:sz="4" w:space="0"/>
              <w:bottom w:val="single" w:color="000000" w:sz="4" w:space="0"/>
              <w:right w:val="single" w:color="000000" w:sz="4" w:space="0"/>
            </w:tcBorders>
            <w:noWrap w:val="0"/>
            <w:vAlign w:val="center"/>
          </w:tcPr>
          <w:p w14:paraId="65CC74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071" w:type="dxa"/>
            <w:gridSpan w:val="10"/>
            <w:tcBorders>
              <w:top w:val="single" w:color="000000" w:sz="4" w:space="0"/>
              <w:left w:val="single" w:color="000000" w:sz="4" w:space="0"/>
              <w:bottom w:val="single" w:color="000000" w:sz="4" w:space="0"/>
              <w:right w:val="single" w:color="000000" w:sz="4" w:space="0"/>
            </w:tcBorders>
            <w:noWrap w:val="0"/>
            <w:vAlign w:val="center"/>
          </w:tcPr>
          <w:p w14:paraId="336863FD">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50D1F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4" w:type="dxa"/>
            <w:tcBorders>
              <w:top w:val="single" w:color="000000" w:sz="4" w:space="0"/>
              <w:left w:val="single" w:color="000000" w:sz="4" w:space="0"/>
              <w:bottom w:val="single" w:color="000000" w:sz="4" w:space="0"/>
              <w:right w:val="single" w:color="000000" w:sz="4" w:space="0"/>
            </w:tcBorders>
            <w:noWrap w:val="0"/>
            <w:vAlign w:val="center"/>
          </w:tcPr>
          <w:p w14:paraId="7DB2E1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071" w:type="dxa"/>
            <w:gridSpan w:val="10"/>
            <w:tcBorders>
              <w:top w:val="single" w:color="000000" w:sz="4" w:space="0"/>
              <w:left w:val="single" w:color="000000" w:sz="4" w:space="0"/>
              <w:bottom w:val="single" w:color="000000" w:sz="4" w:space="0"/>
              <w:right w:val="single" w:color="000000" w:sz="4" w:space="0"/>
            </w:tcBorders>
            <w:noWrap w:val="0"/>
            <w:vAlign w:val="center"/>
          </w:tcPr>
          <w:p w14:paraId="71858D48">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0C7B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4" w:type="dxa"/>
            <w:tcBorders>
              <w:top w:val="nil"/>
              <w:left w:val="nil"/>
              <w:bottom w:val="nil"/>
              <w:right w:val="nil"/>
            </w:tcBorders>
            <w:noWrap w:val="0"/>
            <w:vAlign w:val="center"/>
          </w:tcPr>
          <w:p w14:paraId="3E87381A">
            <w:pPr>
              <w:rPr>
                <w:rFonts w:hint="default" w:ascii="Times New Roman" w:hAnsi="Times New Roman" w:eastAsia="宋体" w:cs="Times New Roman"/>
                <w:i w:val="0"/>
                <w:iCs w:val="0"/>
                <w:color w:val="000000"/>
                <w:sz w:val="18"/>
                <w:szCs w:val="18"/>
                <w:u w:val="none"/>
              </w:rPr>
            </w:pPr>
          </w:p>
        </w:tc>
        <w:tc>
          <w:tcPr>
            <w:tcW w:w="1826" w:type="dxa"/>
            <w:tcBorders>
              <w:top w:val="nil"/>
              <w:left w:val="nil"/>
              <w:bottom w:val="nil"/>
              <w:right w:val="nil"/>
            </w:tcBorders>
            <w:noWrap w:val="0"/>
            <w:vAlign w:val="center"/>
          </w:tcPr>
          <w:p w14:paraId="48DAAD6D">
            <w:pPr>
              <w:rPr>
                <w:rFonts w:hint="default" w:ascii="Times New Roman" w:hAnsi="Times New Roman" w:eastAsia="宋体" w:cs="Times New Roman"/>
                <w:i w:val="0"/>
                <w:iCs w:val="0"/>
                <w:color w:val="000000"/>
                <w:sz w:val="18"/>
                <w:szCs w:val="18"/>
                <w:u w:val="none"/>
              </w:rPr>
            </w:pPr>
          </w:p>
        </w:tc>
        <w:tc>
          <w:tcPr>
            <w:tcW w:w="1581" w:type="dxa"/>
            <w:tcBorders>
              <w:top w:val="nil"/>
              <w:left w:val="nil"/>
              <w:bottom w:val="nil"/>
              <w:right w:val="nil"/>
            </w:tcBorders>
            <w:noWrap w:val="0"/>
            <w:vAlign w:val="center"/>
          </w:tcPr>
          <w:p w14:paraId="4B2F789E">
            <w:pPr>
              <w:rPr>
                <w:rFonts w:hint="default" w:ascii="Times New Roman" w:hAnsi="Times New Roman" w:eastAsia="宋体" w:cs="Times New Roman"/>
                <w:i w:val="0"/>
                <w:iCs w:val="0"/>
                <w:color w:val="000000"/>
                <w:sz w:val="18"/>
                <w:szCs w:val="18"/>
                <w:u w:val="none"/>
              </w:rPr>
            </w:pPr>
          </w:p>
        </w:tc>
        <w:tc>
          <w:tcPr>
            <w:tcW w:w="2015" w:type="dxa"/>
            <w:tcBorders>
              <w:top w:val="nil"/>
              <w:left w:val="nil"/>
              <w:bottom w:val="nil"/>
              <w:right w:val="nil"/>
            </w:tcBorders>
            <w:noWrap w:val="0"/>
            <w:vAlign w:val="center"/>
          </w:tcPr>
          <w:p w14:paraId="575DC76D">
            <w:pPr>
              <w:rPr>
                <w:rFonts w:hint="default" w:ascii="Times New Roman" w:hAnsi="Times New Roman" w:eastAsia="宋体" w:cs="Times New Roman"/>
                <w:i w:val="0"/>
                <w:iCs w:val="0"/>
                <w:color w:val="000000"/>
                <w:sz w:val="18"/>
                <w:szCs w:val="18"/>
                <w:u w:val="none"/>
              </w:rPr>
            </w:pPr>
          </w:p>
        </w:tc>
        <w:tc>
          <w:tcPr>
            <w:tcW w:w="468" w:type="dxa"/>
            <w:tcBorders>
              <w:top w:val="nil"/>
              <w:left w:val="nil"/>
              <w:bottom w:val="nil"/>
              <w:right w:val="nil"/>
            </w:tcBorders>
            <w:noWrap w:val="0"/>
            <w:vAlign w:val="center"/>
          </w:tcPr>
          <w:p w14:paraId="4A3BC437">
            <w:pPr>
              <w:rPr>
                <w:rFonts w:hint="default" w:ascii="Times New Roman" w:hAnsi="Times New Roman" w:eastAsia="宋体" w:cs="Times New Roman"/>
                <w:i w:val="0"/>
                <w:iCs w:val="0"/>
                <w:color w:val="000000"/>
                <w:sz w:val="18"/>
                <w:szCs w:val="18"/>
                <w:u w:val="none"/>
              </w:rPr>
            </w:pPr>
          </w:p>
        </w:tc>
        <w:tc>
          <w:tcPr>
            <w:tcW w:w="1492" w:type="dxa"/>
            <w:tcBorders>
              <w:top w:val="nil"/>
              <w:left w:val="nil"/>
              <w:bottom w:val="nil"/>
              <w:right w:val="nil"/>
            </w:tcBorders>
            <w:noWrap w:val="0"/>
            <w:vAlign w:val="center"/>
          </w:tcPr>
          <w:p w14:paraId="088DD837">
            <w:pPr>
              <w:rPr>
                <w:rFonts w:hint="default" w:ascii="Times New Roman" w:hAnsi="Times New Roman" w:eastAsia="宋体" w:cs="Times New Roman"/>
                <w:i w:val="0"/>
                <w:iCs w:val="0"/>
                <w:color w:val="000000"/>
                <w:sz w:val="18"/>
                <w:szCs w:val="18"/>
                <w:u w:val="none"/>
              </w:rPr>
            </w:pPr>
          </w:p>
        </w:tc>
        <w:tc>
          <w:tcPr>
            <w:tcW w:w="468" w:type="dxa"/>
            <w:tcBorders>
              <w:top w:val="nil"/>
              <w:left w:val="nil"/>
              <w:bottom w:val="nil"/>
              <w:right w:val="nil"/>
            </w:tcBorders>
            <w:noWrap w:val="0"/>
            <w:vAlign w:val="center"/>
          </w:tcPr>
          <w:p w14:paraId="5FBC5CA4">
            <w:pPr>
              <w:rPr>
                <w:rFonts w:hint="default" w:ascii="Times New Roman" w:hAnsi="Times New Roman" w:eastAsia="宋体" w:cs="Times New Roman"/>
                <w:i w:val="0"/>
                <w:iCs w:val="0"/>
                <w:color w:val="000000"/>
                <w:sz w:val="18"/>
                <w:szCs w:val="18"/>
                <w:u w:val="none"/>
              </w:rPr>
            </w:pPr>
          </w:p>
        </w:tc>
        <w:tc>
          <w:tcPr>
            <w:tcW w:w="980" w:type="dxa"/>
            <w:tcBorders>
              <w:top w:val="nil"/>
              <w:left w:val="nil"/>
              <w:bottom w:val="nil"/>
              <w:right w:val="nil"/>
            </w:tcBorders>
            <w:noWrap w:val="0"/>
            <w:vAlign w:val="center"/>
          </w:tcPr>
          <w:p w14:paraId="5F1F22CD">
            <w:pPr>
              <w:rPr>
                <w:rFonts w:hint="default" w:ascii="Times New Roman" w:hAnsi="Times New Roman" w:eastAsia="宋体" w:cs="Times New Roman"/>
                <w:i w:val="0"/>
                <w:iCs w:val="0"/>
                <w:color w:val="000000"/>
                <w:sz w:val="18"/>
                <w:szCs w:val="18"/>
                <w:u w:val="none"/>
              </w:rPr>
            </w:pPr>
          </w:p>
        </w:tc>
        <w:tc>
          <w:tcPr>
            <w:tcW w:w="486" w:type="dxa"/>
            <w:tcBorders>
              <w:top w:val="nil"/>
              <w:left w:val="nil"/>
              <w:bottom w:val="nil"/>
              <w:right w:val="nil"/>
            </w:tcBorders>
            <w:noWrap w:val="0"/>
            <w:vAlign w:val="center"/>
          </w:tcPr>
          <w:p w14:paraId="22A11C70">
            <w:pPr>
              <w:rPr>
                <w:rFonts w:hint="default" w:ascii="Times New Roman" w:hAnsi="Times New Roman" w:eastAsia="宋体" w:cs="Times New Roman"/>
                <w:i w:val="0"/>
                <w:iCs w:val="0"/>
                <w:color w:val="000000"/>
                <w:sz w:val="18"/>
                <w:szCs w:val="18"/>
                <w:u w:val="none"/>
              </w:rPr>
            </w:pPr>
          </w:p>
        </w:tc>
        <w:tc>
          <w:tcPr>
            <w:tcW w:w="486" w:type="dxa"/>
            <w:tcBorders>
              <w:top w:val="nil"/>
              <w:left w:val="nil"/>
              <w:bottom w:val="nil"/>
              <w:right w:val="nil"/>
            </w:tcBorders>
            <w:noWrap w:val="0"/>
            <w:vAlign w:val="center"/>
          </w:tcPr>
          <w:p w14:paraId="03D8B0D2">
            <w:pPr>
              <w:rPr>
                <w:rFonts w:hint="default" w:ascii="Times New Roman" w:hAnsi="Times New Roman" w:eastAsia="宋体" w:cs="Times New Roman"/>
                <w:i w:val="0"/>
                <w:iCs w:val="0"/>
                <w:color w:val="000000"/>
                <w:sz w:val="18"/>
                <w:szCs w:val="18"/>
                <w:u w:val="none"/>
              </w:rPr>
            </w:pPr>
          </w:p>
        </w:tc>
        <w:tc>
          <w:tcPr>
            <w:tcW w:w="2269" w:type="dxa"/>
            <w:tcBorders>
              <w:top w:val="nil"/>
              <w:left w:val="nil"/>
              <w:bottom w:val="nil"/>
              <w:right w:val="nil"/>
            </w:tcBorders>
            <w:noWrap w:val="0"/>
            <w:vAlign w:val="center"/>
          </w:tcPr>
          <w:p w14:paraId="6F7D36D9">
            <w:pPr>
              <w:rPr>
                <w:rFonts w:hint="default" w:ascii="Times New Roman" w:hAnsi="Times New Roman" w:eastAsia="宋体" w:cs="Times New Roman"/>
                <w:i w:val="0"/>
                <w:iCs w:val="0"/>
                <w:color w:val="000000"/>
                <w:sz w:val="18"/>
                <w:szCs w:val="18"/>
                <w:u w:val="none"/>
              </w:rPr>
            </w:pPr>
          </w:p>
        </w:tc>
      </w:tr>
      <w:tr w14:paraId="586A0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12685" w:type="dxa"/>
            <w:gridSpan w:val="11"/>
            <w:tcBorders>
              <w:top w:val="single" w:color="000000" w:sz="4" w:space="0"/>
              <w:left w:val="single" w:color="000000" w:sz="4" w:space="0"/>
              <w:bottom w:val="single" w:color="000000" w:sz="4" w:space="0"/>
              <w:right w:val="single" w:color="000000" w:sz="4" w:space="0"/>
            </w:tcBorders>
            <w:noWrap w:val="0"/>
            <w:vAlign w:val="center"/>
          </w:tcPr>
          <w:p w14:paraId="04E5B265">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部门预算项目支出绩效自评表（2024年度）</w:t>
            </w:r>
          </w:p>
        </w:tc>
      </w:tr>
      <w:tr w14:paraId="59DE5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40" w:type="dxa"/>
            <w:gridSpan w:val="2"/>
            <w:tcBorders>
              <w:top w:val="single" w:color="000000" w:sz="4" w:space="0"/>
              <w:left w:val="single" w:color="000000" w:sz="4" w:space="0"/>
              <w:bottom w:val="single" w:color="000000" w:sz="4" w:space="0"/>
              <w:right w:val="single" w:color="000000" w:sz="4" w:space="0"/>
            </w:tcBorders>
            <w:noWrap w:val="0"/>
            <w:vAlign w:val="center"/>
          </w:tcPr>
          <w:p w14:paraId="61AC468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10245" w:type="dxa"/>
            <w:gridSpan w:val="9"/>
            <w:tcBorders>
              <w:top w:val="single" w:color="000000" w:sz="4" w:space="0"/>
              <w:left w:val="single" w:color="000000" w:sz="4" w:space="0"/>
              <w:bottom w:val="single" w:color="000000" w:sz="4" w:space="0"/>
              <w:right w:val="single" w:color="000000" w:sz="4" w:space="0"/>
            </w:tcBorders>
            <w:noWrap w:val="0"/>
            <w:vAlign w:val="center"/>
          </w:tcPr>
          <w:p w14:paraId="6145D7E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51320025R000012339333-追加社保缴费支出</w:t>
            </w:r>
          </w:p>
        </w:tc>
      </w:tr>
      <w:tr w14:paraId="4E2E7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2440" w:type="dxa"/>
            <w:gridSpan w:val="2"/>
            <w:tcBorders>
              <w:top w:val="single" w:color="000000" w:sz="4" w:space="0"/>
              <w:left w:val="single" w:color="000000" w:sz="4" w:space="0"/>
              <w:bottom w:val="single" w:color="000000" w:sz="4" w:space="0"/>
              <w:right w:val="single" w:color="000000" w:sz="4" w:space="0"/>
            </w:tcBorders>
            <w:noWrap w:val="0"/>
            <w:vAlign w:val="center"/>
          </w:tcPr>
          <w:p w14:paraId="3AFB361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6024" w:type="dxa"/>
            <w:gridSpan w:val="5"/>
            <w:tcBorders>
              <w:top w:val="single" w:color="000000" w:sz="4" w:space="0"/>
              <w:left w:val="single" w:color="000000" w:sz="4" w:space="0"/>
              <w:bottom w:val="single" w:color="000000" w:sz="4" w:space="0"/>
              <w:right w:val="single" w:color="000000" w:sz="4" w:space="0"/>
            </w:tcBorders>
            <w:noWrap w:val="0"/>
            <w:vAlign w:val="center"/>
          </w:tcPr>
          <w:p w14:paraId="4672491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州直机关工委部门</w:t>
            </w:r>
          </w:p>
        </w:tc>
        <w:tc>
          <w:tcPr>
            <w:tcW w:w="980" w:type="dxa"/>
            <w:tcBorders>
              <w:top w:val="nil"/>
              <w:left w:val="nil"/>
              <w:bottom w:val="nil"/>
              <w:right w:val="nil"/>
            </w:tcBorders>
            <w:noWrap w:val="0"/>
            <w:vAlign w:val="center"/>
          </w:tcPr>
          <w:p w14:paraId="0B02E6CC">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w:t>
            </w:r>
          </w:p>
        </w:tc>
        <w:tc>
          <w:tcPr>
            <w:tcW w:w="3241" w:type="dxa"/>
            <w:gridSpan w:val="3"/>
            <w:tcBorders>
              <w:top w:val="single" w:color="000000" w:sz="4" w:space="0"/>
              <w:left w:val="single" w:color="000000" w:sz="4" w:space="0"/>
              <w:bottom w:val="single" w:color="000000" w:sz="4" w:space="0"/>
              <w:right w:val="single" w:color="000000" w:sz="4" w:space="0"/>
            </w:tcBorders>
            <w:noWrap w:val="0"/>
            <w:vAlign w:val="center"/>
          </w:tcPr>
          <w:p w14:paraId="3DC850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州直机关工委</w:t>
            </w:r>
          </w:p>
        </w:tc>
      </w:tr>
      <w:tr w14:paraId="411E8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14" w:type="dxa"/>
            <w:vMerge w:val="restart"/>
            <w:tcBorders>
              <w:top w:val="single" w:color="000000" w:sz="4" w:space="0"/>
              <w:left w:val="single" w:color="000000" w:sz="4" w:space="0"/>
              <w:bottom w:val="single" w:color="000000" w:sz="4" w:space="0"/>
              <w:right w:val="single" w:color="000000" w:sz="4" w:space="0"/>
            </w:tcBorders>
            <w:noWrap w:val="0"/>
            <w:vAlign w:val="center"/>
          </w:tcPr>
          <w:p w14:paraId="42D45FA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826" w:type="dxa"/>
            <w:vMerge w:val="restart"/>
            <w:tcBorders>
              <w:top w:val="single" w:color="000000" w:sz="4" w:space="0"/>
              <w:left w:val="single" w:color="000000" w:sz="4" w:space="0"/>
              <w:bottom w:val="single" w:color="000000" w:sz="4" w:space="0"/>
              <w:right w:val="single" w:color="000000" w:sz="4" w:space="0"/>
            </w:tcBorders>
            <w:noWrap w:val="0"/>
            <w:vAlign w:val="center"/>
          </w:tcPr>
          <w:p w14:paraId="051BC4A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6024" w:type="dxa"/>
            <w:gridSpan w:val="5"/>
            <w:tcBorders>
              <w:top w:val="single" w:color="000000" w:sz="4" w:space="0"/>
              <w:left w:val="single" w:color="000000" w:sz="4" w:space="0"/>
              <w:bottom w:val="single" w:color="000000" w:sz="4" w:space="0"/>
              <w:right w:val="single" w:color="000000" w:sz="4" w:space="0"/>
            </w:tcBorders>
            <w:noWrap w:val="0"/>
            <w:vAlign w:val="center"/>
          </w:tcPr>
          <w:p w14:paraId="6A5F8E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4221" w:type="dxa"/>
            <w:gridSpan w:val="4"/>
            <w:tcBorders>
              <w:top w:val="single" w:color="000000" w:sz="4" w:space="0"/>
              <w:left w:val="single" w:color="000000" w:sz="4" w:space="0"/>
              <w:bottom w:val="single" w:color="000000" w:sz="4" w:space="0"/>
              <w:right w:val="single" w:color="000000" w:sz="4" w:space="0"/>
            </w:tcBorders>
            <w:noWrap w:val="0"/>
            <w:vAlign w:val="center"/>
          </w:tcPr>
          <w:p w14:paraId="7416DF81">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14:paraId="42506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4E98C2">
            <w:pPr>
              <w:rPr>
                <w:rFonts w:hint="default" w:ascii="Times New Roman" w:hAnsi="Times New Roman" w:eastAsia="宋体" w:cs="Times New Roman"/>
                <w:i w:val="0"/>
                <w:iCs w:val="0"/>
                <w:color w:val="000000"/>
                <w:sz w:val="18"/>
                <w:szCs w:val="18"/>
                <w:u w:val="none"/>
              </w:rPr>
            </w:pPr>
          </w:p>
        </w:tc>
        <w:tc>
          <w:tcPr>
            <w:tcW w:w="18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A76E00">
            <w:pPr>
              <w:rPr>
                <w:rFonts w:hint="default" w:ascii="Times New Roman" w:hAnsi="Times New Roman" w:eastAsia="宋体" w:cs="Times New Roman"/>
                <w:i w:val="0"/>
                <w:iCs w:val="0"/>
                <w:color w:val="000000"/>
                <w:sz w:val="18"/>
                <w:szCs w:val="18"/>
                <w:u w:val="none"/>
              </w:rPr>
            </w:pPr>
          </w:p>
        </w:tc>
        <w:tc>
          <w:tcPr>
            <w:tcW w:w="6024" w:type="dxa"/>
            <w:gridSpan w:val="5"/>
            <w:tcBorders>
              <w:top w:val="single" w:color="000000" w:sz="4" w:space="0"/>
              <w:left w:val="single" w:color="000000" w:sz="4" w:space="0"/>
              <w:bottom w:val="single" w:color="000000" w:sz="4" w:space="0"/>
              <w:right w:val="single" w:color="000000" w:sz="4" w:space="0"/>
            </w:tcBorders>
            <w:noWrap w:val="0"/>
            <w:vAlign w:val="center"/>
          </w:tcPr>
          <w:p w14:paraId="06BCCE04">
            <w:pP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sz w:val="18"/>
                <w:szCs w:val="18"/>
                <w:u w:val="none"/>
              </w:rPr>
              <w:t>严格执行相关政策，保障工资及时、足额发放或社保及时、足额缴纳，预算编制科学合理，减少结余资金</w:t>
            </w:r>
            <w:r>
              <w:rPr>
                <w:rFonts w:hint="default" w:ascii="Times New Roman" w:hAnsi="Times New Roman" w:eastAsia="宋体" w:cs="Times New Roman"/>
                <w:i w:val="0"/>
                <w:iCs w:val="0"/>
                <w:color w:val="000000"/>
                <w:sz w:val="18"/>
                <w:szCs w:val="18"/>
                <w:u w:val="none"/>
                <w:lang w:eastAsia="zh-CN"/>
              </w:rPr>
              <w:t>。</w:t>
            </w:r>
          </w:p>
        </w:tc>
        <w:tc>
          <w:tcPr>
            <w:tcW w:w="4221" w:type="dxa"/>
            <w:gridSpan w:val="4"/>
            <w:tcBorders>
              <w:top w:val="single" w:color="000000" w:sz="4" w:space="0"/>
              <w:left w:val="single" w:color="000000" w:sz="4" w:space="0"/>
              <w:bottom w:val="single" w:color="000000" w:sz="4" w:space="0"/>
              <w:right w:val="single" w:color="000000" w:sz="4" w:space="0"/>
            </w:tcBorders>
            <w:noWrap w:val="0"/>
            <w:vAlign w:val="center"/>
          </w:tcPr>
          <w:p w14:paraId="773B1A81">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color w:val="000000"/>
                <w:kern w:val="0"/>
                <w:sz w:val="18"/>
                <w:szCs w:val="18"/>
                <w:lang w:bidi="ar"/>
              </w:rPr>
              <w:t>严格执行相关政策，保障工资及时、足额发放。</w:t>
            </w:r>
          </w:p>
        </w:tc>
      </w:tr>
      <w:tr w14:paraId="29926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6968E3">
            <w:pP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BF7357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10245" w:type="dxa"/>
            <w:gridSpan w:val="9"/>
            <w:tcBorders>
              <w:top w:val="single" w:color="000000" w:sz="4" w:space="0"/>
              <w:left w:val="single" w:color="000000" w:sz="4" w:space="0"/>
              <w:bottom w:val="single" w:color="000000" w:sz="4" w:space="0"/>
              <w:right w:val="single" w:color="000000" w:sz="4" w:space="0"/>
            </w:tcBorders>
            <w:noWrap w:val="0"/>
            <w:vAlign w:val="center"/>
          </w:tcPr>
          <w:p w14:paraId="3494C2EC">
            <w:pP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sz w:val="18"/>
                <w:szCs w:val="18"/>
                <w:u w:val="none"/>
              </w:rPr>
              <w:t>严格执行相关政策，保障工资及时、足额发放或社保及时、足额缴纳，预算编制科学合理，减少结余资金</w:t>
            </w:r>
          </w:p>
        </w:tc>
      </w:tr>
      <w:tr w14:paraId="2252C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614" w:type="dxa"/>
            <w:vMerge w:val="restart"/>
            <w:tcBorders>
              <w:top w:val="single" w:color="000000" w:sz="4" w:space="0"/>
              <w:left w:val="single" w:color="000000" w:sz="4" w:space="0"/>
              <w:bottom w:val="single" w:color="000000" w:sz="4" w:space="0"/>
              <w:right w:val="single" w:color="000000" w:sz="4" w:space="0"/>
            </w:tcBorders>
            <w:noWrap w:val="0"/>
            <w:vAlign w:val="center"/>
          </w:tcPr>
          <w:p w14:paraId="618E97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36836C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5AF95A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2CA84A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32E9B0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72A37D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90F39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13673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ABA8A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14:paraId="01752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92FA0">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4663DD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785D37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3421F1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5.71</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6C7A0C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5.71</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EA540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1FFA2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0DD0317">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w:t>
            </w:r>
          </w:p>
        </w:tc>
        <w:tc>
          <w:tcPr>
            <w:tcW w:w="2269" w:type="dxa"/>
            <w:vMerge w:val="restart"/>
            <w:tcBorders>
              <w:top w:val="single" w:color="000000" w:sz="4" w:space="0"/>
              <w:left w:val="single" w:color="000000" w:sz="4" w:space="0"/>
              <w:bottom w:val="single" w:color="000000" w:sz="4" w:space="0"/>
              <w:right w:val="single" w:color="000000" w:sz="4" w:space="0"/>
            </w:tcBorders>
            <w:noWrap w:val="0"/>
            <w:vAlign w:val="center"/>
          </w:tcPr>
          <w:p w14:paraId="720D1EF1">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p>
        </w:tc>
      </w:tr>
      <w:tr w14:paraId="4D1D8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941219">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6A57BE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011717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6A8164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5.71</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551F25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5.71</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77DE4B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3FCC5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4369C1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78F599">
            <w:pPr>
              <w:rPr>
                <w:rFonts w:hint="default" w:ascii="Times New Roman" w:hAnsi="Times New Roman" w:eastAsia="黑体" w:cs="Times New Roman"/>
                <w:i/>
                <w:iCs/>
                <w:color w:val="000000"/>
                <w:sz w:val="18"/>
                <w:szCs w:val="18"/>
                <w:u w:val="none"/>
              </w:rPr>
            </w:pPr>
          </w:p>
        </w:tc>
      </w:tr>
      <w:tr w14:paraId="389F2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66C519">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17FB64C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1409F0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7E3A7E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3A4CBB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2EDF80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681C7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2B7BC2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D8C93D">
            <w:pPr>
              <w:rPr>
                <w:rFonts w:hint="default" w:ascii="Times New Roman" w:hAnsi="Times New Roman" w:eastAsia="黑体" w:cs="Times New Roman"/>
                <w:i/>
                <w:iCs/>
                <w:color w:val="000000"/>
                <w:sz w:val="18"/>
                <w:szCs w:val="18"/>
                <w:u w:val="none"/>
              </w:rPr>
            </w:pPr>
          </w:p>
        </w:tc>
      </w:tr>
      <w:tr w14:paraId="6ECC9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7D9CFB">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037292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3DE7DB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2D4F879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428" w:type="dxa"/>
            <w:gridSpan w:val="3"/>
            <w:tcBorders>
              <w:top w:val="single" w:color="000000" w:sz="4" w:space="0"/>
              <w:left w:val="single" w:color="000000" w:sz="4" w:space="0"/>
              <w:bottom w:val="single" w:color="000000" w:sz="4" w:space="0"/>
              <w:right w:val="single" w:color="000000" w:sz="4" w:space="0"/>
            </w:tcBorders>
            <w:noWrap w:val="0"/>
            <w:vAlign w:val="center"/>
          </w:tcPr>
          <w:p w14:paraId="13BF5A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183255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0023E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39D982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7350C">
            <w:pPr>
              <w:rPr>
                <w:rFonts w:hint="default" w:ascii="Times New Roman" w:hAnsi="Times New Roman" w:eastAsia="黑体" w:cs="Times New Roman"/>
                <w:i/>
                <w:iCs/>
                <w:color w:val="000000"/>
                <w:sz w:val="18"/>
                <w:szCs w:val="18"/>
                <w:u w:val="none"/>
              </w:rPr>
            </w:pPr>
          </w:p>
        </w:tc>
      </w:tr>
      <w:tr w14:paraId="522D9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614" w:type="dxa"/>
            <w:vMerge w:val="restart"/>
            <w:tcBorders>
              <w:top w:val="single" w:color="000000" w:sz="4" w:space="0"/>
              <w:left w:val="single" w:color="000000" w:sz="4" w:space="0"/>
              <w:bottom w:val="single" w:color="000000" w:sz="4" w:space="0"/>
              <w:right w:val="single" w:color="000000" w:sz="4" w:space="0"/>
            </w:tcBorders>
            <w:noWrap w:val="0"/>
            <w:vAlign w:val="center"/>
          </w:tcPr>
          <w:p w14:paraId="2938D8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1F893E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18BFAD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5FFF4D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3E400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1492" w:type="dxa"/>
            <w:tcBorders>
              <w:top w:val="single" w:color="000000" w:sz="4" w:space="0"/>
              <w:left w:val="single" w:color="000000" w:sz="4" w:space="0"/>
              <w:bottom w:val="single" w:color="000000" w:sz="4" w:space="0"/>
              <w:right w:val="single" w:color="000000" w:sz="4" w:space="0"/>
            </w:tcBorders>
            <w:noWrap w:val="0"/>
            <w:vAlign w:val="center"/>
          </w:tcPr>
          <w:p w14:paraId="02153D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F5B42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2838D5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18C347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1A006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2A6314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14:paraId="186CB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66081">
            <w:pPr>
              <w:jc w:val="center"/>
              <w:rPr>
                <w:rFonts w:hint="default" w:ascii="Times New Roman" w:hAnsi="Times New Roman" w:eastAsia="宋体" w:cs="Times New Roman"/>
                <w:i w:val="0"/>
                <w:iCs w:val="0"/>
                <w:color w:val="000000"/>
                <w:sz w:val="18"/>
                <w:szCs w:val="18"/>
                <w:u w:val="none"/>
              </w:rPr>
            </w:pPr>
          </w:p>
        </w:tc>
        <w:tc>
          <w:tcPr>
            <w:tcW w:w="1826" w:type="dxa"/>
            <w:tcBorders>
              <w:top w:val="single" w:color="000000" w:sz="4" w:space="0"/>
              <w:left w:val="single" w:color="000000" w:sz="4" w:space="0"/>
              <w:bottom w:val="single" w:color="000000" w:sz="4" w:space="0"/>
              <w:right w:val="single" w:color="000000" w:sz="4" w:space="0"/>
            </w:tcBorders>
            <w:noWrap w:val="0"/>
            <w:vAlign w:val="center"/>
          </w:tcPr>
          <w:p w14:paraId="331DC0DA">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产出指标</w:t>
            </w:r>
          </w:p>
        </w:tc>
        <w:tc>
          <w:tcPr>
            <w:tcW w:w="1581" w:type="dxa"/>
            <w:tcBorders>
              <w:top w:val="single" w:color="000000" w:sz="4" w:space="0"/>
              <w:left w:val="single" w:color="000000" w:sz="4" w:space="0"/>
              <w:bottom w:val="single" w:color="000000" w:sz="4" w:space="0"/>
              <w:right w:val="single" w:color="000000" w:sz="4" w:space="0"/>
            </w:tcBorders>
            <w:noWrap w:val="0"/>
            <w:vAlign w:val="center"/>
          </w:tcPr>
          <w:p w14:paraId="6BAC6F79">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数量指标</w:t>
            </w:r>
          </w:p>
        </w:tc>
        <w:tc>
          <w:tcPr>
            <w:tcW w:w="2015" w:type="dxa"/>
            <w:tcBorders>
              <w:top w:val="single" w:color="000000" w:sz="4" w:space="0"/>
              <w:left w:val="single" w:color="000000" w:sz="4" w:space="0"/>
              <w:bottom w:val="single" w:color="000000" w:sz="4" w:space="0"/>
              <w:right w:val="single" w:color="000000" w:sz="4" w:space="0"/>
            </w:tcBorders>
            <w:noWrap w:val="0"/>
            <w:vAlign w:val="center"/>
          </w:tcPr>
          <w:p w14:paraId="3F592F2A">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发放（缴纳）覆盖率</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E7FE57E">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w:t>
            </w:r>
          </w:p>
        </w:tc>
        <w:tc>
          <w:tcPr>
            <w:tcW w:w="1492" w:type="dxa"/>
            <w:tcBorders>
              <w:top w:val="single" w:color="000000" w:sz="4" w:space="0"/>
              <w:left w:val="single" w:color="000000" w:sz="4" w:space="0"/>
              <w:bottom w:val="single" w:color="000000" w:sz="4" w:space="0"/>
              <w:right w:val="single" w:color="000000" w:sz="4" w:space="0"/>
            </w:tcBorders>
            <w:noWrap w:val="0"/>
            <w:vAlign w:val="center"/>
          </w:tcPr>
          <w:p w14:paraId="6F291044">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100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7FE67E3">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bidi="ar"/>
              </w:rPr>
              <w:t>%</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309C7DD6">
            <w:pPr>
              <w:widowControl/>
              <w:jc w:val="center"/>
              <w:textAlignment w:val="center"/>
              <w:rPr>
                <w:rFonts w:hint="default" w:ascii="Times New Roman" w:hAnsi="Times New Roman" w:eastAsia="微软雅黑" w:cs="Times New Roman"/>
                <w:i/>
                <w:iCs/>
                <w:color w:val="000000"/>
                <w:kern w:val="2"/>
                <w:sz w:val="16"/>
                <w:szCs w:val="16"/>
                <w:lang w:val="en-US" w:eastAsia="zh-CN" w:bidi="ar-SA"/>
              </w:rPr>
            </w:pPr>
            <w:r>
              <w:rPr>
                <w:rFonts w:hint="default" w:ascii="Times New Roman" w:hAnsi="Times New Roman" w:eastAsia="微软雅黑" w:cs="Times New Roman"/>
                <w:i/>
                <w:iCs/>
                <w:color w:val="000000"/>
                <w:kern w:val="0"/>
                <w:sz w:val="16"/>
                <w:szCs w:val="16"/>
                <w:lang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78E60DE">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0"/>
                <w:sz w:val="18"/>
                <w:szCs w:val="18"/>
                <w:lang w:val="en-US" w:eastAsia="zh-CN" w:bidi="ar"/>
              </w:rPr>
              <w:t>90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6B4FB348">
            <w:pPr>
              <w:widowControl/>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kern w:val="2"/>
                <w:sz w:val="18"/>
                <w:szCs w:val="18"/>
                <w:lang w:val="en-US" w:eastAsia="zh-CN" w:bidi="ar-SA"/>
              </w:rPr>
              <w:t>90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6123F4F0">
            <w:pPr>
              <w:jc w:val="center"/>
              <w:rPr>
                <w:rFonts w:hint="default" w:ascii="Times New Roman" w:hAnsi="Times New Roman" w:eastAsia="微软雅黑" w:cs="Times New Roman"/>
                <w:i/>
                <w:iCs/>
                <w:color w:val="000000"/>
                <w:kern w:val="2"/>
                <w:sz w:val="16"/>
                <w:szCs w:val="16"/>
                <w:lang w:val="en-US" w:eastAsia="zh-CN" w:bidi="ar-SA"/>
              </w:rPr>
            </w:pPr>
          </w:p>
        </w:tc>
      </w:tr>
      <w:tr w14:paraId="4C66E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444" w:type="dxa"/>
            <w:gridSpan w:val="8"/>
            <w:tcBorders>
              <w:top w:val="single" w:color="000000" w:sz="4" w:space="0"/>
              <w:left w:val="single" w:color="000000" w:sz="4" w:space="0"/>
              <w:bottom w:val="single" w:color="000000" w:sz="4" w:space="0"/>
              <w:right w:val="single" w:color="000000" w:sz="4" w:space="0"/>
            </w:tcBorders>
            <w:noWrap w:val="0"/>
            <w:vAlign w:val="center"/>
          </w:tcPr>
          <w:p w14:paraId="2135D0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0EA077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noWrap w:val="0"/>
            <w:vAlign w:val="center"/>
          </w:tcPr>
          <w:p w14:paraId="580EC86F">
            <w:pP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eastAsia="宋体" w:cs="Times New Roman"/>
                <w:i w:val="0"/>
                <w:iCs w:val="0"/>
                <w:color w:val="000000"/>
                <w:sz w:val="18"/>
                <w:szCs w:val="18"/>
                <w:u w:val="none"/>
                <w:lang w:val="en-US" w:eastAsia="zh-CN"/>
              </w:rPr>
              <w:t>100</w:t>
            </w:r>
          </w:p>
        </w:tc>
        <w:tc>
          <w:tcPr>
            <w:tcW w:w="2269" w:type="dxa"/>
            <w:tcBorders>
              <w:top w:val="single" w:color="000000" w:sz="4" w:space="0"/>
              <w:left w:val="single" w:color="000000" w:sz="4" w:space="0"/>
              <w:bottom w:val="single" w:color="000000" w:sz="4" w:space="0"/>
              <w:right w:val="single" w:color="000000" w:sz="4" w:space="0"/>
            </w:tcBorders>
            <w:noWrap w:val="0"/>
            <w:vAlign w:val="center"/>
          </w:tcPr>
          <w:p w14:paraId="33C4AD65">
            <w:pPr>
              <w:rPr>
                <w:rFonts w:hint="default" w:ascii="Times New Roman" w:hAnsi="Times New Roman" w:eastAsia="宋体" w:cs="Times New Roman"/>
                <w:i w:val="0"/>
                <w:iCs w:val="0"/>
                <w:color w:val="000000"/>
                <w:sz w:val="18"/>
                <w:szCs w:val="18"/>
                <w:u w:val="none"/>
              </w:rPr>
            </w:pPr>
          </w:p>
        </w:tc>
      </w:tr>
      <w:tr w14:paraId="569CB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14" w:type="dxa"/>
            <w:tcBorders>
              <w:top w:val="single" w:color="000000" w:sz="4" w:space="0"/>
              <w:left w:val="single" w:color="000000" w:sz="4" w:space="0"/>
              <w:bottom w:val="single" w:color="000000" w:sz="4" w:space="0"/>
              <w:right w:val="single" w:color="000000" w:sz="4" w:space="0"/>
            </w:tcBorders>
            <w:noWrap w:val="0"/>
            <w:vAlign w:val="center"/>
          </w:tcPr>
          <w:p w14:paraId="0591F8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12071" w:type="dxa"/>
            <w:gridSpan w:val="10"/>
            <w:tcBorders>
              <w:top w:val="single" w:color="000000" w:sz="4" w:space="0"/>
              <w:left w:val="single" w:color="000000" w:sz="4" w:space="0"/>
              <w:bottom w:val="single" w:color="000000" w:sz="4" w:space="0"/>
              <w:right w:val="single" w:color="000000" w:sz="4" w:space="0"/>
            </w:tcBorders>
            <w:noWrap w:val="0"/>
            <w:vAlign w:val="center"/>
          </w:tcPr>
          <w:p w14:paraId="78C5003A">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lang w:bidi="ar"/>
              </w:rPr>
              <w:t>项目总体执行良好。</w:t>
            </w:r>
          </w:p>
        </w:tc>
      </w:tr>
      <w:tr w14:paraId="0654B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14" w:type="dxa"/>
            <w:tcBorders>
              <w:top w:val="single" w:color="000000" w:sz="4" w:space="0"/>
              <w:left w:val="single" w:color="000000" w:sz="4" w:space="0"/>
              <w:bottom w:val="single" w:color="000000" w:sz="4" w:space="0"/>
              <w:right w:val="single" w:color="000000" w:sz="4" w:space="0"/>
            </w:tcBorders>
            <w:noWrap w:val="0"/>
            <w:vAlign w:val="center"/>
          </w:tcPr>
          <w:p w14:paraId="7CD601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12071" w:type="dxa"/>
            <w:gridSpan w:val="10"/>
            <w:tcBorders>
              <w:top w:val="single" w:color="000000" w:sz="4" w:space="0"/>
              <w:left w:val="single" w:color="000000" w:sz="4" w:space="0"/>
              <w:bottom w:val="single" w:color="000000" w:sz="4" w:space="0"/>
              <w:right w:val="single" w:color="000000" w:sz="4" w:space="0"/>
            </w:tcBorders>
            <w:noWrap w:val="0"/>
            <w:vAlign w:val="center"/>
          </w:tcPr>
          <w:p w14:paraId="4C6098FA">
            <w:pPr>
              <w:keepNext w:val="0"/>
              <w:keepLines w:val="0"/>
              <w:widowControl/>
              <w:suppressLineNumbers w:val="0"/>
              <w:jc w:val="left"/>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lang w:val="en-US" w:eastAsia="zh-CN" w:bidi="ar"/>
              </w:rPr>
              <w:t>无</w:t>
            </w:r>
          </w:p>
        </w:tc>
      </w:tr>
      <w:tr w14:paraId="7E58E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14" w:type="dxa"/>
            <w:tcBorders>
              <w:top w:val="single" w:color="000000" w:sz="4" w:space="0"/>
              <w:left w:val="single" w:color="000000" w:sz="4" w:space="0"/>
              <w:bottom w:val="single" w:color="000000" w:sz="4" w:space="0"/>
              <w:right w:val="single" w:color="000000" w:sz="4" w:space="0"/>
            </w:tcBorders>
            <w:noWrap w:val="0"/>
            <w:vAlign w:val="center"/>
          </w:tcPr>
          <w:p w14:paraId="718064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12071" w:type="dxa"/>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828C03">
            <w:pPr>
              <w:keepNext w:val="0"/>
              <w:keepLines w:val="0"/>
              <w:widowControl/>
              <w:suppressLineNumbers w:val="0"/>
              <w:jc w:val="left"/>
              <w:textAlignment w:val="center"/>
              <w:rPr>
                <w:rFonts w:hint="default" w:ascii="Times New Roman" w:hAnsi="Times New Roman" w:eastAsia="微软雅黑" w:cs="Times New Roman"/>
                <w:i w:val="0"/>
                <w:iCs w:val="0"/>
                <w:color w:val="000000"/>
                <w:kern w:val="2"/>
                <w:sz w:val="16"/>
                <w:szCs w:val="16"/>
                <w:u w:val="none"/>
                <w:lang w:val="en-US" w:eastAsia="zh-CN" w:bidi="ar-SA"/>
              </w:rPr>
            </w:pPr>
            <w:r>
              <w:rPr>
                <w:rFonts w:hint="default" w:ascii="Times New Roman" w:hAnsi="Times New Roman" w:eastAsia="微软雅黑" w:cs="Times New Roman"/>
                <w:i w:val="0"/>
                <w:iCs w:val="0"/>
                <w:color w:val="000000"/>
                <w:kern w:val="0"/>
                <w:sz w:val="16"/>
                <w:szCs w:val="16"/>
                <w:u w:val="none"/>
                <w:lang w:val="en-US" w:eastAsia="zh-CN" w:bidi="ar"/>
              </w:rPr>
              <w:t>无</w:t>
            </w:r>
          </w:p>
        </w:tc>
      </w:tr>
    </w:tbl>
    <w:p w14:paraId="0CA4C294">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u w:val="none"/>
          <w:lang w:val="en-US" w:eastAsia="zh-CN" w:bidi="ar"/>
        </w:rPr>
        <w:sectPr>
          <w:pgSz w:w="16838" w:h="11906" w:orient="landscape"/>
          <w:pgMar w:top="283" w:right="1440" w:bottom="0" w:left="1440" w:header="720" w:footer="720" w:gutter="0"/>
          <w:cols w:space="720" w:num="1"/>
          <w:docGrid w:type="lines" w:linePitch="312" w:charSpace="0"/>
        </w:sectPr>
      </w:pPr>
    </w:p>
    <w:p w14:paraId="635CD978">
      <w:pPr>
        <w:pStyle w:val="6"/>
        <w:spacing w:before="93"/>
        <w:rPr>
          <w:rFonts w:hint="default" w:ascii="Times New Roman" w:hAnsi="Times New Roman" w:eastAsia="黑体" w:cs="Times New Roman"/>
          <w:sz w:val="32"/>
          <w:szCs w:val="32"/>
          <w:shd w:val="clear" w:color="auto" w:fill="FFFFFF"/>
        </w:rPr>
      </w:pPr>
      <w:bookmarkStart w:id="58" w:name="_Toc15396618"/>
      <w:r>
        <w:rPr>
          <w:rFonts w:hint="default" w:ascii="Times New Roman" w:hAnsi="Times New Roman" w:eastAsia="黑体" w:cs="Times New Roman"/>
          <w:sz w:val="32"/>
          <w:szCs w:val="32"/>
          <w:shd w:val="clear" w:color="auto" w:fill="FFFFFF"/>
          <w:lang w:val="zh-CN"/>
        </w:rPr>
        <w:t>附件</w:t>
      </w:r>
      <w:r>
        <w:rPr>
          <w:rFonts w:hint="default" w:ascii="Times New Roman" w:hAnsi="Times New Roman" w:eastAsia="黑体" w:cs="Times New Roman"/>
          <w:sz w:val="32"/>
          <w:szCs w:val="32"/>
          <w:shd w:val="clear" w:color="auto" w:fill="FFFFFF"/>
        </w:rPr>
        <w:t>2</w:t>
      </w:r>
    </w:p>
    <w:p w14:paraId="675CB2CC">
      <w:pPr>
        <w:pStyle w:val="6"/>
        <w:spacing w:before="93"/>
        <w:rPr>
          <w:rFonts w:hint="default" w:ascii="Times New Roman" w:hAnsi="Times New Roman" w:eastAsia="黑体" w:cs="Times New Roman"/>
          <w:sz w:val="32"/>
          <w:szCs w:val="32"/>
          <w:shd w:val="clear" w:color="auto" w:fill="FFFFFF"/>
        </w:rPr>
      </w:pPr>
    </w:p>
    <w:p w14:paraId="5DB8DE80">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微软雅黑" w:cs="Times New Roman"/>
          <w:color w:val="auto"/>
          <w:kern w:val="2"/>
          <w:sz w:val="44"/>
          <w:szCs w:val="44"/>
          <w:highlight w:val="none"/>
          <w:lang w:val="en-US" w:eastAsia="zh-CN"/>
        </w:rPr>
      </w:pPr>
      <w:r>
        <w:rPr>
          <w:rFonts w:hint="default" w:ascii="Times New Roman" w:hAnsi="Times New Roman" w:eastAsia="微软雅黑" w:cs="Times New Roman"/>
          <w:color w:val="auto"/>
          <w:kern w:val="2"/>
          <w:sz w:val="44"/>
          <w:szCs w:val="44"/>
          <w:highlight w:val="none"/>
          <w:lang w:val="en-US" w:eastAsia="zh-CN"/>
        </w:rPr>
        <w:t>州直机关党员干部教育培训工作经费</w:t>
      </w:r>
      <w:r>
        <w:rPr>
          <w:rFonts w:hint="eastAsia" w:ascii="Times New Roman" w:hAnsi="Times New Roman" w:eastAsia="微软雅黑" w:cs="Times New Roman"/>
          <w:color w:val="auto"/>
          <w:kern w:val="2"/>
          <w:sz w:val="44"/>
          <w:szCs w:val="44"/>
          <w:highlight w:val="none"/>
          <w:lang w:val="en-US" w:eastAsia="zh-CN"/>
        </w:rPr>
        <w:t>专项</w:t>
      </w:r>
      <w:r>
        <w:rPr>
          <w:rFonts w:hint="default" w:ascii="Times New Roman" w:hAnsi="Times New Roman" w:eastAsia="微软雅黑" w:cs="Times New Roman"/>
          <w:color w:val="auto"/>
          <w:kern w:val="2"/>
          <w:sz w:val="44"/>
          <w:szCs w:val="44"/>
          <w:highlight w:val="none"/>
          <w:lang w:val="en-US" w:eastAsia="zh-CN"/>
        </w:rPr>
        <w:t>预算项目绩效评价报告</w:t>
      </w:r>
    </w:p>
    <w:p w14:paraId="3165F9D2">
      <w:pPr>
        <w:pStyle w:val="35"/>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hint="default" w:ascii="Times New Roman" w:hAnsi="Times New Roman" w:cs="Times New Roman"/>
          <w:color w:val="auto"/>
          <w:kern w:val="2"/>
          <w:sz w:val="32"/>
          <w:szCs w:val="32"/>
          <w:highlight w:val="none"/>
        </w:rPr>
      </w:pPr>
    </w:p>
    <w:p w14:paraId="683C4F7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sz w:val="32"/>
          <w:szCs w:val="32"/>
          <w:highlight w:val="none"/>
          <w:lang w:val="zh-CN"/>
        </w:rPr>
      </w:pPr>
      <w:r>
        <w:rPr>
          <w:rFonts w:hint="default" w:ascii="Times New Roman" w:hAnsi="Times New Roman" w:eastAsia="黑体" w:cs="Times New Roman"/>
          <w:sz w:val="32"/>
          <w:szCs w:val="32"/>
          <w:highlight w:val="none"/>
        </w:rPr>
        <w:t>一、</w:t>
      </w:r>
      <w:r>
        <w:rPr>
          <w:rFonts w:hint="default" w:ascii="Times New Roman" w:hAnsi="Times New Roman" w:eastAsia="黑体" w:cs="Times New Roman"/>
          <w:sz w:val="32"/>
          <w:szCs w:val="32"/>
          <w:highlight w:val="none"/>
          <w:lang w:val="zh-CN"/>
        </w:rPr>
        <w:t>项目概况</w:t>
      </w:r>
    </w:p>
    <w:p w14:paraId="3863ABA5">
      <w:pPr>
        <w:adjustRightInd w:val="0"/>
        <w:snapToGrid w:val="0"/>
        <w:spacing w:line="520" w:lineRule="exact"/>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color w:val="auto"/>
          <w:sz w:val="32"/>
          <w:szCs w:val="32"/>
          <w:highlight w:val="none"/>
          <w:u w:val="none"/>
          <w:lang w:val="zh-CN"/>
        </w:rPr>
        <w:t>（一）设立背景及基本情况。</w:t>
      </w:r>
      <w:r>
        <w:rPr>
          <w:rFonts w:hint="default" w:ascii="Times New Roman" w:hAnsi="Times New Roman" w:eastAsia="楷体_GB2312" w:cs="Times New Roman"/>
          <w:b/>
          <w:color w:val="auto"/>
          <w:sz w:val="32"/>
          <w:szCs w:val="32"/>
          <w:highlight w:val="none"/>
          <w:u w:val="none"/>
          <w:lang w:val="en-US" w:eastAsia="zh-CN"/>
        </w:rPr>
        <w:t>一是</w:t>
      </w:r>
      <w:r>
        <w:rPr>
          <w:rFonts w:hint="default" w:ascii="Times New Roman" w:hAnsi="Times New Roman" w:eastAsia="仿宋_GB2312" w:cs="Times New Roman"/>
          <w:b w:val="0"/>
          <w:bCs w:val="0"/>
          <w:color w:val="000000"/>
          <w:sz w:val="32"/>
          <w:szCs w:val="32"/>
          <w:lang w:val="en-US" w:eastAsia="zh-CN"/>
        </w:rPr>
        <w:t>根据州直机关工委部门“三定”方案规定，州直机关工委的职责有：</w:t>
      </w:r>
      <w:r>
        <w:rPr>
          <w:rFonts w:hint="default" w:ascii="Times New Roman" w:hAnsi="Times New Roman" w:eastAsia="仿宋_GB2312" w:cs="Times New Roman"/>
          <w:b w:val="0"/>
          <w:bCs w:val="0"/>
          <w:color w:val="000000"/>
          <w:sz w:val="32"/>
          <w:szCs w:val="32"/>
        </w:rPr>
        <w:t>指导州直机关党组织抓党员和干部的学习，组织实施机关党员、党务干部和入党积极分子的教育培训；领导州直机关统战、青、妇等群团组织的工作；指导州直机关各部门做好</w:t>
      </w:r>
      <w:r>
        <w:rPr>
          <w:rFonts w:hint="eastAsia" w:eastAsia="仿宋_GB2312" w:cs="Times New Roman"/>
          <w:b w:val="0"/>
          <w:bCs w:val="0"/>
          <w:color w:val="000000"/>
          <w:sz w:val="32"/>
          <w:szCs w:val="32"/>
          <w:lang w:eastAsia="zh-CN"/>
        </w:rPr>
        <w:t>思想政治工作</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楷体_GB2312" w:cs="Times New Roman"/>
          <w:b/>
          <w:color w:val="auto"/>
          <w:sz w:val="32"/>
          <w:szCs w:val="32"/>
          <w:highlight w:val="none"/>
          <w:u w:val="none"/>
          <w:lang w:val="en-US" w:eastAsia="zh-CN"/>
        </w:rPr>
        <w:t>二是</w:t>
      </w:r>
      <w:r>
        <w:rPr>
          <w:rFonts w:hint="default" w:ascii="Times New Roman" w:hAnsi="Times New Roman" w:eastAsia="仿宋_GB2312" w:cs="Times New Roman"/>
          <w:b w:val="0"/>
          <w:bCs w:val="0"/>
          <w:color w:val="000000"/>
          <w:sz w:val="32"/>
          <w:szCs w:val="32"/>
          <w:lang w:val="en-US" w:eastAsia="zh-CN"/>
        </w:rPr>
        <w:t>根据</w:t>
      </w:r>
      <w:r>
        <w:rPr>
          <w:rFonts w:hint="eastAsia" w:eastAsia="仿宋_GB2312" w:cs="Times New Roman"/>
          <w:b w:val="0"/>
          <w:bCs w:val="0"/>
          <w:color w:val="000000"/>
          <w:sz w:val="32"/>
          <w:szCs w:val="32"/>
          <w:lang w:val="en-US" w:eastAsia="zh-CN"/>
        </w:rPr>
        <w:t>《中国共产党支部工作条例（试行）》</w:t>
      </w:r>
      <w:r>
        <w:rPr>
          <w:rFonts w:hint="default" w:ascii="Times New Roman" w:hAnsi="Times New Roman" w:eastAsia="仿宋_GB2312" w:cs="Times New Roman"/>
          <w:b w:val="0"/>
          <w:bCs w:val="0"/>
          <w:color w:val="000000"/>
          <w:sz w:val="32"/>
          <w:szCs w:val="32"/>
          <w:lang w:val="en-US" w:eastAsia="zh-CN"/>
        </w:rPr>
        <w:t>关于第六章第25条“上级党组织应当经常对党支部书记、副书记和其他委员进行培训。党支部书记培训纳入党员、干部教育培训规划，对新任党支部书记应当进行任职培训</w:t>
      </w:r>
      <w:r>
        <w:rPr>
          <w:rFonts w:hint="eastAsia"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中国共产党发展党员工作细则》第三章第17条“第十七条基层党委或县级党委组织部门应当对发展对象进行短期集中培训。培训时间一般不少于三天（或不少于二十四个学时）”等规定要求，为进一步提升入党积极分子、党务干部、党组织书记和驻村干部等群体的政治理论水平</w:t>
      </w:r>
      <w:r>
        <w:rPr>
          <w:rFonts w:hint="default" w:ascii="Times New Roman" w:hAnsi="Times New Roman" w:cs="Times New Roman"/>
          <w:b w:val="0"/>
          <w:bCs w:val="0"/>
          <w:color w:val="000000"/>
          <w:sz w:val="32"/>
          <w:szCs w:val="32"/>
          <w:lang w:val="en-US" w:eastAsia="zh-CN"/>
        </w:rPr>
        <w:t>。</w:t>
      </w:r>
      <w:r>
        <w:rPr>
          <w:rFonts w:hint="default" w:ascii="Times New Roman" w:hAnsi="Times New Roman" w:eastAsia="楷体_GB2312" w:cs="Times New Roman"/>
          <w:b/>
          <w:color w:val="auto"/>
          <w:sz w:val="32"/>
          <w:szCs w:val="32"/>
          <w:highlight w:val="none"/>
          <w:u w:val="none"/>
          <w:lang w:val="en-US" w:eastAsia="zh-CN"/>
        </w:rPr>
        <w:t>三是</w:t>
      </w:r>
      <w:r>
        <w:rPr>
          <w:rFonts w:hint="default" w:ascii="Times New Roman" w:hAnsi="Times New Roman" w:eastAsia="仿宋_GB2312" w:cs="Times New Roman"/>
          <w:b w:val="0"/>
          <w:bCs w:val="0"/>
          <w:color w:val="000000"/>
          <w:sz w:val="32"/>
          <w:szCs w:val="32"/>
          <w:lang w:val="en-US" w:eastAsia="zh-CN"/>
        </w:rPr>
        <w:t>全面贯彻落实党的二十大对党风廉政建设的新要求，增强州直部门（单位）纪检干部综合素质，提升纪检业务技能和依规依纪依法履职能力。</w:t>
      </w:r>
      <w:r>
        <w:rPr>
          <w:rFonts w:hint="default" w:ascii="Times New Roman" w:hAnsi="Times New Roman" w:eastAsia="楷体_GB2312" w:cs="Times New Roman"/>
          <w:b/>
          <w:color w:val="auto"/>
          <w:sz w:val="32"/>
          <w:szCs w:val="32"/>
          <w:highlight w:val="none"/>
          <w:u w:val="none"/>
          <w:lang w:val="en-US" w:eastAsia="zh-CN"/>
        </w:rPr>
        <w:t>四是</w:t>
      </w:r>
      <w:r>
        <w:rPr>
          <w:rFonts w:hint="default" w:ascii="Times New Roman" w:hAnsi="Times New Roman" w:eastAsia="仿宋_GB2312" w:cs="Times New Roman"/>
          <w:sz w:val="32"/>
          <w:szCs w:val="32"/>
        </w:rPr>
        <w:t>根据州直机关工委部门“三定”方案规定，州直机关工委的职责有：指导州直机关党组织抓党员和干部的学习、指导州直机关各部门做好</w:t>
      </w:r>
      <w:r>
        <w:rPr>
          <w:rFonts w:hint="eastAsia" w:eastAsia="仿宋_GB2312" w:cs="Times New Roman"/>
          <w:sz w:val="32"/>
          <w:szCs w:val="32"/>
          <w:lang w:eastAsia="zh-CN"/>
        </w:rPr>
        <w:t>思想政治工作</w:t>
      </w:r>
      <w:r>
        <w:rPr>
          <w:rFonts w:hint="default" w:ascii="Times New Roman" w:hAnsi="Times New Roman" w:eastAsia="仿宋_GB2312" w:cs="Times New Roman"/>
          <w:sz w:val="32"/>
          <w:szCs w:val="32"/>
        </w:rPr>
        <w:t>等。对州直机关青年干部开展党的创新理论、党的二十大精神、机关党建工作等专题培训，切实提高政治判断力、政治领悟力、政治执行力。</w:t>
      </w:r>
      <w:r>
        <w:rPr>
          <w:rFonts w:hint="default" w:ascii="Times New Roman" w:hAnsi="Times New Roman" w:eastAsia="楷体_GB2312" w:cs="Times New Roman"/>
          <w:b/>
          <w:color w:val="auto"/>
          <w:sz w:val="32"/>
          <w:szCs w:val="32"/>
          <w:highlight w:val="none"/>
          <w:u w:val="none"/>
          <w:lang w:val="en-US" w:eastAsia="zh-CN"/>
        </w:rPr>
        <w:t>五是</w:t>
      </w:r>
      <w:r>
        <w:rPr>
          <w:rFonts w:hint="default" w:ascii="Times New Roman" w:hAnsi="Times New Roman" w:eastAsia="仿宋_GB2312" w:cs="Times New Roman"/>
          <w:sz w:val="32"/>
          <w:szCs w:val="32"/>
          <w:lang w:val="en-US" w:eastAsia="zh-CN"/>
        </w:rPr>
        <w:t>按照《四川省驻村第一书记和工作队管理办法》要求，州直机关工委对州级机关选派的驻村干部开展全覆盖、示范培训。</w:t>
      </w:r>
    </w:p>
    <w:p w14:paraId="32E10642">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default" w:ascii="Times New Roman" w:hAnsi="Times New Roman" w:eastAsia="仿宋_GB2312" w:cs="Times New Roman"/>
          <w:sz w:val="32"/>
          <w:szCs w:val="32"/>
          <w:lang w:val="en-US" w:eastAsia="zh-CN"/>
        </w:rPr>
        <w:t>举办党组织书记、党务干部、入党积极分子培训班、青年理论骨干“学用新思想”强化培训班、州直机关机关纪委书记和纪检委员培训班、驻村干部示范培训班、阿坝州第五届机关公文写作培训暨技能大赛各1期。</w:t>
      </w:r>
    </w:p>
    <w:p w14:paraId="3BF848D0">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r>
        <w:rPr>
          <w:rFonts w:hint="default" w:ascii="Times New Roman" w:hAnsi="Times New Roman" w:eastAsia="仿宋_GB2312" w:cs="Times New Roman"/>
          <w:sz w:val="32"/>
          <w:szCs w:val="32"/>
          <w:lang w:val="en-US" w:eastAsia="zh-CN"/>
        </w:rPr>
        <w:t>结合上年度工作开展情况，科学、合理编制预算，</w:t>
      </w:r>
      <w:r>
        <w:rPr>
          <w:rFonts w:hint="default" w:ascii="Times New Roman" w:hAnsi="Times New Roman" w:eastAsia="仿宋_GB2312" w:cs="Times New Roman"/>
          <w:sz w:val="32"/>
          <w:szCs w:val="32"/>
          <w:lang w:val="zh-CN" w:eastAsia="zh-CN"/>
        </w:rPr>
        <w:t>项目</w:t>
      </w:r>
      <w:r>
        <w:rPr>
          <w:rFonts w:hint="default" w:ascii="Times New Roman" w:hAnsi="Times New Roman" w:eastAsia="仿宋_GB2312" w:cs="Times New Roman"/>
          <w:sz w:val="32"/>
          <w:szCs w:val="32"/>
          <w:lang w:val="en-US" w:eastAsia="zh-CN"/>
        </w:rPr>
        <w:t>年初</w:t>
      </w:r>
      <w:r>
        <w:rPr>
          <w:rFonts w:hint="default" w:ascii="Times New Roman" w:hAnsi="Times New Roman" w:eastAsia="仿宋_GB2312" w:cs="Times New Roman"/>
          <w:sz w:val="32"/>
          <w:szCs w:val="32"/>
          <w:lang w:val="zh-CN" w:eastAsia="zh-CN"/>
        </w:rPr>
        <w:t>预算安排</w:t>
      </w:r>
      <w:r>
        <w:rPr>
          <w:rFonts w:hint="default" w:ascii="Times New Roman" w:hAnsi="Times New Roman" w:eastAsia="仿宋_GB2312" w:cs="Times New Roman"/>
          <w:sz w:val="32"/>
          <w:szCs w:val="32"/>
          <w:lang w:val="en-US" w:eastAsia="zh-CN"/>
        </w:rPr>
        <w:t>80万元，财政拨款80万元，已全部到位。该项目</w:t>
      </w:r>
      <w:r>
        <w:rPr>
          <w:rFonts w:hint="default" w:ascii="Times New Roman" w:hAnsi="Times New Roman" w:eastAsia="仿宋_GB2312" w:cs="Times New Roman"/>
          <w:sz w:val="32"/>
          <w:szCs w:val="32"/>
          <w:lang w:val="zh-CN" w:eastAsia="zh-CN"/>
        </w:rPr>
        <w:t>评价符合资金管理办法等相关规定。</w:t>
      </w:r>
    </w:p>
    <w:p w14:paraId="65D8DC89">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left"/>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eastAsia="zh-CN"/>
        </w:rPr>
        <w:t>（四）项目绩效目标设置。</w:t>
      </w:r>
      <w:r>
        <w:rPr>
          <w:rFonts w:hint="default" w:ascii="Times New Roman" w:hAnsi="Times New Roman" w:eastAsia="仿宋_GB2312" w:cs="Times New Roman"/>
          <w:sz w:val="32"/>
          <w:szCs w:val="32"/>
          <w:lang w:val="en-US" w:eastAsia="zh-CN"/>
        </w:rPr>
        <w:t>根据州直机关党员干部教育培训工作的实际情况设置绩效目标，设置了产出指标、效益指标、满意度指标、成本指标。</w:t>
      </w:r>
    </w:p>
    <w:p w14:paraId="39A61E9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default" w:ascii="Times New Roman" w:hAnsi="Times New Roman" w:cs="Times New Roman"/>
          <w:sz w:val="32"/>
          <w:szCs w:val="32"/>
          <w:lang w:eastAsia="zh-CN"/>
        </w:rPr>
      </w:pPr>
      <w:r>
        <w:rPr>
          <w:rFonts w:hint="default" w:ascii="Times New Roman" w:hAnsi="Times New Roman" w:eastAsia="黑体" w:cs="Times New Roman"/>
          <w:sz w:val="32"/>
          <w:szCs w:val="32"/>
          <w:highlight w:val="none"/>
        </w:rPr>
        <w:t>二、</w:t>
      </w:r>
      <w:r>
        <w:rPr>
          <w:rFonts w:hint="default" w:ascii="Times New Roman" w:hAnsi="Times New Roman" w:eastAsia="黑体" w:cs="Times New Roman"/>
          <w:sz w:val="32"/>
          <w:szCs w:val="32"/>
          <w:highlight w:val="none"/>
          <w:lang w:eastAsia="zh-CN"/>
        </w:rPr>
        <w:t>评价实施</w:t>
      </w:r>
    </w:p>
    <w:p w14:paraId="10F78AA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color w:val="auto"/>
          <w:sz w:val="32"/>
          <w:szCs w:val="32"/>
          <w:highlight w:val="none"/>
          <w:u w:val="none"/>
          <w:lang w:val="zh-CN"/>
        </w:rPr>
        <w:t>（一）评价目的。</w:t>
      </w:r>
      <w:r>
        <w:rPr>
          <w:rFonts w:hint="default" w:ascii="Times New Roman" w:hAnsi="Times New Roman" w:eastAsia="仿宋_GB2312" w:cs="Times New Roman"/>
          <w:sz w:val="32"/>
          <w:szCs w:val="32"/>
          <w:lang w:val="en-US" w:eastAsia="zh-CN"/>
        </w:rPr>
        <w:t>通过项目绩效自评严格</w:t>
      </w:r>
      <w:r>
        <w:rPr>
          <w:rFonts w:hint="eastAsia" w:eastAsia="仿宋_GB2312" w:cs="Times New Roman"/>
          <w:sz w:val="32"/>
          <w:szCs w:val="32"/>
          <w:lang w:val="en-US" w:eastAsia="zh-CN"/>
        </w:rPr>
        <w:t>落实中央八项规定</w:t>
      </w:r>
      <w:r>
        <w:rPr>
          <w:rFonts w:hint="default" w:ascii="Times New Roman" w:hAnsi="Times New Roman" w:eastAsia="仿宋_GB2312" w:cs="Times New Roman"/>
          <w:sz w:val="32"/>
          <w:szCs w:val="32"/>
          <w:lang w:val="en-US" w:eastAsia="zh-CN"/>
        </w:rPr>
        <w:t>精神，牢固树立“花钱必问效、无效必问责”的绩效理念，推动财政资金使用提质增效。</w:t>
      </w:r>
    </w:p>
    <w:p w14:paraId="07A8870B">
      <w:pPr>
        <w:snapToGrid w:val="0"/>
        <w:spacing w:line="560" w:lineRule="exact"/>
        <w:ind w:firstLine="643" w:firstLineChars="200"/>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rPr>
        <w:t>（二）预设问题及评价重点。</w:t>
      </w:r>
      <w:r>
        <w:rPr>
          <w:rFonts w:hint="default" w:ascii="Times New Roman" w:hAnsi="Times New Roman" w:eastAsia="仿宋_GB2312" w:cs="Times New Roman"/>
          <w:sz w:val="32"/>
          <w:szCs w:val="32"/>
          <w:lang w:val="en-US" w:eastAsia="zh-CN"/>
        </w:rPr>
        <w:t>通过项目绩效自评，统战群工工作经费</w:t>
      </w:r>
      <w:r>
        <w:rPr>
          <w:rFonts w:hint="default" w:ascii="Times New Roman" w:hAnsi="Times New Roman" w:eastAsia="仿宋_GB2312" w:cs="Times New Roman"/>
          <w:sz w:val="32"/>
          <w:szCs w:val="32"/>
          <w:lang w:val="zh-CN" w:eastAsia="zh-CN"/>
        </w:rPr>
        <w:t>项目资金的实际支出情况，资金开支范围、标准及支付进度、</w:t>
      </w:r>
      <w:r>
        <w:rPr>
          <w:rFonts w:hint="default" w:ascii="Times New Roman" w:hAnsi="Times New Roman" w:eastAsia="仿宋_GB2312" w:cs="Times New Roman"/>
          <w:sz w:val="32"/>
          <w:szCs w:val="32"/>
          <w:lang w:val="en-US" w:eastAsia="zh-CN"/>
        </w:rPr>
        <w:t>支付依据等</w:t>
      </w:r>
      <w:r>
        <w:rPr>
          <w:rFonts w:hint="default" w:ascii="Times New Roman" w:hAnsi="Times New Roman" w:eastAsia="仿宋_GB2312" w:cs="Times New Roman"/>
          <w:sz w:val="32"/>
          <w:szCs w:val="32"/>
          <w:lang w:val="zh-CN" w:eastAsia="zh-CN"/>
        </w:rPr>
        <w:t>合规合法，资金支付与预算相符，并对相关问题进行说明。</w:t>
      </w:r>
      <w:r>
        <w:rPr>
          <w:rFonts w:hint="default" w:ascii="Times New Roman" w:hAnsi="Times New Roman" w:eastAsia="仿宋_GB2312" w:cs="Times New Roman"/>
          <w:sz w:val="32"/>
          <w:szCs w:val="32"/>
          <w:lang w:val="en-US" w:eastAsia="zh-CN"/>
        </w:rPr>
        <w:t>按照工作重点，结合经费预算情况，建立项目执行责任制，将项目支出责任逐一分解落实到具体执行科室和责任人。</w:t>
      </w:r>
    </w:p>
    <w:p w14:paraId="55BA7D86">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rPr>
        <w:t>（三）评价选点。</w:t>
      </w:r>
      <w:r>
        <w:rPr>
          <w:rFonts w:hint="default" w:ascii="Times New Roman" w:hAnsi="Times New Roman" w:eastAsia="仿宋_GB2312" w:cs="Times New Roman"/>
          <w:sz w:val="32"/>
          <w:szCs w:val="32"/>
          <w:lang w:val="en-US" w:eastAsia="zh-CN"/>
        </w:rPr>
        <w:t>按照全面实施预算绩效管理的要求部署，对工委项目全覆盖开展了</w:t>
      </w:r>
      <w:r>
        <w:rPr>
          <w:rFonts w:hint="default" w:ascii="Times New Roman" w:hAnsi="Times New Roman" w:eastAsia="仿宋_GB2312" w:cs="Times New Roman"/>
          <w:sz w:val="32"/>
          <w:szCs w:val="32"/>
          <w:lang w:val="zh-CN" w:eastAsia="zh-CN"/>
        </w:rPr>
        <w:t>项目绩效自评。</w:t>
      </w:r>
    </w:p>
    <w:p w14:paraId="6CE19FB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Cs w:val="32"/>
          <w:lang w:val="en-US" w:eastAsia="zh-CN"/>
        </w:rPr>
      </w:pPr>
      <w:r>
        <w:rPr>
          <w:rFonts w:hint="default" w:ascii="Times New Roman" w:hAnsi="Times New Roman" w:eastAsia="楷体_GB2312" w:cs="Times New Roman"/>
          <w:b/>
          <w:color w:val="auto"/>
          <w:sz w:val="32"/>
          <w:szCs w:val="32"/>
          <w:highlight w:val="none"/>
          <w:u w:val="none"/>
          <w:lang w:val="zh-CN"/>
        </w:rPr>
        <w:t>（四）评价方法。</w:t>
      </w:r>
      <w:r>
        <w:rPr>
          <w:rFonts w:hint="default" w:ascii="Times New Roman" w:hAnsi="Times New Roman" w:eastAsia="仿宋_GB2312" w:cs="Times New Roman"/>
          <w:sz w:val="32"/>
          <w:szCs w:val="32"/>
          <w:lang w:val="en-US" w:eastAsia="zh-CN"/>
        </w:rPr>
        <w:t>根据项目情况和评价重点，采取单位自评的方式。</w:t>
      </w:r>
    </w:p>
    <w:p w14:paraId="73CEA5F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color w:val="auto"/>
          <w:sz w:val="32"/>
          <w:szCs w:val="32"/>
          <w:highlight w:val="none"/>
          <w:u w:val="none"/>
          <w:lang w:val="zh-CN"/>
        </w:rPr>
        <w:t>（五）评价组织。</w:t>
      </w:r>
      <w:r>
        <w:rPr>
          <w:rFonts w:hint="default" w:ascii="Times New Roman" w:hAnsi="Times New Roman" w:eastAsia="仿宋_GB2312" w:cs="Times New Roman"/>
          <w:sz w:val="32"/>
          <w:szCs w:val="32"/>
          <w:lang w:val="en-US" w:eastAsia="zh-CN"/>
        </w:rPr>
        <w:t>评价组人员由各分管领导及承办业务各科室负责人组成，对举办培训经费的使用进行分析、总结，并对2024年该项目的实施进行统筹。</w:t>
      </w:r>
    </w:p>
    <w:p w14:paraId="11C0CCBC">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三、</w:t>
      </w:r>
      <w:r>
        <w:rPr>
          <w:rFonts w:hint="default" w:ascii="Times New Roman" w:hAnsi="Times New Roman" w:eastAsia="黑体" w:cs="Times New Roman"/>
          <w:color w:val="auto"/>
          <w:sz w:val="32"/>
          <w:szCs w:val="32"/>
          <w:highlight w:val="none"/>
          <w:u w:val="none"/>
          <w:lang w:eastAsia="zh-CN"/>
        </w:rPr>
        <w:t>绩效分析</w:t>
      </w:r>
      <w:r>
        <w:rPr>
          <w:rFonts w:hint="default" w:ascii="Times New Roman" w:hAnsi="Times New Roman" w:cs="Times New Roman"/>
          <w:color w:val="auto"/>
          <w:sz w:val="32"/>
          <w:szCs w:val="32"/>
          <w:highlight w:val="none"/>
          <w:u w:val="none"/>
          <w:lang w:val="zh-CN"/>
        </w:rPr>
        <w:tab/>
      </w:r>
    </w:p>
    <w:p w14:paraId="4632072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根据项目预算绩效评价指标体系“通用指标”“专用指标”“个性指标”涉及二、三级指标进行逐项绩效分析并评分</w:t>
      </w:r>
      <w:r>
        <w:rPr>
          <w:rFonts w:hint="default" w:ascii="Times New Roman" w:hAnsi="Times New Roman" w:eastAsia="仿宋_GB2312" w:cs="Times New Roman"/>
          <w:sz w:val="32"/>
          <w:szCs w:val="32"/>
          <w:lang w:val="en-US" w:eastAsia="zh-CN"/>
        </w:rPr>
        <w:t>。</w:t>
      </w:r>
    </w:p>
    <w:p w14:paraId="26122209">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rPr>
        <w:t>（一）</w:t>
      </w:r>
      <w:r>
        <w:rPr>
          <w:rFonts w:hint="default"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color w:val="auto"/>
          <w:sz w:val="32"/>
          <w:szCs w:val="32"/>
          <w:highlight w:val="none"/>
          <w:u w:val="none"/>
          <w:lang w:val="zh-CN" w:eastAsia="zh-CN"/>
        </w:rPr>
        <w:t>绩效分析。</w:t>
      </w:r>
    </w:p>
    <w:p w14:paraId="6FDB2E1D">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color w:val="auto"/>
          <w:sz w:val="32"/>
          <w:szCs w:val="32"/>
          <w:lang w:val="en-US" w:eastAsia="zh-CN"/>
        </w:rPr>
        <w:t>1.</w:t>
      </w:r>
      <w:r>
        <w:rPr>
          <w:rFonts w:hint="default" w:ascii="Times New Roman" w:hAnsi="Times New Roman" w:eastAsia="楷体_GB2312" w:cs="Times New Roman"/>
          <w:color w:val="auto"/>
          <w:sz w:val="32"/>
          <w:szCs w:val="32"/>
          <w:lang w:eastAsia="zh-CN"/>
        </w:rPr>
        <w:t>项目决策。</w:t>
      </w:r>
      <w:r>
        <w:rPr>
          <w:rFonts w:hint="default" w:ascii="Times New Roman" w:hAnsi="Times New Roman" w:eastAsia="仿宋_GB2312" w:cs="Times New Roman"/>
          <w:sz w:val="32"/>
          <w:szCs w:val="32"/>
          <w:lang w:val="en-US" w:eastAsia="zh-CN"/>
        </w:rPr>
        <w:t>州直机关党员干部教育培训工作按照工委职能职责指导州直机关群团围绕州委、州政府中心工作开展工作，该项目是长期项目。</w:t>
      </w:r>
    </w:p>
    <w:p w14:paraId="4FE7FB7F">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color w:val="auto"/>
          <w:sz w:val="32"/>
          <w:szCs w:val="32"/>
          <w:lang w:val="en-US" w:eastAsia="zh-CN"/>
        </w:rPr>
        <w:t>2.项目管理。</w:t>
      </w:r>
      <w:r>
        <w:rPr>
          <w:rFonts w:hint="default" w:ascii="Times New Roman" w:hAnsi="Times New Roman" w:eastAsia="仿宋_GB2312" w:cs="Times New Roman"/>
          <w:sz w:val="32"/>
          <w:szCs w:val="32"/>
          <w:lang w:val="zh-CN" w:eastAsia="zh-CN"/>
        </w:rPr>
        <w:t>项目执行中涉及的差旅费严格按照差旅费管理办法报销；</w:t>
      </w:r>
      <w:r>
        <w:rPr>
          <w:rFonts w:hint="default" w:ascii="Times New Roman" w:hAnsi="Times New Roman" w:eastAsia="仿宋_GB2312" w:cs="Times New Roman"/>
          <w:sz w:val="32"/>
          <w:szCs w:val="32"/>
          <w:lang w:val="en-US" w:eastAsia="zh-CN"/>
        </w:rPr>
        <w:t>劳务费严格执行专家劳务费标准；</w:t>
      </w:r>
      <w:r>
        <w:rPr>
          <w:rFonts w:hint="eastAsia" w:eastAsia="仿宋_GB2312" w:cs="Times New Roman"/>
          <w:sz w:val="32"/>
          <w:szCs w:val="32"/>
          <w:lang w:val="en-US" w:eastAsia="zh-CN"/>
        </w:rPr>
        <w:t>会议费</w:t>
      </w:r>
      <w:r>
        <w:rPr>
          <w:rFonts w:hint="default" w:ascii="Times New Roman" w:hAnsi="Times New Roman" w:eastAsia="仿宋_GB2312" w:cs="Times New Roman"/>
          <w:sz w:val="32"/>
          <w:szCs w:val="32"/>
          <w:lang w:val="en-US" w:eastAsia="zh-CN"/>
        </w:rPr>
        <w:t>严格按照《阿坝州州直机关会议费管理办法》报销。同时，</w:t>
      </w:r>
      <w:r>
        <w:rPr>
          <w:rFonts w:hint="default" w:ascii="Times New Roman" w:hAnsi="Times New Roman" w:eastAsia="仿宋_GB2312" w:cs="Times New Roman"/>
          <w:sz w:val="32"/>
          <w:szCs w:val="32"/>
          <w:lang w:val="zh-CN" w:eastAsia="zh-CN"/>
        </w:rPr>
        <w:t>资金的预算、申请、支付及账务处理等过程透明化，促进廉政建设，并提升资金使用效益。</w:t>
      </w:r>
    </w:p>
    <w:p w14:paraId="2F814D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color w:val="auto"/>
          <w:sz w:val="32"/>
          <w:szCs w:val="32"/>
          <w:lang w:val="en-US" w:eastAsia="zh-CN"/>
        </w:rPr>
        <w:t>3.项目实施</w:t>
      </w:r>
      <w:r>
        <w:rPr>
          <w:rFonts w:hint="default" w:ascii="Times New Roman" w:hAnsi="Times New Roman" w:eastAsia="楷体_GB2312" w:cs="Times New Roman"/>
          <w:color w:val="auto"/>
          <w:szCs w:val="32"/>
          <w:lang w:val="en-US" w:eastAsia="zh-CN"/>
        </w:rPr>
        <w:t>。</w:t>
      </w:r>
      <w:r>
        <w:rPr>
          <w:rFonts w:hint="default" w:ascii="Times New Roman" w:hAnsi="Times New Roman" w:eastAsia="仿宋_GB2312" w:cs="Times New Roman"/>
          <w:sz w:val="32"/>
          <w:szCs w:val="32"/>
          <w:lang w:val="en-US" w:eastAsia="zh-CN"/>
        </w:rPr>
        <w:t>该</w:t>
      </w:r>
      <w:r>
        <w:rPr>
          <w:rFonts w:hint="default" w:ascii="Times New Roman" w:hAnsi="Times New Roman" w:eastAsia="仿宋_GB2312" w:cs="Times New Roman"/>
          <w:sz w:val="32"/>
          <w:szCs w:val="32"/>
          <w:lang w:val="zh-CN" w:eastAsia="zh-CN"/>
        </w:rPr>
        <w:t>项目由</w:t>
      </w:r>
      <w:r>
        <w:rPr>
          <w:rFonts w:hint="default" w:ascii="Times New Roman" w:hAnsi="Times New Roman" w:eastAsia="仿宋_GB2312" w:cs="Times New Roman"/>
          <w:sz w:val="32"/>
          <w:szCs w:val="32"/>
          <w:lang w:val="en-US" w:eastAsia="zh-CN"/>
        </w:rPr>
        <w:t>各科室</w:t>
      </w:r>
      <w:r>
        <w:rPr>
          <w:rFonts w:hint="default" w:ascii="Times New Roman" w:hAnsi="Times New Roman" w:eastAsia="仿宋_GB2312" w:cs="Times New Roman"/>
          <w:sz w:val="32"/>
          <w:szCs w:val="32"/>
          <w:lang w:val="zh-CN" w:eastAsia="zh-CN"/>
        </w:rPr>
        <w:t>牵头并负责按实施方案实施，办公室负责项目资金管理，</w:t>
      </w:r>
      <w:r>
        <w:rPr>
          <w:rFonts w:hint="default" w:ascii="Times New Roman" w:hAnsi="Times New Roman" w:eastAsia="仿宋_GB2312" w:cs="Times New Roman"/>
          <w:sz w:val="32"/>
          <w:szCs w:val="32"/>
          <w:lang w:val="en-US" w:eastAsia="zh-CN"/>
        </w:rPr>
        <w:t>其他科室</w:t>
      </w:r>
      <w:r>
        <w:rPr>
          <w:rFonts w:hint="default" w:ascii="Times New Roman" w:hAnsi="Times New Roman" w:eastAsia="仿宋_GB2312" w:cs="Times New Roman"/>
          <w:sz w:val="32"/>
          <w:szCs w:val="32"/>
          <w:lang w:val="zh-CN" w:eastAsia="zh-CN"/>
        </w:rPr>
        <w:t>积极</w:t>
      </w:r>
      <w:r>
        <w:rPr>
          <w:rFonts w:hint="default" w:ascii="Times New Roman" w:hAnsi="Times New Roman" w:eastAsia="仿宋_GB2312" w:cs="Times New Roman"/>
          <w:sz w:val="32"/>
          <w:szCs w:val="32"/>
          <w:lang w:val="en-US" w:eastAsia="zh-CN"/>
        </w:rPr>
        <w:t>协助</w:t>
      </w:r>
      <w:r>
        <w:rPr>
          <w:rFonts w:hint="default" w:ascii="Times New Roman" w:hAnsi="Times New Roman" w:eastAsia="仿宋_GB2312" w:cs="Times New Roman"/>
          <w:sz w:val="32"/>
          <w:szCs w:val="32"/>
          <w:lang w:val="zh-CN" w:eastAsia="zh-CN"/>
        </w:rPr>
        <w:t>，形成领导重视、各科室联动共同促进项目执行的良好格局。</w:t>
      </w:r>
    </w:p>
    <w:p w14:paraId="30105299">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color w:val="auto"/>
          <w:sz w:val="32"/>
          <w:szCs w:val="32"/>
          <w:lang w:val="en-US" w:eastAsia="zh-CN"/>
        </w:rPr>
        <w:t>4.项目结果。</w:t>
      </w:r>
      <w:r>
        <w:rPr>
          <w:rFonts w:hint="default" w:ascii="Times New Roman" w:hAnsi="Times New Roman" w:eastAsia="仿宋_GB2312" w:cs="Times New Roman"/>
          <w:sz w:val="32"/>
          <w:szCs w:val="32"/>
          <w:lang w:val="en-US" w:eastAsia="zh-CN"/>
        </w:rPr>
        <w:t>一是扎实开展党纪学习教育。指导95个州直部门（单位）开展党纪学习教育，引导党员干部学纪、知纪、明纪、守纪。为6400余名机关党员发放《中国共产党纪律处分条例》，举办州直机关纪检干部综合业务提升培训班，对50名州直机关纪委书记、纪委委员“赋能充电”，组织95个州直机关企事业单位县处级及以上党员领导干部开展网络学习。二是坚持不懈用习近平新时代中国特色社会主义思想凝心铸魂。分层分类举办党组织书记、党务干部、入党积极分子、青年理论骨干、驻村干部等示范培训班6期、培训412人次，指导州直各部门做好全员培训，为奋力建设民族地区高质量发展阿坝典范积蓄思想动能。三是举办第五届机关公文写作培训暨技能大赛。采取“先学习+后竞赛”的方式，组织82个州级部门、13县（市）共95名选手以赛促学、以赛提能，搭建了青年党员干部锤炼本领、展示风采的平台。</w:t>
      </w:r>
    </w:p>
    <w:p w14:paraId="4754701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default" w:ascii="Times New Roman" w:hAnsi="Times New Roman" w:eastAsia="楷体_GB2312" w:cs="Times New Roman"/>
          <w:color w:val="auto"/>
          <w:szCs w:val="32"/>
          <w:lang w:val="zh-CN"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color w:val="auto"/>
          <w:sz w:val="32"/>
          <w:szCs w:val="32"/>
          <w:highlight w:val="none"/>
          <w:u w:val="none"/>
          <w:lang w:val="zh-CN" w:eastAsia="zh-CN"/>
        </w:rPr>
        <w:t>绩效分析。</w:t>
      </w:r>
    </w:p>
    <w:p w14:paraId="531B0FD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我委未设定专用指标</w:t>
      </w:r>
      <w:r>
        <w:rPr>
          <w:rFonts w:hint="default" w:ascii="Times New Roman" w:hAnsi="Times New Roman" w:eastAsia="仿宋_GB2312" w:cs="Times New Roman"/>
          <w:sz w:val="32"/>
          <w:szCs w:val="32"/>
          <w:lang w:val="zh-CN" w:eastAsia="zh-CN"/>
        </w:rPr>
        <w:t>。</w:t>
      </w:r>
    </w:p>
    <w:p w14:paraId="3F51D06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color w:val="auto"/>
          <w:sz w:val="32"/>
          <w:szCs w:val="32"/>
          <w:highlight w:val="none"/>
          <w:u w:val="none"/>
          <w:lang w:val="en-US" w:eastAsia="zh-CN"/>
        </w:rPr>
        <w:t>（三）个性指标</w:t>
      </w:r>
      <w:r>
        <w:rPr>
          <w:rFonts w:hint="default" w:ascii="Times New Roman" w:hAnsi="Times New Roman" w:eastAsia="楷体_GB2312" w:cs="Times New Roman"/>
          <w:b/>
          <w:bCs/>
          <w:color w:val="000000"/>
          <w:kern w:val="0"/>
          <w:szCs w:val="32"/>
          <w:highlight w:val="none"/>
          <w:shd w:val="clear" w:color="auto" w:fill="FFFFFF"/>
          <w:lang w:val="zh-CN"/>
        </w:rPr>
        <w:t>绩效分析。</w:t>
      </w:r>
    </w:p>
    <w:p w14:paraId="2089019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我委未设定个性指标。</w:t>
      </w:r>
    </w:p>
    <w:p w14:paraId="66C8157F">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四</w:t>
      </w:r>
      <w:r>
        <w:rPr>
          <w:rFonts w:hint="default" w:ascii="Times New Roman" w:hAnsi="Times New Roman" w:eastAsia="黑体" w:cs="Times New Roman"/>
          <w:color w:val="auto"/>
          <w:sz w:val="32"/>
          <w:szCs w:val="32"/>
          <w:highlight w:val="none"/>
          <w:u w:val="none"/>
        </w:rPr>
        <w:t>、评价结论</w:t>
      </w:r>
    </w:p>
    <w:p w14:paraId="1EF3ABDE">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该项目具有</w:t>
      </w:r>
      <w:r>
        <w:rPr>
          <w:rFonts w:hint="default" w:ascii="Times New Roman" w:hAnsi="Times New Roman" w:eastAsia="仿宋_GB2312" w:cs="Times New Roman"/>
          <w:kern w:val="2"/>
          <w:sz w:val="32"/>
          <w:szCs w:val="32"/>
          <w:lang w:val="en-US" w:eastAsia="zh-CN" w:bidi="ar-SA"/>
        </w:rPr>
        <w:t>明确</w:t>
      </w:r>
      <w:r>
        <w:rPr>
          <w:rFonts w:hint="default" w:ascii="Times New Roman" w:hAnsi="Times New Roman" w:eastAsia="仿宋_GB2312" w:cs="Times New Roman"/>
          <w:b w:val="0"/>
          <w:bCs w:val="0"/>
          <w:kern w:val="0"/>
          <w:position w:val="0"/>
          <w:sz w:val="32"/>
          <w:szCs w:val="32"/>
          <w:highlight w:val="none"/>
          <w:lang w:val="en-US" w:eastAsia="zh-CN" w:bidi="ar-SA"/>
        </w:rPr>
        <w:t>的目标，项目实施过程中严格按照州</w:t>
      </w:r>
      <w:r>
        <w:rPr>
          <w:rFonts w:hint="eastAsia" w:ascii="Times New Roman" w:cs="Times New Roman"/>
          <w:b w:val="0"/>
          <w:bCs w:val="0"/>
          <w:kern w:val="0"/>
          <w:position w:val="0"/>
          <w:sz w:val="32"/>
          <w:szCs w:val="32"/>
          <w:highlight w:val="none"/>
          <w:lang w:val="en-US" w:eastAsia="zh-CN" w:bidi="ar-SA"/>
        </w:rPr>
        <w:t>财政</w:t>
      </w:r>
      <w:r>
        <w:rPr>
          <w:rFonts w:hint="default" w:ascii="Times New Roman" w:hAnsi="Times New Roman" w:eastAsia="仿宋_GB2312" w:cs="Times New Roman"/>
          <w:b w:val="0"/>
          <w:bCs w:val="0"/>
          <w:kern w:val="0"/>
          <w:position w:val="0"/>
          <w:sz w:val="32"/>
          <w:szCs w:val="32"/>
          <w:highlight w:val="none"/>
          <w:lang w:val="en-US" w:eastAsia="zh-CN" w:bidi="ar-SA"/>
        </w:rPr>
        <w:t>局有关经费管理规定执行，资金到位及时，使用</w:t>
      </w:r>
      <w:r>
        <w:rPr>
          <w:rFonts w:hint="eastAsia" w:ascii="Times New Roman" w:cs="Times New Roman"/>
          <w:b w:val="0"/>
          <w:bCs w:val="0"/>
          <w:kern w:val="0"/>
          <w:position w:val="0"/>
          <w:sz w:val="32"/>
          <w:szCs w:val="32"/>
          <w:highlight w:val="none"/>
          <w:lang w:val="en-US" w:eastAsia="zh-CN" w:bidi="ar-SA"/>
        </w:rPr>
        <w:t>得当</w:t>
      </w:r>
      <w:r>
        <w:rPr>
          <w:rFonts w:hint="default" w:ascii="Times New Roman" w:hAnsi="Times New Roman" w:eastAsia="仿宋_GB2312" w:cs="Times New Roman"/>
          <w:b w:val="0"/>
          <w:bCs w:val="0"/>
          <w:kern w:val="0"/>
          <w:position w:val="0"/>
          <w:sz w:val="32"/>
          <w:szCs w:val="32"/>
          <w:highlight w:val="none"/>
          <w:lang w:val="en-US" w:eastAsia="zh-CN" w:bidi="ar-SA"/>
        </w:rPr>
        <w:t>，项目实施进展顺利，</w:t>
      </w:r>
      <w:r>
        <w:rPr>
          <w:rFonts w:hint="default" w:ascii="Times New Roman" w:hAnsi="Times New Roman" w:eastAsia="仿宋_GB2312" w:cs="Times New Roman"/>
          <w:b w:val="0"/>
          <w:bCs w:val="0"/>
          <w:color w:val="000000"/>
          <w:sz w:val="32"/>
          <w:szCs w:val="32"/>
          <w:lang w:val="en-US" w:eastAsia="zh-CN"/>
        </w:rPr>
        <w:t>进一步提升入党积极分子、党务干部、党组织书记和驻村干部等群体的政治理论水平</w:t>
      </w:r>
      <w:r>
        <w:rPr>
          <w:rFonts w:hint="default" w:ascii="Times New Roman" w:hAnsi="Times New Roman" w:eastAsia="仿宋_GB2312" w:cs="Times New Roman"/>
          <w:b w:val="0"/>
          <w:bCs w:val="0"/>
          <w:kern w:val="0"/>
          <w:position w:val="0"/>
          <w:sz w:val="32"/>
          <w:szCs w:val="32"/>
          <w:highlight w:val="none"/>
          <w:lang w:val="en-US" w:eastAsia="zh-CN" w:bidi="ar-SA"/>
        </w:rPr>
        <w:t>，自评得分100分，得分情况见附表。</w:t>
      </w:r>
    </w:p>
    <w:p w14:paraId="69B4FF18">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五、存在主要问题</w:t>
      </w:r>
    </w:p>
    <w:p w14:paraId="23498D3E">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无</w:t>
      </w:r>
    </w:p>
    <w:p w14:paraId="7125DEDD">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color w:val="auto"/>
          <w:kern w:val="0"/>
          <w:position w:val="3"/>
          <w:sz w:val="32"/>
          <w:szCs w:val="32"/>
          <w:highlight w:val="none"/>
          <w:u w:val="none"/>
          <w:lang w:val="zh-CN" w:eastAsia="zh-CN" w:bidi="ar-SA"/>
        </w:rPr>
      </w:pPr>
      <w:r>
        <w:rPr>
          <w:rFonts w:hint="default" w:ascii="Times New Roman" w:hAnsi="Times New Roman" w:eastAsia="黑体" w:cs="Times New Roman"/>
          <w:color w:val="auto"/>
          <w:kern w:val="0"/>
          <w:position w:val="3"/>
          <w:sz w:val="32"/>
          <w:szCs w:val="32"/>
          <w:highlight w:val="none"/>
          <w:u w:val="none"/>
          <w:lang w:val="zh-CN" w:eastAsia="zh-CN" w:bidi="ar-SA"/>
        </w:rPr>
        <w:t>六、改进建议</w:t>
      </w:r>
    </w:p>
    <w:p w14:paraId="62B65B7B">
      <w:pPr>
        <w:tabs>
          <w:tab w:val="left" w:pos="1911"/>
        </w:tabs>
        <w:jc w:val="left"/>
        <w:rPr>
          <w:rFonts w:hint="default" w:ascii="Times New Roman" w:hAnsi="Times New Roman" w:cs="Times New Roman"/>
          <w:color w:val="000000"/>
          <w:kern w:val="0"/>
          <w:szCs w:val="32"/>
          <w:highlight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 xml:space="preserve"> </w:t>
      </w:r>
      <w:r>
        <w:rPr>
          <w:rFonts w:hint="default" w:ascii="Times New Roman" w:hAnsi="Times New Roman" w:cs="Times New Roman"/>
          <w:b w:val="0"/>
          <w:bCs w:val="0"/>
          <w:kern w:val="0"/>
          <w:position w:val="0"/>
          <w:sz w:val="32"/>
          <w:szCs w:val="32"/>
          <w:highlight w:val="none"/>
          <w:lang w:val="en-US" w:eastAsia="zh-CN" w:bidi="ar-SA"/>
        </w:rPr>
        <w:t xml:space="preserve">   无</w:t>
      </w:r>
    </w:p>
    <w:p w14:paraId="07807099">
      <w:pPr>
        <w:spacing w:line="578" w:lineRule="exact"/>
        <w:rPr>
          <w:rFonts w:hint="default" w:ascii="Times New Roman" w:hAnsi="Times New Roman" w:eastAsia="仿宋_GB2312" w:cs="Times New Roman"/>
          <w:kern w:val="0"/>
          <w:sz w:val="32"/>
          <w:szCs w:val="32"/>
        </w:rPr>
      </w:pPr>
    </w:p>
    <w:p w14:paraId="7C378F27">
      <w:pPr>
        <w:pStyle w:val="2"/>
        <w:rPr>
          <w:rFonts w:hint="default" w:ascii="Times New Roman" w:hAnsi="Times New Roman" w:eastAsia="仿宋_GB2312" w:cs="Times New Roman"/>
          <w:kern w:val="0"/>
          <w:sz w:val="32"/>
          <w:szCs w:val="32"/>
        </w:rPr>
      </w:pPr>
    </w:p>
    <w:p w14:paraId="0927ACE0">
      <w:pPr>
        <w:rPr>
          <w:rFonts w:hint="default" w:ascii="Times New Roman" w:hAnsi="Times New Roman" w:eastAsia="仿宋_GB2312" w:cs="Times New Roman"/>
          <w:kern w:val="0"/>
          <w:sz w:val="32"/>
          <w:szCs w:val="32"/>
        </w:rPr>
      </w:pPr>
    </w:p>
    <w:p w14:paraId="629F6286">
      <w:pPr>
        <w:pStyle w:val="2"/>
        <w:rPr>
          <w:rFonts w:hint="default" w:ascii="Times New Roman" w:hAnsi="Times New Roman" w:eastAsia="仿宋_GB2312" w:cs="Times New Roman"/>
          <w:kern w:val="0"/>
          <w:sz w:val="32"/>
          <w:szCs w:val="32"/>
        </w:rPr>
      </w:pPr>
    </w:p>
    <w:p w14:paraId="68F8F45E">
      <w:pPr>
        <w:rPr>
          <w:rFonts w:hint="default" w:ascii="Times New Roman" w:hAnsi="Times New Roman" w:eastAsia="仿宋_GB2312" w:cs="Times New Roman"/>
          <w:kern w:val="0"/>
          <w:sz w:val="32"/>
          <w:szCs w:val="32"/>
        </w:rPr>
      </w:pPr>
    </w:p>
    <w:p w14:paraId="66693BE2">
      <w:pPr>
        <w:pStyle w:val="2"/>
        <w:rPr>
          <w:rFonts w:hint="default" w:ascii="Times New Roman" w:hAnsi="Times New Roman" w:eastAsia="仿宋_GB2312" w:cs="Times New Roman"/>
          <w:kern w:val="0"/>
          <w:sz w:val="32"/>
          <w:szCs w:val="32"/>
        </w:rPr>
      </w:pPr>
    </w:p>
    <w:p w14:paraId="2CF1FB74">
      <w:pPr>
        <w:rPr>
          <w:rFonts w:hint="default" w:ascii="Times New Roman" w:hAnsi="Times New Roman" w:eastAsia="仿宋_GB2312" w:cs="Times New Roman"/>
          <w:kern w:val="0"/>
          <w:sz w:val="32"/>
          <w:szCs w:val="32"/>
        </w:rPr>
      </w:pPr>
    </w:p>
    <w:p w14:paraId="2112A4E9">
      <w:pPr>
        <w:pStyle w:val="2"/>
        <w:rPr>
          <w:rFonts w:hint="default" w:ascii="Times New Roman" w:hAnsi="Times New Roman" w:eastAsia="仿宋_GB2312" w:cs="Times New Roman"/>
          <w:kern w:val="0"/>
          <w:sz w:val="32"/>
          <w:szCs w:val="32"/>
        </w:rPr>
      </w:pPr>
    </w:p>
    <w:p w14:paraId="3B02B535">
      <w:pPr>
        <w:rPr>
          <w:rFonts w:hint="default" w:ascii="Times New Roman" w:hAnsi="Times New Roman" w:eastAsia="仿宋_GB2312" w:cs="Times New Roman"/>
          <w:kern w:val="0"/>
          <w:sz w:val="32"/>
          <w:szCs w:val="32"/>
        </w:rPr>
      </w:pPr>
    </w:p>
    <w:p w14:paraId="6EC53E06">
      <w:pPr>
        <w:pStyle w:val="2"/>
        <w:rPr>
          <w:rFonts w:hint="default" w:ascii="Times New Roman" w:hAnsi="Times New Roman" w:eastAsia="仿宋_GB2312" w:cs="Times New Roman"/>
          <w:kern w:val="0"/>
          <w:sz w:val="32"/>
          <w:szCs w:val="32"/>
        </w:rPr>
      </w:pPr>
    </w:p>
    <w:p w14:paraId="2A82CC25">
      <w:pPr>
        <w:rPr>
          <w:rFonts w:hint="default" w:ascii="Times New Roman" w:hAnsi="Times New Roman" w:eastAsia="仿宋_GB2312" w:cs="Times New Roman"/>
          <w:kern w:val="0"/>
          <w:sz w:val="32"/>
          <w:szCs w:val="32"/>
        </w:rPr>
      </w:pPr>
    </w:p>
    <w:p w14:paraId="1C09B328">
      <w:pPr>
        <w:pStyle w:val="2"/>
        <w:rPr>
          <w:rFonts w:hint="default" w:ascii="Times New Roman" w:hAnsi="Times New Roman" w:eastAsia="仿宋_GB2312" w:cs="Times New Roman"/>
          <w:kern w:val="0"/>
          <w:sz w:val="32"/>
          <w:szCs w:val="32"/>
        </w:rPr>
      </w:pPr>
    </w:p>
    <w:p w14:paraId="506BDA5F">
      <w:pPr>
        <w:rPr>
          <w:rFonts w:hint="default" w:ascii="Times New Roman" w:hAnsi="Times New Roman" w:eastAsia="仿宋_GB2312" w:cs="Times New Roman"/>
          <w:kern w:val="0"/>
          <w:sz w:val="32"/>
          <w:szCs w:val="32"/>
        </w:rPr>
      </w:pPr>
    </w:p>
    <w:p w14:paraId="1FD30720">
      <w:pPr>
        <w:pStyle w:val="4"/>
        <w:rPr>
          <w:rFonts w:hint="default" w:ascii="Times New Roman" w:hAnsi="Times New Roman" w:eastAsia="仿宋_GB2312" w:cs="Times New Roman"/>
          <w:kern w:val="0"/>
          <w:sz w:val="32"/>
          <w:szCs w:val="32"/>
        </w:rPr>
      </w:pPr>
    </w:p>
    <w:p w14:paraId="189606DA">
      <w:pPr>
        <w:rPr>
          <w:rFonts w:hint="default"/>
        </w:rPr>
      </w:pPr>
    </w:p>
    <w:p w14:paraId="4FAA8599">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微软雅黑" w:cs="Times New Roman"/>
          <w:color w:val="auto"/>
          <w:kern w:val="2"/>
          <w:sz w:val="44"/>
          <w:szCs w:val="44"/>
          <w:highlight w:val="none"/>
          <w:lang w:val="en-US" w:eastAsia="zh-CN"/>
        </w:rPr>
      </w:pPr>
      <w:r>
        <w:rPr>
          <w:rFonts w:hint="default" w:ascii="Times New Roman" w:hAnsi="Times New Roman" w:eastAsia="微软雅黑" w:cs="Times New Roman"/>
          <w:color w:val="auto"/>
          <w:kern w:val="2"/>
          <w:sz w:val="44"/>
          <w:szCs w:val="44"/>
          <w:highlight w:val="none"/>
          <w:lang w:val="en-US" w:eastAsia="zh-CN"/>
        </w:rPr>
        <w:t>统战群工工作专项预算项目绩效评价报告</w:t>
      </w:r>
    </w:p>
    <w:p w14:paraId="49150603">
      <w:pPr>
        <w:pStyle w:val="35"/>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hint="default" w:ascii="Times New Roman" w:hAnsi="Times New Roman" w:cs="Times New Roman"/>
          <w:color w:val="auto"/>
          <w:kern w:val="2"/>
          <w:sz w:val="32"/>
          <w:szCs w:val="32"/>
          <w:highlight w:val="none"/>
        </w:rPr>
      </w:pPr>
    </w:p>
    <w:p w14:paraId="0BF61DE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sz w:val="32"/>
          <w:szCs w:val="32"/>
          <w:highlight w:val="none"/>
          <w:lang w:val="zh-CN"/>
        </w:rPr>
      </w:pPr>
      <w:r>
        <w:rPr>
          <w:rFonts w:hint="default" w:ascii="Times New Roman" w:hAnsi="Times New Roman" w:eastAsia="黑体" w:cs="Times New Roman"/>
          <w:sz w:val="32"/>
          <w:szCs w:val="32"/>
          <w:highlight w:val="none"/>
        </w:rPr>
        <w:t>一、</w:t>
      </w:r>
      <w:r>
        <w:rPr>
          <w:rFonts w:hint="default" w:ascii="Times New Roman" w:hAnsi="Times New Roman" w:eastAsia="黑体" w:cs="Times New Roman"/>
          <w:sz w:val="32"/>
          <w:szCs w:val="32"/>
          <w:highlight w:val="none"/>
          <w:lang w:val="zh-CN"/>
        </w:rPr>
        <w:t>项目概况</w:t>
      </w:r>
    </w:p>
    <w:p w14:paraId="6DD2B4D7">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color w:val="auto"/>
          <w:sz w:val="32"/>
          <w:szCs w:val="32"/>
          <w:highlight w:val="none"/>
          <w:u w:val="none"/>
          <w:lang w:val="zh-CN"/>
        </w:rPr>
        <w:t>（一）设立背景及基本情况。</w:t>
      </w:r>
      <w:r>
        <w:rPr>
          <w:rFonts w:hint="default" w:ascii="Times New Roman" w:hAnsi="Times New Roman" w:eastAsia="仿宋_GB2312" w:cs="Times New Roman"/>
          <w:sz w:val="32"/>
          <w:szCs w:val="32"/>
          <w:lang w:eastAsia="zh-CN"/>
        </w:rPr>
        <w:t>按照统战群工科职能职责，指导州直机关妇女组织和团组织抓好思想、组织、作风建设和妇女干部、团员青年的教育管理；指导州直机关妇女组织和团组织围绕党和政府的主要任务和中心工作，做好妇女干部、团员青年的思想政治工作；</w:t>
      </w:r>
      <w:r>
        <w:rPr>
          <w:rFonts w:hint="default" w:ascii="Times New Roman" w:hAnsi="Times New Roman" w:eastAsia="仿宋_GB2312" w:cs="Times New Roman"/>
          <w:sz w:val="32"/>
          <w:szCs w:val="32"/>
          <w:lang w:val="en-US" w:eastAsia="zh-CN"/>
        </w:rPr>
        <w:t>根据《</w:t>
      </w:r>
      <w:r>
        <w:rPr>
          <w:rFonts w:hint="eastAsia" w:eastAsia="仿宋_GB2312" w:cs="Times New Roman"/>
          <w:sz w:val="32"/>
          <w:szCs w:val="32"/>
          <w:lang w:val="en-US" w:eastAsia="zh-CN"/>
        </w:rPr>
        <w:t>中华全国妇女联合会</w:t>
      </w:r>
      <w:r>
        <w:rPr>
          <w:rFonts w:hint="default" w:ascii="Times New Roman" w:hAnsi="Times New Roman" w:eastAsia="仿宋_GB2312" w:cs="Times New Roman"/>
          <w:sz w:val="32"/>
          <w:szCs w:val="32"/>
          <w:lang w:val="en-US" w:eastAsia="zh-CN"/>
        </w:rPr>
        <w:t>章程》和《</w:t>
      </w:r>
      <w:r>
        <w:rPr>
          <w:rFonts w:hint="default" w:ascii="Times New Roman" w:hAnsi="Times New Roman" w:eastAsia="仿宋_GB2312" w:cs="Times New Roman"/>
          <w:sz w:val="32"/>
          <w:szCs w:val="32"/>
          <w:lang w:eastAsia="zh-CN"/>
        </w:rPr>
        <w:t>中国共产主义青年团</w:t>
      </w:r>
      <w:r>
        <w:rPr>
          <w:rFonts w:hint="default" w:ascii="Times New Roman" w:hAnsi="Times New Roman" w:eastAsia="仿宋_GB2312" w:cs="Times New Roman"/>
          <w:sz w:val="32"/>
          <w:szCs w:val="32"/>
          <w:lang w:val="en-US" w:eastAsia="zh-CN"/>
        </w:rPr>
        <w:t>章程》加强妇女</w:t>
      </w:r>
      <w:r>
        <w:rPr>
          <w:rFonts w:hint="default" w:ascii="Times New Roman" w:hAnsi="Times New Roman" w:eastAsia="仿宋_GB2312" w:cs="Times New Roman"/>
          <w:sz w:val="32"/>
          <w:szCs w:val="32"/>
          <w:lang w:eastAsia="zh-CN"/>
        </w:rPr>
        <w:t>干部</w:t>
      </w:r>
      <w:r>
        <w:rPr>
          <w:rFonts w:hint="default" w:ascii="Times New Roman" w:hAnsi="Times New Roman" w:eastAsia="仿宋_GB2312" w:cs="Times New Roman"/>
          <w:sz w:val="32"/>
          <w:szCs w:val="32"/>
          <w:lang w:val="en-US" w:eastAsia="zh-CN"/>
        </w:rPr>
        <w:t>和团员青年的教育工作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按照州委安排，负责州直部门</w:t>
      </w:r>
      <w:r>
        <w:rPr>
          <w:rFonts w:hint="default" w:ascii="Times New Roman" w:hAnsi="Times New Roman" w:cs="Times New Roman"/>
          <w:sz w:val="32"/>
          <w:szCs w:val="32"/>
          <w:lang w:val="en-US" w:eastAsia="zh-CN"/>
        </w:rPr>
        <w:t>科</w:t>
      </w:r>
      <w:r>
        <w:rPr>
          <w:rFonts w:hint="default" w:ascii="Times New Roman" w:hAnsi="Times New Roman" w:eastAsia="仿宋_GB2312" w:cs="Times New Roman"/>
          <w:sz w:val="32"/>
          <w:szCs w:val="32"/>
          <w:lang w:val="en-US" w:eastAsia="zh-CN"/>
        </w:rPr>
        <w:t>级</w:t>
      </w:r>
      <w:r>
        <w:rPr>
          <w:rFonts w:hint="default" w:ascii="Times New Roman" w:hAnsi="Times New Roman" w:cs="Times New Roman"/>
          <w:sz w:val="32"/>
          <w:szCs w:val="32"/>
          <w:lang w:val="en-US" w:eastAsia="zh-CN"/>
        </w:rPr>
        <w:t>及</w:t>
      </w:r>
      <w:r>
        <w:rPr>
          <w:rFonts w:hint="default" w:ascii="Times New Roman" w:hAnsi="Times New Roman" w:eastAsia="仿宋_GB2312" w:cs="Times New Roman"/>
          <w:sz w:val="32"/>
          <w:szCs w:val="32"/>
          <w:lang w:val="en-US" w:eastAsia="zh-CN"/>
        </w:rPr>
        <w:t>以下干部职工的护照管理工作。</w:t>
      </w:r>
    </w:p>
    <w:p w14:paraId="522E75C3">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default" w:ascii="Times New Roman" w:hAnsi="Times New Roman" w:eastAsia="仿宋_GB2312" w:cs="Times New Roman"/>
          <w:sz w:val="32"/>
          <w:szCs w:val="32"/>
          <w:lang w:val="en-US" w:eastAsia="zh-CN"/>
        </w:rPr>
        <w:t>指导州直机关群团组织围绕党和政府的主要和中心工作，按照章程开展工作。</w:t>
      </w:r>
    </w:p>
    <w:p w14:paraId="54D23F6F">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r>
        <w:rPr>
          <w:rFonts w:hint="default" w:ascii="Times New Roman" w:hAnsi="Times New Roman" w:eastAsia="仿宋_GB2312" w:cs="Times New Roman"/>
          <w:sz w:val="32"/>
          <w:szCs w:val="32"/>
          <w:lang w:val="en-US" w:eastAsia="zh-CN"/>
        </w:rPr>
        <w:t>结合上年度工作开展情况，科学、合理编制预算，</w:t>
      </w:r>
      <w:r>
        <w:rPr>
          <w:rFonts w:hint="default" w:ascii="Times New Roman" w:hAnsi="Times New Roman" w:eastAsia="仿宋_GB2312" w:cs="Times New Roman"/>
          <w:sz w:val="32"/>
          <w:szCs w:val="32"/>
          <w:lang w:val="zh-CN" w:eastAsia="zh-CN"/>
        </w:rPr>
        <w:t>项目</w:t>
      </w:r>
      <w:r>
        <w:rPr>
          <w:rFonts w:hint="default" w:ascii="Times New Roman" w:hAnsi="Times New Roman" w:eastAsia="仿宋_GB2312" w:cs="Times New Roman"/>
          <w:sz w:val="32"/>
          <w:szCs w:val="32"/>
          <w:lang w:val="en-US" w:eastAsia="zh-CN"/>
        </w:rPr>
        <w:t>年初</w:t>
      </w:r>
      <w:r>
        <w:rPr>
          <w:rFonts w:hint="default" w:ascii="Times New Roman" w:hAnsi="Times New Roman" w:eastAsia="仿宋_GB2312" w:cs="Times New Roman"/>
          <w:sz w:val="32"/>
          <w:szCs w:val="32"/>
          <w:lang w:val="zh-CN" w:eastAsia="zh-CN"/>
        </w:rPr>
        <w:t>预算安排</w:t>
      </w:r>
      <w:r>
        <w:rPr>
          <w:rFonts w:hint="default" w:ascii="Times New Roman" w:hAnsi="Times New Roman" w:eastAsia="仿宋_GB2312" w:cs="Times New Roman"/>
          <w:sz w:val="32"/>
          <w:szCs w:val="32"/>
          <w:lang w:val="en-US" w:eastAsia="zh-CN"/>
        </w:rPr>
        <w:t>3万元，财政拨款3万元，已全部到位。该项目</w:t>
      </w:r>
      <w:r>
        <w:rPr>
          <w:rFonts w:hint="default" w:ascii="Times New Roman" w:hAnsi="Times New Roman" w:eastAsia="仿宋_GB2312" w:cs="Times New Roman"/>
          <w:sz w:val="32"/>
          <w:szCs w:val="32"/>
          <w:lang w:val="zh-CN" w:eastAsia="zh-CN"/>
        </w:rPr>
        <w:t>评价符合资金管理办法等相关规定。</w:t>
      </w:r>
    </w:p>
    <w:p w14:paraId="2D0B4906">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left"/>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eastAsia="zh-CN"/>
        </w:rPr>
        <w:t>（四）项目绩效目标设置。</w:t>
      </w:r>
      <w:r>
        <w:rPr>
          <w:rFonts w:hint="default" w:ascii="Times New Roman" w:hAnsi="Times New Roman" w:eastAsia="仿宋_GB2312" w:cs="Times New Roman"/>
          <w:sz w:val="32"/>
          <w:szCs w:val="32"/>
          <w:lang w:val="en-US" w:eastAsia="zh-CN"/>
        </w:rPr>
        <w:t>一是指导州直部门（单位）群团组织有序开展工作，夯实群团基础；二是开展丰富多彩的群团活动，提升青年团员、妇女的凝聚力</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三是严格程序对驻马</w:t>
      </w:r>
      <w:r>
        <w:rPr>
          <w:rFonts w:hint="default" w:ascii="Times New Roman" w:hAnsi="Times New Roman" w:eastAsia="仿宋_GB2312" w:cs="Times New Roman"/>
          <w:sz w:val="32"/>
          <w:szCs w:val="32"/>
          <w:lang w:eastAsia="zh-CN"/>
        </w:rPr>
        <w:t>尔康地区的州直各部门（单位）、州属企事业单位在职干部职工、离退休人员持有因私出国（境）证件统一收集进行规范集中管理。</w:t>
      </w:r>
    </w:p>
    <w:p w14:paraId="47039F1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default" w:ascii="Times New Roman" w:hAnsi="Times New Roman" w:cs="Times New Roman"/>
          <w:sz w:val="32"/>
          <w:szCs w:val="32"/>
          <w:lang w:eastAsia="zh-CN"/>
        </w:rPr>
      </w:pPr>
      <w:r>
        <w:rPr>
          <w:rFonts w:hint="default" w:ascii="Times New Roman" w:hAnsi="Times New Roman" w:eastAsia="黑体" w:cs="Times New Roman"/>
          <w:sz w:val="32"/>
          <w:szCs w:val="32"/>
          <w:highlight w:val="none"/>
        </w:rPr>
        <w:t>二、</w:t>
      </w:r>
      <w:r>
        <w:rPr>
          <w:rFonts w:hint="default" w:ascii="Times New Roman" w:hAnsi="Times New Roman" w:eastAsia="黑体" w:cs="Times New Roman"/>
          <w:sz w:val="32"/>
          <w:szCs w:val="32"/>
          <w:highlight w:val="none"/>
          <w:lang w:eastAsia="zh-CN"/>
        </w:rPr>
        <w:t>评价实施</w:t>
      </w:r>
    </w:p>
    <w:p w14:paraId="1AD98B2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color w:val="auto"/>
          <w:sz w:val="32"/>
          <w:szCs w:val="32"/>
          <w:highlight w:val="none"/>
          <w:u w:val="none"/>
          <w:lang w:val="zh-CN"/>
        </w:rPr>
        <w:t>（一）评价目的。</w:t>
      </w:r>
      <w:r>
        <w:rPr>
          <w:rFonts w:hint="default" w:ascii="Times New Roman" w:hAnsi="Times New Roman" w:eastAsia="仿宋_GB2312" w:cs="Times New Roman"/>
          <w:sz w:val="32"/>
          <w:szCs w:val="32"/>
          <w:lang w:val="en-US" w:eastAsia="zh-CN"/>
        </w:rPr>
        <w:t>通过项目绩效自评严格</w:t>
      </w:r>
      <w:r>
        <w:rPr>
          <w:rFonts w:hint="eastAsia" w:eastAsia="仿宋_GB2312" w:cs="Times New Roman"/>
          <w:sz w:val="32"/>
          <w:szCs w:val="32"/>
          <w:lang w:val="en-US" w:eastAsia="zh-CN"/>
        </w:rPr>
        <w:t>落实中央八项规定</w:t>
      </w:r>
      <w:r>
        <w:rPr>
          <w:rFonts w:hint="default" w:ascii="Times New Roman" w:hAnsi="Times New Roman" w:eastAsia="仿宋_GB2312" w:cs="Times New Roman"/>
          <w:sz w:val="32"/>
          <w:szCs w:val="32"/>
          <w:lang w:val="en-US" w:eastAsia="zh-CN"/>
        </w:rPr>
        <w:t>精神，牢固树立“花钱必问效、无效必问责”的绩效理念，推动财政资金使用提质增效。</w:t>
      </w:r>
    </w:p>
    <w:p w14:paraId="593FFAF6">
      <w:pPr>
        <w:snapToGrid w:val="0"/>
        <w:spacing w:line="560" w:lineRule="exact"/>
        <w:ind w:firstLine="643" w:firstLineChars="200"/>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rPr>
        <w:t>（二）预设问题及评价重点。</w:t>
      </w:r>
      <w:r>
        <w:rPr>
          <w:rFonts w:hint="default" w:ascii="Times New Roman" w:hAnsi="Times New Roman" w:eastAsia="仿宋_GB2312" w:cs="Times New Roman"/>
          <w:sz w:val="32"/>
          <w:szCs w:val="32"/>
          <w:lang w:val="en-US" w:eastAsia="zh-CN"/>
        </w:rPr>
        <w:t>通过项目绩效自评，统战群工工作经费</w:t>
      </w:r>
      <w:r>
        <w:rPr>
          <w:rFonts w:hint="default" w:ascii="Times New Roman" w:hAnsi="Times New Roman" w:eastAsia="仿宋_GB2312" w:cs="Times New Roman"/>
          <w:sz w:val="32"/>
          <w:szCs w:val="32"/>
          <w:lang w:val="zh-CN" w:eastAsia="zh-CN"/>
        </w:rPr>
        <w:t>项目资金的实际支出情况，资金开支范围、标准及支付进度、</w:t>
      </w:r>
      <w:r>
        <w:rPr>
          <w:rFonts w:hint="default" w:ascii="Times New Roman" w:hAnsi="Times New Roman" w:eastAsia="仿宋_GB2312" w:cs="Times New Roman"/>
          <w:sz w:val="32"/>
          <w:szCs w:val="32"/>
          <w:lang w:val="en-US" w:eastAsia="zh-CN"/>
        </w:rPr>
        <w:t>支付依据等</w:t>
      </w:r>
      <w:r>
        <w:rPr>
          <w:rFonts w:hint="default" w:ascii="Times New Roman" w:hAnsi="Times New Roman" w:eastAsia="仿宋_GB2312" w:cs="Times New Roman"/>
          <w:sz w:val="32"/>
          <w:szCs w:val="32"/>
          <w:lang w:val="zh-CN" w:eastAsia="zh-CN"/>
        </w:rPr>
        <w:t>合规合法，资金支付与预算相符，并对相关问题进行说明。</w:t>
      </w:r>
      <w:r>
        <w:rPr>
          <w:rFonts w:hint="default" w:ascii="Times New Roman" w:hAnsi="Times New Roman" w:eastAsia="仿宋_GB2312" w:cs="Times New Roman"/>
          <w:sz w:val="32"/>
          <w:szCs w:val="32"/>
          <w:lang w:eastAsia="zh-CN"/>
        </w:rPr>
        <w:t>按照工作重点，结合经费预算情况，建立项目执行责任制，将项目支出责任逐一分解落实到具体执行科室和责任人。</w:t>
      </w:r>
    </w:p>
    <w:p w14:paraId="21C86A35">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rPr>
        <w:t>（三）评价选点。</w:t>
      </w:r>
      <w:r>
        <w:rPr>
          <w:rFonts w:hint="default" w:ascii="Times New Roman" w:hAnsi="Times New Roman" w:eastAsia="仿宋_GB2312" w:cs="Times New Roman"/>
          <w:sz w:val="32"/>
          <w:szCs w:val="32"/>
          <w:lang w:val="en-US" w:eastAsia="zh-CN"/>
        </w:rPr>
        <w:t>按照全面实施预算绩效管理的要求部署，对工委项目全覆盖开展了</w:t>
      </w:r>
      <w:r>
        <w:rPr>
          <w:rFonts w:hint="default" w:ascii="Times New Roman" w:hAnsi="Times New Roman" w:eastAsia="仿宋_GB2312" w:cs="Times New Roman"/>
          <w:sz w:val="32"/>
          <w:szCs w:val="32"/>
          <w:lang w:val="zh-CN" w:eastAsia="zh-CN"/>
        </w:rPr>
        <w:t>项目绩效自评。</w:t>
      </w:r>
    </w:p>
    <w:p w14:paraId="6993FE4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color w:val="auto"/>
          <w:sz w:val="32"/>
          <w:szCs w:val="32"/>
          <w:highlight w:val="none"/>
          <w:u w:val="none"/>
          <w:lang w:val="zh-CN"/>
        </w:rPr>
        <w:t>（四）评价方法。</w:t>
      </w:r>
      <w:r>
        <w:rPr>
          <w:rFonts w:hint="default" w:ascii="Times New Roman" w:hAnsi="Times New Roman" w:eastAsia="仿宋_GB2312" w:cs="Times New Roman"/>
          <w:sz w:val="32"/>
          <w:szCs w:val="32"/>
          <w:lang w:eastAsia="zh-CN"/>
        </w:rPr>
        <w:t>根据项目情况和评价重点，</w:t>
      </w:r>
      <w:r>
        <w:rPr>
          <w:rFonts w:hint="default" w:ascii="Times New Roman" w:hAnsi="Times New Roman" w:eastAsia="仿宋_GB2312" w:cs="Times New Roman"/>
          <w:sz w:val="32"/>
          <w:szCs w:val="32"/>
          <w:lang w:val="en-US" w:eastAsia="zh-CN"/>
        </w:rPr>
        <w:t>采取</w:t>
      </w:r>
      <w:r>
        <w:rPr>
          <w:rFonts w:hint="default" w:ascii="Times New Roman" w:hAnsi="Times New Roman" w:eastAsia="仿宋_GB2312" w:cs="Times New Roman"/>
          <w:sz w:val="32"/>
          <w:szCs w:val="32"/>
          <w:lang w:eastAsia="zh-CN"/>
        </w:rPr>
        <w:t>单位自评</w:t>
      </w:r>
      <w:r>
        <w:rPr>
          <w:rFonts w:hint="default" w:ascii="Times New Roman" w:hAnsi="Times New Roman" w:eastAsia="仿宋_GB2312" w:cs="Times New Roman"/>
          <w:sz w:val="32"/>
          <w:szCs w:val="32"/>
          <w:lang w:val="en-US" w:eastAsia="zh-CN"/>
        </w:rPr>
        <w:t>的方式。</w:t>
      </w:r>
    </w:p>
    <w:p w14:paraId="0931E00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color w:val="auto"/>
          <w:sz w:val="32"/>
          <w:szCs w:val="32"/>
          <w:highlight w:val="none"/>
          <w:u w:val="none"/>
          <w:lang w:val="zh-CN"/>
        </w:rPr>
        <w:t>（五）评价组织。</w:t>
      </w:r>
      <w:r>
        <w:rPr>
          <w:rFonts w:hint="default" w:ascii="Times New Roman" w:hAnsi="Times New Roman" w:eastAsia="仿宋_GB2312" w:cs="Times New Roman"/>
          <w:sz w:val="32"/>
          <w:szCs w:val="32"/>
          <w:lang w:eastAsia="zh-CN"/>
        </w:rPr>
        <w:t>评价组人员</w:t>
      </w:r>
      <w:r>
        <w:rPr>
          <w:rFonts w:hint="default" w:ascii="Times New Roman" w:hAnsi="Times New Roman" w:eastAsia="仿宋_GB2312" w:cs="Times New Roman"/>
          <w:sz w:val="32"/>
          <w:szCs w:val="32"/>
          <w:lang w:val="en-US" w:eastAsia="zh-CN"/>
        </w:rPr>
        <w:t>由</w:t>
      </w:r>
      <w:r>
        <w:rPr>
          <w:rFonts w:hint="eastAsia" w:eastAsia="仿宋_GB2312" w:cs="Times New Roman"/>
          <w:sz w:val="32"/>
          <w:szCs w:val="32"/>
          <w:lang w:val="en-US" w:eastAsia="zh-CN"/>
        </w:rPr>
        <w:t>分管</w:t>
      </w:r>
      <w:r>
        <w:rPr>
          <w:rFonts w:hint="default" w:ascii="Times New Roman" w:hAnsi="Times New Roman" w:eastAsia="仿宋_GB2312" w:cs="Times New Roman"/>
          <w:sz w:val="32"/>
          <w:szCs w:val="32"/>
          <w:lang w:val="en-US" w:eastAsia="zh-CN"/>
        </w:rPr>
        <w:t>领导吕淑君调研员及承办业务科室统战群工科科长廖小玲组成，对统战群工工作经费的使用进行分析、总结，并对2024年该项目的实施进行统筹</w:t>
      </w:r>
      <w:r>
        <w:rPr>
          <w:rFonts w:hint="default" w:ascii="Times New Roman" w:hAnsi="Times New Roman" w:eastAsia="仿宋_GB2312" w:cs="Times New Roman"/>
          <w:sz w:val="32"/>
          <w:szCs w:val="32"/>
          <w:lang w:eastAsia="zh-CN"/>
        </w:rPr>
        <w:t>。</w:t>
      </w:r>
    </w:p>
    <w:p w14:paraId="7B849D2D">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三、</w:t>
      </w:r>
      <w:r>
        <w:rPr>
          <w:rFonts w:hint="default" w:ascii="Times New Roman" w:hAnsi="Times New Roman" w:eastAsia="黑体" w:cs="Times New Roman"/>
          <w:color w:val="auto"/>
          <w:sz w:val="32"/>
          <w:szCs w:val="32"/>
          <w:highlight w:val="none"/>
          <w:u w:val="none"/>
          <w:lang w:eastAsia="zh-CN"/>
        </w:rPr>
        <w:t>绩效分析</w:t>
      </w:r>
      <w:r>
        <w:rPr>
          <w:rFonts w:hint="default" w:ascii="Times New Roman" w:hAnsi="Times New Roman" w:cs="Times New Roman"/>
          <w:color w:val="auto"/>
          <w:sz w:val="32"/>
          <w:szCs w:val="32"/>
          <w:highlight w:val="none"/>
          <w:u w:val="none"/>
          <w:lang w:val="zh-CN"/>
        </w:rPr>
        <w:tab/>
      </w:r>
    </w:p>
    <w:p w14:paraId="35AE380C">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根据项目预算绩效评价指标体系“通用指标”“专用指标”“个性指标”涉及二、三级指标进行逐项绩效分析并评分</w:t>
      </w:r>
      <w:r>
        <w:rPr>
          <w:rFonts w:hint="default" w:ascii="Times New Roman" w:hAnsi="Times New Roman" w:eastAsia="仿宋_GB2312" w:cs="Times New Roman"/>
          <w:sz w:val="32"/>
          <w:szCs w:val="32"/>
          <w:lang w:val="en-US" w:eastAsia="zh-CN"/>
        </w:rPr>
        <w:t>。</w:t>
      </w:r>
    </w:p>
    <w:p w14:paraId="1C03DB6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rPr>
        <w:t>（一）</w:t>
      </w:r>
      <w:r>
        <w:rPr>
          <w:rFonts w:hint="default"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color w:val="auto"/>
          <w:sz w:val="32"/>
          <w:szCs w:val="32"/>
          <w:highlight w:val="none"/>
          <w:u w:val="none"/>
          <w:lang w:val="zh-CN"/>
        </w:rPr>
        <w:t>绩效分析。</w:t>
      </w:r>
    </w:p>
    <w:p w14:paraId="31F4C5CB">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color w:val="auto"/>
          <w:sz w:val="32"/>
          <w:szCs w:val="32"/>
          <w:lang w:val="en-US" w:eastAsia="zh-CN"/>
        </w:rPr>
        <w:t>1.</w:t>
      </w:r>
      <w:r>
        <w:rPr>
          <w:rFonts w:hint="default" w:ascii="Times New Roman" w:hAnsi="Times New Roman" w:eastAsia="楷体_GB2312" w:cs="Times New Roman"/>
          <w:color w:val="auto"/>
          <w:sz w:val="32"/>
          <w:szCs w:val="32"/>
          <w:lang w:eastAsia="zh-CN"/>
        </w:rPr>
        <w:t>项目决策</w:t>
      </w:r>
      <w:r>
        <w:rPr>
          <w:rFonts w:hint="default" w:ascii="Times New Roman" w:hAnsi="Times New Roman" w:eastAsia="楷体_GB2312" w:cs="Times New Roman"/>
          <w:color w:val="auto"/>
          <w:szCs w:val="32"/>
          <w:lang w:eastAsia="zh-CN"/>
        </w:rPr>
        <w:t>。</w:t>
      </w:r>
      <w:r>
        <w:rPr>
          <w:rFonts w:hint="default" w:ascii="Times New Roman" w:hAnsi="Times New Roman" w:eastAsia="仿宋_GB2312" w:cs="Times New Roman"/>
          <w:sz w:val="32"/>
          <w:szCs w:val="32"/>
          <w:lang w:val="en-US" w:eastAsia="zh-CN"/>
        </w:rPr>
        <w:t>统战群工工资经费按照工委职能职责指导州直机关群团</w:t>
      </w:r>
      <w:r>
        <w:rPr>
          <w:rFonts w:hint="default" w:ascii="Times New Roman" w:hAnsi="Times New Roman" w:eastAsia="仿宋_GB2312" w:cs="Times New Roman"/>
          <w:sz w:val="32"/>
          <w:szCs w:val="32"/>
          <w:lang w:eastAsia="zh-CN"/>
        </w:rPr>
        <w:t>围绕</w:t>
      </w:r>
      <w:r>
        <w:rPr>
          <w:rFonts w:hint="default" w:ascii="Times New Roman" w:hAnsi="Times New Roman" w:eastAsia="仿宋_GB2312" w:cs="Times New Roman"/>
          <w:sz w:val="32"/>
          <w:szCs w:val="32"/>
          <w:lang w:val="en-US" w:eastAsia="zh-CN"/>
        </w:rPr>
        <w:t>州委、州政府中心工作开展工作，该项目是长期项目。</w:t>
      </w:r>
    </w:p>
    <w:p w14:paraId="52922D27">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color w:val="auto"/>
          <w:sz w:val="32"/>
          <w:szCs w:val="32"/>
          <w:lang w:val="en-US" w:eastAsia="zh-CN"/>
        </w:rPr>
        <w:t>2.</w:t>
      </w:r>
      <w:r>
        <w:rPr>
          <w:rFonts w:hint="default" w:ascii="Times New Roman" w:hAnsi="Times New Roman" w:eastAsia="楷体_GB2312" w:cs="Times New Roman"/>
          <w:color w:val="auto"/>
          <w:sz w:val="32"/>
          <w:szCs w:val="32"/>
          <w:lang w:eastAsia="zh-CN"/>
        </w:rPr>
        <w:t>项目管理。</w:t>
      </w:r>
      <w:r>
        <w:rPr>
          <w:rFonts w:hint="default" w:ascii="Times New Roman" w:hAnsi="Times New Roman" w:eastAsia="仿宋_GB2312" w:cs="Times New Roman"/>
          <w:sz w:val="32"/>
          <w:szCs w:val="32"/>
          <w:lang w:val="zh-CN" w:eastAsia="zh-CN"/>
        </w:rPr>
        <w:t>项目执行中涉及的差旅费严格按照差旅费管理办法报销；</w:t>
      </w:r>
      <w:r>
        <w:rPr>
          <w:rFonts w:hint="default" w:ascii="Times New Roman" w:hAnsi="Times New Roman" w:eastAsia="仿宋_GB2312" w:cs="Times New Roman"/>
          <w:sz w:val="32"/>
          <w:szCs w:val="32"/>
          <w:lang w:val="en-US" w:eastAsia="zh-CN"/>
        </w:rPr>
        <w:t>劳务费严格执行专家劳务费标准；</w:t>
      </w:r>
      <w:r>
        <w:rPr>
          <w:rFonts w:hint="eastAsia" w:eastAsia="仿宋_GB2312" w:cs="Times New Roman"/>
          <w:sz w:val="32"/>
          <w:szCs w:val="32"/>
          <w:lang w:val="en-US" w:eastAsia="zh-CN"/>
        </w:rPr>
        <w:t>会议费</w:t>
      </w:r>
      <w:r>
        <w:rPr>
          <w:rFonts w:hint="default" w:ascii="Times New Roman" w:hAnsi="Times New Roman" w:eastAsia="仿宋_GB2312" w:cs="Times New Roman"/>
          <w:sz w:val="32"/>
          <w:szCs w:val="32"/>
          <w:lang w:val="en-US" w:eastAsia="zh-CN"/>
        </w:rPr>
        <w:t>严格按照《阿坝州州直机关会议费管理办法》报销。同时，</w:t>
      </w:r>
      <w:r>
        <w:rPr>
          <w:rFonts w:hint="default" w:ascii="Times New Roman" w:hAnsi="Times New Roman" w:eastAsia="仿宋_GB2312" w:cs="Times New Roman"/>
          <w:sz w:val="32"/>
          <w:szCs w:val="32"/>
          <w:lang w:val="zh-CN" w:eastAsia="zh-CN"/>
        </w:rPr>
        <w:t>资金的预算、申请、支付及账务处理等过程透明化，促进廉政建设，并提升资金使用效益。</w:t>
      </w:r>
    </w:p>
    <w:p w14:paraId="27FF96D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color w:val="auto"/>
          <w:sz w:val="32"/>
          <w:szCs w:val="32"/>
          <w:lang w:val="en-US" w:eastAsia="zh-CN"/>
        </w:rPr>
        <w:t>3.项目实施。</w:t>
      </w:r>
      <w:r>
        <w:rPr>
          <w:rFonts w:hint="default" w:ascii="Times New Roman" w:hAnsi="Times New Roman" w:eastAsia="仿宋_GB2312" w:cs="Times New Roman"/>
          <w:sz w:val="32"/>
          <w:szCs w:val="32"/>
          <w:lang w:val="en-US" w:eastAsia="zh-CN"/>
        </w:rPr>
        <w:t>该</w:t>
      </w:r>
      <w:r>
        <w:rPr>
          <w:rFonts w:hint="default" w:ascii="Times New Roman" w:hAnsi="Times New Roman" w:eastAsia="仿宋_GB2312" w:cs="Times New Roman"/>
          <w:sz w:val="32"/>
          <w:szCs w:val="32"/>
          <w:lang w:val="zh-CN" w:eastAsia="zh-CN"/>
        </w:rPr>
        <w:t>项目由</w:t>
      </w:r>
      <w:r>
        <w:rPr>
          <w:rFonts w:hint="default" w:ascii="Times New Roman" w:hAnsi="Times New Roman" w:eastAsia="仿宋_GB2312" w:cs="Times New Roman"/>
          <w:sz w:val="32"/>
          <w:szCs w:val="32"/>
          <w:lang w:val="en-US" w:eastAsia="zh-CN"/>
        </w:rPr>
        <w:t>统战群工科</w:t>
      </w:r>
      <w:r>
        <w:rPr>
          <w:rFonts w:hint="default" w:ascii="Times New Roman" w:hAnsi="Times New Roman" w:eastAsia="仿宋_GB2312" w:cs="Times New Roman"/>
          <w:sz w:val="32"/>
          <w:szCs w:val="32"/>
          <w:lang w:val="zh-CN" w:eastAsia="zh-CN"/>
        </w:rPr>
        <w:t>牵头并负责按实施方案实施，办公室负责项目资金管理，相关</w:t>
      </w:r>
      <w:r>
        <w:rPr>
          <w:rFonts w:hint="default" w:ascii="Times New Roman" w:hAnsi="Times New Roman" w:eastAsia="仿宋_GB2312" w:cs="Times New Roman"/>
          <w:sz w:val="32"/>
          <w:szCs w:val="32"/>
          <w:lang w:val="en-US" w:eastAsia="zh-CN"/>
        </w:rPr>
        <w:t>科室</w:t>
      </w:r>
      <w:r>
        <w:rPr>
          <w:rFonts w:hint="default" w:ascii="Times New Roman" w:hAnsi="Times New Roman" w:eastAsia="仿宋_GB2312" w:cs="Times New Roman"/>
          <w:sz w:val="32"/>
          <w:szCs w:val="32"/>
          <w:lang w:val="zh-CN" w:eastAsia="zh-CN"/>
        </w:rPr>
        <w:t>积极</w:t>
      </w:r>
      <w:r>
        <w:rPr>
          <w:rFonts w:hint="default" w:ascii="Times New Roman" w:hAnsi="Times New Roman" w:eastAsia="仿宋_GB2312" w:cs="Times New Roman"/>
          <w:sz w:val="32"/>
          <w:szCs w:val="32"/>
          <w:lang w:val="en-US" w:eastAsia="zh-CN"/>
        </w:rPr>
        <w:t>协助</w:t>
      </w:r>
      <w:r>
        <w:rPr>
          <w:rFonts w:hint="default" w:ascii="Times New Roman" w:hAnsi="Times New Roman" w:eastAsia="仿宋_GB2312" w:cs="Times New Roman"/>
          <w:sz w:val="32"/>
          <w:szCs w:val="32"/>
          <w:lang w:val="zh-CN" w:eastAsia="zh-CN"/>
        </w:rPr>
        <w:t>，形成领导重视、各科室联动共同促进项目执行的良好格局。</w:t>
      </w:r>
    </w:p>
    <w:p w14:paraId="231069B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color w:val="auto"/>
          <w:sz w:val="32"/>
          <w:szCs w:val="32"/>
          <w:lang w:val="en-US" w:eastAsia="zh-CN"/>
        </w:rPr>
        <w:t>4.项目结果。</w:t>
      </w:r>
      <w:r>
        <w:rPr>
          <w:rFonts w:hint="default" w:ascii="Times New Roman" w:hAnsi="Times New Roman" w:cs="Times New Roman"/>
          <w:lang w:val="en-US" w:eastAsia="zh-CN"/>
        </w:rPr>
        <w:t>2</w:t>
      </w:r>
      <w:r>
        <w:rPr>
          <w:rFonts w:hint="default" w:ascii="Times New Roman" w:hAnsi="Times New Roman" w:eastAsia="仿宋_GB2312" w:cs="Times New Roman"/>
          <w:sz w:val="32"/>
          <w:szCs w:val="32"/>
          <w:lang w:val="en-US" w:eastAsia="zh-CN"/>
        </w:rPr>
        <w:t>024年统战群工工作围绕年初工作计划完成了设定目标，该项目资金执行度为100%。</w:t>
      </w:r>
    </w:p>
    <w:p w14:paraId="6950CAD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default" w:ascii="Times New Roman" w:hAnsi="Times New Roman" w:eastAsia="楷体_GB2312" w:cs="Times New Roman"/>
          <w:color w:val="auto"/>
          <w:szCs w:val="32"/>
          <w:lang w:val="zh-CN"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CD26D6C">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我委未设定专用指标</w:t>
      </w:r>
      <w:r>
        <w:rPr>
          <w:rFonts w:hint="default" w:ascii="Times New Roman" w:hAnsi="Times New Roman" w:eastAsia="仿宋_GB2312" w:cs="Times New Roman"/>
          <w:sz w:val="32"/>
          <w:szCs w:val="32"/>
          <w:lang w:val="zh-CN" w:eastAsia="zh-CN"/>
        </w:rPr>
        <w:t>。</w:t>
      </w:r>
    </w:p>
    <w:p w14:paraId="41A4CD61">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EE029A8">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我委未设定个性指标。</w:t>
      </w:r>
    </w:p>
    <w:p w14:paraId="10A11241">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四</w:t>
      </w:r>
      <w:r>
        <w:rPr>
          <w:rFonts w:hint="default" w:ascii="Times New Roman" w:hAnsi="Times New Roman" w:eastAsia="黑体" w:cs="Times New Roman"/>
          <w:color w:val="auto"/>
          <w:sz w:val="32"/>
          <w:szCs w:val="32"/>
          <w:highlight w:val="none"/>
          <w:u w:val="none"/>
        </w:rPr>
        <w:t>、评价结论</w:t>
      </w:r>
    </w:p>
    <w:p w14:paraId="43344A80">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该项目具有明确的目标，项目实施过程中严格按照州财局有关经费管理规定执行，资金到位及时，使用得到，项目实施进展顺利，进一步提升了州直机关群团工作，充分发挥桥梁纽带作用，自评得分100分，得分情况见附表。</w:t>
      </w:r>
    </w:p>
    <w:p w14:paraId="1C530098">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五、存在主要问题</w:t>
      </w:r>
    </w:p>
    <w:p w14:paraId="2C1EA053">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无</w:t>
      </w:r>
    </w:p>
    <w:p w14:paraId="6E330FDB">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color w:val="auto"/>
          <w:kern w:val="0"/>
          <w:position w:val="3"/>
          <w:sz w:val="32"/>
          <w:szCs w:val="32"/>
          <w:highlight w:val="none"/>
          <w:u w:val="none"/>
          <w:lang w:val="zh-CN" w:eastAsia="zh-CN" w:bidi="ar-SA"/>
        </w:rPr>
      </w:pPr>
      <w:r>
        <w:rPr>
          <w:rFonts w:hint="default" w:ascii="Times New Roman" w:hAnsi="Times New Roman" w:eastAsia="黑体" w:cs="Times New Roman"/>
          <w:color w:val="auto"/>
          <w:kern w:val="0"/>
          <w:position w:val="3"/>
          <w:sz w:val="32"/>
          <w:szCs w:val="32"/>
          <w:highlight w:val="none"/>
          <w:u w:val="none"/>
          <w:lang w:val="zh-CN" w:eastAsia="zh-CN" w:bidi="ar-SA"/>
        </w:rPr>
        <w:t>六、改进建议</w:t>
      </w:r>
    </w:p>
    <w:p w14:paraId="6E27FDCF">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无</w:t>
      </w:r>
    </w:p>
    <w:p w14:paraId="441B51B5">
      <w:pPr>
        <w:rPr>
          <w:rFonts w:hint="default" w:ascii="Times New Roman" w:hAnsi="Times New Roman" w:eastAsia="仿宋_GB2312" w:cs="Times New Roman"/>
          <w:kern w:val="0"/>
          <w:sz w:val="32"/>
          <w:szCs w:val="32"/>
        </w:rPr>
      </w:pPr>
    </w:p>
    <w:p w14:paraId="68D7E282">
      <w:pPr>
        <w:pStyle w:val="2"/>
        <w:rPr>
          <w:rFonts w:hint="default" w:ascii="Times New Roman" w:hAnsi="Times New Roman" w:eastAsia="仿宋_GB2312" w:cs="Times New Roman"/>
          <w:kern w:val="0"/>
          <w:sz w:val="32"/>
          <w:szCs w:val="32"/>
        </w:rPr>
      </w:pPr>
    </w:p>
    <w:p w14:paraId="0F17471D">
      <w:pPr>
        <w:rPr>
          <w:rFonts w:hint="default" w:ascii="Times New Roman" w:hAnsi="Times New Roman" w:eastAsia="仿宋_GB2312" w:cs="Times New Roman"/>
          <w:kern w:val="0"/>
          <w:sz w:val="32"/>
          <w:szCs w:val="32"/>
        </w:rPr>
      </w:pPr>
    </w:p>
    <w:p w14:paraId="1BB7CBBD">
      <w:pPr>
        <w:pStyle w:val="2"/>
        <w:rPr>
          <w:rFonts w:hint="default" w:ascii="Times New Roman" w:hAnsi="Times New Roman" w:eastAsia="仿宋_GB2312" w:cs="Times New Roman"/>
          <w:kern w:val="0"/>
          <w:sz w:val="32"/>
          <w:szCs w:val="32"/>
        </w:rPr>
      </w:pPr>
    </w:p>
    <w:p w14:paraId="411F96AD">
      <w:pPr>
        <w:rPr>
          <w:rFonts w:hint="default" w:ascii="Times New Roman" w:hAnsi="Times New Roman" w:eastAsia="仿宋_GB2312" w:cs="Times New Roman"/>
          <w:kern w:val="0"/>
          <w:sz w:val="32"/>
          <w:szCs w:val="32"/>
        </w:rPr>
      </w:pPr>
    </w:p>
    <w:p w14:paraId="0CD4177F">
      <w:pPr>
        <w:pStyle w:val="2"/>
        <w:rPr>
          <w:rFonts w:hint="default" w:ascii="Times New Roman" w:hAnsi="Times New Roman" w:eastAsia="仿宋_GB2312" w:cs="Times New Roman"/>
          <w:kern w:val="0"/>
          <w:sz w:val="32"/>
          <w:szCs w:val="32"/>
        </w:rPr>
      </w:pPr>
    </w:p>
    <w:p w14:paraId="485A371B">
      <w:pPr>
        <w:rPr>
          <w:rFonts w:hint="default" w:ascii="Times New Roman" w:hAnsi="Times New Roman" w:eastAsia="仿宋_GB2312" w:cs="Times New Roman"/>
          <w:kern w:val="0"/>
          <w:sz w:val="32"/>
          <w:szCs w:val="32"/>
        </w:rPr>
      </w:pPr>
    </w:p>
    <w:p w14:paraId="0AA7095E">
      <w:pPr>
        <w:pStyle w:val="4"/>
        <w:rPr>
          <w:rFonts w:hint="default" w:ascii="Times New Roman" w:hAnsi="Times New Roman" w:eastAsia="仿宋_GB2312" w:cs="Times New Roman"/>
          <w:kern w:val="0"/>
          <w:sz w:val="32"/>
          <w:szCs w:val="32"/>
        </w:rPr>
      </w:pPr>
    </w:p>
    <w:p w14:paraId="52A6C213">
      <w:pPr>
        <w:rPr>
          <w:rFonts w:hint="default" w:ascii="Times New Roman" w:hAnsi="Times New Roman" w:eastAsia="仿宋_GB2312" w:cs="Times New Roman"/>
          <w:kern w:val="0"/>
          <w:sz w:val="32"/>
          <w:szCs w:val="32"/>
        </w:rPr>
      </w:pPr>
    </w:p>
    <w:p w14:paraId="75B5AF32">
      <w:pPr>
        <w:pStyle w:val="4"/>
        <w:rPr>
          <w:rFonts w:hint="default" w:ascii="Times New Roman" w:hAnsi="Times New Roman" w:eastAsia="仿宋_GB2312" w:cs="Times New Roman"/>
          <w:kern w:val="0"/>
          <w:sz w:val="32"/>
          <w:szCs w:val="32"/>
        </w:rPr>
      </w:pPr>
    </w:p>
    <w:p w14:paraId="5048BD11">
      <w:pPr>
        <w:rPr>
          <w:rFonts w:hint="default" w:ascii="Times New Roman" w:hAnsi="Times New Roman" w:eastAsia="仿宋_GB2312" w:cs="Times New Roman"/>
          <w:kern w:val="0"/>
          <w:sz w:val="32"/>
          <w:szCs w:val="32"/>
        </w:rPr>
      </w:pPr>
    </w:p>
    <w:p w14:paraId="21F9D281">
      <w:pPr>
        <w:pStyle w:val="4"/>
        <w:rPr>
          <w:rFonts w:hint="default" w:ascii="Times New Roman" w:hAnsi="Times New Roman" w:eastAsia="仿宋_GB2312" w:cs="Times New Roman"/>
          <w:kern w:val="0"/>
          <w:sz w:val="32"/>
          <w:szCs w:val="32"/>
        </w:rPr>
      </w:pPr>
    </w:p>
    <w:p w14:paraId="0301AD8F">
      <w:pPr>
        <w:rPr>
          <w:rFonts w:hint="default" w:ascii="Times New Roman" w:hAnsi="Times New Roman" w:eastAsia="仿宋_GB2312" w:cs="Times New Roman"/>
          <w:kern w:val="0"/>
          <w:sz w:val="32"/>
          <w:szCs w:val="32"/>
        </w:rPr>
      </w:pPr>
    </w:p>
    <w:p w14:paraId="7E2ACCF8">
      <w:pPr>
        <w:pStyle w:val="4"/>
        <w:rPr>
          <w:rFonts w:hint="default" w:ascii="Times New Roman" w:hAnsi="Times New Roman" w:cs="Times New Roman"/>
        </w:rPr>
      </w:pPr>
    </w:p>
    <w:p w14:paraId="5810255B">
      <w:pPr>
        <w:rPr>
          <w:rFonts w:hint="default"/>
        </w:rPr>
      </w:pPr>
    </w:p>
    <w:p w14:paraId="304EE085">
      <w:pPr>
        <w:pStyle w:val="8"/>
        <w:ind w:left="0" w:leftChars="0" w:firstLine="0" w:firstLineChars="0"/>
        <w:rPr>
          <w:rFonts w:hint="default" w:ascii="Times New Roman" w:hAnsi="Times New Roman" w:eastAsia="仿宋_GB2312" w:cs="Times New Roman"/>
          <w:kern w:val="0"/>
          <w:sz w:val="32"/>
          <w:szCs w:val="32"/>
        </w:rPr>
      </w:pPr>
    </w:p>
    <w:p w14:paraId="6005BB25">
      <w:pPr>
        <w:rPr>
          <w:rFonts w:hint="default" w:ascii="Times New Roman" w:hAnsi="Times New Roman" w:cs="Times New Roman"/>
        </w:rPr>
      </w:pPr>
    </w:p>
    <w:p w14:paraId="7BE27C7C">
      <w:pPr>
        <w:widowControl/>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sz w:val="44"/>
          <w:szCs w:val="44"/>
        </w:rPr>
        <w:t>第</w:t>
      </w:r>
      <w:r>
        <w:rPr>
          <w:rStyle w:val="29"/>
          <w:rFonts w:hint="eastAsia" w:ascii="方正小标宋简体" w:hAnsi="方正小标宋简体" w:eastAsia="方正小标宋简体" w:cs="方正小标宋简体"/>
          <w:b w:val="0"/>
        </w:rPr>
        <w:t>五部分 附表</w:t>
      </w:r>
      <w:bookmarkEnd w:id="55"/>
      <w:bookmarkEnd w:id="58"/>
      <w:bookmarkStart w:id="59" w:name="_Toc15396619"/>
    </w:p>
    <w:p w14:paraId="227BAD2B">
      <w:pPr>
        <w:pStyle w:val="15"/>
        <w:adjustRightInd w:val="0"/>
        <w:snapToGrid w:val="0"/>
        <w:spacing w:line="560" w:lineRule="exact"/>
        <w:jc w:val="left"/>
        <w:rPr>
          <w:rFonts w:hint="default" w:ascii="Times New Roman" w:hAnsi="Times New Roman" w:eastAsia="仿宋_GB2312" w:cs="Times New Roman"/>
          <w:sz w:val="32"/>
          <w:szCs w:val="32"/>
        </w:rPr>
      </w:pPr>
    </w:p>
    <w:p w14:paraId="09ED9CFC">
      <w:pPr>
        <w:pStyle w:val="4"/>
        <w:suppressAutoHyphens/>
        <w:bidi w:val="0"/>
        <w:rPr>
          <w:rFonts w:hint="default" w:ascii="Times New Roman" w:hAnsi="Times New Roman" w:eastAsia="仿宋" w:cs="Times New Roman"/>
          <w:b w:val="0"/>
          <w:color w:val="auto"/>
          <w:highlight w:val="none"/>
        </w:rPr>
      </w:pPr>
      <w:r>
        <w:rPr>
          <w:rFonts w:hint="default" w:ascii="Times New Roman" w:hAnsi="Times New Roman" w:eastAsia="仿宋" w:cs="Times New Roman"/>
          <w:b w:val="0"/>
          <w:color w:val="auto"/>
          <w:highlight w:val="none"/>
        </w:rPr>
        <w:t>一、收入支出决算总表</w:t>
      </w:r>
      <w:bookmarkEnd w:id="59"/>
    </w:p>
    <w:p w14:paraId="5254CF88">
      <w:pPr>
        <w:pStyle w:val="4"/>
        <w:suppressAutoHyphens/>
        <w:bidi w:val="0"/>
        <w:rPr>
          <w:rFonts w:hint="default" w:ascii="Times New Roman" w:hAnsi="Times New Roman" w:eastAsia="仿宋" w:cs="Times New Roman"/>
          <w:b w:val="0"/>
          <w:color w:val="auto"/>
          <w:highlight w:val="none"/>
        </w:rPr>
      </w:pPr>
      <w:bookmarkStart w:id="60" w:name="_Toc15396620"/>
      <w:r>
        <w:rPr>
          <w:rFonts w:hint="default" w:ascii="Times New Roman" w:hAnsi="Times New Roman" w:eastAsia="仿宋" w:cs="Times New Roman"/>
          <w:b w:val="0"/>
          <w:color w:val="auto"/>
          <w:highlight w:val="none"/>
        </w:rPr>
        <w:t>二、收入决算表</w:t>
      </w:r>
      <w:bookmarkEnd w:id="60"/>
    </w:p>
    <w:p w14:paraId="2F5F2926">
      <w:pPr>
        <w:pStyle w:val="4"/>
        <w:suppressAutoHyphens/>
        <w:bidi w:val="0"/>
        <w:rPr>
          <w:rFonts w:hint="default" w:ascii="Times New Roman" w:hAnsi="Times New Roman" w:eastAsia="仿宋" w:cs="Times New Roman"/>
          <w:b w:val="0"/>
          <w:color w:val="auto"/>
          <w:highlight w:val="none"/>
        </w:rPr>
      </w:pPr>
      <w:bookmarkStart w:id="61" w:name="_Toc15396621"/>
      <w:r>
        <w:rPr>
          <w:rFonts w:hint="default" w:ascii="Times New Roman" w:hAnsi="Times New Roman" w:eastAsia="仿宋" w:cs="Times New Roman"/>
          <w:b w:val="0"/>
          <w:color w:val="auto"/>
          <w:highlight w:val="none"/>
        </w:rPr>
        <w:t>三、支出决算表</w:t>
      </w:r>
      <w:bookmarkEnd w:id="61"/>
    </w:p>
    <w:p w14:paraId="6246EB0A">
      <w:pPr>
        <w:pStyle w:val="4"/>
        <w:suppressAutoHyphens/>
        <w:bidi w:val="0"/>
        <w:rPr>
          <w:rFonts w:hint="default" w:ascii="Times New Roman" w:hAnsi="Times New Roman" w:eastAsia="仿宋" w:cs="Times New Roman"/>
          <w:b w:val="0"/>
          <w:color w:val="auto"/>
          <w:highlight w:val="none"/>
        </w:rPr>
      </w:pPr>
      <w:bookmarkStart w:id="62" w:name="_Toc15396622"/>
      <w:r>
        <w:rPr>
          <w:rFonts w:hint="default" w:ascii="Times New Roman" w:hAnsi="Times New Roman" w:eastAsia="仿宋" w:cs="Times New Roman"/>
          <w:b w:val="0"/>
          <w:color w:val="auto"/>
          <w:highlight w:val="none"/>
        </w:rPr>
        <w:t>四、财政拨款收入支出决算总表</w:t>
      </w:r>
      <w:bookmarkEnd w:id="62"/>
    </w:p>
    <w:p w14:paraId="6BAEB6DE">
      <w:pPr>
        <w:pStyle w:val="4"/>
        <w:suppressAutoHyphens/>
        <w:bidi w:val="0"/>
        <w:rPr>
          <w:rFonts w:hint="default" w:ascii="Times New Roman" w:hAnsi="Times New Roman" w:eastAsia="仿宋" w:cs="Times New Roman"/>
          <w:b w:val="0"/>
          <w:color w:val="auto"/>
          <w:highlight w:val="none"/>
        </w:rPr>
      </w:pPr>
      <w:bookmarkStart w:id="63" w:name="_Toc15396623"/>
      <w:r>
        <w:rPr>
          <w:rFonts w:hint="default" w:ascii="Times New Roman" w:hAnsi="Times New Roman" w:eastAsia="仿宋" w:cs="Times New Roman"/>
          <w:b w:val="0"/>
          <w:color w:val="auto"/>
          <w:highlight w:val="none"/>
        </w:rPr>
        <w:t>五、财政拨款支出决算明细表</w:t>
      </w:r>
      <w:bookmarkEnd w:id="63"/>
      <w:bookmarkStart w:id="64" w:name="_Toc15396624"/>
    </w:p>
    <w:p w14:paraId="3D2920E5">
      <w:pPr>
        <w:pStyle w:val="4"/>
        <w:suppressAutoHyphens/>
        <w:bidi w:val="0"/>
        <w:rPr>
          <w:rFonts w:hint="default" w:ascii="Times New Roman" w:hAnsi="Times New Roman" w:eastAsia="仿宋" w:cs="Times New Roman"/>
          <w:b w:val="0"/>
          <w:color w:val="auto"/>
          <w:highlight w:val="none"/>
        </w:rPr>
      </w:pPr>
      <w:r>
        <w:rPr>
          <w:rFonts w:hint="default" w:ascii="Times New Roman" w:hAnsi="Times New Roman" w:eastAsia="仿宋" w:cs="Times New Roman"/>
          <w:b w:val="0"/>
          <w:color w:val="auto"/>
          <w:highlight w:val="none"/>
        </w:rPr>
        <w:t>六、一般公共预算财政拨款支出决算表</w:t>
      </w:r>
      <w:bookmarkEnd w:id="64"/>
    </w:p>
    <w:p w14:paraId="240F08B6">
      <w:pPr>
        <w:pStyle w:val="4"/>
        <w:suppressAutoHyphens/>
        <w:bidi w:val="0"/>
        <w:rPr>
          <w:rFonts w:hint="default" w:ascii="Times New Roman" w:hAnsi="Times New Roman" w:eastAsia="仿宋" w:cs="Times New Roman"/>
          <w:b w:val="0"/>
          <w:color w:val="auto"/>
          <w:highlight w:val="none"/>
        </w:rPr>
      </w:pPr>
      <w:bookmarkStart w:id="65" w:name="_Toc15396625"/>
      <w:r>
        <w:rPr>
          <w:rFonts w:hint="default" w:ascii="Times New Roman" w:hAnsi="Times New Roman" w:eastAsia="仿宋" w:cs="Times New Roman"/>
          <w:b w:val="0"/>
          <w:color w:val="auto"/>
          <w:highlight w:val="none"/>
        </w:rPr>
        <w:t>七、一般公共预算财政拨款支出决算明细表</w:t>
      </w:r>
      <w:bookmarkEnd w:id="65"/>
    </w:p>
    <w:p w14:paraId="2CA8AE20">
      <w:pPr>
        <w:pStyle w:val="4"/>
        <w:suppressAutoHyphens/>
        <w:bidi w:val="0"/>
        <w:rPr>
          <w:rFonts w:hint="default" w:ascii="Times New Roman" w:hAnsi="Times New Roman" w:eastAsia="仿宋" w:cs="Times New Roman"/>
          <w:b w:val="0"/>
          <w:color w:val="auto"/>
          <w:highlight w:val="none"/>
        </w:rPr>
      </w:pPr>
      <w:bookmarkStart w:id="66" w:name="_Toc15396626"/>
      <w:r>
        <w:rPr>
          <w:rFonts w:hint="default" w:ascii="Times New Roman" w:hAnsi="Times New Roman" w:eastAsia="仿宋" w:cs="Times New Roman"/>
          <w:b w:val="0"/>
          <w:color w:val="auto"/>
          <w:highlight w:val="none"/>
        </w:rPr>
        <w:t>八、一般公共预算财政拨款基本支出决算表</w:t>
      </w:r>
      <w:bookmarkEnd w:id="66"/>
    </w:p>
    <w:p w14:paraId="1021E5EC">
      <w:pPr>
        <w:pStyle w:val="4"/>
        <w:suppressAutoHyphens/>
        <w:bidi w:val="0"/>
        <w:rPr>
          <w:rFonts w:hint="default" w:ascii="Times New Roman" w:hAnsi="Times New Roman" w:eastAsia="仿宋" w:cs="Times New Roman"/>
          <w:b w:val="0"/>
          <w:color w:val="auto"/>
          <w:highlight w:val="none"/>
        </w:rPr>
      </w:pPr>
      <w:bookmarkStart w:id="67" w:name="_Toc15396627"/>
      <w:r>
        <w:rPr>
          <w:rFonts w:hint="default" w:ascii="Times New Roman" w:hAnsi="Times New Roman" w:eastAsia="仿宋" w:cs="Times New Roman"/>
          <w:b w:val="0"/>
          <w:color w:val="auto"/>
          <w:highlight w:val="none"/>
        </w:rPr>
        <w:t>九、一般公共预算财政拨款项目支出决算表</w:t>
      </w:r>
      <w:bookmarkEnd w:id="67"/>
    </w:p>
    <w:p w14:paraId="07043E00">
      <w:pPr>
        <w:pStyle w:val="4"/>
        <w:suppressAutoHyphens/>
        <w:bidi w:val="0"/>
        <w:rPr>
          <w:rFonts w:hint="default" w:ascii="Times New Roman" w:hAnsi="Times New Roman" w:eastAsia="仿宋" w:cs="Times New Roman"/>
          <w:b w:val="0"/>
          <w:color w:val="auto"/>
          <w:highlight w:val="none"/>
        </w:rPr>
      </w:pPr>
      <w:bookmarkStart w:id="68" w:name="_Toc15396628"/>
      <w:r>
        <w:rPr>
          <w:rFonts w:hint="default" w:ascii="Times New Roman" w:hAnsi="Times New Roman" w:eastAsia="仿宋" w:cs="Times New Roman"/>
          <w:b w:val="0"/>
          <w:color w:val="auto"/>
          <w:highlight w:val="none"/>
        </w:rPr>
        <w:t>十、</w:t>
      </w:r>
      <w:bookmarkEnd w:id="68"/>
      <w:r>
        <w:rPr>
          <w:rFonts w:hint="default" w:ascii="Times New Roman" w:hAnsi="Times New Roman" w:eastAsia="仿宋" w:cs="Times New Roman"/>
          <w:b w:val="0"/>
          <w:color w:val="auto"/>
          <w:highlight w:val="none"/>
        </w:rPr>
        <w:t>政府性基金预算财政拨款收入支出决算表</w:t>
      </w:r>
    </w:p>
    <w:p w14:paraId="7B15E922">
      <w:pPr>
        <w:pStyle w:val="4"/>
        <w:suppressAutoHyphens/>
        <w:bidi w:val="0"/>
        <w:rPr>
          <w:rFonts w:hint="default" w:ascii="Times New Roman" w:hAnsi="Times New Roman" w:eastAsia="仿宋" w:cs="Times New Roman"/>
          <w:b w:val="0"/>
          <w:color w:val="auto"/>
          <w:highlight w:val="none"/>
        </w:rPr>
      </w:pPr>
      <w:bookmarkStart w:id="69" w:name="_Toc15396629"/>
      <w:r>
        <w:rPr>
          <w:rFonts w:hint="default" w:ascii="Times New Roman" w:hAnsi="Times New Roman" w:eastAsia="仿宋" w:cs="Times New Roman"/>
          <w:b w:val="0"/>
          <w:color w:val="auto"/>
          <w:highlight w:val="none"/>
        </w:rPr>
        <w:t>十一、</w:t>
      </w:r>
      <w:bookmarkEnd w:id="69"/>
      <w:r>
        <w:rPr>
          <w:rFonts w:hint="default" w:ascii="Times New Roman" w:hAnsi="Times New Roman" w:eastAsia="仿宋" w:cs="Times New Roman"/>
          <w:b w:val="0"/>
          <w:color w:val="auto"/>
          <w:highlight w:val="none"/>
        </w:rPr>
        <w:t>国有资本经营预算财政拨款收入支出决算表</w:t>
      </w:r>
    </w:p>
    <w:p w14:paraId="0F22F1B4">
      <w:pPr>
        <w:pStyle w:val="4"/>
        <w:suppressAutoHyphens/>
        <w:bidi w:val="0"/>
        <w:rPr>
          <w:rFonts w:hint="default" w:ascii="Times New Roman" w:hAnsi="Times New Roman" w:eastAsia="仿宋" w:cs="Times New Roman"/>
          <w:b w:val="0"/>
          <w:color w:val="auto"/>
          <w:highlight w:val="none"/>
        </w:rPr>
      </w:pPr>
      <w:bookmarkStart w:id="70" w:name="_Toc15396630"/>
      <w:r>
        <w:rPr>
          <w:rFonts w:hint="default" w:ascii="Times New Roman" w:hAnsi="Times New Roman" w:eastAsia="仿宋" w:cs="Times New Roman"/>
          <w:b w:val="0"/>
          <w:color w:val="auto"/>
          <w:highlight w:val="none"/>
        </w:rPr>
        <w:t>十二、</w:t>
      </w:r>
      <w:bookmarkEnd w:id="70"/>
      <w:r>
        <w:rPr>
          <w:rFonts w:hint="default" w:ascii="Times New Roman" w:hAnsi="Times New Roman" w:eastAsia="仿宋" w:cs="Times New Roman"/>
          <w:b w:val="0"/>
          <w:color w:val="auto"/>
          <w:highlight w:val="none"/>
        </w:rPr>
        <w:t>国有资本经营预算财政拨款支出决算表</w:t>
      </w:r>
    </w:p>
    <w:p w14:paraId="3D830803">
      <w:pPr>
        <w:pStyle w:val="4"/>
        <w:suppressAutoHyphens/>
        <w:bidi w:val="0"/>
        <w:rPr>
          <w:rFonts w:hint="default" w:ascii="Times New Roman" w:hAnsi="Times New Roman" w:eastAsia="仿宋" w:cs="Times New Roman"/>
          <w:b w:val="0"/>
          <w:color w:val="auto"/>
          <w:highlight w:val="none"/>
        </w:rPr>
      </w:pPr>
      <w:bookmarkStart w:id="71" w:name="_Toc15396631"/>
      <w:r>
        <w:rPr>
          <w:rFonts w:hint="default" w:ascii="Times New Roman" w:hAnsi="Times New Roman" w:eastAsia="仿宋" w:cs="Times New Roman"/>
          <w:b w:val="0"/>
          <w:color w:val="auto"/>
          <w:highlight w:val="none"/>
        </w:rPr>
        <w:t>十三、</w:t>
      </w:r>
      <w:bookmarkEnd w:id="71"/>
      <w:r>
        <w:rPr>
          <w:rFonts w:hint="default" w:ascii="Times New Roman" w:hAnsi="Times New Roman" w:eastAsia="仿宋" w:cs="Times New Roman"/>
          <w:b w:val="0"/>
          <w:color w:val="auto"/>
          <w:highlight w:val="none"/>
        </w:rPr>
        <w:t>财政拨款“三公”经费支出决算表</w:t>
      </w:r>
    </w:p>
    <w:p w14:paraId="46D5F740">
      <w:pPr>
        <w:pStyle w:val="4"/>
        <w:suppressAutoHyphens/>
        <w:bidi w:val="0"/>
        <w:rPr>
          <w:rFonts w:hint="default" w:ascii="Times New Roman" w:hAnsi="Times New Roman" w:eastAsia="仿宋" w:cs="Times New Roman"/>
          <w:b w:val="0"/>
          <w:color w:val="auto"/>
          <w:highlight w:val="none"/>
        </w:rPr>
      </w:pPr>
    </w:p>
    <w:sectPr>
      <w:footerReference r:id="rId8" w:type="first"/>
      <w:footerReference r:id="rId7" w:type="default"/>
      <w:pgSz w:w="11906" w:h="16838"/>
      <w:pgMar w:top="1440" w:right="1800" w:bottom="1440" w:left="1800" w:header="851" w:footer="992" w:gutter="0"/>
      <w:pgNumType w:fmt="numberInDash" w:start="5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9E5A93-104F-4363-A046-549B30CF6D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722ABF3-4C2C-46DD-ABBB-7D2BD98D8DA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DE412E1E-3D59-470C-91B3-CF0835E5B1A1}"/>
  </w:font>
  <w:font w:name="仿宋">
    <w:panose1 w:val="02010609060101010101"/>
    <w:charset w:val="86"/>
    <w:family w:val="modern"/>
    <w:pitch w:val="default"/>
    <w:sig w:usb0="800002BF" w:usb1="38CF7CFA" w:usb2="00000016" w:usb3="00000000" w:csb0="00040001" w:csb1="00000000"/>
    <w:embedRegular r:id="rId4" w:fontKey="{53FC2C2B-F10E-4422-9B05-A082CEFC7E29}"/>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5" w:fontKey="{E693B2D7-8CF9-492E-90BF-D71DF290B782}"/>
  </w:font>
  <w:font w:name="方正小标宋简体">
    <w:panose1 w:val="02010601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6" w:fontKey="{2A05CEF9-3673-443C-BE86-0B9FD5E991BF}"/>
  </w:font>
  <w:font w:name="楷体_GB2312">
    <w:panose1 w:val="02010609030101010101"/>
    <w:charset w:val="86"/>
    <w:family w:val="auto"/>
    <w:pitch w:val="default"/>
    <w:sig w:usb0="00000001" w:usb1="080E0000" w:usb2="00000000" w:usb3="00000000" w:csb0="00040000" w:csb1="00000000"/>
    <w:embedRegular r:id="rId7" w:fontKey="{703AC28C-47B7-42A4-8B70-98F669365B0F}"/>
  </w:font>
  <w:font w:name="方正仿宋_GB2312">
    <w:panose1 w:val="02000000000000000000"/>
    <w:charset w:val="86"/>
    <w:family w:val="auto"/>
    <w:pitch w:val="default"/>
    <w:sig w:usb0="A00002BF" w:usb1="184F6CFA" w:usb2="00000012" w:usb3="00000000" w:csb0="00040001" w:csb1="00000000"/>
    <w:embedRegular r:id="rId8" w:fontKey="{AB7C242F-BECB-4BB7-A595-5D8C05876A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94825">
    <w:pPr>
      <w:pStyle w:val="11"/>
      <w:jc w:val="center"/>
    </w:pPr>
  </w:p>
  <w:p w14:paraId="1C1DB24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60123">
    <w:pPr>
      <w:pStyle w:val="11"/>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3FB7E">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B3FB7E">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v:textbox>
            </v:shape>
          </w:pict>
        </mc:Fallback>
      </mc:AlternateContent>
    </w:r>
  </w:p>
  <w:p w14:paraId="542CF16B">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D3265">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E247D">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DE247D">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40B02">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D75F0">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B4D75F0">
                    <w:pPr>
                      <w:pStyle w:val="11"/>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v:textbox>
            </v:shape>
          </w:pict>
        </mc:Fallback>
      </mc:AlternateContent>
    </w:r>
  </w:p>
  <w:p w14:paraId="3364EC03">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2CDE5">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F2282">
                          <w:pPr>
                            <w:pStyle w:val="11"/>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65F2282">
                    <w:pPr>
                      <w:pStyle w:val="11"/>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44D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D139C"/>
    <w:multiLevelType w:val="singleLevel"/>
    <w:tmpl w:val="813D139C"/>
    <w:lvl w:ilvl="0" w:tentative="0">
      <w:start w:val="3"/>
      <w:numFmt w:val="chineseCounting"/>
      <w:suff w:val="nothing"/>
      <w:lvlText w:val="（%1）"/>
      <w:lvlJc w:val="left"/>
      <w:rPr>
        <w:rFonts w:hint="eastAsia"/>
      </w:rPr>
    </w:lvl>
  </w:abstractNum>
  <w:abstractNum w:abstractNumId="1">
    <w:nsid w:val="03871E8E"/>
    <w:multiLevelType w:val="singleLevel"/>
    <w:tmpl w:val="03871E8E"/>
    <w:lvl w:ilvl="0" w:tentative="0">
      <w:start w:val="1"/>
      <w:numFmt w:val="chineseCounting"/>
      <w:suff w:val="nothing"/>
      <w:lvlText w:val="%1、"/>
      <w:lvlJc w:val="left"/>
      <w:rPr>
        <w:rFonts w:hint="eastAsia"/>
      </w:rPr>
    </w:lvl>
  </w:abstractNum>
  <w:abstractNum w:abstractNumId="2">
    <w:nsid w:val="210DB2F5"/>
    <w:multiLevelType w:val="singleLevel"/>
    <w:tmpl w:val="210DB2F5"/>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3"/>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4CAE"/>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3868B8"/>
    <w:rsid w:val="02FEBE30"/>
    <w:rsid w:val="03E61B66"/>
    <w:rsid w:val="04916F1E"/>
    <w:rsid w:val="049E4736"/>
    <w:rsid w:val="055E50A5"/>
    <w:rsid w:val="061E35DE"/>
    <w:rsid w:val="066E0107"/>
    <w:rsid w:val="07996F6E"/>
    <w:rsid w:val="07DFD8BA"/>
    <w:rsid w:val="08C0550B"/>
    <w:rsid w:val="09867E8F"/>
    <w:rsid w:val="0A2032A3"/>
    <w:rsid w:val="0A650C83"/>
    <w:rsid w:val="0A815C26"/>
    <w:rsid w:val="0AF85654"/>
    <w:rsid w:val="0B9A44B2"/>
    <w:rsid w:val="0CA8290A"/>
    <w:rsid w:val="0D35B1ED"/>
    <w:rsid w:val="0E254B6B"/>
    <w:rsid w:val="0F98263C"/>
    <w:rsid w:val="101860EC"/>
    <w:rsid w:val="101F47CC"/>
    <w:rsid w:val="10510C30"/>
    <w:rsid w:val="108F6EF1"/>
    <w:rsid w:val="10C055FF"/>
    <w:rsid w:val="11694EBD"/>
    <w:rsid w:val="11772AA4"/>
    <w:rsid w:val="118107EC"/>
    <w:rsid w:val="11CF655F"/>
    <w:rsid w:val="120345BF"/>
    <w:rsid w:val="127A1044"/>
    <w:rsid w:val="12B66520"/>
    <w:rsid w:val="12E24EE2"/>
    <w:rsid w:val="12E93266"/>
    <w:rsid w:val="13D50BC4"/>
    <w:rsid w:val="14B17F78"/>
    <w:rsid w:val="15830915"/>
    <w:rsid w:val="15FD0292"/>
    <w:rsid w:val="165E0673"/>
    <w:rsid w:val="16B831D5"/>
    <w:rsid w:val="16BB723D"/>
    <w:rsid w:val="17E50567"/>
    <w:rsid w:val="180355F4"/>
    <w:rsid w:val="186504BB"/>
    <w:rsid w:val="19A445FC"/>
    <w:rsid w:val="1A5615BC"/>
    <w:rsid w:val="1B9643ED"/>
    <w:rsid w:val="1BE8440E"/>
    <w:rsid w:val="1CC6347C"/>
    <w:rsid w:val="1D155CEE"/>
    <w:rsid w:val="1D1638FE"/>
    <w:rsid w:val="1DAC66AD"/>
    <w:rsid w:val="1E312DEB"/>
    <w:rsid w:val="1E740ACF"/>
    <w:rsid w:val="1FF35744"/>
    <w:rsid w:val="1FF6BC77"/>
    <w:rsid w:val="21714B16"/>
    <w:rsid w:val="2186353C"/>
    <w:rsid w:val="223B6DC1"/>
    <w:rsid w:val="22F55FE0"/>
    <w:rsid w:val="236773C3"/>
    <w:rsid w:val="23860B96"/>
    <w:rsid w:val="240371BF"/>
    <w:rsid w:val="244F3473"/>
    <w:rsid w:val="24A47FDC"/>
    <w:rsid w:val="24C97D99"/>
    <w:rsid w:val="24CC572F"/>
    <w:rsid w:val="25A718F0"/>
    <w:rsid w:val="25BB59F6"/>
    <w:rsid w:val="25D42079"/>
    <w:rsid w:val="260F557C"/>
    <w:rsid w:val="26970054"/>
    <w:rsid w:val="27BA2DF1"/>
    <w:rsid w:val="28023A6F"/>
    <w:rsid w:val="281408E2"/>
    <w:rsid w:val="29FD04D3"/>
    <w:rsid w:val="2BFF7BC6"/>
    <w:rsid w:val="2C8A61B5"/>
    <w:rsid w:val="2DA44895"/>
    <w:rsid w:val="2DF04E50"/>
    <w:rsid w:val="2E586DFA"/>
    <w:rsid w:val="2F040D46"/>
    <w:rsid w:val="2F6B035B"/>
    <w:rsid w:val="2FAE5751"/>
    <w:rsid w:val="2FB1A395"/>
    <w:rsid w:val="2FD9A7D8"/>
    <w:rsid w:val="2FDBF714"/>
    <w:rsid w:val="30AB6865"/>
    <w:rsid w:val="31413001"/>
    <w:rsid w:val="319F7F4E"/>
    <w:rsid w:val="3239017C"/>
    <w:rsid w:val="32BD1EF1"/>
    <w:rsid w:val="3304709D"/>
    <w:rsid w:val="33203ACB"/>
    <w:rsid w:val="33A773CB"/>
    <w:rsid w:val="349D6851"/>
    <w:rsid w:val="35E6413B"/>
    <w:rsid w:val="36AA5135"/>
    <w:rsid w:val="36BE0DA7"/>
    <w:rsid w:val="376B6AA6"/>
    <w:rsid w:val="376D39B2"/>
    <w:rsid w:val="37E16F03"/>
    <w:rsid w:val="37F53A3B"/>
    <w:rsid w:val="388139C0"/>
    <w:rsid w:val="389B6C89"/>
    <w:rsid w:val="38D469F0"/>
    <w:rsid w:val="39627CCD"/>
    <w:rsid w:val="396F0283"/>
    <w:rsid w:val="397BAF1F"/>
    <w:rsid w:val="39AA2567"/>
    <w:rsid w:val="3A797CAF"/>
    <w:rsid w:val="3AB79AF3"/>
    <w:rsid w:val="3ACA4067"/>
    <w:rsid w:val="3AE834C0"/>
    <w:rsid w:val="3B7EF35A"/>
    <w:rsid w:val="3B9FDB6C"/>
    <w:rsid w:val="3BF5BC2F"/>
    <w:rsid w:val="3CEBA265"/>
    <w:rsid w:val="3D98207C"/>
    <w:rsid w:val="3DEE7CF3"/>
    <w:rsid w:val="3E740A63"/>
    <w:rsid w:val="3E78745D"/>
    <w:rsid w:val="3EC04C19"/>
    <w:rsid w:val="3EE17838"/>
    <w:rsid w:val="3F315071"/>
    <w:rsid w:val="3F55381A"/>
    <w:rsid w:val="3F7F7599"/>
    <w:rsid w:val="3FF4CAE0"/>
    <w:rsid w:val="3FF7B227"/>
    <w:rsid w:val="420662CD"/>
    <w:rsid w:val="44E268DA"/>
    <w:rsid w:val="450D13D7"/>
    <w:rsid w:val="45506656"/>
    <w:rsid w:val="46FA5CD4"/>
    <w:rsid w:val="475F3D89"/>
    <w:rsid w:val="483E6094"/>
    <w:rsid w:val="486A6C7A"/>
    <w:rsid w:val="4A627F82"/>
    <w:rsid w:val="4B0E749A"/>
    <w:rsid w:val="4B2477C4"/>
    <w:rsid w:val="4B4F25DA"/>
    <w:rsid w:val="4BE068DB"/>
    <w:rsid w:val="4D577224"/>
    <w:rsid w:val="4DBF1CEB"/>
    <w:rsid w:val="4DF0007C"/>
    <w:rsid w:val="4EAB630A"/>
    <w:rsid w:val="4ECE2238"/>
    <w:rsid w:val="4F833267"/>
    <w:rsid w:val="4FE9BD67"/>
    <w:rsid w:val="4FFB052F"/>
    <w:rsid w:val="50373AF5"/>
    <w:rsid w:val="51D92B01"/>
    <w:rsid w:val="537E6D0A"/>
    <w:rsid w:val="53F74C96"/>
    <w:rsid w:val="55033F53"/>
    <w:rsid w:val="55170BA8"/>
    <w:rsid w:val="553218C9"/>
    <w:rsid w:val="567E1AA5"/>
    <w:rsid w:val="56E47B74"/>
    <w:rsid w:val="57175D52"/>
    <w:rsid w:val="57BD3DD4"/>
    <w:rsid w:val="57C065EB"/>
    <w:rsid w:val="582965DA"/>
    <w:rsid w:val="5980650D"/>
    <w:rsid w:val="5AF92295"/>
    <w:rsid w:val="5B250254"/>
    <w:rsid w:val="5BDD79E6"/>
    <w:rsid w:val="5BF561CA"/>
    <w:rsid w:val="5BFF5DFC"/>
    <w:rsid w:val="5CD71FC4"/>
    <w:rsid w:val="5D1F11B5"/>
    <w:rsid w:val="5D695134"/>
    <w:rsid w:val="5DAE1B18"/>
    <w:rsid w:val="5DE7D9E5"/>
    <w:rsid w:val="5ECEC941"/>
    <w:rsid w:val="5F675708"/>
    <w:rsid w:val="5FBF9FF3"/>
    <w:rsid w:val="5FCD4E2C"/>
    <w:rsid w:val="5FEF394A"/>
    <w:rsid w:val="5FF67715"/>
    <w:rsid w:val="62BF3928"/>
    <w:rsid w:val="634828B5"/>
    <w:rsid w:val="63B3701E"/>
    <w:rsid w:val="642E5A00"/>
    <w:rsid w:val="647F5392"/>
    <w:rsid w:val="65E66580"/>
    <w:rsid w:val="664B1D71"/>
    <w:rsid w:val="664B4E8E"/>
    <w:rsid w:val="67277B67"/>
    <w:rsid w:val="67AA3209"/>
    <w:rsid w:val="698D0931"/>
    <w:rsid w:val="6A7FE5F3"/>
    <w:rsid w:val="6B053271"/>
    <w:rsid w:val="6BDD78B3"/>
    <w:rsid w:val="6C4A05C8"/>
    <w:rsid w:val="6C8742B8"/>
    <w:rsid w:val="6DBE53FE"/>
    <w:rsid w:val="6DBF5E93"/>
    <w:rsid w:val="6DFF077E"/>
    <w:rsid w:val="6E1D340A"/>
    <w:rsid w:val="6E427DDD"/>
    <w:rsid w:val="6E714EF0"/>
    <w:rsid w:val="6E7E3605"/>
    <w:rsid w:val="6E7FDCC7"/>
    <w:rsid w:val="6ED35276"/>
    <w:rsid w:val="6ED6A62E"/>
    <w:rsid w:val="6EE00B15"/>
    <w:rsid w:val="6F6FB3EB"/>
    <w:rsid w:val="6F8731EA"/>
    <w:rsid w:val="6FCE6052"/>
    <w:rsid w:val="6FD57C00"/>
    <w:rsid w:val="6FEFFFD8"/>
    <w:rsid w:val="6FF5CC65"/>
    <w:rsid w:val="6FFB47EC"/>
    <w:rsid w:val="6FFF034A"/>
    <w:rsid w:val="703A16B7"/>
    <w:rsid w:val="70484440"/>
    <w:rsid w:val="708109BB"/>
    <w:rsid w:val="712A28F1"/>
    <w:rsid w:val="715C0E4B"/>
    <w:rsid w:val="71992E7C"/>
    <w:rsid w:val="71ED251E"/>
    <w:rsid w:val="71FF2EBF"/>
    <w:rsid w:val="72233669"/>
    <w:rsid w:val="72734D90"/>
    <w:rsid w:val="73160E6D"/>
    <w:rsid w:val="73267CCD"/>
    <w:rsid w:val="7332FE48"/>
    <w:rsid w:val="73AB61DA"/>
    <w:rsid w:val="73AD73D5"/>
    <w:rsid w:val="73B6EB34"/>
    <w:rsid w:val="73FA497D"/>
    <w:rsid w:val="742F314F"/>
    <w:rsid w:val="744731E5"/>
    <w:rsid w:val="74626AE3"/>
    <w:rsid w:val="74BBD01D"/>
    <w:rsid w:val="74EC6556"/>
    <w:rsid w:val="74ED5379"/>
    <w:rsid w:val="75DEEEC2"/>
    <w:rsid w:val="75E32345"/>
    <w:rsid w:val="763D7801"/>
    <w:rsid w:val="765F165A"/>
    <w:rsid w:val="76650B0D"/>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E87DA1"/>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spacing w:before="0" w:beforeAutospacing="0" w:after="0" w:afterAutospacing="0"/>
      <w:ind w:left="1680" w:right="0"/>
      <w:jc w:val="left"/>
    </w:pPr>
    <w:rPr>
      <w:rFonts w:hint="eastAsia" w:ascii="宋体" w:hAnsi="宋体" w:eastAsia="宋体" w:cs="宋体"/>
      <w:kern w:val="0"/>
      <w:sz w:val="24"/>
      <w:szCs w:val="24"/>
      <w:lang w:val="en-US" w:eastAsia="zh-CN" w:bidi="ar"/>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文档正文"/>
    <w:basedOn w:val="1"/>
    <w:qFormat/>
    <w:uiPriority w:val="0"/>
    <w:pPr>
      <w:adjustRightInd w:val="0"/>
      <w:spacing w:line="480" w:lineRule="atLeast"/>
      <w:textAlignment w:val="baseline"/>
    </w:pPr>
    <w:rPr>
      <w:rFonts w:ascii="Arial" w:hAnsi="Arial"/>
      <w:kern w:val="0"/>
    </w:rPr>
  </w:style>
  <w:style w:type="paragraph" w:styleId="37">
    <w:name w:val="No Spacing"/>
    <w:qFormat/>
    <w:uiPriority w:val="0"/>
    <w:pPr>
      <w:jc w:val="both"/>
      <w:textAlignment w:val="baseline"/>
    </w:pPr>
    <w:rPr>
      <w:rFonts w:ascii="Times New Roman" w:hAnsi="Times New Roman" w:eastAsia="宋体" w:cs="Times New Roman"/>
      <w:color w:val="000000"/>
      <w:sz w:val="21"/>
      <w:szCs w:val="20"/>
      <w:u w:val="none" w:color="000000"/>
      <w:lang w:val="en-US" w:eastAsia="zh-CN" w:bidi="ar-SA"/>
    </w:rPr>
  </w:style>
  <w:style w:type="paragraph" w:customStyle="1" w:styleId="38">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7.emf"/><Relationship Id="rId22" Type="http://schemas.openxmlformats.org/officeDocument/2006/relationships/oleObject" Target="embeddings/oleObject7.bin"/><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61</Pages>
  <Words>5649</Words>
  <Characters>6176</Characters>
  <Lines>60</Lines>
  <Paragraphs>17</Paragraphs>
  <TotalTime>1</TotalTime>
  <ScaleCrop>false</ScaleCrop>
  <LinksUpToDate>false</LinksUpToDate>
  <CharactersWithSpaces>6225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一个笨蛋</cp:lastModifiedBy>
  <cp:lastPrinted>2025-09-10T02:27:00Z</cp:lastPrinted>
  <dcterms:modified xsi:type="dcterms:W3CDTF">2025-12-02T08:16:52Z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04787F2533EB45DC91BCDE4AB213247F</vt:lpwstr>
  </property>
  <property fmtid="{D5CDD505-2E9C-101B-9397-08002B2CF9AE}" pid="4" name="KSOTemplateDocerSaveRecord">
    <vt:lpwstr>eyJoZGlkIjoiYjllZGNkZWEzYjg0NDNmNTQ5MjkzNjk0ODlhNmVkYzAiLCJ1c2VySWQiOiI0MTAxMDQ4MDkifQ==</vt:lpwstr>
  </property>
</Properties>
</file>