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方正小标宋简体" w:cs="Times New Roman"/>
          <w:color w:val="000000"/>
          <w:sz w:val="72"/>
          <w:szCs w:val="72"/>
        </w:rPr>
      </w:pPr>
      <w:bookmarkStart w:id="0" w:name="_Toc15306267"/>
    </w:p>
    <w:p>
      <w:pPr>
        <w:spacing w:line="600" w:lineRule="exact"/>
        <w:jc w:val="center"/>
        <w:outlineLvl w:val="0"/>
        <w:rPr>
          <w:rFonts w:hint="default" w:ascii="Times New Roman" w:hAnsi="Times New Roman" w:eastAsia="方正小标宋简体" w:cs="Times New Roman"/>
          <w:color w:val="000000"/>
          <w:sz w:val="72"/>
          <w:szCs w:val="72"/>
        </w:rPr>
      </w:pPr>
    </w:p>
    <w:p>
      <w:pPr>
        <w:spacing w:line="600" w:lineRule="exact"/>
        <w:jc w:val="center"/>
        <w:outlineLvl w:val="0"/>
        <w:rPr>
          <w:rFonts w:hint="default" w:ascii="Times New Roman" w:hAnsi="Times New Roman" w:eastAsia="方正小标宋简体" w:cs="Times New Roman"/>
          <w:color w:val="000000"/>
          <w:sz w:val="72"/>
          <w:szCs w:val="72"/>
        </w:rPr>
      </w:pPr>
    </w:p>
    <w:p>
      <w:pPr>
        <w:jc w:val="center"/>
        <w:rPr>
          <w:rFonts w:hint="default" w:ascii="Times New Roman" w:hAnsi="Times New Roman" w:eastAsia="黑体" w:cs="Times New Roman"/>
          <w:sz w:val="72"/>
          <w:szCs w:val="72"/>
        </w:rPr>
      </w:pPr>
      <w:bookmarkStart w:id="1" w:name="_Toc15396475"/>
      <w:bookmarkStart w:id="2" w:name="_Toc15378441"/>
      <w:bookmarkStart w:id="3" w:name="_Toc15377425"/>
      <w:bookmarkStart w:id="4" w:name="_Toc15377193"/>
      <w:bookmarkStart w:id="5" w:name="_Toc15396597"/>
      <w:r>
        <w:rPr>
          <w:rFonts w:hint="default" w:ascii="Times New Roman" w:hAnsi="Times New Roman" w:eastAsia="黑体" w:cs="Times New Roman"/>
          <w:sz w:val="72"/>
          <w:szCs w:val="72"/>
        </w:rPr>
        <w:t>2020年度</w:t>
      </w:r>
      <w:bookmarkEnd w:id="1"/>
      <w:bookmarkEnd w:id="2"/>
      <w:bookmarkEnd w:id="3"/>
      <w:bookmarkEnd w:id="4"/>
      <w:bookmarkEnd w:id="5"/>
    </w:p>
    <w:p>
      <w:pPr>
        <w:jc w:val="center"/>
        <w:rPr>
          <w:rFonts w:hint="default" w:ascii="Times New Roman" w:hAnsi="Times New Roman" w:eastAsia="方正小标宋简体" w:cs="Times New Roman"/>
          <w:sz w:val="72"/>
          <w:szCs w:val="72"/>
          <w:lang w:val="en-US" w:eastAsia="zh-CN"/>
        </w:rPr>
      </w:pPr>
      <w:bookmarkStart w:id="6" w:name="_Toc15396598"/>
      <w:bookmarkStart w:id="7" w:name="_Toc15377194"/>
      <w:bookmarkStart w:id="8" w:name="_Toc15377426"/>
      <w:bookmarkStart w:id="9" w:name="_Toc15396476"/>
      <w:bookmarkStart w:id="10" w:name="_Toc15378442"/>
      <w:r>
        <w:rPr>
          <w:rFonts w:hint="default" w:ascii="Times New Roman" w:hAnsi="Times New Roman" w:eastAsia="方正小标宋简体" w:cs="Times New Roman"/>
          <w:sz w:val="72"/>
          <w:szCs w:val="72"/>
        </w:rPr>
        <w:t>四川省阿坝州</w:t>
      </w:r>
      <w:bookmarkEnd w:id="0"/>
      <w:bookmarkStart w:id="11" w:name="_Toc15306268"/>
      <w:r>
        <w:rPr>
          <w:rFonts w:hint="default" w:ascii="Times New Roman" w:hAnsi="Times New Roman" w:eastAsia="方正小标宋简体" w:cs="Times New Roman"/>
          <w:sz w:val="72"/>
          <w:szCs w:val="72"/>
          <w:lang w:val="en-US" w:eastAsia="zh-CN"/>
        </w:rPr>
        <w:t>直机关工委</w:t>
      </w:r>
    </w:p>
    <w:p>
      <w:pPr>
        <w:jc w:val="center"/>
        <w:rPr>
          <w:rFonts w:hint="default" w:ascii="Times New Roman" w:hAnsi="Times New Roman" w:eastAsia="方正小标宋简体" w:cs="Times New Roman"/>
          <w:sz w:val="72"/>
          <w:szCs w:val="72"/>
        </w:rPr>
      </w:pPr>
      <w:r>
        <w:rPr>
          <w:rFonts w:hint="default" w:ascii="Times New Roman" w:hAnsi="Times New Roman" w:eastAsia="方正小标宋简体" w:cs="Times New Roman"/>
          <w:sz w:val="72"/>
          <w:szCs w:val="72"/>
        </w:rPr>
        <w:t>部门决算</w:t>
      </w:r>
      <w:bookmarkEnd w:id="6"/>
      <w:bookmarkEnd w:id="7"/>
      <w:bookmarkEnd w:id="8"/>
      <w:bookmarkEnd w:id="9"/>
      <w:bookmarkEnd w:id="10"/>
      <w:bookmarkEnd w:id="11"/>
    </w:p>
    <w:p>
      <w:pPr>
        <w:jc w:val="center"/>
        <w:rPr>
          <w:rFonts w:hint="default" w:ascii="Times New Roman" w:hAnsi="Times New Roman" w:eastAsia="方正小标宋简体" w:cs="Times New Roman"/>
          <w:sz w:val="52"/>
          <w:szCs w:val="52"/>
        </w:rPr>
      </w:pPr>
    </w:p>
    <w:p>
      <w:pPr>
        <w:widowControl/>
        <w:jc w:val="cente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sz w:val="36"/>
          <w:szCs w:val="36"/>
        </w:rPr>
      </w:pPr>
    </w:p>
    <w:p>
      <w:pPr>
        <w:rPr>
          <w:rFonts w:hint="default" w:ascii="Times New Roman" w:hAnsi="Times New Roman" w:eastAsia="方正小标宋简体" w:cs="Times New Roman"/>
          <w:sz w:val="36"/>
          <w:szCs w:val="36"/>
        </w:rPr>
      </w:pPr>
    </w:p>
    <w:p>
      <w:pPr>
        <w:rPr>
          <w:rFonts w:hint="default" w:ascii="Times New Roman" w:hAnsi="Times New Roman" w:eastAsia="方正小标宋简体" w:cs="Times New Roman"/>
          <w:sz w:val="36"/>
          <w:szCs w:val="36"/>
        </w:rPr>
      </w:pPr>
    </w:p>
    <w:p>
      <w:pPr>
        <w:rPr>
          <w:rFonts w:hint="default" w:ascii="Times New Roman" w:hAnsi="Times New Roman" w:eastAsia="方正小标宋简体" w:cs="Times New Roman"/>
          <w:sz w:val="36"/>
          <w:szCs w:val="36"/>
        </w:rPr>
      </w:pPr>
    </w:p>
    <w:p>
      <w:pPr>
        <w:autoSpaceDE w:val="0"/>
        <w:autoSpaceDN w:val="0"/>
        <w:adjustRightInd w:val="0"/>
        <w:ind w:left="420" w:leftChars="200"/>
        <w:jc w:val="left"/>
        <w:rPr>
          <w:rFonts w:hint="default" w:ascii="Times New Roman" w:hAnsi="Times New Roman" w:cs="Times New Roman"/>
          <w:sz w:val="32"/>
          <w:szCs w:val="32"/>
        </w:rPr>
      </w:pPr>
      <w:r>
        <w:rPr>
          <w:rFonts w:hint="default" w:ascii="Times New Roman" w:hAnsi="Times New Roman" w:cs="Times New Roman"/>
          <w:sz w:val="32"/>
          <w:szCs w:val="32"/>
        </w:rPr>
        <w:t>保密审查情况：已审查，内容审定</w:t>
      </w:r>
    </w:p>
    <w:p>
      <w:pPr>
        <w:autoSpaceDE w:val="0"/>
        <w:autoSpaceDN w:val="0"/>
        <w:adjustRightInd w:val="0"/>
        <w:ind w:left="420" w:leftChars="200"/>
        <w:jc w:val="left"/>
        <w:rPr>
          <w:rFonts w:hint="default"/>
        </w:rPr>
        <w:sectPr>
          <w:headerReference r:id="rId3" w:type="default"/>
          <w:footerReference r:id="rId4" w:type="default"/>
          <w:pgSz w:w="11906" w:h="16838"/>
          <w:pgMar w:top="2098" w:right="1474" w:bottom="1984" w:left="1587" w:header="851" w:footer="992" w:gutter="0"/>
          <w:pgNumType w:fmt="decimal" w:start="1"/>
          <w:cols w:space="425" w:num="1"/>
          <w:titlePg/>
          <w:docGrid w:type="lines" w:linePitch="312" w:charSpace="0"/>
        </w:sectPr>
      </w:pPr>
      <w:r>
        <w:rPr>
          <w:rFonts w:hint="default" w:ascii="Times New Roman" w:hAnsi="Times New Roman" w:cs="Times New Roman"/>
          <w:sz w:val="32"/>
          <w:szCs w:val="32"/>
        </w:rPr>
        <w:t>部门主要负责人审签情况：已审签，同意对外公开</w:t>
      </w:r>
    </w:p>
    <w:p>
      <w:pPr>
        <w:widowControl/>
        <w:jc w:val="both"/>
        <w:rPr>
          <w:rFonts w:hint="default" w:ascii="Times New Roman" w:hAnsi="Times New Roman" w:eastAsia="方正小标宋简体" w:cs="Times New Roman"/>
          <w:color w:val="000000"/>
          <w:sz w:val="36"/>
          <w:szCs w:val="36"/>
        </w:rPr>
      </w:pPr>
    </w:p>
    <w:p>
      <w:pPr>
        <w:widowControl/>
        <w:jc w:val="center"/>
        <w:rPr>
          <w:rFonts w:hint="default" w:ascii="Times New Roman" w:hAnsi="Times New Roman" w:eastAsia="黑体" w:cs="Times New Roman"/>
          <w:color w:val="000000"/>
          <w:sz w:val="48"/>
          <w:szCs w:val="48"/>
        </w:rPr>
        <w:sectPr>
          <w:pgSz w:w="11906" w:h="16838"/>
          <w:pgMar w:top="2098" w:right="1474" w:bottom="1984" w:left="1587" w:header="851" w:footer="992" w:gutter="0"/>
          <w:pgNumType w:fmt="decimal" w:start="1"/>
          <w:cols w:space="425" w:num="1"/>
          <w:titlePg/>
          <w:docGrid w:type="lines" w:linePitch="312" w:charSpace="0"/>
        </w:sectPr>
      </w:pPr>
    </w:p>
    <w:p>
      <w:pPr>
        <w:widowControl/>
        <w:jc w:val="center"/>
        <w:rPr>
          <w:rFonts w:hint="default" w:ascii="Times New Roman" w:hAnsi="Times New Roman" w:eastAsia="黑体" w:cs="Times New Roman"/>
          <w:color w:val="000000"/>
          <w:sz w:val="48"/>
          <w:szCs w:val="48"/>
        </w:rPr>
      </w:pPr>
      <w:r>
        <w:rPr>
          <w:rFonts w:hint="default" w:ascii="Times New Roman" w:hAnsi="Times New Roman" w:eastAsia="黑体" w:cs="Times New Roman"/>
          <w:color w:val="000000"/>
          <w:sz w:val="48"/>
          <w:szCs w:val="48"/>
        </w:rPr>
        <w:t>目录</w:t>
      </w:r>
    </w:p>
    <w:p>
      <w:pPr>
        <w:pStyle w:val="14"/>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公开时间：2021年 9月2</w:t>
      </w:r>
      <w:r>
        <w:rPr>
          <w:rFonts w:hint="eastAsia" w:ascii="Times New Roman" w:cs="Times New Roman"/>
          <w:b w:val="0"/>
          <w:bCs w:val="0"/>
          <w:sz w:val="24"/>
          <w:szCs w:val="24"/>
          <w:lang w:val="en-US" w:eastAsia="zh-CN"/>
        </w:rPr>
        <w:t>9</w:t>
      </w:r>
      <w:r>
        <w:rPr>
          <w:rFonts w:hint="default" w:ascii="Times New Roman" w:hAnsi="Times New Roman" w:cs="Times New Roman"/>
          <w:b w:val="0"/>
          <w:bCs w:val="0"/>
          <w:sz w:val="24"/>
          <w:szCs w:val="24"/>
        </w:rPr>
        <w:t>日</w:t>
      </w:r>
    </w:p>
    <w:p>
      <w:pPr>
        <w:pStyle w:val="14"/>
        <w:tabs>
          <w:tab w:val="right" w:leader="dot" w:pos="8845"/>
        </w:tabs>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TOC \o \u </w:instrText>
      </w:r>
      <w:r>
        <w:rPr>
          <w:rFonts w:hint="default" w:ascii="Times New Roman" w:hAnsi="Times New Roman" w:cs="Times New Roman"/>
          <w:b w:val="0"/>
          <w:bCs w:val="0"/>
          <w:caps w:val="0"/>
        </w:rPr>
        <w:fldChar w:fldCharType="separate"/>
      </w:r>
      <w:r>
        <w:rPr>
          <w:rFonts w:hint="default" w:ascii="Times New Roman" w:hAnsi="Times New Roman" w:eastAsia="黑体" w:cs="Times New Roman"/>
        </w:rPr>
        <w:t xml:space="preserve">第一部分 </w:t>
      </w:r>
      <w:r>
        <w:rPr>
          <w:rFonts w:hint="default" w:ascii="Times New Roman" w:hAnsi="Times New Roman" w:eastAsia="黑体" w:cs="Times New Roman"/>
          <w:bCs w:val="0"/>
        </w:rPr>
        <w:t>部门概况</w:t>
      </w:r>
      <w:r>
        <w:tab/>
      </w:r>
      <w:r>
        <w:fldChar w:fldCharType="begin"/>
      </w:r>
      <w:r>
        <w:instrText xml:space="preserve"> PAGEREF _Toc31519 \h </w:instrText>
      </w:r>
      <w:r>
        <w:fldChar w:fldCharType="separate"/>
      </w:r>
      <w:r>
        <w:t>1</w:t>
      </w:r>
      <w:r>
        <w:fldChar w:fldCharType="end"/>
      </w:r>
    </w:p>
    <w:p>
      <w:pPr>
        <w:pStyle w:val="18"/>
        <w:tabs>
          <w:tab w:val="right" w:leader="dot" w:pos="8845"/>
        </w:tabs>
      </w:pPr>
      <w:r>
        <w:rPr>
          <w:rFonts w:hint="default" w:ascii="Times New Roman" w:hAnsi="Times New Roman" w:eastAsia="黑体" w:cs="Times New Roman"/>
          <w:color w:val="000000" w:themeColor="text1"/>
          <w14:textFill>
            <w14:solidFill>
              <w14:schemeClr w14:val="tx1"/>
            </w14:solidFill>
          </w14:textFill>
        </w:rPr>
        <w:t>一、基</w:t>
      </w:r>
      <w:r>
        <w:rPr>
          <w:rFonts w:hint="default" w:ascii="Times New Roman" w:hAnsi="Times New Roman" w:eastAsia="黑体" w:cs="Times New Roman"/>
          <w:bCs w:val="0"/>
          <w:color w:val="000000" w:themeColor="text1"/>
          <w14:textFill>
            <w14:solidFill>
              <w14:schemeClr w14:val="tx1"/>
            </w14:solidFill>
          </w14:textFill>
        </w:rPr>
        <w:t>本职能及主要工作</w:t>
      </w:r>
      <w:r>
        <w:tab/>
      </w:r>
      <w:r>
        <w:fldChar w:fldCharType="begin"/>
      </w:r>
      <w:r>
        <w:instrText xml:space="preserve"> PAGEREF _Toc29091 \h </w:instrText>
      </w:r>
      <w:r>
        <w:fldChar w:fldCharType="separate"/>
      </w:r>
      <w:r>
        <w:t>1</w:t>
      </w:r>
      <w:r>
        <w:fldChar w:fldCharType="end"/>
      </w:r>
    </w:p>
    <w:p>
      <w:pPr>
        <w:pStyle w:val="18"/>
        <w:tabs>
          <w:tab w:val="right" w:leader="dot" w:pos="8845"/>
        </w:tabs>
      </w:pPr>
      <w:r>
        <w:rPr>
          <w:rFonts w:hint="default" w:ascii="Times New Roman" w:hAnsi="Times New Roman" w:eastAsia="黑体" w:cs="Times New Roman"/>
          <w:bCs w:val="0"/>
        </w:rPr>
        <w:t>二、机构设置</w:t>
      </w:r>
      <w:r>
        <w:tab/>
      </w:r>
      <w:r>
        <w:fldChar w:fldCharType="begin"/>
      </w:r>
      <w:r>
        <w:instrText xml:space="preserve"> PAGEREF _Toc17058 \h </w:instrText>
      </w:r>
      <w:r>
        <w:fldChar w:fldCharType="separate"/>
      </w:r>
      <w:r>
        <w:t>7</w:t>
      </w:r>
      <w:r>
        <w:fldChar w:fldCharType="end"/>
      </w:r>
    </w:p>
    <w:p>
      <w:pPr>
        <w:pStyle w:val="14"/>
        <w:tabs>
          <w:tab w:val="right" w:leader="dot" w:pos="8845"/>
        </w:tabs>
      </w:pPr>
      <w:r>
        <w:rPr>
          <w:rFonts w:hint="default" w:ascii="Times New Roman" w:hAnsi="Times New Roman" w:eastAsia="黑体" w:cs="Times New Roman"/>
          <w:color w:val="000000"/>
        </w:rPr>
        <w:t xml:space="preserve">第二部分 </w:t>
      </w:r>
      <w:r>
        <w:rPr>
          <w:rFonts w:hint="default" w:ascii="Times New Roman" w:hAnsi="Times New Roman" w:eastAsia="黑体" w:cs="Times New Roman"/>
          <w:bCs w:val="0"/>
        </w:rPr>
        <w:t>2020年度部门决算情况说明</w:t>
      </w:r>
      <w:r>
        <w:tab/>
      </w:r>
      <w:r>
        <w:fldChar w:fldCharType="begin"/>
      </w:r>
      <w:r>
        <w:instrText xml:space="preserve"> PAGEREF _Toc5684 \h </w:instrText>
      </w:r>
      <w:r>
        <w:fldChar w:fldCharType="separate"/>
      </w:r>
      <w:r>
        <w:t>8</w:t>
      </w:r>
      <w:r>
        <w:fldChar w:fldCharType="end"/>
      </w:r>
    </w:p>
    <w:p>
      <w:pPr>
        <w:pStyle w:val="18"/>
        <w:tabs>
          <w:tab w:val="right" w:leader="dot" w:pos="8845"/>
        </w:tabs>
      </w:pPr>
      <w:r>
        <w:rPr>
          <w:rFonts w:hint="eastAsia" w:eastAsia="黑体" w:cs="Times New Roman"/>
          <w:color w:val="000000"/>
          <w:szCs w:val="32"/>
          <w:lang w:val="en-US" w:eastAsia="zh-CN"/>
        </w:rPr>
        <w:t>一、</w:t>
      </w:r>
      <w:r>
        <w:rPr>
          <w:rFonts w:hint="default" w:ascii="Times New Roman" w:hAnsi="Times New Roman" w:eastAsia="黑体" w:cs="Times New Roman"/>
          <w:color w:val="000000"/>
          <w:szCs w:val="32"/>
        </w:rPr>
        <w:t>收</w:t>
      </w:r>
      <w:r>
        <w:rPr>
          <w:rFonts w:hint="default" w:ascii="Times New Roman" w:hAnsi="Times New Roman" w:eastAsia="黑体" w:cs="Times New Roman"/>
        </w:rPr>
        <w:t>入支出决算总体情况说明</w:t>
      </w:r>
      <w:r>
        <w:tab/>
      </w:r>
      <w:r>
        <w:fldChar w:fldCharType="begin"/>
      </w:r>
      <w:r>
        <w:instrText xml:space="preserve"> PAGEREF _Toc23363 \h </w:instrText>
      </w:r>
      <w:r>
        <w:fldChar w:fldCharType="separate"/>
      </w:r>
      <w:r>
        <w:t>8</w:t>
      </w:r>
      <w:r>
        <w:fldChar w:fldCharType="end"/>
      </w:r>
    </w:p>
    <w:p>
      <w:pPr>
        <w:pStyle w:val="18"/>
        <w:tabs>
          <w:tab w:val="right" w:leader="dot" w:pos="8845"/>
        </w:tabs>
      </w:pPr>
      <w:r>
        <w:rPr>
          <w:rFonts w:hint="eastAsia" w:eastAsia="黑体" w:cs="Times New Roman"/>
          <w:color w:val="000000"/>
          <w:szCs w:val="32"/>
          <w:lang w:val="en-US" w:eastAsia="zh-CN"/>
        </w:rPr>
        <w:t>二、</w:t>
      </w:r>
      <w:r>
        <w:rPr>
          <w:rFonts w:hint="default" w:ascii="Times New Roman" w:hAnsi="Times New Roman" w:eastAsia="黑体" w:cs="Times New Roman"/>
          <w:color w:val="000000"/>
          <w:szCs w:val="32"/>
        </w:rPr>
        <w:t>收</w:t>
      </w:r>
      <w:r>
        <w:rPr>
          <w:rFonts w:hint="default" w:ascii="Times New Roman" w:hAnsi="Times New Roman" w:eastAsia="黑体" w:cs="Times New Roman"/>
        </w:rPr>
        <w:t>入决算情况说明</w:t>
      </w:r>
      <w:r>
        <w:tab/>
      </w:r>
      <w:r>
        <w:fldChar w:fldCharType="begin"/>
      </w:r>
      <w:r>
        <w:instrText xml:space="preserve"> PAGEREF _Toc21107 \h </w:instrText>
      </w:r>
      <w:r>
        <w:fldChar w:fldCharType="separate"/>
      </w:r>
      <w:r>
        <w:t>8</w:t>
      </w:r>
      <w:r>
        <w:fldChar w:fldCharType="end"/>
      </w:r>
    </w:p>
    <w:p>
      <w:pPr>
        <w:pStyle w:val="18"/>
        <w:tabs>
          <w:tab w:val="right" w:leader="dot" w:pos="8845"/>
        </w:tabs>
      </w:pPr>
      <w:r>
        <w:rPr>
          <w:rFonts w:hint="eastAsia" w:eastAsia="黑体" w:cs="Times New Roman"/>
          <w:color w:val="000000"/>
          <w:szCs w:val="32"/>
          <w:lang w:val="en-US" w:eastAsia="zh-CN"/>
        </w:rPr>
        <w:t>三、</w:t>
      </w:r>
      <w:r>
        <w:rPr>
          <w:rFonts w:hint="default" w:ascii="Times New Roman" w:hAnsi="Times New Roman" w:eastAsia="黑体" w:cs="Times New Roman"/>
          <w:color w:val="000000"/>
          <w:szCs w:val="32"/>
        </w:rPr>
        <w:t>支</w:t>
      </w:r>
      <w:r>
        <w:rPr>
          <w:rFonts w:hint="default" w:ascii="Times New Roman" w:hAnsi="Times New Roman" w:eastAsia="黑体" w:cs="Times New Roman"/>
        </w:rPr>
        <w:t>出决算情况说明</w:t>
      </w:r>
      <w:r>
        <w:tab/>
      </w:r>
      <w:r>
        <w:fldChar w:fldCharType="begin"/>
      </w:r>
      <w:r>
        <w:instrText xml:space="preserve"> PAGEREF _Toc18615 \h </w:instrText>
      </w:r>
      <w:r>
        <w:fldChar w:fldCharType="separate"/>
      </w:r>
      <w:r>
        <w:t>9</w:t>
      </w:r>
      <w:r>
        <w:fldChar w:fldCharType="end"/>
      </w:r>
    </w:p>
    <w:p>
      <w:pPr>
        <w:pStyle w:val="18"/>
        <w:tabs>
          <w:tab w:val="right" w:leader="dot" w:pos="8845"/>
        </w:tabs>
      </w:pPr>
      <w:r>
        <w:rPr>
          <w:rFonts w:hint="default" w:ascii="Times New Roman" w:hAnsi="Times New Roman" w:eastAsia="黑体" w:cs="Times New Roman"/>
          <w:color w:val="000000"/>
          <w:szCs w:val="32"/>
        </w:rPr>
        <w:t>四、财</w:t>
      </w:r>
      <w:r>
        <w:rPr>
          <w:rFonts w:hint="default" w:ascii="Times New Roman" w:hAnsi="Times New Roman" w:eastAsia="黑体" w:cs="Times New Roman"/>
        </w:rPr>
        <w:t>政拨款收入支出决算总体情况说明</w:t>
      </w:r>
      <w:r>
        <w:tab/>
      </w:r>
      <w:r>
        <w:fldChar w:fldCharType="begin"/>
      </w:r>
      <w:r>
        <w:instrText xml:space="preserve"> PAGEREF _Toc1443 \h </w:instrText>
      </w:r>
      <w:r>
        <w:fldChar w:fldCharType="separate"/>
      </w:r>
      <w:r>
        <w:t>9</w:t>
      </w:r>
      <w:r>
        <w:fldChar w:fldCharType="end"/>
      </w:r>
    </w:p>
    <w:p>
      <w:pPr>
        <w:pStyle w:val="18"/>
        <w:tabs>
          <w:tab w:val="right" w:leader="dot" w:pos="8845"/>
        </w:tabs>
      </w:pPr>
      <w:r>
        <w:rPr>
          <w:rFonts w:hint="default" w:ascii="Times New Roman" w:hAnsi="Times New Roman" w:eastAsia="黑体" w:cs="Times New Roman"/>
          <w:color w:val="000000"/>
          <w:szCs w:val="32"/>
        </w:rPr>
        <w:t>五、一</w:t>
      </w:r>
      <w:r>
        <w:rPr>
          <w:rFonts w:hint="default" w:ascii="Times New Roman" w:hAnsi="Times New Roman" w:eastAsia="黑体" w:cs="Times New Roman"/>
        </w:rPr>
        <w:t>般公共预算财政拨款支出决算情况说明</w:t>
      </w:r>
      <w:r>
        <w:tab/>
      </w:r>
      <w:r>
        <w:fldChar w:fldCharType="begin"/>
      </w:r>
      <w:r>
        <w:instrText xml:space="preserve"> PAGEREF _Toc5673 \h </w:instrText>
      </w:r>
      <w:r>
        <w:fldChar w:fldCharType="separate"/>
      </w:r>
      <w:r>
        <w:t>10</w:t>
      </w:r>
      <w:r>
        <w:fldChar w:fldCharType="end"/>
      </w:r>
    </w:p>
    <w:p>
      <w:pPr>
        <w:pStyle w:val="9"/>
        <w:tabs>
          <w:tab w:val="right" w:leader="dot" w:pos="8845"/>
        </w:tabs>
      </w:pPr>
      <w:r>
        <w:rPr>
          <w:rFonts w:hint="eastAsia" w:ascii="楷体_GB2312" w:hAnsi="楷体_GB2312" w:eastAsia="楷体_GB2312" w:cs="楷体_GB2312"/>
          <w:color w:val="000000"/>
          <w:szCs w:val="32"/>
        </w:rPr>
        <w:t>（一）一般公共预算财政拨款支出决算总体情况</w:t>
      </w:r>
      <w:r>
        <w:tab/>
      </w:r>
      <w:r>
        <w:fldChar w:fldCharType="begin"/>
      </w:r>
      <w:r>
        <w:instrText xml:space="preserve"> PAGEREF _Toc23398 \h </w:instrText>
      </w:r>
      <w:r>
        <w:fldChar w:fldCharType="separate"/>
      </w:r>
      <w:r>
        <w:t>10</w:t>
      </w:r>
      <w:r>
        <w:fldChar w:fldCharType="end"/>
      </w:r>
    </w:p>
    <w:p>
      <w:pPr>
        <w:pStyle w:val="9"/>
        <w:tabs>
          <w:tab w:val="right" w:leader="dot" w:pos="8845"/>
        </w:tabs>
      </w:pPr>
      <w:r>
        <w:rPr>
          <w:rFonts w:hint="default" w:ascii="楷体_GB2312" w:hAnsi="楷体_GB2312" w:eastAsia="楷体_GB2312" w:cs="楷体_GB2312"/>
          <w:color w:val="000000"/>
          <w:szCs w:val="32"/>
        </w:rPr>
        <w:t>（二）一般公共预算财政拨款支出决算结构情况</w:t>
      </w:r>
      <w:r>
        <w:tab/>
      </w:r>
      <w:r>
        <w:fldChar w:fldCharType="begin"/>
      </w:r>
      <w:r>
        <w:instrText xml:space="preserve"> PAGEREF _Toc309 \h </w:instrText>
      </w:r>
      <w:r>
        <w:fldChar w:fldCharType="separate"/>
      </w:r>
      <w:r>
        <w:t>11</w:t>
      </w:r>
      <w:r>
        <w:fldChar w:fldCharType="end"/>
      </w:r>
    </w:p>
    <w:p>
      <w:pPr>
        <w:pStyle w:val="9"/>
        <w:tabs>
          <w:tab w:val="right" w:leader="dot" w:pos="8845"/>
        </w:tabs>
      </w:pPr>
      <w:r>
        <w:rPr>
          <w:rFonts w:hint="default" w:ascii="Times New Roman" w:hAnsi="Times New Roman" w:eastAsia="仿宋" w:cs="Times New Roman"/>
          <w:color w:val="000000"/>
          <w:szCs w:val="32"/>
        </w:rPr>
        <w:t>（</w:t>
      </w:r>
      <w:r>
        <w:rPr>
          <w:rFonts w:hint="default" w:ascii="楷体_GB2312" w:hAnsi="楷体_GB2312" w:eastAsia="楷体_GB2312" w:cs="楷体_GB2312"/>
          <w:color w:val="000000"/>
          <w:szCs w:val="32"/>
        </w:rPr>
        <w:t>三）一般公共预算财政拨款支出决算具体情况</w:t>
      </w:r>
      <w:r>
        <w:tab/>
      </w:r>
      <w:r>
        <w:fldChar w:fldCharType="begin"/>
      </w:r>
      <w:r>
        <w:instrText xml:space="preserve"> PAGEREF _Toc24931 \h </w:instrText>
      </w:r>
      <w:r>
        <w:fldChar w:fldCharType="separate"/>
      </w:r>
      <w:r>
        <w:t>12</w:t>
      </w:r>
      <w:r>
        <w:fldChar w:fldCharType="end"/>
      </w:r>
    </w:p>
    <w:p>
      <w:pPr>
        <w:pStyle w:val="18"/>
        <w:tabs>
          <w:tab w:val="right" w:leader="dot" w:pos="8845"/>
        </w:tabs>
      </w:pPr>
      <w:r>
        <w:rPr>
          <w:rFonts w:hint="default" w:ascii="Times New Roman" w:hAnsi="Times New Roman" w:eastAsia="黑体" w:cs="Times New Roman"/>
          <w:color w:val="000000"/>
          <w:szCs w:val="32"/>
        </w:rPr>
        <w:t>六、一</w:t>
      </w:r>
      <w:r>
        <w:rPr>
          <w:rFonts w:hint="default" w:ascii="Times New Roman" w:hAnsi="Times New Roman" w:eastAsia="黑体" w:cs="Times New Roman"/>
        </w:rPr>
        <w:t>般公共预算财政拨款基本支出决算情况说明</w:t>
      </w:r>
      <w:r>
        <w:tab/>
      </w:r>
      <w:r>
        <w:fldChar w:fldCharType="begin"/>
      </w:r>
      <w:r>
        <w:instrText xml:space="preserve"> PAGEREF _Toc30070 \h </w:instrText>
      </w:r>
      <w:r>
        <w:fldChar w:fldCharType="separate"/>
      </w:r>
      <w:r>
        <w:t>12</w:t>
      </w:r>
      <w:r>
        <w:fldChar w:fldCharType="end"/>
      </w:r>
    </w:p>
    <w:p>
      <w:pPr>
        <w:pStyle w:val="18"/>
        <w:tabs>
          <w:tab w:val="right" w:leader="dot" w:pos="8845"/>
        </w:tabs>
      </w:pPr>
      <w:r>
        <w:rPr>
          <w:rFonts w:hint="default" w:ascii="Times New Roman" w:hAnsi="Times New Roman" w:eastAsia="黑体" w:cs="Times New Roman"/>
          <w:color w:val="000000"/>
          <w:szCs w:val="32"/>
        </w:rPr>
        <w:t>七、</w:t>
      </w:r>
      <w:r>
        <w:rPr>
          <w:rFonts w:hint="default" w:ascii="Times New Roman" w:hAnsi="Times New Roman" w:eastAsia="黑体" w:cs="Times New Roman"/>
        </w:rPr>
        <w:t>“三公”经费财政拨款支出决算情况说明</w:t>
      </w:r>
      <w:r>
        <w:tab/>
      </w:r>
      <w:r>
        <w:fldChar w:fldCharType="begin"/>
      </w:r>
      <w:r>
        <w:instrText xml:space="preserve"> PAGEREF _Toc24343 \h </w:instrText>
      </w:r>
      <w:r>
        <w:fldChar w:fldCharType="separate"/>
      </w:r>
      <w:r>
        <w:t>13</w:t>
      </w:r>
      <w:r>
        <w:fldChar w:fldCharType="end"/>
      </w:r>
    </w:p>
    <w:p>
      <w:pPr>
        <w:pStyle w:val="9"/>
        <w:tabs>
          <w:tab w:val="right" w:leader="dot" w:pos="8845"/>
        </w:tabs>
      </w:pPr>
      <w:r>
        <w:rPr>
          <w:rFonts w:hint="default" w:ascii="楷体_GB2312" w:hAnsi="楷体_GB2312" w:eastAsia="楷体_GB2312" w:cs="楷体_GB2312"/>
          <w:color w:val="000000"/>
          <w:szCs w:val="32"/>
        </w:rPr>
        <w:t>（一）“三公”经费财政拨款支出决算总体情况说明</w:t>
      </w:r>
      <w:r>
        <w:tab/>
      </w:r>
      <w:r>
        <w:fldChar w:fldCharType="begin"/>
      </w:r>
      <w:r>
        <w:instrText xml:space="preserve"> PAGEREF _Toc9625 \h </w:instrText>
      </w:r>
      <w:r>
        <w:fldChar w:fldCharType="separate"/>
      </w:r>
      <w:r>
        <w:t>13</w:t>
      </w:r>
      <w:r>
        <w:fldChar w:fldCharType="end"/>
      </w:r>
    </w:p>
    <w:p>
      <w:pPr>
        <w:pStyle w:val="9"/>
        <w:tabs>
          <w:tab w:val="right" w:leader="dot" w:pos="8845"/>
        </w:tabs>
      </w:pPr>
      <w:r>
        <w:rPr>
          <w:rFonts w:hint="default" w:ascii="楷体_GB2312" w:hAnsi="楷体_GB2312" w:eastAsia="楷体_GB2312" w:cs="楷体_GB2312"/>
          <w:color w:val="000000"/>
          <w:szCs w:val="32"/>
        </w:rPr>
        <w:t>（二）“三公”经费财政拨款支出决算具体情况说明</w:t>
      </w:r>
      <w:r>
        <w:tab/>
      </w:r>
      <w:r>
        <w:fldChar w:fldCharType="begin"/>
      </w:r>
      <w:r>
        <w:instrText xml:space="preserve"> PAGEREF _Toc10513 \h </w:instrText>
      </w:r>
      <w:r>
        <w:fldChar w:fldCharType="separate"/>
      </w:r>
      <w:r>
        <w:t>14</w:t>
      </w:r>
      <w:r>
        <w:fldChar w:fldCharType="end"/>
      </w:r>
    </w:p>
    <w:p>
      <w:pPr>
        <w:pStyle w:val="18"/>
        <w:tabs>
          <w:tab w:val="right" w:leader="dot" w:pos="8845"/>
        </w:tabs>
      </w:pPr>
      <w:r>
        <w:rPr>
          <w:rFonts w:hint="default" w:ascii="Times New Roman" w:hAnsi="Times New Roman" w:eastAsia="黑体" w:cs="Times New Roman"/>
          <w:color w:val="000000"/>
          <w:szCs w:val="32"/>
        </w:rPr>
        <w:t>八、</w:t>
      </w:r>
      <w:r>
        <w:rPr>
          <w:rFonts w:hint="default" w:ascii="Times New Roman" w:hAnsi="Times New Roman" w:eastAsia="黑体" w:cs="Times New Roman"/>
        </w:rPr>
        <w:t>政府性基金预算支出决算情况说明</w:t>
      </w:r>
      <w:r>
        <w:tab/>
      </w:r>
      <w:r>
        <w:fldChar w:fldCharType="begin"/>
      </w:r>
      <w:r>
        <w:instrText xml:space="preserve"> PAGEREF _Toc13860 \h </w:instrText>
      </w:r>
      <w:r>
        <w:fldChar w:fldCharType="separate"/>
      </w:r>
      <w:r>
        <w:t>15</w:t>
      </w:r>
      <w:r>
        <w:fldChar w:fldCharType="end"/>
      </w:r>
    </w:p>
    <w:p>
      <w:pPr>
        <w:pStyle w:val="18"/>
        <w:tabs>
          <w:tab w:val="right" w:leader="dot" w:pos="8845"/>
        </w:tabs>
      </w:pPr>
      <w:r>
        <w:rPr>
          <w:rFonts w:hint="eastAsia" w:ascii="Times New Roman" w:hAnsi="Times New Roman" w:eastAsia="黑体" w:cs="Times New Roman"/>
        </w:rPr>
        <w:t xml:space="preserve">九、 </w:t>
      </w:r>
      <w:r>
        <w:rPr>
          <w:rFonts w:hint="default" w:ascii="Times New Roman" w:hAnsi="Times New Roman" w:eastAsia="黑体" w:cs="Times New Roman"/>
        </w:rPr>
        <w:t>国有资本经营预算支出决算情况说明</w:t>
      </w:r>
      <w:r>
        <w:tab/>
      </w:r>
      <w:r>
        <w:fldChar w:fldCharType="begin"/>
      </w:r>
      <w:r>
        <w:instrText xml:space="preserve"> PAGEREF _Toc13098 \h </w:instrText>
      </w:r>
      <w:r>
        <w:fldChar w:fldCharType="separate"/>
      </w:r>
      <w:r>
        <w:t>15</w:t>
      </w:r>
      <w:r>
        <w:fldChar w:fldCharType="end"/>
      </w:r>
    </w:p>
    <w:p>
      <w:pPr>
        <w:pStyle w:val="18"/>
        <w:tabs>
          <w:tab w:val="right" w:leader="dot" w:pos="8845"/>
        </w:tabs>
      </w:pPr>
      <w:r>
        <w:rPr>
          <w:rFonts w:hint="default" w:ascii="Times New Roman" w:hAnsi="Times New Roman" w:eastAsia="黑体" w:cs="Times New Roman"/>
          <w:color w:val="000000"/>
          <w:szCs w:val="32"/>
        </w:rPr>
        <w:t>十</w:t>
      </w:r>
      <w:r>
        <w:rPr>
          <w:rFonts w:hint="default" w:ascii="Times New Roman" w:hAnsi="Times New Roman" w:eastAsia="黑体" w:cs="Times New Roman"/>
        </w:rPr>
        <w:t>、其他重要事项的情况说明</w:t>
      </w:r>
      <w:r>
        <w:tab/>
      </w:r>
      <w:r>
        <w:fldChar w:fldCharType="begin"/>
      </w:r>
      <w:r>
        <w:instrText xml:space="preserve"> PAGEREF _Toc20299 \h </w:instrText>
      </w:r>
      <w:r>
        <w:fldChar w:fldCharType="separate"/>
      </w:r>
      <w:r>
        <w:t>15</w:t>
      </w:r>
      <w:r>
        <w:fldChar w:fldCharType="end"/>
      </w:r>
    </w:p>
    <w:p>
      <w:pPr>
        <w:pStyle w:val="9"/>
        <w:tabs>
          <w:tab w:val="right" w:leader="dot" w:pos="8845"/>
        </w:tabs>
      </w:pPr>
      <w:r>
        <w:rPr>
          <w:rFonts w:hint="eastAsia" w:ascii="楷体_GB2312" w:hAnsi="楷体_GB2312" w:eastAsia="楷体_GB2312" w:cs="楷体_GB2312"/>
          <w:bCs w:val="0"/>
          <w:color w:val="000000"/>
          <w:szCs w:val="32"/>
        </w:rPr>
        <w:t>（一）机关运行经费支出情况</w:t>
      </w:r>
      <w:r>
        <w:tab/>
      </w:r>
      <w:r>
        <w:fldChar w:fldCharType="begin"/>
      </w:r>
      <w:r>
        <w:instrText xml:space="preserve"> PAGEREF _Toc384 \h </w:instrText>
      </w:r>
      <w:r>
        <w:fldChar w:fldCharType="separate"/>
      </w:r>
      <w:r>
        <w:t>16</w:t>
      </w:r>
      <w:r>
        <w:fldChar w:fldCharType="end"/>
      </w:r>
    </w:p>
    <w:p>
      <w:pPr>
        <w:pStyle w:val="9"/>
        <w:tabs>
          <w:tab w:val="right" w:leader="dot" w:pos="8845"/>
        </w:tabs>
      </w:pPr>
      <w:r>
        <w:rPr>
          <w:rFonts w:hint="default" w:ascii="楷体_GB2312" w:hAnsi="楷体_GB2312" w:eastAsia="楷体_GB2312" w:cs="楷体_GB2312"/>
          <w:bCs w:val="0"/>
          <w:color w:val="000000"/>
          <w:szCs w:val="32"/>
        </w:rPr>
        <w:t>（二）政府采购支出情况</w:t>
      </w:r>
      <w:r>
        <w:tab/>
      </w:r>
      <w:r>
        <w:fldChar w:fldCharType="begin"/>
      </w:r>
      <w:r>
        <w:instrText xml:space="preserve"> PAGEREF _Toc22149 \h </w:instrText>
      </w:r>
      <w:r>
        <w:fldChar w:fldCharType="separate"/>
      </w:r>
      <w:r>
        <w:t>16</w:t>
      </w:r>
      <w:r>
        <w:fldChar w:fldCharType="end"/>
      </w:r>
    </w:p>
    <w:p>
      <w:pPr>
        <w:pStyle w:val="9"/>
        <w:tabs>
          <w:tab w:val="right" w:leader="dot" w:pos="8845"/>
        </w:tabs>
      </w:pPr>
      <w:r>
        <w:rPr>
          <w:rFonts w:hint="default" w:ascii="楷体_GB2312" w:hAnsi="楷体_GB2312" w:eastAsia="楷体_GB2312" w:cs="楷体_GB2312"/>
          <w:bCs w:val="0"/>
          <w:color w:val="000000"/>
          <w:szCs w:val="32"/>
        </w:rPr>
        <w:t>（三）国有资产占有使用情况</w:t>
      </w:r>
      <w:r>
        <w:tab/>
      </w:r>
      <w:r>
        <w:fldChar w:fldCharType="begin"/>
      </w:r>
      <w:r>
        <w:instrText xml:space="preserve"> PAGEREF _Toc22073 \h </w:instrText>
      </w:r>
      <w:r>
        <w:fldChar w:fldCharType="separate"/>
      </w:r>
      <w:r>
        <w:t>16</w:t>
      </w:r>
      <w:r>
        <w:fldChar w:fldCharType="end"/>
      </w:r>
    </w:p>
    <w:p>
      <w:pPr>
        <w:pStyle w:val="9"/>
        <w:tabs>
          <w:tab w:val="right" w:leader="dot" w:pos="8845"/>
        </w:tabs>
      </w:pPr>
      <w:r>
        <w:rPr>
          <w:rFonts w:hint="default" w:ascii="楷体_GB2312" w:hAnsi="楷体_GB2312" w:eastAsia="楷体_GB2312" w:cs="楷体_GB2312"/>
          <w:bCs w:val="0"/>
          <w:color w:val="000000"/>
          <w:szCs w:val="32"/>
        </w:rPr>
        <w:t>（四）预算绩效管理情况。</w:t>
      </w:r>
      <w:r>
        <w:tab/>
      </w:r>
      <w:r>
        <w:fldChar w:fldCharType="begin"/>
      </w:r>
      <w:r>
        <w:instrText xml:space="preserve"> PAGEREF _Toc21957 \h </w:instrText>
      </w:r>
      <w:r>
        <w:fldChar w:fldCharType="separate"/>
      </w:r>
      <w:r>
        <w:t>16</w:t>
      </w:r>
      <w:r>
        <w:fldChar w:fldCharType="end"/>
      </w:r>
    </w:p>
    <w:p>
      <w:pPr>
        <w:pStyle w:val="9"/>
        <w:tabs>
          <w:tab w:val="right" w:leader="dot" w:pos="8845"/>
        </w:tabs>
      </w:pPr>
      <w:r>
        <w:rPr>
          <w:rFonts w:hint="default" w:ascii="楷体_GB2312" w:hAnsi="楷体_GB2312" w:eastAsia="楷体_GB2312" w:cs="楷体_GB2312"/>
          <w:bCs w:val="0"/>
          <w:color w:val="000000"/>
          <w:szCs w:val="32"/>
        </w:rPr>
        <w:t>1.项目绩效目标完成情况。</w:t>
      </w:r>
      <w:r>
        <w:tab/>
      </w:r>
      <w:r>
        <w:fldChar w:fldCharType="begin"/>
      </w:r>
      <w:r>
        <w:instrText xml:space="preserve"> PAGEREF _Toc10835 \h </w:instrText>
      </w:r>
      <w:r>
        <w:fldChar w:fldCharType="separate"/>
      </w:r>
      <w:r>
        <w:t>17</w:t>
      </w:r>
      <w:r>
        <w:fldChar w:fldCharType="end"/>
      </w:r>
    </w:p>
    <w:p>
      <w:pPr>
        <w:pStyle w:val="14"/>
        <w:tabs>
          <w:tab w:val="right" w:leader="dot" w:pos="8845"/>
        </w:tabs>
      </w:pPr>
      <w:r>
        <w:rPr>
          <w:rFonts w:hint="eastAsia" w:ascii="Times New Roman" w:hAnsi="Times New Roman" w:eastAsia="黑体" w:cs="Times New Roman"/>
        </w:rPr>
        <w:t xml:space="preserve">第三部分 </w:t>
      </w:r>
      <w:r>
        <w:rPr>
          <w:rFonts w:hint="default" w:ascii="Times New Roman" w:hAnsi="Times New Roman" w:eastAsia="黑体" w:cs="Times New Roman"/>
          <w:color w:val="000000"/>
          <w:szCs w:val="44"/>
        </w:rPr>
        <w:t>名</w:t>
      </w:r>
      <w:r>
        <w:rPr>
          <w:rFonts w:hint="default" w:ascii="Times New Roman" w:hAnsi="Times New Roman" w:eastAsia="黑体" w:cs="Times New Roman"/>
        </w:rPr>
        <w:t>词解释</w:t>
      </w:r>
      <w:r>
        <w:tab/>
      </w:r>
      <w:r>
        <w:fldChar w:fldCharType="begin"/>
      </w:r>
      <w:r>
        <w:instrText xml:space="preserve"> PAGEREF _Toc1412 \h </w:instrText>
      </w:r>
      <w:r>
        <w:fldChar w:fldCharType="separate"/>
      </w:r>
      <w:r>
        <w:t>26</w:t>
      </w:r>
      <w:r>
        <w:fldChar w:fldCharType="end"/>
      </w:r>
    </w:p>
    <w:p>
      <w:pPr>
        <w:pStyle w:val="14"/>
        <w:tabs>
          <w:tab w:val="right" w:leader="dot" w:pos="8845"/>
        </w:tabs>
      </w:pPr>
      <w:r>
        <w:rPr>
          <w:rFonts w:hint="default" w:ascii="Times New Roman" w:hAnsi="Times New Roman" w:eastAsia="黑体" w:cs="Times New Roman"/>
          <w:color w:val="000000"/>
          <w:szCs w:val="44"/>
        </w:rPr>
        <w:t>第</w:t>
      </w:r>
      <w:r>
        <w:rPr>
          <w:rFonts w:hint="default" w:ascii="Times New Roman" w:hAnsi="Times New Roman" w:eastAsia="黑体" w:cs="Times New Roman"/>
        </w:rPr>
        <w:t>四部分 附件</w:t>
      </w:r>
      <w:r>
        <w:tab/>
      </w:r>
      <w:r>
        <w:fldChar w:fldCharType="begin"/>
      </w:r>
      <w:r>
        <w:instrText xml:space="preserve"> PAGEREF _Toc12817 \h </w:instrText>
      </w:r>
      <w:r>
        <w:fldChar w:fldCharType="separate"/>
      </w:r>
      <w:r>
        <w:t>30</w:t>
      </w:r>
      <w:r>
        <w:fldChar w:fldCharType="end"/>
      </w:r>
    </w:p>
    <w:p>
      <w:pPr>
        <w:pStyle w:val="14"/>
        <w:tabs>
          <w:tab w:val="right" w:leader="dot" w:pos="8845"/>
        </w:tabs>
      </w:pPr>
      <w:r>
        <w:rPr>
          <w:rFonts w:hint="default" w:ascii="Times New Roman" w:hAnsi="Times New Roman" w:eastAsia="黑体" w:cs="Times New Roman"/>
          <w:szCs w:val="32"/>
        </w:rPr>
        <w:t>附件1</w:t>
      </w:r>
      <w:r>
        <w:tab/>
      </w:r>
      <w:r>
        <w:fldChar w:fldCharType="begin"/>
      </w:r>
      <w:r>
        <w:instrText xml:space="preserve"> PAGEREF _Toc22520 \h </w:instrText>
      </w:r>
      <w:r>
        <w:fldChar w:fldCharType="separate"/>
      </w:r>
      <w:r>
        <w:t>30</w:t>
      </w:r>
      <w:r>
        <w:fldChar w:fldCharType="end"/>
      </w:r>
    </w:p>
    <w:p>
      <w:pPr>
        <w:pStyle w:val="14"/>
        <w:tabs>
          <w:tab w:val="right" w:leader="dot" w:pos="8845"/>
        </w:tabs>
      </w:pPr>
      <w:r>
        <w:rPr>
          <w:rFonts w:hint="default" w:ascii="Times New Roman" w:hAnsi="Times New Roman" w:eastAsia="黑体" w:cs="Times New Roman"/>
          <w:color w:val="000000"/>
          <w:szCs w:val="44"/>
        </w:rPr>
        <w:t>第</w:t>
      </w:r>
      <w:r>
        <w:rPr>
          <w:rFonts w:hint="default" w:ascii="Times New Roman" w:hAnsi="Times New Roman" w:eastAsia="黑体" w:cs="Times New Roman"/>
        </w:rPr>
        <w:t>五部分 附表</w:t>
      </w:r>
      <w:r>
        <w:tab/>
      </w:r>
      <w:r>
        <w:fldChar w:fldCharType="begin"/>
      </w:r>
      <w:r>
        <w:instrText xml:space="preserve"> PAGEREF _Toc29131 \h </w:instrText>
      </w:r>
      <w:r>
        <w:fldChar w:fldCharType="separate"/>
      </w:r>
      <w:r>
        <w:t>35</w:t>
      </w:r>
      <w:r>
        <w:fldChar w:fldCharType="end"/>
      </w:r>
    </w:p>
    <w:p>
      <w:pPr>
        <w:pStyle w:val="18"/>
        <w:tabs>
          <w:tab w:val="right" w:leader="dot" w:pos="8845"/>
        </w:tabs>
        <w:rPr>
          <w:rFonts w:hint="default" w:eastAsiaTheme="minorHAnsi"/>
          <w:lang w:val="en-US" w:eastAsia="zh-CN"/>
        </w:rPr>
      </w:pPr>
      <w:r>
        <w:rPr>
          <w:rFonts w:hint="default" w:ascii="Times New Roman" w:hAnsi="Times New Roman" w:eastAsia="仿宋" w:cs="Times New Roman"/>
          <w:color w:val="000000"/>
        </w:rPr>
        <w:t>一、收</w:t>
      </w:r>
      <w:r>
        <w:rPr>
          <w:rFonts w:hint="default" w:ascii="Times New Roman" w:hAnsi="Times New Roman" w:eastAsia="仿宋" w:cs="Times New Roman"/>
          <w:bCs w:val="0"/>
        </w:rPr>
        <w:t>入支出决算总表</w:t>
      </w:r>
      <w:r>
        <w:tab/>
      </w:r>
      <w:r>
        <w:rPr>
          <w:rFonts w:hint="eastAsia"/>
          <w:lang w:val="en-US" w:eastAsia="zh-CN"/>
        </w:rPr>
        <w:t>36</w:t>
      </w:r>
    </w:p>
    <w:p>
      <w:pPr>
        <w:pStyle w:val="18"/>
        <w:tabs>
          <w:tab w:val="right" w:leader="dot" w:pos="8845"/>
        </w:tabs>
      </w:pPr>
      <w:r>
        <w:rPr>
          <w:rFonts w:hint="default" w:ascii="Times New Roman" w:hAnsi="Times New Roman" w:eastAsia="仿宋" w:cs="Times New Roman"/>
          <w:color w:val="000000"/>
        </w:rPr>
        <w:t>二、收</w:t>
      </w:r>
      <w:r>
        <w:rPr>
          <w:rFonts w:hint="default" w:ascii="Times New Roman" w:hAnsi="Times New Roman" w:eastAsia="仿宋" w:cs="Times New Roman"/>
          <w:bCs w:val="0"/>
        </w:rPr>
        <w:t>入决算表</w:t>
      </w:r>
      <w:r>
        <w:tab/>
      </w:r>
      <w:r>
        <w:fldChar w:fldCharType="begin"/>
      </w:r>
      <w:r>
        <w:instrText xml:space="preserve"> PAGEREF _Toc19999 \h </w:instrText>
      </w:r>
      <w:r>
        <w:fldChar w:fldCharType="separate"/>
      </w:r>
      <w:r>
        <w:t>3</w:t>
      </w:r>
      <w:r>
        <w:rPr>
          <w:rFonts w:hint="eastAsia"/>
          <w:lang w:val="en-US" w:eastAsia="zh-CN"/>
        </w:rPr>
        <w:t>7</w:t>
      </w:r>
      <w:r>
        <w:fldChar w:fldCharType="end"/>
      </w:r>
    </w:p>
    <w:p>
      <w:pPr>
        <w:pStyle w:val="18"/>
        <w:tabs>
          <w:tab w:val="right" w:leader="dot" w:pos="8845"/>
        </w:tabs>
      </w:pPr>
      <w:r>
        <w:rPr>
          <w:rFonts w:hint="default" w:ascii="Times New Roman" w:hAnsi="Times New Roman" w:eastAsia="仿宋" w:cs="Times New Roman"/>
          <w:bCs w:val="0"/>
        </w:rPr>
        <w:t>三、</w:t>
      </w:r>
      <w:r>
        <w:rPr>
          <w:rFonts w:hint="default" w:ascii="Times New Roman" w:hAnsi="Times New Roman" w:eastAsia="仿宋" w:cs="Times New Roman"/>
          <w:color w:val="000000"/>
        </w:rPr>
        <w:t>支</w:t>
      </w:r>
      <w:r>
        <w:rPr>
          <w:rFonts w:hint="default" w:ascii="Times New Roman" w:hAnsi="Times New Roman" w:eastAsia="仿宋" w:cs="Times New Roman"/>
          <w:bCs w:val="0"/>
        </w:rPr>
        <w:t>出决算表</w:t>
      </w:r>
      <w:r>
        <w:tab/>
      </w:r>
      <w:r>
        <w:fldChar w:fldCharType="begin"/>
      </w:r>
      <w:r>
        <w:instrText xml:space="preserve"> PAGEREF _Toc29931 \h </w:instrText>
      </w:r>
      <w:r>
        <w:fldChar w:fldCharType="separate"/>
      </w:r>
      <w:r>
        <w:t>3</w:t>
      </w:r>
      <w:r>
        <w:rPr>
          <w:rFonts w:hint="eastAsia"/>
          <w:lang w:val="en-US" w:eastAsia="zh-CN"/>
        </w:rPr>
        <w:t>8</w:t>
      </w:r>
      <w:r>
        <w:fldChar w:fldCharType="end"/>
      </w:r>
    </w:p>
    <w:p>
      <w:pPr>
        <w:pStyle w:val="18"/>
        <w:tabs>
          <w:tab w:val="right" w:leader="dot" w:pos="8845"/>
        </w:tabs>
      </w:pPr>
      <w:r>
        <w:rPr>
          <w:rFonts w:hint="default" w:ascii="Times New Roman" w:hAnsi="Times New Roman" w:eastAsia="仿宋" w:cs="Times New Roman"/>
          <w:bCs w:val="0"/>
        </w:rPr>
        <w:t>四、</w:t>
      </w:r>
      <w:r>
        <w:rPr>
          <w:rFonts w:hint="default" w:ascii="Times New Roman" w:hAnsi="Times New Roman" w:eastAsia="仿宋" w:cs="Times New Roman"/>
          <w:color w:val="000000"/>
        </w:rPr>
        <w:t>财</w:t>
      </w:r>
      <w:r>
        <w:rPr>
          <w:rFonts w:hint="default" w:ascii="Times New Roman" w:hAnsi="Times New Roman" w:eastAsia="仿宋" w:cs="Times New Roman"/>
          <w:bCs w:val="0"/>
        </w:rPr>
        <w:t>政拨款收入支出决算总表</w:t>
      </w:r>
      <w:r>
        <w:tab/>
      </w:r>
      <w:r>
        <w:fldChar w:fldCharType="begin"/>
      </w:r>
      <w:r>
        <w:instrText xml:space="preserve"> PAGEREF _Toc6877 \h </w:instrText>
      </w:r>
      <w:r>
        <w:fldChar w:fldCharType="separate"/>
      </w:r>
      <w:r>
        <w:t>3</w:t>
      </w:r>
      <w:r>
        <w:rPr>
          <w:rFonts w:hint="eastAsia"/>
          <w:lang w:val="en-US" w:eastAsia="zh-CN"/>
        </w:rPr>
        <w:t>9</w:t>
      </w:r>
      <w:r>
        <w:fldChar w:fldCharType="end"/>
      </w:r>
      <w:bookmarkStart w:id="155" w:name="_GoBack"/>
      <w:bookmarkEnd w:id="155"/>
    </w:p>
    <w:p>
      <w:pPr>
        <w:pStyle w:val="18"/>
        <w:tabs>
          <w:tab w:val="right" w:leader="dot" w:pos="8845"/>
        </w:tabs>
        <w:rPr>
          <w:rFonts w:hint="default" w:eastAsiaTheme="minorHAnsi"/>
          <w:lang w:val="en-US" w:eastAsia="zh-CN"/>
        </w:rPr>
      </w:pPr>
      <w:r>
        <w:rPr>
          <w:rFonts w:hint="default" w:ascii="Times New Roman" w:hAnsi="Times New Roman" w:eastAsia="仿宋" w:cs="Times New Roman"/>
          <w:bCs w:val="0"/>
        </w:rPr>
        <w:t>五、</w:t>
      </w:r>
      <w:r>
        <w:rPr>
          <w:rFonts w:hint="default" w:ascii="Times New Roman" w:hAnsi="Times New Roman" w:eastAsia="仿宋" w:cs="Times New Roman"/>
          <w:color w:val="000000"/>
        </w:rPr>
        <w:t>财</w:t>
      </w:r>
      <w:r>
        <w:rPr>
          <w:rFonts w:hint="default" w:ascii="Times New Roman" w:hAnsi="Times New Roman" w:eastAsia="仿宋" w:cs="Times New Roman"/>
          <w:bCs w:val="0"/>
        </w:rPr>
        <w:t>政拨款支出决算明细表</w:t>
      </w:r>
      <w:r>
        <w:tab/>
      </w:r>
      <w:r>
        <w:rPr>
          <w:rFonts w:hint="eastAsia"/>
          <w:lang w:val="en-US" w:eastAsia="zh-CN"/>
        </w:rPr>
        <w:t>40</w:t>
      </w:r>
    </w:p>
    <w:p>
      <w:pPr>
        <w:pStyle w:val="18"/>
        <w:tabs>
          <w:tab w:val="right" w:leader="dot" w:pos="8845"/>
        </w:tabs>
        <w:rPr>
          <w:rFonts w:hint="default" w:ascii="Times New Roman" w:hAnsi="Times New Roman" w:eastAsia="仿宋" w:cs="Times New Roman"/>
          <w:bCs w:val="0"/>
        </w:rPr>
        <w:sectPr>
          <w:footerReference r:id="rId6" w:type="first"/>
          <w:footerReference r:id="rId5" w:type="default"/>
          <w:pgSz w:w="11906" w:h="16838"/>
          <w:pgMar w:top="2098" w:right="1474" w:bottom="1984" w:left="1587" w:header="851" w:footer="992" w:gutter="0"/>
          <w:pgNumType w:fmt="decimal" w:start="1"/>
          <w:cols w:space="425" w:num="1"/>
          <w:docGrid w:type="lines" w:linePitch="312" w:charSpace="0"/>
        </w:sectPr>
      </w:pPr>
    </w:p>
    <w:p>
      <w:pPr>
        <w:pStyle w:val="18"/>
        <w:tabs>
          <w:tab w:val="right" w:leader="dot" w:pos="8845"/>
        </w:tabs>
        <w:rPr>
          <w:rFonts w:hint="default" w:eastAsiaTheme="minorHAnsi"/>
          <w:lang w:val="en-US" w:eastAsia="zh-CN"/>
        </w:rPr>
      </w:pPr>
      <w:r>
        <w:rPr>
          <w:rFonts w:hint="default" w:ascii="Times New Roman" w:hAnsi="Times New Roman" w:eastAsia="仿宋" w:cs="Times New Roman"/>
          <w:bCs w:val="0"/>
        </w:rPr>
        <w:t>六、</w:t>
      </w:r>
      <w:r>
        <w:rPr>
          <w:rFonts w:hint="default" w:ascii="Times New Roman" w:hAnsi="Times New Roman" w:eastAsia="仿宋" w:cs="Times New Roman"/>
          <w:color w:val="000000"/>
        </w:rPr>
        <w:t>一</w:t>
      </w:r>
      <w:r>
        <w:rPr>
          <w:rFonts w:hint="default" w:ascii="Times New Roman" w:hAnsi="Times New Roman" w:eastAsia="仿宋" w:cs="Times New Roman"/>
          <w:bCs w:val="0"/>
        </w:rPr>
        <w:t>般公共预算财政拨款支出决算表</w:t>
      </w:r>
      <w:r>
        <w:tab/>
      </w:r>
      <w:r>
        <w:rPr>
          <w:rFonts w:hint="eastAsia"/>
          <w:lang w:val="en-US" w:eastAsia="zh-CN"/>
        </w:rPr>
        <w:t>41</w:t>
      </w:r>
    </w:p>
    <w:p>
      <w:pPr>
        <w:pStyle w:val="18"/>
        <w:tabs>
          <w:tab w:val="right" w:leader="dot" w:pos="8845"/>
        </w:tabs>
        <w:rPr>
          <w:rFonts w:hint="default" w:eastAsiaTheme="minorHAnsi"/>
          <w:lang w:val="en-US" w:eastAsia="zh-CN"/>
        </w:rPr>
      </w:pPr>
      <w:r>
        <w:rPr>
          <w:rFonts w:hint="default" w:ascii="Times New Roman" w:hAnsi="Times New Roman" w:eastAsia="仿宋" w:cs="Times New Roman"/>
          <w:bCs w:val="0"/>
        </w:rPr>
        <w:t>七、</w:t>
      </w:r>
      <w:r>
        <w:rPr>
          <w:rFonts w:hint="default" w:ascii="Times New Roman" w:hAnsi="Times New Roman" w:eastAsia="仿宋" w:cs="Times New Roman"/>
          <w:color w:val="000000"/>
        </w:rPr>
        <w:t>一</w:t>
      </w:r>
      <w:r>
        <w:rPr>
          <w:rFonts w:hint="default" w:ascii="Times New Roman" w:hAnsi="Times New Roman" w:eastAsia="仿宋" w:cs="Times New Roman"/>
          <w:bCs w:val="0"/>
        </w:rPr>
        <w:t>般公共预算财政拨款支出决算明细表</w:t>
      </w:r>
      <w:r>
        <w:tab/>
      </w:r>
      <w:r>
        <w:rPr>
          <w:rFonts w:hint="eastAsia"/>
          <w:lang w:val="en-US" w:eastAsia="zh-CN"/>
        </w:rPr>
        <w:t>42</w:t>
      </w:r>
    </w:p>
    <w:p>
      <w:pPr>
        <w:pStyle w:val="18"/>
        <w:tabs>
          <w:tab w:val="right" w:leader="dot" w:pos="8845"/>
        </w:tabs>
        <w:rPr>
          <w:rFonts w:hint="default" w:eastAsiaTheme="minorHAnsi"/>
          <w:lang w:val="en-US" w:eastAsia="zh-CN"/>
        </w:rPr>
      </w:pPr>
      <w:r>
        <w:rPr>
          <w:rFonts w:hint="default" w:ascii="Times New Roman" w:hAnsi="Times New Roman" w:eastAsia="仿宋" w:cs="Times New Roman"/>
          <w:bCs w:val="0"/>
        </w:rPr>
        <w:t>八、</w:t>
      </w:r>
      <w:r>
        <w:rPr>
          <w:rFonts w:hint="default" w:ascii="Times New Roman" w:hAnsi="Times New Roman" w:eastAsia="仿宋" w:cs="Times New Roman"/>
          <w:color w:val="000000"/>
        </w:rPr>
        <w:t>一</w:t>
      </w:r>
      <w:r>
        <w:rPr>
          <w:rFonts w:hint="default" w:ascii="Times New Roman" w:hAnsi="Times New Roman" w:eastAsia="仿宋" w:cs="Times New Roman"/>
          <w:bCs w:val="0"/>
        </w:rPr>
        <w:t>般公共预算财政拨款基本支出决算表</w:t>
      </w:r>
      <w:r>
        <w:tab/>
      </w:r>
      <w:r>
        <w:rPr>
          <w:rFonts w:hint="eastAsia"/>
          <w:lang w:val="en-US" w:eastAsia="zh-CN"/>
        </w:rPr>
        <w:t>43</w:t>
      </w:r>
    </w:p>
    <w:p>
      <w:pPr>
        <w:pStyle w:val="18"/>
        <w:tabs>
          <w:tab w:val="right" w:leader="dot" w:pos="8845"/>
        </w:tabs>
        <w:rPr>
          <w:rFonts w:hint="default" w:eastAsiaTheme="minorHAnsi"/>
          <w:lang w:val="en-US" w:eastAsia="zh-CN"/>
        </w:rPr>
      </w:pPr>
      <w:r>
        <w:rPr>
          <w:rFonts w:hint="default" w:ascii="Times New Roman" w:hAnsi="Times New Roman" w:eastAsia="仿宋" w:cs="Times New Roman"/>
          <w:bCs w:val="0"/>
        </w:rPr>
        <w:t>九、</w:t>
      </w:r>
      <w:r>
        <w:rPr>
          <w:rFonts w:hint="default" w:ascii="Times New Roman" w:hAnsi="Times New Roman" w:eastAsia="仿宋" w:cs="Times New Roman"/>
          <w:color w:val="000000"/>
        </w:rPr>
        <w:t>一</w:t>
      </w:r>
      <w:r>
        <w:rPr>
          <w:rFonts w:hint="default" w:ascii="Times New Roman" w:hAnsi="Times New Roman" w:eastAsia="仿宋" w:cs="Times New Roman"/>
          <w:bCs w:val="0"/>
        </w:rPr>
        <w:t>般公共预算财政拨款项目支出决算表</w:t>
      </w:r>
      <w:r>
        <w:tab/>
      </w:r>
      <w:r>
        <w:rPr>
          <w:rFonts w:hint="eastAsia"/>
          <w:lang w:val="en-US" w:eastAsia="zh-CN"/>
        </w:rPr>
        <w:t>44</w:t>
      </w:r>
    </w:p>
    <w:p>
      <w:pPr>
        <w:pStyle w:val="18"/>
        <w:tabs>
          <w:tab w:val="right" w:leader="dot" w:pos="8845"/>
        </w:tabs>
        <w:rPr>
          <w:rFonts w:hint="default" w:eastAsiaTheme="minorHAnsi"/>
          <w:lang w:val="en-US" w:eastAsia="zh-CN"/>
        </w:rPr>
      </w:pPr>
      <w:r>
        <w:rPr>
          <w:rFonts w:hint="default" w:ascii="Times New Roman" w:hAnsi="Times New Roman" w:eastAsia="仿宋" w:cs="Times New Roman"/>
          <w:bCs w:val="0"/>
        </w:rPr>
        <w:t>十、</w:t>
      </w:r>
      <w:r>
        <w:rPr>
          <w:rFonts w:hint="default" w:ascii="Times New Roman" w:hAnsi="Times New Roman" w:eastAsia="仿宋" w:cs="Times New Roman"/>
          <w:color w:val="000000"/>
        </w:rPr>
        <w:t>一</w:t>
      </w:r>
      <w:r>
        <w:rPr>
          <w:rFonts w:hint="default" w:ascii="Times New Roman" w:hAnsi="Times New Roman" w:eastAsia="仿宋" w:cs="Times New Roman"/>
          <w:bCs w:val="0"/>
        </w:rPr>
        <w:t>般公共预算财政拨款“三公”经费支出决算表</w:t>
      </w:r>
      <w:r>
        <w:tab/>
      </w:r>
      <w:r>
        <w:rPr>
          <w:rFonts w:hint="eastAsia"/>
          <w:lang w:val="en-US" w:eastAsia="zh-CN"/>
        </w:rPr>
        <w:t>45</w:t>
      </w:r>
    </w:p>
    <w:p>
      <w:pPr>
        <w:pStyle w:val="18"/>
        <w:tabs>
          <w:tab w:val="right" w:leader="dot" w:pos="8845"/>
        </w:tabs>
        <w:rPr>
          <w:rFonts w:hint="default" w:eastAsiaTheme="minorHAnsi"/>
          <w:lang w:val="en-US" w:eastAsia="zh-CN"/>
        </w:rPr>
      </w:pPr>
      <w:r>
        <w:rPr>
          <w:rFonts w:hint="default" w:ascii="Times New Roman" w:hAnsi="Times New Roman" w:eastAsia="仿宋" w:cs="Times New Roman"/>
          <w:bCs w:val="0"/>
        </w:rPr>
        <w:t>十一、</w:t>
      </w:r>
      <w:r>
        <w:rPr>
          <w:rFonts w:hint="default" w:ascii="Times New Roman" w:hAnsi="Times New Roman" w:eastAsia="仿宋" w:cs="Times New Roman"/>
          <w:color w:val="000000"/>
        </w:rPr>
        <w:t>政</w:t>
      </w:r>
      <w:r>
        <w:rPr>
          <w:rFonts w:hint="default" w:ascii="Times New Roman" w:hAnsi="Times New Roman" w:eastAsia="仿宋" w:cs="Times New Roman"/>
          <w:bCs w:val="0"/>
        </w:rPr>
        <w:t>府性基金预算财政拨款收入支出决算表</w:t>
      </w:r>
      <w:r>
        <w:tab/>
      </w:r>
      <w:r>
        <w:rPr>
          <w:rFonts w:hint="eastAsia"/>
          <w:lang w:val="en-US" w:eastAsia="zh-CN"/>
        </w:rPr>
        <w:t>46</w:t>
      </w:r>
    </w:p>
    <w:p>
      <w:pPr>
        <w:pStyle w:val="18"/>
        <w:tabs>
          <w:tab w:val="right" w:leader="dot" w:pos="8845"/>
        </w:tabs>
        <w:rPr>
          <w:rFonts w:hint="default" w:eastAsiaTheme="minorHAnsi"/>
          <w:lang w:val="en-US" w:eastAsia="zh-CN"/>
        </w:rPr>
      </w:pPr>
      <w:r>
        <w:rPr>
          <w:rFonts w:hint="default" w:ascii="Times New Roman" w:hAnsi="Times New Roman" w:eastAsia="仿宋" w:cs="Times New Roman"/>
          <w:bCs w:val="0"/>
        </w:rPr>
        <w:t>十二、</w:t>
      </w:r>
      <w:r>
        <w:rPr>
          <w:rFonts w:hint="default" w:ascii="Times New Roman" w:hAnsi="Times New Roman" w:eastAsia="仿宋" w:cs="Times New Roman"/>
          <w:color w:val="000000"/>
        </w:rPr>
        <w:t>政</w:t>
      </w:r>
      <w:r>
        <w:rPr>
          <w:rFonts w:hint="default" w:ascii="Times New Roman" w:hAnsi="Times New Roman" w:eastAsia="仿宋" w:cs="Times New Roman"/>
          <w:bCs w:val="0"/>
        </w:rPr>
        <w:t>府性基金预算财政拨款“三公”经费支出决算表</w:t>
      </w:r>
      <w:r>
        <w:tab/>
      </w:r>
      <w:r>
        <w:rPr>
          <w:rFonts w:hint="eastAsia"/>
          <w:lang w:val="en-US" w:eastAsia="zh-CN"/>
        </w:rPr>
        <w:t>47</w:t>
      </w:r>
    </w:p>
    <w:p>
      <w:pPr>
        <w:pStyle w:val="18"/>
        <w:tabs>
          <w:tab w:val="right" w:leader="dot" w:pos="8845"/>
        </w:tabs>
        <w:rPr>
          <w:rFonts w:hint="default" w:eastAsiaTheme="minorHAnsi"/>
          <w:lang w:val="en-US" w:eastAsia="zh-CN"/>
        </w:rPr>
      </w:pPr>
      <w:r>
        <w:rPr>
          <w:rFonts w:hint="default" w:ascii="Times New Roman" w:hAnsi="Times New Roman" w:eastAsia="仿宋" w:cs="Times New Roman"/>
          <w:bCs w:val="0"/>
        </w:rPr>
        <w:t>十三、</w:t>
      </w:r>
      <w:r>
        <w:rPr>
          <w:rFonts w:hint="default" w:ascii="Times New Roman" w:hAnsi="Times New Roman" w:eastAsia="仿宋" w:cs="Times New Roman"/>
          <w:color w:val="000000"/>
        </w:rPr>
        <w:t>国</w:t>
      </w:r>
      <w:r>
        <w:rPr>
          <w:rFonts w:hint="default" w:ascii="Times New Roman" w:hAnsi="Times New Roman" w:eastAsia="仿宋" w:cs="Times New Roman"/>
          <w:bCs w:val="0"/>
        </w:rPr>
        <w:t>有资本经营预算财政拨款支出决算表</w:t>
      </w:r>
      <w:r>
        <w:tab/>
      </w:r>
      <w:r>
        <w:rPr>
          <w:rFonts w:hint="eastAsia"/>
          <w:lang w:val="en-US" w:eastAsia="zh-CN"/>
        </w:rPr>
        <w:t>48</w:t>
      </w:r>
    </w:p>
    <w:p>
      <w:pPr>
        <w:pStyle w:val="18"/>
        <w:tabs>
          <w:tab w:val="right" w:leader="dot" w:pos="8845"/>
        </w:tabs>
        <w:rPr>
          <w:rFonts w:hint="default" w:eastAsiaTheme="minorHAnsi"/>
          <w:lang w:val="en-US" w:eastAsia="zh-CN"/>
        </w:rPr>
      </w:pPr>
      <w:r>
        <w:rPr>
          <w:rFonts w:hint="default" w:ascii="Times New Roman" w:hAnsi="Times New Roman" w:eastAsia="仿宋" w:cs="Times New Roman"/>
          <w:bCs w:val="0"/>
        </w:rPr>
        <w:t>十四、国有资本经营预算财政拨款支出决算表</w:t>
      </w:r>
      <w:r>
        <w:tab/>
      </w:r>
      <w:r>
        <w:rPr>
          <w:rFonts w:hint="eastAsia"/>
          <w:lang w:val="en-US" w:eastAsia="zh-CN"/>
        </w:rPr>
        <w:t>49</w:t>
      </w:r>
    </w:p>
    <w:p>
      <w:pPr>
        <w:rPr>
          <w:rFonts w:hint="default" w:ascii="Times New Roman" w:hAnsi="Times New Roman" w:cs="Times New Roman"/>
        </w:rPr>
      </w:pPr>
      <w:r>
        <w:rPr>
          <w:rFonts w:hint="default" w:ascii="Times New Roman" w:hAnsi="Times New Roman" w:cs="Times New Roman" w:eastAsiaTheme="minorHAnsi"/>
          <w:bCs/>
          <w:caps/>
          <w:szCs w:val="20"/>
        </w:rPr>
        <w:fldChar w:fldCharType="end"/>
      </w:r>
    </w:p>
    <w:p>
      <w:pPr>
        <w:pStyle w:val="3"/>
        <w:jc w:val="center"/>
        <w:rPr>
          <w:rFonts w:hint="default" w:ascii="Times New Roman" w:hAnsi="Times New Roman" w:eastAsia="黑体" w:cs="Times New Roman"/>
          <w:b w:val="0"/>
        </w:rPr>
      </w:pPr>
      <w:bookmarkStart w:id="12" w:name="_Toc15396599"/>
      <w:bookmarkStart w:id="13" w:name="_Toc31519"/>
      <w:bookmarkStart w:id="14" w:name="_Toc79163601"/>
      <w:bookmarkStart w:id="15" w:name="_Toc15377196"/>
    </w:p>
    <w:p>
      <w:pPr>
        <w:pStyle w:val="3"/>
        <w:jc w:val="center"/>
        <w:rPr>
          <w:rFonts w:hint="default" w:ascii="Times New Roman" w:hAnsi="Times New Roman" w:eastAsia="黑体" w:cs="Times New Roman"/>
          <w:b w:val="0"/>
        </w:rPr>
      </w:pPr>
    </w:p>
    <w:p>
      <w:pPr>
        <w:pStyle w:val="3"/>
        <w:jc w:val="center"/>
        <w:rPr>
          <w:rFonts w:hint="default" w:ascii="Times New Roman" w:hAnsi="Times New Roman" w:eastAsia="黑体" w:cs="Times New Roman"/>
          <w:b w:val="0"/>
        </w:rPr>
      </w:pPr>
    </w:p>
    <w:p>
      <w:pPr>
        <w:pStyle w:val="3"/>
        <w:jc w:val="center"/>
        <w:rPr>
          <w:rFonts w:hint="default" w:ascii="Times New Roman" w:hAnsi="Times New Roman" w:eastAsia="黑体" w:cs="Times New Roman"/>
          <w:b w:val="0"/>
        </w:rPr>
      </w:pPr>
    </w:p>
    <w:p>
      <w:pPr>
        <w:pStyle w:val="3"/>
        <w:jc w:val="center"/>
        <w:rPr>
          <w:rFonts w:hint="default" w:ascii="Times New Roman" w:hAnsi="Times New Roman" w:eastAsia="黑体" w:cs="Times New Roman"/>
          <w:b w:val="0"/>
        </w:rPr>
      </w:pPr>
    </w:p>
    <w:p>
      <w:pPr>
        <w:pStyle w:val="3"/>
        <w:jc w:val="center"/>
        <w:rPr>
          <w:rFonts w:hint="default" w:ascii="Times New Roman" w:hAnsi="Times New Roman" w:eastAsia="黑体" w:cs="Times New Roman"/>
          <w:b w:val="0"/>
        </w:rPr>
      </w:pPr>
    </w:p>
    <w:p>
      <w:pPr>
        <w:pStyle w:val="3"/>
        <w:jc w:val="center"/>
        <w:rPr>
          <w:rFonts w:hint="default" w:ascii="Times New Roman" w:hAnsi="Times New Roman" w:eastAsia="黑体" w:cs="Times New Roman"/>
          <w:b w:val="0"/>
        </w:rPr>
      </w:pPr>
    </w:p>
    <w:p>
      <w:pPr>
        <w:pStyle w:val="3"/>
        <w:jc w:val="center"/>
        <w:rPr>
          <w:rFonts w:hint="default" w:ascii="Times New Roman" w:hAnsi="Times New Roman" w:eastAsia="黑体" w:cs="Times New Roman"/>
          <w:b w:val="0"/>
        </w:rPr>
      </w:pPr>
    </w:p>
    <w:bookmarkEnd w:id="12"/>
    <w:bookmarkEnd w:id="13"/>
    <w:bookmarkEnd w:id="14"/>
    <w:bookmarkEnd w:id="15"/>
    <w:p>
      <w:pPr>
        <w:widowControl/>
        <w:jc w:val="left"/>
        <w:rPr>
          <w:rFonts w:hint="default" w:ascii="Times New Roman" w:hAnsi="Times New Roman" w:eastAsia="黑体" w:cs="Times New Roman"/>
          <w:color w:val="000000"/>
          <w:sz w:val="32"/>
          <w:szCs w:val="32"/>
        </w:rPr>
      </w:pPr>
    </w:p>
    <w:p>
      <w:pPr>
        <w:pStyle w:val="3"/>
        <w:jc w:val="center"/>
        <w:rPr>
          <w:rFonts w:hint="default" w:ascii="Times New Roman" w:hAnsi="Times New Roman" w:eastAsia="黑体" w:cs="Times New Roman"/>
          <w:b w:val="0"/>
        </w:rPr>
        <w:sectPr>
          <w:footerReference r:id="rId7" w:type="default"/>
          <w:pgSz w:w="11906" w:h="16838"/>
          <w:pgMar w:top="2098" w:right="1474" w:bottom="1984" w:left="1587" w:header="851" w:footer="992" w:gutter="0"/>
          <w:pgNumType w:fmt="decimal" w:start="1"/>
          <w:cols w:space="425" w:num="1"/>
          <w:docGrid w:type="lines" w:linePitch="312" w:charSpace="0"/>
        </w:sectPr>
      </w:pPr>
      <w:bookmarkStart w:id="16" w:name="_Toc29091"/>
      <w:bookmarkStart w:id="17" w:name="_Toc79163602"/>
      <w:bookmarkStart w:id="18" w:name="_Toc15396600"/>
      <w:bookmarkStart w:id="19" w:name="_Toc15377197"/>
    </w:p>
    <w:p>
      <w:pPr>
        <w:pStyle w:val="3"/>
        <w:jc w:val="center"/>
        <w:rPr>
          <w:rStyle w:val="25"/>
          <w:rFonts w:hint="default" w:ascii="Times New Roman" w:hAnsi="Times New Roman" w:eastAsia="黑体" w:cs="Times New Roman"/>
          <w:b/>
          <w:bCs w:val="0"/>
        </w:rPr>
      </w:pPr>
      <w:r>
        <w:rPr>
          <w:rFonts w:hint="default" w:ascii="Times New Roman" w:hAnsi="Times New Roman" w:eastAsia="黑体" w:cs="Times New Roman"/>
          <w:b w:val="0"/>
        </w:rPr>
        <w:t xml:space="preserve">第一部分 </w:t>
      </w:r>
      <w:r>
        <w:rPr>
          <w:rStyle w:val="25"/>
          <w:rFonts w:hint="default" w:ascii="Times New Roman" w:hAnsi="Times New Roman" w:eastAsia="黑体" w:cs="Times New Roman"/>
          <w:b w:val="0"/>
          <w:bCs w:val="0"/>
        </w:rPr>
        <w:t>部门概况</w:t>
      </w:r>
    </w:p>
    <w:p>
      <w:pPr>
        <w:pStyle w:val="4"/>
        <w:keepNext w:val="0"/>
        <w:keepLines w:val="0"/>
        <w:pageBreakBefore w:val="0"/>
        <w:widowControl w:val="0"/>
        <w:kinsoku/>
        <w:wordWrap/>
        <w:overflowPunct/>
        <w:topLinePunct w:val="0"/>
        <w:autoSpaceDE/>
        <w:autoSpaceDN/>
        <w:bidi w:val="0"/>
        <w:spacing w:before="0" w:after="0" w:line="576" w:lineRule="exact"/>
        <w:ind w:left="0" w:right="0" w:firstLine="640" w:firstLineChars="200"/>
        <w:jc w:val="both"/>
        <w:textAlignment w:val="auto"/>
        <w:rPr>
          <w:rStyle w:val="26"/>
          <w:rFonts w:hint="default" w:ascii="Times New Roman" w:hAnsi="Times New Roman" w:eastAsia="黑体" w:cs="Times New Roman"/>
          <w:b w:val="0"/>
          <w:bCs w:val="0"/>
          <w:color w:val="000000" w:themeColor="text1"/>
          <w14:textFill>
            <w14:solidFill>
              <w14:schemeClr w14:val="tx1"/>
            </w14:solidFill>
          </w14:textFill>
        </w:rPr>
      </w:pPr>
      <w:r>
        <w:rPr>
          <w:rFonts w:hint="default" w:ascii="Times New Roman" w:hAnsi="Times New Roman" w:eastAsia="黑体" w:cs="Times New Roman"/>
          <w:b w:val="0"/>
          <w:color w:val="000000" w:themeColor="text1"/>
          <w14:textFill>
            <w14:solidFill>
              <w14:schemeClr w14:val="tx1"/>
            </w14:solidFill>
          </w14:textFill>
        </w:rPr>
        <w:t>一、基</w:t>
      </w:r>
      <w:r>
        <w:rPr>
          <w:rStyle w:val="26"/>
          <w:rFonts w:hint="default" w:ascii="Times New Roman" w:hAnsi="Times New Roman" w:eastAsia="黑体" w:cs="Times New Roman"/>
          <w:b w:val="0"/>
          <w:bCs w:val="0"/>
          <w:color w:val="000000" w:themeColor="text1"/>
          <w14:textFill>
            <w14:solidFill>
              <w14:schemeClr w14:val="tx1"/>
            </w14:solidFill>
          </w14:textFill>
        </w:rPr>
        <w:t>本职能及主要工作</w:t>
      </w:r>
      <w:bookmarkEnd w:id="16"/>
      <w:bookmarkEnd w:id="17"/>
      <w:bookmarkEnd w:id="18"/>
      <w:bookmarkEnd w:id="19"/>
      <w:bookmarkStart w:id="20" w:name="_Toc15377199"/>
      <w:bookmarkStart w:id="21" w:name="_Toc79163604"/>
      <w:bookmarkStart w:id="22" w:name="_Toc15378446"/>
    </w:p>
    <w:p>
      <w:pPr>
        <w:keepNext w:val="0"/>
        <w:keepLines w:val="0"/>
        <w:pageBreakBefore w:val="0"/>
        <w:widowControl w:val="0"/>
        <w:kinsoku/>
        <w:wordWrap/>
        <w:overflowPunct/>
        <w:topLinePunct w:val="0"/>
        <w:autoSpaceDE/>
        <w:autoSpaceDN/>
        <w:bidi w:val="0"/>
        <w:adjustRightInd/>
        <w:snapToGrid/>
        <w:spacing w:before="0" w:after="0" w:line="576" w:lineRule="exact"/>
        <w:ind w:left="0" w:right="0" w:firstLine="643" w:firstLineChars="200"/>
        <w:jc w:val="both"/>
        <w:textAlignment w:val="auto"/>
        <w:outlineLvl w:val="9"/>
        <w:rPr>
          <w:rFonts w:hint="default" w:ascii="Times New Roman" w:hAnsi="Times New Roman" w:eastAsia="方正仿宋_GBK"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（一）主要职能</w:t>
      </w:r>
      <w:r>
        <w:rPr>
          <w:rFonts w:hint="default" w:ascii="Times New Roman" w:hAnsi="Times New Roman" w:eastAsia="方正楷体_GBK" w:cs="Times New Roman"/>
          <w:b w:val="0"/>
          <w:bCs w:val="0"/>
          <w:color w:val="000000" w:themeColor="text1"/>
          <w:sz w:val="32"/>
          <w:szCs w:val="32"/>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领导州直机关党的建设;按权限审批州直机关基层党组织的建立和领导班子的组成；领导州直机关党的纪律检查工作，按权限和程序审议、查办党员违纪违法案件，组织开展反腐倡廉教育；指导州直机关党组织抓党员和干部的学习，组织实施机关党员、党务干部和入党积极分子的教育培训；领导州直机关统战、青、妇等群团组织的工作；指导州直机关各部门做好政治思想工作；负责全州的驻村帮扶工作和城乡环境综合整治进机关工作；承办州委交办的其它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5"/>
        <w:textAlignment w:val="auto"/>
        <w:rPr>
          <w:rFonts w:hint="default" w:ascii="Times New Roman" w:hAnsi="Times New Roman" w:eastAsia="楷体_GB2312" w:cs="Times New Roman"/>
          <w:b/>
          <w:bCs w:val="0"/>
          <w:color w:val="000000" w:themeColor="text1"/>
          <w:sz w:val="32"/>
          <w:szCs w:val="32"/>
          <w14:textFill>
            <w14:solidFill>
              <w14:schemeClr w14:val="tx1"/>
            </w14:solidFill>
          </w14:textFill>
        </w:rPr>
      </w:pPr>
      <w:r>
        <w:rPr>
          <w:rFonts w:hint="default" w:ascii="Times New Roman" w:hAnsi="Times New Roman" w:eastAsia="楷体_GB2312" w:cs="Times New Roman"/>
          <w:b/>
          <w:bCs w:val="0"/>
          <w:color w:val="000000" w:themeColor="text1"/>
          <w:sz w:val="32"/>
          <w:szCs w:val="32"/>
          <w14:textFill>
            <w14:solidFill>
              <w14:schemeClr w14:val="tx1"/>
            </w14:solidFill>
          </w14:textFill>
        </w:rPr>
        <w:t>（二）2020年重点工作完成情况。</w:t>
      </w:r>
      <w:bookmarkEnd w:id="20"/>
      <w:bookmarkEnd w:id="21"/>
      <w:bookmarkEnd w:id="22"/>
    </w:p>
    <w:p>
      <w:pPr>
        <w:keepNext w:val="0"/>
        <w:keepLines w:val="0"/>
        <w:pageBreakBefore w:val="0"/>
        <w:widowControl w:val="0"/>
        <w:kinsoku/>
        <w:wordWrap/>
        <w:overflowPunct/>
        <w:topLinePunct w:val="0"/>
        <w:autoSpaceDE/>
        <w:autoSpaceDN/>
        <w:bidi w:val="0"/>
        <w:adjustRightInd w:val="0"/>
        <w:snapToGrid w:val="0"/>
        <w:spacing w:line="576" w:lineRule="exact"/>
        <w:ind w:firstLine="645"/>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sz w:val="32"/>
          <w14:textFill>
            <w14:solidFill>
              <w14:schemeClr w14:val="tx1"/>
            </w14:solidFill>
          </w14:textFill>
        </w:rPr>
        <w:t>今年以来，我委认真贯彻落实州委十一届七次八次九次全会精神，严格按照州委“两体系一建设”党建工作主题和机关党建工作决策部署，以党的政治建设为统领，全面推进机关党的建设工作，州直机关党建工作取得新进展新成效。</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lang w:val="en-US" w:eastAsia="zh-CN"/>
          <w14:textFill>
            <w14:solidFill>
              <w14:schemeClr w14:val="tx1"/>
            </w14:solidFill>
          </w14:textFill>
        </w:rPr>
        <w:t>一是</w:t>
      </w:r>
      <w:r>
        <w:rPr>
          <w:rFonts w:hint="default" w:ascii="Times New Roman" w:hAnsi="Times New Roman" w:eastAsia="楷体_GB2312" w:cs="Times New Roman"/>
          <w:b/>
          <w:color w:val="000000" w:themeColor="text1"/>
          <w:sz w:val="32"/>
          <w:szCs w:val="32"/>
          <w14:textFill>
            <w14:solidFill>
              <w14:schemeClr w14:val="tx1"/>
            </w14:solidFill>
          </w14:textFill>
        </w:rPr>
        <w:t>带头做到“两个维护”，政治建设有力推进。</w:t>
      </w:r>
      <w:r>
        <w:rPr>
          <w:rFonts w:hint="default" w:ascii="Times New Roman" w:hAnsi="Times New Roman" w:eastAsia="仿宋_GB2312" w:cs="Times New Roman"/>
          <w:b/>
          <w:color w:val="000000" w:themeColor="text1"/>
          <w:sz w:val="32"/>
          <w:szCs w:val="32"/>
          <w14:textFill>
            <w14:solidFill>
              <w14:schemeClr w14:val="tx1"/>
            </w14:solidFill>
          </w14:textFill>
        </w:rPr>
        <w:t>带头做到“两个维护”。</w:t>
      </w:r>
      <w:r>
        <w:rPr>
          <w:rFonts w:hint="default" w:ascii="Times New Roman" w:hAnsi="Times New Roman" w:eastAsia="仿宋_GB2312" w:cs="Times New Roman"/>
          <w:color w:val="000000" w:themeColor="text1"/>
          <w:sz w:val="32"/>
          <w:szCs w:val="32"/>
          <w14:textFill>
            <w14:solidFill>
              <w14:schemeClr w14:val="tx1"/>
            </w14:solidFill>
          </w14:textFill>
        </w:rPr>
        <w:t>认真贯彻落实中央、省委、州委对新时代机关党建工作的部署要求，州委制定《关于进一步加强和改进机关党的建设的实施意见》，着力明确了我州机关党建的总体要求、工作措施和组织保障等</w:t>
      </w:r>
      <w:r>
        <w:rPr>
          <w:rFonts w:hint="default" w:ascii="Times New Roman" w:hAnsi="Times New Roman" w:eastAsia="仿宋_GB2312" w:cs="Times New Roman"/>
          <w:color w:val="000000" w:themeColor="text1"/>
          <w:sz w:val="32"/>
          <w:szCs w:val="32"/>
          <w:lang w:bidi="bo-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大力加强对党忠诚教育，州直部门党组织以党支部、共建组等方式，共组织364场5685名党员干部到长征干部学院雪山草地分院、映秀爱国主义教育基地等开展现场教育活动，传承红色基因、强化党性锻炼，筑牢党员干部对党绝对忠诚的政治品格。</w:t>
      </w:r>
      <w:r>
        <w:rPr>
          <w:rFonts w:hint="default" w:ascii="Times New Roman" w:hAnsi="Times New Roman" w:eastAsia="仿宋_GB2312" w:cs="Times New Roman"/>
          <w:b/>
          <w:color w:val="000000" w:themeColor="text1"/>
          <w:kern w:val="0"/>
          <w:sz w:val="32"/>
          <w:szCs w:val="32"/>
          <w14:textFill>
            <w14:solidFill>
              <w14:schemeClr w14:val="tx1"/>
            </w14:solidFill>
          </w14:textFill>
        </w:rPr>
        <w:t>严肃党内政治生活。</w:t>
      </w:r>
      <w:r>
        <w:rPr>
          <w:rFonts w:hint="default" w:ascii="Times New Roman" w:hAnsi="Times New Roman" w:eastAsia="仿宋_GB2312" w:cs="Times New Roman"/>
          <w:color w:val="000000" w:themeColor="text1"/>
          <w:kern w:val="0"/>
          <w:sz w:val="32"/>
          <w:szCs w:val="32"/>
          <w14:textFill>
            <w14:solidFill>
              <w14:schemeClr w14:val="tx1"/>
            </w14:solidFill>
          </w14:textFill>
        </w:rPr>
        <w:t>严格落实双重组织生活制度，督促州直部门党员领导干部认真参加所在支部组织生活会、部门班子民主生活会，带头开展批评与自我批评，带头检视整改问题，自觉接受监督。从今年起，切实推行州直部门党组织将党员领导干部参加双重组织生活的情况在本部门公示通报、向州直机关工委报告审查的工作机制。</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lang w:val="en-US" w:eastAsia="zh-CN"/>
          <w14:textFill>
            <w14:solidFill>
              <w14:schemeClr w14:val="tx1"/>
            </w14:solidFill>
          </w14:textFill>
        </w:rPr>
        <w:t>二是</w:t>
      </w:r>
      <w:r>
        <w:rPr>
          <w:rFonts w:hint="default" w:ascii="Times New Roman" w:hAnsi="Times New Roman" w:eastAsia="楷体_GB2312" w:cs="Times New Roman"/>
          <w:b/>
          <w:color w:val="000000" w:themeColor="text1"/>
          <w:sz w:val="32"/>
          <w:szCs w:val="32"/>
          <w14:textFill>
            <w14:solidFill>
              <w14:schemeClr w14:val="tx1"/>
            </w14:solidFill>
          </w14:textFill>
        </w:rPr>
        <w:t>持续深化理论武装，思想建设不断加强。</w:t>
      </w:r>
      <w:r>
        <w:rPr>
          <w:rFonts w:hint="default" w:ascii="Times New Roman" w:hAnsi="Times New Roman" w:eastAsia="仿宋_GB2312" w:cs="Times New Roman"/>
          <w:b/>
          <w:color w:val="000000" w:themeColor="text1"/>
          <w:sz w:val="32"/>
          <w:szCs w:val="32"/>
          <w14:textFill>
            <w14:solidFill>
              <w14:schemeClr w14:val="tx1"/>
            </w14:solidFill>
          </w14:textFill>
        </w:rPr>
        <w:t>深入学习贯彻党的创新理论。</w:t>
      </w:r>
      <w:r>
        <w:rPr>
          <w:rFonts w:hint="default" w:ascii="Times New Roman" w:hAnsi="Times New Roman" w:eastAsia="仿宋_GB2312" w:cs="Times New Roman"/>
          <w:color w:val="000000" w:themeColor="text1"/>
          <w:sz w:val="32"/>
          <w:szCs w:val="32"/>
          <w14:textFill>
            <w14:solidFill>
              <w14:schemeClr w14:val="tx1"/>
            </w14:solidFill>
          </w14:textFill>
        </w:rPr>
        <w:t>组织州直部门党组（党委）订阅《习近平谈治国理政》（第三卷）1258册，充分利用中心组理论学习、“三级书记讲党课”“三会一课”等方式，深入学习贯彻习近平新时代中国特色社会主义思想，着力推动学习贯彻党的创新理论走深走心走实。制发州直机关党组（党委）理论学习中心组学习测评细则，对组织领导、学习重点、学习方式、学习制度、学习成效等作出具体规定，切实推动中心组学习制度化规范化。举办专题宣讲活动962场，在州直部门宣讲党的十九届四中全会、省委十一届六次七次全会和州委十一届八次九次全会精神。</w:t>
      </w:r>
      <w:r>
        <w:rPr>
          <w:rFonts w:hint="default" w:ascii="Times New Roman" w:hAnsi="Times New Roman" w:eastAsia="仿宋_GB2312" w:cs="Times New Roman"/>
          <w:b/>
          <w:color w:val="000000" w:themeColor="text1"/>
          <w:sz w:val="32"/>
          <w:szCs w:val="32"/>
          <w14:textFill>
            <w14:solidFill>
              <w14:schemeClr w14:val="tx1"/>
            </w14:solidFill>
          </w14:textFill>
        </w:rPr>
        <w:t>组织开展“学用新思想、建功新时代”活动。</w:t>
      </w:r>
      <w:r>
        <w:rPr>
          <w:rFonts w:hint="default" w:ascii="Times New Roman" w:hAnsi="Times New Roman" w:eastAsia="仿宋_GB2312" w:cs="Times New Roman"/>
          <w:color w:val="000000" w:themeColor="text1"/>
          <w:sz w:val="32"/>
          <w:szCs w:val="32"/>
          <w14:textFill>
            <w14:solidFill>
              <w14:schemeClr w14:val="tx1"/>
            </w14:solidFill>
          </w14:textFill>
        </w:rPr>
        <w:t>在州直机关青年党员、干部中开展“学用新思想、建功新时代”活动，建立青年学习小组150个，举办学习活动283场，2480名青年干部定期开展理论学习、成果交流，坚持用党的创新理论武装青年党员、干部的头脑。举办1期140名青年理论骨干参加的“学用新思想”示范培训，采取课堂集中授课、课后学习研讨、撰写心得体会等方式，教育引导青年干部准确领会新思想的精神实质和丰富内涵，带动青年学习小组抓好理论学习，激励青年干部积极投身我州第三次创业热潮。</w:t>
      </w:r>
      <w:r>
        <w:rPr>
          <w:rFonts w:hint="default" w:ascii="Times New Roman" w:hAnsi="Times New Roman" w:eastAsia="仿宋_GB2312" w:cs="Times New Roman"/>
          <w:b/>
          <w:color w:val="000000" w:themeColor="text1"/>
          <w:sz w:val="32"/>
          <w:szCs w:val="32"/>
          <w14:textFill>
            <w14:solidFill>
              <w14:schemeClr w14:val="tx1"/>
            </w14:solidFill>
          </w14:textFill>
        </w:rPr>
        <w:t>加强意识形态工作。</w:t>
      </w:r>
      <w:r>
        <w:rPr>
          <w:rFonts w:hint="default" w:ascii="Times New Roman" w:hAnsi="Times New Roman" w:eastAsia="仿宋_GB2312" w:cs="Times New Roman"/>
          <w:color w:val="000000" w:themeColor="text1"/>
          <w:sz w:val="32"/>
          <w:szCs w:val="32"/>
          <w14:textFill>
            <w14:solidFill>
              <w14:schemeClr w14:val="tx1"/>
            </w14:solidFill>
          </w14:textFill>
        </w:rPr>
        <w:t>组织53个部门的优秀团员青年开展以“不负韶华·担当奉献”为</w:t>
      </w:r>
      <w:r>
        <w:rPr>
          <w:rFonts w:hint="default" w:ascii="Times New Roman" w:hAnsi="Times New Roman" w:eastAsia="仿宋_GB2312" w:cs="Times New Roman"/>
          <w:color w:val="000000" w:themeColor="text1"/>
          <w:kern w:val="56"/>
          <w:sz w:val="32"/>
          <w:szCs w:val="32"/>
          <w14:textFill>
            <w14:solidFill>
              <w14:schemeClr w14:val="tx1"/>
            </w14:solidFill>
          </w14:textFill>
        </w:rPr>
        <w:t>主题的爱国主义教育活动，</w:t>
      </w:r>
      <w:r>
        <w:rPr>
          <w:rFonts w:hint="default" w:ascii="Times New Roman" w:hAnsi="Times New Roman" w:eastAsia="仿宋_GB2312" w:cs="Times New Roman"/>
          <w:color w:val="000000" w:themeColor="text1"/>
          <w:sz w:val="32"/>
          <w:szCs w:val="32"/>
          <w14:textFill>
            <w14:solidFill>
              <w14:schemeClr w14:val="tx1"/>
            </w14:solidFill>
          </w14:textFill>
        </w:rPr>
        <w:t>组织40个部门的妇女代表召开“我为家乡作贡献”建言献策座谈会，激励机关党员干部热爱祖国、建设家乡，立足岗位、干事创业。深入开展“做悦读党员，建书香机关”主题读书活动，大力营造多读书、读好书、善读书的机关阅读氛围。围绕“立足岗位强本领、稳州兴州作贡献”主题，举办阿坝州第一届机关公文写作培训暨技能大赛，州县市机关178名年轻干部参加培训和比赛活动。</w:t>
      </w:r>
      <w:r>
        <w:rPr>
          <w:rFonts w:hint="default" w:ascii="Times New Roman" w:hAnsi="Times New Roman" w:eastAsia="仿宋_GB2312" w:cs="Times New Roman"/>
          <w:b/>
          <w:color w:val="000000" w:themeColor="text1"/>
          <w:sz w:val="32"/>
          <w:szCs w:val="32"/>
          <w14:textFill>
            <w14:solidFill>
              <w14:schemeClr w14:val="tx1"/>
            </w14:solidFill>
          </w14:textFill>
        </w:rPr>
        <w:t>加大党建工作宣传力度。</w:t>
      </w:r>
      <w:r>
        <w:rPr>
          <w:rFonts w:hint="default" w:ascii="Times New Roman" w:hAnsi="Times New Roman" w:eastAsia="仿宋_GB2312" w:cs="Times New Roman"/>
          <w:color w:val="000000" w:themeColor="text1"/>
          <w:sz w:val="32"/>
          <w:szCs w:val="32"/>
          <w14:textFill>
            <w14:solidFill>
              <w14:schemeClr w14:val="tx1"/>
            </w14:solidFill>
          </w14:textFill>
        </w:rPr>
        <w:t>在四川党建之声、四川机关党建、魅力四川报道等发表《创新“五步走”模式锤炼青年干部队伍》《扎实推动机关党建工作再上新台阶》等信息28篇。在“指尖微党建”刊发专题类信息55期188条，积极宣传州直机关开展机关党建、疫情防控、复工复产、防灾减灾等工作经验和先进典型。</w:t>
      </w:r>
    </w:p>
    <w:p>
      <w:pPr>
        <w:keepNext w:val="0"/>
        <w:keepLines w:val="0"/>
        <w:pageBreakBefore w:val="0"/>
        <w:widowControl w:val="0"/>
        <w:pBdr>
          <w:bottom w:val="single" w:color="FFFFFF" w:sz="4" w:space="30"/>
        </w:pBdr>
        <w:shd w:val="clear" w:color="auto" w:fill="FFFFFF"/>
        <w:tabs>
          <w:tab w:val="left" w:pos="1440"/>
        </w:tabs>
        <w:kinsoku/>
        <w:wordWrap/>
        <w:overflowPunct/>
        <w:topLinePunct w:val="0"/>
        <w:autoSpaceDE/>
        <w:autoSpaceDN/>
        <w:bidi w:val="0"/>
        <w:snapToGrid w:val="0"/>
        <w:spacing w:line="576"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lang w:val="en-US" w:eastAsia="zh-CN"/>
          <w14:textFill>
            <w14:solidFill>
              <w14:schemeClr w14:val="tx1"/>
            </w14:solidFill>
          </w14:textFill>
        </w:rPr>
        <w:t>三是</w:t>
      </w:r>
      <w:r>
        <w:rPr>
          <w:rFonts w:hint="default" w:ascii="Times New Roman" w:hAnsi="Times New Roman" w:eastAsia="楷体_GB2312" w:cs="Times New Roman"/>
          <w:b/>
          <w:color w:val="000000" w:themeColor="text1"/>
          <w:sz w:val="32"/>
          <w:szCs w:val="32"/>
          <w14:textFill>
            <w14:solidFill>
              <w14:schemeClr w14:val="tx1"/>
            </w14:solidFill>
          </w14:textFill>
        </w:rPr>
        <w:t>着力夯实基层基础，组织建设有效开展。</w:t>
      </w:r>
      <w:r>
        <w:rPr>
          <w:rFonts w:hint="default" w:ascii="Times New Roman" w:hAnsi="Times New Roman" w:eastAsia="仿宋_GB2312" w:cs="Times New Roman"/>
          <w:b/>
          <w:bCs/>
          <w:color w:val="000000" w:themeColor="text1"/>
          <w:sz w:val="32"/>
          <w:szCs w:val="32"/>
          <w:shd w:val="clear" w:color="auto" w:fill="FFFFFF"/>
          <w14:textFill>
            <w14:solidFill>
              <w14:schemeClr w14:val="tx1"/>
            </w14:solidFill>
          </w14:textFill>
        </w:rPr>
        <w:t>建强抓实党支部。</w:t>
      </w:r>
      <w:r>
        <w:rPr>
          <w:rFonts w:hint="default" w:ascii="Times New Roman" w:hAnsi="Times New Roman" w:eastAsia="仿宋_GB2312" w:cs="Times New Roman"/>
          <w:color w:val="000000" w:themeColor="text1"/>
          <w:sz w:val="32"/>
          <w:szCs w:val="32"/>
          <w14:textFill>
            <w14:solidFill>
              <w14:schemeClr w14:val="tx1"/>
            </w14:solidFill>
          </w14:textFill>
        </w:rPr>
        <w:t>认真贯彻落实机关基层组织工作条例、支部工作条例，坚持“抓两头带中间”，在州直机关组织开展“五好党支部”创建活动，大力推进党支部标准化规范化建设，有238个党支部创建为“五好党支部”，占党支部总数的68.2%；组织开展软弱涣散基层党组织集中整治，制定实施方案，明确整治重点，采取每个软弱涣散基层党组织由本部门党组（党委）书记或主要领导负总责、1名县级党员领导班子成员主抓、1名党务工作人员具体抓和州直机关工委1名党建工作指导员结对抓的方式抓实整治工作，19个后进党支部得到有效整治和转化提升。指导督促349个党支部全面完成集中统一换届，选优配强党支部书记和支部委员。举办1期入党积极分子培训班，采取专题授课、课堂互动和闭卷考试的方式，对189名积极分子进行党的创新理论、党章党史等培训教育。坚持把政治标准放在首位，切实抓好发展党员工作，截至目前发展新党员55名、预备党员转正64名。组织</w:t>
      </w:r>
      <w:r>
        <w:rPr>
          <w:rFonts w:hint="default" w:ascii="Times New Roman" w:hAnsi="Times New Roman" w:eastAsia="仿宋_GB2312" w:cs="Times New Roman"/>
          <w:color w:val="000000" w:themeColor="text1"/>
          <w:kern w:val="36"/>
          <w:sz w:val="32"/>
          <w:szCs w:val="32"/>
          <w14:textFill>
            <w14:solidFill>
              <w14:schemeClr w14:val="tx1"/>
            </w14:solidFill>
          </w14:textFill>
        </w:rPr>
        <w:t>州直机关4000余名党员开展机关</w:t>
      </w:r>
      <w:r>
        <w:rPr>
          <w:rFonts w:hint="default" w:ascii="Times New Roman" w:hAnsi="Times New Roman" w:eastAsia="仿宋_GB2312" w:cs="Times New Roman"/>
          <w:color w:val="000000" w:themeColor="text1"/>
          <w:sz w:val="32"/>
          <w:szCs w:val="32"/>
          <w14:textFill>
            <w14:solidFill>
              <w14:schemeClr w14:val="tx1"/>
            </w14:solidFill>
          </w14:textFill>
        </w:rPr>
        <w:t>基层组织工作条例知识</w:t>
      </w:r>
      <w:r>
        <w:rPr>
          <w:rFonts w:hint="default" w:ascii="Times New Roman" w:hAnsi="Times New Roman" w:eastAsia="仿宋_GB2312" w:cs="Times New Roman"/>
          <w:color w:val="000000" w:themeColor="text1"/>
          <w:kern w:val="36"/>
          <w:sz w:val="32"/>
          <w:szCs w:val="32"/>
          <w14:textFill>
            <w14:solidFill>
              <w14:schemeClr w14:val="tx1"/>
            </w14:solidFill>
          </w14:textFill>
        </w:rPr>
        <w:t>测试，扎实抓好《条例》的学习宣传工作。</w:t>
      </w:r>
      <w:r>
        <w:rPr>
          <w:rFonts w:hint="default" w:ascii="Times New Roman" w:hAnsi="Times New Roman" w:eastAsia="仿宋_GB2312" w:cs="Times New Roman"/>
          <w:color w:val="000000" w:themeColor="text1"/>
          <w:sz w:val="32"/>
          <w:szCs w:val="32"/>
          <w14:textFill>
            <w14:solidFill>
              <w14:schemeClr w14:val="tx1"/>
            </w14:solidFill>
          </w14:textFill>
        </w:rPr>
        <w:t>坚持党建带群团建设，指导州直部门4个团组织、4个妇代小组（妇委会）完成换届选举，指导10个州直部门成立妇代小组（妇委会），不断增强群团组织的凝聚力战斗力。</w:t>
      </w:r>
      <w:r>
        <w:rPr>
          <w:rFonts w:hint="default" w:ascii="Times New Roman" w:hAnsi="Times New Roman" w:eastAsia="仿宋_GB2312" w:cs="Times New Roman"/>
          <w:b/>
          <w:color w:val="000000" w:themeColor="text1"/>
          <w:kern w:val="36"/>
          <w:sz w:val="32"/>
          <w:szCs w:val="32"/>
          <w14:textFill>
            <w14:solidFill>
              <w14:schemeClr w14:val="tx1"/>
            </w14:solidFill>
          </w14:textFill>
        </w:rPr>
        <w:t>加强机关党建制度建设。</w:t>
      </w:r>
      <w:r>
        <w:rPr>
          <w:rFonts w:hint="default" w:ascii="Times New Roman" w:hAnsi="Times New Roman" w:eastAsia="仿宋_GB2312" w:cs="Times New Roman"/>
          <w:color w:val="000000" w:themeColor="text1"/>
          <w:kern w:val="36"/>
          <w:sz w:val="32"/>
          <w:szCs w:val="32"/>
          <w14:textFill>
            <w14:solidFill>
              <w14:schemeClr w14:val="tx1"/>
            </w14:solidFill>
          </w14:textFill>
        </w:rPr>
        <w:t>适应新部署新要求，对机关党建制度进行梳理，健全完善机关党建分片包联、分层明责、分类优化、分段考核的“四分”工作机制，层层压实机关党建责任；制定全面推行机关党建和业务工作同谋划部署、同推进落实、同督查考核、同激励追责，与业务工作和中心工作融合并进的“四同一融合”工作模式，统筹推进党建和业务深度融合、相互促进；制定全面推行党员积分制管理实施方案，力争以量化小积分管住党员大队伍；建立州直机关党组织开展“三会一课”、主题党日等组织生活的考核评比、成果展示、定期交流制度，促进组织生活规范严实开展</w:t>
      </w:r>
      <w:r>
        <w:rPr>
          <w:rFonts w:hint="default" w:ascii="Times New Roman" w:hAnsi="Times New Roman" w:eastAsia="仿宋_GB2312" w:cs="Times New Roman"/>
          <w:color w:val="000000" w:themeColor="text1"/>
          <w:kern w:val="36"/>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36"/>
          <w:sz w:val="32"/>
          <w:szCs w:val="32"/>
          <w14:textFill>
            <w14:solidFill>
              <w14:schemeClr w14:val="tx1"/>
            </w14:solidFill>
          </w14:textFill>
        </w:rPr>
        <w:t>建立州内片区机关党建联席会议制度，加强对县市机关党建工作指导，整体提升全州机关党建水平；探索建立健全机关党委、机关纪委运行规则，积极推动在州发改委、州公安局等机关党委设立机关纪委，切实提升机关党建制度化水平。</w:t>
      </w:r>
      <w:r>
        <w:rPr>
          <w:rFonts w:hint="default" w:ascii="Times New Roman" w:hAnsi="Times New Roman" w:eastAsia="仿宋_GB2312" w:cs="Times New Roman"/>
          <w:b/>
          <w:bCs/>
          <w:color w:val="000000" w:themeColor="text1"/>
          <w:sz w:val="32"/>
          <w:szCs w:val="32"/>
          <w14:textFill>
            <w14:solidFill>
              <w14:schemeClr w14:val="tx1"/>
            </w14:solidFill>
          </w14:textFill>
        </w:rPr>
        <w:t>切实加大党务干部培训力度。</w:t>
      </w:r>
      <w:r>
        <w:rPr>
          <w:rFonts w:hint="default" w:ascii="Times New Roman" w:hAnsi="Times New Roman" w:eastAsia="仿宋_GB2312" w:cs="Times New Roman"/>
          <w:color w:val="000000" w:themeColor="text1"/>
          <w:sz w:val="32"/>
          <w:szCs w:val="32"/>
          <w14:textFill>
            <w14:solidFill>
              <w14:schemeClr w14:val="tx1"/>
            </w14:solidFill>
          </w14:textFill>
        </w:rPr>
        <w:t>举办2期共461人参加的州直机关新任党务干部政治和业务能力提升培训班，促进新任党务干部夯实理论基础、熟悉党建业务、提高工作能力，尽快进入工作角色。举办1期95人参加的州直机关党组织书记专题培训班，着力提高政治能力和抓好机关党建工作的责任意识，促进党组织书记深化思想认识、扛起政治责任，增强履职本领、抓实党建工作。</w:t>
      </w:r>
      <w:r>
        <w:rPr>
          <w:rFonts w:hint="default" w:ascii="Times New Roman" w:hAnsi="Times New Roman" w:eastAsia="仿宋_GB2312" w:cs="Times New Roman"/>
          <w:b/>
          <w:color w:val="000000" w:themeColor="text1"/>
          <w:sz w:val="32"/>
          <w:szCs w:val="32"/>
          <w14:textFill>
            <w14:solidFill>
              <w14:schemeClr w14:val="tx1"/>
            </w14:solidFill>
          </w14:textFill>
        </w:rPr>
        <w:t>深入实施党内关爱帮扶工程。</w:t>
      </w:r>
      <w:r>
        <w:rPr>
          <w:rFonts w:hint="default" w:ascii="Times New Roman" w:hAnsi="Times New Roman" w:eastAsia="仿宋_GB2312" w:cs="Times New Roman"/>
          <w:color w:val="000000" w:themeColor="text1"/>
          <w:sz w:val="32"/>
          <w:szCs w:val="32"/>
          <w14:textFill>
            <w14:solidFill>
              <w14:schemeClr w14:val="tx1"/>
            </w14:solidFill>
          </w14:textFill>
        </w:rPr>
        <w:t>积极推行以思想关爱、常态普惠、专项资助等为主要内容的党内关爱措施，持续激发党员对党组织的认同感、归属感和荣誉感。“七一”期间，对在促进全州经济社会发展、推动脱贫攻坚、打赢疫情防控阻击战中作出突出贡献的50名优秀共产党员、50名优秀党务工作者、30个先进基层党组织进行了表扬，激励机关党员干部对标先进、奋发有为、拼搏进取。认真开展节庆期间的走访慰问活动，</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对13名建国前入党的老党员、111名生活困难党员、8名因公去世党员家属、6名因公去世干部家属开展走访慰问，发放慰问金13.68万元。经申报、调查、核实确定今年党内帮扶对象8名，发放党内帮扶资金11.94万元。</w:t>
      </w:r>
      <w:r>
        <w:rPr>
          <w:rFonts w:hint="default" w:ascii="Times New Roman" w:hAnsi="Times New Roman" w:eastAsia="仿宋_GB2312" w:cs="Times New Roman"/>
          <w:color w:val="000000" w:themeColor="text1"/>
          <w:sz w:val="32"/>
          <w:szCs w:val="32"/>
          <w14:textFill>
            <w14:solidFill>
              <w14:schemeClr w14:val="tx1"/>
            </w14:solidFill>
          </w14:textFill>
        </w:rPr>
        <w:t>从党员“一日捐”款项中支付31.16万元，为州直机关6233名党员和援藏干部购买意外伤害、疾病住院费用补偿医疗保险。</w:t>
      </w:r>
    </w:p>
    <w:p>
      <w:pPr>
        <w:keepNext w:val="0"/>
        <w:keepLines w:val="0"/>
        <w:pageBreakBefore w:val="0"/>
        <w:widowControl w:val="0"/>
        <w:pBdr>
          <w:bottom w:val="single" w:color="FFFFFF" w:sz="4" w:space="30"/>
        </w:pBdr>
        <w:shd w:val="clear" w:color="auto" w:fill="FFFFFF"/>
        <w:tabs>
          <w:tab w:val="left" w:pos="1440"/>
        </w:tabs>
        <w:kinsoku/>
        <w:wordWrap/>
        <w:overflowPunct/>
        <w:topLinePunct w:val="0"/>
        <w:autoSpaceDE/>
        <w:autoSpaceDN/>
        <w:bidi w:val="0"/>
        <w:snapToGrid w:val="0"/>
        <w:spacing w:line="576"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kern w:val="0"/>
          <w:sz w:val="32"/>
          <w:szCs w:val="32"/>
          <w:lang w:val="en-US" w:eastAsia="zh-CN"/>
          <w14:textFill>
            <w14:solidFill>
              <w14:schemeClr w14:val="tx1"/>
            </w14:solidFill>
          </w14:textFill>
        </w:rPr>
        <w:t>四是</w:t>
      </w:r>
      <w:r>
        <w:rPr>
          <w:rFonts w:hint="default" w:ascii="Times New Roman" w:hAnsi="Times New Roman" w:eastAsia="楷体_GB2312" w:cs="Times New Roman"/>
          <w:b/>
          <w:color w:val="000000" w:themeColor="text1"/>
          <w:kern w:val="0"/>
          <w:sz w:val="32"/>
          <w:szCs w:val="32"/>
          <w14:textFill>
            <w14:solidFill>
              <w14:schemeClr w14:val="tx1"/>
            </w14:solidFill>
          </w14:textFill>
        </w:rPr>
        <w:t>持之以恒正风肃纪，作风建设取得实效。</w:t>
      </w:r>
      <w:r>
        <w:rPr>
          <w:rFonts w:hint="default" w:ascii="Times New Roman" w:hAnsi="Times New Roman" w:eastAsia="仿宋_GB2312" w:cs="Times New Roman"/>
          <w:b/>
          <w:color w:val="000000" w:themeColor="text1"/>
          <w:kern w:val="0"/>
          <w:sz w:val="32"/>
          <w:szCs w:val="32"/>
          <w14:textFill>
            <w14:solidFill>
              <w14:schemeClr w14:val="tx1"/>
            </w14:solidFill>
          </w14:textFill>
        </w:rPr>
        <w:t>持续用力纠正“四风”。</w:t>
      </w:r>
      <w:r>
        <w:rPr>
          <w:rFonts w:hint="default" w:ascii="Times New Roman" w:hAnsi="Times New Roman" w:eastAsia="仿宋_GB2312" w:cs="Times New Roman"/>
          <w:color w:val="000000" w:themeColor="text1"/>
          <w:kern w:val="0"/>
          <w:sz w:val="32"/>
          <w:szCs w:val="32"/>
          <w14:textFill>
            <w14:solidFill>
              <w14:schemeClr w14:val="tx1"/>
            </w14:solidFill>
          </w14:textFill>
        </w:rPr>
        <w:t>着力深化纠“四风”工作，持续整治形式主义和官僚主义，深入整治“七个不适应”突出问题，建设风清气正的政治机关。扎实开展“三察三治”专项行动，对19个州直机关党组织的疫情防控工作开展暗访抽查、发现问题11个，</w:t>
      </w:r>
      <w:r>
        <w:rPr>
          <w:rFonts w:hint="default" w:ascii="Times New Roman" w:hAnsi="Times New Roman" w:eastAsia="仿宋_GB2312" w:cs="Times New Roman"/>
          <w:color w:val="000000" w:themeColor="text1"/>
          <w:sz w:val="32"/>
          <w:szCs w:val="32"/>
          <w14:textFill>
            <w14:solidFill>
              <w14:schemeClr w14:val="tx1"/>
            </w14:solidFill>
          </w14:textFill>
        </w:rPr>
        <w:t>对20个州直部门汛期值班情况进行检查、发现问题2个，</w:t>
      </w:r>
      <w:r>
        <w:rPr>
          <w:rFonts w:hint="default" w:ascii="Times New Roman" w:hAnsi="Times New Roman" w:eastAsia="仿宋_GB2312" w:cs="Times New Roman"/>
          <w:color w:val="000000" w:themeColor="text1"/>
          <w:kern w:val="0"/>
          <w:sz w:val="32"/>
          <w:szCs w:val="32"/>
          <w14:textFill>
            <w14:solidFill>
              <w14:schemeClr w14:val="tx1"/>
            </w14:solidFill>
          </w14:textFill>
        </w:rPr>
        <w:t>及时向有关党组织和派驻纪检监察组反馈情况，督促相关部门整改落实。</w:t>
      </w:r>
      <w:r>
        <w:rPr>
          <w:rFonts w:hint="default" w:ascii="Times New Roman" w:hAnsi="Times New Roman" w:eastAsia="仿宋_GB2312" w:cs="Times New Roman"/>
          <w:b/>
          <w:color w:val="000000" w:themeColor="text1"/>
          <w:kern w:val="0"/>
          <w:sz w:val="32"/>
          <w:szCs w:val="32"/>
          <w14:textFill>
            <w14:solidFill>
              <w14:schemeClr w14:val="tx1"/>
            </w14:solidFill>
          </w14:textFill>
        </w:rPr>
        <w:t>大力开展廉政教育。</w:t>
      </w:r>
      <w:r>
        <w:rPr>
          <w:rFonts w:hint="default" w:ascii="Times New Roman" w:hAnsi="Times New Roman" w:eastAsia="仿宋_GB2312" w:cs="Times New Roman"/>
          <w:color w:val="000000" w:themeColor="text1"/>
          <w:kern w:val="0"/>
          <w:sz w:val="32"/>
          <w:szCs w:val="32"/>
          <w14:textFill>
            <w14:solidFill>
              <w14:schemeClr w14:val="tx1"/>
            </w14:solidFill>
          </w14:textFill>
        </w:rPr>
        <w:t>围绕深入学习《党章》《准则》《条例》，督促州直部门扎实开展会前学纪、“四个面对面”、通报典型案例、法纪教育基地参观等廉政教育，进一步筑牢拒腐防变的思想道德根基。紧盯节庆节点，</w:t>
      </w:r>
      <w:r>
        <w:rPr>
          <w:rFonts w:hint="default" w:ascii="Times New Roman" w:hAnsi="Times New Roman" w:eastAsia="仿宋_GB2312" w:cs="Times New Roman"/>
          <w:color w:val="000000" w:themeColor="text1"/>
          <w:sz w:val="32"/>
          <w:szCs w:val="32"/>
          <w14:textFill>
            <w14:solidFill>
              <w14:schemeClr w14:val="tx1"/>
            </w14:solidFill>
          </w14:textFill>
        </w:rPr>
        <w:t>向党员干部发送廉洁</w:t>
      </w:r>
      <w:r>
        <w:rPr>
          <w:rFonts w:hint="default" w:ascii="Times New Roman" w:hAnsi="Times New Roman" w:eastAsia="仿宋_GB2312" w:cs="Times New Roman"/>
          <w:color w:val="000000" w:themeColor="text1"/>
          <w:kern w:val="0"/>
          <w:sz w:val="32"/>
          <w:szCs w:val="32"/>
          <w14:textFill>
            <w14:solidFill>
              <w14:schemeClr w14:val="tx1"/>
            </w14:solidFill>
          </w14:textFill>
        </w:rPr>
        <w:t>提醒</w:t>
      </w:r>
      <w:r>
        <w:rPr>
          <w:rFonts w:hint="default" w:ascii="Times New Roman" w:hAnsi="Times New Roman" w:eastAsia="仿宋_GB2312" w:cs="Times New Roman"/>
          <w:color w:val="000000" w:themeColor="text1"/>
          <w:sz w:val="32"/>
          <w:szCs w:val="32"/>
          <w14:textFill>
            <w14:solidFill>
              <w14:schemeClr w14:val="tx1"/>
            </w14:solidFill>
          </w14:textFill>
        </w:rPr>
        <w:t>短信1.4万余条。</w:t>
      </w:r>
    </w:p>
    <w:p>
      <w:pPr>
        <w:keepNext w:val="0"/>
        <w:keepLines w:val="0"/>
        <w:pageBreakBefore w:val="0"/>
        <w:widowControl w:val="0"/>
        <w:pBdr>
          <w:bottom w:val="single" w:color="FFFFFF" w:sz="4" w:space="30"/>
        </w:pBdr>
        <w:shd w:val="clear" w:color="auto" w:fill="FFFFFF"/>
        <w:tabs>
          <w:tab w:val="left" w:pos="1440"/>
        </w:tabs>
        <w:kinsoku/>
        <w:wordWrap/>
        <w:overflowPunct/>
        <w:topLinePunct w:val="0"/>
        <w:autoSpaceDE/>
        <w:autoSpaceDN/>
        <w:bidi w:val="0"/>
        <w:snapToGrid w:val="0"/>
        <w:spacing w:line="576" w:lineRule="exact"/>
        <w:ind w:firstLine="643" w:firstLineChars="200"/>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楷体_GB2312" w:cs="Times New Roman"/>
          <w:b/>
          <w:color w:val="000000" w:themeColor="text1"/>
          <w:sz w:val="32"/>
          <w:szCs w:val="32"/>
          <w:lang w:val="en-US" w:eastAsia="zh-CN"/>
          <w14:textFill>
            <w14:solidFill>
              <w14:schemeClr w14:val="tx1"/>
            </w14:solidFill>
          </w14:textFill>
        </w:rPr>
        <w:t>五是</w:t>
      </w:r>
      <w:r>
        <w:rPr>
          <w:rFonts w:hint="default" w:ascii="Times New Roman" w:hAnsi="Times New Roman" w:eastAsia="楷体_GB2312" w:cs="Times New Roman"/>
          <w:b/>
          <w:color w:val="000000" w:themeColor="text1"/>
          <w:sz w:val="32"/>
          <w:szCs w:val="32"/>
          <w14:textFill>
            <w14:solidFill>
              <w14:schemeClr w14:val="tx1"/>
            </w14:solidFill>
          </w14:textFill>
        </w:rPr>
        <w:t>积极服务中心工作，履职尽职走在前列。</w:t>
      </w:r>
      <w:r>
        <w:rPr>
          <w:rFonts w:hint="default" w:ascii="Times New Roman" w:hAnsi="Times New Roman" w:eastAsia="仿宋_GB2312" w:cs="Times New Roman"/>
          <w:b/>
          <w:color w:val="000000" w:themeColor="text1"/>
          <w:sz w:val="32"/>
          <w:szCs w:val="32"/>
          <w14:textFill>
            <w14:solidFill>
              <w14:schemeClr w14:val="tx1"/>
            </w14:solidFill>
          </w14:textFill>
        </w:rPr>
        <w:t>积极服务全州工作大局。</w:t>
      </w:r>
      <w:r>
        <w:rPr>
          <w:rFonts w:hint="default" w:ascii="Times New Roman" w:hAnsi="Times New Roman" w:eastAsia="仿宋_GB2312" w:cs="Times New Roman"/>
          <w:color w:val="000000" w:themeColor="text1"/>
          <w:sz w:val="32"/>
          <w:szCs w:val="32"/>
          <w14:textFill>
            <w14:solidFill>
              <w14:schemeClr w14:val="tx1"/>
            </w14:solidFill>
          </w14:textFill>
        </w:rPr>
        <w:t>聚焦加快建设“一州两区三家园”战略目标，组织机关党员干部强素质提能力、打头阵当先锋，扎实推动我州民族团结进步、生态保护建设、全域旅游发展“三个示范”创建和加快构建“一屏四带、全域生态”发展新格局、脱贫奔康补短板、实体经济和现代服务业发展、重大项目建设、灾后恢复重建、乡村振兴和新型城镇化建设、保障和改善民生、维护社会稳定等重大部署落地见效。会同州文体旅局制发机关党建促全域旅游示范区创建工作方案，组织开展抓机关党建促全域旅游发展课题调研，致力优化机关党建和业务工作融合并进的载体平台、方法路径、工作机制，示范带动州直各部门（单位）的机关党建与业务工作融合并进。积极承办川西北生态示范区机关党建联席会第二次会议，通过现场观摩、会议发言、调研课题座谈等方式，共享经验做法、共商努力方向，切实推动机关党建积极服务中心工作。</w:t>
      </w:r>
      <w:r>
        <w:rPr>
          <w:rFonts w:hint="default" w:ascii="Times New Roman" w:hAnsi="Times New Roman" w:eastAsia="仿宋_GB2312" w:cs="Times New Roman"/>
          <w:b/>
          <w:color w:val="000000" w:themeColor="text1"/>
          <w:sz w:val="32"/>
          <w:szCs w:val="32"/>
          <w14:textFill>
            <w14:solidFill>
              <w14:schemeClr w14:val="tx1"/>
            </w14:solidFill>
          </w14:textFill>
        </w:rPr>
        <w:t>助力决战脱贫攻坚。</w:t>
      </w:r>
      <w:r>
        <w:rPr>
          <w:rFonts w:hint="default" w:ascii="Times New Roman" w:hAnsi="Times New Roman" w:eastAsia="仿宋_GB2312" w:cs="Times New Roman"/>
          <w:color w:val="000000" w:themeColor="text1"/>
          <w:sz w:val="32"/>
          <w:szCs w:val="32"/>
          <w14:textFill>
            <w14:solidFill>
              <w14:schemeClr w14:val="tx1"/>
            </w14:solidFill>
          </w14:textFill>
        </w:rPr>
        <w:t>扎实开展干部驻村帮扶工作，加大驻村干部履职情况督查力度，参加脱贫攻坚州级挂牌督战，做实机关党建助推脱贫攻坚工作。加大驻村干部示范培训力度，通过专家授课、方法研讨、经验交流、撰写心得等方式培训驻村干部143名，切实提升履职本领。举办州直部门（单位）定点扶贫工作成效展，集中展现6年来驻村帮扶工作取得的成绩，激励机关党员干部提高守初心、担使命的思想自觉行动自觉，在推动稳州兴州各项事业再上新台阶中谱写新篇章。</w:t>
      </w:r>
      <w:r>
        <w:rPr>
          <w:rFonts w:hint="default" w:ascii="Times New Roman" w:hAnsi="Times New Roman" w:eastAsia="仿宋_GB2312" w:cs="Times New Roman"/>
          <w:b/>
          <w:color w:val="000000" w:themeColor="text1"/>
          <w:sz w:val="32"/>
          <w:szCs w:val="32"/>
          <w14:textFill>
            <w14:solidFill>
              <w14:schemeClr w14:val="tx1"/>
            </w14:solidFill>
          </w14:textFill>
        </w:rPr>
        <w:t>坚决打赢疫情防控阻击战。</w:t>
      </w:r>
      <w:r>
        <w:rPr>
          <w:rFonts w:hint="default" w:ascii="Times New Roman" w:hAnsi="Times New Roman" w:eastAsia="仿宋_GB2312" w:cs="Times New Roman"/>
          <w:color w:val="000000" w:themeColor="text1"/>
          <w:sz w:val="32"/>
          <w:szCs w:val="32"/>
          <w14:textFill>
            <w14:solidFill>
              <w14:schemeClr w14:val="tx1"/>
            </w14:solidFill>
          </w14:textFill>
        </w:rPr>
        <w:t>制定下发《关于扎实做好州直机关疫情防控工作的通知》，督促党员干部提高政治站位、亮出党旗党徽、带头冲锋在前、发挥表率作用，以过硬作风扎实抓好疫情防控工作。州直机关设立党员示范岗 241个、党员先锋队125个、3281名党员干部参与疫情防控，为维护阿坝“一方净土”作出了积极贡献。</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2名防疫一线的医务工作者表现突出，火线入党。</w:t>
      </w:r>
      <w:bookmarkStart w:id="23" w:name="_Toc15377200"/>
      <w:bookmarkStart w:id="24" w:name="_Toc15396601"/>
      <w:bookmarkStart w:id="25" w:name="_Toc79163605"/>
    </w:p>
    <w:p>
      <w:pPr>
        <w:keepNext w:val="0"/>
        <w:keepLines w:val="0"/>
        <w:pageBreakBefore w:val="0"/>
        <w:widowControl w:val="0"/>
        <w:pBdr>
          <w:bottom w:val="single" w:color="FFFFFF" w:sz="4" w:space="30"/>
        </w:pBdr>
        <w:shd w:val="clear" w:color="auto" w:fill="FFFFFF"/>
        <w:tabs>
          <w:tab w:val="left" w:pos="1440"/>
        </w:tabs>
        <w:kinsoku/>
        <w:wordWrap/>
        <w:overflowPunct/>
        <w:topLinePunct w:val="0"/>
        <w:autoSpaceDE/>
        <w:autoSpaceDN/>
        <w:bidi w:val="0"/>
        <w:snapToGrid w:val="0"/>
        <w:spacing w:line="576" w:lineRule="exact"/>
        <w:ind w:firstLine="640" w:firstLineChars="200"/>
        <w:textAlignment w:val="auto"/>
        <w:rPr>
          <w:rStyle w:val="26"/>
          <w:rFonts w:hint="default" w:ascii="Times New Roman" w:hAnsi="Times New Roman" w:eastAsia="黑体" w:cs="Times New Roman"/>
          <w:b w:val="0"/>
          <w:bCs w:val="0"/>
        </w:rPr>
      </w:pPr>
      <w:bookmarkStart w:id="26" w:name="_Toc17058"/>
      <w:r>
        <w:rPr>
          <w:rStyle w:val="26"/>
          <w:rFonts w:hint="default" w:ascii="Times New Roman" w:hAnsi="Times New Roman" w:eastAsia="黑体" w:cs="Times New Roman"/>
          <w:b w:val="0"/>
          <w:bCs w:val="0"/>
        </w:rPr>
        <w:t>二、机构设置</w:t>
      </w:r>
      <w:bookmarkEnd w:id="23"/>
      <w:bookmarkEnd w:id="24"/>
      <w:bookmarkEnd w:id="25"/>
    </w:p>
    <w:bookmarkEnd w:id="26"/>
    <w:p>
      <w:pPr>
        <w:keepNext w:val="0"/>
        <w:keepLines w:val="0"/>
        <w:pageBreakBefore w:val="0"/>
        <w:widowControl w:val="0"/>
        <w:pBdr>
          <w:bottom w:val="single" w:color="FFFFFF" w:sz="4" w:space="30"/>
        </w:pBdr>
        <w:shd w:val="clear" w:color="auto" w:fill="FFFFFF"/>
        <w:tabs>
          <w:tab w:val="left" w:pos="1440"/>
        </w:tabs>
        <w:kinsoku/>
        <w:wordWrap/>
        <w:overflowPunct/>
        <w:topLinePunct w:val="0"/>
        <w:autoSpaceDE/>
        <w:autoSpaceDN/>
        <w:bidi w:val="0"/>
        <w:snapToGrid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中共四川省阿坝州直属机关工作委员会（本级）下属二级单位0个，其中行政单位0个，参照公务员法管理的事业单位0个，其他事业单位0个。</w:t>
      </w:r>
    </w:p>
    <w:p>
      <w:pPr>
        <w:keepNext w:val="0"/>
        <w:keepLines w:val="0"/>
        <w:pageBreakBefore w:val="0"/>
        <w:widowControl w:val="0"/>
        <w:pBdr>
          <w:bottom w:val="single" w:color="FFFFFF" w:sz="4" w:space="30"/>
        </w:pBdr>
        <w:shd w:val="clear" w:color="auto" w:fill="FFFFFF"/>
        <w:tabs>
          <w:tab w:val="left" w:pos="1440"/>
        </w:tabs>
        <w:kinsoku/>
        <w:wordWrap/>
        <w:overflowPunct/>
        <w:topLinePunct w:val="0"/>
        <w:autoSpaceDE/>
        <w:autoSpaceDN/>
        <w:bidi w:val="0"/>
        <w:snapToGrid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无纳入中共四川省阿坝州直属机关工作委员会（本级）20</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年度部门决算编制范围的二级预算单位。</w:t>
      </w:r>
      <w:bookmarkStart w:id="27" w:name="_Toc15377204"/>
      <w:bookmarkStart w:id="28" w:name="_Toc15396602"/>
      <w:bookmarkStart w:id="29" w:name="_Toc5684"/>
      <w:bookmarkStart w:id="30" w:name="_Toc79163609"/>
    </w:p>
    <w:p>
      <w:pPr>
        <w:pStyle w:val="2"/>
        <w:rPr>
          <w:rFonts w:hint="eastAsia"/>
        </w:rPr>
      </w:pPr>
    </w:p>
    <w:p>
      <w:pPr>
        <w:keepNext w:val="0"/>
        <w:keepLines w:val="0"/>
        <w:pageBreakBefore w:val="0"/>
        <w:widowControl w:val="0"/>
        <w:pBdr>
          <w:bottom w:val="single" w:color="FFFFFF" w:sz="4" w:space="30"/>
        </w:pBdr>
        <w:shd w:val="clear" w:color="auto" w:fill="FFFFFF"/>
        <w:tabs>
          <w:tab w:val="left" w:pos="1440"/>
        </w:tabs>
        <w:kinsoku/>
        <w:wordWrap/>
        <w:overflowPunct/>
        <w:topLinePunct w:val="0"/>
        <w:autoSpaceDE/>
        <w:autoSpaceDN/>
        <w:bidi w:val="0"/>
        <w:snapToGrid w:val="0"/>
        <w:spacing w:line="576" w:lineRule="exact"/>
        <w:jc w:val="center"/>
        <w:textAlignment w:val="auto"/>
        <w:rPr>
          <w:rFonts w:hint="default"/>
        </w:rPr>
      </w:pPr>
      <w:r>
        <w:rPr>
          <w:rStyle w:val="25"/>
          <w:rFonts w:hint="default" w:ascii="Times New Roman" w:hAnsi="Times New Roman" w:eastAsia="黑体" w:cs="Times New Roman"/>
          <w:b w:val="0"/>
          <w:bCs w:val="0"/>
        </w:rPr>
        <w:t>第二部分</w:t>
      </w:r>
      <w:r>
        <w:rPr>
          <w:rFonts w:hint="default" w:ascii="Times New Roman" w:hAnsi="Times New Roman" w:eastAsia="黑体" w:cs="Times New Roman"/>
          <w:color w:val="000000"/>
        </w:rPr>
        <w:t xml:space="preserve"> </w:t>
      </w:r>
      <w:r>
        <w:rPr>
          <w:rFonts w:hint="eastAsia" w:eastAsia="黑体" w:cs="Times New Roman"/>
          <w:color w:val="000000"/>
          <w:lang w:val="en-US" w:eastAsia="zh-CN"/>
        </w:rPr>
        <w:t xml:space="preserve">  </w:t>
      </w:r>
      <w:r>
        <w:rPr>
          <w:rStyle w:val="25"/>
          <w:rFonts w:hint="default" w:ascii="Times New Roman" w:hAnsi="Times New Roman" w:eastAsia="黑体" w:cs="Times New Roman"/>
          <w:b w:val="0"/>
          <w:bCs w:val="0"/>
        </w:rPr>
        <w:t>2020年度部门决算情况说明</w:t>
      </w:r>
      <w:bookmarkEnd w:id="27"/>
      <w:bookmarkEnd w:id="28"/>
      <w:bookmarkEnd w:id="29"/>
      <w:bookmarkEnd w:id="30"/>
      <w:bookmarkStart w:id="31" w:name="_Toc23363"/>
      <w:bookmarkStart w:id="32" w:name="_Toc15377205"/>
      <w:bookmarkStart w:id="33" w:name="_Toc79163610"/>
      <w:bookmarkStart w:id="34" w:name="_Toc15396603"/>
    </w:p>
    <w:p>
      <w:pPr>
        <w:keepNext w:val="0"/>
        <w:keepLines w:val="0"/>
        <w:pageBreakBefore w:val="0"/>
        <w:widowControl w:val="0"/>
        <w:pBdr>
          <w:bottom w:val="single" w:color="FFFFFF" w:sz="4" w:space="30"/>
        </w:pBdr>
        <w:shd w:val="clear" w:color="auto" w:fill="FFFFFF"/>
        <w:tabs>
          <w:tab w:val="left" w:pos="1440"/>
        </w:tabs>
        <w:kinsoku/>
        <w:wordWrap/>
        <w:overflowPunct/>
        <w:topLinePunct w:val="0"/>
        <w:autoSpaceDE/>
        <w:autoSpaceDN/>
        <w:bidi w:val="0"/>
        <w:snapToGrid w:val="0"/>
        <w:spacing w:line="576" w:lineRule="exact"/>
        <w:ind w:firstLine="640" w:firstLineChars="200"/>
        <w:jc w:val="both"/>
        <w:textAlignment w:val="auto"/>
        <w:rPr>
          <w:rStyle w:val="26"/>
          <w:rFonts w:hint="default" w:ascii="Times New Roman" w:hAnsi="Times New Roman" w:eastAsia="黑体" w:cs="Times New Roman"/>
          <w:b w:val="0"/>
        </w:rPr>
      </w:pPr>
      <w:r>
        <w:rPr>
          <w:rFonts w:hint="eastAsia" w:eastAsia="黑体" w:cs="Times New Roman"/>
          <w:color w:val="000000"/>
          <w:sz w:val="32"/>
          <w:szCs w:val="32"/>
          <w:lang w:val="en-US" w:eastAsia="zh-CN"/>
        </w:rPr>
        <w:t>一、</w:t>
      </w:r>
      <w:r>
        <w:rPr>
          <w:rFonts w:hint="default" w:ascii="Times New Roman" w:hAnsi="Times New Roman" w:eastAsia="黑体" w:cs="Times New Roman"/>
          <w:color w:val="000000"/>
          <w:sz w:val="32"/>
          <w:szCs w:val="32"/>
        </w:rPr>
        <w:t>收</w:t>
      </w:r>
      <w:r>
        <w:rPr>
          <w:rStyle w:val="26"/>
          <w:rFonts w:hint="default" w:ascii="Times New Roman" w:hAnsi="Times New Roman" w:eastAsia="黑体" w:cs="Times New Roman"/>
          <w:b w:val="0"/>
        </w:rPr>
        <w:t>入支出决算总体情况说明</w:t>
      </w:r>
      <w:bookmarkEnd w:id="31"/>
      <w:bookmarkEnd w:id="32"/>
      <w:bookmarkEnd w:id="33"/>
      <w:bookmarkEnd w:id="34"/>
    </w:p>
    <w:p>
      <w:pPr>
        <w:keepNext w:val="0"/>
        <w:keepLines w:val="0"/>
        <w:pageBreakBefore w:val="0"/>
        <w:widowControl w:val="0"/>
        <w:pBdr>
          <w:bottom w:val="single" w:color="FFFFFF" w:sz="4" w:space="30"/>
        </w:pBdr>
        <w:shd w:val="clear" w:color="auto" w:fill="FFFFFF"/>
        <w:tabs>
          <w:tab w:val="left" w:pos="1440"/>
        </w:tabs>
        <w:kinsoku/>
        <w:wordWrap/>
        <w:overflowPunct/>
        <w:topLinePunct w:val="0"/>
        <w:autoSpaceDE/>
        <w:autoSpaceDN/>
        <w:bidi w:val="0"/>
        <w:adjustRightInd/>
        <w:snapToGrid w:val="0"/>
        <w:spacing w:line="576" w:lineRule="exact"/>
        <w:ind w:firstLine="640" w:firstLineChars="200"/>
        <w:jc w:val="left"/>
        <w:textAlignment w:val="auto"/>
        <w:rPr>
          <w:rFonts w:hint="default" w:ascii="Times New Roman" w:hAnsi="Times New Roman" w:eastAsia="仿宋" w:cs="Times New Roman"/>
          <w:color w:val="000000"/>
          <w:sz w:val="32"/>
          <w:szCs w:val="32"/>
          <w:lang w:val="en-US" w:eastAsia="zh-CN"/>
        </w:rPr>
      </w:pPr>
      <w:r>
        <w:rPr>
          <w:rFonts w:ascii="仿宋_GB2312" w:eastAsia="仿宋_GB2312"/>
          <w:sz w:val="32"/>
          <w:szCs w:val="32"/>
        </w:rPr>
        <w:drawing>
          <wp:anchor distT="0" distB="0" distL="114300" distR="114300" simplePos="0" relativeHeight="251663360" behindDoc="0" locked="0" layoutInCell="1" allowOverlap="1">
            <wp:simplePos x="0" y="0"/>
            <wp:positionH relativeFrom="column">
              <wp:posOffset>749935</wp:posOffset>
            </wp:positionH>
            <wp:positionV relativeFrom="paragraph">
              <wp:posOffset>1179830</wp:posOffset>
            </wp:positionV>
            <wp:extent cx="3803650" cy="1854200"/>
            <wp:effectExtent l="4445" t="4445" r="20955" b="825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2020年度收、支总计</w:t>
      </w:r>
      <w:r>
        <w:rPr>
          <w:rFonts w:hint="eastAsia" w:eastAsia="仿宋" w:cs="Times New Roman"/>
          <w:color w:val="000000"/>
          <w:sz w:val="32"/>
          <w:szCs w:val="32"/>
          <w:lang w:val="en-US" w:eastAsia="zh-CN"/>
        </w:rPr>
        <w:t>573.69</w:t>
      </w:r>
      <w:r>
        <w:rPr>
          <w:rFonts w:hint="default" w:ascii="Times New Roman" w:hAnsi="Times New Roman" w:eastAsia="仿宋" w:cs="Times New Roman"/>
          <w:color w:val="000000"/>
          <w:sz w:val="32"/>
          <w:szCs w:val="32"/>
        </w:rPr>
        <w:t>万元。与2019年相比，收、支总计</w:t>
      </w:r>
      <w:r>
        <w:rPr>
          <w:rFonts w:hint="eastAsia" w:eastAsia="仿宋" w:cs="Times New Roman"/>
          <w:color w:val="000000"/>
          <w:sz w:val="32"/>
          <w:szCs w:val="32"/>
          <w:lang w:val="en-US" w:eastAsia="zh-CN"/>
        </w:rPr>
        <w:t>增加6.03</w:t>
      </w:r>
      <w:r>
        <w:rPr>
          <w:rFonts w:hint="default" w:ascii="Times New Roman" w:hAnsi="Times New Roman" w:eastAsia="仿宋" w:cs="Times New Roman"/>
          <w:color w:val="000000"/>
          <w:sz w:val="32"/>
          <w:szCs w:val="32"/>
        </w:rPr>
        <w:t>万元，</w:t>
      </w:r>
      <w:r>
        <w:rPr>
          <w:rFonts w:hint="eastAsia" w:eastAsia="仿宋" w:cs="Times New Roman"/>
          <w:color w:val="000000"/>
          <w:sz w:val="32"/>
          <w:szCs w:val="32"/>
          <w:lang w:val="en-US" w:eastAsia="zh-CN"/>
        </w:rPr>
        <w:t>增加1.06</w:t>
      </w:r>
      <w:r>
        <w:rPr>
          <w:rFonts w:hint="default" w:ascii="Times New Roman" w:hAnsi="Times New Roman" w:eastAsia="仿宋" w:cs="Times New Roman"/>
          <w:color w:val="000000"/>
          <w:sz w:val="32"/>
          <w:szCs w:val="32"/>
        </w:rPr>
        <w:t>%。主要变动原因是</w:t>
      </w:r>
      <w:r>
        <w:rPr>
          <w:rFonts w:hint="eastAsia" w:eastAsia="仿宋" w:cs="Times New Roman"/>
          <w:color w:val="000000"/>
          <w:sz w:val="32"/>
          <w:szCs w:val="32"/>
          <w:lang w:val="en-US" w:eastAsia="zh-CN"/>
        </w:rPr>
        <w:t>人员五险一金正常调资、核发退休人员建房补贴。</w:t>
      </w:r>
    </w:p>
    <w:p>
      <w:pPr>
        <w:keepNext w:val="0"/>
        <w:keepLines w:val="0"/>
        <w:pageBreakBefore w:val="0"/>
        <w:widowControl w:val="0"/>
        <w:kinsoku/>
        <w:wordWrap/>
        <w:overflowPunct/>
        <w:topLinePunct w:val="0"/>
        <w:autoSpaceDE/>
        <w:autoSpaceDN/>
        <w:bidi w:val="0"/>
        <w:adjustRightInd/>
        <w:snapToGrid/>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p>
    <w:p>
      <w:pPr>
        <w:pStyle w:val="17"/>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default"/>
        </w:rPr>
      </w:pPr>
      <w:r>
        <w:rPr>
          <w:rFonts w:hint="default" w:ascii="Times New Roman" w:hAnsi="Times New Roman" w:eastAsia="仿宋" w:cs="Times New Roman"/>
          <w:color w:val="000000"/>
          <w:sz w:val="32"/>
          <w:szCs w:val="32"/>
        </w:rPr>
        <w:t>（图1：收、支决算总计变动情况图）</w:t>
      </w:r>
    </w:p>
    <w:p>
      <w:pPr>
        <w:pStyle w:val="36"/>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right="0" w:rightChars="0" w:firstLine="320" w:firstLineChars="100"/>
        <w:jc w:val="both"/>
        <w:textAlignment w:val="auto"/>
        <w:outlineLvl w:val="1"/>
        <w:rPr>
          <w:rStyle w:val="26"/>
          <w:rFonts w:hint="default" w:ascii="Times New Roman" w:hAnsi="Times New Roman" w:eastAsia="黑体" w:cs="Times New Roman"/>
          <w:b w:val="0"/>
        </w:rPr>
      </w:pPr>
      <w:bookmarkStart w:id="35" w:name="_Toc15396604"/>
      <w:bookmarkStart w:id="36" w:name="_Toc21107"/>
      <w:bookmarkStart w:id="37" w:name="_Toc79163611"/>
      <w:bookmarkStart w:id="38" w:name="_Toc15377206"/>
      <w:r>
        <w:rPr>
          <w:rFonts w:hint="eastAsia" w:eastAsia="黑体" w:cs="Times New Roman"/>
          <w:color w:val="000000"/>
          <w:sz w:val="32"/>
          <w:szCs w:val="32"/>
          <w:lang w:val="en-US" w:eastAsia="zh-CN"/>
        </w:rPr>
        <w:t>二、</w:t>
      </w:r>
      <w:r>
        <w:rPr>
          <w:rFonts w:hint="default" w:ascii="Times New Roman" w:hAnsi="Times New Roman" w:eastAsia="黑体" w:cs="Times New Roman"/>
          <w:color w:val="000000"/>
          <w:sz w:val="32"/>
          <w:szCs w:val="32"/>
        </w:rPr>
        <w:t>收</w:t>
      </w:r>
      <w:r>
        <w:rPr>
          <w:rStyle w:val="26"/>
          <w:rFonts w:hint="default" w:ascii="Times New Roman" w:hAnsi="Times New Roman" w:eastAsia="黑体" w:cs="Times New Roman"/>
          <w:b w:val="0"/>
        </w:rPr>
        <w:t>入决算情况说明</w:t>
      </w:r>
      <w:bookmarkEnd w:id="35"/>
      <w:bookmarkEnd w:id="36"/>
      <w:bookmarkEnd w:id="37"/>
      <w:bookmarkEnd w:id="38"/>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2020年本年收入合计</w:t>
      </w:r>
      <w:r>
        <w:rPr>
          <w:rFonts w:hint="eastAsia" w:eastAsia="仿宋" w:cs="Times New Roman"/>
          <w:color w:val="000000"/>
          <w:sz w:val="32"/>
          <w:szCs w:val="32"/>
          <w:lang w:val="en-US" w:eastAsia="zh-CN"/>
        </w:rPr>
        <w:t>503.92</w:t>
      </w:r>
      <w:r>
        <w:rPr>
          <w:rFonts w:hint="default" w:ascii="Times New Roman" w:hAnsi="Times New Roman" w:eastAsia="仿宋" w:cs="Times New Roman"/>
          <w:color w:val="000000"/>
          <w:sz w:val="32"/>
          <w:szCs w:val="32"/>
        </w:rPr>
        <w:t>万元，其中：一般公共预算财政拨款收入</w:t>
      </w:r>
      <w:r>
        <w:rPr>
          <w:rFonts w:hint="eastAsia" w:eastAsia="仿宋" w:cs="Times New Roman"/>
          <w:color w:val="000000"/>
          <w:sz w:val="32"/>
          <w:szCs w:val="32"/>
          <w:lang w:val="en-US" w:eastAsia="zh-CN"/>
        </w:rPr>
        <w:t>503.8</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99.98</w:t>
      </w:r>
      <w:r>
        <w:rPr>
          <w:rFonts w:hint="default" w:ascii="Times New Roman" w:hAnsi="Times New Roman" w:eastAsia="仿宋" w:cs="Times New Roman"/>
          <w:color w:val="000000"/>
          <w:sz w:val="32"/>
          <w:szCs w:val="32"/>
        </w:rPr>
        <w:t>%；政府性基金预算财政拨款收入</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%；上级补助收入</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%；事业收入</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%；经营收入</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%；附属单位上缴收入</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%；其他收入</w:t>
      </w:r>
      <w:r>
        <w:rPr>
          <w:rFonts w:hint="eastAsia" w:eastAsia="仿宋" w:cs="Times New Roman"/>
          <w:color w:val="000000"/>
          <w:sz w:val="32"/>
          <w:szCs w:val="32"/>
          <w:lang w:val="en-US" w:eastAsia="zh-CN"/>
        </w:rPr>
        <w:t>0.12</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0.02</w:t>
      </w:r>
      <w:r>
        <w:rPr>
          <w:rFonts w:hint="default" w:ascii="Times New Roman" w:hAnsi="Times New Roman" w:eastAsia="仿宋" w:cs="Times New Roman"/>
          <w:color w:val="000000"/>
          <w:sz w:val="32"/>
          <w:szCs w:val="32"/>
        </w:rPr>
        <w:t>%。</w:t>
      </w:r>
    </w:p>
    <w:p>
      <w:pPr>
        <w:pStyle w:val="17"/>
        <w:rPr>
          <w:rFonts w:hint="default"/>
        </w:rPr>
      </w:pPr>
      <w:r>
        <w:rPr>
          <w:rFonts w:hint="eastAsia" w:ascii="Times New Roman" w:hAnsi="Times New Roman" w:eastAsia="方正仿宋_GBK" w:cs="Times New Roman"/>
          <w:sz w:val="32"/>
          <w:szCs w:val="32"/>
        </w:rPr>
        <w:drawing>
          <wp:inline distT="0" distB="0" distL="114300" distR="114300">
            <wp:extent cx="4791075" cy="2133600"/>
            <wp:effectExtent l="4445" t="4445" r="5080"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kinsoku/>
        <w:wordWrap/>
        <w:overflowPunct/>
        <w:topLinePunct w:val="0"/>
        <w:bidi w:val="0"/>
        <w:spacing w:line="576" w:lineRule="exact"/>
        <w:ind w:right="0"/>
        <w:jc w:val="center"/>
        <w:textAlignment w:val="auto"/>
        <w:rPr>
          <w:rFonts w:hint="default" w:ascii="Times New Roman" w:hAnsi="Times New Roman" w:eastAsia="仿宋_GB2312" w:cs="Times New Roman"/>
          <w:color w:val="FF0000"/>
          <w:sz w:val="32"/>
          <w:szCs w:val="32"/>
        </w:rPr>
      </w:pPr>
      <w:r>
        <w:rPr>
          <w:rFonts w:hint="default" w:ascii="Times New Roman" w:hAnsi="Times New Roman" w:eastAsia="仿宋" w:cs="Times New Roman"/>
          <w:color w:val="000000"/>
          <w:sz w:val="32"/>
          <w:szCs w:val="32"/>
        </w:rPr>
        <w:t>（图2：收入决算结构图）</w:t>
      </w:r>
    </w:p>
    <w:p>
      <w:pPr>
        <w:pStyle w:val="36"/>
        <w:pageBreakBefore w:val="0"/>
        <w:numPr>
          <w:ilvl w:val="0"/>
          <w:numId w:val="0"/>
        </w:numPr>
        <w:kinsoku/>
        <w:wordWrap/>
        <w:overflowPunct/>
        <w:topLinePunct w:val="0"/>
        <w:bidi w:val="0"/>
        <w:spacing w:line="576" w:lineRule="exact"/>
        <w:ind w:leftChars="200" w:right="0" w:rightChars="0" w:firstLine="320" w:firstLineChars="100"/>
        <w:jc w:val="both"/>
        <w:textAlignment w:val="auto"/>
        <w:outlineLvl w:val="1"/>
        <w:rPr>
          <w:rStyle w:val="26"/>
          <w:rFonts w:hint="default" w:ascii="Times New Roman" w:hAnsi="Times New Roman" w:eastAsia="黑体" w:cs="Times New Roman"/>
          <w:b w:val="0"/>
        </w:rPr>
      </w:pPr>
      <w:bookmarkStart w:id="39" w:name="_Toc79163612"/>
      <w:bookmarkStart w:id="40" w:name="_Toc15396605"/>
      <w:bookmarkStart w:id="41" w:name="_Toc18615"/>
      <w:bookmarkStart w:id="42" w:name="_Toc15377207"/>
      <w:r>
        <w:rPr>
          <w:rFonts w:hint="eastAsia" w:eastAsia="黑体" w:cs="Times New Roman"/>
          <w:color w:val="000000"/>
          <w:sz w:val="32"/>
          <w:szCs w:val="32"/>
          <w:lang w:val="en-US" w:eastAsia="zh-CN"/>
        </w:rPr>
        <w:t>三、</w:t>
      </w:r>
      <w:r>
        <w:rPr>
          <w:rFonts w:hint="default" w:ascii="Times New Roman" w:hAnsi="Times New Roman" w:eastAsia="黑体" w:cs="Times New Roman"/>
          <w:color w:val="000000"/>
          <w:sz w:val="32"/>
          <w:szCs w:val="32"/>
        </w:rPr>
        <w:t>支</w:t>
      </w:r>
      <w:r>
        <w:rPr>
          <w:rStyle w:val="26"/>
          <w:rFonts w:hint="default" w:ascii="Times New Roman" w:hAnsi="Times New Roman" w:eastAsia="黑体" w:cs="Times New Roman"/>
          <w:b w:val="0"/>
        </w:rPr>
        <w:t>出决算情况说明</w:t>
      </w:r>
      <w:bookmarkEnd w:id="39"/>
      <w:bookmarkEnd w:id="40"/>
      <w:bookmarkEnd w:id="41"/>
      <w:bookmarkEnd w:id="42"/>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2020年本年支出合计</w:t>
      </w:r>
      <w:r>
        <w:rPr>
          <w:rFonts w:hint="eastAsia" w:eastAsia="仿宋_GB2312" w:cs="Times New Roman"/>
          <w:sz w:val="32"/>
          <w:szCs w:val="32"/>
          <w:lang w:val="en-US" w:eastAsia="zh-CN"/>
        </w:rPr>
        <w:t>513.69</w:t>
      </w:r>
      <w:r>
        <w:rPr>
          <w:rFonts w:hint="default" w:ascii="Times New Roman" w:hAnsi="Times New Roman" w:eastAsia="仿宋_GB2312" w:cs="Times New Roman"/>
          <w:sz w:val="32"/>
          <w:szCs w:val="32"/>
        </w:rPr>
        <w:t>万元，其中：基本支出</w:t>
      </w:r>
      <w:r>
        <w:rPr>
          <w:rFonts w:hint="eastAsia" w:eastAsia="仿宋_GB2312" w:cs="Times New Roman"/>
          <w:sz w:val="32"/>
          <w:szCs w:val="32"/>
          <w:lang w:val="en-US" w:eastAsia="zh-CN"/>
        </w:rPr>
        <w:t>497.19</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96.79</w:t>
      </w:r>
      <w:r>
        <w:rPr>
          <w:rFonts w:hint="default" w:ascii="Times New Roman" w:hAnsi="Times New Roman" w:eastAsia="仿宋_GB2312" w:cs="Times New Roman"/>
          <w:sz w:val="32"/>
          <w:szCs w:val="32"/>
        </w:rPr>
        <w:t>%；项目支出</w:t>
      </w:r>
      <w:r>
        <w:rPr>
          <w:rFonts w:hint="eastAsia" w:eastAsia="仿宋_GB2312" w:cs="Times New Roman"/>
          <w:sz w:val="32"/>
          <w:szCs w:val="32"/>
          <w:lang w:val="en-US" w:eastAsia="zh-CN"/>
        </w:rPr>
        <w:t>16.5</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3.21</w:t>
      </w:r>
      <w:r>
        <w:rPr>
          <w:rFonts w:hint="default" w:ascii="Times New Roman" w:hAnsi="Times New Roman" w:eastAsia="仿宋_GB2312" w:cs="Times New Roman"/>
          <w:sz w:val="32"/>
          <w:szCs w:val="32"/>
        </w:rPr>
        <w:t>%；上缴上级支出</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%；经营支出</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%；对附属单位补助支出</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w:t>
      </w:r>
    </w:p>
    <w:p>
      <w:pPr>
        <w:rPr>
          <w:rFonts w:hint="default" w:ascii="Times New Roman" w:hAnsi="Times New Roman" w:eastAsia="仿宋" w:cs="Times New Roman"/>
          <w:color w:val="000000"/>
          <w:sz w:val="32"/>
          <w:szCs w:val="32"/>
          <w:shd w:val="pct10" w:color="auto" w:fill="FFFFFF"/>
        </w:rPr>
      </w:pPr>
      <w:r>
        <w:rPr>
          <w:rFonts w:ascii="Times New Roman" w:hAnsi="Times New Roman" w:eastAsia="方正仿宋_GBK" w:cs="Times New Roman"/>
          <w:sz w:val="32"/>
          <w:szCs w:val="32"/>
        </w:rPr>
        <w:drawing>
          <wp:anchor distT="0" distB="0" distL="114300" distR="114300" simplePos="0" relativeHeight="251664384" behindDoc="0" locked="0" layoutInCell="1" allowOverlap="1">
            <wp:simplePos x="0" y="0"/>
            <wp:positionH relativeFrom="column">
              <wp:posOffset>552450</wp:posOffset>
            </wp:positionH>
            <wp:positionV relativeFrom="paragraph">
              <wp:posOffset>182880</wp:posOffset>
            </wp:positionV>
            <wp:extent cx="4638040" cy="1942465"/>
            <wp:effectExtent l="4445" t="4445" r="5715" b="1524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17"/>
        <w:rPr>
          <w:rFonts w:hint="default" w:ascii="Times New Roman" w:hAnsi="Times New Roman" w:eastAsia="仿宋" w:cs="Times New Roman"/>
          <w:color w:val="000000"/>
          <w:sz w:val="32"/>
          <w:szCs w:val="32"/>
          <w:shd w:val="pct10" w:color="auto" w:fill="FFFFFF"/>
        </w:rPr>
      </w:pPr>
    </w:p>
    <w:p>
      <w:pPr>
        <w:rPr>
          <w:rFonts w:hint="default" w:ascii="Times New Roman" w:hAnsi="Times New Roman" w:eastAsia="仿宋" w:cs="Times New Roman"/>
          <w:color w:val="000000"/>
          <w:sz w:val="32"/>
          <w:szCs w:val="32"/>
          <w:shd w:val="pct10" w:color="auto" w:fill="FFFFFF"/>
        </w:rPr>
      </w:pPr>
    </w:p>
    <w:p>
      <w:pPr>
        <w:pStyle w:val="17"/>
        <w:rPr>
          <w:rFonts w:hint="default" w:ascii="Times New Roman" w:hAnsi="Times New Roman" w:eastAsia="仿宋" w:cs="Times New Roman"/>
          <w:color w:val="000000"/>
          <w:sz w:val="32"/>
          <w:szCs w:val="32"/>
          <w:shd w:val="pct10" w:color="auto" w:fill="FFFFFF"/>
        </w:rPr>
      </w:pPr>
    </w:p>
    <w:p>
      <w:pPr>
        <w:pageBreakBefore w:val="0"/>
        <w:kinsoku/>
        <w:wordWrap/>
        <w:overflowPunct/>
        <w:topLinePunct w:val="0"/>
        <w:bidi w:val="0"/>
        <w:spacing w:line="576" w:lineRule="exact"/>
        <w:ind w:right="0"/>
        <w:jc w:val="center"/>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right="0"/>
        <w:jc w:val="center"/>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right="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仿宋" w:cs="Times New Roman"/>
          <w:color w:val="000000"/>
          <w:sz w:val="32"/>
          <w:szCs w:val="32"/>
        </w:rPr>
        <w:t>（图3：支出决算结构图）</w:t>
      </w:r>
      <w:bookmarkStart w:id="43" w:name="_Toc79163613"/>
      <w:bookmarkStart w:id="44" w:name="_Toc15377208"/>
      <w:bookmarkStart w:id="45" w:name="_Toc1443"/>
      <w:bookmarkStart w:id="46" w:name="_Toc15396606"/>
    </w:p>
    <w:p>
      <w:pPr>
        <w:pageBreakBefore w:val="0"/>
        <w:kinsoku/>
        <w:wordWrap/>
        <w:overflowPunct/>
        <w:topLinePunct w:val="0"/>
        <w:bidi w:val="0"/>
        <w:spacing w:line="576" w:lineRule="exact"/>
        <w:ind w:left="0" w:right="0" w:firstLine="640" w:firstLineChars="200"/>
        <w:jc w:val="both"/>
        <w:textAlignment w:val="auto"/>
        <w:outlineLvl w:val="1"/>
        <w:rPr>
          <w:rStyle w:val="26"/>
          <w:rFonts w:hint="default" w:ascii="Times New Roman" w:hAnsi="Times New Roman" w:eastAsia="黑体" w:cs="Times New Roman"/>
          <w:b w:val="0"/>
        </w:rPr>
      </w:pPr>
      <w:r>
        <w:rPr>
          <w:rFonts w:hint="default" w:ascii="Times New Roman" w:hAnsi="Times New Roman" w:eastAsia="黑体" w:cs="Times New Roman"/>
          <w:color w:val="000000"/>
          <w:sz w:val="32"/>
          <w:szCs w:val="32"/>
        </w:rPr>
        <w:t>四、财</w:t>
      </w:r>
      <w:r>
        <w:rPr>
          <w:rStyle w:val="26"/>
          <w:rFonts w:hint="default" w:ascii="Times New Roman" w:hAnsi="Times New Roman" w:eastAsia="黑体" w:cs="Times New Roman"/>
          <w:b w:val="0"/>
        </w:rPr>
        <w:t>政拨款收入支出决算总体情况说明</w:t>
      </w:r>
      <w:bookmarkEnd w:id="43"/>
      <w:bookmarkEnd w:id="44"/>
      <w:bookmarkEnd w:id="45"/>
      <w:bookmarkEnd w:id="46"/>
    </w:p>
    <w:p>
      <w:pPr>
        <w:spacing w:line="560" w:lineRule="exact"/>
        <w:ind w:left="0" w:firstLine="567"/>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rPr>
        <w:t>2020年财政拨款收、支总计</w:t>
      </w:r>
      <w:r>
        <w:rPr>
          <w:rFonts w:hint="default" w:ascii="Times New Roman" w:hAnsi="Times New Roman" w:eastAsia="仿宋" w:cs="Times New Roman"/>
          <w:color w:val="000000"/>
          <w:sz w:val="32"/>
          <w:szCs w:val="32"/>
          <w:lang w:val="en-US" w:eastAsia="zh-CN"/>
        </w:rPr>
        <w:t>573.69</w:t>
      </w:r>
      <w:r>
        <w:rPr>
          <w:rFonts w:hint="default" w:ascii="Times New Roman" w:hAnsi="Times New Roman" w:eastAsia="仿宋" w:cs="Times New Roman"/>
          <w:color w:val="000000"/>
          <w:sz w:val="32"/>
          <w:szCs w:val="32"/>
        </w:rPr>
        <w:t>万元。与2019年相比，财政拨款收、支总计各</w:t>
      </w:r>
      <w:r>
        <w:rPr>
          <w:rFonts w:hint="default" w:ascii="Times New Roman" w:hAnsi="Times New Roman" w:eastAsia="仿宋" w:cs="Times New Roman"/>
          <w:color w:val="000000"/>
          <w:sz w:val="32"/>
          <w:szCs w:val="32"/>
          <w:lang w:val="en-US" w:eastAsia="zh-CN"/>
        </w:rPr>
        <w:t>增加17.16</w:t>
      </w:r>
      <w:r>
        <w:rPr>
          <w:rFonts w:hint="default" w:ascii="Times New Roman" w:hAnsi="Times New Roman" w:eastAsia="仿宋" w:cs="Times New Roman"/>
          <w:color w:val="000000"/>
          <w:sz w:val="32"/>
          <w:szCs w:val="32"/>
        </w:rPr>
        <w:t>万元，增长</w:t>
      </w:r>
      <w:r>
        <w:rPr>
          <w:rFonts w:hint="default" w:ascii="Times New Roman" w:hAnsi="Times New Roman" w:eastAsia="仿宋" w:cs="Times New Roman"/>
          <w:color w:val="000000"/>
          <w:sz w:val="32"/>
          <w:szCs w:val="32"/>
          <w:lang w:val="en-US" w:eastAsia="zh-CN"/>
        </w:rPr>
        <w:t>3.5</w:t>
      </w:r>
      <w:r>
        <w:rPr>
          <w:rFonts w:hint="default" w:ascii="Times New Roman" w:hAnsi="Times New Roman" w:eastAsia="仿宋" w:cs="Times New Roman"/>
          <w:color w:val="000000"/>
          <w:sz w:val="32"/>
          <w:szCs w:val="32"/>
        </w:rPr>
        <w:t>%。主要变动原因是</w:t>
      </w:r>
      <w:r>
        <w:rPr>
          <w:rFonts w:hint="default" w:ascii="Times New Roman" w:hAnsi="Times New Roman" w:eastAsia="仿宋" w:cs="Times New Roman"/>
          <w:color w:val="000000"/>
          <w:sz w:val="32"/>
          <w:szCs w:val="32"/>
          <w:lang w:eastAsia="zh-CN"/>
        </w:rPr>
        <w:t>：</w:t>
      </w:r>
      <w:r>
        <w:rPr>
          <w:rFonts w:hint="default" w:ascii="Times New Roman" w:hAnsi="Times New Roman" w:eastAsia="仿宋_GB2312" w:cs="Times New Roman"/>
          <w:sz w:val="32"/>
          <w:szCs w:val="28"/>
        </w:rPr>
        <w:t>按照州委、州政府关于“讲好阿坝脱贫故事”的工作要求，州直机关工委在</w:t>
      </w:r>
      <w:r>
        <w:rPr>
          <w:rFonts w:hint="default" w:ascii="Times New Roman" w:hAnsi="Times New Roman" w:eastAsia="仿宋_GB2312" w:cs="Times New Roman"/>
          <w:sz w:val="32"/>
          <w:szCs w:val="28"/>
          <w:lang w:val="en-US" w:eastAsia="zh-CN"/>
        </w:rPr>
        <w:t>2020</w:t>
      </w:r>
      <w:r>
        <w:rPr>
          <w:rFonts w:hint="default" w:ascii="Times New Roman" w:hAnsi="Times New Roman" w:eastAsia="仿宋_GB2312" w:cs="Times New Roman"/>
          <w:sz w:val="32"/>
          <w:szCs w:val="28"/>
        </w:rPr>
        <w:t>年机关党建年度工作要点中，安排布置了开展州直部门（单位）定点扶贫成效展这项重点工作，以</w:t>
      </w:r>
      <w:r>
        <w:rPr>
          <w:rFonts w:hint="default" w:ascii="Times New Roman" w:hAnsi="Times New Roman" w:eastAsia="仿宋_GB2312" w:cs="Times New Roman"/>
          <w:sz w:val="32"/>
          <w:szCs w:val="32"/>
        </w:rPr>
        <w:t>充分展示州直部门（单位）自2015年以来开展定点扶贫的工作成效，对州直部门（单位）及广大党员干部职工进行再动员、再宣传、再鼓劲，为全面实施乡村建设行动、加快建设“一州两区三家园”、全力推动稳州兴州各项事业再上新台阶凝聚强大力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已组织州直机关党员干部职工1900余人前往参观，收到良好效果</w:t>
      </w:r>
      <w:r>
        <w:rPr>
          <w:rFonts w:hint="default" w:ascii="Times New Roman" w:hAnsi="Times New Roman" w:eastAsia="仿宋" w:cs="Times New Roman"/>
          <w:color w:val="000000"/>
          <w:sz w:val="32"/>
          <w:szCs w:val="32"/>
          <w:lang w:val="en-US" w:eastAsia="zh-CN"/>
        </w:rPr>
        <w:t>。</w:t>
      </w:r>
      <w:r>
        <w:rPr>
          <w:rFonts w:hint="default" w:ascii="Times New Roman" w:hAnsi="Times New Roman" w:eastAsia="仿宋_GB2312" w:cs="Times New Roman"/>
          <w:sz w:val="32"/>
          <w:szCs w:val="32"/>
        </w:rPr>
        <w:t>州财政局解决定点扶贫成效展经费缺口12万元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同时，核发一名退休人员建房补助12000元以及人员正常调资等。</w:t>
      </w:r>
    </w:p>
    <w:p>
      <w:pPr>
        <w:pStyle w:val="17"/>
        <w:rPr>
          <w:rFonts w:hint="default" w:ascii="Times New Roman" w:hAnsi="Times New Roman" w:eastAsia="仿宋" w:cs="Times New Roman"/>
          <w:color w:val="000000"/>
          <w:sz w:val="32"/>
          <w:szCs w:val="32"/>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margin">
              <wp:posOffset>550545</wp:posOffset>
            </wp:positionH>
            <wp:positionV relativeFrom="margin">
              <wp:posOffset>3922395</wp:posOffset>
            </wp:positionV>
            <wp:extent cx="4643120" cy="2178685"/>
            <wp:effectExtent l="5080" t="4445" r="19050" b="762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17"/>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pStyle w:val="17"/>
        <w:rPr>
          <w:rFonts w:hint="default"/>
        </w:rPr>
      </w:pPr>
    </w:p>
    <w:p>
      <w:pPr>
        <w:pageBreakBefore w:val="0"/>
        <w:kinsoku/>
        <w:wordWrap/>
        <w:overflowPunct/>
        <w:topLinePunct w:val="0"/>
        <w:bidi w:val="0"/>
        <w:spacing w:line="576" w:lineRule="exact"/>
        <w:ind w:right="0"/>
        <w:jc w:val="both"/>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right="0"/>
        <w:jc w:val="center"/>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right="0"/>
        <w:jc w:val="center"/>
        <w:textAlignment w:val="auto"/>
        <w:rPr>
          <w:rFonts w:hint="default" w:ascii="Times New Roman" w:hAnsi="Times New Roman" w:eastAsia="仿宋" w:cs="Times New Roman"/>
          <w:b/>
          <w:color w:val="00B050"/>
          <w:sz w:val="32"/>
          <w:szCs w:val="32"/>
        </w:rPr>
      </w:pPr>
      <w:r>
        <w:rPr>
          <w:rFonts w:hint="default" w:ascii="Times New Roman" w:hAnsi="Times New Roman" w:eastAsia="仿宋" w:cs="Times New Roman"/>
          <w:color w:val="000000"/>
          <w:sz w:val="32"/>
          <w:szCs w:val="32"/>
        </w:rPr>
        <w:t>（图4：财政拨款收、支决算总计变动情况）</w:t>
      </w:r>
    </w:p>
    <w:p>
      <w:pPr>
        <w:pageBreakBefore w:val="0"/>
        <w:kinsoku/>
        <w:wordWrap/>
        <w:overflowPunct/>
        <w:topLinePunct w:val="0"/>
        <w:bidi w:val="0"/>
        <w:spacing w:line="576" w:lineRule="exact"/>
        <w:ind w:left="0" w:right="0" w:firstLine="640" w:firstLineChars="200"/>
        <w:jc w:val="both"/>
        <w:textAlignment w:val="auto"/>
        <w:outlineLvl w:val="1"/>
        <w:rPr>
          <w:rStyle w:val="26"/>
          <w:rFonts w:hint="default" w:ascii="Times New Roman" w:hAnsi="Times New Roman" w:eastAsia="黑体" w:cs="Times New Roman"/>
          <w:b w:val="0"/>
        </w:rPr>
      </w:pPr>
      <w:bookmarkStart w:id="47" w:name="_Toc15396607"/>
      <w:bookmarkStart w:id="48" w:name="_Toc5673"/>
      <w:bookmarkStart w:id="49" w:name="_Toc79163614"/>
      <w:bookmarkStart w:id="50" w:name="_Toc15377209"/>
      <w:r>
        <w:rPr>
          <w:rFonts w:hint="default" w:ascii="Times New Roman" w:hAnsi="Times New Roman" w:eastAsia="黑体" w:cs="Times New Roman"/>
          <w:color w:val="000000"/>
          <w:sz w:val="32"/>
          <w:szCs w:val="32"/>
        </w:rPr>
        <w:t>五、</w:t>
      </w:r>
      <w:r>
        <w:rPr>
          <w:rFonts w:hint="default" w:ascii="Times New Roman" w:hAnsi="Times New Roman" w:eastAsia="黑体" w:cs="Times New Roman"/>
          <w:b/>
          <w:color w:val="000000"/>
          <w:sz w:val="32"/>
          <w:szCs w:val="32"/>
        </w:rPr>
        <w:t>一</w:t>
      </w:r>
      <w:r>
        <w:rPr>
          <w:rStyle w:val="26"/>
          <w:rFonts w:hint="default" w:ascii="Times New Roman" w:hAnsi="Times New Roman" w:eastAsia="黑体" w:cs="Times New Roman"/>
          <w:b w:val="0"/>
        </w:rPr>
        <w:t>般公共预算财政拨款支出决算情况说明</w:t>
      </w:r>
      <w:bookmarkEnd w:id="47"/>
      <w:bookmarkEnd w:id="48"/>
      <w:bookmarkEnd w:id="49"/>
      <w:bookmarkEnd w:id="50"/>
    </w:p>
    <w:p>
      <w:pPr>
        <w:pageBreakBefore w:val="0"/>
        <w:kinsoku/>
        <w:wordWrap/>
        <w:overflowPunct/>
        <w:topLinePunct w:val="0"/>
        <w:bidi w:val="0"/>
        <w:spacing w:line="576" w:lineRule="exact"/>
        <w:ind w:left="0" w:right="0" w:firstLine="643" w:firstLineChars="200"/>
        <w:jc w:val="both"/>
        <w:textAlignment w:val="auto"/>
        <w:outlineLvl w:val="2"/>
        <w:rPr>
          <w:rFonts w:hint="eastAsia" w:ascii="楷体_GB2312" w:hAnsi="楷体_GB2312" w:eastAsia="楷体_GB2312" w:cs="楷体_GB2312"/>
          <w:b/>
          <w:color w:val="000000"/>
          <w:sz w:val="32"/>
          <w:szCs w:val="32"/>
        </w:rPr>
      </w:pPr>
      <w:bookmarkStart w:id="51" w:name="_Toc15377210"/>
      <w:bookmarkStart w:id="52" w:name="_Toc79163615"/>
      <w:bookmarkStart w:id="53" w:name="_Toc23398"/>
      <w:r>
        <w:rPr>
          <w:rFonts w:hint="eastAsia" w:ascii="楷体_GB2312" w:hAnsi="楷体_GB2312" w:eastAsia="楷体_GB2312" w:cs="楷体_GB2312"/>
          <w:b/>
          <w:color w:val="000000"/>
          <w:sz w:val="32"/>
          <w:szCs w:val="32"/>
        </w:rPr>
        <w:t>（一）一般公共预算财政拨款支出决算总体情况</w:t>
      </w:r>
      <w:bookmarkEnd w:id="51"/>
      <w:bookmarkEnd w:id="52"/>
      <w:bookmarkEnd w:id="53"/>
    </w:p>
    <w:p>
      <w:pPr>
        <w:pStyle w:val="2"/>
        <w:rPr>
          <w:rFonts w:hint="eastAsia" w:ascii="楷体_GB2312" w:hAnsi="楷体_GB2312" w:eastAsia="楷体_GB2312" w:cs="楷体_GB2312"/>
          <w:b/>
          <w:color w:val="000000"/>
          <w:sz w:val="32"/>
          <w:szCs w:val="32"/>
        </w:rPr>
      </w:pPr>
    </w:p>
    <w:p>
      <w:pPr>
        <w:rPr>
          <w:rFonts w:hint="eastAsia" w:ascii="楷体_GB2312" w:hAnsi="楷体_GB2312" w:eastAsia="楷体_GB2312" w:cs="楷体_GB2312"/>
          <w:b/>
          <w:color w:val="000000"/>
          <w:sz w:val="32"/>
          <w:szCs w:val="32"/>
        </w:rPr>
      </w:pPr>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r>
        <w:rPr>
          <w:rFonts w:ascii="Times New Roman" w:hAnsi="Times New Roman" w:eastAsia="方正仿宋_GBK" w:cs="Times New Roman"/>
          <w:sz w:val="32"/>
          <w:szCs w:val="32"/>
        </w:rPr>
        <w:drawing>
          <wp:anchor distT="0" distB="0" distL="114300" distR="114300" simplePos="0" relativeHeight="251660288" behindDoc="0" locked="0" layoutInCell="1" allowOverlap="1">
            <wp:simplePos x="0" y="0"/>
            <wp:positionH relativeFrom="margin">
              <wp:posOffset>74930</wp:posOffset>
            </wp:positionH>
            <wp:positionV relativeFrom="paragraph">
              <wp:posOffset>83820</wp:posOffset>
            </wp:positionV>
            <wp:extent cx="5245100" cy="2439670"/>
            <wp:effectExtent l="4445" t="4445" r="8255" b="1333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Style w:val="17"/>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pStyle w:val="17"/>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right="0"/>
        <w:jc w:val="center"/>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right="0"/>
        <w:jc w:val="center"/>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right="0"/>
        <w:jc w:val="center"/>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right="0"/>
        <w:jc w:val="center"/>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（图5：一般公共预算财政拨款支出决算变动情况）</w:t>
      </w:r>
    </w:p>
    <w:p>
      <w:pPr>
        <w:pageBreakBefore w:val="0"/>
        <w:kinsoku/>
        <w:wordWrap/>
        <w:overflowPunct/>
        <w:topLinePunct w:val="0"/>
        <w:bidi w:val="0"/>
        <w:spacing w:line="576" w:lineRule="exact"/>
        <w:ind w:left="0" w:right="0" w:firstLine="643" w:firstLineChars="200"/>
        <w:jc w:val="both"/>
        <w:textAlignment w:val="auto"/>
        <w:outlineLvl w:val="2"/>
        <w:rPr>
          <w:rFonts w:hint="default" w:ascii="楷体_GB2312" w:hAnsi="楷体_GB2312" w:eastAsia="楷体_GB2312" w:cs="楷体_GB2312"/>
          <w:b/>
          <w:color w:val="000000"/>
          <w:sz w:val="32"/>
          <w:szCs w:val="32"/>
        </w:rPr>
      </w:pPr>
      <w:bookmarkStart w:id="54" w:name="_Toc79163616"/>
      <w:bookmarkStart w:id="55" w:name="_Toc309"/>
      <w:bookmarkStart w:id="56" w:name="_Toc15377211"/>
      <w:r>
        <w:rPr>
          <w:rFonts w:hint="default" w:ascii="楷体_GB2312" w:hAnsi="楷体_GB2312" w:eastAsia="楷体_GB2312" w:cs="楷体_GB2312"/>
          <w:b/>
          <w:color w:val="000000"/>
          <w:sz w:val="32"/>
          <w:szCs w:val="32"/>
        </w:rPr>
        <w:t>（二）一般公共预算财政拨款支出决算结构情况</w:t>
      </w:r>
      <w:bookmarkEnd w:id="54"/>
      <w:bookmarkEnd w:id="55"/>
      <w:bookmarkEnd w:id="56"/>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r>
        <w:rPr>
          <w:rFonts w:hint="eastAsia" w:ascii="Times New Roman" w:hAnsi="Times New Roman" w:eastAsia="方正仿宋_GBK" w:cs="Times New Roman"/>
          <w:sz w:val="32"/>
          <w:szCs w:val="32"/>
        </w:rPr>
        <w:drawing>
          <wp:anchor distT="0" distB="0" distL="114300" distR="114300" simplePos="0" relativeHeight="251661312" behindDoc="0" locked="0" layoutInCell="1" allowOverlap="1">
            <wp:simplePos x="0" y="0"/>
            <wp:positionH relativeFrom="margin">
              <wp:posOffset>767080</wp:posOffset>
            </wp:positionH>
            <wp:positionV relativeFrom="paragraph">
              <wp:posOffset>2178685</wp:posOffset>
            </wp:positionV>
            <wp:extent cx="4286885" cy="2311400"/>
            <wp:effectExtent l="4445" t="4445" r="13970" b="825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default" w:ascii="Times New Roman" w:hAnsi="Times New Roman" w:eastAsia="仿宋" w:cs="Times New Roman"/>
          <w:color w:val="000000"/>
          <w:sz w:val="32"/>
          <w:szCs w:val="32"/>
        </w:rPr>
        <w:t>2020年一般公共预算财政拨款支出</w:t>
      </w:r>
      <w:r>
        <w:rPr>
          <w:rFonts w:hint="eastAsia" w:eastAsia="仿宋" w:cs="Times New Roman"/>
          <w:color w:val="000000"/>
          <w:sz w:val="32"/>
          <w:szCs w:val="32"/>
          <w:lang w:val="en-US" w:eastAsia="zh-CN"/>
        </w:rPr>
        <w:t>513.57</w:t>
      </w:r>
      <w:r>
        <w:rPr>
          <w:rFonts w:hint="default" w:ascii="Times New Roman" w:hAnsi="Times New Roman" w:eastAsia="仿宋" w:cs="Times New Roman"/>
          <w:color w:val="000000"/>
          <w:sz w:val="32"/>
          <w:szCs w:val="32"/>
        </w:rPr>
        <w:t>万元，主要用于以下方面:</w:t>
      </w:r>
      <w:r>
        <w:rPr>
          <w:rFonts w:hint="default" w:ascii="Times New Roman" w:hAnsi="Times New Roman" w:eastAsia="仿宋" w:cs="Times New Roman"/>
          <w:b/>
          <w:color w:val="000000"/>
          <w:sz w:val="32"/>
          <w:szCs w:val="32"/>
        </w:rPr>
        <w:t>一般公共服务（类）</w:t>
      </w:r>
      <w:r>
        <w:rPr>
          <w:rFonts w:hint="default" w:ascii="Times New Roman" w:hAnsi="Times New Roman" w:eastAsia="仿宋" w:cs="Times New Roman"/>
          <w:color w:val="000000"/>
          <w:sz w:val="32"/>
          <w:szCs w:val="32"/>
        </w:rPr>
        <w:t>支出</w:t>
      </w:r>
      <w:r>
        <w:rPr>
          <w:rFonts w:hint="eastAsia" w:eastAsia="仿宋" w:cs="Times New Roman"/>
          <w:color w:val="000000"/>
          <w:sz w:val="32"/>
          <w:szCs w:val="32"/>
          <w:lang w:val="en-US" w:eastAsia="zh-CN"/>
        </w:rPr>
        <w:t>426.43</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83.03</w:t>
      </w:r>
      <w:r>
        <w:rPr>
          <w:rFonts w:hint="default" w:ascii="Times New Roman" w:hAnsi="Times New Roman" w:eastAsia="仿宋" w:cs="Times New Roman"/>
          <w:color w:val="000000"/>
          <w:sz w:val="32"/>
          <w:szCs w:val="32"/>
        </w:rPr>
        <w:t>%；</w:t>
      </w:r>
      <w:r>
        <w:rPr>
          <w:rFonts w:hint="default" w:ascii="Times New Roman" w:hAnsi="Times New Roman" w:eastAsia="仿宋" w:cs="Times New Roman"/>
          <w:b/>
          <w:color w:val="000000"/>
          <w:sz w:val="32"/>
          <w:szCs w:val="32"/>
        </w:rPr>
        <w:t>教育支出（类）</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w:t>
      </w:r>
      <w:r>
        <w:rPr>
          <w:rFonts w:hint="default" w:ascii="Times New Roman" w:hAnsi="Times New Roman" w:eastAsia="仿宋" w:cs="Times New Roman"/>
          <w:b/>
          <w:color w:val="000000"/>
          <w:sz w:val="32"/>
          <w:szCs w:val="32"/>
        </w:rPr>
        <w:t>科学技术（类）</w:t>
      </w:r>
      <w:r>
        <w:rPr>
          <w:rFonts w:hint="default" w:ascii="Times New Roman" w:hAnsi="Times New Roman" w:eastAsia="仿宋" w:cs="Times New Roman"/>
          <w:color w:val="000000"/>
          <w:sz w:val="32"/>
          <w:szCs w:val="32"/>
        </w:rPr>
        <w:t>支出</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w:t>
      </w:r>
      <w:r>
        <w:rPr>
          <w:rFonts w:hint="default" w:ascii="Times New Roman" w:hAnsi="Times New Roman" w:eastAsia="仿宋" w:cs="Times New Roman"/>
          <w:b/>
          <w:bCs/>
          <w:color w:val="000000"/>
          <w:sz w:val="32"/>
          <w:szCs w:val="32"/>
        </w:rPr>
        <w:t>文化旅游体育与传媒（类）支出</w:t>
      </w:r>
      <w:r>
        <w:rPr>
          <w:rFonts w:hint="eastAsia" w:eastAsia="仿宋" w:cs="Times New Roman"/>
          <w:b/>
          <w:bCs/>
          <w:color w:val="000000"/>
          <w:sz w:val="32"/>
          <w:szCs w:val="32"/>
          <w:lang w:val="en-US" w:eastAsia="zh-CN"/>
        </w:rPr>
        <w:t>0</w:t>
      </w:r>
      <w:r>
        <w:rPr>
          <w:rFonts w:hint="default" w:ascii="Times New Roman" w:hAnsi="Times New Roman" w:eastAsia="仿宋" w:cs="Times New Roman"/>
          <w:b/>
          <w:bCs/>
          <w:color w:val="000000"/>
          <w:sz w:val="32"/>
          <w:szCs w:val="32"/>
        </w:rPr>
        <w:t>万元，占</w:t>
      </w:r>
      <w:r>
        <w:rPr>
          <w:rFonts w:hint="eastAsia" w:eastAsia="仿宋" w:cs="Times New Roman"/>
          <w:b/>
          <w:bCs/>
          <w:color w:val="000000"/>
          <w:sz w:val="32"/>
          <w:szCs w:val="32"/>
          <w:lang w:val="en-US" w:eastAsia="zh-CN"/>
        </w:rPr>
        <w:t>0</w:t>
      </w:r>
      <w:r>
        <w:rPr>
          <w:rFonts w:hint="default" w:ascii="Times New Roman" w:hAnsi="Times New Roman" w:eastAsia="仿宋" w:cs="Times New Roman"/>
          <w:b/>
          <w:bCs/>
          <w:color w:val="000000"/>
          <w:sz w:val="32"/>
          <w:szCs w:val="32"/>
        </w:rPr>
        <w:t>%</w:t>
      </w:r>
      <w:r>
        <w:rPr>
          <w:rFonts w:hint="default" w:ascii="Times New Roman" w:hAnsi="Times New Roman" w:eastAsia="仿宋" w:cs="Times New Roman"/>
          <w:color w:val="000000"/>
          <w:sz w:val="32"/>
          <w:szCs w:val="32"/>
        </w:rPr>
        <w:t>；</w:t>
      </w:r>
      <w:r>
        <w:rPr>
          <w:rFonts w:hint="default" w:ascii="Times New Roman" w:hAnsi="Times New Roman" w:eastAsia="仿宋" w:cs="Times New Roman"/>
          <w:b/>
          <w:color w:val="000000"/>
          <w:sz w:val="32"/>
          <w:szCs w:val="32"/>
        </w:rPr>
        <w:t>社会保障和就业（类）</w:t>
      </w:r>
      <w:r>
        <w:rPr>
          <w:rFonts w:hint="default" w:ascii="Times New Roman" w:hAnsi="Times New Roman" w:eastAsia="仿宋" w:cs="Times New Roman"/>
          <w:color w:val="000000"/>
          <w:sz w:val="32"/>
          <w:szCs w:val="32"/>
        </w:rPr>
        <w:t>支出</w:t>
      </w:r>
      <w:r>
        <w:rPr>
          <w:rFonts w:hint="eastAsia" w:eastAsia="仿宋" w:cs="Times New Roman"/>
          <w:color w:val="000000"/>
          <w:sz w:val="32"/>
          <w:szCs w:val="32"/>
          <w:lang w:val="en-US" w:eastAsia="zh-CN"/>
        </w:rPr>
        <w:t>39.66</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7.72</w:t>
      </w:r>
      <w:r>
        <w:rPr>
          <w:rFonts w:hint="default" w:ascii="Times New Roman" w:hAnsi="Times New Roman" w:eastAsia="仿宋" w:cs="Times New Roman"/>
          <w:color w:val="000000"/>
          <w:sz w:val="32"/>
          <w:szCs w:val="32"/>
        </w:rPr>
        <w:t>%；</w:t>
      </w:r>
      <w:r>
        <w:rPr>
          <w:rFonts w:hint="default" w:ascii="Times New Roman" w:hAnsi="Times New Roman" w:eastAsia="仿宋" w:cs="Times New Roman"/>
          <w:b/>
          <w:bCs/>
          <w:color w:val="000000"/>
          <w:sz w:val="32"/>
          <w:szCs w:val="32"/>
        </w:rPr>
        <w:t>卫生健康支出</w:t>
      </w:r>
      <w:r>
        <w:rPr>
          <w:rFonts w:hint="eastAsia" w:eastAsia="仿宋" w:cs="Times New Roman"/>
          <w:color w:val="000000"/>
          <w:sz w:val="32"/>
          <w:szCs w:val="32"/>
          <w:lang w:val="en-US" w:eastAsia="zh-CN"/>
        </w:rPr>
        <w:t>19.18</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3.7</w:t>
      </w:r>
      <w:r>
        <w:rPr>
          <w:rFonts w:hint="default" w:ascii="Times New Roman" w:hAnsi="Times New Roman" w:eastAsia="仿宋" w:cs="Times New Roman"/>
          <w:color w:val="000000"/>
          <w:sz w:val="32"/>
          <w:szCs w:val="32"/>
        </w:rPr>
        <w:t>%；住房保障支出</w:t>
      </w:r>
      <w:r>
        <w:rPr>
          <w:rFonts w:hint="eastAsia" w:eastAsia="仿宋" w:cs="Times New Roman"/>
          <w:color w:val="000000"/>
          <w:sz w:val="32"/>
          <w:szCs w:val="32"/>
          <w:lang w:val="en-US" w:eastAsia="zh-CN"/>
        </w:rPr>
        <w:t>28.3</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13.19</w:t>
      </w:r>
      <w:r>
        <w:rPr>
          <w:rFonts w:hint="default" w:ascii="Times New Roman" w:hAnsi="Times New Roman" w:eastAsia="仿宋" w:cs="Times New Roman"/>
          <w:color w:val="000000"/>
          <w:sz w:val="32"/>
          <w:szCs w:val="32"/>
        </w:rPr>
        <w:t>%；</w:t>
      </w:r>
    </w:p>
    <w:p>
      <w:pPr>
        <w:pStyle w:val="17"/>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pStyle w:val="17"/>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pStyle w:val="17"/>
        <w:rPr>
          <w:rFonts w:hint="default" w:ascii="Times New Roman" w:hAnsi="Times New Roman" w:eastAsia="仿宋" w:cs="Times New Roman"/>
          <w:color w:val="000000"/>
          <w:sz w:val="32"/>
          <w:szCs w:val="32"/>
        </w:rPr>
      </w:pPr>
    </w:p>
    <w:p>
      <w:pPr>
        <w:rPr>
          <w:rFonts w:hint="default"/>
        </w:rPr>
      </w:pPr>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right="0"/>
        <w:jc w:val="center"/>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（图6：一般公共预算财政拨款支出决算结构）</w:t>
      </w:r>
    </w:p>
    <w:p>
      <w:pPr>
        <w:pageBreakBefore w:val="0"/>
        <w:kinsoku/>
        <w:wordWrap/>
        <w:overflowPunct/>
        <w:topLinePunct w:val="0"/>
        <w:bidi w:val="0"/>
        <w:spacing w:line="576" w:lineRule="exact"/>
        <w:ind w:left="0" w:right="0" w:firstLine="643" w:firstLineChars="200"/>
        <w:jc w:val="both"/>
        <w:textAlignment w:val="auto"/>
        <w:outlineLvl w:val="2"/>
        <w:rPr>
          <w:rFonts w:hint="default" w:ascii="楷体_GB2312" w:hAnsi="楷体_GB2312" w:eastAsia="楷体_GB2312" w:cs="楷体_GB2312"/>
          <w:b/>
          <w:color w:val="000000"/>
          <w:sz w:val="32"/>
          <w:szCs w:val="32"/>
        </w:rPr>
      </w:pPr>
      <w:bookmarkStart w:id="57" w:name="_Toc79163617"/>
      <w:bookmarkStart w:id="58" w:name="_Toc24931"/>
      <w:bookmarkStart w:id="59" w:name="_Toc15377212"/>
      <w:r>
        <w:rPr>
          <w:rFonts w:hint="default" w:ascii="Times New Roman" w:hAnsi="Times New Roman" w:eastAsia="仿宋" w:cs="Times New Roman"/>
          <w:b/>
          <w:color w:val="000000"/>
          <w:sz w:val="32"/>
          <w:szCs w:val="32"/>
        </w:rPr>
        <w:t>（</w:t>
      </w:r>
      <w:r>
        <w:rPr>
          <w:rFonts w:hint="default" w:ascii="楷体_GB2312" w:hAnsi="楷体_GB2312" w:eastAsia="楷体_GB2312" w:cs="楷体_GB2312"/>
          <w:b/>
          <w:color w:val="000000"/>
          <w:sz w:val="32"/>
          <w:szCs w:val="32"/>
        </w:rPr>
        <w:t>三）一般公共预算财政拨款支出决算具体情况</w:t>
      </w:r>
      <w:bookmarkEnd w:id="57"/>
      <w:bookmarkEnd w:id="58"/>
      <w:bookmarkEnd w:id="59"/>
    </w:p>
    <w:p>
      <w:pPr>
        <w:pageBreakBefore w:val="0"/>
        <w:kinsoku/>
        <w:wordWrap/>
        <w:overflowPunct/>
        <w:topLinePunct w:val="0"/>
        <w:bidi w:val="0"/>
        <w:spacing w:line="576" w:lineRule="exact"/>
        <w:ind w:left="0" w:right="0" w:firstLine="643" w:firstLineChars="200"/>
        <w:jc w:val="both"/>
        <w:textAlignment w:val="auto"/>
        <w:rPr>
          <w:rFonts w:hint="default" w:ascii="Times New Roman" w:hAnsi="Times New Roman" w:eastAsia="仿宋_GB2312" w:cs="Times New Roman"/>
          <w:b/>
          <w:bCs/>
          <w:sz w:val="32"/>
          <w:szCs w:val="32"/>
        </w:rPr>
      </w:pPr>
      <w:bookmarkStart w:id="60" w:name="_Toc15378460"/>
      <w:bookmarkStart w:id="61" w:name="_Toc15377444"/>
      <w:bookmarkStart w:id="62" w:name="_Toc15377213"/>
      <w:r>
        <w:rPr>
          <w:rFonts w:hint="default" w:ascii="Times New Roman" w:hAnsi="Times New Roman" w:eastAsia="仿宋_GB2312" w:cs="Times New Roman"/>
          <w:b/>
          <w:bCs/>
          <w:sz w:val="32"/>
          <w:szCs w:val="32"/>
        </w:rPr>
        <w:t>2020年一般公共预算支出决算数为</w:t>
      </w:r>
      <w:r>
        <w:rPr>
          <w:rFonts w:hint="eastAsia" w:eastAsia="仿宋_GB2312" w:cs="Times New Roman"/>
          <w:b/>
          <w:bCs/>
          <w:sz w:val="32"/>
          <w:szCs w:val="32"/>
          <w:lang w:val="en-US" w:eastAsia="zh-CN"/>
        </w:rPr>
        <w:t>513.57</w:t>
      </w:r>
      <w:r>
        <w:rPr>
          <w:rFonts w:hint="default" w:ascii="Times New Roman" w:hAnsi="Times New Roman" w:eastAsia="仿宋_GB2312" w:cs="Times New Roman"/>
          <w:b/>
          <w:bCs/>
          <w:sz w:val="32"/>
          <w:szCs w:val="32"/>
        </w:rPr>
        <w:t>，完成预算</w:t>
      </w:r>
      <w:r>
        <w:rPr>
          <w:rFonts w:hint="eastAsia" w:eastAsia="仿宋_GB2312" w:cs="Times New Roman"/>
          <w:b/>
          <w:bCs/>
          <w:sz w:val="32"/>
          <w:szCs w:val="32"/>
          <w:lang w:val="en-US" w:eastAsia="zh-CN"/>
        </w:rPr>
        <w:t>100</w:t>
      </w:r>
      <w:r>
        <w:rPr>
          <w:rFonts w:hint="default" w:ascii="Times New Roman" w:hAnsi="Times New Roman" w:eastAsia="仿宋_GB2312" w:cs="Times New Roman"/>
          <w:b/>
          <w:bCs/>
          <w:sz w:val="32"/>
          <w:szCs w:val="32"/>
        </w:rPr>
        <w:t>%。其中：</w:t>
      </w:r>
      <w:bookmarkEnd w:id="60"/>
      <w:bookmarkEnd w:id="61"/>
      <w:bookmarkEnd w:id="62"/>
    </w:p>
    <w:p>
      <w:pPr>
        <w:widowControl w:val="0"/>
        <w:pBdr>
          <w:bottom w:val="single" w:color="FFFFFF" w:sz="4" w:space="2"/>
        </w:pBdr>
        <w:shd w:val="clear" w:color="auto" w:fill="FFFFFF"/>
        <w:tabs>
          <w:tab w:val="left" w:pos="1440"/>
        </w:tabs>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1.一般公共服务党委办公厅（室）及相关事务机构行政运行（2013101）:支出决算为</w:t>
      </w:r>
      <w:r>
        <w:rPr>
          <w:rFonts w:hint="default" w:ascii="Times New Roman" w:hAnsi="Times New Roman" w:eastAsia="仿宋_GB2312" w:cs="Times New Roman"/>
          <w:sz w:val="32"/>
          <w:szCs w:val="32"/>
          <w:lang w:val="en-US" w:eastAsia="zh-CN"/>
        </w:rPr>
        <w:t>401.67</w:t>
      </w:r>
      <w:r>
        <w:rPr>
          <w:rFonts w:hint="default" w:ascii="Times New Roman" w:hAnsi="Times New Roman" w:eastAsia="仿宋_GB2312" w:cs="Times New Roman"/>
          <w:sz w:val="32"/>
          <w:szCs w:val="32"/>
        </w:rPr>
        <w:t>万元，完成预算100%。一般公共服务党委办公厅（室）及相关事务机构一般行政管理事务（2013102）:本年收入为</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万元。</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2.教育:支出决算为0万元，完成预算0%.</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3.科学技术:支出决算为0万元，完成预算0%。</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4.文化旅游体育与传媒:支出决算0万元，完成预算0%。</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5.社会保障和就业支出机关事业单位基本养老保险缴费（2080505）：支出决算为</w:t>
      </w:r>
      <w:r>
        <w:rPr>
          <w:rFonts w:hint="default" w:ascii="Times New Roman" w:hAnsi="Times New Roman" w:eastAsia="仿宋_GB2312" w:cs="Times New Roman"/>
          <w:sz w:val="32"/>
          <w:szCs w:val="32"/>
          <w:lang w:val="en-US" w:eastAsia="zh-CN"/>
        </w:rPr>
        <w:t>26.8</w:t>
      </w:r>
      <w:r>
        <w:rPr>
          <w:rFonts w:hint="default" w:ascii="Times New Roman" w:hAnsi="Times New Roman" w:eastAsia="仿宋_GB2312" w:cs="Times New Roman"/>
          <w:sz w:val="32"/>
          <w:szCs w:val="32"/>
        </w:rPr>
        <w:t>万元，完成预算100%；机关事业单位职业年金缴费（2080506）：支出决算为</w:t>
      </w:r>
      <w:r>
        <w:rPr>
          <w:rFonts w:hint="default" w:ascii="Times New Roman" w:hAnsi="Times New Roman" w:eastAsia="仿宋_GB2312" w:cs="Times New Roman"/>
          <w:sz w:val="32"/>
          <w:szCs w:val="32"/>
          <w:lang w:val="en-US" w:eastAsia="zh-CN"/>
        </w:rPr>
        <w:t>12.86</w:t>
      </w:r>
      <w:r>
        <w:rPr>
          <w:rFonts w:hint="default" w:ascii="Times New Roman" w:hAnsi="Times New Roman" w:eastAsia="仿宋_GB2312" w:cs="Times New Roman"/>
          <w:sz w:val="32"/>
          <w:szCs w:val="32"/>
        </w:rPr>
        <w:t>万元，完成预算100%。</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6.卫生健康行政事业单位医疗行政单位医疗:支出决算为</w:t>
      </w:r>
      <w:r>
        <w:rPr>
          <w:rFonts w:hint="default" w:ascii="Times New Roman" w:hAnsi="Times New Roman" w:eastAsia="仿宋_GB2312" w:cs="Times New Roman"/>
          <w:sz w:val="32"/>
          <w:szCs w:val="32"/>
          <w:lang w:val="en-US" w:eastAsia="zh-CN"/>
        </w:rPr>
        <w:t>15.78</w:t>
      </w:r>
      <w:r>
        <w:rPr>
          <w:rFonts w:hint="default" w:ascii="Times New Roman" w:hAnsi="Times New Roman" w:eastAsia="仿宋_GB2312" w:cs="Times New Roman"/>
          <w:sz w:val="32"/>
          <w:szCs w:val="32"/>
        </w:rPr>
        <w:t>万元，完成预算100%。卫生健康行政事业单位医疗公务员医疗补助:支出决算为</w:t>
      </w:r>
      <w:r>
        <w:rPr>
          <w:rFonts w:hint="default" w:ascii="Times New Roman" w:hAnsi="Times New Roman" w:eastAsia="仿宋_GB2312" w:cs="Times New Roman"/>
          <w:sz w:val="32"/>
          <w:szCs w:val="32"/>
          <w:lang w:val="en-US" w:eastAsia="zh-CN"/>
        </w:rPr>
        <w:t>3.4</w:t>
      </w:r>
      <w:r>
        <w:rPr>
          <w:rFonts w:hint="default" w:ascii="Times New Roman" w:hAnsi="Times New Roman" w:eastAsia="仿宋_GB2312" w:cs="Times New Roman"/>
          <w:sz w:val="32"/>
          <w:szCs w:val="32"/>
        </w:rPr>
        <w:t>万元，完成预算100%。</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sz w:val="32"/>
          <w:szCs w:val="32"/>
        </w:rPr>
        <w:t>7.住房保障住房改革住房公积金支出，决算为</w:t>
      </w:r>
      <w:r>
        <w:rPr>
          <w:rFonts w:hint="default" w:ascii="Times New Roman" w:hAnsi="Times New Roman" w:eastAsia="仿宋_GB2312" w:cs="Times New Roman"/>
          <w:sz w:val="32"/>
          <w:szCs w:val="32"/>
          <w:lang w:val="en-US" w:eastAsia="zh-CN"/>
        </w:rPr>
        <w:t>27.1</w:t>
      </w:r>
      <w:r>
        <w:rPr>
          <w:rFonts w:hint="default" w:ascii="Times New Roman" w:hAnsi="Times New Roman" w:eastAsia="仿宋_GB2312" w:cs="Times New Roman"/>
          <w:sz w:val="32"/>
          <w:szCs w:val="32"/>
        </w:rPr>
        <w:t>万元，完成预算100%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购房补贴支出（2210203）1.2万元，完成预算100%。</w:t>
      </w:r>
    </w:p>
    <w:p>
      <w:pPr>
        <w:pageBreakBefore w:val="0"/>
        <w:tabs>
          <w:tab w:val="right" w:pos="8306"/>
        </w:tabs>
        <w:kinsoku/>
        <w:wordWrap/>
        <w:overflowPunct/>
        <w:topLinePunct w:val="0"/>
        <w:bidi w:val="0"/>
        <w:spacing w:line="576" w:lineRule="exact"/>
        <w:ind w:left="0" w:right="0" w:firstLine="640" w:firstLineChars="200"/>
        <w:jc w:val="both"/>
        <w:textAlignment w:val="auto"/>
        <w:outlineLvl w:val="1"/>
        <w:rPr>
          <w:rStyle w:val="26"/>
          <w:rFonts w:hint="default" w:ascii="Times New Roman" w:hAnsi="Times New Roman" w:cs="Times New Roman"/>
        </w:rPr>
      </w:pPr>
      <w:bookmarkStart w:id="63" w:name="_Toc15396608"/>
      <w:bookmarkStart w:id="64" w:name="_Toc79163618"/>
      <w:bookmarkStart w:id="65" w:name="_Toc30070"/>
      <w:bookmarkStart w:id="66" w:name="_Toc15377214"/>
      <w:r>
        <w:rPr>
          <w:rFonts w:hint="default" w:ascii="Times New Roman" w:hAnsi="Times New Roman" w:eastAsia="黑体" w:cs="Times New Roman"/>
          <w:color w:val="000000"/>
          <w:sz w:val="32"/>
          <w:szCs w:val="32"/>
        </w:rPr>
        <w:t>六</w:t>
      </w:r>
      <w:r>
        <w:rPr>
          <w:rFonts w:hint="default" w:ascii="Times New Roman" w:hAnsi="Times New Roman" w:eastAsia="黑体" w:cs="Times New Roman"/>
          <w:b/>
          <w:color w:val="000000"/>
          <w:sz w:val="32"/>
          <w:szCs w:val="32"/>
        </w:rPr>
        <w:t>、一</w:t>
      </w:r>
      <w:r>
        <w:rPr>
          <w:rStyle w:val="26"/>
          <w:rFonts w:hint="default" w:ascii="Times New Roman" w:hAnsi="Times New Roman" w:eastAsia="黑体" w:cs="Times New Roman"/>
          <w:b w:val="0"/>
        </w:rPr>
        <w:t>般公共预算财政拨款基本支出决算情况说明</w:t>
      </w:r>
      <w:bookmarkEnd w:id="63"/>
      <w:bookmarkEnd w:id="64"/>
      <w:bookmarkEnd w:id="65"/>
      <w:bookmarkEnd w:id="66"/>
      <w:r>
        <w:rPr>
          <w:rStyle w:val="26"/>
          <w:rFonts w:hint="default" w:ascii="Times New Roman" w:hAnsi="Times New Roman" w:eastAsia="黑体" w:cs="Times New Roman"/>
          <w:b w:val="0"/>
        </w:rPr>
        <w:tab/>
      </w:r>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2020年一般公共预算财政拨款基本支出</w:t>
      </w:r>
      <w:r>
        <w:rPr>
          <w:rFonts w:hint="default" w:ascii="Times New Roman" w:hAnsi="Times New Roman" w:eastAsia="仿宋" w:cs="Times New Roman"/>
          <w:color w:val="000000"/>
          <w:sz w:val="32"/>
          <w:szCs w:val="32"/>
          <w:lang w:val="en-US" w:eastAsia="zh-CN"/>
        </w:rPr>
        <w:t>497.17</w:t>
      </w:r>
      <w:r>
        <w:rPr>
          <w:rFonts w:hint="default" w:ascii="Times New Roman" w:hAnsi="Times New Roman" w:eastAsia="仿宋" w:cs="Times New Roman"/>
          <w:color w:val="000000"/>
          <w:sz w:val="32"/>
          <w:szCs w:val="32"/>
        </w:rPr>
        <w:t>万元，其中：</w:t>
      </w:r>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rPr>
        <w:t>人员经费</w:t>
      </w:r>
      <w:r>
        <w:rPr>
          <w:rFonts w:hint="eastAsia" w:ascii="Times New Roman" w:hAnsi="Times New Roman" w:eastAsia="仿宋" w:cs="Times New Roman"/>
          <w:color w:val="000000"/>
          <w:sz w:val="32"/>
          <w:szCs w:val="32"/>
          <w:lang w:val="en-US" w:eastAsia="zh-CN"/>
        </w:rPr>
        <w:t>379.25</w:t>
      </w:r>
      <w:r>
        <w:rPr>
          <w:rFonts w:hint="default" w:ascii="Times New Roman" w:hAnsi="Times New Roman" w:eastAsia="仿宋" w:cs="Times New Roman"/>
          <w:color w:val="000000"/>
          <w:sz w:val="32"/>
          <w:szCs w:val="32"/>
        </w:rPr>
        <w:t>万元，主要包括：基本工资</w:t>
      </w:r>
      <w:r>
        <w:rPr>
          <w:rFonts w:hint="eastAsia" w:ascii="Times New Roman" w:hAnsi="Times New Roman" w:eastAsia="仿宋" w:cs="Times New Roman"/>
          <w:color w:val="000000"/>
          <w:sz w:val="32"/>
          <w:szCs w:val="32"/>
          <w:lang w:val="en-US" w:eastAsia="zh-CN"/>
        </w:rPr>
        <w:t>73.1万元</w:t>
      </w:r>
      <w:r>
        <w:rPr>
          <w:rFonts w:hint="default" w:ascii="Times New Roman" w:hAnsi="Times New Roman" w:eastAsia="仿宋" w:cs="Times New Roman"/>
          <w:color w:val="000000"/>
          <w:sz w:val="32"/>
          <w:szCs w:val="32"/>
        </w:rPr>
        <w:t>、津贴补贴</w:t>
      </w:r>
      <w:r>
        <w:rPr>
          <w:rFonts w:hint="eastAsia" w:eastAsia="仿宋" w:cs="Times New Roman"/>
          <w:color w:val="000000"/>
          <w:sz w:val="32"/>
          <w:szCs w:val="32"/>
          <w:lang w:val="en-US" w:eastAsia="zh-CN"/>
        </w:rPr>
        <w:t>149.12</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、奖金</w:t>
      </w:r>
      <w:r>
        <w:rPr>
          <w:rFonts w:hint="eastAsia" w:eastAsia="仿宋" w:cs="Times New Roman"/>
          <w:color w:val="000000"/>
          <w:sz w:val="32"/>
          <w:szCs w:val="32"/>
          <w:lang w:val="en-US" w:eastAsia="zh-CN"/>
        </w:rPr>
        <w:t>6.39</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、伙食补助费</w:t>
      </w:r>
      <w:r>
        <w:rPr>
          <w:rFonts w:hint="eastAsia" w:eastAsia="仿宋" w:cs="Times New Roman"/>
          <w:color w:val="000000"/>
          <w:sz w:val="32"/>
          <w:szCs w:val="32"/>
          <w:lang w:val="en-US" w:eastAsia="zh-CN"/>
        </w:rPr>
        <w:t>5.42</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、绩效工资</w:t>
      </w:r>
      <w:r>
        <w:rPr>
          <w:rFonts w:hint="eastAsia" w:eastAsia="仿宋" w:cs="Times New Roman"/>
          <w:color w:val="000000"/>
          <w:sz w:val="32"/>
          <w:szCs w:val="32"/>
          <w:lang w:val="en-US" w:eastAsia="zh-CN"/>
        </w:rPr>
        <w:t>0</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、机关事业单位基本养老保险缴费</w:t>
      </w:r>
      <w:r>
        <w:rPr>
          <w:rFonts w:hint="eastAsia" w:eastAsia="仿宋" w:cs="Times New Roman"/>
          <w:color w:val="000000"/>
          <w:sz w:val="32"/>
          <w:szCs w:val="32"/>
          <w:lang w:val="en-US" w:eastAsia="zh-CN"/>
        </w:rPr>
        <w:t>26.8</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、职业年金缴费</w:t>
      </w:r>
      <w:r>
        <w:rPr>
          <w:rFonts w:hint="eastAsia" w:eastAsia="仿宋" w:cs="Times New Roman"/>
          <w:color w:val="000000"/>
          <w:sz w:val="32"/>
          <w:szCs w:val="32"/>
          <w:lang w:val="en-US" w:eastAsia="zh-CN"/>
        </w:rPr>
        <w:t>12.86</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、其他社会保障缴费</w:t>
      </w:r>
      <w:r>
        <w:rPr>
          <w:rFonts w:hint="eastAsia" w:eastAsia="仿宋" w:cs="Times New Roman"/>
          <w:color w:val="000000"/>
          <w:sz w:val="32"/>
          <w:szCs w:val="32"/>
          <w:lang w:val="en-US" w:eastAsia="zh-CN"/>
        </w:rPr>
        <w:t>2.42</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、住房公积金</w:t>
      </w:r>
      <w:r>
        <w:rPr>
          <w:rFonts w:hint="eastAsia" w:eastAsia="仿宋" w:cs="Times New Roman"/>
          <w:color w:val="000000"/>
          <w:sz w:val="32"/>
          <w:szCs w:val="32"/>
          <w:lang w:val="en-US" w:eastAsia="zh-CN"/>
        </w:rPr>
        <w:t>27.1</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、其他工资福利支出</w:t>
      </w:r>
      <w:r>
        <w:rPr>
          <w:rFonts w:hint="eastAsia" w:eastAsia="仿宋" w:cs="Times New Roman"/>
          <w:color w:val="000000"/>
          <w:sz w:val="32"/>
          <w:szCs w:val="32"/>
          <w:lang w:val="en-US" w:eastAsia="zh-CN"/>
        </w:rPr>
        <w:t>24.25</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、离休费</w:t>
      </w:r>
      <w:r>
        <w:rPr>
          <w:rFonts w:hint="eastAsia" w:eastAsia="仿宋" w:cs="Times New Roman"/>
          <w:color w:val="000000"/>
          <w:sz w:val="32"/>
          <w:szCs w:val="32"/>
          <w:lang w:val="en-US" w:eastAsia="zh-CN"/>
        </w:rPr>
        <w:t>15.9</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、退休费</w:t>
      </w:r>
      <w:r>
        <w:rPr>
          <w:rFonts w:hint="eastAsia" w:eastAsia="仿宋" w:cs="Times New Roman"/>
          <w:color w:val="000000"/>
          <w:sz w:val="32"/>
          <w:szCs w:val="32"/>
          <w:lang w:val="en-US" w:eastAsia="zh-CN"/>
        </w:rPr>
        <w:t>0</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、抚恤金</w:t>
      </w:r>
      <w:r>
        <w:rPr>
          <w:rFonts w:hint="eastAsia" w:eastAsia="仿宋" w:cs="Times New Roman"/>
          <w:color w:val="000000"/>
          <w:sz w:val="32"/>
          <w:szCs w:val="32"/>
          <w:lang w:val="en-US" w:eastAsia="zh-CN"/>
        </w:rPr>
        <w:t>0</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、生活补助</w:t>
      </w:r>
      <w:r>
        <w:rPr>
          <w:rFonts w:hint="eastAsia" w:eastAsia="仿宋" w:cs="Times New Roman"/>
          <w:color w:val="000000"/>
          <w:sz w:val="32"/>
          <w:szCs w:val="32"/>
          <w:lang w:val="en-US" w:eastAsia="zh-CN"/>
        </w:rPr>
        <w:t>13.35</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、医疗费补助</w:t>
      </w:r>
      <w:r>
        <w:rPr>
          <w:rFonts w:hint="eastAsia" w:eastAsia="仿宋" w:cs="Times New Roman"/>
          <w:color w:val="000000"/>
          <w:sz w:val="32"/>
          <w:szCs w:val="32"/>
          <w:lang w:val="en-US" w:eastAsia="zh-CN"/>
        </w:rPr>
        <w:t>2</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、奖励金</w:t>
      </w:r>
      <w:r>
        <w:rPr>
          <w:rFonts w:hint="eastAsia" w:eastAsia="仿宋" w:cs="Times New Roman"/>
          <w:color w:val="000000"/>
          <w:sz w:val="32"/>
          <w:szCs w:val="32"/>
          <w:lang w:val="en-US" w:eastAsia="zh-CN"/>
        </w:rPr>
        <w:t>0</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、其他对个人和家庭的补助支出</w:t>
      </w:r>
      <w:r>
        <w:rPr>
          <w:rFonts w:hint="eastAsia" w:eastAsia="仿宋" w:cs="Times New Roman"/>
          <w:color w:val="000000"/>
          <w:sz w:val="32"/>
          <w:szCs w:val="32"/>
          <w:lang w:val="en-US" w:eastAsia="zh-CN"/>
        </w:rPr>
        <w:t>1.36</w:t>
      </w:r>
      <w:r>
        <w:rPr>
          <w:rFonts w:hint="eastAsia"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等。</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hint="default" w:ascii="Times New Roman" w:hAnsi="Times New Roman" w:eastAsia="仿宋" w:cs="Times New Roman"/>
          <w:b/>
          <w:color w:val="FF0000"/>
          <w:sz w:val="32"/>
          <w:szCs w:val="32"/>
        </w:rPr>
      </w:pPr>
      <w:r>
        <w:rPr>
          <w:rFonts w:hint="default" w:ascii="Times New Roman" w:hAnsi="Times New Roman" w:eastAsia="仿宋_GB2312" w:cs="Times New Roman"/>
          <w:sz w:val="32"/>
          <w:szCs w:val="32"/>
        </w:rPr>
        <w:t>日常公用经费87.33万元，主要包括：办公费</w:t>
      </w:r>
      <w:r>
        <w:rPr>
          <w:rFonts w:hint="eastAsia" w:ascii="Times New Roman" w:hAnsi="Times New Roman" w:eastAsia="仿宋_GB2312" w:cs="Times New Roman"/>
          <w:sz w:val="32"/>
          <w:szCs w:val="32"/>
          <w:lang w:val="en-US" w:eastAsia="zh-CN"/>
        </w:rPr>
        <w:t>7.83</w:t>
      </w:r>
      <w:r>
        <w:rPr>
          <w:rFonts w:hint="default" w:ascii="Times New Roman" w:hAnsi="Times New Roman" w:eastAsia="仿宋_GB2312" w:cs="Times New Roman"/>
          <w:sz w:val="32"/>
          <w:szCs w:val="32"/>
        </w:rPr>
        <w:t>万元、印刷费0万元、咨询费0万元、手续费0.1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万元、水费0.</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万元、电费0.</w:t>
      </w:r>
      <w:r>
        <w:rPr>
          <w:rFonts w:hint="eastAsia" w:ascii="Times New Roman" w:hAnsi="Times New Roman" w:eastAsia="仿宋_GB2312" w:cs="Times New Roman"/>
          <w:sz w:val="32"/>
          <w:szCs w:val="32"/>
          <w:lang w:val="en-US" w:eastAsia="zh-CN"/>
        </w:rPr>
        <w:t>93</w:t>
      </w:r>
      <w:r>
        <w:rPr>
          <w:rFonts w:hint="default" w:ascii="Times New Roman" w:hAnsi="Times New Roman" w:eastAsia="仿宋_GB2312" w:cs="Times New Roman"/>
          <w:sz w:val="32"/>
          <w:szCs w:val="32"/>
        </w:rPr>
        <w:t>万元、邮电费</w:t>
      </w:r>
      <w:r>
        <w:rPr>
          <w:rFonts w:hint="eastAsia" w:ascii="Times New Roman" w:hAnsi="Times New Roman" w:eastAsia="仿宋_GB2312" w:cs="Times New Roman"/>
          <w:sz w:val="32"/>
          <w:szCs w:val="32"/>
          <w:lang w:val="en-US" w:eastAsia="zh-CN"/>
        </w:rPr>
        <w:t>5.18</w:t>
      </w:r>
      <w:r>
        <w:rPr>
          <w:rFonts w:hint="default" w:ascii="Times New Roman" w:hAnsi="Times New Roman" w:eastAsia="仿宋_GB2312" w:cs="Times New Roman"/>
          <w:sz w:val="32"/>
          <w:szCs w:val="32"/>
        </w:rPr>
        <w:t>万元、取暖费0万元、物业管理费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万元、差旅费</w:t>
      </w:r>
      <w:r>
        <w:rPr>
          <w:rFonts w:hint="eastAsia" w:ascii="Times New Roman" w:hAnsi="Times New Roman" w:eastAsia="仿宋_GB2312" w:cs="Times New Roman"/>
          <w:sz w:val="32"/>
          <w:szCs w:val="32"/>
          <w:lang w:val="en-US" w:eastAsia="zh-CN"/>
        </w:rPr>
        <w:t>16.21</w:t>
      </w:r>
      <w:r>
        <w:rPr>
          <w:rFonts w:hint="default" w:ascii="Times New Roman" w:hAnsi="Times New Roman" w:eastAsia="仿宋_GB2312" w:cs="Times New Roman"/>
          <w:sz w:val="32"/>
          <w:szCs w:val="32"/>
        </w:rPr>
        <w:t>万元、因公出国（境）费用0万元、维修（护）费0.</w:t>
      </w:r>
      <w:r>
        <w:rPr>
          <w:rFonts w:hint="eastAsia" w:ascii="Times New Roman" w:hAnsi="Times New Roman" w:eastAsia="仿宋_GB2312" w:cs="Times New Roman"/>
          <w:sz w:val="32"/>
          <w:szCs w:val="32"/>
          <w:lang w:val="en-US" w:eastAsia="zh-CN"/>
        </w:rPr>
        <w:t>51</w:t>
      </w:r>
      <w:r>
        <w:rPr>
          <w:rFonts w:hint="default" w:ascii="Times New Roman" w:hAnsi="Times New Roman" w:eastAsia="仿宋_GB2312" w:cs="Times New Roman"/>
          <w:sz w:val="32"/>
          <w:szCs w:val="32"/>
        </w:rPr>
        <w:t>万元、租赁费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万元、会议费</w:t>
      </w:r>
      <w:r>
        <w:rPr>
          <w:rFonts w:hint="eastAsia" w:ascii="Times New Roman" w:hAnsi="Times New Roman" w:eastAsia="仿宋_GB2312" w:cs="Times New Roman"/>
          <w:sz w:val="32"/>
          <w:szCs w:val="32"/>
          <w:lang w:val="en-US" w:eastAsia="zh-CN"/>
        </w:rPr>
        <w:t>6.45</w:t>
      </w:r>
      <w:r>
        <w:rPr>
          <w:rFonts w:hint="default" w:ascii="Times New Roman" w:hAnsi="Times New Roman" w:eastAsia="仿宋_GB2312" w:cs="Times New Roman"/>
          <w:sz w:val="32"/>
          <w:szCs w:val="32"/>
        </w:rPr>
        <w:t>万元、培训费</w:t>
      </w:r>
      <w:r>
        <w:rPr>
          <w:rFonts w:hint="eastAsia" w:ascii="Times New Roman" w:hAnsi="Times New Roman" w:eastAsia="仿宋_GB2312" w:cs="Times New Roman"/>
          <w:sz w:val="32"/>
          <w:szCs w:val="32"/>
          <w:lang w:val="en-US" w:eastAsia="zh-CN"/>
        </w:rPr>
        <w:t>43.36</w:t>
      </w:r>
      <w:r>
        <w:rPr>
          <w:rFonts w:hint="default" w:ascii="Times New Roman" w:hAnsi="Times New Roman" w:eastAsia="仿宋_GB2312" w:cs="Times New Roman"/>
          <w:sz w:val="32"/>
          <w:szCs w:val="32"/>
        </w:rPr>
        <w:t>万元、公务接待费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万元、劳务费0.2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万元、委托业务费0万元、工会经费0万元、福利费0万元、公务用车运行维护费</w:t>
      </w:r>
      <w:r>
        <w:rPr>
          <w:rFonts w:hint="eastAsia" w:ascii="Times New Roman" w:hAnsi="Times New Roman" w:eastAsia="仿宋_GB2312" w:cs="Times New Roman"/>
          <w:sz w:val="32"/>
          <w:szCs w:val="32"/>
          <w:lang w:val="en-US" w:eastAsia="zh-CN"/>
        </w:rPr>
        <w:t>14.25</w:t>
      </w:r>
      <w:r>
        <w:rPr>
          <w:rFonts w:hint="default" w:ascii="Times New Roman" w:hAnsi="Times New Roman" w:eastAsia="仿宋_GB2312" w:cs="Times New Roman"/>
          <w:sz w:val="32"/>
          <w:szCs w:val="32"/>
        </w:rPr>
        <w:t>万元、其他交通费0万元、税金及附加费用0万元、其他商品和服务支出</w:t>
      </w:r>
      <w:r>
        <w:rPr>
          <w:rFonts w:hint="eastAsia" w:ascii="Times New Roman" w:hAnsi="Times New Roman" w:eastAsia="仿宋_GB2312" w:cs="Times New Roman"/>
          <w:sz w:val="32"/>
          <w:szCs w:val="32"/>
          <w:lang w:val="en-US" w:eastAsia="zh-CN"/>
        </w:rPr>
        <w:t>18.12</w:t>
      </w:r>
      <w:r>
        <w:rPr>
          <w:rFonts w:hint="default" w:ascii="Times New Roman" w:hAnsi="Times New Roman" w:eastAsia="仿宋_GB2312" w:cs="Times New Roman"/>
          <w:sz w:val="32"/>
          <w:szCs w:val="32"/>
        </w:rPr>
        <w:t>万元、办公设备购置</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万元、专用设备购置0万元、信息网络及软件购置更新0万元、其他资本性支出0万元等。</w:t>
      </w:r>
    </w:p>
    <w:p>
      <w:pPr>
        <w:pageBreakBefore w:val="0"/>
        <w:kinsoku/>
        <w:wordWrap/>
        <w:overflowPunct/>
        <w:topLinePunct w:val="0"/>
        <w:bidi w:val="0"/>
        <w:spacing w:line="576" w:lineRule="exact"/>
        <w:ind w:left="0" w:right="0" w:firstLine="640" w:firstLineChars="200"/>
        <w:jc w:val="both"/>
        <w:textAlignment w:val="auto"/>
        <w:outlineLvl w:val="1"/>
        <w:rPr>
          <w:rStyle w:val="26"/>
          <w:rFonts w:hint="default" w:ascii="Times New Roman" w:hAnsi="Times New Roman" w:eastAsia="黑体" w:cs="Times New Roman"/>
          <w:b w:val="0"/>
        </w:rPr>
      </w:pPr>
      <w:bookmarkStart w:id="67" w:name="_Toc15396609"/>
      <w:bookmarkStart w:id="68" w:name="_Toc79163619"/>
      <w:bookmarkStart w:id="69" w:name="_Toc24343"/>
      <w:bookmarkStart w:id="70" w:name="_Toc15377215"/>
      <w:r>
        <w:rPr>
          <w:rFonts w:hint="default" w:ascii="Times New Roman" w:hAnsi="Times New Roman" w:eastAsia="黑体" w:cs="Times New Roman"/>
          <w:color w:val="000000"/>
          <w:sz w:val="32"/>
          <w:szCs w:val="32"/>
        </w:rPr>
        <w:t>七、</w:t>
      </w:r>
      <w:r>
        <w:rPr>
          <w:rStyle w:val="26"/>
          <w:rFonts w:hint="default" w:ascii="Times New Roman" w:hAnsi="Times New Roman" w:eastAsia="黑体" w:cs="Times New Roman"/>
        </w:rPr>
        <w:t>“</w:t>
      </w:r>
      <w:r>
        <w:rPr>
          <w:rStyle w:val="26"/>
          <w:rFonts w:hint="default" w:ascii="Times New Roman" w:hAnsi="Times New Roman" w:eastAsia="黑体" w:cs="Times New Roman"/>
          <w:b w:val="0"/>
        </w:rPr>
        <w:t>三公”经费财政拨款支出决算情况说明</w:t>
      </w:r>
      <w:bookmarkEnd w:id="67"/>
      <w:bookmarkEnd w:id="68"/>
      <w:bookmarkEnd w:id="69"/>
      <w:bookmarkEnd w:id="70"/>
    </w:p>
    <w:p>
      <w:pPr>
        <w:pageBreakBefore w:val="0"/>
        <w:kinsoku/>
        <w:wordWrap/>
        <w:overflowPunct/>
        <w:topLinePunct w:val="0"/>
        <w:bidi w:val="0"/>
        <w:spacing w:line="576" w:lineRule="exact"/>
        <w:ind w:left="0" w:right="0" w:firstLine="643" w:firstLineChars="200"/>
        <w:jc w:val="both"/>
        <w:textAlignment w:val="auto"/>
        <w:outlineLvl w:val="2"/>
        <w:rPr>
          <w:rFonts w:hint="default" w:ascii="楷体_GB2312" w:hAnsi="楷体_GB2312" w:eastAsia="楷体_GB2312" w:cs="楷体_GB2312"/>
          <w:b/>
          <w:color w:val="000000"/>
          <w:sz w:val="32"/>
          <w:szCs w:val="32"/>
        </w:rPr>
      </w:pPr>
      <w:bookmarkStart w:id="71" w:name="_Toc15377216"/>
      <w:bookmarkStart w:id="72" w:name="_Toc79163620"/>
      <w:bookmarkStart w:id="73" w:name="_Toc9625"/>
      <w:r>
        <w:rPr>
          <w:rFonts w:hint="default" w:ascii="楷体_GB2312" w:hAnsi="楷体_GB2312" w:eastAsia="楷体_GB2312" w:cs="楷体_GB2312"/>
          <w:b/>
          <w:color w:val="000000"/>
          <w:sz w:val="32"/>
          <w:szCs w:val="32"/>
        </w:rPr>
        <w:t>（一）“三公”经费财政拨款支出决算总体情况说明</w:t>
      </w:r>
      <w:bookmarkEnd w:id="71"/>
      <w:bookmarkEnd w:id="72"/>
      <w:bookmarkEnd w:id="73"/>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2020年“三公”经费财政拨款支出决算为</w:t>
      </w:r>
      <w:r>
        <w:rPr>
          <w:rFonts w:hint="eastAsia" w:eastAsia="仿宋" w:cs="Times New Roman"/>
          <w:color w:val="000000"/>
          <w:sz w:val="32"/>
          <w:szCs w:val="32"/>
          <w:lang w:val="en-US" w:eastAsia="zh-CN"/>
        </w:rPr>
        <w:t>16.4</w:t>
      </w:r>
      <w:r>
        <w:rPr>
          <w:rFonts w:hint="default" w:ascii="Times New Roman" w:hAnsi="Times New Roman" w:eastAsia="仿宋" w:cs="Times New Roman"/>
          <w:color w:val="000000"/>
          <w:sz w:val="32"/>
          <w:szCs w:val="32"/>
        </w:rPr>
        <w:t>万元，完成预算</w:t>
      </w:r>
      <w:r>
        <w:rPr>
          <w:rFonts w:hint="eastAsia" w:eastAsia="仿宋" w:cs="Times New Roman"/>
          <w:color w:val="000000"/>
          <w:sz w:val="32"/>
          <w:szCs w:val="32"/>
          <w:lang w:val="en-US" w:eastAsia="zh-CN"/>
        </w:rPr>
        <w:t>100</w:t>
      </w:r>
      <w:r>
        <w:rPr>
          <w:rFonts w:hint="default" w:ascii="Times New Roman" w:hAnsi="Times New Roman" w:eastAsia="仿宋" w:cs="Times New Roman"/>
          <w:color w:val="000000"/>
          <w:sz w:val="32"/>
          <w:szCs w:val="32"/>
        </w:rPr>
        <w:t>%，决算数与预算数持平。</w:t>
      </w:r>
    </w:p>
    <w:p>
      <w:pPr>
        <w:pageBreakBefore w:val="0"/>
        <w:kinsoku/>
        <w:wordWrap/>
        <w:overflowPunct/>
        <w:topLinePunct w:val="0"/>
        <w:bidi w:val="0"/>
        <w:spacing w:line="576" w:lineRule="exact"/>
        <w:ind w:left="0" w:right="0" w:firstLine="643" w:firstLineChars="200"/>
        <w:jc w:val="both"/>
        <w:textAlignment w:val="auto"/>
        <w:outlineLvl w:val="2"/>
        <w:rPr>
          <w:rFonts w:hint="default" w:ascii="楷体_GB2312" w:hAnsi="楷体_GB2312" w:eastAsia="楷体_GB2312" w:cs="楷体_GB2312"/>
          <w:b/>
          <w:color w:val="000000"/>
          <w:sz w:val="32"/>
          <w:szCs w:val="32"/>
        </w:rPr>
      </w:pPr>
      <w:bookmarkStart w:id="74" w:name="_Toc79163621"/>
      <w:bookmarkStart w:id="75" w:name="_Toc15377217"/>
      <w:bookmarkStart w:id="76" w:name="_Toc10513"/>
      <w:r>
        <w:rPr>
          <w:rFonts w:hint="default" w:ascii="楷体_GB2312" w:hAnsi="楷体_GB2312" w:eastAsia="楷体_GB2312" w:cs="楷体_GB2312"/>
          <w:b/>
          <w:color w:val="000000"/>
          <w:sz w:val="32"/>
          <w:szCs w:val="32"/>
        </w:rPr>
        <w:t>（二）“三公”经费财政拨款支出决算具体情况说明</w:t>
      </w:r>
      <w:bookmarkEnd w:id="74"/>
      <w:bookmarkEnd w:id="75"/>
      <w:bookmarkEnd w:id="76"/>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2020年“三公”经费财政拨款支出决算中，因公出国（境）费支出决算</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%；公务用车购置及运行维护费支出决算</w:t>
      </w:r>
      <w:r>
        <w:rPr>
          <w:rFonts w:hint="eastAsia" w:eastAsia="仿宋" w:cs="Times New Roman"/>
          <w:color w:val="000000"/>
          <w:sz w:val="32"/>
          <w:szCs w:val="32"/>
          <w:lang w:val="en-US" w:eastAsia="zh-CN"/>
        </w:rPr>
        <w:t>16.4</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100</w:t>
      </w:r>
      <w:r>
        <w:rPr>
          <w:rFonts w:hint="default" w:ascii="Times New Roman" w:hAnsi="Times New Roman" w:eastAsia="仿宋" w:cs="Times New Roman"/>
          <w:color w:val="000000"/>
          <w:sz w:val="32"/>
          <w:szCs w:val="32"/>
        </w:rPr>
        <w:t>%；公务接待费支出决算</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eastAsia" w:eastAsia="仿宋" w:cs="Times New Roman"/>
          <w:color w:val="000000"/>
          <w:sz w:val="32"/>
          <w:szCs w:val="32"/>
          <w:lang w:val="en-US" w:eastAsia="zh-CN"/>
        </w:rPr>
        <w:t>0</w:t>
      </w:r>
      <w:r>
        <w:rPr>
          <w:rFonts w:hint="default" w:ascii="Times New Roman" w:hAnsi="Times New Roman" w:eastAsia="仿宋" w:cs="Times New Roman"/>
          <w:color w:val="000000"/>
          <w:sz w:val="32"/>
          <w:szCs w:val="32"/>
        </w:rPr>
        <w:t>%。具体情况如下：</w:t>
      </w:r>
    </w:p>
    <w:p>
      <w:pPr>
        <w:pStyle w:val="2"/>
        <w:ind w:left="0" w:leftChars="0" w:firstLine="0" w:firstLineChars="0"/>
        <w:rPr>
          <w:rFonts w:hint="default"/>
        </w:rPr>
      </w:pPr>
    </w:p>
    <w:p>
      <w:pPr>
        <w:pStyle w:val="2"/>
        <w:rPr>
          <w:rFonts w:hint="default" w:ascii="Times New Roman" w:hAnsi="Times New Roman" w:eastAsia="仿宋" w:cs="Times New Roman"/>
          <w:color w:val="000000"/>
          <w:sz w:val="32"/>
          <w:szCs w:val="32"/>
        </w:rPr>
      </w:pPr>
      <w:r>
        <w:rPr>
          <w:rFonts w:hint="eastAsia" w:ascii="Times New Roman" w:hAnsi="Times New Roman" w:eastAsia="方正仿宋_GBK" w:cs="Times New Roman"/>
          <w:sz w:val="32"/>
          <w:szCs w:val="32"/>
        </w:rPr>
        <w:drawing>
          <wp:anchor distT="0" distB="0" distL="114300" distR="114300" simplePos="0" relativeHeight="251662336" behindDoc="0" locked="0" layoutInCell="1" allowOverlap="1">
            <wp:simplePos x="0" y="0"/>
            <wp:positionH relativeFrom="column">
              <wp:posOffset>1019175</wp:posOffset>
            </wp:positionH>
            <wp:positionV relativeFrom="paragraph">
              <wp:posOffset>76835</wp:posOffset>
            </wp:positionV>
            <wp:extent cx="3236595" cy="2026285"/>
            <wp:effectExtent l="4445" t="4445" r="16510" b="762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rPr>
          <w:rFonts w:hint="default"/>
        </w:rPr>
      </w:pPr>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right="0"/>
        <w:jc w:val="both"/>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right="0"/>
        <w:jc w:val="center"/>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（图7：“三公”经费财政拨款支出结构）</w:t>
      </w:r>
    </w:p>
    <w:p>
      <w:pPr>
        <w:pageBreakBefore w:val="0"/>
        <w:kinsoku/>
        <w:wordWrap/>
        <w:overflowPunct/>
        <w:topLinePunct w:val="0"/>
        <w:bidi w:val="0"/>
        <w:spacing w:line="576" w:lineRule="exact"/>
        <w:ind w:left="0" w:right="0" w:firstLine="643"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1.因公出国（境）经费支出</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Style w:val="23"/>
          <w:rFonts w:hint="default" w:ascii="Times New Roman" w:hAnsi="Times New Roman" w:eastAsia="仿宋" w:cs="Times New Roman"/>
          <w:b w:val="0"/>
          <w:bCs/>
          <w:color w:val="000000"/>
          <w:sz w:val="32"/>
          <w:szCs w:val="32"/>
        </w:rPr>
        <w:t>完成预算</w:t>
      </w:r>
      <w:r>
        <w:rPr>
          <w:rStyle w:val="23"/>
          <w:rFonts w:hint="eastAsia" w:eastAsia="仿宋" w:cs="Times New Roman"/>
          <w:b w:val="0"/>
          <w:bCs/>
          <w:color w:val="000000"/>
          <w:sz w:val="32"/>
          <w:szCs w:val="32"/>
          <w:lang w:val="en-US" w:eastAsia="zh-CN"/>
        </w:rPr>
        <w:t>0</w:t>
      </w:r>
      <w:r>
        <w:rPr>
          <w:rStyle w:val="23"/>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全年安排因公出国（境）团组</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次，出国（境）</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人。因公出国（境）支出决算比201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年增加/减少</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万元，增长/下降</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w:t>
      </w:r>
    </w:p>
    <w:p>
      <w:pPr>
        <w:pageBreakBefore w:val="0"/>
        <w:kinsoku/>
        <w:wordWrap/>
        <w:overflowPunct/>
        <w:topLinePunct w:val="0"/>
        <w:bidi w:val="0"/>
        <w:spacing w:line="576" w:lineRule="exact"/>
        <w:ind w:left="0" w:right="0" w:firstLine="643" w:firstLineChars="200"/>
        <w:jc w:val="both"/>
        <w:textAlignment w:val="auto"/>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rPr>
        <w:t>2.公务用车购置及运行维护费支出</w:t>
      </w:r>
      <w:r>
        <w:rPr>
          <w:rFonts w:hint="eastAsia" w:eastAsia="仿宋_GB2312" w:cs="Times New Roman"/>
          <w:color w:val="000000"/>
          <w:sz w:val="32"/>
          <w:szCs w:val="32"/>
          <w:lang w:val="en-US" w:eastAsia="zh-CN"/>
        </w:rPr>
        <w:t>16.4</w:t>
      </w:r>
      <w:r>
        <w:rPr>
          <w:rFonts w:hint="default" w:ascii="Times New Roman" w:hAnsi="Times New Roman" w:eastAsia="仿宋_GB2312" w:cs="Times New Roman"/>
          <w:color w:val="000000"/>
          <w:sz w:val="32"/>
          <w:szCs w:val="32"/>
        </w:rPr>
        <w:t>万元,</w:t>
      </w:r>
      <w:r>
        <w:rPr>
          <w:rStyle w:val="23"/>
          <w:rFonts w:hint="default" w:ascii="Times New Roman" w:hAnsi="Times New Roman" w:eastAsia="仿宋" w:cs="Times New Roman"/>
          <w:b w:val="0"/>
          <w:bCs/>
          <w:color w:val="000000"/>
          <w:sz w:val="32"/>
          <w:szCs w:val="32"/>
        </w:rPr>
        <w:t>完成预算</w:t>
      </w:r>
      <w:r>
        <w:rPr>
          <w:rStyle w:val="23"/>
          <w:rFonts w:hint="eastAsia" w:eastAsia="仿宋" w:cs="Times New Roman"/>
          <w:b w:val="0"/>
          <w:bCs/>
          <w:color w:val="000000"/>
          <w:sz w:val="32"/>
          <w:szCs w:val="32"/>
          <w:lang w:val="en-US" w:eastAsia="zh-CN"/>
        </w:rPr>
        <w:t>100</w:t>
      </w:r>
      <w:r>
        <w:rPr>
          <w:rStyle w:val="23"/>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公务用车购置及运行维护费支出决算比201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年减少</w:t>
      </w:r>
      <w:r>
        <w:rPr>
          <w:rFonts w:hint="eastAsia" w:eastAsia="仿宋_GB2312" w:cs="Times New Roman"/>
          <w:color w:val="000000"/>
          <w:sz w:val="32"/>
          <w:szCs w:val="32"/>
          <w:lang w:val="en-US" w:eastAsia="zh-CN"/>
        </w:rPr>
        <w:t>10.87</w:t>
      </w:r>
      <w:r>
        <w:rPr>
          <w:rFonts w:hint="default" w:ascii="Times New Roman" w:hAnsi="Times New Roman" w:eastAsia="仿宋_GB2312" w:cs="Times New Roman"/>
          <w:color w:val="000000"/>
          <w:sz w:val="32"/>
          <w:szCs w:val="32"/>
        </w:rPr>
        <w:t>万元，下降</w:t>
      </w:r>
      <w:r>
        <w:rPr>
          <w:rFonts w:hint="eastAsia" w:eastAsia="仿宋_GB2312" w:cs="Times New Roman"/>
          <w:color w:val="000000"/>
          <w:sz w:val="32"/>
          <w:szCs w:val="32"/>
          <w:lang w:val="en-US" w:eastAsia="zh-CN"/>
        </w:rPr>
        <w:t>39.86</w:t>
      </w:r>
      <w:r>
        <w:rPr>
          <w:rFonts w:hint="default" w:ascii="Times New Roman" w:hAnsi="Times New Roman" w:eastAsia="仿宋_GB2312" w:cs="Times New Roman"/>
          <w:color w:val="000000"/>
          <w:sz w:val="32"/>
          <w:szCs w:val="32"/>
        </w:rPr>
        <w:t>%。主要原因是</w:t>
      </w:r>
      <w:r>
        <w:rPr>
          <w:rFonts w:hint="eastAsia" w:eastAsia="仿宋_GB2312" w:cs="Times New Roman"/>
          <w:color w:val="000000"/>
          <w:sz w:val="32"/>
          <w:szCs w:val="32"/>
          <w:lang w:eastAsia="zh-CN"/>
        </w:rPr>
        <w:t>：</w:t>
      </w:r>
      <w:r>
        <w:rPr>
          <w:rFonts w:hint="eastAsia" w:eastAsia="仿宋_GB2312" w:cs="Times New Roman"/>
          <w:color w:val="000000"/>
          <w:sz w:val="32"/>
          <w:szCs w:val="32"/>
          <w:lang w:val="en-US" w:eastAsia="zh-CN"/>
        </w:rPr>
        <w:t>2019年对一辆公务用车进行了大修，2020年未大修。</w:t>
      </w:r>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其中：</w:t>
      </w:r>
      <w:r>
        <w:rPr>
          <w:rFonts w:hint="default" w:ascii="Times New Roman" w:hAnsi="Times New Roman" w:eastAsia="仿宋_GB2312" w:cs="Times New Roman"/>
          <w:b/>
          <w:color w:val="000000"/>
          <w:sz w:val="32"/>
          <w:szCs w:val="32"/>
        </w:rPr>
        <w:t>公务用车购置支出</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万元。全年按规定更新购置公务用车</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辆，其中：轿车</w:t>
      </w:r>
      <w:r>
        <w:rPr>
          <w:rFonts w:hint="eastAsia" w:eastAsia="仿宋_GB2312" w:cs="Times New Roman"/>
          <w:color w:val="000000"/>
          <w:sz w:val="32"/>
          <w:szCs w:val="32"/>
          <w:lang w:eastAsia="zh-CN"/>
        </w:rPr>
        <w:t>0</w:t>
      </w:r>
      <w:r>
        <w:rPr>
          <w:rFonts w:hint="default" w:ascii="Times New Roman" w:hAnsi="Times New Roman" w:eastAsia="仿宋_GB2312" w:cs="Times New Roman"/>
          <w:color w:val="000000"/>
          <w:sz w:val="32"/>
          <w:szCs w:val="32"/>
        </w:rPr>
        <w:t>辆、金额</w:t>
      </w:r>
      <w:r>
        <w:rPr>
          <w:rFonts w:hint="eastAsia" w:eastAsia="仿宋_GB2312" w:cs="Times New Roman"/>
          <w:color w:val="000000"/>
          <w:sz w:val="32"/>
          <w:szCs w:val="32"/>
          <w:lang w:eastAsia="zh-CN"/>
        </w:rPr>
        <w:t>0</w:t>
      </w:r>
      <w:r>
        <w:rPr>
          <w:rFonts w:hint="default" w:ascii="Times New Roman" w:hAnsi="Times New Roman" w:eastAsia="仿宋_GB2312" w:cs="Times New Roman"/>
          <w:color w:val="000000"/>
          <w:sz w:val="32"/>
          <w:szCs w:val="32"/>
        </w:rPr>
        <w:t>万元，越野车</w:t>
      </w:r>
      <w:r>
        <w:rPr>
          <w:rFonts w:hint="eastAsia" w:eastAsia="仿宋_GB2312" w:cs="Times New Roman"/>
          <w:color w:val="000000"/>
          <w:sz w:val="32"/>
          <w:szCs w:val="32"/>
          <w:lang w:eastAsia="zh-CN"/>
        </w:rPr>
        <w:t>0</w:t>
      </w:r>
      <w:r>
        <w:rPr>
          <w:rFonts w:hint="default" w:ascii="Times New Roman" w:hAnsi="Times New Roman" w:eastAsia="仿宋_GB2312" w:cs="Times New Roman"/>
          <w:color w:val="000000"/>
          <w:sz w:val="32"/>
          <w:szCs w:val="32"/>
        </w:rPr>
        <w:t>辆、金额</w:t>
      </w:r>
      <w:r>
        <w:rPr>
          <w:rFonts w:hint="eastAsia" w:eastAsia="仿宋_GB2312" w:cs="Times New Roman"/>
          <w:color w:val="000000"/>
          <w:sz w:val="32"/>
          <w:szCs w:val="32"/>
          <w:lang w:eastAsia="zh-CN"/>
        </w:rPr>
        <w:t>0</w:t>
      </w:r>
      <w:r>
        <w:rPr>
          <w:rFonts w:hint="default" w:ascii="Times New Roman" w:hAnsi="Times New Roman" w:eastAsia="仿宋_GB2312" w:cs="Times New Roman"/>
          <w:color w:val="000000"/>
          <w:sz w:val="32"/>
          <w:szCs w:val="32"/>
        </w:rPr>
        <w:t>万元，载客汽车</w:t>
      </w:r>
      <w:r>
        <w:rPr>
          <w:rFonts w:hint="eastAsia" w:eastAsia="仿宋_GB2312" w:cs="Times New Roman"/>
          <w:color w:val="000000"/>
          <w:sz w:val="32"/>
          <w:szCs w:val="32"/>
          <w:lang w:eastAsia="zh-CN"/>
        </w:rPr>
        <w:t>0</w:t>
      </w:r>
      <w:r>
        <w:rPr>
          <w:rFonts w:hint="default" w:ascii="Times New Roman" w:hAnsi="Times New Roman" w:eastAsia="仿宋_GB2312" w:cs="Times New Roman"/>
          <w:color w:val="000000"/>
          <w:sz w:val="32"/>
          <w:szCs w:val="32"/>
        </w:rPr>
        <w:t>辆、金额</w:t>
      </w:r>
      <w:r>
        <w:rPr>
          <w:rFonts w:hint="eastAsia" w:eastAsia="仿宋_GB2312" w:cs="Times New Roman"/>
          <w:color w:val="000000"/>
          <w:sz w:val="32"/>
          <w:szCs w:val="32"/>
          <w:lang w:eastAsia="zh-CN"/>
        </w:rPr>
        <w:t>0</w:t>
      </w:r>
      <w:r>
        <w:rPr>
          <w:rFonts w:hint="default" w:ascii="Times New Roman" w:hAnsi="Times New Roman" w:eastAsia="仿宋_GB2312" w:cs="Times New Roman"/>
          <w:color w:val="000000"/>
          <w:sz w:val="32"/>
          <w:szCs w:val="32"/>
        </w:rPr>
        <w:t>万元。截至2020年12月底，单位共有公务用车</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辆，其中：轿车</w:t>
      </w:r>
      <w:r>
        <w:rPr>
          <w:rFonts w:hint="eastAsia" w:eastAsia="仿宋_GB2312" w:cs="Times New Roman"/>
          <w:color w:val="000000"/>
          <w:sz w:val="32"/>
          <w:szCs w:val="32"/>
          <w:lang w:eastAsia="zh-CN"/>
        </w:rPr>
        <w:t>0</w:t>
      </w:r>
      <w:r>
        <w:rPr>
          <w:rFonts w:hint="default" w:ascii="Times New Roman" w:hAnsi="Times New Roman" w:eastAsia="仿宋_GB2312" w:cs="Times New Roman"/>
          <w:color w:val="000000"/>
          <w:sz w:val="32"/>
          <w:szCs w:val="32"/>
        </w:rPr>
        <w:t>辆、越野车</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辆、载客汽车</w:t>
      </w:r>
      <w:r>
        <w:rPr>
          <w:rFonts w:hint="eastAsia" w:eastAsia="仿宋_GB2312" w:cs="Times New Roman"/>
          <w:color w:val="000000"/>
          <w:sz w:val="32"/>
          <w:szCs w:val="32"/>
          <w:lang w:eastAsia="zh-CN"/>
        </w:rPr>
        <w:t>0</w:t>
      </w:r>
      <w:r>
        <w:rPr>
          <w:rFonts w:hint="default" w:ascii="Times New Roman" w:hAnsi="Times New Roman" w:eastAsia="仿宋_GB2312" w:cs="Times New Roman"/>
          <w:color w:val="000000"/>
          <w:sz w:val="32"/>
          <w:szCs w:val="32"/>
        </w:rPr>
        <w:t>辆。</w:t>
      </w:r>
    </w:p>
    <w:p>
      <w:pPr>
        <w:pageBreakBefore w:val="0"/>
        <w:kinsoku/>
        <w:wordWrap/>
        <w:overflowPunct/>
        <w:topLinePunct w:val="0"/>
        <w:bidi w:val="0"/>
        <w:spacing w:line="576" w:lineRule="exact"/>
        <w:ind w:left="0" w:right="0" w:firstLine="643"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公务用车运行维护费支出</w:t>
      </w:r>
      <w:r>
        <w:rPr>
          <w:rFonts w:hint="eastAsia" w:eastAsia="仿宋_GB2312" w:cs="Times New Roman"/>
          <w:color w:val="000000"/>
          <w:sz w:val="32"/>
          <w:szCs w:val="32"/>
          <w:lang w:val="en-US" w:eastAsia="zh-CN"/>
        </w:rPr>
        <w:t>16.4</w:t>
      </w:r>
      <w:r>
        <w:rPr>
          <w:rFonts w:hint="default" w:ascii="Times New Roman" w:hAnsi="Times New Roman" w:eastAsia="仿宋_GB2312" w:cs="Times New Roman"/>
          <w:color w:val="000000"/>
          <w:sz w:val="32"/>
          <w:szCs w:val="32"/>
        </w:rPr>
        <w:t>万元。主要用于</w:t>
      </w:r>
      <w:r>
        <w:rPr>
          <w:rFonts w:hint="eastAsia" w:ascii="仿宋_GB2312" w:hAnsi="仿宋_GB2312" w:eastAsia="仿宋_GB2312" w:cs="仿宋_GB2312"/>
          <w:sz w:val="32"/>
          <w:szCs w:val="32"/>
        </w:rPr>
        <w:t>州直</w:t>
      </w:r>
      <w:r>
        <w:rPr>
          <w:rFonts w:hint="eastAsia" w:ascii="仿宋_GB2312" w:hAnsi="仿宋_GB2312" w:eastAsia="仿宋_GB2312" w:cs="仿宋_GB2312"/>
          <w:sz w:val="32"/>
          <w:szCs w:val="32"/>
          <w:lang w:val="en-US" w:eastAsia="zh-CN"/>
        </w:rPr>
        <w:t>部门（单位）</w:t>
      </w:r>
      <w:r>
        <w:rPr>
          <w:rFonts w:hint="eastAsia" w:ascii="仿宋_GB2312" w:hAnsi="仿宋_GB2312" w:eastAsia="仿宋_GB2312" w:cs="仿宋_GB2312"/>
          <w:sz w:val="32"/>
          <w:szCs w:val="32"/>
        </w:rPr>
        <w:t>机关党建、驻村帮扶、脱贫攻坚等工作的指导、检查、考核等工作</w:t>
      </w:r>
      <w:r>
        <w:rPr>
          <w:rFonts w:hint="default" w:ascii="Times New Roman" w:hAnsi="Times New Roman" w:eastAsia="仿宋_GB2312" w:cs="Times New Roman"/>
          <w:color w:val="000000"/>
          <w:sz w:val="32"/>
          <w:szCs w:val="32"/>
        </w:rPr>
        <w:t>所需的公务用车燃料费、维修费、过路过桥费、保险费等支出。</w:t>
      </w:r>
    </w:p>
    <w:p>
      <w:pPr>
        <w:pageBreakBefore w:val="0"/>
        <w:kinsoku/>
        <w:wordWrap/>
        <w:overflowPunct/>
        <w:topLinePunct w:val="0"/>
        <w:bidi w:val="0"/>
        <w:spacing w:line="576" w:lineRule="exact"/>
        <w:ind w:left="0" w:right="0" w:firstLine="643"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3.公务接待费支出</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Style w:val="23"/>
          <w:rFonts w:hint="default" w:ascii="Times New Roman" w:hAnsi="Times New Roman" w:eastAsia="仿宋" w:cs="Times New Roman"/>
          <w:b w:val="0"/>
          <w:bCs/>
          <w:color w:val="000000"/>
          <w:sz w:val="32"/>
          <w:szCs w:val="32"/>
        </w:rPr>
        <w:t>完成预算</w:t>
      </w:r>
      <w:r>
        <w:rPr>
          <w:rStyle w:val="23"/>
          <w:rFonts w:hint="eastAsia" w:eastAsia="仿宋" w:cs="Times New Roman"/>
          <w:b w:val="0"/>
          <w:bCs/>
          <w:color w:val="000000"/>
          <w:sz w:val="32"/>
          <w:szCs w:val="32"/>
          <w:lang w:val="en-US" w:eastAsia="zh-CN"/>
        </w:rPr>
        <w:t>0</w:t>
      </w:r>
      <w:r>
        <w:rPr>
          <w:rStyle w:val="23"/>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公务接待费支出决算比2019年减少</w:t>
      </w:r>
      <w:r>
        <w:rPr>
          <w:rFonts w:hint="eastAsia" w:eastAsia="仿宋_GB2312" w:cs="Times New Roman"/>
          <w:color w:val="000000"/>
          <w:sz w:val="32"/>
          <w:szCs w:val="32"/>
          <w:lang w:val="en-US" w:eastAsia="zh-CN"/>
        </w:rPr>
        <w:t>0.2</w:t>
      </w:r>
      <w:r>
        <w:rPr>
          <w:rFonts w:hint="default" w:ascii="Times New Roman" w:hAnsi="Times New Roman" w:eastAsia="仿宋_GB2312" w:cs="Times New Roman"/>
          <w:color w:val="000000"/>
          <w:sz w:val="32"/>
          <w:szCs w:val="32"/>
        </w:rPr>
        <w:t>万元，下降</w:t>
      </w:r>
      <w:r>
        <w:rPr>
          <w:rFonts w:hint="eastAsia" w:eastAsia="仿宋_GB2312" w:cs="Times New Roman"/>
          <w:color w:val="000000"/>
          <w:sz w:val="32"/>
          <w:szCs w:val="32"/>
          <w:lang w:val="en-US" w:eastAsia="zh-CN"/>
        </w:rPr>
        <w:t>100</w:t>
      </w:r>
      <w:r>
        <w:rPr>
          <w:rFonts w:hint="default" w:ascii="Times New Roman" w:hAnsi="Times New Roman" w:eastAsia="仿宋_GB2312" w:cs="Times New Roman"/>
          <w:color w:val="000000"/>
          <w:sz w:val="32"/>
          <w:szCs w:val="32"/>
        </w:rPr>
        <w:t>%。主要原因是</w:t>
      </w:r>
      <w:r>
        <w:rPr>
          <w:rFonts w:hint="eastAsia" w:eastAsia="仿宋_GB2312" w:cs="Times New Roman"/>
          <w:color w:val="000000"/>
          <w:sz w:val="32"/>
          <w:szCs w:val="32"/>
          <w:lang w:val="en-US" w:eastAsia="zh-CN"/>
        </w:rPr>
        <w:t>我委</w:t>
      </w:r>
      <w:r>
        <w:rPr>
          <w:rFonts w:hint="eastAsia" w:ascii="仿宋_GB2312" w:hAnsi="仿宋_GB2312" w:eastAsia="仿宋_GB2312" w:cs="仿宋_GB2312"/>
          <w:sz w:val="32"/>
          <w:szCs w:val="32"/>
        </w:rPr>
        <w:t>严格执行中央“八项规定”精神，压缩公务接待次数，</w:t>
      </w:r>
      <w:r>
        <w:rPr>
          <w:rFonts w:hint="eastAsia" w:ascii="仿宋_GB2312" w:hAnsi="仿宋_GB2312" w:eastAsia="仿宋_GB2312" w:cs="仿宋_GB2312"/>
          <w:sz w:val="32"/>
          <w:szCs w:val="32"/>
          <w:lang w:val="en-US" w:eastAsia="zh-CN"/>
        </w:rPr>
        <w:t>未开展公务接待</w:t>
      </w:r>
      <w:r>
        <w:rPr>
          <w:rFonts w:hint="default" w:ascii="Times New Roman" w:hAnsi="Times New Roman" w:eastAsia="仿宋_GB2312" w:cs="Times New Roman"/>
          <w:color w:val="000000"/>
          <w:sz w:val="32"/>
          <w:szCs w:val="32"/>
        </w:rPr>
        <w:t>。其中：</w:t>
      </w:r>
    </w:p>
    <w:p>
      <w:pPr>
        <w:pageBreakBefore w:val="0"/>
        <w:kinsoku/>
        <w:wordWrap/>
        <w:overflowPunct/>
        <w:topLinePunct w:val="0"/>
        <w:bidi w:val="0"/>
        <w:spacing w:line="576" w:lineRule="exact"/>
        <w:ind w:left="0" w:right="0" w:firstLine="643"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 w:cs="Times New Roman"/>
          <w:b/>
          <w:color w:val="000000"/>
          <w:sz w:val="32"/>
          <w:szCs w:val="32"/>
        </w:rPr>
        <w:t>国内公务接待支出</w:t>
      </w:r>
      <w:r>
        <w:rPr>
          <w:rFonts w:hint="eastAsia" w:eastAsia="仿宋" w:cs="Times New Roman"/>
          <w:color w:val="000000"/>
          <w:sz w:val="32"/>
          <w:szCs w:val="32"/>
          <w:lang w:val="en-US" w:eastAsia="zh-CN"/>
        </w:rPr>
        <w:t>0</w:t>
      </w:r>
      <w:r>
        <w:rPr>
          <w:rFonts w:hint="default" w:ascii="Times New Roman" w:hAnsi="Times New Roman" w:eastAsia="仿宋_GB2312" w:cs="Times New Roman"/>
          <w:color w:val="000000"/>
          <w:sz w:val="32"/>
          <w:szCs w:val="32"/>
        </w:rPr>
        <w:t>万元。国内公务接待</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批次，</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人次，共计支出</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kinsoku/>
        <w:wordWrap/>
        <w:overflowPunct/>
        <w:topLinePunct w:val="0"/>
        <w:bidi w:val="0"/>
        <w:spacing w:line="576" w:lineRule="exact"/>
        <w:ind w:left="0" w:right="0" w:firstLine="643"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 w:cs="Times New Roman"/>
          <w:b/>
          <w:color w:val="000000"/>
          <w:sz w:val="32"/>
          <w:szCs w:val="32"/>
        </w:rPr>
        <w:t>外事接待支出</w:t>
      </w:r>
      <w:r>
        <w:rPr>
          <w:rFonts w:hint="eastAsia" w:eastAsia="仿宋" w:cs="Times New Roman"/>
          <w:color w:val="000000"/>
          <w:sz w:val="32"/>
          <w:szCs w:val="32"/>
          <w:lang w:val="en-US" w:eastAsia="zh-CN"/>
        </w:rPr>
        <w:t>0</w:t>
      </w:r>
      <w:r>
        <w:rPr>
          <w:rFonts w:hint="default" w:ascii="Times New Roman" w:hAnsi="Times New Roman" w:eastAsia="仿宋_GB2312" w:cs="Times New Roman"/>
          <w:color w:val="000000"/>
          <w:sz w:val="32"/>
          <w:szCs w:val="32"/>
        </w:rPr>
        <w:t>万元，外事接待</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批次，</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人，共计支出</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Fonts w:hint="eastAsia" w:eastAsia="仿宋_GB2312" w:cs="Times New Roman"/>
          <w:color w:val="000000"/>
          <w:sz w:val="32"/>
          <w:szCs w:val="32"/>
          <w:lang w:eastAsia="zh-CN"/>
        </w:rPr>
        <w:t>。</w:t>
      </w:r>
    </w:p>
    <w:p>
      <w:pPr>
        <w:pageBreakBefore w:val="0"/>
        <w:kinsoku/>
        <w:wordWrap/>
        <w:overflowPunct/>
        <w:topLinePunct w:val="0"/>
        <w:bidi w:val="0"/>
        <w:spacing w:line="576" w:lineRule="exact"/>
        <w:ind w:left="0" w:right="0" w:firstLine="640" w:firstLineChars="200"/>
        <w:jc w:val="both"/>
        <w:textAlignment w:val="auto"/>
        <w:outlineLvl w:val="1"/>
        <w:rPr>
          <w:rStyle w:val="26"/>
          <w:rFonts w:hint="default" w:ascii="Times New Roman" w:hAnsi="Times New Roman" w:eastAsia="黑体" w:cs="Times New Roman"/>
        </w:rPr>
      </w:pPr>
      <w:bookmarkStart w:id="77" w:name="_Toc79163622"/>
      <w:bookmarkStart w:id="78" w:name="_Toc15377218"/>
      <w:bookmarkStart w:id="79" w:name="_Toc15396610"/>
      <w:bookmarkStart w:id="80" w:name="_Toc13860"/>
      <w:r>
        <w:rPr>
          <w:rFonts w:hint="default" w:ascii="Times New Roman" w:hAnsi="Times New Roman" w:eastAsia="黑体" w:cs="Times New Roman"/>
          <w:color w:val="000000"/>
          <w:sz w:val="32"/>
          <w:szCs w:val="32"/>
        </w:rPr>
        <w:t>八、</w:t>
      </w:r>
      <w:r>
        <w:rPr>
          <w:rStyle w:val="26"/>
          <w:rFonts w:hint="default" w:ascii="Times New Roman" w:hAnsi="Times New Roman" w:eastAsia="黑体" w:cs="Times New Roman"/>
          <w:b w:val="0"/>
        </w:rPr>
        <w:t>政府性基金预算支出决算情况说明</w:t>
      </w:r>
      <w:bookmarkEnd w:id="77"/>
      <w:bookmarkEnd w:id="78"/>
      <w:bookmarkEnd w:id="79"/>
      <w:bookmarkEnd w:id="80"/>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2020年政府性基金预算拨款支出</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numPr>
          <w:ilvl w:val="0"/>
          <w:numId w:val="1"/>
        </w:numPr>
        <w:kinsoku/>
        <w:wordWrap/>
        <w:overflowPunct/>
        <w:topLinePunct w:val="0"/>
        <w:bidi w:val="0"/>
        <w:spacing w:line="576" w:lineRule="exact"/>
        <w:ind w:left="0" w:right="0" w:firstLine="640" w:firstLineChars="200"/>
        <w:jc w:val="both"/>
        <w:textAlignment w:val="auto"/>
        <w:outlineLvl w:val="1"/>
        <w:rPr>
          <w:rStyle w:val="26"/>
          <w:rFonts w:hint="default" w:ascii="Times New Roman" w:hAnsi="Times New Roman" w:eastAsia="黑体" w:cs="Times New Roman"/>
          <w:b w:val="0"/>
        </w:rPr>
      </w:pPr>
      <w:bookmarkStart w:id="81" w:name="_Toc79163623"/>
      <w:bookmarkStart w:id="82" w:name="_Toc15377219"/>
      <w:bookmarkStart w:id="83" w:name="_Toc15396611"/>
      <w:bookmarkStart w:id="84" w:name="_Toc13098"/>
      <w:r>
        <w:rPr>
          <w:rStyle w:val="26"/>
          <w:rFonts w:hint="default" w:ascii="Times New Roman" w:hAnsi="Times New Roman" w:eastAsia="黑体" w:cs="Times New Roman"/>
          <w:b w:val="0"/>
        </w:rPr>
        <w:t>国有资本经营预算支出决算情况说明</w:t>
      </w:r>
      <w:bookmarkEnd w:id="81"/>
      <w:bookmarkEnd w:id="82"/>
      <w:bookmarkEnd w:id="83"/>
      <w:bookmarkEnd w:id="84"/>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方正小标宋简体" w:cs="Times New Roman"/>
          <w:sz w:val="44"/>
          <w:szCs w:val="44"/>
        </w:rPr>
      </w:pPr>
      <w:r>
        <w:rPr>
          <w:rFonts w:hint="default" w:ascii="Times New Roman" w:hAnsi="Times New Roman" w:eastAsia="仿宋_GB2312" w:cs="Times New Roman"/>
          <w:color w:val="000000"/>
          <w:sz w:val="32"/>
          <w:szCs w:val="32"/>
        </w:rPr>
        <w:t>2020年国有资本经营预算拨款支出</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kinsoku/>
        <w:wordWrap/>
        <w:overflowPunct/>
        <w:topLinePunct w:val="0"/>
        <w:bidi w:val="0"/>
        <w:spacing w:line="576" w:lineRule="exact"/>
        <w:ind w:left="0" w:right="0" w:firstLine="640" w:firstLineChars="200"/>
        <w:jc w:val="both"/>
        <w:textAlignment w:val="auto"/>
        <w:outlineLvl w:val="1"/>
        <w:rPr>
          <w:rStyle w:val="26"/>
          <w:rFonts w:hint="default" w:ascii="Times New Roman" w:hAnsi="Times New Roman" w:eastAsia="黑体" w:cs="Times New Roman"/>
        </w:rPr>
      </w:pPr>
      <w:bookmarkStart w:id="85" w:name="_Toc15377221"/>
      <w:bookmarkStart w:id="86" w:name="_Toc20299"/>
      <w:bookmarkStart w:id="87" w:name="_Toc79163624"/>
      <w:bookmarkStart w:id="88" w:name="_Toc15396612"/>
      <w:r>
        <w:rPr>
          <w:rFonts w:hint="default" w:ascii="Times New Roman" w:hAnsi="Times New Roman" w:eastAsia="黑体" w:cs="Times New Roman"/>
          <w:color w:val="000000"/>
          <w:sz w:val="32"/>
          <w:szCs w:val="32"/>
        </w:rPr>
        <w:t>十</w:t>
      </w:r>
      <w:r>
        <w:rPr>
          <w:rStyle w:val="26"/>
          <w:rFonts w:hint="default" w:ascii="Times New Roman" w:hAnsi="Times New Roman" w:eastAsia="黑体" w:cs="Times New Roman"/>
        </w:rPr>
        <w:t>、</w:t>
      </w:r>
      <w:r>
        <w:rPr>
          <w:rStyle w:val="26"/>
          <w:rFonts w:hint="default" w:ascii="Times New Roman" w:hAnsi="Times New Roman" w:eastAsia="黑体" w:cs="Times New Roman"/>
          <w:b w:val="0"/>
        </w:rPr>
        <w:t>其他重要事项的情况说明</w:t>
      </w:r>
      <w:bookmarkEnd w:id="85"/>
      <w:bookmarkEnd w:id="86"/>
      <w:bookmarkEnd w:id="87"/>
      <w:bookmarkEnd w:id="88"/>
    </w:p>
    <w:p>
      <w:pPr>
        <w:pageBreakBefore w:val="0"/>
        <w:kinsoku/>
        <w:wordWrap/>
        <w:overflowPunct/>
        <w:topLinePunct w:val="0"/>
        <w:bidi w:val="0"/>
        <w:spacing w:line="576" w:lineRule="exact"/>
        <w:ind w:left="0" w:right="0" w:firstLine="643" w:firstLineChars="200"/>
        <w:jc w:val="both"/>
        <w:textAlignment w:val="auto"/>
        <w:outlineLvl w:val="2"/>
        <w:rPr>
          <w:rFonts w:hint="eastAsia" w:ascii="楷体_GB2312" w:hAnsi="楷体_GB2312" w:eastAsia="楷体_GB2312" w:cs="楷体_GB2312"/>
          <w:b/>
          <w:bCs w:val="0"/>
          <w:color w:val="000000"/>
          <w:sz w:val="32"/>
          <w:szCs w:val="32"/>
        </w:rPr>
      </w:pPr>
      <w:bookmarkStart w:id="89" w:name="_Toc384"/>
      <w:bookmarkStart w:id="90" w:name="_Toc15377222"/>
      <w:bookmarkStart w:id="91" w:name="_Toc79163625"/>
      <w:r>
        <w:rPr>
          <w:rFonts w:hint="eastAsia" w:ascii="楷体_GB2312" w:hAnsi="楷体_GB2312" w:eastAsia="楷体_GB2312" w:cs="楷体_GB2312"/>
          <w:b/>
          <w:bCs w:val="0"/>
          <w:color w:val="000000"/>
          <w:sz w:val="32"/>
          <w:szCs w:val="32"/>
        </w:rPr>
        <w:t>（一）机关运行经费支出情况</w:t>
      </w:r>
      <w:bookmarkEnd w:id="89"/>
      <w:bookmarkEnd w:id="90"/>
      <w:bookmarkEnd w:id="91"/>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2020年，</w:t>
      </w:r>
      <w:r>
        <w:rPr>
          <w:rFonts w:hint="eastAsia" w:ascii="仿宋_GB2312" w:hAnsi="仿宋_GB2312" w:eastAsia="仿宋_GB2312" w:cs="仿宋_GB2312"/>
          <w:sz w:val="32"/>
          <w:szCs w:val="32"/>
        </w:rPr>
        <w:t>中共四川省阿坝州直属机关工作委员会（本级）</w:t>
      </w:r>
      <w:r>
        <w:rPr>
          <w:rFonts w:hint="default" w:ascii="Times New Roman" w:hAnsi="Times New Roman" w:eastAsia="仿宋_GB2312" w:cs="Times New Roman"/>
          <w:color w:val="000000"/>
          <w:sz w:val="32"/>
          <w:szCs w:val="32"/>
        </w:rPr>
        <w:t>机关运行经费支出</w:t>
      </w:r>
      <w:r>
        <w:rPr>
          <w:rFonts w:hint="eastAsia" w:eastAsia="仿宋_GB2312" w:cs="Times New Roman"/>
          <w:color w:val="000000"/>
          <w:sz w:val="32"/>
          <w:szCs w:val="32"/>
          <w:lang w:val="en-US" w:eastAsia="zh-CN"/>
        </w:rPr>
        <w:t>117.8238</w:t>
      </w:r>
      <w:r>
        <w:rPr>
          <w:rFonts w:hint="default" w:ascii="Times New Roman" w:hAnsi="Times New Roman" w:eastAsia="仿宋_GB2312" w:cs="Times New Roman"/>
          <w:color w:val="000000"/>
          <w:sz w:val="32"/>
          <w:szCs w:val="32"/>
        </w:rPr>
        <w:t>万元，比2019年增加</w:t>
      </w:r>
      <w:r>
        <w:rPr>
          <w:rFonts w:hint="eastAsia" w:eastAsia="仿宋_GB2312" w:cs="Times New Roman"/>
          <w:color w:val="000000"/>
          <w:sz w:val="32"/>
          <w:szCs w:val="32"/>
          <w:lang w:val="en-US" w:eastAsia="zh-CN"/>
        </w:rPr>
        <w:t>30.49</w:t>
      </w:r>
      <w:r>
        <w:rPr>
          <w:rFonts w:hint="default" w:ascii="Times New Roman" w:hAnsi="Times New Roman" w:eastAsia="仿宋_GB2312" w:cs="Times New Roman"/>
          <w:color w:val="000000"/>
          <w:sz w:val="32"/>
          <w:szCs w:val="32"/>
        </w:rPr>
        <w:t>万元，增长</w:t>
      </w:r>
      <w:r>
        <w:rPr>
          <w:rFonts w:hint="eastAsia" w:eastAsia="仿宋_GB2312" w:cs="Times New Roman"/>
          <w:color w:val="000000"/>
          <w:sz w:val="32"/>
          <w:szCs w:val="32"/>
          <w:lang w:val="en-US" w:eastAsia="zh-CN"/>
        </w:rPr>
        <w:t>34.91</w:t>
      </w:r>
      <w:r>
        <w:rPr>
          <w:rFonts w:hint="default" w:ascii="Times New Roman" w:hAnsi="Times New Roman" w:eastAsia="仿宋_GB2312" w:cs="Times New Roman"/>
          <w:color w:val="000000"/>
          <w:sz w:val="32"/>
          <w:szCs w:val="32"/>
        </w:rPr>
        <w:t>%。主要原因是</w:t>
      </w:r>
      <w:r>
        <w:rPr>
          <w:rFonts w:hint="eastAsia" w:eastAsia="仿宋_GB2312" w:cs="Times New Roman"/>
          <w:color w:val="000000"/>
          <w:sz w:val="32"/>
          <w:szCs w:val="32"/>
          <w:lang w:val="en-US" w:eastAsia="zh-CN"/>
        </w:rPr>
        <w:t>2020年将纪检工作经费、办公用品购置费以及党员干部教育培训经费等行政运转类项目列为了行政运转类科目（2013101），导致经费较2019年增加。</w:t>
      </w:r>
    </w:p>
    <w:p>
      <w:pPr>
        <w:pageBreakBefore w:val="0"/>
        <w:kinsoku/>
        <w:wordWrap/>
        <w:overflowPunct/>
        <w:topLinePunct w:val="0"/>
        <w:bidi w:val="0"/>
        <w:spacing w:line="576" w:lineRule="exact"/>
        <w:ind w:left="0" w:right="0" w:firstLine="643" w:firstLineChars="200"/>
        <w:jc w:val="both"/>
        <w:textAlignment w:val="auto"/>
        <w:outlineLvl w:val="2"/>
        <w:rPr>
          <w:rFonts w:hint="default" w:ascii="楷体_GB2312" w:hAnsi="楷体_GB2312" w:eastAsia="楷体_GB2312" w:cs="楷体_GB2312"/>
          <w:b/>
          <w:bCs w:val="0"/>
          <w:color w:val="000000"/>
          <w:sz w:val="32"/>
          <w:szCs w:val="32"/>
        </w:rPr>
      </w:pPr>
      <w:bookmarkStart w:id="92" w:name="_Toc79163626"/>
      <w:bookmarkStart w:id="93" w:name="_Toc15377223"/>
      <w:bookmarkStart w:id="94" w:name="_Toc22149"/>
      <w:r>
        <w:rPr>
          <w:rFonts w:hint="default" w:ascii="楷体_GB2312" w:hAnsi="楷体_GB2312" w:eastAsia="楷体_GB2312" w:cs="楷体_GB2312"/>
          <w:b/>
          <w:bCs w:val="0"/>
          <w:color w:val="000000"/>
          <w:sz w:val="32"/>
          <w:szCs w:val="32"/>
        </w:rPr>
        <w:t>（二）政府采购支出情况</w:t>
      </w:r>
      <w:bookmarkEnd w:id="92"/>
      <w:bookmarkEnd w:id="93"/>
      <w:bookmarkEnd w:id="94"/>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w:t>
      </w:r>
      <w:r>
        <w:rPr>
          <w:rFonts w:hint="eastAsia" w:eastAsia="仿宋_GB2312" w:cs="Times New Roman"/>
          <w:color w:val="000000"/>
          <w:sz w:val="32"/>
          <w:szCs w:val="32"/>
          <w:lang w:val="en-US" w:eastAsia="zh-CN"/>
        </w:rPr>
        <w:t>州直机关工委</w:t>
      </w:r>
      <w:r>
        <w:rPr>
          <w:rFonts w:hint="default" w:ascii="Times New Roman" w:hAnsi="Times New Roman" w:eastAsia="仿宋_GB2312" w:cs="Times New Roman"/>
          <w:color w:val="000000"/>
          <w:sz w:val="32"/>
          <w:szCs w:val="32"/>
        </w:rPr>
        <w:t>政府采购支出总额</w:t>
      </w:r>
      <w:r>
        <w:rPr>
          <w:rFonts w:hint="eastAsia" w:eastAsia="仿宋_GB2312" w:cs="Times New Roman"/>
          <w:color w:val="000000"/>
          <w:sz w:val="32"/>
          <w:szCs w:val="32"/>
          <w:lang w:val="en-US" w:eastAsia="zh-CN"/>
        </w:rPr>
        <w:t>4.34</w:t>
      </w:r>
      <w:r>
        <w:rPr>
          <w:rFonts w:hint="default" w:ascii="Times New Roman" w:hAnsi="Times New Roman" w:eastAsia="仿宋_GB2312" w:cs="Times New Roman"/>
          <w:color w:val="000000"/>
          <w:sz w:val="32"/>
          <w:szCs w:val="32"/>
        </w:rPr>
        <w:t>万元，其中：政府采购货物支出</w:t>
      </w:r>
      <w:r>
        <w:rPr>
          <w:rFonts w:hint="eastAsia" w:eastAsia="仿宋_GB2312" w:cs="Times New Roman"/>
          <w:color w:val="000000"/>
          <w:sz w:val="32"/>
          <w:szCs w:val="32"/>
          <w:lang w:val="en-US" w:eastAsia="zh-CN"/>
        </w:rPr>
        <w:t>4.34</w:t>
      </w:r>
      <w:r>
        <w:rPr>
          <w:rFonts w:hint="default" w:ascii="Times New Roman" w:hAnsi="Times New Roman" w:eastAsia="仿宋_GB2312" w:cs="Times New Roman"/>
          <w:color w:val="000000"/>
          <w:sz w:val="32"/>
          <w:szCs w:val="32"/>
        </w:rPr>
        <w:t>万元、政府采购工程支出</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万元、政府采购服务支出</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万元。主要用于</w:t>
      </w:r>
      <w:r>
        <w:rPr>
          <w:rFonts w:hint="eastAsia" w:eastAsia="仿宋_GB2312" w:cs="Times New Roman"/>
          <w:color w:val="000000"/>
          <w:sz w:val="32"/>
          <w:szCs w:val="32"/>
          <w:lang w:val="en-US" w:eastAsia="zh-CN"/>
        </w:rPr>
        <w:t>采购台式电脑等办公设备</w:t>
      </w:r>
      <w:r>
        <w:rPr>
          <w:rFonts w:hint="default" w:ascii="Times New Roman" w:hAnsi="Times New Roman" w:eastAsia="仿宋_GB2312" w:cs="Times New Roman"/>
          <w:color w:val="000000"/>
          <w:sz w:val="32"/>
          <w:szCs w:val="32"/>
        </w:rPr>
        <w:t>。授予中小企业合同金额</w:t>
      </w:r>
      <w:r>
        <w:rPr>
          <w:rFonts w:hint="eastAsia" w:eastAsia="仿宋_GB2312" w:cs="Times New Roman"/>
          <w:color w:val="000000"/>
          <w:sz w:val="32"/>
          <w:szCs w:val="32"/>
          <w:lang w:val="en-US" w:eastAsia="zh-CN"/>
        </w:rPr>
        <w:t>4.34</w:t>
      </w:r>
      <w:r>
        <w:rPr>
          <w:rFonts w:hint="default" w:ascii="Times New Roman" w:hAnsi="Times New Roman" w:eastAsia="仿宋_GB2312" w:cs="Times New Roman"/>
          <w:color w:val="000000"/>
          <w:sz w:val="32"/>
          <w:szCs w:val="32"/>
        </w:rPr>
        <w:t>万元，占政府采购支出总额的</w:t>
      </w:r>
      <w:r>
        <w:rPr>
          <w:rFonts w:hint="eastAsia" w:eastAsia="仿宋_GB2312" w:cs="Times New Roman"/>
          <w:color w:val="000000"/>
          <w:sz w:val="32"/>
          <w:szCs w:val="32"/>
          <w:lang w:val="en-US" w:eastAsia="zh-CN"/>
        </w:rPr>
        <w:t>100</w:t>
      </w:r>
      <w:r>
        <w:rPr>
          <w:rFonts w:hint="default" w:ascii="Times New Roman" w:hAnsi="Times New Roman" w:eastAsia="仿宋_GB2312" w:cs="Times New Roman"/>
          <w:color w:val="000000"/>
          <w:sz w:val="32"/>
          <w:szCs w:val="32"/>
        </w:rPr>
        <w:t>%，其中：授予小微企业合同金额</w:t>
      </w:r>
      <w:r>
        <w:rPr>
          <w:rFonts w:hint="eastAsia" w:eastAsia="仿宋_GB2312" w:cs="Times New Roman"/>
          <w:color w:val="000000"/>
          <w:sz w:val="32"/>
          <w:szCs w:val="32"/>
          <w:lang w:val="en-US" w:eastAsia="zh-CN"/>
        </w:rPr>
        <w:t>4.34</w:t>
      </w:r>
      <w:r>
        <w:rPr>
          <w:rFonts w:hint="default" w:ascii="Times New Roman" w:hAnsi="Times New Roman" w:eastAsia="仿宋_GB2312" w:cs="Times New Roman"/>
          <w:color w:val="000000"/>
          <w:sz w:val="32"/>
          <w:szCs w:val="32"/>
        </w:rPr>
        <w:t>万元，占政府采购支出总额的</w:t>
      </w:r>
      <w:r>
        <w:rPr>
          <w:rFonts w:hint="eastAsia" w:eastAsia="仿宋_GB2312" w:cs="Times New Roman"/>
          <w:color w:val="000000"/>
          <w:sz w:val="32"/>
          <w:szCs w:val="32"/>
          <w:lang w:val="en-US" w:eastAsia="zh-CN"/>
        </w:rPr>
        <w:t>100</w:t>
      </w:r>
      <w:r>
        <w:rPr>
          <w:rFonts w:hint="default" w:ascii="Times New Roman" w:hAnsi="Times New Roman" w:eastAsia="仿宋_GB2312" w:cs="Times New Roman"/>
          <w:color w:val="000000"/>
          <w:sz w:val="32"/>
          <w:szCs w:val="32"/>
        </w:rPr>
        <w:t>%。</w:t>
      </w:r>
    </w:p>
    <w:p>
      <w:pPr>
        <w:pageBreakBefore w:val="0"/>
        <w:kinsoku/>
        <w:wordWrap/>
        <w:overflowPunct/>
        <w:topLinePunct w:val="0"/>
        <w:bidi w:val="0"/>
        <w:spacing w:line="576" w:lineRule="exact"/>
        <w:ind w:left="0" w:right="0" w:firstLine="643" w:firstLineChars="200"/>
        <w:jc w:val="both"/>
        <w:textAlignment w:val="auto"/>
        <w:outlineLvl w:val="2"/>
        <w:rPr>
          <w:rFonts w:hint="default" w:ascii="楷体_GB2312" w:hAnsi="楷体_GB2312" w:eastAsia="楷体_GB2312" w:cs="楷体_GB2312"/>
          <w:b/>
          <w:bCs w:val="0"/>
          <w:color w:val="000000"/>
          <w:sz w:val="32"/>
          <w:szCs w:val="32"/>
        </w:rPr>
      </w:pPr>
      <w:bookmarkStart w:id="95" w:name="_Toc22073"/>
      <w:bookmarkStart w:id="96" w:name="_Toc15377224"/>
      <w:bookmarkStart w:id="97" w:name="_Toc79163627"/>
      <w:r>
        <w:rPr>
          <w:rFonts w:hint="default" w:ascii="楷体_GB2312" w:hAnsi="楷体_GB2312" w:eastAsia="楷体_GB2312" w:cs="楷体_GB2312"/>
          <w:b/>
          <w:bCs w:val="0"/>
          <w:color w:val="000000"/>
          <w:sz w:val="32"/>
          <w:szCs w:val="32"/>
        </w:rPr>
        <w:t>（三）国有资产占有使用情况</w:t>
      </w:r>
      <w:bookmarkEnd w:id="95"/>
      <w:bookmarkEnd w:id="96"/>
      <w:bookmarkEnd w:id="97"/>
    </w:p>
    <w:p>
      <w:pPr>
        <w:pageBreakBefore w:val="0"/>
        <w:kinsoku/>
        <w:wordWrap/>
        <w:overflowPunct/>
        <w:topLinePunct w:val="0"/>
        <w:autoSpaceDE w:val="0"/>
        <w:autoSpaceDN w:val="0"/>
        <w:bidi w:val="0"/>
        <w:adjustRightInd w:val="0"/>
        <w:spacing w:line="576" w:lineRule="exact"/>
        <w:ind w:left="0" w:right="0" w:firstLine="640" w:firstLineChars="200"/>
        <w:jc w:val="both"/>
        <w:textAlignment w:val="auto"/>
        <w:rPr>
          <w:rFonts w:hint="default" w:ascii="Times New Roman" w:hAnsi="Times New Roman" w:eastAsia="仿宋" w:cs="Times New Roman"/>
          <w:b/>
          <w:color w:val="FF0000"/>
          <w:sz w:val="32"/>
          <w:szCs w:val="32"/>
        </w:rPr>
      </w:pPr>
      <w:r>
        <w:rPr>
          <w:rFonts w:hint="default" w:ascii="Times New Roman" w:hAnsi="Times New Roman" w:eastAsia="仿宋_GB2312" w:cs="Times New Roman"/>
          <w:color w:val="000000"/>
          <w:sz w:val="32"/>
          <w:szCs w:val="32"/>
        </w:rPr>
        <w:t>截至2020年12月31日，</w:t>
      </w:r>
      <w:r>
        <w:rPr>
          <w:rFonts w:hint="eastAsia" w:eastAsia="仿宋_GB2312" w:cs="Times New Roman"/>
          <w:color w:val="000000"/>
          <w:sz w:val="32"/>
          <w:szCs w:val="32"/>
          <w:lang w:val="en-US" w:eastAsia="zh-CN"/>
        </w:rPr>
        <w:t>州直机关工委</w:t>
      </w:r>
      <w:r>
        <w:rPr>
          <w:rFonts w:hint="default" w:ascii="Times New Roman" w:hAnsi="Times New Roman" w:eastAsia="仿宋_GB2312" w:cs="Times New Roman"/>
          <w:color w:val="000000"/>
          <w:sz w:val="32"/>
          <w:szCs w:val="32"/>
        </w:rPr>
        <w:t>共有车辆</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辆，其中：主要领导干部用车</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辆、机要通信用车</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辆、应急保障用车</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辆、其他用车</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w:t>
      </w:r>
      <w:r>
        <w:rPr>
          <w:rFonts w:hint="eastAsia" w:eastAsia="仿宋_GB2312" w:cs="Times New Roman"/>
          <w:color w:val="000000"/>
          <w:sz w:val="36"/>
          <w:szCs w:val="36"/>
          <w:lang w:eastAsia="zh-CN"/>
        </w:rPr>
        <w:t>。</w:t>
      </w:r>
      <w:r>
        <w:rPr>
          <w:rFonts w:hint="default" w:ascii="Times New Roman" w:hAnsi="Times New Roman" w:eastAsia="仿宋_GB2312" w:cs="Times New Roman"/>
          <w:color w:val="000000"/>
          <w:sz w:val="32"/>
          <w:szCs w:val="32"/>
        </w:rPr>
        <w:t>单价50万元以上通用设备</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台（套），单价100万元以上专用设备</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台（套）。</w:t>
      </w:r>
    </w:p>
    <w:p>
      <w:pPr>
        <w:pageBreakBefore w:val="0"/>
        <w:kinsoku/>
        <w:wordWrap/>
        <w:overflowPunct/>
        <w:topLinePunct w:val="0"/>
        <w:bidi w:val="0"/>
        <w:spacing w:line="576" w:lineRule="exact"/>
        <w:ind w:left="0" w:right="0" w:firstLine="643" w:firstLineChars="200"/>
        <w:jc w:val="both"/>
        <w:textAlignment w:val="auto"/>
        <w:outlineLvl w:val="2"/>
        <w:rPr>
          <w:rFonts w:hint="default" w:ascii="楷体_GB2312" w:hAnsi="楷体_GB2312" w:eastAsia="楷体_GB2312" w:cs="楷体_GB2312"/>
          <w:b/>
          <w:bCs w:val="0"/>
          <w:color w:val="000000"/>
          <w:sz w:val="32"/>
          <w:szCs w:val="32"/>
        </w:rPr>
      </w:pPr>
      <w:bookmarkStart w:id="98" w:name="_Toc21957"/>
      <w:bookmarkStart w:id="99" w:name="_Toc79163628"/>
      <w:r>
        <w:rPr>
          <w:rFonts w:hint="default" w:ascii="楷体_GB2312" w:hAnsi="楷体_GB2312" w:eastAsia="楷体_GB2312" w:cs="楷体_GB2312"/>
          <w:b/>
          <w:bCs w:val="0"/>
          <w:color w:val="000000"/>
          <w:sz w:val="32"/>
          <w:szCs w:val="32"/>
        </w:rPr>
        <w:t>（四）预算绩效管理情况。</w:t>
      </w:r>
      <w:bookmarkEnd w:id="98"/>
      <w:bookmarkEnd w:id="99"/>
    </w:p>
    <w:p>
      <w:pPr>
        <w:keepNext w:val="0"/>
        <w:keepLines w:val="0"/>
        <w:pageBreakBefore w:val="0"/>
        <w:widowControl w:val="0"/>
        <w:pBdr>
          <w:bottom w:val="single" w:color="FFFFFF" w:sz="4" w:space="2"/>
        </w:pBdr>
        <w:shd w:val="clear" w:color="auto" w:fill="FFFFFF"/>
        <w:tabs>
          <w:tab w:val="left" w:pos="1440"/>
        </w:tabs>
        <w:kinsoku/>
        <w:wordWrap/>
        <w:overflowPunct/>
        <w:topLinePunct w:val="0"/>
        <w:autoSpaceDE/>
        <w:autoSpaceDN/>
        <w:bidi w:val="0"/>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根据预算绩效管理要求，本单位在年初预算编制阶段，组织对</w:t>
      </w:r>
      <w:r>
        <w:rPr>
          <w:rFonts w:hint="default" w:ascii="Times New Roman" w:hAnsi="Times New Roman" w:eastAsia="仿宋_GB2312" w:cs="Times New Roman"/>
          <w:sz w:val="32"/>
          <w:szCs w:val="32"/>
          <w:lang w:val="en-US" w:eastAsia="zh-CN"/>
        </w:rPr>
        <w:t>办公设备购置、党建宣传教育培训、会议费、纪检工作经费、党建调研工作经费、州驻村帮扶工作经费6</w:t>
      </w:r>
      <w:r>
        <w:rPr>
          <w:rFonts w:hint="default" w:ascii="Times New Roman" w:hAnsi="Times New Roman" w:eastAsia="仿宋_GB2312" w:cs="Times New Roman"/>
          <w:sz w:val="32"/>
          <w:szCs w:val="32"/>
        </w:rPr>
        <w:t>个项目开展了预算事前绩效评估，对</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个项目编制了绩效目标，对</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个项目开展了绩效目标完成情况自评。</w:t>
      </w:r>
    </w:p>
    <w:p>
      <w:pPr>
        <w:keepNext w:val="0"/>
        <w:keepLines w:val="0"/>
        <w:pageBreakBefore w:val="0"/>
        <w:widowControl w:val="0"/>
        <w:kinsoku/>
        <w:wordWrap/>
        <w:overflowPunct/>
        <w:topLinePunct w:val="0"/>
        <w:autoSpaceDE/>
        <w:autoSpaceDN/>
        <w:bidi w:val="0"/>
        <w:adjustRightInd w:val="0"/>
        <w:snapToGrid w:val="0"/>
        <w:spacing w:line="576" w:lineRule="exact"/>
        <w:ind w:firstLine="645"/>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sz w:val="32"/>
          <w:szCs w:val="32"/>
        </w:rPr>
        <w:t>本部门按要求对2020年部门整体支出开展绩效自评，从评价情况来看</w:t>
      </w:r>
      <w:r>
        <w:rPr>
          <w:rFonts w:hint="eastAsia" w:eastAsia="仿宋_GB2312" w:cs="Times New Roman"/>
          <w:sz w:val="32"/>
          <w:szCs w:val="32"/>
          <w:lang w:eastAsia="zh-CN"/>
        </w:rPr>
        <w:t>，</w:t>
      </w:r>
      <w:r>
        <w:rPr>
          <w:rFonts w:hint="eastAsia" w:eastAsia="仿宋_GB2312" w:cs="Times New Roman"/>
          <w:sz w:val="32"/>
          <w:szCs w:val="32"/>
          <w:lang w:val="en-US" w:eastAsia="zh-CN"/>
        </w:rPr>
        <w:t>州直机关工委</w:t>
      </w:r>
      <w:r>
        <w:rPr>
          <w:rFonts w:hint="default" w:ascii="Times New Roman" w:hAnsi="Times New Roman" w:eastAsia="仿宋_GB2312" w:cs="Times New Roman"/>
          <w:color w:val="000000" w:themeColor="text1"/>
          <w:sz w:val="32"/>
          <w14:textFill>
            <w14:solidFill>
              <w14:schemeClr w14:val="tx1"/>
            </w14:solidFill>
          </w14:textFill>
        </w:rPr>
        <w:t>认真贯彻落实州委十一届七次八次九次全会精神，严格按照州委“两体系一建设”党建工作主题和机关党建工作决策部署，以党的政治建设为统领，全面推进机关党的建设工作，州直机关党建工作取得新进展新成效。</w:t>
      </w:r>
    </w:p>
    <w:p>
      <w:pPr>
        <w:pageBreakBefore w:val="0"/>
        <w:kinsoku/>
        <w:wordWrap/>
        <w:overflowPunct/>
        <w:topLinePunct w:val="0"/>
        <w:bidi w:val="0"/>
        <w:spacing w:line="576" w:lineRule="exact"/>
        <w:ind w:left="0" w:right="0"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本部门在2020年度部门决算中反映</w:t>
      </w:r>
      <w:r>
        <w:rPr>
          <w:rFonts w:hint="default" w:ascii="Times New Roman" w:hAnsi="Times New Roman" w:eastAsia="仿宋_GB2312" w:cs="Times New Roman"/>
          <w:sz w:val="32"/>
          <w:szCs w:val="32"/>
          <w:lang w:val="en-US" w:eastAsia="zh-CN"/>
        </w:rPr>
        <w:t>办公设备购置、党建宣传教育培训、会议费、纪检工作经费、党建调研工作经费、州驻村帮扶工作经费6</w:t>
      </w:r>
      <w:r>
        <w:rPr>
          <w:rFonts w:hint="default" w:ascii="Times New Roman" w:hAnsi="Times New Roman" w:eastAsia="仿宋_GB2312" w:cs="Times New Roman"/>
          <w:sz w:val="32"/>
          <w:szCs w:val="32"/>
        </w:rPr>
        <w:t>个项目绩效目标实际完成情况。</w:t>
      </w:r>
    </w:p>
    <w:p>
      <w:pPr>
        <w:pageBreakBefore w:val="0"/>
        <w:kinsoku/>
        <w:wordWrap/>
        <w:overflowPunct/>
        <w:topLinePunct w:val="0"/>
        <w:bidi w:val="0"/>
        <w:spacing w:line="576" w:lineRule="exact"/>
        <w:ind w:left="0" w:right="0" w:firstLine="643" w:firstLineChars="200"/>
        <w:jc w:val="both"/>
        <w:textAlignment w:val="auto"/>
        <w:outlineLvl w:val="2"/>
        <w:rPr>
          <w:rFonts w:hint="default" w:ascii="楷体_GB2312" w:hAnsi="楷体_GB2312" w:eastAsia="楷体_GB2312" w:cs="楷体_GB2312"/>
          <w:b/>
          <w:bCs w:val="0"/>
          <w:color w:val="000000"/>
          <w:sz w:val="32"/>
          <w:szCs w:val="32"/>
        </w:rPr>
      </w:pPr>
      <w:bookmarkStart w:id="100" w:name="_Toc10835"/>
      <w:r>
        <w:rPr>
          <w:rFonts w:hint="default" w:ascii="楷体_GB2312" w:hAnsi="楷体_GB2312" w:eastAsia="楷体_GB2312" w:cs="楷体_GB2312"/>
          <w:b/>
          <w:bCs w:val="0"/>
          <w:color w:val="000000"/>
          <w:sz w:val="32"/>
          <w:szCs w:val="32"/>
        </w:rPr>
        <w:t>1.项目绩效目标完成情况。</w:t>
      </w:r>
      <w:bookmarkEnd w:id="100"/>
    </w:p>
    <w:p>
      <w:pPr>
        <w:keepNext w:val="0"/>
        <w:keepLines w:val="0"/>
        <w:pageBreakBefore w:val="0"/>
        <w:widowControl w:val="0"/>
        <w:pBdr>
          <w:bottom w:val="single" w:color="FFFFFF" w:sz="4" w:space="2"/>
        </w:pBdr>
        <w:shd w:val="clear" w:color="auto" w:fill="FFFFFF"/>
        <w:tabs>
          <w:tab w:val="left" w:pos="1440"/>
        </w:tabs>
        <w:kinsoku/>
        <w:wordWrap/>
        <w:overflowPunct/>
        <w:topLinePunct w:val="0"/>
        <w:autoSpaceDE/>
        <w:autoSpaceDN/>
        <w:bidi w:val="0"/>
        <w:snapToGrid w:val="0"/>
        <w:spacing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项目全年预算</w:t>
      </w:r>
      <w:r>
        <w:rPr>
          <w:rFonts w:hint="eastAsia" w:ascii="Times New Roman" w:hAnsi="Times New Roman" w:eastAsia="仿宋_GB2312" w:cs="Times New Roman"/>
          <w:sz w:val="32"/>
          <w:szCs w:val="32"/>
          <w:lang w:val="en-US" w:eastAsia="zh-CN"/>
        </w:rPr>
        <w:t>84.3</w:t>
      </w:r>
      <w:r>
        <w:rPr>
          <w:rFonts w:hint="default" w:ascii="Times New Roman" w:hAnsi="Times New Roman" w:eastAsia="仿宋_GB2312" w:cs="Times New Roman"/>
          <w:sz w:val="32"/>
          <w:szCs w:val="32"/>
        </w:rPr>
        <w:t>万元，执行数为</w:t>
      </w:r>
      <w:r>
        <w:rPr>
          <w:rFonts w:hint="eastAsia" w:ascii="Times New Roman" w:hAnsi="Times New Roman" w:eastAsia="仿宋_GB2312" w:cs="Times New Roman"/>
          <w:sz w:val="32"/>
          <w:szCs w:val="32"/>
          <w:lang w:val="en-US" w:eastAsia="zh-CN"/>
        </w:rPr>
        <w:t>79.69325</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val="en-US" w:eastAsia="zh-CN"/>
        </w:rPr>
        <w:t>4.54</w:t>
      </w:r>
      <w:r>
        <w:rPr>
          <w:rFonts w:hint="default" w:ascii="Times New Roman" w:hAnsi="Times New Roman" w:eastAsia="仿宋_GB2312" w:cs="Times New Roman"/>
          <w:sz w:val="32"/>
          <w:szCs w:val="32"/>
        </w:rPr>
        <w:t>%。</w:t>
      </w:r>
    </w:p>
    <w:p>
      <w:pPr>
        <w:keepNext w:val="0"/>
        <w:keepLines w:val="0"/>
        <w:pageBreakBefore w:val="0"/>
        <w:widowControl w:val="0"/>
        <w:pBdr>
          <w:bottom w:val="single" w:color="FFFFFF" w:sz="4" w:space="2"/>
        </w:pBdr>
        <w:shd w:val="clear" w:color="auto" w:fill="FFFFFF"/>
        <w:tabs>
          <w:tab w:val="left" w:pos="1440"/>
        </w:tabs>
        <w:kinsoku/>
        <w:wordWrap/>
        <w:overflowPunct/>
        <w:topLinePunct w:val="0"/>
        <w:autoSpaceDE/>
        <w:autoSpaceDN/>
        <w:bidi w:val="0"/>
        <w:snapToGrid w:val="0"/>
        <w:spacing w:line="576" w:lineRule="exact"/>
        <w:ind w:firstLine="643" w:firstLineChars="200"/>
        <w:jc w:val="both"/>
        <w:rPr>
          <w:rFonts w:hint="default" w:ascii="Times New Roman" w:hAnsi="Times New Roman" w:cs="Times New Roman"/>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val="en-US" w:eastAsia="zh-CN"/>
        </w:rPr>
        <w:t>一</w:t>
      </w: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lang w:val="en-US" w:eastAsia="zh-CN"/>
        </w:rPr>
        <w:t>办公设备购置</w:t>
      </w: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项目绩效目标完成情况综述。</w:t>
      </w:r>
      <w:r>
        <w:rPr>
          <w:rFonts w:hint="default" w:ascii="Times New Roman" w:hAnsi="Times New Roman" w:eastAsia="仿宋_GB2312" w:cs="Times New Roman"/>
          <w:sz w:val="32"/>
          <w:szCs w:val="32"/>
        </w:rPr>
        <w:t>项目全年预算</w:t>
      </w:r>
      <w:r>
        <w:rPr>
          <w:rFonts w:hint="default" w:ascii="Times New Roman" w:hAnsi="Times New Roman" w:eastAsia="仿宋_GB2312" w:cs="Times New Roman"/>
          <w:sz w:val="32"/>
          <w:szCs w:val="32"/>
          <w:lang w:val="en-US" w:eastAsia="zh-CN"/>
        </w:rPr>
        <w:t>4.4</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4.3445</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98.74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通过项目实施，购置了一批电脑等办公设备，为推动机关日常工作提供了坚实保障。</w:t>
      </w:r>
    </w:p>
    <w:p>
      <w:pPr>
        <w:keepNext w:val="0"/>
        <w:keepLines w:val="0"/>
        <w:pageBreakBefore w:val="0"/>
        <w:widowControl w:val="0"/>
        <w:pBdr>
          <w:bottom w:val="single" w:color="FFFFFF" w:sz="4" w:space="2"/>
        </w:pBdr>
        <w:shd w:val="clear" w:color="auto" w:fill="FFFFFF"/>
        <w:tabs>
          <w:tab w:val="left" w:pos="1440"/>
        </w:tabs>
        <w:kinsoku/>
        <w:wordWrap/>
        <w:overflowPunct/>
        <w:topLinePunct w:val="0"/>
        <w:autoSpaceDE/>
        <w:autoSpaceDN/>
        <w:bidi w:val="0"/>
        <w:snapToGrid w:val="0"/>
        <w:spacing w:line="576" w:lineRule="exact"/>
        <w:ind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val="en-US" w:eastAsia="zh-CN"/>
        </w:rPr>
        <w:t>二</w:t>
      </w:r>
      <w:r>
        <w:rPr>
          <w:rFonts w:hint="default" w:ascii="Times New Roman" w:hAnsi="Times New Roman" w:eastAsia="方正楷体_GBK" w:cs="Times New Roman"/>
          <w:b/>
          <w:bCs/>
          <w:sz w:val="32"/>
          <w:szCs w:val="32"/>
        </w:rPr>
        <w:t>）党建宣传教育培训工作经费项目绩效目标完成情况综述</w:t>
      </w:r>
      <w:r>
        <w:rPr>
          <w:rFonts w:hint="default" w:ascii="Times New Roman" w:hAnsi="Times New Roman" w:eastAsia="仿宋_GB2312" w:cs="Times New Roman"/>
          <w:sz w:val="32"/>
          <w:szCs w:val="32"/>
        </w:rPr>
        <w:t>。项目全年预算数</w:t>
      </w:r>
      <w:r>
        <w:rPr>
          <w:rFonts w:hint="default" w:ascii="Times New Roman" w:hAnsi="Times New Roman" w:eastAsia="仿宋_GB2312" w:cs="Times New Roman"/>
          <w:sz w:val="32"/>
          <w:szCs w:val="32"/>
          <w:lang w:val="en-US" w:eastAsia="zh-CN"/>
        </w:rPr>
        <w:t>48.9</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48.9</w:t>
      </w:r>
      <w:r>
        <w:rPr>
          <w:rFonts w:hint="default" w:ascii="Times New Roman" w:hAnsi="Times New Roman" w:eastAsia="仿宋_GB2312" w:cs="Times New Roman"/>
          <w:sz w:val="32"/>
          <w:szCs w:val="32"/>
        </w:rPr>
        <w:t>万元，完成预算的100%。通过项目实施，</w:t>
      </w:r>
      <w:r>
        <w:rPr>
          <w:rFonts w:hint="default" w:ascii="Times New Roman" w:hAnsi="Times New Roman" w:eastAsia="仿宋_GB2312" w:cs="Times New Roman"/>
          <w:sz w:val="32"/>
          <w:szCs w:val="32"/>
          <w:lang w:val="en-US" w:eastAsia="zh-CN"/>
        </w:rPr>
        <w:t>举办1期</w:t>
      </w:r>
      <w:r>
        <w:rPr>
          <w:rFonts w:hint="default" w:ascii="Times New Roman" w:hAnsi="Times New Roman" w:eastAsia="仿宋_GB2312" w:cs="Times New Roman"/>
          <w:sz w:val="32"/>
          <w:szCs w:val="32"/>
        </w:rPr>
        <w:t>驻村干部示范培训</w:t>
      </w:r>
      <w:r>
        <w:rPr>
          <w:rFonts w:hint="default" w:ascii="Times New Roman" w:hAnsi="Times New Roman" w:eastAsia="仿宋_GB2312" w:cs="Times New Roman"/>
          <w:sz w:val="32"/>
          <w:szCs w:val="32"/>
          <w:lang w:val="en-US" w:eastAsia="zh-CN"/>
        </w:rPr>
        <w:t>班</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培训驻村干部143人次，</w:t>
      </w:r>
      <w:r>
        <w:rPr>
          <w:rFonts w:hint="default" w:ascii="Times New Roman" w:hAnsi="Times New Roman" w:eastAsia="仿宋_GB2312" w:cs="Times New Roman"/>
          <w:sz w:val="32"/>
          <w:szCs w:val="32"/>
        </w:rPr>
        <w:t>切实提升</w:t>
      </w:r>
      <w:r>
        <w:rPr>
          <w:rFonts w:hint="default" w:ascii="Times New Roman" w:hAnsi="Times New Roman" w:eastAsia="仿宋_GB2312" w:cs="Times New Roman"/>
          <w:sz w:val="32"/>
          <w:szCs w:val="32"/>
          <w:lang w:val="en-US" w:eastAsia="zh-CN"/>
        </w:rPr>
        <w:t>驻村干部</w:t>
      </w:r>
      <w:r>
        <w:rPr>
          <w:rFonts w:hint="default" w:ascii="Times New Roman" w:hAnsi="Times New Roman" w:eastAsia="仿宋_GB2312" w:cs="Times New Roman"/>
          <w:sz w:val="32"/>
          <w:szCs w:val="32"/>
        </w:rPr>
        <w:t>履职本领。</w:t>
      </w:r>
      <w:r>
        <w:rPr>
          <w:rFonts w:hint="default" w:ascii="Times New Roman" w:hAnsi="Times New Roman" w:eastAsia="仿宋_GB2312" w:cs="Times New Roman"/>
          <w:color w:val="000000"/>
          <w:sz w:val="32"/>
          <w:szCs w:val="32"/>
        </w:rPr>
        <w:t>举办1期入党积极分子培训班，对189名积极分子进行党的创新理论、党章党史等培训教育</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sz w:val="32"/>
          <w:szCs w:val="32"/>
        </w:rPr>
        <w:t>组织53个部门的优秀团员青年开展以“不负韶华·担当奉献”为</w:t>
      </w:r>
      <w:r>
        <w:rPr>
          <w:rFonts w:hint="default" w:ascii="Times New Roman" w:hAnsi="Times New Roman" w:eastAsia="仿宋_GB2312" w:cs="Times New Roman"/>
          <w:kern w:val="56"/>
          <w:sz w:val="32"/>
          <w:szCs w:val="32"/>
        </w:rPr>
        <w:t>主题的爱国主义教育活动</w:t>
      </w: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sz w:val="32"/>
          <w:szCs w:val="32"/>
        </w:rPr>
        <w:t>围绕“立足岗位强本领、稳州兴州作贡献”主题，举办阿坝州第一届机关公文写作培训暨技能大赛，州县市机关178名年轻干部参加培训和比赛活动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举办2期共461人参加的州直机关新任党务干部政治和业务能力提升培训班，促进新任党务干部增强政治意识、夯实理论基础、熟悉党建业务、提高工作能力，尽快进入工作角色。举办1期95人参加的州直机关党组织书记专题培训班，着力提高政治能力和抓好机关党建工作的责任意识，促进党组织书记深化思想认识、扛起政治责任，增强履职本领、抓实党建工作。</w:t>
      </w:r>
    </w:p>
    <w:p>
      <w:pPr>
        <w:keepNext w:val="0"/>
        <w:keepLines w:val="0"/>
        <w:pageBreakBefore w:val="0"/>
        <w:widowControl w:val="0"/>
        <w:pBdr>
          <w:bottom w:val="single" w:color="FFFFFF" w:sz="4" w:space="2"/>
        </w:pBdr>
        <w:shd w:val="clear" w:color="auto" w:fill="FFFFFF"/>
        <w:tabs>
          <w:tab w:val="left" w:pos="1440"/>
        </w:tabs>
        <w:kinsoku/>
        <w:wordWrap/>
        <w:overflowPunct/>
        <w:topLinePunct w:val="0"/>
        <w:autoSpaceDE/>
        <w:autoSpaceDN/>
        <w:bidi w:val="0"/>
        <w:snapToGrid w:val="0"/>
        <w:spacing w:line="576" w:lineRule="exact"/>
        <w:ind w:firstLine="643" w:firstLineChars="200"/>
        <w:jc w:val="both"/>
        <w:rPr>
          <w:rFonts w:hint="default" w:ascii="Times New Roman" w:hAnsi="Times New Roman" w:eastAsia="仿宋_GB2312"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val="en-US" w:eastAsia="zh-CN"/>
        </w:rPr>
        <w:t>三</w:t>
      </w: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val="en-US" w:eastAsia="zh-CN"/>
        </w:rPr>
        <w:t>会议费</w:t>
      </w:r>
      <w:r>
        <w:rPr>
          <w:rFonts w:hint="default" w:ascii="Times New Roman" w:hAnsi="Times New Roman" w:eastAsia="方正楷体_GBK" w:cs="Times New Roman"/>
          <w:b/>
          <w:bCs/>
          <w:sz w:val="32"/>
          <w:szCs w:val="32"/>
        </w:rPr>
        <w:t>项目绩效目标完成情况综述</w:t>
      </w:r>
      <w:r>
        <w:rPr>
          <w:rFonts w:hint="default" w:ascii="Times New Roman" w:hAnsi="Times New Roman" w:eastAsia="仿宋_GB2312" w:cs="Times New Roman"/>
          <w:sz w:val="32"/>
          <w:szCs w:val="32"/>
        </w:rPr>
        <w:t>。项目全年预算数</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6.44875万</w:t>
      </w:r>
      <w:r>
        <w:rPr>
          <w:rFonts w:hint="default" w:ascii="Times New Roman" w:hAnsi="Times New Roman" w:eastAsia="仿宋_GB2312" w:cs="Times New Roman"/>
          <w:sz w:val="32"/>
          <w:szCs w:val="32"/>
        </w:rPr>
        <w:t>元，完成预算的</w:t>
      </w:r>
      <w:r>
        <w:rPr>
          <w:rFonts w:hint="default" w:ascii="Times New Roman" w:hAnsi="Times New Roman" w:eastAsia="仿宋_GB2312" w:cs="Times New Roman"/>
          <w:sz w:val="32"/>
          <w:szCs w:val="32"/>
          <w:lang w:val="en-US" w:eastAsia="zh-CN"/>
        </w:rPr>
        <w:t>58.63</w:t>
      </w:r>
      <w:r>
        <w:rPr>
          <w:rFonts w:hint="default" w:ascii="Times New Roman" w:hAnsi="Times New Roman" w:eastAsia="仿宋_GB2312" w:cs="Times New Roman"/>
          <w:sz w:val="32"/>
          <w:szCs w:val="32"/>
        </w:rPr>
        <w:t>%。通过项目实施，</w:t>
      </w:r>
      <w:r>
        <w:rPr>
          <w:rFonts w:hint="default" w:ascii="Times New Roman" w:hAnsi="Times New Roman" w:eastAsia="仿宋_GB2312" w:cs="Times New Roman"/>
          <w:sz w:val="32"/>
          <w:szCs w:val="32"/>
          <w:lang w:val="en-US" w:eastAsia="zh-CN"/>
        </w:rPr>
        <w:t>圆满召开了</w:t>
      </w:r>
      <w:r>
        <w:rPr>
          <w:rFonts w:hint="default" w:ascii="Times New Roman" w:hAnsi="Times New Roman" w:eastAsia="仿宋_GB2312" w:cs="Times New Roman"/>
          <w:sz w:val="32"/>
          <w:szCs w:val="32"/>
        </w:rPr>
        <w:t>川西北生态示范区机关党建联席会第二次会议，通过现场观摩、会议发言、调研课题座谈等方式，共享经验做法、共商努力方向，切实推动机关党建积极服务中心工作。</w:t>
      </w:r>
    </w:p>
    <w:p>
      <w:pPr>
        <w:pBdr>
          <w:bottom w:val="single" w:color="FFFFFF" w:sz="4" w:space="30"/>
        </w:pBdr>
        <w:shd w:val="clear" w:color="auto" w:fill="FFFFFF"/>
        <w:tabs>
          <w:tab w:val="left" w:pos="1440"/>
        </w:tabs>
        <w:snapToGrid w:val="0"/>
        <w:spacing w:line="576" w:lineRule="exact"/>
        <w:ind w:firstLine="643" w:firstLineChars="200"/>
        <w:rPr>
          <w:rFonts w:hint="eastAsia" w:ascii="仿宋_GB2312" w:hAnsi="黑体" w:eastAsia="仿宋_GB2312"/>
          <w:sz w:val="32"/>
          <w:szCs w:val="32"/>
          <w:lang w:eastAsia="zh-CN"/>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四</w:t>
      </w:r>
      <w:r>
        <w:rPr>
          <w:rFonts w:hint="default" w:ascii="Times New Roman" w:hAnsi="Times New Roman" w:eastAsia="楷体_GB2312" w:cs="Times New Roman"/>
          <w:b/>
          <w:bCs/>
          <w:sz w:val="32"/>
          <w:szCs w:val="32"/>
          <w:lang w:eastAsia="zh-CN"/>
        </w:rPr>
        <w:t>）</w:t>
      </w:r>
      <w:r>
        <w:rPr>
          <w:rFonts w:hint="eastAsia" w:ascii="楷体_GB2312" w:hAnsi="楷体_GB2312" w:eastAsia="楷体_GB2312" w:cs="楷体_GB2312"/>
          <w:b/>
          <w:bCs/>
          <w:sz w:val="32"/>
          <w:szCs w:val="32"/>
          <w:lang w:val="en-US" w:eastAsia="zh-CN"/>
        </w:rPr>
        <w:t>党建调研工作经费</w:t>
      </w:r>
      <w:r>
        <w:rPr>
          <w:rFonts w:hint="eastAsia" w:ascii="楷体_GB2312" w:hAnsi="楷体_GB2312" w:eastAsia="楷体_GB2312" w:cs="楷体_GB2312"/>
          <w:b/>
          <w:bCs/>
          <w:sz w:val="32"/>
          <w:szCs w:val="32"/>
        </w:rPr>
        <w:t>项目绩效目标完成情况综述。</w:t>
      </w:r>
      <w:r>
        <w:rPr>
          <w:rFonts w:hint="default" w:ascii="Times New Roman" w:hAnsi="Times New Roman" w:eastAsia="仿宋_GB2312" w:cs="Times New Roman"/>
          <w:sz w:val="32"/>
          <w:szCs w:val="32"/>
        </w:rPr>
        <w:t>项目全年预算数</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5万</w:t>
      </w:r>
      <w:r>
        <w:rPr>
          <w:rFonts w:hint="default" w:ascii="Times New Roman" w:hAnsi="Times New Roman" w:eastAsia="仿宋_GB2312" w:cs="Times New Roman"/>
          <w:sz w:val="32"/>
          <w:szCs w:val="32"/>
        </w:rPr>
        <w:t>元，完成预算的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%。通过项目实施，</w:t>
      </w:r>
      <w:r>
        <w:rPr>
          <w:rFonts w:hint="eastAsia" w:ascii="Times New Roman" w:hAnsi="Times New Roman" w:eastAsia="仿宋_GB2312" w:cs="Times New Roman"/>
          <w:sz w:val="32"/>
          <w:szCs w:val="32"/>
          <w:lang w:val="en-US" w:eastAsia="zh-CN"/>
        </w:rPr>
        <w:t>圆满完成了104个州级部门2019年度党建工作考核任务，同时，按照省直机关工委要求，到泸州自贡等地考察学习活动；</w:t>
      </w:r>
      <w:r>
        <w:rPr>
          <w:rFonts w:hint="eastAsia" w:ascii="仿宋_GB2312" w:hAnsi="黑体" w:eastAsia="仿宋_GB2312"/>
          <w:sz w:val="32"/>
          <w:szCs w:val="32"/>
        </w:rPr>
        <w:t>会同州文体旅局制发机关党建促全域旅游示范区创建工作方案，组织开展抓机关党建促全域旅游发展课题调研，致力优化机关党建和业务工作融合并进的载体平台、方法路径、工作机制，示范带动州直各部门（单位）的机关党建与业务工作融合并进</w:t>
      </w:r>
      <w:r>
        <w:rPr>
          <w:rFonts w:hint="eastAsia" w:ascii="仿宋_GB2312" w:hAnsi="黑体" w:eastAsia="仿宋_GB2312"/>
          <w:sz w:val="32"/>
          <w:szCs w:val="32"/>
          <w:lang w:eastAsia="zh-CN"/>
        </w:rPr>
        <w:t>。</w:t>
      </w:r>
    </w:p>
    <w:p>
      <w:pPr>
        <w:pBdr>
          <w:bottom w:val="single" w:color="FFFFFF" w:sz="4" w:space="30"/>
        </w:pBdr>
        <w:shd w:val="clear" w:color="auto" w:fill="FFFFFF"/>
        <w:tabs>
          <w:tab w:val="left" w:pos="1440"/>
        </w:tabs>
        <w:snapToGrid w:val="0"/>
        <w:spacing w:line="576" w:lineRule="exact"/>
        <w:ind w:firstLine="643" w:firstLineChars="200"/>
        <w:rPr>
          <w:rFonts w:hint="default" w:ascii="Times New Roman" w:hAnsi="Times New Roman" w:eastAsia="仿宋_GB2312" w:cs="Times New Roman"/>
          <w:sz w:val="32"/>
          <w:szCs w:val="32"/>
        </w:rPr>
      </w:pPr>
      <w:r>
        <w:rPr>
          <w:rFonts w:hint="eastAsia" w:ascii="楷体_GB2312" w:hAnsi="楷体_GB2312" w:eastAsia="楷体_GB2312" w:cs="楷体_GB2312"/>
          <w:b/>
          <w:bCs/>
          <w:sz w:val="32"/>
          <w:szCs w:val="32"/>
          <w:lang w:val="en-US" w:eastAsia="zh-CN"/>
        </w:rPr>
        <w:t>（五）</w:t>
      </w:r>
      <w:r>
        <w:rPr>
          <w:rFonts w:hint="default" w:ascii="楷体_GB2312" w:hAnsi="楷体_GB2312" w:eastAsia="楷体_GB2312" w:cs="楷体_GB2312"/>
          <w:b/>
          <w:bCs/>
          <w:sz w:val="32"/>
          <w:szCs w:val="32"/>
          <w:lang w:val="en-US" w:eastAsia="zh-CN"/>
        </w:rPr>
        <w:t>州驻村帮扶工作经费</w:t>
      </w:r>
      <w:r>
        <w:rPr>
          <w:rFonts w:hint="eastAsia" w:ascii="楷体_GB2312" w:hAnsi="楷体_GB2312" w:eastAsia="楷体_GB2312" w:cs="楷体_GB2312"/>
          <w:b/>
          <w:bCs/>
          <w:sz w:val="32"/>
          <w:szCs w:val="32"/>
        </w:rPr>
        <w:t>项目绩效目标完成情况综述。</w:t>
      </w:r>
      <w:r>
        <w:rPr>
          <w:rFonts w:hint="default"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万元，执行数为</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万</w:t>
      </w:r>
      <w:r>
        <w:rPr>
          <w:rFonts w:hint="default" w:ascii="Times New Roman" w:hAnsi="Times New Roman" w:eastAsia="仿宋_GB2312" w:cs="Times New Roman"/>
          <w:sz w:val="32"/>
          <w:szCs w:val="32"/>
        </w:rPr>
        <w:t>元，完成预算的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%。通过项目实施，</w:t>
      </w:r>
      <w:r>
        <w:rPr>
          <w:rFonts w:hint="eastAsia" w:ascii="仿宋_GB2312" w:hAnsi="黑体" w:eastAsia="仿宋_GB2312"/>
          <w:sz w:val="32"/>
          <w:szCs w:val="32"/>
        </w:rPr>
        <w:t>扎实开展干部驻村帮扶工作，加大驻村干部履职情况督查力度，参加脱贫攻坚州级挂牌督战，做实机关党建助推脱贫攻坚工作</w:t>
      </w:r>
      <w:r>
        <w:rPr>
          <w:rFonts w:hint="default" w:ascii="Times New Roman" w:hAnsi="Times New Roman" w:eastAsia="仿宋_GB2312" w:cs="Times New Roman"/>
          <w:sz w:val="32"/>
          <w:szCs w:val="32"/>
        </w:rPr>
        <w:t>，为决战脱贫攻坚奠定了基础。</w:t>
      </w: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rPr>
      </w:pPr>
    </w:p>
    <w:p>
      <w:pPr>
        <w:rPr>
          <w:rFonts w:hint="default"/>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952"/>
        <w:gridCol w:w="1009"/>
        <w:gridCol w:w="1064"/>
        <w:gridCol w:w="2149"/>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Times New Roman" w:hAnsi="Times New Roman" w:eastAsia="宋体" w:cs="Times New Roman"/>
                <w:b/>
                <w:bCs/>
                <w:color w:val="000000"/>
                <w:kern w:val="0"/>
                <w:sz w:val="36"/>
                <w:szCs w:val="36"/>
                <w:lang w:eastAsia="zh-CN" w:bidi="ar"/>
              </w:rPr>
            </w:pPr>
            <w:r>
              <w:rPr>
                <w:rFonts w:hint="default" w:ascii="Times New Roman" w:hAnsi="Times New Roman" w:cs="Times New Roman"/>
                <w:b/>
                <w:bCs/>
                <w:color w:val="000000"/>
                <w:kern w:val="0"/>
                <w:sz w:val="36"/>
                <w:szCs w:val="36"/>
                <w:lang w:bidi="ar"/>
              </w:rPr>
              <w:t>项目绩效目标完成情况表</w:t>
            </w: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color w:val="000000"/>
                <w:sz w:val="36"/>
                <w:szCs w:val="36"/>
              </w:rPr>
            </w:pPr>
            <w:r>
              <w:rPr>
                <w:rFonts w:hint="default" w:ascii="Times New Roman" w:hAnsi="Times New Roman" w:cs="Times New Roman"/>
                <w:color w:val="000000"/>
                <w:kern w:val="0"/>
                <w:sz w:val="36"/>
                <w:szCs w:val="36"/>
                <w:lang w:bidi="ar"/>
              </w:rPr>
              <w:t>(2020年度)</w:t>
            </w:r>
          </w:p>
        </w:tc>
      </w:tr>
      <w:tr>
        <w:tblPrEx>
          <w:tblCellMar>
            <w:top w:w="0" w:type="dxa"/>
            <w:left w:w="0" w:type="dxa"/>
            <w:bottom w:w="0" w:type="dxa"/>
            <w:right w:w="0" w:type="dxa"/>
          </w:tblCellMar>
        </w:tblPrEx>
        <w:trPr>
          <w:trHeight w:val="276" w:hRule="atLeast"/>
          <w:jc w:val="center"/>
        </w:trPr>
        <w:tc>
          <w:tcPr>
            <w:tcW w:w="30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项目名称</w:t>
            </w:r>
          </w:p>
        </w:tc>
        <w:tc>
          <w:tcPr>
            <w:tcW w:w="6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办公设备购置</w:t>
            </w:r>
          </w:p>
        </w:tc>
      </w:tr>
      <w:tr>
        <w:tblPrEx>
          <w:tblCellMar>
            <w:top w:w="0" w:type="dxa"/>
            <w:left w:w="0" w:type="dxa"/>
            <w:bottom w:w="0" w:type="dxa"/>
            <w:right w:w="0" w:type="dxa"/>
          </w:tblCellMar>
        </w:tblPrEx>
        <w:trPr>
          <w:trHeight w:val="276" w:hRule="atLeast"/>
          <w:jc w:val="center"/>
        </w:trPr>
        <w:tc>
          <w:tcPr>
            <w:tcW w:w="30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预算单位</w:t>
            </w:r>
          </w:p>
        </w:tc>
        <w:tc>
          <w:tcPr>
            <w:tcW w:w="6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中共阿坝州直机关工委</w:t>
            </w:r>
          </w:p>
        </w:tc>
      </w:tr>
      <w:tr>
        <w:tblPrEx>
          <w:tblCellMar>
            <w:top w:w="0" w:type="dxa"/>
            <w:left w:w="0" w:type="dxa"/>
            <w:bottom w:w="0" w:type="dxa"/>
            <w:right w:w="0" w:type="dxa"/>
          </w:tblCellMar>
        </w:tblPrEx>
        <w:trPr>
          <w:trHeight w:val="276"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预算执行情况(万元)</w:t>
            </w: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预算数:</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4.4万元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4.3445万元</w:t>
            </w:r>
          </w:p>
        </w:tc>
      </w:tr>
      <w:tr>
        <w:tblPrEx>
          <w:tblCellMar>
            <w:top w:w="0" w:type="dxa"/>
            <w:left w:w="0" w:type="dxa"/>
            <w:bottom w:w="0" w:type="dxa"/>
            <w:right w:w="0" w:type="dxa"/>
          </w:tblCellMar>
        </w:tblPrEx>
        <w:trPr>
          <w:trHeight w:val="276"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其中-财政拨款:</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4.4万元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4.3445万元</w:t>
            </w:r>
          </w:p>
        </w:tc>
      </w:tr>
      <w:tr>
        <w:tblPrEx>
          <w:tblCellMar>
            <w:top w:w="0" w:type="dxa"/>
            <w:left w:w="0" w:type="dxa"/>
            <w:bottom w:w="0" w:type="dxa"/>
            <w:right w:w="0" w:type="dxa"/>
          </w:tblCellMar>
        </w:tblPrEx>
        <w:trPr>
          <w:trHeight w:val="74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其它资金:</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0万元</w:t>
            </w:r>
          </w:p>
        </w:tc>
      </w:tr>
      <w:tr>
        <w:tblPrEx>
          <w:tblCellMar>
            <w:top w:w="0" w:type="dxa"/>
            <w:left w:w="0" w:type="dxa"/>
            <w:bottom w:w="0" w:type="dxa"/>
            <w:right w:w="0" w:type="dxa"/>
          </w:tblCellMar>
        </w:tblPrEx>
        <w:trPr>
          <w:trHeight w:val="276"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年度目标完成情况</w:t>
            </w:r>
          </w:p>
        </w:tc>
        <w:tc>
          <w:tcPr>
            <w:tcW w:w="42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实际完成目标</w:t>
            </w:r>
          </w:p>
        </w:tc>
      </w:tr>
      <w:tr>
        <w:tblPrEx>
          <w:tblCellMar>
            <w:top w:w="0" w:type="dxa"/>
            <w:left w:w="0" w:type="dxa"/>
            <w:bottom w:w="0" w:type="dxa"/>
            <w:right w:w="0" w:type="dxa"/>
          </w:tblCellMar>
        </w:tblPrEx>
        <w:trPr>
          <w:trHeight w:val="2019"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42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 xml:space="preserve">    按照采购程序，完成添置电脑等一批办公设备，着力推动机关日常工作。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 xml:space="preserve">   通过项目实施，购置了一批电脑等办公设备，为推动机关日常工作提供了坚实保障。</w:t>
            </w:r>
          </w:p>
        </w:tc>
      </w:tr>
      <w:tr>
        <w:tblPrEx>
          <w:tblCellMar>
            <w:top w:w="0" w:type="dxa"/>
            <w:left w:w="0" w:type="dxa"/>
            <w:bottom w:w="0" w:type="dxa"/>
            <w:right w:w="0" w:type="dxa"/>
          </w:tblCellMar>
        </w:tblPrEx>
        <w:trPr>
          <w:trHeight w:val="812" w:hRule="atLeast"/>
          <w:jc w:val="center"/>
        </w:trPr>
        <w:tc>
          <w:tcPr>
            <w:tcW w:w="95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一级指标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二级指标</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实际完成指标值(包含数字及文字描述)</w:t>
            </w:r>
          </w:p>
        </w:tc>
      </w:tr>
      <w:tr>
        <w:tblPrEx>
          <w:tblCellMar>
            <w:top w:w="0" w:type="dxa"/>
            <w:left w:w="0" w:type="dxa"/>
            <w:bottom w:w="0" w:type="dxa"/>
            <w:right w:w="0" w:type="dxa"/>
          </w:tblCellMar>
        </w:tblPrEx>
        <w:trPr>
          <w:trHeight w:val="1013" w:hRule="atLeast"/>
          <w:jc w:val="center"/>
        </w:trPr>
        <w:tc>
          <w:tcPr>
            <w:tcW w:w="95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项目完成指标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eastAsia" w:ascii="仿宋_GB2312" w:eastAsia="仿宋_GB2312"/>
                <w:color w:val="000000"/>
                <w:szCs w:val="21"/>
                <w:lang w:val="en-US" w:eastAsia="zh-CN"/>
              </w:rPr>
            </w:pPr>
            <w:r>
              <w:rPr>
                <w:rFonts w:hint="eastAsia" w:ascii="仿宋_GB2312" w:eastAsia="仿宋_GB2312"/>
                <w:color w:val="000000"/>
                <w:szCs w:val="21"/>
                <w:lang w:val="en-US" w:eastAsia="zh-CN"/>
              </w:rPr>
              <w:t>数量指标</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按照采购程序，完成添置电脑等一批办公设备，着力推动机关日常工作。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通过项目实施，购置电脑等办公设备，为推动机关日常工作提供了坚实保障。</w:t>
            </w:r>
          </w:p>
          <w:p>
            <w:pPr>
              <w:textAlignment w:val="center"/>
              <w:rPr>
                <w:rFonts w:hint="default" w:ascii="Times New Roman" w:hAnsi="Times New Roman" w:eastAsia="仿宋_GB2312" w:cs="Times New Roman"/>
                <w:color w:val="000000"/>
                <w:szCs w:val="21"/>
                <w:lang w:val="en-US" w:eastAsia="zh-CN"/>
              </w:rPr>
            </w:pPr>
          </w:p>
        </w:tc>
      </w:tr>
      <w:tr>
        <w:tblPrEx>
          <w:tblCellMar>
            <w:top w:w="0" w:type="dxa"/>
            <w:left w:w="0" w:type="dxa"/>
            <w:bottom w:w="0" w:type="dxa"/>
            <w:right w:w="0" w:type="dxa"/>
          </w:tblCellMar>
        </w:tblPrEx>
        <w:trPr>
          <w:trHeight w:val="740" w:hRule="atLeast"/>
          <w:jc w:val="center"/>
        </w:trPr>
        <w:tc>
          <w:tcPr>
            <w:tcW w:w="95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效益指标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eastAsia" w:ascii="仿宋_GB2312" w:eastAsia="仿宋_GB2312"/>
                <w:color w:val="000000"/>
                <w:szCs w:val="21"/>
                <w:lang w:val="en-US" w:eastAsia="zh-CN"/>
              </w:rPr>
            </w:pPr>
          </w:p>
          <w:p>
            <w:pPr>
              <w:textAlignment w:val="center"/>
              <w:rPr>
                <w:rFonts w:hint="default" w:ascii="仿宋_GB2312" w:eastAsia="仿宋_GB2312"/>
                <w:color w:val="000000"/>
                <w:szCs w:val="21"/>
                <w:lang w:val="en-US" w:eastAsia="zh-CN"/>
              </w:rPr>
            </w:pPr>
            <w:r>
              <w:rPr>
                <w:rFonts w:hint="eastAsia" w:ascii="仿宋_GB2312" w:eastAsia="仿宋_GB2312"/>
                <w:color w:val="000000"/>
                <w:szCs w:val="21"/>
                <w:lang w:val="en-US" w:eastAsia="zh-CN"/>
              </w:rPr>
              <w:t>社会效益</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仿宋_GB2312" w:cs="Times New Roman"/>
                <w:color w:val="000000"/>
                <w:kern w:val="2"/>
                <w:sz w:val="21"/>
                <w:szCs w:val="21"/>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全面完成办公设备采购等工作，为有序推进本部门业务工作提供保障。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全面完成办公设备采购等工作，为有序推进本部门业务工作提供保障。</w:t>
            </w:r>
          </w:p>
          <w:p>
            <w:pPr>
              <w:textAlignment w:val="center"/>
              <w:rPr>
                <w:rFonts w:hint="default" w:ascii="Times New Roman" w:hAnsi="Times New Roman" w:eastAsia="仿宋_GB2312" w:cs="Times New Roman"/>
                <w:color w:val="000000"/>
                <w:szCs w:val="21"/>
                <w:lang w:val="en-US" w:eastAsia="zh-CN"/>
              </w:rPr>
            </w:pPr>
          </w:p>
        </w:tc>
      </w:tr>
      <w:tr>
        <w:tblPrEx>
          <w:tblCellMar>
            <w:top w:w="0" w:type="dxa"/>
            <w:left w:w="0" w:type="dxa"/>
            <w:bottom w:w="0" w:type="dxa"/>
            <w:right w:w="0" w:type="dxa"/>
          </w:tblCellMar>
        </w:tblPrEx>
        <w:trPr>
          <w:trHeight w:val="1088" w:hRule="atLeast"/>
          <w:jc w:val="center"/>
        </w:trPr>
        <w:tc>
          <w:tcPr>
            <w:tcW w:w="95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满意度指标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eastAsia" w:ascii="仿宋_GB2312" w:eastAsia="仿宋_GB2312"/>
                <w:color w:val="000000"/>
                <w:szCs w:val="21"/>
                <w:lang w:val="en-US" w:eastAsia="zh-CN"/>
              </w:rPr>
            </w:pPr>
          </w:p>
          <w:p>
            <w:pPr>
              <w:textAlignment w:val="center"/>
              <w:rPr>
                <w:rFonts w:hint="eastAsia" w:ascii="仿宋_GB2312" w:eastAsia="仿宋_GB2312"/>
                <w:color w:val="000000"/>
                <w:szCs w:val="21"/>
                <w:lang w:val="en-US" w:eastAsia="zh-CN"/>
              </w:rPr>
            </w:pPr>
          </w:p>
          <w:p>
            <w:pPr>
              <w:textAlignment w:val="center"/>
              <w:rPr>
                <w:rFonts w:hint="eastAsia" w:ascii="仿宋_GB2312" w:eastAsia="仿宋_GB2312"/>
                <w:color w:val="000000"/>
                <w:szCs w:val="21"/>
                <w:lang w:val="en-US" w:eastAsia="zh-CN"/>
              </w:rPr>
            </w:pPr>
            <w:r>
              <w:rPr>
                <w:rFonts w:hint="eastAsia" w:ascii="仿宋_GB2312" w:eastAsia="仿宋_GB2312"/>
                <w:color w:val="000000"/>
                <w:szCs w:val="21"/>
                <w:lang w:val="en-US" w:eastAsia="zh-CN"/>
              </w:rPr>
              <w:t>满意度</w:t>
            </w:r>
          </w:p>
          <w:p>
            <w:pPr>
              <w:textAlignment w:val="center"/>
              <w:rPr>
                <w:rFonts w:hint="eastAsia" w:ascii="仿宋_GB2312" w:eastAsia="仿宋_GB2312"/>
                <w:color w:val="000000"/>
                <w:szCs w:val="21"/>
                <w:lang w:val="en-US" w:eastAsia="zh-CN"/>
              </w:rPr>
            </w:pPr>
          </w:p>
          <w:p>
            <w:pPr>
              <w:textAlignment w:val="center"/>
              <w:rPr>
                <w:rFonts w:hint="eastAsia" w:ascii="仿宋_GB2312" w:eastAsia="仿宋_GB2312"/>
                <w:color w:val="000000"/>
                <w:szCs w:val="21"/>
                <w:lang w:val="en-US" w:eastAsia="zh-CN"/>
              </w:rPr>
            </w:pPr>
          </w:p>
          <w:p>
            <w:pPr>
              <w:textAlignment w:val="center"/>
              <w:rPr>
                <w:rFonts w:hint="eastAsia" w:ascii="仿宋_GB2312" w:eastAsia="仿宋_GB2312"/>
                <w:color w:val="000000"/>
                <w:szCs w:val="21"/>
                <w:lang w:val="en-US" w:eastAsia="zh-CN"/>
              </w:rPr>
            </w:pPr>
          </w:p>
          <w:p>
            <w:pPr>
              <w:textAlignment w:val="center"/>
              <w:rPr>
                <w:rFonts w:hint="eastAsia" w:ascii="仿宋_GB2312" w:eastAsia="仿宋_GB2312"/>
                <w:color w:val="000000"/>
                <w:szCs w:val="21"/>
                <w:lang w:val="en-US" w:eastAsia="zh-CN"/>
              </w:rPr>
            </w:pP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仿宋_GB2312" w:cs="Times New Roman"/>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90%</w:t>
            </w:r>
          </w:p>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90%以上</w:t>
            </w:r>
          </w:p>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b/>
                <w:bCs/>
                <w:color w:val="000000"/>
                <w:kern w:val="0"/>
                <w:sz w:val="36"/>
                <w:szCs w:val="36"/>
                <w:lang w:bidi="ar"/>
              </w:rPr>
            </w:pP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b/>
                <w:bCs/>
                <w:color w:val="000000"/>
                <w:kern w:val="0"/>
                <w:sz w:val="36"/>
                <w:szCs w:val="36"/>
                <w:lang w:bidi="ar"/>
              </w:rPr>
            </w:pP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b/>
                <w:bCs/>
                <w:color w:val="000000"/>
                <w:kern w:val="0"/>
                <w:sz w:val="36"/>
                <w:szCs w:val="36"/>
                <w:lang w:eastAsia="zh-CN" w:bidi="ar"/>
              </w:rPr>
            </w:pPr>
            <w:r>
              <w:rPr>
                <w:rFonts w:hint="default" w:ascii="Times New Roman" w:hAnsi="Times New Roman" w:cs="Times New Roman"/>
                <w:b/>
                <w:bCs/>
                <w:color w:val="000000"/>
                <w:kern w:val="0"/>
                <w:sz w:val="36"/>
                <w:szCs w:val="36"/>
                <w:lang w:bidi="ar"/>
              </w:rPr>
              <w:t>项目绩效目标完成情况表</w:t>
            </w: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color w:val="000000"/>
                <w:sz w:val="36"/>
                <w:szCs w:val="36"/>
              </w:rPr>
            </w:pPr>
            <w:r>
              <w:rPr>
                <w:rFonts w:hint="default" w:ascii="Times New Roman" w:hAnsi="Times New Roman" w:cs="Times New Roman"/>
                <w:color w:val="000000"/>
                <w:kern w:val="0"/>
                <w:sz w:val="36"/>
                <w:szCs w:val="36"/>
                <w:lang w:bidi="ar"/>
              </w:rPr>
              <w:t>(2020年度)</w:t>
            </w:r>
          </w:p>
        </w:tc>
      </w:tr>
      <w:tr>
        <w:tblPrEx>
          <w:tblCellMar>
            <w:top w:w="0" w:type="dxa"/>
            <w:left w:w="0" w:type="dxa"/>
            <w:bottom w:w="0" w:type="dxa"/>
            <w:right w:w="0" w:type="dxa"/>
          </w:tblCellMar>
        </w:tblPrEx>
        <w:trPr>
          <w:trHeight w:val="276" w:hRule="atLeast"/>
          <w:jc w:val="center"/>
        </w:trPr>
        <w:tc>
          <w:tcPr>
            <w:tcW w:w="30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项目名称</w:t>
            </w:r>
          </w:p>
        </w:tc>
        <w:tc>
          <w:tcPr>
            <w:tcW w:w="6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党建宣传教育培训工作经费项目</w:t>
            </w:r>
          </w:p>
        </w:tc>
      </w:tr>
      <w:tr>
        <w:tblPrEx>
          <w:tblCellMar>
            <w:top w:w="0" w:type="dxa"/>
            <w:left w:w="0" w:type="dxa"/>
            <w:bottom w:w="0" w:type="dxa"/>
            <w:right w:w="0" w:type="dxa"/>
          </w:tblCellMar>
        </w:tblPrEx>
        <w:trPr>
          <w:trHeight w:val="276" w:hRule="atLeast"/>
          <w:jc w:val="center"/>
        </w:trPr>
        <w:tc>
          <w:tcPr>
            <w:tcW w:w="30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预算单位</w:t>
            </w:r>
          </w:p>
        </w:tc>
        <w:tc>
          <w:tcPr>
            <w:tcW w:w="6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中共阿坝州直机关工委</w:t>
            </w:r>
          </w:p>
        </w:tc>
      </w:tr>
      <w:tr>
        <w:tblPrEx>
          <w:tblCellMar>
            <w:top w:w="0" w:type="dxa"/>
            <w:left w:w="0" w:type="dxa"/>
            <w:bottom w:w="0" w:type="dxa"/>
            <w:right w:w="0" w:type="dxa"/>
          </w:tblCellMar>
        </w:tblPrEx>
        <w:trPr>
          <w:trHeight w:val="276"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预算执行情况(万元)</w:t>
            </w: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预算数:</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48.9万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48.9万</w:t>
            </w:r>
          </w:p>
        </w:tc>
      </w:tr>
      <w:tr>
        <w:tblPrEx>
          <w:tblCellMar>
            <w:top w:w="0" w:type="dxa"/>
            <w:left w:w="0" w:type="dxa"/>
            <w:bottom w:w="0" w:type="dxa"/>
            <w:right w:w="0" w:type="dxa"/>
          </w:tblCellMar>
        </w:tblPrEx>
        <w:trPr>
          <w:trHeight w:val="276"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其中-财政拨款:</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48.9万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48.9万</w:t>
            </w:r>
          </w:p>
        </w:tc>
      </w:tr>
      <w:tr>
        <w:tblPrEx>
          <w:tblCellMar>
            <w:top w:w="0" w:type="dxa"/>
            <w:left w:w="0" w:type="dxa"/>
            <w:bottom w:w="0" w:type="dxa"/>
            <w:right w:w="0" w:type="dxa"/>
          </w:tblCellMar>
        </w:tblPrEx>
        <w:trPr>
          <w:trHeight w:val="74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其它资金:</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年度目标完成情况</w:t>
            </w:r>
          </w:p>
        </w:tc>
        <w:tc>
          <w:tcPr>
            <w:tcW w:w="42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42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通过开展专题培训，进一步提升机关党务干部、驻村干部的履职能力，为服务保障中心工作提供人才保障和智力支撑。　</w:t>
            </w:r>
          </w:p>
          <w:p>
            <w:pPr>
              <w:widowControl/>
              <w:jc w:val="center"/>
              <w:textAlignment w:val="center"/>
              <w:rPr>
                <w:rFonts w:hint="default" w:ascii="Times New Roman" w:hAnsi="Times New Roman" w:cs="Times New Roman"/>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eastAsia="仿宋_GB2312" w:cs="Times New Roman"/>
                <w:color w:val="000000"/>
                <w:szCs w:val="21"/>
              </w:rPr>
              <w:t>举办1期143人次</w:t>
            </w:r>
            <w:r>
              <w:rPr>
                <w:rFonts w:hint="default" w:ascii="Times New Roman" w:hAnsi="Times New Roman" w:eastAsia="仿宋_GB2312" w:cs="Times New Roman"/>
                <w:color w:val="000000"/>
                <w:szCs w:val="21"/>
                <w:lang w:val="en-US" w:eastAsia="zh-CN"/>
              </w:rPr>
              <w:t>驻村干部培训班</w:t>
            </w:r>
            <w:r>
              <w:rPr>
                <w:rFonts w:hint="default" w:ascii="Times New Roman" w:hAnsi="Times New Roman" w:eastAsia="仿宋_GB2312" w:cs="Times New Roman"/>
                <w:color w:val="000000"/>
                <w:szCs w:val="21"/>
              </w:rPr>
              <w:t>，切实提升履职本领。举办1期189名积极分子进行党的创新理论、党章党史等培训教育。组织53个部门的优秀团员青年开展以“不负韶华·担当奉献”为主题的爱国主义教育活动。举办阿坝州第一届机关公文写作培训暨技能大赛，州县市机关178名年轻干部参加培训和比赛活动。举办2期共461人参加的州直机关新任党务干部政治和业务能力提升培训班。举办1期95人参加的州直机关党组织书记专题培训班，增强履职本领、抓实党建工作。</w:t>
            </w:r>
          </w:p>
        </w:tc>
      </w:tr>
      <w:tr>
        <w:tblPrEx>
          <w:tblCellMar>
            <w:top w:w="0" w:type="dxa"/>
            <w:left w:w="0" w:type="dxa"/>
            <w:bottom w:w="0" w:type="dxa"/>
            <w:right w:w="0" w:type="dxa"/>
          </w:tblCellMar>
        </w:tblPrEx>
        <w:trPr>
          <w:trHeight w:val="812" w:hRule="atLeast"/>
          <w:jc w:val="center"/>
        </w:trPr>
        <w:tc>
          <w:tcPr>
            <w:tcW w:w="95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一级指标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二级指标</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实际完成指标值(包含数字及文字描述)</w:t>
            </w:r>
          </w:p>
        </w:tc>
      </w:tr>
      <w:tr>
        <w:tblPrEx>
          <w:tblCellMar>
            <w:top w:w="0" w:type="dxa"/>
            <w:left w:w="0" w:type="dxa"/>
            <w:bottom w:w="0" w:type="dxa"/>
            <w:right w:w="0" w:type="dxa"/>
          </w:tblCellMar>
        </w:tblPrEx>
        <w:trPr>
          <w:trHeight w:val="856" w:hRule="atLeast"/>
          <w:jc w:val="center"/>
        </w:trPr>
        <w:tc>
          <w:tcPr>
            <w:tcW w:w="95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项目完成指标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仿宋_GB2312" w:hAnsi="Times New Roman" w:eastAsia="仿宋_GB2312" w:cs="Times New Roman"/>
                <w:color w:val="000000"/>
                <w:kern w:val="2"/>
                <w:sz w:val="21"/>
                <w:szCs w:val="21"/>
                <w:lang w:val="en-US" w:eastAsia="zh-CN" w:bidi="ar-SA"/>
              </w:rPr>
            </w:pPr>
            <w:r>
              <w:rPr>
                <w:rFonts w:hint="eastAsia" w:ascii="仿宋_GB2312" w:eastAsia="仿宋_GB2312"/>
                <w:color w:val="000000"/>
                <w:szCs w:val="21"/>
              </w:rPr>
              <w:t>数量指标</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textAlignment w:val="center"/>
              <w:rPr>
                <w:rFonts w:hint="default" w:ascii="Times New Roman" w:hAnsi="Times New Roman" w:eastAsia="仿宋_GB2312" w:cs="Times New Roman"/>
                <w:color w:val="000000"/>
                <w:kern w:val="2"/>
                <w:sz w:val="21"/>
                <w:szCs w:val="21"/>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textAlignment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szCs w:val="21"/>
              </w:rPr>
              <w:t>举办1期驻村干部示范培训班、</w:t>
            </w:r>
            <w:r>
              <w:rPr>
                <w:rFonts w:hint="default" w:ascii="Times New Roman" w:hAnsi="Times New Roman" w:eastAsia="仿宋_GB2312" w:cs="Times New Roman"/>
                <w:color w:val="000000"/>
                <w:szCs w:val="21"/>
                <w:lang w:val="en-US" w:eastAsia="zh-CN"/>
              </w:rPr>
              <w:t>1期入党积极分子培训班、1期机关党组织书记示范培训班、</w:t>
            </w:r>
            <w:r>
              <w:rPr>
                <w:rFonts w:hint="default" w:ascii="Times New Roman" w:hAnsi="Times New Roman" w:eastAsia="仿宋_GB2312" w:cs="Times New Roman"/>
                <w:color w:val="000000"/>
                <w:szCs w:val="21"/>
              </w:rPr>
              <w:t>2期机关党务干部示范培训班，着力提升履职能力。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jc w:val="left"/>
              <w:textAlignment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color w:val="000000"/>
                <w:szCs w:val="21"/>
              </w:rPr>
              <w:t>通过专家授课、方法研讨、经验交流、撰写心得等方式</w:t>
            </w:r>
            <w:r>
              <w:rPr>
                <w:rFonts w:hint="default" w:ascii="Times New Roman" w:hAnsi="Times New Roman" w:eastAsia="仿宋_GB2312" w:cs="Times New Roman"/>
                <w:color w:val="000000"/>
                <w:szCs w:val="21"/>
                <w:lang w:eastAsia="zh-CN"/>
              </w:rPr>
              <w:t>，</w:t>
            </w:r>
            <w:r>
              <w:rPr>
                <w:rFonts w:hint="default" w:ascii="Times New Roman" w:hAnsi="Times New Roman" w:eastAsia="仿宋_GB2312" w:cs="Times New Roman"/>
                <w:color w:val="000000"/>
                <w:szCs w:val="21"/>
              </w:rPr>
              <w:t>培训驻村干部</w:t>
            </w:r>
            <w:r>
              <w:rPr>
                <w:rFonts w:hint="default" w:ascii="Times New Roman" w:hAnsi="Times New Roman" w:eastAsia="仿宋_GB2312" w:cs="Times New Roman"/>
                <w:color w:val="000000"/>
                <w:szCs w:val="21"/>
                <w:lang w:eastAsia="zh-CN"/>
              </w:rPr>
              <w:t>、</w:t>
            </w:r>
            <w:r>
              <w:rPr>
                <w:rFonts w:hint="default" w:ascii="Times New Roman" w:hAnsi="Times New Roman" w:eastAsia="仿宋_GB2312" w:cs="Times New Roman"/>
                <w:color w:val="000000"/>
                <w:szCs w:val="21"/>
                <w:lang w:val="en-US" w:eastAsia="zh-CN"/>
              </w:rPr>
              <w:t>入党积极分子、机关党务干部</w:t>
            </w:r>
            <w:r>
              <w:rPr>
                <w:rFonts w:hint="default" w:ascii="Times New Roman" w:hAnsi="Times New Roman" w:eastAsia="仿宋_GB2312" w:cs="Times New Roman"/>
                <w:color w:val="000000"/>
                <w:szCs w:val="21"/>
              </w:rPr>
              <w:t>，不断增强培训效果</w:t>
            </w:r>
            <w:r>
              <w:rPr>
                <w:rFonts w:hint="default" w:ascii="Times New Roman" w:hAnsi="Times New Roman" w:eastAsia="仿宋_GB2312" w:cs="Times New Roman"/>
                <w:color w:val="000000"/>
                <w:szCs w:val="21"/>
                <w:lang w:eastAsia="zh-CN"/>
              </w:rPr>
              <w:t>。</w:t>
            </w:r>
          </w:p>
        </w:tc>
      </w:tr>
      <w:tr>
        <w:tblPrEx>
          <w:tblCellMar>
            <w:top w:w="0" w:type="dxa"/>
            <w:left w:w="0" w:type="dxa"/>
            <w:bottom w:w="0" w:type="dxa"/>
            <w:right w:w="0" w:type="dxa"/>
          </w:tblCellMar>
        </w:tblPrEx>
        <w:trPr>
          <w:trHeight w:val="790" w:hRule="atLeast"/>
          <w:jc w:val="center"/>
        </w:trPr>
        <w:tc>
          <w:tcPr>
            <w:tcW w:w="95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效益指标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仿宋_GB2312" w:hAnsi="Times New Roman" w:eastAsia="仿宋_GB2312" w:cs="Times New Roman"/>
                <w:color w:val="000000"/>
                <w:kern w:val="2"/>
                <w:sz w:val="21"/>
                <w:szCs w:val="21"/>
                <w:lang w:val="en-US" w:eastAsia="zh-CN" w:bidi="ar-SA"/>
              </w:rPr>
            </w:pPr>
            <w:r>
              <w:rPr>
                <w:rFonts w:hint="eastAsia" w:ascii="仿宋_GB2312" w:eastAsia="仿宋_GB2312"/>
                <w:color w:val="000000"/>
                <w:szCs w:val="21"/>
              </w:rPr>
              <w:t>社会效益</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textAlignment w:val="center"/>
              <w:rPr>
                <w:rFonts w:hint="default" w:ascii="Times New Roman" w:hAnsi="Times New Roman" w:eastAsia="仿宋_GB2312" w:cs="Times New Roman"/>
                <w:color w:val="000000"/>
                <w:kern w:val="2"/>
                <w:sz w:val="21"/>
                <w:szCs w:val="21"/>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textAlignment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szCs w:val="21"/>
              </w:rPr>
              <w:t>通过培训，着力提升机关党务干部、驻村干部履职能力。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textAlignment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szCs w:val="21"/>
              </w:rPr>
              <w:t>举办驻村干部示范培训班、</w:t>
            </w:r>
            <w:r>
              <w:rPr>
                <w:rFonts w:hint="default" w:ascii="Times New Roman" w:hAnsi="Times New Roman" w:eastAsia="仿宋_GB2312" w:cs="Times New Roman"/>
                <w:color w:val="000000"/>
                <w:szCs w:val="21"/>
                <w:lang w:val="en-US" w:eastAsia="zh-CN"/>
              </w:rPr>
              <w:t>入党积极分子培训班、机关党组织书记示范培训班各1期、</w:t>
            </w:r>
            <w:r>
              <w:rPr>
                <w:rFonts w:hint="default" w:ascii="Times New Roman" w:hAnsi="Times New Roman" w:eastAsia="仿宋_GB2312" w:cs="Times New Roman"/>
                <w:color w:val="000000"/>
                <w:szCs w:val="21"/>
              </w:rPr>
              <w:t>2期机关党务干部示范培训班，着力提升履职能力。</w:t>
            </w:r>
          </w:p>
        </w:tc>
      </w:tr>
      <w:tr>
        <w:tblPrEx>
          <w:tblCellMar>
            <w:top w:w="0" w:type="dxa"/>
            <w:left w:w="0" w:type="dxa"/>
            <w:bottom w:w="0" w:type="dxa"/>
            <w:right w:w="0" w:type="dxa"/>
          </w:tblCellMar>
        </w:tblPrEx>
        <w:trPr>
          <w:trHeight w:val="691" w:hRule="atLeast"/>
          <w:jc w:val="center"/>
        </w:trPr>
        <w:tc>
          <w:tcPr>
            <w:tcW w:w="95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满意度指标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color w:val="000000"/>
                <w:szCs w:val="21"/>
              </w:rPr>
              <w:t>满意度</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宋体" w:cs="Times New Roman"/>
                <w:color w:val="000000"/>
                <w:kern w:val="2"/>
                <w:sz w:val="21"/>
                <w:szCs w:val="21"/>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rPr>
              <w:t>90%以上</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b/>
                <w:bCs/>
                <w:color w:val="000000"/>
                <w:kern w:val="0"/>
                <w:sz w:val="36"/>
                <w:szCs w:val="36"/>
                <w:lang w:eastAsia="zh-CN" w:bidi="ar"/>
              </w:rPr>
            </w:pPr>
            <w:r>
              <w:rPr>
                <w:rFonts w:hint="default" w:ascii="Times New Roman" w:hAnsi="Times New Roman" w:cs="Times New Roman"/>
                <w:b/>
                <w:bCs/>
                <w:color w:val="000000"/>
                <w:kern w:val="0"/>
                <w:sz w:val="36"/>
                <w:szCs w:val="36"/>
                <w:lang w:bidi="ar"/>
              </w:rPr>
              <w:t>项目绩效目标完成情况表</w:t>
            </w: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color w:val="000000"/>
                <w:sz w:val="36"/>
                <w:szCs w:val="36"/>
              </w:rPr>
            </w:pPr>
            <w:r>
              <w:rPr>
                <w:rFonts w:hint="default" w:ascii="Times New Roman" w:hAnsi="Times New Roman" w:cs="Times New Roman"/>
                <w:color w:val="000000"/>
                <w:kern w:val="0"/>
                <w:sz w:val="36"/>
                <w:szCs w:val="36"/>
                <w:lang w:bidi="ar"/>
              </w:rPr>
              <w:t>(2020年度)</w:t>
            </w:r>
          </w:p>
        </w:tc>
      </w:tr>
      <w:tr>
        <w:tblPrEx>
          <w:tblCellMar>
            <w:top w:w="0" w:type="dxa"/>
            <w:left w:w="0" w:type="dxa"/>
            <w:bottom w:w="0" w:type="dxa"/>
            <w:right w:w="0" w:type="dxa"/>
          </w:tblCellMar>
        </w:tblPrEx>
        <w:trPr>
          <w:trHeight w:val="276" w:hRule="atLeast"/>
          <w:jc w:val="center"/>
        </w:trPr>
        <w:tc>
          <w:tcPr>
            <w:tcW w:w="30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项目名称</w:t>
            </w:r>
          </w:p>
        </w:tc>
        <w:tc>
          <w:tcPr>
            <w:tcW w:w="6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会议费项目</w:t>
            </w:r>
          </w:p>
        </w:tc>
      </w:tr>
      <w:tr>
        <w:tblPrEx>
          <w:tblCellMar>
            <w:top w:w="0" w:type="dxa"/>
            <w:left w:w="0" w:type="dxa"/>
            <w:bottom w:w="0" w:type="dxa"/>
            <w:right w:w="0" w:type="dxa"/>
          </w:tblCellMar>
        </w:tblPrEx>
        <w:trPr>
          <w:trHeight w:val="276" w:hRule="atLeast"/>
          <w:jc w:val="center"/>
        </w:trPr>
        <w:tc>
          <w:tcPr>
            <w:tcW w:w="30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预算单位</w:t>
            </w:r>
          </w:p>
        </w:tc>
        <w:tc>
          <w:tcPr>
            <w:tcW w:w="6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中共阿坝州直机关工委</w:t>
            </w:r>
          </w:p>
        </w:tc>
      </w:tr>
      <w:tr>
        <w:tblPrEx>
          <w:tblCellMar>
            <w:top w:w="0" w:type="dxa"/>
            <w:left w:w="0" w:type="dxa"/>
            <w:bottom w:w="0" w:type="dxa"/>
            <w:right w:w="0" w:type="dxa"/>
          </w:tblCellMar>
        </w:tblPrEx>
        <w:trPr>
          <w:trHeight w:val="276"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预算执行情况(万元)</w:t>
            </w: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预算数:</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11万元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6.44875万</w:t>
            </w:r>
            <w:r>
              <w:rPr>
                <w:rFonts w:hint="default" w:ascii="Times New Roman" w:hAnsi="Times New Roman" w:cs="Times New Roman"/>
                <w:color w:val="000000"/>
                <w:sz w:val="24"/>
              </w:rPr>
              <w:t>元</w:t>
            </w:r>
          </w:p>
        </w:tc>
      </w:tr>
      <w:tr>
        <w:tblPrEx>
          <w:tblCellMar>
            <w:top w:w="0" w:type="dxa"/>
            <w:left w:w="0" w:type="dxa"/>
            <w:bottom w:w="0" w:type="dxa"/>
            <w:right w:w="0" w:type="dxa"/>
          </w:tblCellMar>
        </w:tblPrEx>
        <w:trPr>
          <w:trHeight w:val="276"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其中-财政拨款:</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11万元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6.44875万元</w:t>
            </w:r>
          </w:p>
        </w:tc>
      </w:tr>
      <w:tr>
        <w:tblPrEx>
          <w:tblCellMar>
            <w:top w:w="0" w:type="dxa"/>
            <w:left w:w="0" w:type="dxa"/>
            <w:bottom w:w="0" w:type="dxa"/>
            <w:right w:w="0" w:type="dxa"/>
          </w:tblCellMar>
        </w:tblPrEx>
        <w:trPr>
          <w:trHeight w:val="74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其它资金:</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0万元</w:t>
            </w:r>
          </w:p>
        </w:tc>
      </w:tr>
      <w:tr>
        <w:tblPrEx>
          <w:tblCellMar>
            <w:top w:w="0" w:type="dxa"/>
            <w:left w:w="0" w:type="dxa"/>
            <w:bottom w:w="0" w:type="dxa"/>
            <w:right w:w="0" w:type="dxa"/>
          </w:tblCellMar>
        </w:tblPrEx>
        <w:trPr>
          <w:trHeight w:val="276"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年度目标完成情况</w:t>
            </w:r>
          </w:p>
        </w:tc>
        <w:tc>
          <w:tcPr>
            <w:tcW w:w="42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42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通过项目实施，圆满召开川西北生态示范区机关党建联席会第二次会议。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通过项目实施，圆满召开了川西北生态示范区机关党建联席会第二次会议，通过现场观摩、会议发言、调研课题座谈等方式，共享经验做法、共商努力方向，切实推动机关党建积极服务中心工作。</w:t>
            </w:r>
          </w:p>
        </w:tc>
      </w:tr>
      <w:tr>
        <w:tblPrEx>
          <w:tblCellMar>
            <w:top w:w="0" w:type="dxa"/>
            <w:left w:w="0" w:type="dxa"/>
            <w:bottom w:w="0" w:type="dxa"/>
            <w:right w:w="0" w:type="dxa"/>
          </w:tblCellMar>
        </w:tblPrEx>
        <w:trPr>
          <w:trHeight w:val="812" w:hRule="atLeast"/>
          <w:jc w:val="center"/>
        </w:trPr>
        <w:tc>
          <w:tcPr>
            <w:tcW w:w="95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一级指标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二级指标</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实际完成指标值(包含数字及文字描述)</w:t>
            </w:r>
          </w:p>
        </w:tc>
      </w:tr>
      <w:tr>
        <w:tblPrEx>
          <w:tblCellMar>
            <w:top w:w="0" w:type="dxa"/>
            <w:left w:w="0" w:type="dxa"/>
            <w:bottom w:w="0" w:type="dxa"/>
            <w:right w:w="0" w:type="dxa"/>
          </w:tblCellMar>
        </w:tblPrEx>
        <w:trPr>
          <w:trHeight w:val="856" w:hRule="atLeast"/>
          <w:jc w:val="center"/>
        </w:trPr>
        <w:tc>
          <w:tcPr>
            <w:tcW w:w="95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项目完成指标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eastAsia" w:ascii="仿宋_GB2312" w:eastAsia="仿宋_GB2312"/>
                <w:color w:val="000000"/>
                <w:szCs w:val="21"/>
                <w:lang w:val="en-US" w:eastAsia="zh-CN"/>
              </w:rPr>
            </w:pPr>
            <w:r>
              <w:rPr>
                <w:rFonts w:hint="eastAsia" w:ascii="仿宋_GB2312" w:eastAsia="仿宋_GB2312"/>
                <w:color w:val="000000"/>
                <w:szCs w:val="21"/>
                <w:lang w:val="en-US" w:eastAsia="zh-CN"/>
              </w:rPr>
              <w:t>数量指标</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通过项目实施，圆满召开川西北生态示范区机关党建联席会第二次会议。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通过项目实施，圆满召开了川西北生态示范区机关党建联席会第二次会议，通过现场观摩、会议发言、调研课题座谈等方式，共享经验做法、共商努力方向，切实推动机关党建积极服务中心工作。</w:t>
            </w:r>
          </w:p>
        </w:tc>
      </w:tr>
      <w:tr>
        <w:tblPrEx>
          <w:tblCellMar>
            <w:top w:w="0" w:type="dxa"/>
            <w:left w:w="0" w:type="dxa"/>
            <w:bottom w:w="0" w:type="dxa"/>
            <w:right w:w="0" w:type="dxa"/>
          </w:tblCellMar>
        </w:tblPrEx>
        <w:trPr>
          <w:trHeight w:val="2304" w:hRule="atLeast"/>
          <w:jc w:val="center"/>
        </w:trPr>
        <w:tc>
          <w:tcPr>
            <w:tcW w:w="95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效益指标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仿宋_GB2312" w:eastAsia="仿宋_GB2312"/>
                <w:color w:val="000000"/>
                <w:szCs w:val="21"/>
                <w:lang w:val="en-US" w:eastAsia="zh-CN"/>
              </w:rPr>
            </w:pPr>
            <w:r>
              <w:rPr>
                <w:rFonts w:hint="eastAsia" w:ascii="仿宋_GB2312" w:eastAsia="仿宋_GB2312"/>
                <w:color w:val="000000"/>
                <w:szCs w:val="21"/>
                <w:lang w:val="en-US" w:eastAsia="zh-CN"/>
              </w:rPr>
              <w:t>社会效益</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通过项目实施，圆满召开川西北生态示范区机关党建联席会第二次会议，拟通过现场观摩、会议发言、调研课题座谈等方式，共享经验做法、共商努力方向，切实推动机关党建积极服务中心工作。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通过项目实施，圆满召开了川西北生态示范区机关党建联席会第二次会议，搭建了机关党建工作经验交流平台，切实推动机关党建积极服务中心工作。</w:t>
            </w:r>
          </w:p>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p>
        </w:tc>
      </w:tr>
      <w:tr>
        <w:tblPrEx>
          <w:tblCellMar>
            <w:top w:w="0" w:type="dxa"/>
            <w:left w:w="0" w:type="dxa"/>
            <w:bottom w:w="0" w:type="dxa"/>
            <w:right w:w="0" w:type="dxa"/>
          </w:tblCellMar>
        </w:tblPrEx>
        <w:trPr>
          <w:trHeight w:val="691" w:hRule="atLeast"/>
          <w:jc w:val="center"/>
        </w:trPr>
        <w:tc>
          <w:tcPr>
            <w:tcW w:w="95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满意度指标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eastAsia" w:ascii="仿宋_GB2312" w:eastAsia="仿宋_GB2312"/>
                <w:color w:val="000000"/>
                <w:szCs w:val="21"/>
                <w:lang w:val="en-US" w:eastAsia="zh-CN"/>
              </w:rPr>
            </w:pPr>
            <w:r>
              <w:rPr>
                <w:rFonts w:hint="eastAsia" w:ascii="仿宋_GB2312" w:eastAsia="仿宋_GB2312"/>
                <w:color w:val="000000"/>
                <w:szCs w:val="21"/>
                <w:lang w:val="en-US" w:eastAsia="zh-CN"/>
              </w:rPr>
              <w:t>满意度</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90%以上</w:t>
            </w:r>
          </w:p>
          <w:p>
            <w:pPr>
              <w:textAlignment w:val="center"/>
              <w:rPr>
                <w:rFonts w:hint="default" w:ascii="Times New Roman" w:hAnsi="Times New Roman" w:eastAsia="仿宋_GB2312" w:cs="Times New Roman"/>
                <w:color w:val="000000"/>
                <w:szCs w:val="21"/>
                <w:lang w:val="en-US" w:eastAsia="zh-CN"/>
              </w:rPr>
            </w:pP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b/>
                <w:bCs/>
                <w:color w:val="000000"/>
                <w:kern w:val="0"/>
                <w:sz w:val="36"/>
                <w:szCs w:val="36"/>
                <w:lang w:bidi="ar"/>
              </w:rPr>
            </w:pP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b/>
                <w:bCs/>
                <w:color w:val="000000"/>
                <w:kern w:val="0"/>
                <w:sz w:val="36"/>
                <w:szCs w:val="36"/>
                <w:lang w:bidi="ar"/>
              </w:rPr>
            </w:pP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b/>
                <w:bCs/>
                <w:color w:val="000000"/>
                <w:kern w:val="0"/>
                <w:sz w:val="36"/>
                <w:szCs w:val="36"/>
                <w:lang w:eastAsia="zh-CN" w:bidi="ar"/>
              </w:rPr>
            </w:pPr>
            <w:r>
              <w:rPr>
                <w:rFonts w:hint="default" w:ascii="Times New Roman" w:hAnsi="Times New Roman" w:cs="Times New Roman"/>
                <w:b/>
                <w:bCs/>
                <w:color w:val="000000"/>
                <w:kern w:val="0"/>
                <w:sz w:val="36"/>
                <w:szCs w:val="36"/>
                <w:lang w:bidi="ar"/>
              </w:rPr>
              <w:t>项目绩效目标完成情况表</w:t>
            </w: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color w:val="000000"/>
                <w:sz w:val="36"/>
                <w:szCs w:val="36"/>
              </w:rPr>
            </w:pPr>
            <w:r>
              <w:rPr>
                <w:rFonts w:hint="default" w:ascii="Times New Roman" w:hAnsi="Times New Roman" w:cs="Times New Roman"/>
                <w:color w:val="000000"/>
                <w:kern w:val="0"/>
                <w:sz w:val="36"/>
                <w:szCs w:val="36"/>
                <w:lang w:bidi="ar"/>
              </w:rPr>
              <w:t>(2020年度)</w:t>
            </w:r>
          </w:p>
        </w:tc>
      </w:tr>
      <w:tr>
        <w:tblPrEx>
          <w:tblCellMar>
            <w:top w:w="0" w:type="dxa"/>
            <w:left w:w="0" w:type="dxa"/>
            <w:bottom w:w="0" w:type="dxa"/>
            <w:right w:w="0" w:type="dxa"/>
          </w:tblCellMar>
        </w:tblPrEx>
        <w:trPr>
          <w:trHeight w:val="276" w:hRule="atLeast"/>
          <w:jc w:val="center"/>
        </w:trPr>
        <w:tc>
          <w:tcPr>
            <w:tcW w:w="30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项目名称</w:t>
            </w:r>
          </w:p>
        </w:tc>
        <w:tc>
          <w:tcPr>
            <w:tcW w:w="6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党建调研工作经费项目</w:t>
            </w:r>
          </w:p>
        </w:tc>
      </w:tr>
      <w:tr>
        <w:tblPrEx>
          <w:tblCellMar>
            <w:top w:w="0" w:type="dxa"/>
            <w:left w:w="0" w:type="dxa"/>
            <w:bottom w:w="0" w:type="dxa"/>
            <w:right w:w="0" w:type="dxa"/>
          </w:tblCellMar>
        </w:tblPrEx>
        <w:trPr>
          <w:trHeight w:val="276" w:hRule="atLeast"/>
          <w:jc w:val="center"/>
        </w:trPr>
        <w:tc>
          <w:tcPr>
            <w:tcW w:w="30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预算单位</w:t>
            </w:r>
          </w:p>
        </w:tc>
        <w:tc>
          <w:tcPr>
            <w:tcW w:w="6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中共阿坝州州直机关工委</w:t>
            </w:r>
          </w:p>
        </w:tc>
      </w:tr>
      <w:tr>
        <w:tblPrEx>
          <w:tblCellMar>
            <w:top w:w="0" w:type="dxa"/>
            <w:left w:w="0" w:type="dxa"/>
            <w:bottom w:w="0" w:type="dxa"/>
            <w:right w:w="0" w:type="dxa"/>
          </w:tblCellMar>
        </w:tblPrEx>
        <w:trPr>
          <w:trHeight w:val="276"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预算执行情况(万元)</w:t>
            </w: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预算数:</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5万元</w:t>
            </w:r>
          </w:p>
        </w:tc>
      </w:tr>
      <w:tr>
        <w:tblPrEx>
          <w:tblCellMar>
            <w:top w:w="0" w:type="dxa"/>
            <w:left w:w="0" w:type="dxa"/>
            <w:bottom w:w="0" w:type="dxa"/>
            <w:right w:w="0" w:type="dxa"/>
          </w:tblCellMar>
        </w:tblPrEx>
        <w:trPr>
          <w:trHeight w:val="276"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其中-财政拨款:</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5万元</w:t>
            </w:r>
          </w:p>
        </w:tc>
      </w:tr>
      <w:tr>
        <w:tblPrEx>
          <w:tblCellMar>
            <w:top w:w="0" w:type="dxa"/>
            <w:left w:w="0" w:type="dxa"/>
            <w:bottom w:w="0" w:type="dxa"/>
            <w:right w:w="0" w:type="dxa"/>
          </w:tblCellMar>
        </w:tblPrEx>
        <w:trPr>
          <w:trHeight w:val="74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其它资金:</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0万元</w:t>
            </w:r>
          </w:p>
        </w:tc>
      </w:tr>
      <w:tr>
        <w:tblPrEx>
          <w:tblCellMar>
            <w:top w:w="0" w:type="dxa"/>
            <w:left w:w="0" w:type="dxa"/>
            <w:bottom w:w="0" w:type="dxa"/>
            <w:right w:w="0" w:type="dxa"/>
          </w:tblCellMar>
        </w:tblPrEx>
        <w:trPr>
          <w:trHeight w:val="276"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年度目标完成情况</w:t>
            </w:r>
          </w:p>
        </w:tc>
        <w:tc>
          <w:tcPr>
            <w:tcW w:w="42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42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通过项目实施，致力优化机关党建和业务工作融合并进的载体平台、方法路径、工作机制，示范带动州直各部门（单位）的机关党建与业务工作融合并进。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圆满完成了2019年度党建工作考核任务，会同州文体旅局制发机关党建促全域旅游示范区创建工作方案，组织开展抓机关党建促全域旅游发展课题调研，致力优化机关党建和业务工作融合并进的载体平台、方法路径、工作机制，示范带动州直各部门（单位）的机关党建与业务工作融合并进。</w:t>
            </w:r>
          </w:p>
        </w:tc>
      </w:tr>
      <w:tr>
        <w:tblPrEx>
          <w:tblCellMar>
            <w:top w:w="0" w:type="dxa"/>
            <w:left w:w="0" w:type="dxa"/>
            <w:bottom w:w="0" w:type="dxa"/>
            <w:right w:w="0" w:type="dxa"/>
          </w:tblCellMar>
        </w:tblPrEx>
        <w:trPr>
          <w:trHeight w:val="812" w:hRule="atLeast"/>
          <w:jc w:val="center"/>
        </w:trPr>
        <w:tc>
          <w:tcPr>
            <w:tcW w:w="95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一级指标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二级指标</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实际完成指标值(包含数字及文字描述)</w:t>
            </w:r>
          </w:p>
        </w:tc>
      </w:tr>
      <w:tr>
        <w:tblPrEx>
          <w:tblCellMar>
            <w:top w:w="0" w:type="dxa"/>
            <w:left w:w="0" w:type="dxa"/>
            <w:bottom w:w="0" w:type="dxa"/>
            <w:right w:w="0" w:type="dxa"/>
          </w:tblCellMar>
        </w:tblPrEx>
        <w:trPr>
          <w:trHeight w:val="856" w:hRule="atLeast"/>
          <w:jc w:val="center"/>
        </w:trPr>
        <w:tc>
          <w:tcPr>
            <w:tcW w:w="95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项目完成指标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仿宋_GB2312" w:eastAsia="仿宋_GB2312"/>
                <w:color w:val="000000"/>
                <w:szCs w:val="21"/>
                <w:lang w:val="en-US" w:eastAsia="zh-CN"/>
              </w:rPr>
            </w:pPr>
            <w:r>
              <w:rPr>
                <w:rFonts w:hint="eastAsia" w:ascii="仿宋_GB2312" w:eastAsia="仿宋_GB2312"/>
                <w:color w:val="000000"/>
                <w:szCs w:val="21"/>
                <w:lang w:val="en-US" w:eastAsia="zh-CN"/>
              </w:rPr>
              <w:t>数量指标</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通过项目实施，致力优化机关党建和业务工作融合并进的载体平台、方法路径、工作机制，示范带动州直各部门（单位）的机关党建与业务工作融合并进。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通过项目实施，到泸州自贡等地考察学习活动；组织开展抓机关党建促全域旅游发展课题调研，致力优化机关党建和业务工作融合并进的载体平台，示范带动州直各部门（单位）的机关党建与业务工作融合并进。</w:t>
            </w:r>
          </w:p>
        </w:tc>
      </w:tr>
      <w:tr>
        <w:tblPrEx>
          <w:tblCellMar>
            <w:top w:w="0" w:type="dxa"/>
            <w:left w:w="0" w:type="dxa"/>
            <w:bottom w:w="0" w:type="dxa"/>
            <w:right w:w="0" w:type="dxa"/>
          </w:tblCellMar>
        </w:tblPrEx>
        <w:trPr>
          <w:trHeight w:val="740" w:hRule="atLeast"/>
          <w:jc w:val="center"/>
        </w:trPr>
        <w:tc>
          <w:tcPr>
            <w:tcW w:w="95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效益指标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仿宋_GB2312" w:eastAsia="仿宋_GB2312"/>
                <w:color w:val="000000"/>
                <w:szCs w:val="21"/>
                <w:lang w:val="en-US" w:eastAsia="zh-CN"/>
              </w:rPr>
            </w:pPr>
            <w:r>
              <w:rPr>
                <w:rFonts w:hint="eastAsia" w:ascii="仿宋_GB2312" w:eastAsia="仿宋_GB2312"/>
                <w:color w:val="000000"/>
                <w:szCs w:val="21"/>
                <w:lang w:val="en-US" w:eastAsia="zh-CN"/>
              </w:rPr>
              <w:t>社会效益</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通过项目实施，机关党建和业务工作融合并进的载体平台进一步优化。</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通过项目实施，组织开展抓机关党建促全域旅游发展课题调研，致力优化机关党建和业务工作融合并进的载体平台。</w:t>
            </w:r>
          </w:p>
        </w:tc>
      </w:tr>
      <w:tr>
        <w:tblPrEx>
          <w:tblCellMar>
            <w:top w:w="0" w:type="dxa"/>
            <w:left w:w="0" w:type="dxa"/>
            <w:bottom w:w="0" w:type="dxa"/>
            <w:right w:w="0" w:type="dxa"/>
          </w:tblCellMar>
        </w:tblPrEx>
        <w:trPr>
          <w:trHeight w:val="691" w:hRule="atLeast"/>
          <w:jc w:val="center"/>
        </w:trPr>
        <w:tc>
          <w:tcPr>
            <w:tcW w:w="95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满意度指标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eastAsia" w:ascii="仿宋_GB2312" w:eastAsia="仿宋_GB2312"/>
                <w:color w:val="000000"/>
                <w:szCs w:val="21"/>
                <w:lang w:val="en-US" w:eastAsia="zh-CN"/>
              </w:rPr>
            </w:pPr>
            <w:r>
              <w:rPr>
                <w:rFonts w:hint="eastAsia" w:ascii="仿宋_GB2312" w:eastAsia="仿宋_GB2312"/>
                <w:color w:val="000000"/>
                <w:szCs w:val="21"/>
                <w:lang w:val="en-US" w:eastAsia="zh-CN"/>
              </w:rPr>
              <w:t>满意度</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90%以上</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b/>
                <w:bCs/>
                <w:color w:val="000000"/>
                <w:kern w:val="0"/>
                <w:sz w:val="36"/>
                <w:szCs w:val="36"/>
                <w:lang w:bidi="ar"/>
              </w:rPr>
            </w:pP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b/>
                <w:bCs/>
                <w:color w:val="000000"/>
                <w:kern w:val="0"/>
                <w:sz w:val="36"/>
                <w:szCs w:val="36"/>
                <w:lang w:bidi="ar"/>
              </w:rPr>
            </w:pP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b/>
                <w:bCs/>
                <w:color w:val="000000"/>
                <w:kern w:val="0"/>
                <w:sz w:val="36"/>
                <w:szCs w:val="36"/>
                <w:lang w:bidi="ar"/>
              </w:rPr>
            </w:pP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b/>
                <w:bCs/>
                <w:color w:val="000000"/>
                <w:kern w:val="0"/>
                <w:sz w:val="36"/>
                <w:szCs w:val="36"/>
                <w:lang w:eastAsia="zh-CN" w:bidi="ar"/>
              </w:rPr>
            </w:pPr>
            <w:r>
              <w:rPr>
                <w:rFonts w:hint="default" w:ascii="Times New Roman" w:hAnsi="Times New Roman" w:cs="Times New Roman"/>
                <w:b/>
                <w:bCs/>
                <w:color w:val="000000"/>
                <w:kern w:val="0"/>
                <w:sz w:val="36"/>
                <w:szCs w:val="36"/>
                <w:lang w:bidi="ar"/>
              </w:rPr>
              <w:t>项目绩效目标完成情况表</w:t>
            </w:r>
          </w:p>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cs="Times New Roman"/>
                <w:color w:val="000000"/>
                <w:sz w:val="36"/>
                <w:szCs w:val="36"/>
              </w:rPr>
            </w:pPr>
            <w:r>
              <w:rPr>
                <w:rFonts w:hint="default" w:ascii="Times New Roman" w:hAnsi="Times New Roman" w:cs="Times New Roman"/>
                <w:color w:val="000000"/>
                <w:kern w:val="0"/>
                <w:sz w:val="36"/>
                <w:szCs w:val="36"/>
                <w:lang w:bidi="ar"/>
              </w:rPr>
              <w:t>(2020年度)</w:t>
            </w:r>
          </w:p>
        </w:tc>
      </w:tr>
      <w:tr>
        <w:tblPrEx>
          <w:tblCellMar>
            <w:top w:w="0" w:type="dxa"/>
            <w:left w:w="0" w:type="dxa"/>
            <w:bottom w:w="0" w:type="dxa"/>
            <w:right w:w="0" w:type="dxa"/>
          </w:tblCellMar>
        </w:tblPrEx>
        <w:trPr>
          <w:trHeight w:val="276" w:hRule="atLeast"/>
          <w:jc w:val="center"/>
        </w:trPr>
        <w:tc>
          <w:tcPr>
            <w:tcW w:w="30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项目名称</w:t>
            </w:r>
          </w:p>
        </w:tc>
        <w:tc>
          <w:tcPr>
            <w:tcW w:w="6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州驻村帮扶工作经费项目</w:t>
            </w:r>
          </w:p>
        </w:tc>
      </w:tr>
      <w:tr>
        <w:tblPrEx>
          <w:tblCellMar>
            <w:top w:w="0" w:type="dxa"/>
            <w:left w:w="0" w:type="dxa"/>
            <w:bottom w:w="0" w:type="dxa"/>
            <w:right w:w="0" w:type="dxa"/>
          </w:tblCellMar>
        </w:tblPrEx>
        <w:trPr>
          <w:trHeight w:val="276" w:hRule="atLeast"/>
          <w:jc w:val="center"/>
        </w:trPr>
        <w:tc>
          <w:tcPr>
            <w:tcW w:w="30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预算单位</w:t>
            </w:r>
          </w:p>
        </w:tc>
        <w:tc>
          <w:tcPr>
            <w:tcW w:w="6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中共阿坝州直机关工委</w:t>
            </w:r>
          </w:p>
        </w:tc>
      </w:tr>
      <w:tr>
        <w:tblPrEx>
          <w:tblCellMar>
            <w:top w:w="0" w:type="dxa"/>
            <w:left w:w="0" w:type="dxa"/>
            <w:bottom w:w="0" w:type="dxa"/>
            <w:right w:w="0" w:type="dxa"/>
          </w:tblCellMar>
        </w:tblPrEx>
        <w:trPr>
          <w:trHeight w:val="276"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预算执行情况(万元)</w:t>
            </w: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预算数:</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10万元</w:t>
            </w:r>
          </w:p>
        </w:tc>
      </w:tr>
      <w:tr>
        <w:tblPrEx>
          <w:tblCellMar>
            <w:top w:w="0" w:type="dxa"/>
            <w:left w:w="0" w:type="dxa"/>
            <w:bottom w:w="0" w:type="dxa"/>
            <w:right w:w="0" w:type="dxa"/>
          </w:tblCellMar>
        </w:tblPrEx>
        <w:trPr>
          <w:trHeight w:val="276"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其中-财政拨款:</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10万元</w:t>
            </w:r>
          </w:p>
        </w:tc>
      </w:tr>
      <w:tr>
        <w:tblPrEx>
          <w:tblCellMar>
            <w:top w:w="0" w:type="dxa"/>
            <w:left w:w="0" w:type="dxa"/>
            <w:bottom w:w="0" w:type="dxa"/>
            <w:right w:w="0" w:type="dxa"/>
          </w:tblCellMar>
        </w:tblPrEx>
        <w:trPr>
          <w:trHeight w:val="74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0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其它资金:</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0万元</w:t>
            </w:r>
          </w:p>
        </w:tc>
      </w:tr>
      <w:tr>
        <w:tblPrEx>
          <w:tblCellMar>
            <w:top w:w="0" w:type="dxa"/>
            <w:left w:w="0" w:type="dxa"/>
            <w:bottom w:w="0" w:type="dxa"/>
            <w:right w:w="0" w:type="dxa"/>
          </w:tblCellMar>
        </w:tblPrEx>
        <w:trPr>
          <w:trHeight w:val="276"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年度目标完成情况</w:t>
            </w:r>
          </w:p>
        </w:tc>
        <w:tc>
          <w:tcPr>
            <w:tcW w:w="42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42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通过项目实施，扎实开展干部驻村帮扶工作，加大驻村干部履职情况督查力度，参加脱贫攻坚州级挂牌督战，做实机关党建助推脱贫攻坚工作，为决战脱贫攻坚奠定了基础。</w:t>
            </w:r>
          </w:p>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通过项目实施，扎实开展干部驻村帮扶工作，加大驻村干部履职情况督查力度，参加脱贫攻坚州级挂牌督战，做实机关党建助推脱贫攻坚工作，为决战脱贫攻坚奠定了基础。</w:t>
            </w:r>
          </w:p>
          <w:p>
            <w:pPr>
              <w:textAlignment w:val="center"/>
              <w:rPr>
                <w:rFonts w:hint="default" w:ascii="Times New Roman" w:hAnsi="Times New Roman" w:eastAsia="仿宋_GB2312" w:cs="Times New Roman"/>
                <w:color w:val="000000"/>
                <w:szCs w:val="21"/>
                <w:lang w:val="en-US" w:eastAsia="zh-CN"/>
              </w:rPr>
            </w:pPr>
          </w:p>
        </w:tc>
      </w:tr>
      <w:tr>
        <w:tblPrEx>
          <w:tblCellMar>
            <w:top w:w="0" w:type="dxa"/>
            <w:left w:w="0" w:type="dxa"/>
            <w:bottom w:w="0" w:type="dxa"/>
            <w:right w:w="0" w:type="dxa"/>
          </w:tblCellMar>
        </w:tblPrEx>
        <w:trPr>
          <w:trHeight w:val="812" w:hRule="atLeast"/>
          <w:jc w:val="center"/>
        </w:trPr>
        <w:tc>
          <w:tcPr>
            <w:tcW w:w="95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一级指标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二级指标</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实际完成指标值(包含数字及文字描述)</w:t>
            </w:r>
          </w:p>
        </w:tc>
      </w:tr>
      <w:tr>
        <w:tblPrEx>
          <w:tblCellMar>
            <w:top w:w="0" w:type="dxa"/>
            <w:left w:w="0" w:type="dxa"/>
            <w:bottom w:w="0" w:type="dxa"/>
            <w:right w:w="0" w:type="dxa"/>
          </w:tblCellMar>
        </w:tblPrEx>
        <w:trPr>
          <w:trHeight w:val="856" w:hRule="atLeast"/>
          <w:jc w:val="center"/>
        </w:trPr>
        <w:tc>
          <w:tcPr>
            <w:tcW w:w="95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仿宋_GB2312" w:eastAsia="仿宋_GB2312"/>
                <w:color w:val="000000"/>
                <w:szCs w:val="21"/>
                <w:lang w:val="en-US" w:eastAsia="zh-CN"/>
              </w:rPr>
            </w:pPr>
            <w:r>
              <w:rPr>
                <w:rFonts w:hint="default" w:ascii="仿宋_GB2312" w:eastAsia="仿宋_GB2312"/>
                <w:color w:val="000000"/>
                <w:szCs w:val="21"/>
                <w:lang w:val="en-US" w:eastAsia="zh-CN"/>
              </w:rPr>
              <w:t>项目完成指标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eastAsia" w:ascii="仿宋_GB2312" w:eastAsia="仿宋_GB2312"/>
                <w:color w:val="000000"/>
                <w:szCs w:val="21"/>
                <w:lang w:val="en-US" w:eastAsia="zh-CN"/>
              </w:rPr>
            </w:pPr>
            <w:r>
              <w:rPr>
                <w:rFonts w:hint="eastAsia" w:ascii="仿宋_GB2312" w:eastAsia="仿宋_GB2312"/>
                <w:color w:val="000000"/>
                <w:szCs w:val="21"/>
                <w:lang w:val="en-US" w:eastAsia="zh-CN"/>
              </w:rPr>
              <w:t>数量指标</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通过项目实施，扎实开展干部驻村帮扶工作，加大驻村干部履职情况督查力度，参加脱贫攻坚州级挂牌督战，做实机关党建助推脱贫攻坚工作，为决战脱贫攻坚奠定了基础。</w:t>
            </w:r>
          </w:p>
          <w:p>
            <w:pPr>
              <w:textAlignment w:val="center"/>
              <w:rPr>
                <w:rFonts w:hint="default" w:ascii="Times New Roman" w:hAnsi="Times New Roman" w:eastAsia="仿宋_GB2312" w:cs="Times New Roman"/>
                <w:color w:val="000000"/>
                <w:szCs w:val="21"/>
                <w:lang w:val="en-US"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通过项目实施，扎实开展干部驻村帮扶工作，加大驻村干部履职情况督查力度，参加脱贫攻坚州级挂牌督战，做实机关党建助推脱贫攻坚工作，为决战脱贫攻坚奠定了基础。</w:t>
            </w:r>
          </w:p>
        </w:tc>
      </w:tr>
      <w:tr>
        <w:tblPrEx>
          <w:tblCellMar>
            <w:top w:w="0" w:type="dxa"/>
            <w:left w:w="0" w:type="dxa"/>
            <w:bottom w:w="0" w:type="dxa"/>
            <w:right w:w="0" w:type="dxa"/>
          </w:tblCellMar>
        </w:tblPrEx>
        <w:trPr>
          <w:trHeight w:val="790" w:hRule="atLeast"/>
          <w:jc w:val="center"/>
        </w:trPr>
        <w:tc>
          <w:tcPr>
            <w:tcW w:w="95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仿宋_GB2312" w:eastAsia="仿宋_GB2312"/>
                <w:color w:val="000000"/>
                <w:szCs w:val="21"/>
                <w:lang w:val="en-US" w:eastAsia="zh-CN"/>
              </w:rPr>
            </w:pPr>
            <w:r>
              <w:rPr>
                <w:rFonts w:hint="default" w:ascii="仿宋_GB2312" w:eastAsia="仿宋_GB2312"/>
                <w:color w:val="000000"/>
                <w:szCs w:val="21"/>
                <w:lang w:val="en-US" w:eastAsia="zh-CN"/>
              </w:rPr>
              <w:t>效益指标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eastAsia" w:ascii="仿宋_GB2312" w:eastAsia="仿宋_GB2312"/>
                <w:color w:val="000000"/>
                <w:szCs w:val="21"/>
                <w:lang w:val="en-US" w:eastAsia="zh-CN"/>
              </w:rPr>
            </w:pPr>
            <w:r>
              <w:rPr>
                <w:rFonts w:hint="eastAsia" w:ascii="仿宋_GB2312" w:eastAsia="仿宋_GB2312"/>
                <w:color w:val="000000"/>
                <w:szCs w:val="21"/>
                <w:lang w:val="en-US" w:eastAsia="zh-CN"/>
              </w:rPr>
              <w:t>社会效益</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为助推全州决战脱贫攻坚提供人才保障，确保按期脱贫。</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全州13县（市）均通过省州脱贫攻坚验收，并退出贫困县（市）序列。</w:t>
            </w:r>
          </w:p>
        </w:tc>
      </w:tr>
      <w:tr>
        <w:tblPrEx>
          <w:tblCellMar>
            <w:top w:w="0" w:type="dxa"/>
            <w:left w:w="0" w:type="dxa"/>
            <w:bottom w:w="0" w:type="dxa"/>
            <w:right w:w="0" w:type="dxa"/>
          </w:tblCellMar>
        </w:tblPrEx>
        <w:trPr>
          <w:trHeight w:val="691" w:hRule="atLeast"/>
          <w:jc w:val="center"/>
        </w:trPr>
        <w:tc>
          <w:tcPr>
            <w:tcW w:w="95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仿宋_GB2312" w:eastAsia="仿宋_GB2312"/>
                <w:color w:val="000000"/>
                <w:szCs w:val="21"/>
                <w:lang w:val="en-US" w:eastAsia="zh-CN"/>
              </w:rPr>
            </w:pPr>
            <w:r>
              <w:rPr>
                <w:rFonts w:hint="default" w:ascii="仿宋_GB2312" w:eastAsia="仿宋_GB2312"/>
                <w:color w:val="000000"/>
                <w:szCs w:val="21"/>
                <w:lang w:val="en-US" w:eastAsia="zh-CN"/>
              </w:rPr>
              <w:t>满意度指标</w:t>
            </w:r>
          </w:p>
        </w:tc>
        <w:tc>
          <w:tcPr>
            <w:tcW w:w="10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eastAsia" w:ascii="仿宋_GB2312" w:eastAsia="仿宋_GB2312"/>
                <w:color w:val="000000"/>
                <w:szCs w:val="21"/>
                <w:lang w:val="en-US" w:eastAsia="zh-CN"/>
              </w:rPr>
            </w:pPr>
          </w:p>
          <w:p>
            <w:pPr>
              <w:textAlignment w:val="center"/>
              <w:rPr>
                <w:rFonts w:hint="eastAsia" w:ascii="仿宋_GB2312" w:eastAsia="仿宋_GB2312"/>
                <w:color w:val="000000"/>
                <w:szCs w:val="21"/>
                <w:lang w:val="en-US" w:eastAsia="zh-CN"/>
              </w:rPr>
            </w:pPr>
          </w:p>
          <w:p>
            <w:pPr>
              <w:textAlignment w:val="center"/>
              <w:rPr>
                <w:rFonts w:hint="eastAsia" w:ascii="仿宋_GB2312" w:eastAsia="仿宋_GB2312"/>
                <w:color w:val="000000"/>
                <w:szCs w:val="21"/>
                <w:lang w:val="en-US" w:eastAsia="zh-CN"/>
              </w:rPr>
            </w:pPr>
            <w:r>
              <w:rPr>
                <w:rFonts w:hint="eastAsia" w:ascii="仿宋_GB2312" w:eastAsia="仿宋_GB2312"/>
                <w:color w:val="000000"/>
                <w:szCs w:val="21"/>
                <w:lang w:val="en-US" w:eastAsia="zh-CN"/>
              </w:rPr>
              <w:t>满意度</w:t>
            </w:r>
          </w:p>
        </w:tc>
        <w:tc>
          <w:tcPr>
            <w:tcW w:w="2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p>
          <w:p>
            <w:pPr>
              <w:textAlignment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90%以上</w:t>
            </w:r>
          </w:p>
        </w:tc>
      </w:tr>
    </w:tbl>
    <w:p>
      <w:pPr>
        <w:spacing w:line="580" w:lineRule="exact"/>
        <w:rPr>
          <w:rFonts w:hint="default" w:ascii="Times New Roman" w:hAnsi="Times New Roman" w:eastAsia="楷体_GB2312" w:cs="Times New Roman"/>
          <w:sz w:val="32"/>
          <w:szCs w:val="32"/>
        </w:rPr>
      </w:pPr>
    </w:p>
    <w:p>
      <w:pPr>
        <w:spacing w:line="580" w:lineRule="exact"/>
        <w:ind w:left="63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2.部门绩效评价结果。</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本部门按要求对2020年部门整体支出绩效评价情况开展自评，《</w:t>
      </w:r>
      <w:r>
        <w:rPr>
          <w:rFonts w:hint="eastAsia" w:ascii="仿宋_GB2312" w:hAnsi="仿宋_GB2312" w:eastAsia="仿宋_GB2312" w:cs="仿宋_GB2312"/>
          <w:sz w:val="32"/>
          <w:szCs w:val="32"/>
        </w:rPr>
        <w:t>中共阿坝州直机关工委</w:t>
      </w:r>
      <w:r>
        <w:rPr>
          <w:rFonts w:hint="default" w:ascii="Times New Roman" w:hAnsi="Times New Roman" w:eastAsia="仿宋_GB2312" w:cs="Times New Roman"/>
          <w:sz w:val="32"/>
          <w:szCs w:val="32"/>
        </w:rPr>
        <w:t>2020年部门整体支出绩效评价报告》见附件（附件1）。</w:t>
      </w:r>
    </w:p>
    <w:p>
      <w:pPr>
        <w:widowControl/>
        <w:jc w:val="left"/>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br w:type="page"/>
      </w:r>
    </w:p>
    <w:p>
      <w:pPr>
        <w:numPr>
          <w:ilvl w:val="0"/>
          <w:numId w:val="2"/>
        </w:numPr>
        <w:spacing w:line="600" w:lineRule="exact"/>
        <w:ind w:firstLine="660" w:firstLineChars="150"/>
        <w:jc w:val="center"/>
        <w:outlineLvl w:val="0"/>
        <w:rPr>
          <w:rStyle w:val="25"/>
          <w:rFonts w:hint="default" w:ascii="Times New Roman" w:hAnsi="Times New Roman" w:eastAsia="黑体" w:cs="Times New Roman"/>
          <w:b w:val="0"/>
        </w:rPr>
      </w:pPr>
      <w:bookmarkStart w:id="101" w:name="_Toc15377225"/>
      <w:bookmarkStart w:id="102" w:name="_Toc79163629"/>
      <w:bookmarkStart w:id="103" w:name="_Toc1412"/>
      <w:bookmarkStart w:id="104" w:name="_Toc15396613"/>
      <w:r>
        <w:rPr>
          <w:rFonts w:hint="default" w:ascii="Times New Roman" w:hAnsi="Times New Roman" w:eastAsia="黑体" w:cs="Times New Roman"/>
          <w:color w:val="000000"/>
          <w:sz w:val="44"/>
          <w:szCs w:val="44"/>
        </w:rPr>
        <w:t>名</w:t>
      </w:r>
      <w:r>
        <w:rPr>
          <w:rStyle w:val="25"/>
          <w:rFonts w:hint="default" w:ascii="Times New Roman" w:hAnsi="Times New Roman" w:eastAsia="黑体" w:cs="Times New Roman"/>
          <w:b w:val="0"/>
        </w:rPr>
        <w:t>词解释</w:t>
      </w:r>
      <w:bookmarkEnd w:id="101"/>
      <w:bookmarkEnd w:id="102"/>
      <w:bookmarkEnd w:id="103"/>
      <w:bookmarkEnd w:id="104"/>
    </w:p>
    <w:p>
      <w:pPr>
        <w:pStyle w:val="20"/>
        <w:widowControl w:val="0"/>
        <w:shd w:val="clear" w:color="auto" w:fill="FFFFFF"/>
        <w:spacing w:before="0" w:beforeAutospacing="0" w:after="0" w:afterAutospacing="0" w:line="576" w:lineRule="exact"/>
        <w:ind w:firstLine="640" w:firstLineChars="200"/>
        <w:jc w:val="both"/>
        <w:rPr>
          <w:rFonts w:hint="eastAsia" w:ascii="仿宋_GB2312" w:hAnsi="仿宋_GB2312" w:eastAsia="仿宋_GB2312" w:cs="仿宋_GB2312"/>
          <w:sz w:val="32"/>
          <w:szCs w:val="32"/>
        </w:rPr>
      </w:pP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35"/>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4.其他收入：指单位取得的除上述收入以外的各项收入。主要是利息收入。 </w:t>
      </w: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color w:val="000000"/>
          <w:sz w:val="32"/>
          <w:szCs w:val="32"/>
        </w:rPr>
        <w:t>一般公共服务（2013101）：指一般公共服务中的</w:t>
      </w:r>
      <w:r>
        <w:rPr>
          <w:rStyle w:val="23"/>
          <w:rFonts w:hint="eastAsia" w:ascii="仿宋_GB2312" w:hAnsi="仿宋_GB2312" w:eastAsia="仿宋_GB2312" w:cs="仿宋_GB2312"/>
          <w:b w:val="0"/>
          <w:color w:val="000000"/>
          <w:sz w:val="32"/>
          <w:szCs w:val="32"/>
        </w:rPr>
        <w:t>党委办公厅（室）及相关机关事务中的行政运行。</w:t>
      </w:r>
      <w:r>
        <w:rPr>
          <w:rFonts w:hint="eastAsia" w:ascii="仿宋_GB2312" w:hAnsi="仿宋_GB2312" w:eastAsia="仿宋_GB2312" w:cs="仿宋_GB2312"/>
          <w:color w:val="000000"/>
          <w:sz w:val="32"/>
          <w:szCs w:val="32"/>
        </w:rPr>
        <w:t>一般公共服务（2013102）：一般公共服务中的</w:t>
      </w:r>
      <w:r>
        <w:rPr>
          <w:rStyle w:val="23"/>
          <w:rFonts w:hint="eastAsia" w:ascii="仿宋_GB2312" w:hAnsi="仿宋_GB2312" w:eastAsia="仿宋_GB2312" w:cs="仿宋_GB2312"/>
          <w:b w:val="0"/>
          <w:color w:val="000000"/>
          <w:sz w:val="32"/>
          <w:szCs w:val="32"/>
        </w:rPr>
        <w:t>党委办公厅（室）及相关机关事务中的</w:t>
      </w:r>
      <w:r>
        <w:rPr>
          <w:rFonts w:hint="eastAsia" w:ascii="仿宋_GB2312" w:hAnsi="仿宋_GB2312" w:eastAsia="仿宋_GB2312" w:cs="仿宋_GB2312"/>
          <w:color w:val="000000"/>
          <w:sz w:val="32"/>
          <w:szCs w:val="32"/>
        </w:rPr>
        <w:t>一般行政管理事务。</w:t>
      </w:r>
    </w:p>
    <w:p>
      <w:pPr>
        <w:spacing w:line="576" w:lineRule="exact"/>
        <w:ind w:firstLine="640" w:firstLineChars="200"/>
        <w:jc w:val="both"/>
        <w:rPr>
          <w:rStyle w:val="23"/>
          <w:rFonts w:ascii="仿宋_GB2312" w:hAnsi="仿宋_GB2312" w:eastAsia="仿宋_GB2312" w:cs="仿宋_GB2312"/>
          <w:b w:val="0"/>
          <w:color w:val="000000"/>
          <w:sz w:val="32"/>
          <w:szCs w:val="32"/>
        </w:rPr>
      </w:pPr>
      <w:r>
        <w:rPr>
          <w:rFonts w:hint="eastAsia" w:ascii="仿宋_GB2312" w:hAnsi="仿宋_GB2312" w:eastAsia="仿宋_GB2312" w:cs="仿宋_GB2312"/>
          <w:color w:val="000000"/>
          <w:sz w:val="32"/>
          <w:szCs w:val="32"/>
        </w:rPr>
        <w:t>7.社会保障和就业（2080505）：指社会保障和就业支出中的行政事业单位离退休中的</w:t>
      </w:r>
      <w:r>
        <w:rPr>
          <w:rStyle w:val="23"/>
          <w:rFonts w:hint="eastAsia" w:ascii="仿宋_GB2312" w:hAnsi="仿宋_GB2312" w:eastAsia="仿宋_GB2312" w:cs="仿宋_GB2312"/>
          <w:b w:val="0"/>
          <w:color w:val="000000"/>
          <w:sz w:val="32"/>
          <w:szCs w:val="32"/>
        </w:rPr>
        <w:t>机关事业单位基本养老保险缴费支出。</w:t>
      </w:r>
    </w:p>
    <w:p>
      <w:pPr>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8.社会保障和就业（2080506）：指社会保障和就业支出中的行政事业单位离退休中的机关事业单位职业年金缴费支出。</w:t>
      </w:r>
    </w:p>
    <w:p>
      <w:pPr>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9.医疗卫生与计划生育（2100501）：指医疗卫生与计划生育中的</w:t>
      </w:r>
      <w:r>
        <w:rPr>
          <w:rStyle w:val="23"/>
          <w:rFonts w:hint="eastAsia" w:ascii="仿宋_GB2312" w:hAnsi="仿宋_GB2312" w:eastAsia="仿宋_GB2312" w:cs="仿宋_GB2312"/>
          <w:b w:val="0"/>
          <w:color w:val="000000"/>
          <w:sz w:val="32"/>
          <w:szCs w:val="32"/>
        </w:rPr>
        <w:t>医疗保障中的行政单位医疗。</w:t>
      </w:r>
    </w:p>
    <w:p>
      <w:pPr>
        <w:spacing w:line="576" w:lineRule="exact"/>
        <w:ind w:firstLine="640" w:firstLineChars="200"/>
        <w:jc w:val="both"/>
        <w:rPr>
          <w:rFonts w:ascii="仿宋_GB2312" w:hAnsi="仿宋_GB2312" w:eastAsia="仿宋_GB2312" w:cs="仿宋_GB2312"/>
          <w:b/>
          <w:color w:val="000000"/>
          <w:sz w:val="32"/>
          <w:szCs w:val="32"/>
        </w:rPr>
      </w:pPr>
      <w:r>
        <w:rPr>
          <w:rStyle w:val="23"/>
          <w:rFonts w:hint="eastAsia" w:ascii="仿宋_GB2312" w:hAnsi="仿宋_GB2312" w:eastAsia="仿宋_GB2312" w:cs="仿宋_GB2312"/>
          <w:b w:val="0"/>
          <w:sz w:val="32"/>
          <w:szCs w:val="32"/>
        </w:rPr>
        <w:t>10.住房保障支出（2210201）：指住房保障支出中的住房改革支出中的住房公积金。</w:t>
      </w: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11.基本支出：指为保障机构正常运转、完成日常工作任务而发生的人员支出和公用支出。</w:t>
      </w: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12.项目支出：指在基本支出之外为完成特定行政任务和事业发展目标所发生的支出。</w:t>
      </w: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13.经营支出：指事业单位在专业业务活动及其辅助活动之外开展非独立核算经营活动发生的支出。</w:t>
      </w:r>
    </w:p>
    <w:p>
      <w:pPr>
        <w:pStyle w:val="2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14. “三公”经费：指部门用财政拨款安排的因公出国（境）费、公务用车购置及运行费和公务接待费。其中，因公出国（境）费反映单位公务出国（境）的国际旅费、 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widowControl w:val="0"/>
        <w:shd w:val="clear" w:color="auto" w:fill="FFFFFF"/>
        <w:spacing w:before="0" w:beforeAutospacing="0" w:after="0" w:afterAutospacing="0" w:line="576" w:lineRule="exact"/>
        <w:ind w:firstLine="640" w:firstLineChars="200"/>
        <w:jc w:val="both"/>
        <w:rPr>
          <w:rFonts w:ascii="Times New Roman" w:hAnsi="Times New Roman" w:eastAsia="方正仿宋_GBK" w:cs="Times New Roman"/>
          <w:sz w:val="32"/>
          <w:szCs w:val="32"/>
        </w:rPr>
      </w:pPr>
      <w:r>
        <w:rPr>
          <w:rFonts w:hint="eastAsia" w:ascii="仿宋_GB2312" w:hAnsi="仿宋_GB2312" w:eastAsia="仿宋_GB2312" w:cs="仿宋_GB2312"/>
          <w:sz w:val="32"/>
          <w:szCs w:val="32"/>
        </w:rPr>
        <w:t>15. 机关运行经费：为保障行政单位（含参照公务员法管理的事业单位）运行用于购买货物和服务的各项资金，包括办公及印刷费、邮电费、差旅费、会议费、福利费、 日常维修费、专用材料及一般设备购置费、办公用房水电费、办公用房取暖费、办公用房物业管理费、公务用车运行维护费以及其他费用。</w:t>
      </w:r>
    </w:p>
    <w:p>
      <w:pPr>
        <w:ind w:firstLine="640" w:firstLineChars="200"/>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val="en-US" w:eastAsia="zh-CN"/>
        </w:rPr>
        <w:t>16</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pPr>
        <w:ind w:firstLine="640" w:firstLineChars="200"/>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val="en-US" w:eastAsia="zh-CN"/>
        </w:rPr>
        <w:t>17</w:t>
      </w:r>
      <w:r>
        <w:rPr>
          <w:rFonts w:hint="default" w:ascii="Times New Roman" w:hAnsi="Times New Roman" w:eastAsia="仿宋_GB2312" w:cs="Times New Roman"/>
          <w:color w:val="000000"/>
          <w:sz w:val="32"/>
          <w:szCs w:val="32"/>
        </w:rPr>
        <w:t xml:space="preserve">.项目支出：指在基本支出之外为完成特定行政任务和事业发展目标所发生的支出。 </w:t>
      </w:r>
    </w:p>
    <w:p>
      <w:pPr>
        <w:ind w:firstLine="640" w:firstLineChars="200"/>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val="en-US" w:eastAsia="zh-CN"/>
        </w:rPr>
        <w:t>18</w:t>
      </w:r>
      <w:r>
        <w:rPr>
          <w:rFonts w:hint="default" w:ascii="Times New Roman" w:hAnsi="Times New Roman" w:eastAsia="仿宋_GB2312" w:cs="Times New Roman"/>
          <w:color w:val="000000"/>
          <w:sz w:val="32"/>
          <w:szCs w:val="32"/>
        </w:rPr>
        <w:t>.经营支出：指事业单位在专业业务活动及其辅助活动之外开展非独立核算经营活动发生的支出。</w:t>
      </w:r>
    </w:p>
    <w:p>
      <w:pPr>
        <w:pStyle w:val="35"/>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hint="default" w:ascii="Times New Roman" w:hAnsi="Times New Roman" w:eastAsia="黑体" w:cs="Times New Roman"/>
          <w:b w:val="0"/>
        </w:rPr>
      </w:pPr>
      <w:bookmarkStart w:id="105" w:name="_Toc15377226"/>
      <w:r>
        <w:rPr>
          <w:rFonts w:hint="default" w:ascii="Times New Roman" w:hAnsi="Times New Roman" w:cs="Times New Roman"/>
          <w:b/>
          <w:color w:val="000000"/>
          <w:sz w:val="44"/>
          <w:szCs w:val="44"/>
        </w:rPr>
        <w:br w:type="page"/>
      </w:r>
      <w:bookmarkStart w:id="106" w:name="_Toc15396614"/>
      <w:bookmarkStart w:id="107" w:name="_Toc79163630"/>
      <w:bookmarkStart w:id="108" w:name="_Toc12817"/>
      <w:r>
        <w:rPr>
          <w:rFonts w:hint="default" w:ascii="Times New Roman" w:hAnsi="Times New Roman" w:eastAsia="黑体" w:cs="Times New Roman"/>
          <w:color w:val="000000"/>
          <w:sz w:val="44"/>
          <w:szCs w:val="44"/>
        </w:rPr>
        <w:t>第</w:t>
      </w:r>
      <w:r>
        <w:rPr>
          <w:rStyle w:val="25"/>
          <w:rFonts w:hint="default" w:ascii="Times New Roman" w:hAnsi="Times New Roman" w:eastAsia="黑体" w:cs="Times New Roman"/>
          <w:b w:val="0"/>
        </w:rPr>
        <w:t>四部分 附件</w:t>
      </w:r>
      <w:bookmarkEnd w:id="106"/>
      <w:bookmarkEnd w:id="107"/>
      <w:bookmarkEnd w:id="108"/>
    </w:p>
    <w:p>
      <w:pPr>
        <w:spacing w:line="600" w:lineRule="exact"/>
        <w:jc w:val="left"/>
        <w:outlineLvl w:val="0"/>
        <w:rPr>
          <w:rFonts w:hint="default" w:ascii="Times New Roman" w:hAnsi="Times New Roman" w:eastAsia="方正小标宋简体" w:cs="Times New Roman"/>
          <w:sz w:val="32"/>
          <w:szCs w:val="32"/>
        </w:rPr>
      </w:pPr>
      <w:bookmarkStart w:id="109" w:name="_Toc22520"/>
      <w:bookmarkStart w:id="110" w:name="_Toc79163631"/>
      <w:r>
        <w:rPr>
          <w:rFonts w:hint="default" w:ascii="Times New Roman" w:hAnsi="Times New Roman" w:eastAsia="黑体" w:cs="Times New Roman"/>
          <w:sz w:val="32"/>
          <w:szCs w:val="32"/>
        </w:rPr>
        <w:t>附件1</w:t>
      </w:r>
      <w:bookmarkEnd w:id="109"/>
      <w:bookmarkEnd w:id="110"/>
    </w:p>
    <w:p>
      <w:pPr>
        <w:spacing w:line="580" w:lineRule="exact"/>
        <w:jc w:val="center"/>
        <w:rPr>
          <w:rFonts w:hint="default" w:ascii="Times New Roman" w:hAnsi="Times New Roman" w:eastAsia="方正小标宋简体" w:cs="Times New Roman"/>
          <w:sz w:val="44"/>
          <w:szCs w:val="44"/>
        </w:rPr>
      </w:pPr>
    </w:p>
    <w:p>
      <w:pPr>
        <w:widowControl/>
        <w:spacing w:line="580" w:lineRule="exact"/>
        <w:contextualSpacing/>
        <w:jc w:val="center"/>
        <w:rPr>
          <w:rFonts w:hint="default" w:ascii="Times New Roman" w:hAnsi="Times New Roman" w:eastAsia="方正小标宋简体" w:cs="Times New Roman"/>
          <w:b/>
          <w:color w:val="000000" w:themeColor="text1"/>
          <w:sz w:val="44"/>
          <w:szCs w:val="44"/>
          <w:shd w:val="clear" w:color="auto" w:fill="FFFFFF"/>
          <w:lang w:val="en-US" w:eastAsia="zh-CN"/>
          <w14:textFill>
            <w14:solidFill>
              <w14:schemeClr w14:val="tx1"/>
            </w14:solidFill>
          </w14:textFill>
        </w:rPr>
      </w:pPr>
      <w:r>
        <w:rPr>
          <w:rFonts w:hint="default" w:ascii="Times New Roman" w:hAnsi="Times New Roman" w:eastAsia="方正小标宋简体" w:cs="Times New Roman"/>
          <w:b/>
          <w:color w:val="000000" w:themeColor="text1"/>
          <w:sz w:val="44"/>
          <w:szCs w:val="44"/>
          <w:shd w:val="clear" w:color="auto" w:fill="FFFFFF"/>
          <w:lang w:val="en-US" w:eastAsia="zh-CN"/>
          <w14:textFill>
            <w14:solidFill>
              <w14:schemeClr w14:val="tx1"/>
            </w14:solidFill>
          </w14:textFill>
        </w:rPr>
        <w:t>中共阿坝州直机关工委</w:t>
      </w:r>
    </w:p>
    <w:p>
      <w:pPr>
        <w:widowControl/>
        <w:spacing w:line="580" w:lineRule="exact"/>
        <w:contextualSpacing/>
        <w:jc w:val="center"/>
        <w:rPr>
          <w:rFonts w:hint="default" w:ascii="Times New Roman" w:hAnsi="Times New Roman" w:eastAsia="方正小标宋简体" w:cs="Times New Roman"/>
          <w:b/>
          <w:color w:val="000000" w:themeColor="text1"/>
          <w:sz w:val="44"/>
          <w:szCs w:val="44"/>
          <w:shd w:val="clear" w:color="auto" w:fill="FFFFFF"/>
          <w14:textFill>
            <w14:solidFill>
              <w14:schemeClr w14:val="tx1"/>
            </w14:solidFill>
          </w14:textFill>
        </w:rPr>
      </w:pPr>
      <w:r>
        <w:rPr>
          <w:rFonts w:hint="default" w:ascii="Times New Roman" w:hAnsi="Times New Roman" w:eastAsia="方正小标宋简体" w:cs="Times New Roman"/>
          <w:b/>
          <w:color w:val="000000" w:themeColor="text1"/>
          <w:sz w:val="44"/>
          <w:szCs w:val="44"/>
          <w:shd w:val="clear" w:color="auto" w:fill="FFFFFF"/>
          <w14:textFill>
            <w14:solidFill>
              <w14:schemeClr w14:val="tx1"/>
            </w14:solidFill>
          </w14:textFill>
        </w:rPr>
        <w:t>20</w:t>
      </w:r>
      <w:r>
        <w:rPr>
          <w:rFonts w:hint="default" w:ascii="Times New Roman" w:hAnsi="Times New Roman" w:eastAsia="方正小标宋简体" w:cs="Times New Roman"/>
          <w:b/>
          <w:color w:val="000000" w:themeColor="text1"/>
          <w:sz w:val="44"/>
          <w:szCs w:val="44"/>
          <w:shd w:val="clear" w:color="auto" w:fill="FFFFFF"/>
          <w:lang w:val="en-US" w:eastAsia="zh-CN"/>
          <w14:textFill>
            <w14:solidFill>
              <w14:schemeClr w14:val="tx1"/>
            </w14:solidFill>
          </w14:textFill>
        </w:rPr>
        <w:t>21</w:t>
      </w:r>
      <w:r>
        <w:rPr>
          <w:rFonts w:hint="default" w:ascii="Times New Roman" w:hAnsi="Times New Roman" w:eastAsia="方正小标宋简体" w:cs="Times New Roman"/>
          <w:b/>
          <w:color w:val="000000" w:themeColor="text1"/>
          <w:sz w:val="44"/>
          <w:szCs w:val="44"/>
          <w:shd w:val="clear" w:color="auto" w:fill="FFFFFF"/>
          <w14:textFill>
            <w14:solidFill>
              <w14:schemeClr w14:val="tx1"/>
            </w14:solidFill>
          </w14:textFill>
        </w:rPr>
        <w:t>年部门整体支出绩效评价报告</w:t>
      </w:r>
    </w:p>
    <w:p>
      <w:pPr>
        <w:widowControl/>
        <w:adjustRightInd w:val="0"/>
        <w:snapToGrid w:val="0"/>
        <w:spacing w:line="580" w:lineRule="exact"/>
        <w:ind w:firstLine="480" w:firstLineChars="200"/>
        <w:contextualSpacing/>
        <w:jc w:val="left"/>
        <w:rPr>
          <w:rFonts w:hint="default" w:ascii="Times New Roman" w:hAnsi="Times New Roman" w:eastAsia="黑体" w:cs="Times New Roman"/>
          <w:color w:val="000000" w:themeColor="text1"/>
          <w:kern w:val="0"/>
          <w:sz w:val="24"/>
          <w:szCs w:val="32"/>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76"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州财政局：</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关于开展20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部门、政策和项目</w:t>
      </w:r>
      <w:r>
        <w:rPr>
          <w:rFonts w:hint="default" w:ascii="Times New Roman" w:hAnsi="Times New Roman" w:eastAsia="仿宋_GB2312" w:cs="Times New Roman"/>
          <w:color w:val="000000" w:themeColor="text1"/>
          <w:sz w:val="32"/>
          <w:szCs w:val="32"/>
          <w14:textFill>
            <w14:solidFill>
              <w14:schemeClr w14:val="tx1"/>
            </w14:solidFill>
          </w14:textFill>
        </w:rPr>
        <w:t>支出绩效评价工作</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的通知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阿州财监绩〔2021〕11号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要求，州直机关工委对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default" w:ascii="Times New Roman" w:hAnsi="Times New Roman"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年1月</w:t>
      </w:r>
      <w:r>
        <w:rPr>
          <w:rFonts w:hint="eastAsia" w:eastAsia="仿宋_GB2312"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default" w:ascii="Times New Roman" w:hAnsi="Times New Roman" w:eastAsia="仿宋_GB2312" w:cs="Times New Roman"/>
          <w:color w:val="000000" w:themeColor="text1"/>
          <w:sz w:val="32"/>
          <w:szCs w:val="32"/>
          <w14:textFill>
            <w14:solidFill>
              <w14:schemeClr w14:val="tx1"/>
            </w14:solidFill>
          </w14:textFill>
        </w:rPr>
        <w:t>部门预算支出绩效进行了自评，现将自评情况报告如下：</w:t>
      </w:r>
    </w:p>
    <w:p>
      <w:pPr>
        <w:pStyle w:val="42"/>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方正黑体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一、部门概况</w:t>
      </w:r>
    </w:p>
    <w:p>
      <w:pPr>
        <w:pStyle w:val="42"/>
        <w:keepNext w:val="0"/>
        <w:keepLines w:val="0"/>
        <w:pageBreakBefore w:val="0"/>
        <w:widowControl w:val="0"/>
        <w:kinsoku/>
        <w:wordWrap/>
        <w:overflowPunct/>
        <w:topLinePunct w:val="0"/>
        <w:autoSpaceDE/>
        <w:autoSpaceDN/>
        <w:bidi w:val="0"/>
        <w:adjustRightInd/>
        <w:spacing w:line="576" w:lineRule="exact"/>
        <w:ind w:left="0" w:leftChars="0"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（一）机构组成</w:t>
      </w:r>
    </w:p>
    <w:p>
      <w:pPr>
        <w:pStyle w:val="40"/>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州直机关工委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是</w:t>
      </w:r>
      <w:r>
        <w:rPr>
          <w:rFonts w:hint="default" w:ascii="Times New Roman" w:hAnsi="Times New Roman" w:eastAsia="仿宋_GB2312" w:cs="Times New Roman"/>
          <w:color w:val="000000" w:themeColor="text1"/>
          <w:sz w:val="32"/>
          <w:szCs w:val="32"/>
          <w14:textFill>
            <w14:solidFill>
              <w14:schemeClr w14:val="tx1"/>
            </w14:solidFill>
          </w14:textFill>
        </w:rPr>
        <w:t>行政单位。内设办公室、组织科、宣传科、统战群工科</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纪工委办公室兼审理室、</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纪工委</w:t>
      </w:r>
      <w:r>
        <w:rPr>
          <w:rFonts w:hint="default" w:ascii="Times New Roman" w:hAnsi="Times New Roman" w:eastAsia="仿宋_GB2312" w:cs="Times New Roman"/>
          <w:color w:val="000000" w:themeColor="text1"/>
          <w:sz w:val="32"/>
          <w:szCs w:val="32"/>
          <w14:textFill>
            <w14:solidFill>
              <w14:schemeClr w14:val="tx1"/>
            </w14:solidFill>
          </w14:textFill>
        </w:rPr>
        <w:t>检查室6个</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科室</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42"/>
        <w:keepNext w:val="0"/>
        <w:keepLines w:val="0"/>
        <w:pageBreakBefore w:val="0"/>
        <w:widowControl w:val="0"/>
        <w:kinsoku/>
        <w:wordWrap/>
        <w:overflowPunct/>
        <w:topLinePunct w:val="0"/>
        <w:autoSpaceDE/>
        <w:autoSpaceDN/>
        <w:bidi w:val="0"/>
        <w:adjustRightInd/>
        <w:spacing w:line="576" w:lineRule="exact"/>
        <w:ind w:left="0" w:leftChars="0"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（二）机构职能</w:t>
      </w:r>
    </w:p>
    <w:p>
      <w:pPr>
        <w:pStyle w:val="40"/>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1.领导州直机关党的建设。</w:t>
      </w:r>
    </w:p>
    <w:p>
      <w:pPr>
        <w:pStyle w:val="40"/>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2.负责州直机关领导班子建设和领导班子创“四好”活动。</w:t>
      </w:r>
    </w:p>
    <w:p>
      <w:pPr>
        <w:pStyle w:val="40"/>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3.按权限审批州直机关基层党组织的建立和领导班子的组成。</w:t>
      </w:r>
    </w:p>
    <w:p>
      <w:pPr>
        <w:pStyle w:val="40"/>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4.领导州直机关党的纪律检查工作，按权限和程序审议、查办党员违纪违法案件，组织开展反腐倡廉教育。</w:t>
      </w:r>
    </w:p>
    <w:p>
      <w:pPr>
        <w:pStyle w:val="40"/>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5.指导州直机关党组织抓党员和干部的学习，组织实施机关党员、党务干部和入党积极分子的教育培训。</w:t>
      </w:r>
    </w:p>
    <w:p>
      <w:pPr>
        <w:pStyle w:val="40"/>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6.领导州直机关统战、青、妇等群团组织的工作。</w:t>
      </w:r>
    </w:p>
    <w:p>
      <w:pPr>
        <w:pStyle w:val="40"/>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7.指导州直机关各部门做好政治思想工作。</w:t>
      </w:r>
    </w:p>
    <w:p>
      <w:pPr>
        <w:pStyle w:val="40"/>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8.负责全州的驻村帮扶工作和城乡环境综合整治进机关工作。</w:t>
      </w:r>
    </w:p>
    <w:p>
      <w:pPr>
        <w:pStyle w:val="40"/>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9.承办州委交办的其它工作。</w:t>
      </w:r>
    </w:p>
    <w:p>
      <w:pPr>
        <w:pStyle w:val="42"/>
        <w:keepNext w:val="0"/>
        <w:keepLines w:val="0"/>
        <w:pageBreakBefore w:val="0"/>
        <w:widowControl w:val="0"/>
        <w:kinsoku/>
        <w:wordWrap/>
        <w:overflowPunct/>
        <w:topLinePunct w:val="0"/>
        <w:autoSpaceDE/>
        <w:autoSpaceDN/>
        <w:bidi w:val="0"/>
        <w:adjustRightInd/>
        <w:spacing w:line="576" w:lineRule="exact"/>
        <w:ind w:left="0" w:leftChars="0"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（三）人员概况</w:t>
      </w:r>
    </w:p>
    <w:p>
      <w:pPr>
        <w:pStyle w:val="40"/>
        <w:keepNext w:val="0"/>
        <w:keepLines w:val="0"/>
        <w:pageBreakBefore w:val="0"/>
        <w:widowControl w:val="0"/>
        <w:kinsoku/>
        <w:wordWrap/>
        <w:overflowPunct/>
        <w:topLinePunct w:val="0"/>
        <w:autoSpaceDE/>
        <w:autoSpaceDN/>
        <w:bidi w:val="0"/>
        <w:adjustRightInd/>
        <w:spacing w:line="576" w:lineRule="exact"/>
        <w:ind w:left="0" w:leftChars="0"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州直机关工委总编制16人，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均为</w:t>
      </w:r>
      <w:r>
        <w:rPr>
          <w:rFonts w:hint="default" w:ascii="Times New Roman" w:hAnsi="Times New Roman" w:eastAsia="仿宋_GB2312" w:cs="Times New Roman"/>
          <w:color w:val="000000" w:themeColor="text1"/>
          <w:sz w:val="32"/>
          <w:szCs w:val="32"/>
          <w14:textFill>
            <w14:solidFill>
              <w14:schemeClr w14:val="tx1"/>
            </w14:solidFill>
          </w14:textFill>
        </w:rPr>
        <w:t>行政编制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在职人员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14:textFill>
            <w14:solidFill>
              <w14:schemeClr w14:val="tx1"/>
            </w14:solidFill>
          </w14:textFill>
        </w:rPr>
        <w:t>人，其中：行政人员1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人，工勤人员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人；离休人员1人，退休人员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14:textFill>
            <w14:solidFill>
              <w14:schemeClr w14:val="tx1"/>
            </w14:solidFill>
          </w14:textFill>
        </w:rPr>
        <w:t>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其中：2021年5月新增1名退休人员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t>二、部门财政资金收支情况</w:t>
      </w:r>
    </w:p>
    <w:p>
      <w:pPr>
        <w:pStyle w:val="42"/>
        <w:keepNext w:val="0"/>
        <w:keepLines w:val="0"/>
        <w:pageBreakBefore w:val="0"/>
        <w:kinsoku/>
        <w:wordWrap/>
        <w:overflowPunct/>
        <w:topLinePunct w:val="0"/>
        <w:autoSpaceDE/>
        <w:autoSpaceDN/>
        <w:bidi w:val="0"/>
        <w:adjustRightInd/>
        <w:spacing w:line="576" w:lineRule="exact"/>
        <w:ind w:left="0" w:leftChars="0"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（一）部门财政资金收入情况</w:t>
      </w:r>
    </w:p>
    <w:p>
      <w:pPr>
        <w:pStyle w:val="40"/>
        <w:keepNext w:val="0"/>
        <w:keepLines w:val="0"/>
        <w:pageBreakBefore w:val="0"/>
        <w:kinsoku/>
        <w:wordWrap/>
        <w:overflowPunct/>
        <w:topLinePunct w:val="0"/>
        <w:autoSpaceDE/>
        <w:autoSpaceDN/>
        <w:bidi w:val="0"/>
        <w:adjustRightInd/>
        <w:spacing w:line="576" w:lineRule="exact"/>
        <w:ind w:left="0" w:leftChars="0"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32"/>
          <w14:textFill>
            <w14:solidFill>
              <w14:schemeClr w14:val="tx1"/>
            </w14:solidFill>
          </w14:textFill>
        </w:rPr>
        <w:t>年度工委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一般公共预算</w:t>
      </w:r>
      <w:r>
        <w:rPr>
          <w:rFonts w:hint="default" w:ascii="Times New Roman" w:hAnsi="Times New Roman" w:eastAsia="仿宋_GB2312" w:cs="Times New Roman"/>
          <w:color w:val="000000" w:themeColor="text1"/>
          <w:sz w:val="32"/>
          <w:szCs w:val="32"/>
          <w14:textFill>
            <w14:solidFill>
              <w14:schemeClr w14:val="tx1"/>
            </w14:solidFill>
          </w14:textFill>
        </w:rPr>
        <w:t>财政拨款收入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503.8万</w:t>
      </w:r>
      <w:r>
        <w:rPr>
          <w:rFonts w:hint="default" w:ascii="Times New Roman" w:hAnsi="Times New Roman" w:eastAsia="仿宋_GB2312" w:cs="Times New Roman"/>
          <w:color w:val="000000" w:themeColor="text1"/>
          <w:sz w:val="32"/>
          <w:szCs w:val="32"/>
          <w14:textFill>
            <w14:solidFill>
              <w14:schemeClr w14:val="tx1"/>
            </w14:solidFill>
          </w14:textFill>
        </w:rPr>
        <w:t>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年初结转和结余69.76万元</w:t>
      </w:r>
      <w:r>
        <w:rPr>
          <w:rFonts w:hint="default" w:ascii="Times New Roman" w:hAnsi="Times New Roman" w:eastAsia="仿宋_GB2312" w:cs="Times New Roman"/>
          <w:color w:val="000000" w:themeColor="text1"/>
          <w:sz w:val="32"/>
          <w:szCs w:val="32"/>
          <w14:textFill>
            <w14:solidFill>
              <w14:schemeClr w14:val="tx1"/>
            </w14:solidFill>
          </w14:textFill>
        </w:rPr>
        <w:t>，本年财政资金收入合计为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573.57万</w:t>
      </w:r>
      <w:r>
        <w:rPr>
          <w:rFonts w:hint="default" w:ascii="Times New Roman" w:hAnsi="Times New Roman" w:eastAsia="仿宋_GB2312" w:cs="Times New Roman"/>
          <w:color w:val="000000" w:themeColor="text1"/>
          <w:sz w:val="32"/>
          <w:szCs w:val="32"/>
          <w14:textFill>
            <w14:solidFill>
              <w14:schemeClr w14:val="tx1"/>
            </w14:solidFill>
          </w14:textFill>
        </w:rPr>
        <w:t>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其他收入0.12万元，全年收入合计573.69万元</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42"/>
        <w:keepNext w:val="0"/>
        <w:keepLines w:val="0"/>
        <w:pageBreakBefore w:val="0"/>
        <w:kinsoku/>
        <w:wordWrap/>
        <w:overflowPunct/>
        <w:topLinePunct w:val="0"/>
        <w:autoSpaceDE/>
        <w:autoSpaceDN/>
        <w:bidi w:val="0"/>
        <w:adjustRightInd/>
        <w:spacing w:line="576" w:lineRule="exact"/>
        <w:ind w:left="0" w:leftChars="0"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（二）财政部门资金支出情况</w:t>
      </w:r>
    </w:p>
    <w:p>
      <w:pPr>
        <w:pStyle w:val="7"/>
        <w:keepNext w:val="0"/>
        <w:keepLines w:val="0"/>
        <w:pageBreakBefore w:val="0"/>
        <w:kinsoku/>
        <w:wordWrap/>
        <w:overflowPunct/>
        <w:topLinePunct w:val="0"/>
        <w:autoSpaceDE/>
        <w:autoSpaceDN/>
        <w:bidi w:val="0"/>
        <w:adjustRightInd/>
        <w:spacing w:before="0" w:beforeLines="0" w:line="576" w:lineRule="exact"/>
        <w:ind w:left="0" w:leftChars="0"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20</w:t>
      </w:r>
      <w:r>
        <w:rPr>
          <w:rFonts w:hint="default" w:ascii="Times New Roman" w:hAnsi="Times New Roman" w:cs="Times New Roman"/>
          <w:color w:val="000000" w:themeColor="text1"/>
          <w:sz w:val="32"/>
          <w:szCs w:val="32"/>
          <w:lang w:val="en-US" w:eastAsia="zh-CN"/>
          <w14:textFill>
            <w14:solidFill>
              <w14:schemeClr w14:val="tx1"/>
            </w14:solidFill>
          </w14:textFill>
        </w:rPr>
        <w:t>20</w:t>
      </w:r>
      <w:r>
        <w:rPr>
          <w:rFonts w:hint="default" w:ascii="Times New Roman" w:hAnsi="Times New Roman" w:cs="Times New Roman"/>
          <w:color w:val="000000" w:themeColor="text1"/>
          <w:sz w:val="32"/>
          <w:szCs w:val="32"/>
          <w14:textFill>
            <w14:solidFill>
              <w14:schemeClr w14:val="tx1"/>
            </w14:solidFill>
          </w14:textFill>
        </w:rPr>
        <w:t>年实际支出</w:t>
      </w:r>
      <w:r>
        <w:rPr>
          <w:rFonts w:hint="default" w:ascii="Times New Roman" w:hAnsi="Times New Roman" w:cs="Times New Roman"/>
          <w:color w:val="000000" w:themeColor="text1"/>
          <w:sz w:val="32"/>
          <w:szCs w:val="32"/>
          <w:lang w:val="en-US" w:eastAsia="zh-CN"/>
          <w14:textFill>
            <w14:solidFill>
              <w14:schemeClr w14:val="tx1"/>
            </w14:solidFill>
          </w14:textFill>
        </w:rPr>
        <w:t>513.69万</w:t>
      </w:r>
      <w:r>
        <w:rPr>
          <w:rFonts w:hint="default" w:ascii="Times New Roman" w:hAnsi="Times New Roman" w:cs="Times New Roman"/>
          <w:color w:val="000000" w:themeColor="text1"/>
          <w:sz w:val="32"/>
          <w:szCs w:val="32"/>
          <w14:textFill>
            <w14:solidFill>
              <w14:schemeClr w14:val="tx1"/>
            </w14:solidFill>
          </w14:textFill>
        </w:rPr>
        <w:t>元，其中人员经费</w:t>
      </w:r>
      <w:r>
        <w:rPr>
          <w:rFonts w:hint="default" w:ascii="Times New Roman" w:hAnsi="Times New Roman" w:cs="Times New Roman"/>
          <w:color w:val="000000" w:themeColor="text1"/>
          <w:sz w:val="32"/>
          <w:szCs w:val="32"/>
          <w:lang w:val="en-US" w:eastAsia="zh-CN"/>
          <w14:textFill>
            <w14:solidFill>
              <w14:schemeClr w14:val="tx1"/>
            </w14:solidFill>
          </w14:textFill>
        </w:rPr>
        <w:t>379.24万</w:t>
      </w:r>
      <w:r>
        <w:rPr>
          <w:rFonts w:hint="default" w:ascii="Times New Roman" w:hAnsi="Times New Roman" w:cs="Times New Roman"/>
          <w:color w:val="000000" w:themeColor="text1"/>
          <w:sz w:val="32"/>
          <w:szCs w:val="32"/>
          <w14:textFill>
            <w14:solidFill>
              <w14:schemeClr w14:val="tx1"/>
            </w14:solidFill>
          </w14:textFill>
        </w:rPr>
        <w:t>元，日常公用经费</w:t>
      </w:r>
      <w:r>
        <w:rPr>
          <w:rFonts w:hint="default" w:ascii="Times New Roman" w:hAnsi="Times New Roman" w:cs="Times New Roman"/>
          <w:color w:val="000000" w:themeColor="text1"/>
          <w:sz w:val="32"/>
          <w:szCs w:val="32"/>
          <w:lang w:val="en-US" w:eastAsia="zh-CN"/>
          <w14:textFill>
            <w14:solidFill>
              <w14:schemeClr w14:val="tx1"/>
            </w14:solidFill>
          </w14:textFill>
        </w:rPr>
        <w:t>117.94万</w:t>
      </w:r>
      <w:r>
        <w:rPr>
          <w:rFonts w:hint="default" w:ascii="Times New Roman" w:hAnsi="Times New Roman" w:cs="Times New Roman"/>
          <w:color w:val="000000" w:themeColor="text1"/>
          <w:sz w:val="32"/>
          <w:szCs w:val="32"/>
          <w14:textFill>
            <w14:solidFill>
              <w14:schemeClr w14:val="tx1"/>
            </w14:solidFill>
          </w14:textFill>
        </w:rPr>
        <w:t>元，项目支出</w:t>
      </w:r>
      <w:r>
        <w:rPr>
          <w:rFonts w:hint="default" w:ascii="Times New Roman" w:hAnsi="Times New Roman" w:cs="Times New Roman"/>
          <w:color w:val="000000" w:themeColor="text1"/>
          <w:sz w:val="32"/>
          <w:szCs w:val="32"/>
          <w:lang w:val="en-US" w:eastAsia="zh-CN"/>
          <w14:textFill>
            <w14:solidFill>
              <w14:schemeClr w14:val="tx1"/>
            </w14:solidFill>
          </w14:textFill>
        </w:rPr>
        <w:t>16.5万</w:t>
      </w:r>
      <w:r>
        <w:rPr>
          <w:rFonts w:hint="default" w:ascii="Times New Roman" w:hAnsi="Times New Roman" w:cs="Times New Roman"/>
          <w:color w:val="000000" w:themeColor="text1"/>
          <w:sz w:val="32"/>
          <w:szCs w:val="32"/>
          <w14:textFill>
            <w14:solidFill>
              <w14:schemeClr w14:val="tx1"/>
            </w14:solidFill>
          </w14:textFill>
        </w:rPr>
        <w:t>元</w:t>
      </w:r>
      <w:r>
        <w:rPr>
          <w:rFonts w:hint="eastAsia" w:ascii="Times New Roman"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t>三、部门整体预算绩效管理情况</w:t>
      </w:r>
    </w:p>
    <w:p>
      <w:pPr>
        <w:keepNext w:val="0"/>
        <w:keepLines w:val="0"/>
        <w:pageBreakBefore w:val="0"/>
        <w:widowControl/>
        <w:tabs>
          <w:tab w:val="left" w:pos="237"/>
        </w:tabs>
        <w:kinsoku/>
        <w:wordWrap/>
        <w:overflowPunct/>
        <w:topLinePunct w:val="0"/>
        <w:autoSpaceDE/>
        <w:autoSpaceDN/>
        <w:bidi w:val="0"/>
        <w:adjustRightInd w:val="0"/>
        <w:snapToGrid w:val="0"/>
        <w:spacing w:line="576" w:lineRule="exact"/>
        <w:ind w:firstLine="643" w:firstLineChars="200"/>
        <w:contextualSpacing/>
        <w:jc w:val="left"/>
        <w:rPr>
          <w:rFonts w:hint="default" w:ascii="Times New Roman" w:hAnsi="Times New Roman" w:eastAsia="方正楷体_GBK"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方正楷体_GBK" w:cs="Times New Roman"/>
          <w:b/>
          <w:bCs/>
          <w:color w:val="000000" w:themeColor="text1"/>
          <w:kern w:val="0"/>
          <w:sz w:val="32"/>
          <w:szCs w:val="32"/>
          <w:shd w:val="clear" w:color="auto" w:fill="FFFFFF"/>
          <w:lang w:val="zh-CN"/>
          <w14:textFill>
            <w14:solidFill>
              <w14:schemeClr w14:val="tx1"/>
            </w14:solidFill>
          </w14:textFill>
        </w:rPr>
        <w:t>（一）部门预算管理。</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themeColor="text1"/>
          <w:kern w:val="0"/>
          <w:sz w:val="32"/>
          <w:szCs w:val="32"/>
          <w:lang w:val="zh-CN"/>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1.</w:t>
      </w:r>
      <w:r>
        <w:rPr>
          <w:rFonts w:hint="default" w:ascii="Times New Roman" w:hAnsi="Times New Roman" w:eastAsia="仿宋_GB2312" w:cs="Times New Roman"/>
          <w:b/>
          <w:bCs/>
          <w:color w:val="000000" w:themeColor="text1"/>
          <w:kern w:val="0"/>
          <w:sz w:val="32"/>
          <w:szCs w:val="32"/>
          <w:lang w:val="zh-CN"/>
          <w14:textFill>
            <w14:solidFill>
              <w14:schemeClr w14:val="tx1"/>
            </w14:solidFill>
          </w14:textFill>
        </w:rPr>
        <w:t>预算编制情况（</w:t>
      </w:r>
      <w:r>
        <w:rPr>
          <w:rFonts w:hint="default" w:ascii="Times New Roman" w:hAnsi="Times New Roman" w:cs="Times New Roman"/>
          <w:b/>
          <w:bCs/>
          <w:color w:val="000000" w:themeColor="text1"/>
          <w:kern w:val="0"/>
          <w:sz w:val="32"/>
          <w:szCs w:val="32"/>
          <w:lang w:val="en-US" w:eastAsia="zh-CN"/>
          <w14:textFill>
            <w14:solidFill>
              <w14:schemeClr w14:val="tx1"/>
            </w14:solidFill>
          </w14:textFill>
        </w:rPr>
        <w:t>满分</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30分</w:t>
      </w:r>
      <w:r>
        <w:rPr>
          <w:rFonts w:hint="default" w:ascii="Times New Roman" w:hAnsi="Times New Roman" w:cs="Times New Roman"/>
          <w:b/>
          <w:bCs/>
          <w:color w:val="000000" w:themeColor="text1"/>
          <w:kern w:val="0"/>
          <w:sz w:val="32"/>
          <w:szCs w:val="32"/>
          <w:lang w:val="en-US" w:eastAsia="zh-CN"/>
          <w14:textFill>
            <w14:solidFill>
              <w14:schemeClr w14:val="tx1"/>
            </w14:solidFill>
          </w14:textFill>
        </w:rPr>
        <w:t>，自评得分30分</w:t>
      </w:r>
      <w:r>
        <w:rPr>
          <w:rFonts w:hint="default" w:ascii="Times New Roman" w:hAnsi="Times New Roman" w:eastAsia="仿宋_GB2312" w:cs="Times New Roman"/>
          <w:b/>
          <w:bCs/>
          <w:color w:val="000000" w:themeColor="text1"/>
          <w:kern w:val="0"/>
          <w:sz w:val="32"/>
          <w:szCs w:val="32"/>
          <w:lang w:val="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部门预算编制目标制定（</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分）。部门整体绩效目标编制完整、合理</w:t>
      </w:r>
      <w:r>
        <w:rPr>
          <w:rFonts w:hint="default" w:ascii="Times New Roman" w:hAnsi="Times New Roman" w:cs="Times New Roman"/>
          <w:color w:val="000000" w:themeColor="text1"/>
          <w:kern w:val="0"/>
          <w:sz w:val="32"/>
          <w:szCs w:val="32"/>
          <w:lang w:val="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部门整体绩效目标能完整、合理反映部门年度职责履行情况，项目绩效目标编制明确，并通过了预算草案审查，审查后未提出确需修改的问题</w:t>
      </w:r>
      <w:r>
        <w:rPr>
          <w:rFonts w:hint="default" w:ascii="Times New Roman" w:hAnsi="Times New Roman" w:cs="Times New Roman"/>
          <w:color w:val="000000" w:themeColor="text1"/>
          <w:kern w:val="0"/>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自评得分</w:t>
      </w:r>
      <w:r>
        <w:rPr>
          <w:rFonts w:hint="default" w:ascii="Times New Roman" w:hAnsi="Times New Roman" w:eastAsia="仿宋_GB2312" w:cs="Times New Roman"/>
          <w:b/>
          <w:bCs/>
          <w:color w:val="000000" w:themeColor="text1"/>
          <w:kern w:val="0"/>
          <w:sz w:val="32"/>
          <w:szCs w:val="32"/>
          <w:lang w:val="zh-CN"/>
          <w14:textFill>
            <w14:solidFill>
              <w14:schemeClr w14:val="tx1"/>
            </w14:solidFill>
          </w14:textFill>
        </w:rPr>
        <w:t>：</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10分。</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部门预算编制</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目标实现（10分）。预算编制</w:t>
      </w:r>
      <w:r>
        <w:rPr>
          <w:rFonts w:hint="default" w:ascii="Times New Roman" w:hAnsi="Times New Roman" w:cs="Times New Roman"/>
          <w:color w:val="000000" w:themeColor="text1"/>
          <w:kern w:val="0"/>
          <w:sz w:val="32"/>
          <w:szCs w:val="32"/>
          <w:lang w:val="en-US" w:eastAsia="zh-CN"/>
          <w14:textFill>
            <w14:solidFill>
              <w14:schemeClr w14:val="tx1"/>
            </w14:solidFill>
          </w14:textFill>
        </w:rPr>
        <w:t>7</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个项目，</w:t>
      </w:r>
      <w:r>
        <w:rPr>
          <w:rFonts w:hint="default" w:ascii="Times New Roman" w:hAnsi="Times New Roman" w:cs="Times New Roman"/>
          <w:color w:val="000000" w:themeColor="text1"/>
          <w:kern w:val="0"/>
          <w:sz w:val="32"/>
          <w:szCs w:val="32"/>
          <w:lang w:val="en-US" w:eastAsia="zh-CN"/>
          <w14:textFill>
            <w14:solidFill>
              <w14:schemeClr w14:val="tx1"/>
            </w14:solidFill>
          </w14:textFill>
        </w:rPr>
        <w:t>7个</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项目指标实际完成均达到预期指标</w:t>
      </w:r>
      <w:r>
        <w:rPr>
          <w:rFonts w:hint="default" w:ascii="Times New Roman" w:hAnsi="Times New Roman" w:cs="Times New Roman"/>
          <w:b/>
          <w:bCs/>
          <w:color w:val="000000" w:themeColor="text1"/>
          <w:kern w:val="0"/>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自评得分10分。</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部门预算编制准确（</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10 </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分）。</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严格按照预算编制要求，编制部门预算，并经书记办公会审定后，及时报州财政局审定并下达预算批复。</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自评得分10分。</w:t>
      </w:r>
    </w:p>
    <w:p>
      <w:pPr>
        <w:pStyle w:val="41"/>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b/>
          <w:bCs/>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2.预算执行（满分</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30分，自评得分27.62分</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部门预算编制</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支出控制（10分）。按照部门日常公用经费、项目支出中“办公费、印刷费、水费、电费、物业管理费”等科目年初预算数比年底决算数偏多49512.5元，其中4000元为遗属补助，因遗属去世未发放，45512.5元为年初预算的会议费，均按要求核减了相关额度。偏差比例为0.98%，偏差度在10%以内。</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自评得分10分。</w:t>
      </w:r>
    </w:p>
    <w:p>
      <w:pPr>
        <w:pStyle w:val="41"/>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（2）</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部门预算编制</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动态调整（10分）。我委绩效监控调整取消额为49512.5元（年初预算的会议费和遗属补助）、结余额为60000元（12月25日，财政下拨的公务用车购置款），得分为49512.5÷（49512.5+600000）*10=7.62分。</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自评得分7.62分。</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（3）</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部门预算编制</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部门执行进度（10分）。6月累计支付金额为2163447.79元，达到进度的47.68%；9月累计支付金额为3419750.05元，达到进度的75.38%；11月累计支付金额为4381871.16元，达到进度的96.59%；即，实际支出进度分别达到了32.49%、67.5%、82.5%。</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自评得分10分。</w:t>
      </w:r>
    </w:p>
    <w:p>
      <w:pPr>
        <w:pStyle w:val="41"/>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b/>
          <w:bCs/>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3.完成结果（满分20分，自评得分20分）</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部门预算编制</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预算完成（10分）。部门预算编制7个项目，12月预算执行进度均达到100%。</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自评得分10分。</w:t>
      </w:r>
    </w:p>
    <w:p>
      <w:pPr>
        <w:pStyle w:val="41"/>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(2)</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部门预算编制</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违规记录（10分）。根据财政检查结果反映部门上一年度部门预算管理合规。</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自评得分10分。</w:t>
      </w:r>
    </w:p>
    <w:p>
      <w:pPr>
        <w:pStyle w:val="41"/>
        <w:keepNext w:val="0"/>
        <w:keepLines w:val="0"/>
        <w:pageBreakBefore w:val="0"/>
        <w:kinsoku/>
        <w:wordWrap/>
        <w:overflowPunct/>
        <w:topLinePunct w:val="0"/>
        <w:autoSpaceDE/>
        <w:autoSpaceDN/>
        <w:bidi w:val="0"/>
        <w:spacing w:line="560" w:lineRule="exact"/>
        <w:ind w:firstLine="643" w:firstLineChars="200"/>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（二）结果应用情况</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w:t>
      </w:r>
      <w:r>
        <w:rPr>
          <w:rFonts w:hint="default" w:ascii="Times New Roman" w:hAnsi="Times New Roman" w:cs="Times New Roman"/>
          <w:b/>
          <w:bCs/>
          <w:color w:val="000000" w:themeColor="text1"/>
          <w:kern w:val="0"/>
          <w:sz w:val="32"/>
          <w:szCs w:val="32"/>
          <w:lang w:val="en-US" w:eastAsia="zh-CN"/>
          <w14:textFill>
            <w14:solidFill>
              <w14:schemeClr w14:val="tx1"/>
            </w14:solidFill>
          </w14:textFill>
        </w:rPr>
        <w:t>满分10</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分</w:t>
      </w:r>
      <w:r>
        <w:rPr>
          <w:rFonts w:hint="default" w:ascii="Times New Roman" w:hAnsi="Times New Roman" w:cs="Times New Roman"/>
          <w:b/>
          <w:bCs/>
          <w:color w:val="000000" w:themeColor="text1"/>
          <w:kern w:val="0"/>
          <w:sz w:val="32"/>
          <w:szCs w:val="32"/>
          <w:lang w:val="en-US" w:eastAsia="zh-CN"/>
          <w14:textFill>
            <w14:solidFill>
              <w14:schemeClr w14:val="tx1"/>
            </w14:solidFill>
          </w14:textFill>
        </w:rPr>
        <w:t>，自评得分10分</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（1）</w:t>
      </w:r>
      <w:r>
        <w:rPr>
          <w:rFonts w:hint="default" w:ascii="Times New Roman" w:hAnsi="Times New Roman" w:cs="Times New Roman"/>
          <w:b/>
          <w:bCs/>
          <w:color w:val="000000" w:themeColor="text1"/>
          <w:kern w:val="0"/>
          <w:sz w:val="32"/>
          <w:szCs w:val="32"/>
          <w:lang w:val="en-US" w:eastAsia="zh-CN"/>
          <w14:textFill>
            <w14:solidFill>
              <w14:schemeClr w14:val="tx1"/>
            </w14:solidFill>
          </w14:textFill>
        </w:rPr>
        <w:t>自评</w:t>
      </w:r>
      <w:r>
        <w:rPr>
          <w:rFonts w:hint="default" w:ascii="Times New Roman" w:hAnsi="Times New Roman" w:eastAsia="仿宋_GB2312" w:cs="Times New Roman"/>
          <w:b/>
          <w:bCs/>
          <w:color w:val="000000" w:themeColor="text1"/>
          <w:kern w:val="0"/>
          <w:sz w:val="32"/>
          <w:szCs w:val="32"/>
          <w:lang w:val="zh-CN" w:eastAsia="zh-CN"/>
          <w14:textFill>
            <w14:solidFill>
              <w14:schemeClr w14:val="tx1"/>
            </w14:solidFill>
          </w14:textFill>
        </w:rPr>
        <w:t>公开（</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2分</w:t>
      </w:r>
      <w:r>
        <w:rPr>
          <w:rFonts w:hint="default" w:ascii="Times New Roman" w:hAnsi="Times New Roman" w:eastAsia="仿宋_GB2312" w:cs="Times New Roman"/>
          <w:b/>
          <w:bCs/>
          <w:color w:val="000000" w:themeColor="text1"/>
          <w:kern w:val="0"/>
          <w:sz w:val="32"/>
          <w:szCs w:val="32"/>
          <w:lang w:val="zh-CN" w:eastAsia="zh-CN"/>
          <w14:textFill>
            <w14:solidFill>
              <w14:schemeClr w14:val="tx1"/>
            </w14:solidFill>
          </w14:textFill>
        </w:rPr>
        <w:t>）</w:t>
      </w:r>
      <w:r>
        <w:rPr>
          <w:rFonts w:hint="default" w:ascii="Times New Roman" w:hAnsi="Times New Roman" w:cs="Times New Roman"/>
          <w:b/>
          <w:bCs/>
          <w:color w:val="000000" w:themeColor="text1"/>
          <w:kern w:val="0"/>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除涉密信息外，按要求在财政部门批复后二十日内向社会公开本部门预算</w:t>
      </w:r>
      <w:r>
        <w:rPr>
          <w:rFonts w:hint="default" w:ascii="Times New Roman" w:hAnsi="Times New Roman" w:cs="Times New Roman"/>
          <w:color w:val="000000" w:themeColor="text1"/>
          <w:kern w:val="0"/>
          <w:sz w:val="32"/>
          <w:szCs w:val="32"/>
          <w:lang w:val="en-US" w:eastAsia="zh-CN"/>
          <w14:textFill>
            <w14:solidFill>
              <w14:schemeClr w14:val="tx1"/>
            </w14:solidFill>
          </w14:textFill>
        </w:rPr>
        <w:t>、决算</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（含所有财政资金安排的“三公”经费、机关运行经费的安排、使用情况等）在州政府门户网站上进行了公开</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按要求公开部门整体支出绩效自评报告及其他按要求应公开的绩效信息</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w:t>
      </w:r>
      <w:r>
        <w:rPr>
          <w:rFonts w:hint="default" w:ascii="Times New Roman" w:hAnsi="Times New Roman" w:cs="Times New Roman"/>
          <w:b/>
          <w:bCs/>
          <w:color w:val="000000" w:themeColor="text1"/>
          <w:kern w:val="0"/>
          <w:sz w:val="32"/>
          <w:szCs w:val="32"/>
          <w:lang w:val="en-US" w:eastAsia="zh-CN"/>
          <w14:textFill>
            <w14:solidFill>
              <w14:schemeClr w14:val="tx1"/>
            </w14:solidFill>
          </w14:textFill>
        </w:rPr>
        <w:t>自评得分2分</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2.整改反馈（8分）</w:t>
      </w:r>
      <w:r>
        <w:rPr>
          <w:rFonts w:hint="default" w:ascii="Times New Roman" w:hAnsi="Times New Roman" w:cs="Times New Roman"/>
          <w:b/>
          <w:bCs/>
          <w:color w:val="000000" w:themeColor="text1"/>
          <w:kern w:val="0"/>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结果整改及应用反馈：阿坝州财政局《关于开展2019、2020年预决算公开情况专项检查情况的通报》（阿州财监绩函〔2021〕2号），</w:t>
      </w:r>
      <w:r>
        <w:rPr>
          <w:rFonts w:hint="default" w:ascii="Times New Roman" w:hAnsi="Times New Roman" w:cs="Times New Roman"/>
          <w:color w:val="000000" w:themeColor="text1"/>
          <w:kern w:val="0"/>
          <w:sz w:val="32"/>
          <w:szCs w:val="32"/>
          <w:lang w:val="en-US" w:eastAsia="zh-CN"/>
          <w14:textFill>
            <w14:solidFill>
              <w14:schemeClr w14:val="tx1"/>
            </w14:solidFill>
          </w14:textFill>
        </w:rPr>
        <w:t>未反馈存在的问题。</w:t>
      </w:r>
      <w:r>
        <w:rPr>
          <w:rFonts w:hint="default" w:ascii="Times New Roman" w:hAnsi="Times New Roman" w:cs="Times New Roman"/>
          <w:b/>
          <w:bCs/>
          <w:color w:val="000000" w:themeColor="text1"/>
          <w:kern w:val="0"/>
          <w:sz w:val="32"/>
          <w:szCs w:val="32"/>
          <w:lang w:val="en-US" w:eastAsia="zh-CN"/>
          <w14:textFill>
            <w14:solidFill>
              <w14:schemeClr w14:val="tx1"/>
            </w14:solidFill>
          </w14:textFill>
        </w:rPr>
        <w:t>自评得分8分。</w:t>
      </w:r>
    </w:p>
    <w:p>
      <w:pPr>
        <w:pStyle w:val="41"/>
        <w:keepNext w:val="0"/>
        <w:keepLines w:val="0"/>
        <w:pageBreakBefore w:val="0"/>
        <w:kinsoku/>
        <w:wordWrap/>
        <w:overflowPunct/>
        <w:topLinePunct w:val="0"/>
        <w:autoSpaceDE/>
        <w:autoSpaceDN/>
        <w:bidi w:val="0"/>
        <w:spacing w:line="560" w:lineRule="exact"/>
        <w:ind w:firstLine="640"/>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我委无债务资金、无非税收入；</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编制政府采购实施计划与政府采购预算的一致；按规定完成资产清查任务，并及时上报行政事业单位资产报表；</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设立了完整的内控制度，未发生廉政或重大责任事故，并按要求上报了内控报表、分析材料。</w:t>
      </w:r>
    </w:p>
    <w:p>
      <w:pPr>
        <w:pStyle w:val="41"/>
        <w:keepNext w:val="0"/>
        <w:keepLines w:val="0"/>
        <w:pageBreakBefore w:val="0"/>
        <w:numPr>
          <w:ilvl w:val="0"/>
          <w:numId w:val="0"/>
        </w:numPr>
        <w:kinsoku/>
        <w:wordWrap/>
        <w:overflowPunct/>
        <w:topLinePunct w:val="0"/>
        <w:autoSpaceDE/>
        <w:autoSpaceDN/>
        <w:bidi w:val="0"/>
        <w:spacing w:line="560" w:lineRule="exact"/>
        <w:ind w:firstLine="643" w:firstLineChars="200"/>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（三）自评质量（10分）</w:t>
      </w:r>
    </w:p>
    <w:p>
      <w:pPr>
        <w:pStyle w:val="41"/>
        <w:keepNext w:val="0"/>
        <w:keepLines w:val="0"/>
        <w:pageBreakBefore w:val="0"/>
        <w:numPr>
          <w:ilvl w:val="0"/>
          <w:numId w:val="0"/>
        </w:numPr>
        <w:kinsoku/>
        <w:wordWrap/>
        <w:overflowPunct/>
        <w:topLinePunct w:val="0"/>
        <w:autoSpaceDE/>
        <w:autoSpaceDN/>
        <w:bidi w:val="0"/>
        <w:spacing w:line="560" w:lineRule="exact"/>
        <w:rPr>
          <w:rFonts w:hint="default" w:ascii="Times New Roman" w:hAnsi="Times New Roman" w:cs="Times New Roman"/>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en-US" w:eastAsia="zh-CN"/>
          <w14:textFill>
            <w14:solidFill>
              <w14:schemeClr w14:val="tx1"/>
            </w14:solidFill>
          </w14:textFill>
        </w:rPr>
        <w:t xml:space="preserve">     此项部门不打分。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t>四、评价结论及建议</w:t>
      </w:r>
    </w:p>
    <w:p>
      <w:pPr>
        <w:pStyle w:val="41"/>
        <w:keepNext w:val="0"/>
        <w:keepLines w:val="0"/>
        <w:pageBreakBefore w:val="0"/>
        <w:numPr>
          <w:ilvl w:val="0"/>
          <w:numId w:val="0"/>
        </w:numPr>
        <w:kinsoku/>
        <w:wordWrap/>
        <w:overflowPunct/>
        <w:topLinePunct w:val="0"/>
        <w:autoSpaceDE/>
        <w:autoSpaceDN/>
        <w:bidi w:val="0"/>
        <w:spacing w:line="560" w:lineRule="exact"/>
        <w:ind w:firstLine="640"/>
        <w:rPr>
          <w:rFonts w:hint="default" w:ascii="Times New Roman" w:hAnsi="Times New Roman" w:eastAsia="方正楷体_GBK" w:cs="Times New Roman"/>
          <w:b/>
          <w:bCs/>
          <w:color w:val="000000" w:themeColor="text1"/>
          <w:kern w:val="0"/>
          <w:sz w:val="32"/>
          <w:szCs w:val="32"/>
          <w:shd w:val="clear" w:color="auto" w:fill="FFFFFF"/>
          <w:lang w:val="zh-CN" w:eastAsia="zh-CN" w:bidi="ar-SA"/>
          <w14:textFill>
            <w14:solidFill>
              <w14:schemeClr w14:val="tx1"/>
            </w14:solidFill>
          </w14:textFill>
        </w:rPr>
      </w:pPr>
      <w:r>
        <w:rPr>
          <w:rFonts w:hint="default" w:ascii="Times New Roman" w:hAnsi="Times New Roman" w:eastAsia="方正楷体_GBK" w:cs="Times New Roman"/>
          <w:b/>
          <w:bCs/>
          <w:color w:val="000000" w:themeColor="text1"/>
          <w:kern w:val="0"/>
          <w:sz w:val="32"/>
          <w:szCs w:val="32"/>
          <w:shd w:val="clear" w:color="auto" w:fill="FFFFFF"/>
          <w:lang w:val="zh-CN"/>
          <w14:textFill>
            <w14:solidFill>
              <w14:schemeClr w14:val="tx1"/>
            </w14:solidFill>
          </w14:textFill>
        </w:rPr>
        <w:t>（一）评价结论。</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通过部门整体支出绩效评价部门自评满分为90分</w:t>
      </w: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（除自评质量10分</w:t>
      </w:r>
      <w:r>
        <w:rPr>
          <w:rFonts w:hint="default" w:ascii="Times New Roman" w:hAnsi="Times New Roman" w:cs="Times New Roman"/>
          <w:color w:val="000000" w:themeColor="text1"/>
          <w:kern w:val="0"/>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，通过自评得分</w:t>
      </w:r>
      <w:r>
        <w:rPr>
          <w:rFonts w:hint="default" w:ascii="Times New Roman" w:hAnsi="Times New Roman" w:cs="Times New Roman"/>
          <w:color w:val="000000" w:themeColor="text1"/>
          <w:kern w:val="0"/>
          <w:sz w:val="32"/>
          <w:szCs w:val="32"/>
          <w:lang w:val="en-US" w:eastAsia="zh-CN" w:bidi="ar-SA"/>
          <w14:textFill>
            <w14:solidFill>
              <w14:schemeClr w14:val="tx1"/>
            </w14:solidFill>
          </w14:textFill>
        </w:rPr>
        <w:t>87.62</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分。</w:t>
      </w:r>
    </w:p>
    <w:p>
      <w:pPr>
        <w:keepNext w:val="0"/>
        <w:keepLines w:val="0"/>
        <w:pageBreakBefore w:val="0"/>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0" w:leftChars="0" w:firstLine="643" w:firstLineChars="200"/>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方正楷体_GBK" w:cs="Times New Roman"/>
          <w:b/>
          <w:bCs/>
          <w:color w:val="000000" w:themeColor="text1"/>
          <w:kern w:val="0"/>
          <w:sz w:val="32"/>
          <w:szCs w:val="32"/>
          <w:shd w:val="clear" w:color="auto" w:fill="FFFFFF"/>
          <w:lang w:val="zh-CN" w:eastAsia="zh-CN" w:bidi="ar-SA"/>
          <w14:textFill>
            <w14:solidFill>
              <w14:schemeClr w14:val="tx1"/>
            </w14:solidFill>
          </w14:textFill>
        </w:rPr>
        <w:t>（二）存在问题。</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预算编制准确度有待提高，存在期末追减情况；固定资产卡片有未及时更新情况，管理有待完善</w:t>
      </w:r>
      <w:r>
        <w:rPr>
          <w:rFonts w:hint="default" w:ascii="Times New Roman" w:hAnsi="Times New Roman" w:cs="Times New Roman"/>
          <w:color w:val="000000" w:themeColor="text1"/>
          <w:kern w:val="0"/>
          <w:sz w:val="32"/>
          <w:szCs w:val="32"/>
          <w:lang w:val="en-US" w:eastAsia="zh-CN" w:bidi="ar-SA"/>
          <w14:textFill>
            <w14:solidFill>
              <w14:schemeClr w14:val="tx1"/>
            </w14:solidFill>
          </w14:textFill>
        </w:rPr>
        <w:t>。</w:t>
      </w:r>
    </w:p>
    <w:p>
      <w:pPr>
        <w:keepNext w:val="0"/>
        <w:keepLines w:val="0"/>
        <w:pageBreakBefore w:val="0"/>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0" w:leftChars="0" w:firstLine="643" w:firstLineChars="200"/>
        <w:rPr>
          <w:rFonts w:hint="default" w:ascii="Times New Roman" w:hAnsi="Times New Roman"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方正楷体_GBK" w:cs="Times New Roman"/>
          <w:b/>
          <w:bCs/>
          <w:color w:val="000000" w:themeColor="text1"/>
          <w:kern w:val="0"/>
          <w:sz w:val="32"/>
          <w:szCs w:val="32"/>
          <w:shd w:val="clear" w:color="auto" w:fill="FFFFFF"/>
          <w:lang w:val="zh-CN" w:eastAsia="zh-CN" w:bidi="ar-SA"/>
          <w14:textFill>
            <w14:solidFill>
              <w14:schemeClr w14:val="tx1"/>
            </w14:solidFill>
          </w14:textFill>
        </w:rPr>
        <w:t>（三）改进建议。</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加强每月预算执行监控，及时督促相关科室推进项目执行。通过近年预决算数据对比，科学编制预算，尽量做好年度规划，降低经费追加减比例。及时更新固定资产卡片，提高单位成本费用准确度</w:t>
      </w:r>
      <w:r>
        <w:rPr>
          <w:rFonts w:hint="default" w:ascii="Times New Roman" w:hAnsi="Times New Roman" w:cs="Times New Roman"/>
          <w:color w:val="000000" w:themeColor="text1"/>
          <w:kern w:val="0"/>
          <w:sz w:val="32"/>
          <w:szCs w:val="32"/>
          <w:lang w:val="en-US" w:eastAsia="zh-CN" w:bidi="ar-SA"/>
          <w14:textFill>
            <w14:solidFill>
              <w14:schemeClr w14:val="tx1"/>
            </w14:solidFill>
          </w14:textFill>
        </w:rPr>
        <w:t>。</w:t>
      </w:r>
    </w:p>
    <w:p>
      <w:pPr>
        <w:pStyle w:val="41"/>
        <w:ind w:firstLine="960" w:firstLineChars="3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 xml:space="preserve">附件：2021年州级部门整体支出绩效评价指标体系 </w:t>
      </w:r>
    </w:p>
    <w:p>
      <w:pPr>
        <w:pStyle w:val="41"/>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p>
    <w:p>
      <w:pPr>
        <w:pStyle w:val="41"/>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 xml:space="preserve">                             中共阿坝州直机关工委</w:t>
      </w:r>
    </w:p>
    <w:p>
      <w:pPr>
        <w:pStyle w:val="41"/>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 xml:space="preserve">                                  2021年6月25日</w:t>
      </w:r>
    </w:p>
    <w:p>
      <w:pPr>
        <w:spacing w:line="580" w:lineRule="exact"/>
        <w:ind w:firstLine="640" w:firstLineChars="200"/>
        <w:rPr>
          <w:rFonts w:hint="default" w:ascii="Times New Roman" w:hAnsi="Times New Roman" w:eastAsia="仿宋_GB2312" w:cs="Times New Roman"/>
          <w:sz w:val="32"/>
          <w:szCs w:val="32"/>
        </w:rPr>
      </w:pPr>
    </w:p>
    <w:p>
      <w:pPr>
        <w:spacing w:line="600" w:lineRule="exact"/>
        <w:jc w:val="center"/>
        <w:outlineLvl w:val="0"/>
        <w:rPr>
          <w:rFonts w:hint="default" w:ascii="Times New Roman" w:hAnsi="Times New Roman" w:eastAsia="黑体" w:cs="Times New Roman"/>
          <w:color w:val="000000"/>
          <w:sz w:val="44"/>
          <w:szCs w:val="44"/>
        </w:rPr>
      </w:pPr>
      <w:bookmarkStart w:id="111" w:name="_Toc79163635"/>
      <w:bookmarkStart w:id="112" w:name="_Toc15396618"/>
    </w:p>
    <w:p>
      <w:pPr>
        <w:pStyle w:val="2"/>
        <w:rPr>
          <w:rFonts w:hint="default" w:ascii="Times New Roman" w:hAnsi="Times New Roman" w:eastAsia="黑体" w:cs="Times New Roman"/>
          <w:color w:val="000000"/>
          <w:sz w:val="44"/>
          <w:szCs w:val="44"/>
        </w:rPr>
      </w:pPr>
    </w:p>
    <w:p>
      <w:pPr>
        <w:rPr>
          <w:rFonts w:hint="default" w:ascii="Times New Roman" w:hAnsi="Times New Roman" w:eastAsia="黑体" w:cs="Times New Roman"/>
          <w:color w:val="000000"/>
          <w:sz w:val="44"/>
          <w:szCs w:val="44"/>
        </w:rPr>
      </w:pPr>
    </w:p>
    <w:p>
      <w:pPr>
        <w:pStyle w:val="2"/>
        <w:rPr>
          <w:rFonts w:hint="default"/>
        </w:rPr>
      </w:pPr>
    </w:p>
    <w:p>
      <w:pPr>
        <w:spacing w:line="600" w:lineRule="exact"/>
        <w:jc w:val="center"/>
        <w:outlineLvl w:val="0"/>
        <w:rPr>
          <w:rFonts w:hint="default" w:ascii="Times New Roman" w:hAnsi="Times New Roman" w:eastAsia="黑体" w:cs="Times New Roman"/>
          <w:color w:val="000000"/>
          <w:sz w:val="44"/>
          <w:szCs w:val="44"/>
        </w:rPr>
      </w:pPr>
    </w:p>
    <w:p>
      <w:pPr>
        <w:spacing w:line="600" w:lineRule="exact"/>
        <w:jc w:val="center"/>
        <w:outlineLvl w:val="0"/>
        <w:rPr>
          <w:rStyle w:val="25"/>
          <w:rFonts w:hint="default" w:ascii="Times New Roman" w:hAnsi="Times New Roman" w:eastAsia="黑体" w:cs="Times New Roman"/>
          <w:b w:val="0"/>
        </w:rPr>
      </w:pPr>
      <w:bookmarkStart w:id="113" w:name="_Toc29131"/>
      <w:r>
        <w:rPr>
          <w:rFonts w:hint="default" w:ascii="Times New Roman" w:hAnsi="Times New Roman" w:eastAsia="黑体" w:cs="Times New Roman"/>
          <w:color w:val="000000"/>
          <w:sz w:val="44"/>
          <w:szCs w:val="44"/>
        </w:rPr>
        <w:t>第</w:t>
      </w:r>
      <w:r>
        <w:rPr>
          <w:rStyle w:val="25"/>
          <w:rFonts w:hint="default" w:ascii="Times New Roman" w:hAnsi="Times New Roman" w:eastAsia="黑体" w:cs="Times New Roman"/>
          <w:b w:val="0"/>
        </w:rPr>
        <w:t>五部分 附表</w:t>
      </w:r>
      <w:bookmarkEnd w:id="105"/>
      <w:bookmarkEnd w:id="111"/>
      <w:bookmarkEnd w:id="112"/>
      <w:bookmarkEnd w:id="113"/>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cs="Times New Roman"/>
          <w:color w:val="000000"/>
        </w:rPr>
      </w:pPr>
      <w:bookmarkStart w:id="114" w:name="_Toc15396619"/>
      <w:bookmarkStart w:id="115" w:name="_Toc5935"/>
      <w:bookmarkStart w:id="116" w:name="_Toc79163636"/>
      <w:r>
        <w:rPr>
          <w:rFonts w:hint="default" w:ascii="Times New Roman" w:hAnsi="Times New Roman" w:eastAsia="仿宋" w:cs="Times New Roman"/>
          <w:b w:val="0"/>
          <w:color w:val="000000"/>
        </w:rPr>
        <w:t>一、收</w:t>
      </w:r>
      <w:r>
        <w:rPr>
          <w:rStyle w:val="26"/>
          <w:rFonts w:hint="default" w:ascii="Times New Roman" w:hAnsi="Times New Roman" w:eastAsia="仿宋" w:cs="Times New Roman"/>
          <w:b w:val="0"/>
          <w:bCs w:val="0"/>
        </w:rPr>
        <w:t>入支出决算总表</w:t>
      </w:r>
      <w:bookmarkEnd w:id="114"/>
      <w:bookmarkEnd w:id="115"/>
      <w:bookmarkEnd w:id="116"/>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cs="Times New Roman"/>
          <w:color w:val="000000"/>
        </w:rPr>
      </w:pPr>
      <w:bookmarkStart w:id="117" w:name="_Toc19999"/>
      <w:bookmarkStart w:id="118" w:name="_Toc79163637"/>
      <w:bookmarkStart w:id="119" w:name="_Toc15396620"/>
      <w:r>
        <w:rPr>
          <w:rFonts w:hint="default" w:ascii="Times New Roman" w:hAnsi="Times New Roman" w:eastAsia="仿宋" w:cs="Times New Roman"/>
          <w:b w:val="0"/>
          <w:color w:val="000000"/>
        </w:rPr>
        <w:t>二、收</w:t>
      </w:r>
      <w:r>
        <w:rPr>
          <w:rStyle w:val="26"/>
          <w:rFonts w:hint="default" w:ascii="Times New Roman" w:hAnsi="Times New Roman" w:eastAsia="仿宋" w:cs="Times New Roman"/>
          <w:b w:val="0"/>
          <w:bCs w:val="0"/>
        </w:rPr>
        <w:t>入决算表</w:t>
      </w:r>
      <w:bookmarkEnd w:id="117"/>
      <w:bookmarkEnd w:id="118"/>
      <w:bookmarkEnd w:id="119"/>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cs="Times New Roman"/>
          <w:color w:val="000000"/>
        </w:rPr>
      </w:pPr>
      <w:bookmarkStart w:id="120" w:name="_Toc29931"/>
      <w:bookmarkStart w:id="121" w:name="_Toc79163638"/>
      <w:bookmarkStart w:id="122" w:name="_Toc15396621"/>
      <w:r>
        <w:rPr>
          <w:rStyle w:val="26"/>
          <w:rFonts w:hint="default" w:ascii="Times New Roman" w:hAnsi="Times New Roman" w:eastAsia="仿宋" w:cs="Times New Roman"/>
          <w:b w:val="0"/>
          <w:bCs w:val="0"/>
        </w:rPr>
        <w:t>三、</w:t>
      </w:r>
      <w:r>
        <w:rPr>
          <w:rFonts w:hint="default" w:ascii="Times New Roman" w:hAnsi="Times New Roman" w:eastAsia="仿宋" w:cs="Times New Roman"/>
          <w:b w:val="0"/>
          <w:color w:val="000000"/>
        </w:rPr>
        <w:t>支</w:t>
      </w:r>
      <w:r>
        <w:rPr>
          <w:rStyle w:val="26"/>
          <w:rFonts w:hint="default" w:ascii="Times New Roman" w:hAnsi="Times New Roman" w:eastAsia="仿宋" w:cs="Times New Roman"/>
          <w:b w:val="0"/>
          <w:bCs w:val="0"/>
        </w:rPr>
        <w:t>出决算表</w:t>
      </w:r>
      <w:bookmarkEnd w:id="120"/>
      <w:bookmarkEnd w:id="121"/>
      <w:bookmarkEnd w:id="122"/>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cs="Times New Roman"/>
          <w:b w:val="0"/>
          <w:color w:val="000000"/>
        </w:rPr>
      </w:pPr>
      <w:bookmarkStart w:id="123" w:name="_Toc6877"/>
      <w:bookmarkStart w:id="124" w:name="_Toc79163639"/>
      <w:bookmarkStart w:id="125" w:name="_Toc15396622"/>
      <w:r>
        <w:rPr>
          <w:rStyle w:val="26"/>
          <w:rFonts w:hint="default" w:ascii="Times New Roman" w:hAnsi="Times New Roman" w:eastAsia="仿宋" w:cs="Times New Roman"/>
          <w:b w:val="0"/>
          <w:bCs w:val="0"/>
        </w:rPr>
        <w:t>四、</w:t>
      </w:r>
      <w:r>
        <w:rPr>
          <w:rFonts w:hint="default" w:ascii="Times New Roman" w:hAnsi="Times New Roman" w:eastAsia="仿宋" w:cs="Times New Roman"/>
          <w:b w:val="0"/>
          <w:color w:val="000000"/>
        </w:rPr>
        <w:t>财</w:t>
      </w:r>
      <w:r>
        <w:rPr>
          <w:rStyle w:val="26"/>
          <w:rFonts w:hint="default" w:ascii="Times New Roman" w:hAnsi="Times New Roman" w:eastAsia="仿宋" w:cs="Times New Roman"/>
          <w:b w:val="0"/>
          <w:bCs w:val="0"/>
        </w:rPr>
        <w:t>政拨款收入支出决算总表</w:t>
      </w:r>
      <w:bookmarkEnd w:id="123"/>
      <w:bookmarkEnd w:id="124"/>
      <w:bookmarkEnd w:id="125"/>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Style w:val="26"/>
          <w:rFonts w:hint="default" w:ascii="Times New Roman" w:hAnsi="Times New Roman" w:eastAsia="仿宋" w:cs="Times New Roman"/>
          <w:b w:val="0"/>
          <w:bCs w:val="0"/>
        </w:rPr>
      </w:pPr>
      <w:bookmarkStart w:id="126" w:name="_Toc8818"/>
      <w:bookmarkStart w:id="127" w:name="_Toc79163640"/>
      <w:bookmarkStart w:id="128" w:name="_Toc15396623"/>
      <w:r>
        <w:rPr>
          <w:rStyle w:val="26"/>
          <w:rFonts w:hint="default" w:ascii="Times New Roman" w:hAnsi="Times New Roman" w:eastAsia="仿宋" w:cs="Times New Roman"/>
          <w:b w:val="0"/>
          <w:bCs w:val="0"/>
        </w:rPr>
        <w:t>五、</w:t>
      </w:r>
      <w:r>
        <w:rPr>
          <w:rFonts w:hint="default" w:ascii="Times New Roman" w:hAnsi="Times New Roman" w:eastAsia="仿宋" w:cs="Times New Roman"/>
          <w:b w:val="0"/>
          <w:color w:val="000000"/>
        </w:rPr>
        <w:t>财</w:t>
      </w:r>
      <w:r>
        <w:rPr>
          <w:rStyle w:val="26"/>
          <w:rFonts w:hint="default" w:ascii="Times New Roman" w:hAnsi="Times New Roman" w:eastAsia="仿宋" w:cs="Times New Roman"/>
          <w:b w:val="0"/>
          <w:bCs w:val="0"/>
        </w:rPr>
        <w:t>政拨款支出决算明细表</w:t>
      </w:r>
      <w:bookmarkEnd w:id="126"/>
      <w:bookmarkEnd w:id="127"/>
      <w:bookmarkEnd w:id="128"/>
      <w:bookmarkStart w:id="129" w:name="_Toc15396624"/>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cs="Times New Roman"/>
          <w:color w:val="000000"/>
        </w:rPr>
      </w:pPr>
      <w:bookmarkStart w:id="130" w:name="_Toc1573"/>
      <w:bookmarkStart w:id="131" w:name="_Toc79163641"/>
      <w:r>
        <w:rPr>
          <w:rStyle w:val="26"/>
          <w:rFonts w:hint="default" w:ascii="Times New Roman" w:hAnsi="Times New Roman" w:eastAsia="仿宋" w:cs="Times New Roman"/>
          <w:b w:val="0"/>
          <w:bCs w:val="0"/>
        </w:rPr>
        <w:t>六、</w:t>
      </w:r>
      <w:r>
        <w:rPr>
          <w:rFonts w:hint="default" w:ascii="Times New Roman" w:hAnsi="Times New Roman" w:eastAsia="仿宋" w:cs="Times New Roman"/>
          <w:b w:val="0"/>
          <w:color w:val="000000"/>
        </w:rPr>
        <w:t>一</w:t>
      </w:r>
      <w:r>
        <w:rPr>
          <w:rStyle w:val="26"/>
          <w:rFonts w:hint="default" w:ascii="Times New Roman" w:hAnsi="Times New Roman" w:eastAsia="仿宋" w:cs="Times New Roman"/>
          <w:b w:val="0"/>
          <w:bCs w:val="0"/>
        </w:rPr>
        <w:t>般公共预算财政拨款支出决算表</w:t>
      </w:r>
      <w:bookmarkEnd w:id="129"/>
      <w:bookmarkEnd w:id="130"/>
      <w:bookmarkEnd w:id="131"/>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cs="Times New Roman"/>
          <w:color w:val="000000"/>
        </w:rPr>
      </w:pPr>
      <w:bookmarkStart w:id="132" w:name="_Toc30630"/>
      <w:bookmarkStart w:id="133" w:name="_Toc79163642"/>
      <w:bookmarkStart w:id="134" w:name="_Toc15396625"/>
      <w:r>
        <w:rPr>
          <w:rStyle w:val="26"/>
          <w:rFonts w:hint="default" w:ascii="Times New Roman" w:hAnsi="Times New Roman" w:eastAsia="仿宋" w:cs="Times New Roman"/>
          <w:b w:val="0"/>
          <w:bCs w:val="0"/>
        </w:rPr>
        <w:t>七、</w:t>
      </w:r>
      <w:r>
        <w:rPr>
          <w:rFonts w:hint="default" w:ascii="Times New Roman" w:hAnsi="Times New Roman" w:eastAsia="仿宋" w:cs="Times New Roman"/>
          <w:b w:val="0"/>
          <w:color w:val="000000"/>
        </w:rPr>
        <w:t>一</w:t>
      </w:r>
      <w:r>
        <w:rPr>
          <w:rStyle w:val="26"/>
          <w:rFonts w:hint="default" w:ascii="Times New Roman" w:hAnsi="Times New Roman" w:eastAsia="仿宋" w:cs="Times New Roman"/>
          <w:b w:val="0"/>
          <w:bCs w:val="0"/>
        </w:rPr>
        <w:t>般公共预算财政拨款支出决算明细表</w:t>
      </w:r>
      <w:bookmarkEnd w:id="132"/>
      <w:bookmarkEnd w:id="133"/>
      <w:bookmarkEnd w:id="134"/>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cs="Times New Roman"/>
          <w:color w:val="000000"/>
        </w:rPr>
      </w:pPr>
      <w:bookmarkStart w:id="135" w:name="_Toc27016"/>
      <w:bookmarkStart w:id="136" w:name="_Toc15396626"/>
      <w:bookmarkStart w:id="137" w:name="_Toc79163643"/>
      <w:r>
        <w:rPr>
          <w:rStyle w:val="26"/>
          <w:rFonts w:hint="default" w:ascii="Times New Roman" w:hAnsi="Times New Roman" w:eastAsia="仿宋" w:cs="Times New Roman"/>
          <w:b w:val="0"/>
          <w:bCs w:val="0"/>
        </w:rPr>
        <w:t>八、</w:t>
      </w:r>
      <w:r>
        <w:rPr>
          <w:rFonts w:hint="default" w:ascii="Times New Roman" w:hAnsi="Times New Roman" w:eastAsia="仿宋" w:cs="Times New Roman"/>
          <w:b w:val="0"/>
          <w:color w:val="000000"/>
        </w:rPr>
        <w:t>一</w:t>
      </w:r>
      <w:r>
        <w:rPr>
          <w:rStyle w:val="26"/>
          <w:rFonts w:hint="default" w:ascii="Times New Roman" w:hAnsi="Times New Roman" w:eastAsia="仿宋" w:cs="Times New Roman"/>
          <w:b w:val="0"/>
          <w:bCs w:val="0"/>
        </w:rPr>
        <w:t>般公共预算财政拨款基本支出决算表</w:t>
      </w:r>
      <w:bookmarkEnd w:id="135"/>
      <w:bookmarkEnd w:id="136"/>
      <w:bookmarkEnd w:id="137"/>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cs="Times New Roman"/>
          <w:color w:val="000000"/>
        </w:rPr>
      </w:pPr>
      <w:bookmarkStart w:id="138" w:name="_Toc11301"/>
      <w:bookmarkStart w:id="139" w:name="_Toc79163644"/>
      <w:bookmarkStart w:id="140" w:name="_Toc15396627"/>
      <w:r>
        <w:rPr>
          <w:rStyle w:val="26"/>
          <w:rFonts w:hint="default" w:ascii="Times New Roman" w:hAnsi="Times New Roman" w:eastAsia="仿宋" w:cs="Times New Roman"/>
          <w:b w:val="0"/>
          <w:bCs w:val="0"/>
        </w:rPr>
        <w:t>九、</w:t>
      </w:r>
      <w:r>
        <w:rPr>
          <w:rFonts w:hint="default" w:ascii="Times New Roman" w:hAnsi="Times New Roman" w:eastAsia="仿宋" w:cs="Times New Roman"/>
          <w:b w:val="0"/>
          <w:color w:val="000000"/>
        </w:rPr>
        <w:t>一</w:t>
      </w:r>
      <w:r>
        <w:rPr>
          <w:rStyle w:val="26"/>
          <w:rFonts w:hint="default" w:ascii="Times New Roman" w:hAnsi="Times New Roman" w:eastAsia="仿宋" w:cs="Times New Roman"/>
          <w:b w:val="0"/>
          <w:bCs w:val="0"/>
        </w:rPr>
        <w:t>般公共预算财政拨款项目支出决算表</w:t>
      </w:r>
      <w:bookmarkEnd w:id="138"/>
      <w:bookmarkEnd w:id="139"/>
      <w:bookmarkEnd w:id="140"/>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cs="Times New Roman"/>
          <w:color w:val="000000"/>
        </w:rPr>
      </w:pPr>
      <w:bookmarkStart w:id="141" w:name="_Toc79163645"/>
      <w:bookmarkStart w:id="142" w:name="_Toc6449"/>
      <w:bookmarkStart w:id="143" w:name="_Toc15396628"/>
      <w:r>
        <w:rPr>
          <w:rStyle w:val="26"/>
          <w:rFonts w:hint="default" w:ascii="Times New Roman" w:hAnsi="Times New Roman" w:eastAsia="仿宋" w:cs="Times New Roman"/>
          <w:b w:val="0"/>
          <w:bCs w:val="0"/>
        </w:rPr>
        <w:t>十、</w:t>
      </w:r>
      <w:r>
        <w:rPr>
          <w:rFonts w:hint="default" w:ascii="Times New Roman" w:hAnsi="Times New Roman" w:eastAsia="仿宋" w:cs="Times New Roman"/>
          <w:b w:val="0"/>
          <w:color w:val="000000"/>
        </w:rPr>
        <w:t>一</w:t>
      </w:r>
      <w:r>
        <w:rPr>
          <w:rStyle w:val="26"/>
          <w:rFonts w:hint="default" w:ascii="Times New Roman" w:hAnsi="Times New Roman" w:eastAsia="仿宋" w:cs="Times New Roman"/>
          <w:b w:val="0"/>
          <w:bCs w:val="0"/>
        </w:rPr>
        <w:t>般公共预算财政拨款“三公”经费支出决算表</w:t>
      </w:r>
      <w:bookmarkEnd w:id="141"/>
      <w:bookmarkEnd w:id="142"/>
      <w:bookmarkEnd w:id="143"/>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cs="Times New Roman"/>
          <w:color w:val="000000"/>
        </w:rPr>
      </w:pPr>
      <w:bookmarkStart w:id="144" w:name="_Toc31310"/>
      <w:bookmarkStart w:id="145" w:name="_Toc15396629"/>
      <w:bookmarkStart w:id="146" w:name="_Toc79163646"/>
      <w:r>
        <w:rPr>
          <w:rStyle w:val="26"/>
          <w:rFonts w:hint="default" w:ascii="Times New Roman" w:hAnsi="Times New Roman" w:eastAsia="仿宋" w:cs="Times New Roman"/>
          <w:b w:val="0"/>
          <w:bCs w:val="0"/>
        </w:rPr>
        <w:t>十一、</w:t>
      </w:r>
      <w:r>
        <w:rPr>
          <w:rFonts w:hint="default" w:ascii="Times New Roman" w:hAnsi="Times New Roman" w:eastAsia="仿宋" w:cs="Times New Roman"/>
          <w:b w:val="0"/>
          <w:color w:val="000000"/>
        </w:rPr>
        <w:t>政</w:t>
      </w:r>
      <w:r>
        <w:rPr>
          <w:rStyle w:val="26"/>
          <w:rFonts w:hint="default" w:ascii="Times New Roman" w:hAnsi="Times New Roman" w:eastAsia="仿宋" w:cs="Times New Roman"/>
          <w:b w:val="0"/>
          <w:bCs w:val="0"/>
        </w:rPr>
        <w:t>府性基金预算财政拨款收入支出决算表</w:t>
      </w:r>
      <w:bookmarkEnd w:id="144"/>
      <w:bookmarkEnd w:id="145"/>
      <w:bookmarkEnd w:id="146"/>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 w:cs="Times New Roman"/>
          <w:color w:val="000000"/>
        </w:rPr>
      </w:pPr>
      <w:bookmarkStart w:id="147" w:name="_Toc79163647"/>
      <w:bookmarkStart w:id="148" w:name="_Toc18789"/>
      <w:bookmarkStart w:id="149" w:name="_Toc15396630"/>
      <w:r>
        <w:rPr>
          <w:rStyle w:val="26"/>
          <w:rFonts w:hint="default" w:ascii="Times New Roman" w:hAnsi="Times New Roman" w:eastAsia="仿宋" w:cs="Times New Roman"/>
          <w:b w:val="0"/>
          <w:bCs w:val="0"/>
        </w:rPr>
        <w:t>十二、</w:t>
      </w:r>
      <w:r>
        <w:rPr>
          <w:rFonts w:hint="default" w:ascii="Times New Roman" w:hAnsi="Times New Roman" w:eastAsia="仿宋" w:cs="Times New Roman"/>
          <w:b w:val="0"/>
          <w:color w:val="000000"/>
        </w:rPr>
        <w:t>政</w:t>
      </w:r>
      <w:r>
        <w:rPr>
          <w:rStyle w:val="26"/>
          <w:rFonts w:hint="default" w:ascii="Times New Roman" w:hAnsi="Times New Roman" w:eastAsia="仿宋" w:cs="Times New Roman"/>
          <w:b w:val="0"/>
          <w:bCs w:val="0"/>
        </w:rPr>
        <w:t>府性基金预算财政拨款“三公”经费支出决算表</w:t>
      </w:r>
      <w:bookmarkEnd w:id="147"/>
      <w:bookmarkEnd w:id="148"/>
      <w:bookmarkEnd w:id="149"/>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Style w:val="26"/>
          <w:rFonts w:hint="default" w:ascii="Times New Roman" w:hAnsi="Times New Roman" w:eastAsia="仿宋" w:cs="Times New Roman"/>
          <w:b w:val="0"/>
          <w:bCs w:val="0"/>
        </w:rPr>
      </w:pPr>
      <w:bookmarkStart w:id="150" w:name="_Toc842"/>
      <w:bookmarkStart w:id="151" w:name="_Toc15396631"/>
      <w:bookmarkStart w:id="152" w:name="_Toc79163648"/>
      <w:r>
        <w:rPr>
          <w:rStyle w:val="26"/>
          <w:rFonts w:hint="default" w:ascii="Times New Roman" w:hAnsi="Times New Roman" w:eastAsia="仿宋" w:cs="Times New Roman"/>
          <w:b w:val="0"/>
          <w:bCs w:val="0"/>
        </w:rPr>
        <w:t>十三、</w:t>
      </w:r>
      <w:r>
        <w:rPr>
          <w:rFonts w:hint="default" w:ascii="Times New Roman" w:hAnsi="Times New Roman" w:eastAsia="仿宋" w:cs="Times New Roman"/>
          <w:b w:val="0"/>
          <w:color w:val="000000"/>
        </w:rPr>
        <w:t>国</w:t>
      </w:r>
      <w:r>
        <w:rPr>
          <w:rStyle w:val="26"/>
          <w:rFonts w:hint="default" w:ascii="Times New Roman" w:hAnsi="Times New Roman" w:eastAsia="仿宋" w:cs="Times New Roman"/>
          <w:b w:val="0"/>
          <w:bCs w:val="0"/>
        </w:rPr>
        <w:t>有资本经营预算财政拨款支出决算表</w:t>
      </w:r>
      <w:bookmarkEnd w:id="150"/>
      <w:bookmarkEnd w:id="151"/>
      <w:bookmarkEnd w:id="152"/>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Style w:val="26"/>
          <w:rFonts w:hint="default" w:ascii="Times New Roman" w:hAnsi="Times New Roman" w:eastAsia="仿宋" w:cs="Times New Roman"/>
          <w:b w:val="0"/>
          <w:bCs w:val="0"/>
        </w:rPr>
      </w:pPr>
      <w:bookmarkStart w:id="153" w:name="_Toc79163649"/>
      <w:bookmarkStart w:id="154" w:name="_Toc9424"/>
      <w:r>
        <w:rPr>
          <w:rStyle w:val="26"/>
          <w:rFonts w:hint="default" w:ascii="Times New Roman" w:hAnsi="Times New Roman" w:eastAsia="仿宋" w:cs="Times New Roman"/>
          <w:b w:val="0"/>
          <w:bCs w:val="0"/>
        </w:rPr>
        <w:t>十四、国有资本经营预算财政拨款支出决算表</w:t>
      </w:r>
      <w:bookmarkEnd w:id="153"/>
      <w:bookmarkEnd w:id="154"/>
    </w:p>
    <w:sectPr>
      <w:footerReference r:id="rId8"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3</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2"/>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3</w:t>
                    </w:r>
                    <w:r>
                      <w:rPr>
                        <w:rFonts w:hint="eastAsia" w:ascii="宋体" w:hAnsi="宋体" w:eastAsia="宋体" w:cs="宋体"/>
                        <w:sz w:val="28"/>
                        <w:szCs w:val="28"/>
                      </w:rPr>
                      <w:fldChar w:fldCharType="end"/>
                    </w:r>
                  </w:p>
                </w:txbxContent>
              </v:textbox>
            </v:shape>
          </w:pict>
        </mc:Fallback>
      </mc:AlternateContent>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4766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2D0F"/>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3B16"/>
    <w:rsid w:val="00406254"/>
    <w:rsid w:val="0040703D"/>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BCD"/>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4E42E50"/>
    <w:rsid w:val="05B50518"/>
    <w:rsid w:val="07F42B99"/>
    <w:rsid w:val="09B954F4"/>
    <w:rsid w:val="0A2032A3"/>
    <w:rsid w:val="0C093122"/>
    <w:rsid w:val="0EA109EB"/>
    <w:rsid w:val="10C055FF"/>
    <w:rsid w:val="118107EC"/>
    <w:rsid w:val="14DC73A9"/>
    <w:rsid w:val="16BB723D"/>
    <w:rsid w:val="1CE41363"/>
    <w:rsid w:val="1D155CEE"/>
    <w:rsid w:val="204C7315"/>
    <w:rsid w:val="20731F3A"/>
    <w:rsid w:val="240371BF"/>
    <w:rsid w:val="25F277AB"/>
    <w:rsid w:val="26D74316"/>
    <w:rsid w:val="29387693"/>
    <w:rsid w:val="29FD04D3"/>
    <w:rsid w:val="2A6F5EE2"/>
    <w:rsid w:val="2EF2790F"/>
    <w:rsid w:val="319F7F4E"/>
    <w:rsid w:val="32161A56"/>
    <w:rsid w:val="328F0607"/>
    <w:rsid w:val="332D492E"/>
    <w:rsid w:val="33FE2C8B"/>
    <w:rsid w:val="394E437E"/>
    <w:rsid w:val="39EF6E97"/>
    <w:rsid w:val="3E6D69F8"/>
    <w:rsid w:val="40F213C8"/>
    <w:rsid w:val="41766BC6"/>
    <w:rsid w:val="42FF0DA7"/>
    <w:rsid w:val="433567B7"/>
    <w:rsid w:val="43CC0895"/>
    <w:rsid w:val="44814F30"/>
    <w:rsid w:val="44E07910"/>
    <w:rsid w:val="46EB3D1D"/>
    <w:rsid w:val="47556185"/>
    <w:rsid w:val="4A863ACB"/>
    <w:rsid w:val="4BB41B49"/>
    <w:rsid w:val="4D6B2CC3"/>
    <w:rsid w:val="4ECE2238"/>
    <w:rsid w:val="4F6B733F"/>
    <w:rsid w:val="564F0D0F"/>
    <w:rsid w:val="595E6DCE"/>
    <w:rsid w:val="59765865"/>
    <w:rsid w:val="5B57012D"/>
    <w:rsid w:val="5C376234"/>
    <w:rsid w:val="5F726E5D"/>
    <w:rsid w:val="60664A43"/>
    <w:rsid w:val="613E304B"/>
    <w:rsid w:val="67D3020B"/>
    <w:rsid w:val="6A144AA3"/>
    <w:rsid w:val="6B6645DE"/>
    <w:rsid w:val="6C4A05C8"/>
    <w:rsid w:val="6D62410A"/>
    <w:rsid w:val="6D6E381B"/>
    <w:rsid w:val="72734D90"/>
    <w:rsid w:val="747D15E6"/>
    <w:rsid w:val="74F53402"/>
    <w:rsid w:val="787A08B5"/>
    <w:rsid w:val="7BAD2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table of figures1"/>
    <w:basedOn w:val="1"/>
    <w:next w:val="1"/>
    <w:qFormat/>
    <w:uiPriority w:val="0"/>
    <w:pPr>
      <w:ind w:left="200" w:leftChars="200" w:hanging="200" w:hangingChars="200"/>
    </w:p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4"/>
    <w:qFormat/>
    <w:uiPriority w:val="99"/>
    <w:pPr>
      <w:spacing w:beforeLines="30"/>
    </w:pPr>
    <w:rPr>
      <w:rFonts w:ascii="仿宋_GB2312" w:eastAsia="仿宋_GB2312"/>
      <w:kern w:val="0"/>
      <w:sz w:val="24"/>
      <w:szCs w:val="20"/>
      <w:lang w:val="zh-CN" w:eastAsia="zh-CN"/>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9"/>
    <w:semiHidden/>
    <w:unhideWhenUsed/>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3">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able of figures"/>
    <w:basedOn w:val="1"/>
    <w:next w:val="1"/>
    <w:unhideWhenUsed/>
    <w:qFormat/>
    <w:uiPriority w:val="99"/>
    <w:pPr>
      <w:ind w:left="200" w:leftChars="200" w:hanging="200" w:hangingChars="200"/>
    </w:p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uiPriority w:val="39"/>
    <w:pPr>
      <w:ind w:left="1680"/>
      <w:jc w:val="left"/>
    </w:pPr>
    <w:rPr>
      <w:rFonts w:asciiTheme="minorHAnsi" w:eastAsiaTheme="minorHAnsi"/>
      <w:sz w:val="18"/>
      <w:szCs w:val="18"/>
    </w:rPr>
  </w:style>
  <w:style w:type="paragraph" w:styleId="20">
    <w:name w:val="Normal (Web)"/>
    <w:basedOn w:val="1"/>
    <w:unhideWhenUsed/>
    <w:qFormat/>
    <w:uiPriority w:val="99"/>
    <w:pPr>
      <w:spacing w:before="100" w:beforeAutospacing="1" w:after="100" w:afterAutospacing="1"/>
    </w:p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3"/>
    <w:qFormat/>
    <w:locked/>
    <w:uiPriority w:val="9"/>
    <w:rPr>
      <w:rFonts w:ascii="Times New Roman" w:hAnsi="Times New Roman" w:cs="Times New Roman"/>
      <w:b/>
      <w:bCs/>
      <w:kern w:val="44"/>
      <w:sz w:val="44"/>
      <w:szCs w:val="44"/>
    </w:rPr>
  </w:style>
  <w:style w:type="character" w:customStyle="1" w:styleId="26">
    <w:name w:val="标题 2 字符"/>
    <w:basedOn w:val="22"/>
    <w:link w:val="4"/>
    <w:qFormat/>
    <w:locked/>
    <w:uiPriority w:val="9"/>
    <w:rPr>
      <w:rFonts w:ascii="Cambria" w:hAnsi="Cambria" w:eastAsia="宋体" w:cs="Times New Roman"/>
      <w:b/>
      <w:bCs/>
      <w:kern w:val="2"/>
      <w:sz w:val="32"/>
      <w:szCs w:val="32"/>
    </w:rPr>
  </w:style>
  <w:style w:type="character" w:customStyle="1" w:styleId="27">
    <w:name w:val="标题 3 字符"/>
    <w:basedOn w:val="22"/>
    <w:link w:val="5"/>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1"/>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3"/>
    <w:semiHidden/>
    <w:qFormat/>
    <w:locked/>
    <w:uiPriority w:val="99"/>
    <w:rPr>
      <w:sz w:val="18"/>
    </w:rPr>
  </w:style>
  <w:style w:type="character" w:customStyle="1" w:styleId="33">
    <w:name w:val="页脚 字符"/>
    <w:link w:val="12"/>
    <w:qFormat/>
    <w:locked/>
    <w:uiPriority w:val="99"/>
    <w:rPr>
      <w:sz w:val="18"/>
    </w:rPr>
  </w:style>
  <w:style w:type="character" w:customStyle="1" w:styleId="34">
    <w:name w:val="正文文本 字符"/>
    <w:link w:val="7"/>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0">
    <w:name w:val="No Spacing"/>
    <w:qFormat/>
    <w:uiPriority w:val="0"/>
    <w:pPr>
      <w:jc w:val="both"/>
      <w:textAlignment w:val="baseline"/>
    </w:pPr>
    <w:rPr>
      <w:rFonts w:ascii="Times New Roman" w:hAnsi="Times New Roman" w:eastAsia="宋体" w:cs="Times New Roman"/>
      <w:color w:val="000000"/>
      <w:sz w:val="21"/>
      <w:u w:color="000000"/>
      <w:lang w:val="en-US" w:eastAsia="zh-CN" w:bidi="ar-SA"/>
    </w:rPr>
  </w:style>
  <w:style w:type="paragraph" w:customStyle="1" w:styleId="41">
    <w:name w:val="文档正文"/>
    <w:basedOn w:val="1"/>
    <w:qFormat/>
    <w:uiPriority w:val="0"/>
    <w:pPr>
      <w:adjustRightInd w:val="0"/>
      <w:spacing w:line="480" w:lineRule="atLeast"/>
      <w:textAlignment w:val="baseline"/>
    </w:pPr>
    <w:rPr>
      <w:rFonts w:ascii="Arial" w:hAnsi="Arial"/>
      <w:kern w:val="0"/>
    </w:rPr>
  </w:style>
  <w:style w:type="paragraph" w:styleId="4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lang="zh-CN" sz="1400" b="0" i="0" u="none" strike="noStrike" kern="1200" spc="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r>
              <a:rPr lang="zh-CN" altLang="zh-CN" sz="1400" b="0" i="0" u="none" strike="noStrike" baseline="0">
                <a:effectLst/>
                <a:latin typeface="黑体" panose="02010609060101010101" charset="-122"/>
                <a:ea typeface="黑体" panose="02010609060101010101" charset="-122"/>
                <a:cs typeface="黑体" panose="02010609060101010101" charset="-122"/>
                <a:sym typeface="黑体" panose="02010609060101010101" charset="-122"/>
              </a:rPr>
              <a:t>收、支决算总计变动情况</a:t>
            </a:r>
            <a:endParaRPr lang="zh-CN" altLang="en-US">
              <a:latin typeface="黑体" panose="02010609060101010101" charset="-122"/>
              <a:ea typeface="黑体" panose="02010609060101010101" charset="-122"/>
              <a:cs typeface="黑体" panose="02010609060101010101" charset="-122"/>
              <a:sym typeface="黑体" panose="02010609060101010101" charset="-122"/>
            </a:endParaRPr>
          </a:p>
        </c:rich>
      </c:tx>
      <c:layout>
        <c:manualLayout>
          <c:xMode val="edge"/>
          <c:yMode val="edge"/>
          <c:x val="0.222871452420701"/>
          <c:y val="0.0564772326156018"/>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567.66</c:v>
                </c:pt>
                <c:pt idx="1">
                  <c:v>567.66</c:v>
                </c:pt>
              </c:numCache>
            </c:numRef>
          </c:val>
        </c:ser>
        <c:ser>
          <c:idx val="1"/>
          <c:order val="1"/>
          <c:tx>
            <c:strRef>
              <c:f>Sheet1!$C$1</c:f>
              <c:strCache>
                <c:ptCount val="1"/>
                <c:pt idx="0">
                  <c:v>2020年</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573.69</c:v>
                </c:pt>
                <c:pt idx="1">
                  <c:v>573.69</c:v>
                </c:pt>
              </c:numCache>
            </c:numRef>
          </c:val>
        </c:ser>
        <c:dLbls>
          <c:showLegendKey val="0"/>
          <c:showVal val="0"/>
          <c:showCatName val="0"/>
          <c:showSerName val="0"/>
          <c:showPercent val="0"/>
          <c:showBubbleSize val="0"/>
        </c:dLbls>
        <c:gapWidth val="150"/>
        <c:axId val="340826656"/>
        <c:axId val="340827040"/>
      </c:barChart>
      <c:catAx>
        <c:axId val="340826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0827040"/>
        <c:crosses val="autoZero"/>
        <c:auto val="1"/>
        <c:lblAlgn val="ctr"/>
        <c:lblOffset val="100"/>
        <c:noMultiLvlLbl val="0"/>
      </c:catAx>
      <c:valAx>
        <c:axId val="340827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08266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600">
                <a:latin typeface="方正小标宋简体" panose="02010601030101010101" pitchFamily="4" charset="-122"/>
                <a:ea typeface="方正小标宋简体" panose="02010601030101010101" pitchFamily="4" charset="-122"/>
                <a:cs typeface="方正小标宋简体" panose="02010601030101010101" pitchFamily="4" charset="-122"/>
              </a:rPr>
              <a:t>2020</a:t>
            </a:r>
            <a:r>
              <a:rPr lang="zh-CN" altLang="en-US" sz="1600">
                <a:latin typeface="方正小标宋简体" panose="02010601030101010101" pitchFamily="4" charset="-122"/>
                <a:ea typeface="方正小标宋简体" panose="02010601030101010101" pitchFamily="4" charset="-122"/>
                <a:cs typeface="方正小标宋简体" panose="02010601030101010101" pitchFamily="4" charset="-122"/>
              </a:rPr>
              <a:t>年收入合计</a:t>
            </a:r>
            <a:endParaRPr lang="zh-CN" altLang="en-US" sz="1600">
              <a:latin typeface="方正小标宋简体" panose="02010601030101010101" pitchFamily="4" charset="-122"/>
              <a:ea typeface="方正小标宋简体" panose="02010601030101010101" pitchFamily="4" charset="-122"/>
              <a:cs typeface="方正小标宋简体" panose="02010601030101010101" pitchFamily="4" charset="-122"/>
            </a:endParaRPr>
          </a:p>
        </c:rich>
      </c:tx>
      <c:layout/>
      <c:overlay val="0"/>
      <c:spPr>
        <a:noFill/>
        <a:ln>
          <a:noFill/>
        </a:ln>
        <a:effectLst/>
      </c:spPr>
    </c:title>
    <c:autoTitleDeleted val="0"/>
    <c:plotArea>
      <c:layout/>
      <c:pieChart>
        <c:varyColors val="1"/>
        <c:ser>
          <c:idx val="0"/>
          <c:order val="0"/>
          <c:tx>
            <c:strRef>
              <c:f>Sheet1!$B$1</c:f>
              <c:strCache>
                <c:ptCount val="1"/>
                <c:pt idx="0">
                  <c:v>2020年收入合计</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503.8</c:v>
                </c:pt>
                <c:pt idx="1">
                  <c:v>0</c:v>
                </c:pt>
                <c:pt idx="2">
                  <c:v>0</c:v>
                </c:pt>
                <c:pt idx="3">
                  <c:v>0</c:v>
                </c:pt>
                <c:pt idx="4">
                  <c:v>0</c:v>
                </c:pt>
                <c:pt idx="5">
                  <c:v>0</c:v>
                </c:pt>
                <c:pt idx="6">
                  <c:v>0.12</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Sheet1!$C$2:$C$8</c:f>
              <c:numCache>
                <c:formatCode>General</c:formatCode>
                <c:ptCount val="7"/>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58846918489066"/>
          <c:y val="0.168216153399187"/>
          <c:w val="0.325248508946322"/>
          <c:h val="0.8126089482858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latin typeface="方正小标宋简体" panose="02010601030101010101" pitchFamily="4" charset="-122"/>
                <a:ea typeface="方正小标宋简体" panose="02010601030101010101" pitchFamily="4" charset="-122"/>
                <a:cs typeface="方正小标宋简体" panose="02010601030101010101" pitchFamily="4" charset="-122"/>
              </a:rPr>
              <a:t>2020</a:t>
            </a:r>
            <a:r>
              <a:rPr lang="zh-CN" altLang="en-US">
                <a:latin typeface="方正小标宋简体" panose="02010601030101010101" pitchFamily="4" charset="-122"/>
                <a:ea typeface="方正小标宋简体" panose="02010601030101010101" pitchFamily="4" charset="-122"/>
                <a:cs typeface="方正小标宋简体" panose="02010601030101010101" pitchFamily="4" charset="-122"/>
              </a:rPr>
              <a:t>年支出合计</a:t>
            </a:r>
            <a:endParaRPr lang="zh-CN" altLang="en-US">
              <a:latin typeface="方正小标宋简体" panose="02010601030101010101" pitchFamily="4" charset="-122"/>
              <a:ea typeface="方正小标宋简体" panose="02010601030101010101" pitchFamily="4" charset="-122"/>
              <a:cs typeface="方正小标宋简体" panose="02010601030101010101" pitchFamily="4" charset="-122"/>
            </a:endParaRPr>
          </a:p>
        </c:rich>
      </c:tx>
      <c:layout/>
      <c:overlay val="0"/>
      <c:spPr>
        <a:noFill/>
        <a:ln>
          <a:noFill/>
        </a:ln>
        <a:effectLst/>
      </c:spPr>
    </c:title>
    <c:autoTitleDeleted val="0"/>
    <c:plotArea>
      <c:layout/>
      <c:pieChart>
        <c:varyColors val="1"/>
        <c:ser>
          <c:idx val="0"/>
          <c:order val="0"/>
          <c:tx>
            <c:strRef>
              <c:f>Sheet1!$B$1</c:f>
              <c:strCache>
                <c:ptCount val="1"/>
                <c:pt idx="0">
                  <c:v>2019年支出合计</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497.07</c:v>
                </c:pt>
                <c:pt idx="1">
                  <c:v>16.5</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r>
              <a:rPr lang="zh-CN" altLang="zh-CN" sz="1400" b="0" i="0" u="none" strike="noStrike" baseline="0">
                <a:effectLst/>
                <a:latin typeface="黑体" panose="02010609060101010101" charset="-122"/>
                <a:ea typeface="黑体" panose="02010609060101010101" charset="-122"/>
                <a:cs typeface="黑体" panose="02010609060101010101" charset="-122"/>
                <a:sym typeface="黑体" panose="02010609060101010101" charset="-122"/>
              </a:rPr>
              <a:t>财政拨款收、支决算总计变动情况</a:t>
            </a:r>
            <a:endParaRPr lang="zh-CN" altLang="en-US">
              <a:latin typeface="黑体" panose="02010609060101010101" charset="-122"/>
              <a:ea typeface="黑体" panose="02010609060101010101" charset="-122"/>
              <a:cs typeface="黑体" panose="02010609060101010101" charset="-122"/>
              <a:sym typeface="黑体" panose="02010609060101010101" charset="-122"/>
            </a:endParaRPr>
          </a:p>
        </c:rich>
      </c:tx>
      <c:layout>
        <c:manualLayout>
          <c:xMode val="edge"/>
          <c:yMode val="edge"/>
          <c:x val="0.21299866415248"/>
          <c:y val="0.00851063829787234"/>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c:v>
                </c:pt>
              </c:strCache>
            </c:strRef>
          </c:tx>
          <c:spPr>
            <a:solidFill>
              <a:schemeClr val="accent1"/>
            </a:solidFill>
            <a:ln>
              <a:noFill/>
            </a:ln>
            <a:effectLst/>
            <a:sp3d/>
          </c:spPr>
          <c:invertIfNegative val="0"/>
          <c:dLbls>
            <c:delete val="1"/>
          </c:dLbls>
          <c:cat>
            <c:strRef>
              <c:f>Sheet1!$A$2:$A$3</c:f>
              <c:strCache>
                <c:ptCount val="2"/>
                <c:pt idx="0">
                  <c:v>2019年</c:v>
                </c:pt>
                <c:pt idx="1">
                  <c:v>2020年</c:v>
                </c:pt>
              </c:strCache>
            </c:strRef>
          </c:cat>
          <c:val>
            <c:numRef>
              <c:f>Sheet1!$B$2:$B$3</c:f>
              <c:numCache>
                <c:formatCode>General</c:formatCode>
                <c:ptCount val="2"/>
                <c:pt idx="0">
                  <c:v>567.66</c:v>
                </c:pt>
                <c:pt idx="1">
                  <c:v>573.68</c:v>
                </c:pt>
              </c:numCache>
            </c:numRef>
          </c:val>
        </c:ser>
        <c:ser>
          <c:idx val="1"/>
          <c:order val="1"/>
          <c:tx>
            <c:strRef>
              <c:f>Sheet1!$C$1</c:f>
              <c:strCache>
                <c:ptCount val="1"/>
                <c:pt idx="0">
                  <c:v>财政拨款支出</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Sheet1!$C$2:$C$3</c:f>
              <c:numCache>
                <c:formatCode>General</c:formatCode>
                <c:ptCount val="2"/>
                <c:pt idx="0">
                  <c:v>567.66</c:v>
                </c:pt>
                <c:pt idx="1">
                  <c:v>573.68</c:v>
                </c:pt>
              </c:numCache>
            </c:numRef>
          </c:val>
        </c:ser>
        <c:dLbls>
          <c:showLegendKey val="0"/>
          <c:showVal val="0"/>
          <c:showCatName val="0"/>
          <c:showSerName val="0"/>
          <c:showPercent val="0"/>
          <c:showBubbleSize val="0"/>
        </c:dLbls>
        <c:gapWidth val="150"/>
        <c:axId val="341800504"/>
        <c:axId val="341800888"/>
      </c:barChart>
      <c:catAx>
        <c:axId val="341800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1800888"/>
        <c:crosses val="autoZero"/>
        <c:auto val="1"/>
        <c:lblAlgn val="ctr"/>
        <c:lblOffset val="100"/>
        <c:noMultiLvlLbl val="0"/>
      </c:catAx>
      <c:valAx>
        <c:axId val="341800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18005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latin typeface="黑体" panose="02010609060101010101" charset="-122"/>
                <a:ea typeface="黑体" panose="02010609060101010101" charset="-122"/>
              </a:rPr>
              <a:t>一般公共预算财政拨款支出决算变动情况</a:t>
            </a:r>
            <a:endParaRPr lang="zh-CN" altLang="en-US">
              <a:latin typeface="黑体" panose="02010609060101010101" charset="-122"/>
              <a:ea typeface="黑体" panose="02010609060101010101" charset="-122"/>
            </a:endParaRPr>
          </a:p>
        </c:rich>
      </c:tx>
      <c:layout>
        <c:manualLayout>
          <c:xMode val="edge"/>
          <c:yMode val="edge"/>
          <c:x val="0.20956416464891"/>
          <c:y val="0.00780843310775638"/>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一般公共预算财政拨款支出</c:v>
                </c:pt>
                <c:pt idx="1">
                  <c:v>一般公共预算财政拨款收入</c:v>
                </c:pt>
              </c:strCache>
            </c:strRef>
          </c:cat>
          <c:val>
            <c:numRef>
              <c:f>Sheet1!$B$2:$B$3</c:f>
              <c:numCache>
                <c:formatCode>General</c:formatCode>
                <c:ptCount val="2"/>
                <c:pt idx="0">
                  <c:v>567.66</c:v>
                </c:pt>
                <c:pt idx="1">
                  <c:v>567.66</c:v>
                </c:pt>
              </c:numCache>
            </c:numRef>
          </c:val>
        </c:ser>
        <c:ser>
          <c:idx val="1"/>
          <c:order val="1"/>
          <c:tx>
            <c:strRef>
              <c:f>Sheet1!$C$1</c:f>
              <c:strCache>
                <c:ptCount val="1"/>
                <c:pt idx="0">
                  <c:v>2020年</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一般公共预算财政拨款支出</c:v>
                </c:pt>
                <c:pt idx="1">
                  <c:v>一般公共预算财政拨款收入</c:v>
                </c:pt>
              </c:strCache>
            </c:strRef>
          </c:cat>
          <c:val>
            <c:numRef>
              <c:f>Sheet1!$C$2:$C$3</c:f>
              <c:numCache>
                <c:formatCode>General</c:formatCode>
                <c:ptCount val="2"/>
                <c:pt idx="0">
                  <c:v>573.57</c:v>
                </c:pt>
                <c:pt idx="1">
                  <c:v>573.57</c:v>
                </c:pt>
              </c:numCache>
            </c:numRef>
          </c:val>
        </c:ser>
        <c:dLbls>
          <c:showLegendKey val="0"/>
          <c:showVal val="1"/>
          <c:showCatName val="0"/>
          <c:showSerName val="0"/>
          <c:showPercent val="0"/>
          <c:showBubbleSize val="0"/>
        </c:dLbls>
        <c:gapWidth val="150"/>
        <c:axId val="341838664"/>
        <c:axId val="341855432"/>
      </c:barChart>
      <c:catAx>
        <c:axId val="341838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3" charset="-122"/>
                <a:ea typeface="仿宋_GB2312" panose="02010609030101010101" pitchFamily="3" charset="-122"/>
                <a:cs typeface="+mn-cs"/>
              </a:defRPr>
            </a:pPr>
          </a:p>
        </c:txPr>
        <c:crossAx val="341855432"/>
        <c:crosses val="autoZero"/>
        <c:auto val="1"/>
        <c:lblAlgn val="ctr"/>
        <c:lblOffset val="100"/>
        <c:noMultiLvlLbl val="0"/>
      </c:catAx>
      <c:valAx>
        <c:axId val="341855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18386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方正小标宋简体" panose="02010601030101010101" pitchFamily="4" charset="-122"/>
                <a:ea typeface="方正小标宋简体" panose="02010601030101010101" pitchFamily="4" charset="-122"/>
                <a:cs typeface="方正小标宋简体" panose="02010601030101010101" pitchFamily="4" charset="-122"/>
                <a:sym typeface="方正小标宋简体" panose="02010601030101010101" pitchFamily="4" charset="-122"/>
              </a:defRPr>
            </a:pPr>
            <a:r>
              <a:t> 20</a:t>
            </a:r>
            <a:r>
              <a:rPr lang="en-US" altLang="zh-CN"/>
              <a:t>20</a:t>
            </a:r>
            <a:r>
              <a:t>年一般公共预算财政拨款支出</a:t>
            </a:r>
          </a:p>
        </c:rich>
      </c:tx>
      <c:layout>
        <c:manualLayout>
          <c:xMode val="edge"/>
          <c:yMode val="edge"/>
          <c:x val="0.168748096253427"/>
          <c:y val="0.0570342205323194"/>
        </c:manualLayout>
      </c:layout>
      <c:overlay val="0"/>
      <c:spPr>
        <a:noFill/>
        <a:ln>
          <a:noFill/>
        </a:ln>
        <a:effectLst/>
      </c:spPr>
    </c:title>
    <c:autoTitleDeleted val="0"/>
    <c:plotArea>
      <c:layout/>
      <c:pieChart>
        <c:varyColors val="1"/>
        <c:ser>
          <c:idx val="0"/>
          <c:order val="0"/>
          <c:tx>
            <c:strRef>
              <c:f>Sheet1!$B$1</c:f>
              <c:strCache>
                <c:ptCount val="1"/>
                <c:pt idx="0">
                  <c:v> 2019年一般公共预算财政拨款支出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c:v>
                </c:pt>
                <c:pt idx="1">
                  <c:v>教育支出</c:v>
                </c:pt>
                <c:pt idx="2">
                  <c:v>科学技术</c:v>
                </c:pt>
                <c:pt idx="3">
                  <c:v>文化旅游体育与传媒</c:v>
                </c:pt>
                <c:pt idx="4">
                  <c:v>社会保障和就业</c:v>
                </c:pt>
                <c:pt idx="5">
                  <c:v>卫生健康支出</c:v>
                </c:pt>
                <c:pt idx="6">
                  <c:v>住房保障</c:v>
                </c:pt>
              </c:strCache>
            </c:strRef>
          </c:cat>
          <c:val>
            <c:numRef>
              <c:f>Sheet1!$B$2:$B$8</c:f>
              <c:numCache>
                <c:formatCode>General</c:formatCode>
                <c:ptCount val="7"/>
                <c:pt idx="0">
                  <c:v>426.43</c:v>
                </c:pt>
                <c:pt idx="1">
                  <c:v>0</c:v>
                </c:pt>
                <c:pt idx="2">
                  <c:v>0</c:v>
                </c:pt>
                <c:pt idx="3">
                  <c:v>0</c:v>
                </c:pt>
                <c:pt idx="4">
                  <c:v>39.66</c:v>
                </c:pt>
                <c:pt idx="5">
                  <c:v>19.18</c:v>
                </c:pt>
                <c:pt idx="6">
                  <c:v>28.3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78963247394405"/>
          <c:y val="0.398811062289997"/>
          <c:w val="0.303071859572134"/>
          <c:h val="0.32618247609201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spc="0" normalizeH="0" baseline="0">
                <a:solidFill>
                  <a:schemeClr val="dk1">
                    <a:lumMod val="50000"/>
                    <a:lumOff val="50000"/>
                  </a:schemeClr>
                </a:solidFill>
                <a:latin typeface="黑体" panose="02010609060101010101" charset="-122"/>
                <a:ea typeface="黑体" panose="02010609060101010101" charset="-122"/>
                <a:cs typeface="+mj-cs"/>
              </a:defRPr>
            </a:pPr>
            <a:r>
              <a:rPr lang="zh-CN" altLang="en-US" sz="1200">
                <a:latin typeface="黑体" panose="02010609060101010101" charset="-122"/>
                <a:ea typeface="黑体" panose="02010609060101010101" charset="-122"/>
                <a:cs typeface="方正黑体_GBK" panose="03000509000000000000" charset="-122"/>
              </a:rPr>
              <a:t>“三公”经费财政拨款支出</a:t>
            </a:r>
            <a:endParaRPr lang="zh-CN" altLang="en-US" sz="1200">
              <a:latin typeface="黑体" panose="02010609060101010101" charset="-122"/>
              <a:ea typeface="黑体" panose="02010609060101010101" charset="-122"/>
              <a:cs typeface="方正黑体_GBK" panose="03000509000000000000" charset="-122"/>
            </a:endParaRPr>
          </a:p>
        </c:rich>
      </c:tx>
      <c:layout>
        <c:manualLayout>
          <c:xMode val="edge"/>
          <c:yMode val="edge"/>
          <c:x val="0.207867372964489"/>
          <c:y val="0.0376057662174867"/>
        </c:manualLayout>
      </c:layout>
      <c:overlay val="0"/>
      <c:spPr>
        <a:noFill/>
        <a:ln>
          <a:noFill/>
        </a:ln>
        <a:effectLst/>
      </c:spPr>
    </c:title>
    <c:autoTitleDeleted val="0"/>
    <c:plotArea>
      <c:layout/>
      <c:pieChart>
        <c:varyColors val="1"/>
        <c:ser>
          <c:idx val="0"/>
          <c:order val="0"/>
          <c:tx>
            <c:strRef>
              <c:f>Sheet1!$B$1</c:f>
              <c:strCache>
                <c:ptCount val="1"/>
                <c:pt idx="0">
                  <c:v>“三公”经费财政拨款支出</c:v>
                </c:pt>
              </c:strCache>
            </c:strRef>
          </c:tx>
          <c:spPr/>
          <c:explosion val="0"/>
          <c:dPt>
            <c:idx val="0"/>
            <c:bubble3D val="0"/>
            <c:explosion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Sheet1!$A$2:$A$4</c:f>
              <c:strCache>
                <c:ptCount val="3"/>
                <c:pt idx="0">
                  <c:v>公务用车购置及运行维护费</c:v>
                </c:pt>
                <c:pt idx="1">
                  <c:v>因公出国（境）</c:v>
                </c:pt>
                <c:pt idx="2">
                  <c:v>公务接待费</c:v>
                </c:pt>
              </c:strCache>
            </c:strRef>
          </c:cat>
          <c:val>
            <c:numRef>
              <c:f>Sheet1!$B$2:$B$4</c:f>
              <c:numCache>
                <c:formatCode>General</c:formatCode>
                <c:ptCount val="3"/>
                <c:pt idx="0">
                  <c:v>16.4</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16375</Words>
  <Characters>17553</Characters>
  <Lines>74</Lines>
  <Paragraphs>21</Paragraphs>
  <TotalTime>57</TotalTime>
  <ScaleCrop>false</ScaleCrop>
  <LinksUpToDate>false</LinksUpToDate>
  <CharactersWithSpaces>17712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abc</cp:lastModifiedBy>
  <cp:lastPrinted>2021-09-27T08:01:00Z</cp:lastPrinted>
  <dcterms:modified xsi:type="dcterms:W3CDTF">2021-09-29T09:23:29Z</dcterms:modified>
  <dc:title>阿坝州部门决算说明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4FC39E8585884FC0B6CA0447B442AC10</vt:lpwstr>
  </property>
</Properties>
</file>