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rPr>
      </w:pPr>
      <w:bookmarkStart w:id="0" w:name="_Toc15396475"/>
      <w:bookmarkStart w:id="1" w:name="_Toc15378441"/>
      <w:bookmarkStart w:id="2" w:name="_Toc15377425"/>
      <w:bookmarkStart w:id="3" w:name="_Toc15396597"/>
      <w:bookmarkStart w:id="4" w:name="_Toc15377193"/>
      <w:bookmarkStart w:id="5" w:name="_Toc15306267"/>
      <w:r>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rPr>
        <w:t>202</w:t>
      </w:r>
      <w:r>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lang w:val="en-US" w:eastAsia="zh-CN"/>
        </w:rPr>
        <w:t>4</w:t>
      </w:r>
      <w:r>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rPr>
        <w:t>年度</w:t>
      </w:r>
      <w:bookmarkEnd w:id="0"/>
      <w:bookmarkEnd w:id="1"/>
      <w:bookmarkEnd w:id="2"/>
      <w:bookmarkEnd w:id="3"/>
      <w:bookmarkEnd w:id="4"/>
    </w:p>
    <w:p>
      <w:pPr>
        <w:pStyle w:val="16"/>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eastAsia" w:ascii="Times New Roman" w:hAnsi="Times New Roman" w:eastAsia="宋体" w:cs="Times New Roman"/>
          <w:snapToGrid/>
          <w:color w:val="auto"/>
          <w:spacing w:val="0"/>
          <w:w w:val="100"/>
          <w:position w:val="0"/>
          <w:sz w:val="42"/>
          <w:szCs w:val="42"/>
          <w:u w:val="none" w:color="auto"/>
          <w:vertAlign w:val="baseline"/>
          <w:lang w:eastAsia="zh-CN"/>
        </w:rPr>
      </w:pPr>
      <w:bookmarkStart w:id="6" w:name="_Toc15396598"/>
      <w:bookmarkStart w:id="7" w:name="_Toc15396476"/>
      <w:bookmarkStart w:id="8" w:name="_Toc15377426"/>
      <w:bookmarkStart w:id="9" w:name="_Toc15377194"/>
      <w:bookmarkStart w:id="10" w:name="_Toc15378442"/>
      <w:r>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rPr>
        <w:t>阿坝州</w:t>
      </w:r>
      <w:bookmarkEnd w:id="5"/>
      <w:bookmarkStart w:id="11" w:name="_Toc15306268"/>
      <w:r>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rPr>
        <w:t>法学会</w:t>
      </w:r>
      <w:r>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lang w:eastAsia="zh-CN"/>
        </w:rPr>
        <w:t>单位</w:t>
      </w:r>
      <w:r>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rPr>
        <w:t>决算</w:t>
      </w:r>
      <w:bookmarkEnd w:id="6"/>
      <w:bookmarkEnd w:id="7"/>
      <w:bookmarkEnd w:id="8"/>
      <w:bookmarkEnd w:id="9"/>
      <w:bookmarkEnd w:id="10"/>
      <w:bookmarkEnd w:id="11"/>
      <w:r>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lang w:eastAsia="zh-CN"/>
        </w:rPr>
        <w:t>公开</w:t>
      </w:r>
    </w:p>
    <w:p>
      <w:pPr>
        <w:pStyle w:val="16"/>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42"/>
          <w:szCs w:val="42"/>
          <w:u w:val="none" w:color="auto"/>
          <w:vertAlign w:val="baseline"/>
        </w:rPr>
      </w:pPr>
    </w:p>
    <w:p>
      <w:pPr>
        <w:pStyle w:val="16"/>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42"/>
          <w:szCs w:val="42"/>
          <w:u w:val="none" w:color="auto"/>
          <w:vertAlign w:val="baseline"/>
        </w:rPr>
      </w:pPr>
    </w:p>
    <w:p>
      <w:pPr>
        <w:pStyle w:val="16"/>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42"/>
          <w:szCs w:val="42"/>
          <w:u w:val="none" w:color="auto"/>
          <w:vertAlign w:val="baseline"/>
        </w:rPr>
      </w:pPr>
    </w:p>
    <w:p>
      <w:pPr>
        <w:pStyle w:val="16"/>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42"/>
          <w:szCs w:val="42"/>
          <w:u w:val="none" w:color="auto"/>
          <w:vertAlign w:val="baseline"/>
        </w:rPr>
      </w:pPr>
    </w:p>
    <w:p>
      <w:pPr>
        <w:pStyle w:val="16"/>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24"/>
          <w:szCs w:val="24"/>
          <w:u w:val="none" w:color="auto"/>
          <w:vertAlign w:val="baseline"/>
        </w:rPr>
      </w:pPr>
    </w:p>
    <w:p>
      <w:pPr>
        <w:pStyle w:val="16"/>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24"/>
          <w:szCs w:val="24"/>
          <w:u w:val="none" w:color="auto"/>
          <w:vertAlign w:val="baseline"/>
        </w:rPr>
      </w:pPr>
    </w:p>
    <w:p>
      <w:pPr>
        <w:pStyle w:val="16"/>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24"/>
          <w:szCs w:val="24"/>
          <w:u w:val="none" w:color="auto"/>
          <w:vertAlign w:val="baseline"/>
        </w:rPr>
      </w:pPr>
    </w:p>
    <w:p>
      <w:pPr>
        <w:pStyle w:val="16"/>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24"/>
          <w:szCs w:val="24"/>
          <w:u w:val="none" w:color="auto"/>
          <w:vertAlign w:val="baseline"/>
        </w:rPr>
      </w:pPr>
    </w:p>
    <w:p>
      <w:pPr>
        <w:pStyle w:val="16"/>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24"/>
          <w:szCs w:val="24"/>
          <w:u w:val="none" w:color="auto"/>
          <w:vertAlign w:val="baseline"/>
        </w:rPr>
      </w:pPr>
    </w:p>
    <w:p>
      <w:pPr>
        <w:pStyle w:val="16"/>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24"/>
          <w:szCs w:val="24"/>
          <w:u w:val="none" w:color="auto"/>
          <w:vertAlign w:val="baseline"/>
        </w:rPr>
      </w:pPr>
    </w:p>
    <w:p>
      <w:pPr>
        <w:pStyle w:val="16"/>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24"/>
          <w:szCs w:val="24"/>
          <w:u w:val="none" w:color="auto"/>
          <w:vertAlign w:val="baseline"/>
        </w:rPr>
      </w:pPr>
    </w:p>
    <w:p>
      <w:pPr>
        <w:pStyle w:val="16"/>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24"/>
          <w:szCs w:val="24"/>
          <w:u w:val="none" w:color="auto"/>
          <w:vertAlign w:val="baseline"/>
        </w:rPr>
      </w:pPr>
    </w:p>
    <w:p>
      <w:pPr>
        <w:pStyle w:val="16"/>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eastAsia" w:ascii="仿宋_GB2312" w:hAnsi="仿宋_GB2312" w:eastAsia="仿宋_GB2312" w:cs="仿宋_GB2312"/>
          <w:snapToGrid/>
          <w:color w:val="auto"/>
          <w:spacing w:val="0"/>
          <w:w w:val="100"/>
          <w:position w:val="0"/>
          <w:sz w:val="36"/>
          <w:szCs w:val="36"/>
          <w:u w:val="none" w:color="auto"/>
          <w:vertAlign w:val="baseline"/>
        </w:rPr>
      </w:pPr>
      <w:r>
        <w:rPr>
          <w:rFonts w:hint="eastAsia" w:ascii="仿宋_GB2312" w:hAnsi="仿宋_GB2312" w:eastAsia="仿宋_GB2312" w:cs="仿宋_GB2312"/>
          <w:snapToGrid/>
          <w:color w:val="auto"/>
          <w:spacing w:val="0"/>
          <w:w w:val="100"/>
          <w:position w:val="0"/>
          <w:sz w:val="36"/>
          <w:szCs w:val="36"/>
          <w:u w:val="none" w:color="auto"/>
          <w:vertAlign w:val="baseline"/>
        </w:rPr>
        <w:t>已经保密审查、内容审定，同意对外公开</w:t>
      </w:r>
    </w:p>
    <w:p>
      <w:pPr>
        <w:widowControl/>
        <w:jc w:val="center"/>
        <w:rPr>
          <w:rFonts w:hint="default" w:ascii="Times New Roman" w:hAnsi="Times New Roman" w:eastAsia="宋体" w:cs="Times New Roman"/>
          <w:sz w:val="24"/>
          <w:szCs w:val="24"/>
        </w:rPr>
      </w:pPr>
      <w:bookmarkStart w:id="12" w:name="_Toc15396599"/>
      <w:bookmarkStart w:id="13" w:name="_Toc15377196"/>
    </w:p>
    <w:p>
      <w:pPr>
        <w:widowControl/>
        <w:jc w:val="center"/>
        <w:rPr>
          <w:rFonts w:hint="default" w:ascii="Times New Roman" w:hAnsi="Times New Roman" w:eastAsia="宋体" w:cs="Times New Roman"/>
          <w:sz w:val="24"/>
          <w:szCs w:val="24"/>
        </w:rPr>
      </w:pPr>
    </w:p>
    <w:p>
      <w:pPr>
        <w:widowControl/>
        <w:jc w:val="center"/>
        <w:rPr>
          <w:rFonts w:hint="eastAsia" w:ascii="黑体" w:hAnsi="黑体" w:eastAsia="黑体" w:cs="黑体"/>
          <w:sz w:val="48"/>
          <w:szCs w:val="48"/>
        </w:rPr>
      </w:pPr>
      <w:r>
        <w:rPr>
          <w:rFonts w:hint="eastAsia" w:ascii="黑体" w:hAnsi="黑体" w:eastAsia="黑体" w:cs="黑体"/>
          <w:sz w:val="48"/>
          <w:szCs w:val="48"/>
        </w:rPr>
        <w:t>目录</w:t>
      </w:r>
    </w:p>
    <w:p>
      <w:pPr>
        <w:widowControl/>
        <w:jc w:val="center"/>
        <w:rPr>
          <w:rFonts w:hint="default" w:ascii="Times New Roman" w:hAnsi="Times New Roman" w:eastAsia="宋体" w:cs="Times New Roman"/>
          <w:sz w:val="24"/>
          <w:szCs w:val="24"/>
        </w:rPr>
      </w:pPr>
    </w:p>
    <w:p>
      <w:pPr>
        <w:pStyle w:val="13"/>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公开时间：202</w:t>
      </w:r>
      <w:r>
        <w:rPr>
          <w:rFonts w:hint="eastAsia" w:ascii="Times New Roman" w:eastAsia="宋体" w:cs="Times New Roman"/>
          <w:sz w:val="24"/>
          <w:szCs w:val="24"/>
          <w:lang w:val="en-US" w:eastAsia="zh-CN"/>
        </w:rPr>
        <w:t>5</w:t>
      </w:r>
      <w:r>
        <w:rPr>
          <w:rFonts w:hint="default" w:ascii="Times New Roman" w:hAnsi="Times New Roman" w:eastAsia="宋体" w:cs="Times New Roman"/>
          <w:sz w:val="24"/>
          <w:szCs w:val="24"/>
        </w:rPr>
        <w:t>年9月</w:t>
      </w:r>
      <w:r>
        <w:rPr>
          <w:rFonts w:hint="eastAsia" w:ascii="Times New Roman" w:eastAsia="宋体" w:cs="Times New Roman"/>
          <w:sz w:val="24"/>
          <w:szCs w:val="24"/>
          <w:lang w:val="en-US" w:eastAsia="zh-CN"/>
        </w:rPr>
        <w:t>19</w:t>
      </w:r>
      <w:r>
        <w:rPr>
          <w:rFonts w:hint="default" w:ascii="Times New Roman" w:hAnsi="Times New Roman" w:eastAsia="宋体" w:cs="Times New Roman"/>
          <w:sz w:val="24"/>
          <w:szCs w:val="24"/>
        </w:rPr>
        <w:t>日</w:t>
      </w:r>
    </w:p>
    <w:p>
      <w:pPr>
        <w:rPr>
          <w:rFonts w:hint="default" w:ascii="Times New Roman" w:hAnsi="Times New Roman" w:eastAsia="宋体" w:cs="Times New Roman"/>
          <w:sz w:val="24"/>
          <w:szCs w:val="24"/>
        </w:rPr>
      </w:pPr>
    </w:p>
    <w:p>
      <w:pPr>
        <w:pStyle w:val="13"/>
        <w:adjustRightInd w:val="0"/>
        <w:snapToGrid w:val="0"/>
        <w:spacing w:before="0" w:line="440" w:lineRule="exact"/>
        <w:jc w:val="left"/>
        <w:rPr>
          <w:rFonts w:hint="eastAsia" w:ascii="宋体" w:hAnsi="宋体" w:eastAsia="宋体" w:cs="宋体"/>
          <w:sz w:val="24"/>
          <w:szCs w:val="24"/>
        </w:rPr>
      </w:pPr>
      <w:r>
        <w:rPr>
          <w:rFonts w:hint="eastAsia" w:ascii="宋体" w:hAnsi="宋体" w:eastAsia="宋体" w:cs="宋体"/>
          <w:sz w:val="24"/>
          <w:szCs w:val="24"/>
        </w:rPr>
        <w:t>第一部分 单位概况</w:t>
      </w:r>
      <w:r>
        <w:rPr>
          <w:rFonts w:hint="eastAsia" w:ascii="宋体" w:hAnsi="宋体" w:eastAsia="宋体" w:cs="宋体"/>
          <w:sz w:val="24"/>
          <w:szCs w:val="24"/>
        </w:rPr>
        <w:tab/>
      </w:r>
      <w:r>
        <w:rPr>
          <w:rFonts w:hint="eastAsia" w:ascii="宋体" w:hAnsi="宋体" w:eastAsia="宋体" w:cs="宋体"/>
          <w:sz w:val="24"/>
          <w:szCs w:val="24"/>
        </w:rPr>
        <w:t>4</w:t>
      </w:r>
    </w:p>
    <w:p>
      <w:pPr>
        <w:pStyle w:val="15"/>
        <w:adjustRightInd w:val="0"/>
        <w:snapToGrid w:val="0"/>
        <w:spacing w:line="440" w:lineRule="exact"/>
        <w:jc w:val="left"/>
        <w:rPr>
          <w:rFonts w:hint="eastAsia" w:ascii="宋体" w:hAnsi="宋体" w:eastAsia="宋体" w:cs="宋体"/>
          <w:sz w:val="24"/>
          <w:szCs w:val="24"/>
        </w:rPr>
      </w:pPr>
      <w:r>
        <w:rPr>
          <w:rFonts w:hint="eastAsia" w:ascii="宋体" w:hAnsi="宋体" w:eastAsia="宋体" w:cs="宋体"/>
          <w:sz w:val="24"/>
          <w:szCs w:val="24"/>
        </w:rPr>
        <w:t>一、主要职责</w:t>
      </w:r>
      <w:r>
        <w:rPr>
          <w:rFonts w:hint="eastAsia" w:ascii="宋体" w:hAnsi="宋体" w:eastAsia="宋体" w:cs="宋体"/>
          <w:sz w:val="24"/>
          <w:szCs w:val="24"/>
        </w:rPr>
        <w:tab/>
      </w:r>
      <w:r>
        <w:rPr>
          <w:rFonts w:hint="eastAsia" w:ascii="宋体" w:hAnsi="宋体" w:eastAsia="宋体" w:cs="宋体"/>
          <w:sz w:val="24"/>
          <w:szCs w:val="24"/>
        </w:rPr>
        <w:t>4</w:t>
      </w:r>
    </w:p>
    <w:p>
      <w:pPr>
        <w:pStyle w:val="15"/>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二、机构设置</w:t>
      </w:r>
      <w:r>
        <w:rPr>
          <w:rFonts w:hint="eastAsia" w:ascii="宋体" w:hAnsi="宋体" w:eastAsia="宋体" w:cs="宋体"/>
          <w:sz w:val="24"/>
          <w:szCs w:val="24"/>
        </w:rPr>
        <w:tab/>
      </w:r>
      <w:r>
        <w:rPr>
          <w:rFonts w:hint="eastAsia" w:ascii="宋体" w:hAnsi="宋体" w:eastAsia="宋体" w:cs="宋体"/>
          <w:sz w:val="24"/>
          <w:szCs w:val="24"/>
          <w:lang w:val="en-US" w:eastAsia="zh-CN"/>
        </w:rPr>
        <w:t>5</w:t>
      </w:r>
    </w:p>
    <w:p>
      <w:pPr>
        <w:pStyle w:val="13"/>
        <w:adjustRightInd w:val="0"/>
        <w:snapToGrid w:val="0"/>
        <w:spacing w:before="0"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第二部分 202</w:t>
      </w:r>
      <w:r>
        <w:rPr>
          <w:rFonts w:hint="eastAsia" w:ascii="宋体" w:hAnsi="宋体" w:eastAsia="宋体" w:cs="宋体"/>
          <w:sz w:val="24"/>
          <w:szCs w:val="24"/>
          <w:lang w:val="en-US" w:eastAsia="zh-CN"/>
        </w:rPr>
        <w:t>3</w:t>
      </w:r>
      <w:r>
        <w:rPr>
          <w:rFonts w:hint="eastAsia" w:ascii="宋体" w:hAnsi="宋体" w:eastAsia="宋体" w:cs="宋体"/>
          <w:sz w:val="24"/>
          <w:szCs w:val="24"/>
        </w:rPr>
        <w:t>年度单位决算情况说明</w:t>
      </w:r>
      <w:r>
        <w:rPr>
          <w:rFonts w:hint="eastAsia" w:ascii="宋体" w:hAnsi="宋体" w:eastAsia="宋体" w:cs="宋体"/>
          <w:sz w:val="24"/>
          <w:szCs w:val="24"/>
        </w:rPr>
        <w:tab/>
      </w:r>
      <w:r>
        <w:rPr>
          <w:rFonts w:hint="default" w:ascii="宋体" w:hAnsi="宋体" w:eastAsia="宋体" w:cs="宋体"/>
          <w:sz w:val="24"/>
          <w:szCs w:val="24"/>
          <w:lang w:val="en-US" w:eastAsia="zh-CN"/>
        </w:rPr>
        <w:t>5</w:t>
      </w:r>
    </w:p>
    <w:p>
      <w:pPr>
        <w:pStyle w:val="15"/>
        <w:adjustRightInd w:val="0"/>
        <w:snapToGrid w:val="0"/>
        <w:spacing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一、收入支出决算总体情况说明</w:t>
      </w:r>
      <w:r>
        <w:rPr>
          <w:rFonts w:hint="eastAsia" w:ascii="宋体" w:hAnsi="宋体" w:eastAsia="宋体" w:cs="宋体"/>
          <w:sz w:val="24"/>
          <w:szCs w:val="24"/>
        </w:rPr>
        <w:tab/>
      </w:r>
      <w:r>
        <w:rPr>
          <w:rFonts w:hint="default" w:ascii="宋体" w:hAnsi="宋体" w:cs="宋体"/>
          <w:sz w:val="24"/>
          <w:szCs w:val="24"/>
          <w:lang w:val="en-US" w:eastAsia="zh-CN"/>
        </w:rPr>
        <w:t>5</w:t>
      </w:r>
    </w:p>
    <w:p>
      <w:pPr>
        <w:pStyle w:val="15"/>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二、收入决算情况说明</w:t>
      </w:r>
      <w:r>
        <w:rPr>
          <w:rFonts w:hint="eastAsia" w:ascii="宋体" w:hAnsi="宋体" w:eastAsia="宋体" w:cs="宋体"/>
          <w:sz w:val="24"/>
          <w:szCs w:val="24"/>
        </w:rPr>
        <w:tab/>
      </w:r>
      <w:r>
        <w:rPr>
          <w:rFonts w:hint="eastAsia" w:ascii="宋体" w:hAnsi="宋体" w:eastAsia="宋体" w:cs="宋体"/>
          <w:sz w:val="24"/>
          <w:szCs w:val="24"/>
          <w:lang w:val="en-US" w:eastAsia="zh-CN"/>
        </w:rPr>
        <w:t>6</w:t>
      </w:r>
    </w:p>
    <w:p>
      <w:pPr>
        <w:pStyle w:val="15"/>
        <w:adjustRightInd w:val="0"/>
        <w:snapToGrid w:val="0"/>
        <w:spacing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三、支出决算情况说明</w:t>
      </w:r>
      <w:r>
        <w:rPr>
          <w:rFonts w:hint="eastAsia" w:ascii="宋体" w:hAnsi="宋体" w:eastAsia="宋体" w:cs="宋体"/>
          <w:sz w:val="24"/>
          <w:szCs w:val="24"/>
        </w:rPr>
        <w:tab/>
      </w:r>
      <w:r>
        <w:rPr>
          <w:rFonts w:hint="default" w:ascii="宋体" w:hAnsi="宋体" w:cs="宋体"/>
          <w:sz w:val="24"/>
          <w:szCs w:val="24"/>
          <w:lang w:val="en-US" w:eastAsia="zh-CN"/>
        </w:rPr>
        <w:t>6</w:t>
      </w:r>
    </w:p>
    <w:p>
      <w:pPr>
        <w:pStyle w:val="15"/>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四、财政拨款收入支出决算总体情况说明</w:t>
      </w:r>
      <w:r>
        <w:rPr>
          <w:rFonts w:hint="eastAsia" w:ascii="宋体" w:hAnsi="宋体" w:eastAsia="宋体" w:cs="宋体"/>
          <w:sz w:val="24"/>
          <w:szCs w:val="24"/>
        </w:rPr>
        <w:tab/>
      </w:r>
      <w:r>
        <w:rPr>
          <w:rFonts w:hint="eastAsia" w:ascii="宋体" w:hAnsi="宋体" w:eastAsia="宋体" w:cs="宋体"/>
          <w:sz w:val="24"/>
          <w:szCs w:val="24"/>
          <w:lang w:val="en-US" w:eastAsia="zh-CN"/>
        </w:rPr>
        <w:t>7</w:t>
      </w:r>
    </w:p>
    <w:p>
      <w:pPr>
        <w:pStyle w:val="15"/>
        <w:adjustRightInd w:val="0"/>
        <w:snapToGrid w:val="0"/>
        <w:spacing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五、一般公共预算财政拨款支出决算情况说明</w:t>
      </w:r>
      <w:r>
        <w:rPr>
          <w:rFonts w:hint="eastAsia" w:ascii="宋体" w:hAnsi="宋体" w:eastAsia="宋体" w:cs="宋体"/>
          <w:sz w:val="24"/>
          <w:szCs w:val="24"/>
        </w:rPr>
        <w:tab/>
      </w:r>
      <w:r>
        <w:rPr>
          <w:rFonts w:hint="eastAsia" w:ascii="宋体" w:hAnsi="宋体" w:eastAsia="宋体" w:cs="宋体"/>
          <w:sz w:val="24"/>
          <w:szCs w:val="24"/>
          <w:lang w:val="en-US" w:eastAsia="zh-CN"/>
        </w:rPr>
        <w:t>8</w:t>
      </w:r>
    </w:p>
    <w:p>
      <w:pPr>
        <w:pStyle w:val="15"/>
        <w:adjustRightInd w:val="0"/>
        <w:snapToGrid w:val="0"/>
        <w:spacing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六、一般公共预算财政拨款基本支出决算情况说明</w:t>
      </w:r>
      <w:r>
        <w:rPr>
          <w:rFonts w:hint="eastAsia" w:ascii="宋体" w:hAnsi="宋体" w:eastAsia="宋体" w:cs="宋体"/>
          <w:sz w:val="24"/>
          <w:szCs w:val="24"/>
        </w:rPr>
        <w:tab/>
      </w:r>
      <w:r>
        <w:rPr>
          <w:rFonts w:hint="eastAsia" w:ascii="宋体" w:hAnsi="宋体" w:eastAsia="宋体" w:cs="宋体"/>
          <w:sz w:val="24"/>
          <w:szCs w:val="24"/>
        </w:rPr>
        <w:t>1</w:t>
      </w:r>
      <w:r>
        <w:rPr>
          <w:rFonts w:hint="eastAsia" w:ascii="宋体" w:hAnsi="宋体" w:eastAsia="宋体" w:cs="宋体"/>
          <w:sz w:val="24"/>
          <w:szCs w:val="24"/>
          <w:lang w:val="en-US" w:eastAsia="zh-CN"/>
        </w:rPr>
        <w:t>0</w:t>
      </w:r>
    </w:p>
    <w:p>
      <w:pPr>
        <w:pStyle w:val="15"/>
        <w:adjustRightInd w:val="0"/>
        <w:snapToGrid w:val="0"/>
        <w:spacing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七、财政拨款“三公”经费支出决算情况说明</w:t>
      </w:r>
      <w:r>
        <w:rPr>
          <w:rFonts w:hint="eastAsia" w:ascii="宋体" w:hAnsi="宋体" w:eastAsia="宋体" w:cs="宋体"/>
          <w:sz w:val="24"/>
          <w:szCs w:val="24"/>
        </w:rPr>
        <w:tab/>
      </w:r>
      <w:r>
        <w:rPr>
          <w:rFonts w:hint="eastAsia" w:ascii="宋体" w:hAnsi="宋体" w:eastAsia="宋体" w:cs="宋体"/>
          <w:sz w:val="24"/>
          <w:szCs w:val="24"/>
        </w:rPr>
        <w:t>1</w:t>
      </w:r>
      <w:r>
        <w:rPr>
          <w:rFonts w:hint="eastAsia" w:ascii="宋体" w:hAnsi="宋体" w:eastAsia="宋体" w:cs="宋体"/>
          <w:sz w:val="24"/>
          <w:szCs w:val="24"/>
          <w:lang w:val="en-US" w:eastAsia="zh-CN"/>
        </w:rPr>
        <w:t>0</w:t>
      </w:r>
    </w:p>
    <w:p>
      <w:pPr>
        <w:pStyle w:val="15"/>
        <w:adjustRightInd w:val="0"/>
        <w:snapToGrid w:val="0"/>
        <w:spacing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八、政府性基金预算支出决算情况说明</w:t>
      </w:r>
      <w:r>
        <w:rPr>
          <w:rFonts w:hint="eastAsia" w:ascii="宋体" w:hAnsi="宋体" w:eastAsia="宋体" w:cs="宋体"/>
          <w:sz w:val="24"/>
          <w:szCs w:val="24"/>
        </w:rPr>
        <w:tab/>
      </w:r>
      <w:r>
        <w:rPr>
          <w:rFonts w:hint="eastAsia" w:ascii="宋体" w:hAnsi="宋体" w:eastAsia="宋体" w:cs="宋体"/>
          <w:sz w:val="24"/>
          <w:szCs w:val="24"/>
        </w:rPr>
        <w:t>1</w:t>
      </w:r>
      <w:r>
        <w:rPr>
          <w:rFonts w:hint="eastAsia" w:ascii="宋体" w:hAnsi="宋体" w:eastAsia="宋体" w:cs="宋体"/>
          <w:sz w:val="24"/>
          <w:szCs w:val="24"/>
          <w:lang w:val="en-US" w:eastAsia="zh-CN"/>
        </w:rPr>
        <w:t>0</w:t>
      </w:r>
    </w:p>
    <w:p>
      <w:pPr>
        <w:pStyle w:val="15"/>
        <w:adjustRightInd w:val="0"/>
        <w:snapToGrid w:val="0"/>
        <w:spacing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九、国有资本经营预算支出决算情况说明</w:t>
      </w:r>
      <w:r>
        <w:rPr>
          <w:rFonts w:hint="eastAsia" w:ascii="宋体" w:hAnsi="宋体" w:eastAsia="宋体" w:cs="宋体"/>
          <w:sz w:val="24"/>
          <w:szCs w:val="24"/>
        </w:rPr>
        <w:tab/>
      </w:r>
      <w:r>
        <w:rPr>
          <w:rFonts w:hint="eastAsia" w:ascii="宋体" w:hAnsi="宋体" w:eastAsia="宋体" w:cs="宋体"/>
          <w:sz w:val="24"/>
          <w:szCs w:val="24"/>
        </w:rPr>
        <w:t>1</w:t>
      </w:r>
      <w:r>
        <w:rPr>
          <w:rFonts w:hint="default" w:ascii="宋体" w:hAnsi="宋体" w:cs="宋体"/>
          <w:sz w:val="24"/>
          <w:szCs w:val="24"/>
          <w:lang w:val="en-US" w:eastAsia="zh-CN"/>
        </w:rPr>
        <w:t>1</w:t>
      </w:r>
    </w:p>
    <w:p>
      <w:pPr>
        <w:pStyle w:val="15"/>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十、其他重要事项的情况说明</w:t>
      </w:r>
      <w:r>
        <w:rPr>
          <w:rFonts w:hint="eastAsia" w:ascii="宋体" w:hAnsi="宋体" w:eastAsia="宋体" w:cs="宋体"/>
          <w:sz w:val="24"/>
          <w:szCs w:val="24"/>
        </w:rPr>
        <w:tab/>
      </w:r>
      <w:r>
        <w:rPr>
          <w:rFonts w:hint="eastAsia" w:ascii="宋体" w:hAnsi="宋体" w:eastAsia="宋体" w:cs="宋体"/>
          <w:sz w:val="24"/>
          <w:szCs w:val="24"/>
        </w:rPr>
        <w:t>1</w:t>
      </w:r>
      <w:r>
        <w:rPr>
          <w:rFonts w:hint="default" w:ascii="宋体" w:hAnsi="宋体" w:cs="宋体"/>
          <w:sz w:val="24"/>
          <w:szCs w:val="24"/>
          <w:lang w:val="en-US" w:eastAsia="zh-CN"/>
        </w:rPr>
        <w:t>1</w:t>
      </w:r>
    </w:p>
    <w:p>
      <w:pPr>
        <w:pStyle w:val="13"/>
        <w:adjustRightInd w:val="0"/>
        <w:snapToGrid w:val="0"/>
        <w:spacing w:before="0"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第三部分 名词解释</w:t>
      </w:r>
      <w:r>
        <w:rPr>
          <w:rFonts w:hint="eastAsia" w:ascii="宋体" w:hAnsi="宋体" w:eastAsia="宋体" w:cs="宋体"/>
          <w:sz w:val="24"/>
          <w:szCs w:val="24"/>
        </w:rPr>
        <w:tab/>
      </w:r>
      <w:r>
        <w:rPr>
          <w:rFonts w:hint="eastAsia" w:ascii="宋体" w:hAnsi="宋体" w:eastAsia="宋体" w:cs="宋体"/>
          <w:sz w:val="24"/>
          <w:szCs w:val="24"/>
        </w:rPr>
        <w:t>1</w:t>
      </w:r>
      <w:r>
        <w:rPr>
          <w:rFonts w:hint="default" w:ascii="宋体" w:hAnsi="宋体" w:eastAsia="宋体" w:cs="宋体"/>
          <w:sz w:val="24"/>
          <w:szCs w:val="24"/>
          <w:lang w:val="en-US" w:eastAsia="zh-CN"/>
        </w:rPr>
        <w:t>2</w:t>
      </w:r>
    </w:p>
    <w:p>
      <w:pPr>
        <w:pStyle w:val="13"/>
        <w:adjustRightInd w:val="0"/>
        <w:snapToGrid w:val="0"/>
        <w:spacing w:before="0"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第四部分 附件</w:t>
      </w:r>
      <w:r>
        <w:rPr>
          <w:rFonts w:hint="eastAsia" w:ascii="宋体" w:hAnsi="宋体" w:eastAsia="宋体" w:cs="宋体"/>
          <w:sz w:val="24"/>
          <w:szCs w:val="24"/>
        </w:rPr>
        <w:tab/>
      </w:r>
      <w:r>
        <w:rPr>
          <w:rFonts w:hint="eastAsia" w:ascii="宋体" w:hAnsi="宋体" w:eastAsia="宋体" w:cs="宋体"/>
          <w:sz w:val="24"/>
          <w:szCs w:val="24"/>
        </w:rPr>
        <w:t>1</w:t>
      </w:r>
      <w:r>
        <w:rPr>
          <w:rFonts w:hint="default" w:ascii="宋体" w:hAnsi="宋体" w:eastAsia="宋体" w:cs="宋体"/>
          <w:sz w:val="24"/>
          <w:szCs w:val="24"/>
          <w:lang w:val="en-US" w:eastAsia="zh-CN"/>
        </w:rPr>
        <w:t>4</w:t>
      </w:r>
    </w:p>
    <w:p>
      <w:pPr>
        <w:pStyle w:val="13"/>
        <w:adjustRightInd w:val="0"/>
        <w:snapToGrid w:val="0"/>
        <w:spacing w:before="0"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第五部分 附表</w:t>
      </w:r>
      <w:r>
        <w:rPr>
          <w:rFonts w:hint="eastAsia" w:ascii="宋体" w:hAnsi="宋体" w:eastAsia="宋体" w:cs="宋体"/>
          <w:sz w:val="24"/>
          <w:szCs w:val="24"/>
        </w:rPr>
        <w:tab/>
      </w:r>
      <w:r>
        <w:rPr>
          <w:rFonts w:hint="default" w:ascii="宋体" w:hAnsi="宋体" w:eastAsia="宋体" w:cs="宋体"/>
          <w:sz w:val="24"/>
          <w:szCs w:val="24"/>
          <w:lang w:val="en-US" w:eastAsia="zh-CN"/>
        </w:rPr>
        <w:t>2</w:t>
      </w:r>
      <w:r>
        <w:rPr>
          <w:rFonts w:hint="eastAsia" w:ascii="宋体" w:hAnsi="宋体" w:eastAsia="宋体" w:cs="宋体"/>
          <w:sz w:val="24"/>
          <w:szCs w:val="24"/>
          <w:lang w:val="en-US" w:eastAsia="zh-CN"/>
        </w:rPr>
        <w:t>5</w:t>
      </w:r>
    </w:p>
    <w:p>
      <w:pPr>
        <w:pStyle w:val="15"/>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一、收入支出决算总表</w:t>
      </w:r>
      <w:r>
        <w:rPr>
          <w:rFonts w:hint="eastAsia" w:ascii="宋体" w:hAnsi="宋体" w:eastAsia="宋体" w:cs="宋体"/>
          <w:sz w:val="24"/>
          <w:szCs w:val="24"/>
        </w:rPr>
        <w:tab/>
      </w:r>
      <w:r>
        <w:rPr>
          <w:rFonts w:hint="default" w:ascii="宋体" w:hAnsi="宋体" w:cs="宋体"/>
          <w:sz w:val="24"/>
          <w:szCs w:val="24"/>
          <w:lang w:val="en-US" w:eastAsia="zh-CN"/>
        </w:rPr>
        <w:t>2</w:t>
      </w:r>
      <w:r>
        <w:rPr>
          <w:rFonts w:hint="eastAsia" w:ascii="宋体" w:hAnsi="宋体" w:eastAsia="宋体" w:cs="宋体"/>
          <w:sz w:val="24"/>
          <w:szCs w:val="24"/>
          <w:lang w:val="en-US" w:eastAsia="zh-CN"/>
        </w:rPr>
        <w:t>5</w:t>
      </w:r>
    </w:p>
    <w:p>
      <w:pPr>
        <w:pStyle w:val="15"/>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二、收入决算表</w:t>
      </w:r>
      <w:r>
        <w:rPr>
          <w:rFonts w:hint="eastAsia" w:ascii="宋体" w:hAnsi="宋体" w:eastAsia="宋体" w:cs="宋体"/>
          <w:sz w:val="24"/>
          <w:szCs w:val="24"/>
        </w:rPr>
        <w:tab/>
      </w:r>
      <w:r>
        <w:rPr>
          <w:rFonts w:hint="default" w:ascii="宋体" w:hAnsi="宋体" w:cs="宋体"/>
          <w:sz w:val="24"/>
          <w:szCs w:val="24"/>
          <w:lang w:val="en-US" w:eastAsia="zh-CN"/>
        </w:rPr>
        <w:t>2</w:t>
      </w:r>
      <w:r>
        <w:rPr>
          <w:rFonts w:hint="eastAsia" w:ascii="宋体" w:hAnsi="宋体" w:eastAsia="宋体" w:cs="宋体"/>
          <w:sz w:val="24"/>
          <w:szCs w:val="24"/>
          <w:lang w:val="en-US" w:eastAsia="zh-CN"/>
        </w:rPr>
        <w:t>5</w:t>
      </w:r>
    </w:p>
    <w:p>
      <w:pPr>
        <w:pStyle w:val="15"/>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三、支出决算表</w:t>
      </w:r>
      <w:r>
        <w:rPr>
          <w:rFonts w:hint="eastAsia" w:ascii="宋体" w:hAnsi="宋体" w:eastAsia="宋体" w:cs="宋体"/>
          <w:sz w:val="24"/>
          <w:szCs w:val="24"/>
        </w:rPr>
        <w:tab/>
      </w:r>
      <w:r>
        <w:rPr>
          <w:rFonts w:hint="default" w:ascii="宋体" w:hAnsi="宋体" w:cs="宋体"/>
          <w:sz w:val="24"/>
          <w:szCs w:val="24"/>
          <w:lang w:val="en-US" w:eastAsia="zh-CN"/>
        </w:rPr>
        <w:t>2</w:t>
      </w:r>
      <w:r>
        <w:rPr>
          <w:rFonts w:hint="eastAsia" w:ascii="宋体" w:hAnsi="宋体" w:eastAsia="宋体" w:cs="宋体"/>
          <w:sz w:val="24"/>
          <w:szCs w:val="24"/>
          <w:lang w:val="en-US" w:eastAsia="zh-CN"/>
        </w:rPr>
        <w:t>5</w:t>
      </w:r>
    </w:p>
    <w:p>
      <w:pPr>
        <w:pStyle w:val="15"/>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四、财政拨款收入支出决算总表</w:t>
      </w:r>
      <w:r>
        <w:rPr>
          <w:rFonts w:hint="eastAsia" w:ascii="宋体" w:hAnsi="宋体" w:eastAsia="宋体" w:cs="宋体"/>
          <w:sz w:val="24"/>
          <w:szCs w:val="24"/>
        </w:rPr>
        <w:tab/>
      </w:r>
      <w:r>
        <w:rPr>
          <w:rFonts w:hint="default" w:ascii="宋体" w:hAnsi="宋体" w:cs="宋体"/>
          <w:sz w:val="24"/>
          <w:szCs w:val="24"/>
          <w:lang w:val="en-US" w:eastAsia="zh-CN"/>
        </w:rPr>
        <w:t>2</w:t>
      </w:r>
      <w:r>
        <w:rPr>
          <w:rFonts w:hint="eastAsia" w:ascii="宋体" w:hAnsi="宋体" w:eastAsia="宋体" w:cs="宋体"/>
          <w:sz w:val="24"/>
          <w:szCs w:val="24"/>
          <w:lang w:val="en-US" w:eastAsia="zh-CN"/>
        </w:rPr>
        <w:t>5</w:t>
      </w:r>
    </w:p>
    <w:p>
      <w:pPr>
        <w:pStyle w:val="15"/>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五、财政拨款支出决算明细表</w:t>
      </w:r>
      <w:r>
        <w:rPr>
          <w:rFonts w:hint="eastAsia" w:ascii="宋体" w:hAnsi="宋体" w:eastAsia="宋体" w:cs="宋体"/>
          <w:sz w:val="24"/>
          <w:szCs w:val="24"/>
        </w:rPr>
        <w:tab/>
      </w:r>
      <w:r>
        <w:rPr>
          <w:rFonts w:hint="default" w:ascii="宋体" w:hAnsi="宋体" w:cs="宋体"/>
          <w:sz w:val="24"/>
          <w:szCs w:val="24"/>
          <w:lang w:val="en-US" w:eastAsia="zh-CN"/>
        </w:rPr>
        <w:t>2</w:t>
      </w:r>
      <w:r>
        <w:rPr>
          <w:rFonts w:hint="eastAsia" w:ascii="宋体" w:hAnsi="宋体" w:eastAsia="宋体" w:cs="宋体"/>
          <w:sz w:val="24"/>
          <w:szCs w:val="24"/>
          <w:lang w:val="en-US" w:eastAsia="zh-CN"/>
        </w:rPr>
        <w:t>5</w:t>
      </w:r>
    </w:p>
    <w:p>
      <w:pPr>
        <w:pStyle w:val="15"/>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六、一般公共预算财政拨款支出决算表</w:t>
      </w:r>
      <w:r>
        <w:rPr>
          <w:rFonts w:hint="eastAsia" w:ascii="宋体" w:hAnsi="宋体" w:eastAsia="宋体" w:cs="宋体"/>
          <w:sz w:val="24"/>
          <w:szCs w:val="24"/>
        </w:rPr>
        <w:tab/>
      </w:r>
      <w:r>
        <w:rPr>
          <w:rFonts w:hint="default" w:ascii="宋体" w:hAnsi="宋体" w:cs="宋体"/>
          <w:sz w:val="24"/>
          <w:szCs w:val="24"/>
          <w:lang w:val="en-US" w:eastAsia="zh-CN"/>
        </w:rPr>
        <w:t>25</w:t>
      </w:r>
    </w:p>
    <w:p>
      <w:pPr>
        <w:pStyle w:val="15"/>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七、一般公共预算财政拨款支出决算明细表</w:t>
      </w:r>
      <w:r>
        <w:rPr>
          <w:rFonts w:hint="eastAsia" w:ascii="宋体" w:hAnsi="宋体" w:eastAsia="宋体" w:cs="宋体"/>
          <w:sz w:val="24"/>
          <w:szCs w:val="24"/>
        </w:rPr>
        <w:tab/>
      </w:r>
      <w:r>
        <w:rPr>
          <w:rFonts w:hint="default" w:ascii="宋体" w:hAnsi="宋体" w:cs="宋体"/>
          <w:sz w:val="24"/>
          <w:szCs w:val="24"/>
          <w:lang w:val="en-US" w:eastAsia="zh-CN"/>
        </w:rPr>
        <w:t>25</w:t>
      </w:r>
    </w:p>
    <w:p>
      <w:pPr>
        <w:pStyle w:val="15"/>
        <w:adjustRightInd w:val="0"/>
        <w:snapToGrid w:val="0"/>
        <w:spacing w:line="440" w:lineRule="exact"/>
        <w:jc w:val="left"/>
        <w:rPr>
          <w:rFonts w:hint="default" w:ascii="宋体" w:hAnsi="宋体" w:eastAsia="宋体" w:cs="宋体"/>
          <w:sz w:val="24"/>
          <w:szCs w:val="24"/>
          <w:lang w:val="en-US" w:eastAsia="zh-CN"/>
        </w:rPr>
      </w:pPr>
      <w:r>
        <w:rPr>
          <w:rFonts w:hint="eastAsia" w:ascii="宋体" w:hAnsi="宋体" w:eastAsia="宋体" w:cs="宋体"/>
          <w:sz w:val="24"/>
          <w:szCs w:val="24"/>
        </w:rPr>
        <w:t>八、一般公共预算财政拨款基本支出决算明细表</w:t>
      </w:r>
      <w:r>
        <w:rPr>
          <w:rFonts w:hint="eastAsia" w:ascii="宋体" w:hAnsi="宋体" w:eastAsia="宋体" w:cs="宋体"/>
          <w:sz w:val="24"/>
          <w:szCs w:val="24"/>
        </w:rPr>
        <w:tab/>
      </w:r>
      <w:r>
        <w:rPr>
          <w:rFonts w:hint="default" w:ascii="宋体" w:hAnsi="宋体" w:cs="宋体"/>
          <w:sz w:val="24"/>
          <w:szCs w:val="24"/>
          <w:lang w:val="en-US" w:eastAsia="zh-CN"/>
        </w:rPr>
        <w:t>25</w:t>
      </w:r>
    </w:p>
    <w:p>
      <w:pPr>
        <w:pStyle w:val="15"/>
        <w:adjustRightInd w:val="0"/>
        <w:snapToGrid w:val="0"/>
        <w:spacing w:line="440" w:lineRule="exact"/>
        <w:jc w:val="left"/>
        <w:rPr>
          <w:rFonts w:hint="default" w:ascii="宋体" w:hAnsi="宋体" w:eastAsia="宋体" w:cs="宋体"/>
          <w:sz w:val="24"/>
          <w:szCs w:val="24"/>
          <w:lang w:val="en-US" w:eastAsia="zh-CN"/>
        </w:rPr>
      </w:pPr>
      <w:r>
        <w:rPr>
          <w:rFonts w:hint="eastAsia" w:ascii="宋体" w:hAnsi="宋体" w:eastAsia="宋体" w:cs="宋体"/>
          <w:sz w:val="24"/>
          <w:szCs w:val="24"/>
        </w:rPr>
        <w:t>九、一般公共预算财政拨款项目支出决算表</w:t>
      </w:r>
      <w:r>
        <w:rPr>
          <w:rFonts w:hint="eastAsia" w:ascii="宋体" w:hAnsi="宋体" w:eastAsia="宋体" w:cs="宋体"/>
          <w:sz w:val="24"/>
          <w:szCs w:val="24"/>
        </w:rPr>
        <w:tab/>
      </w:r>
      <w:r>
        <w:rPr>
          <w:rFonts w:hint="default" w:ascii="宋体" w:hAnsi="宋体" w:cs="宋体"/>
          <w:sz w:val="24"/>
          <w:szCs w:val="24"/>
          <w:lang w:val="en-US" w:eastAsia="zh-CN"/>
        </w:rPr>
        <w:t>25</w:t>
      </w:r>
    </w:p>
    <w:p>
      <w:pPr>
        <w:pStyle w:val="15"/>
        <w:adjustRightInd w:val="0"/>
        <w:snapToGrid w:val="0"/>
        <w:spacing w:line="440" w:lineRule="exact"/>
        <w:jc w:val="left"/>
        <w:rPr>
          <w:rFonts w:hint="default" w:ascii="宋体" w:hAnsi="宋体" w:eastAsia="宋体" w:cs="宋体"/>
          <w:sz w:val="24"/>
          <w:szCs w:val="24"/>
          <w:lang w:val="en-US" w:eastAsia="zh-CN"/>
        </w:rPr>
      </w:pPr>
      <w:r>
        <w:rPr>
          <w:rFonts w:hint="eastAsia" w:ascii="宋体" w:hAnsi="宋体" w:eastAsia="宋体" w:cs="宋体"/>
          <w:sz w:val="24"/>
          <w:szCs w:val="24"/>
        </w:rPr>
        <w:t>十、政府性基金预算财政拨款收入支出决算表</w:t>
      </w:r>
      <w:r>
        <w:rPr>
          <w:rFonts w:hint="eastAsia" w:ascii="宋体" w:hAnsi="宋体" w:eastAsia="宋体" w:cs="宋体"/>
          <w:sz w:val="24"/>
          <w:szCs w:val="24"/>
        </w:rPr>
        <w:tab/>
      </w:r>
      <w:r>
        <w:rPr>
          <w:rFonts w:hint="default" w:ascii="宋体" w:hAnsi="宋体" w:cs="宋体"/>
          <w:sz w:val="24"/>
          <w:szCs w:val="24"/>
          <w:lang w:val="en-US" w:eastAsia="zh-CN"/>
        </w:rPr>
        <w:t>25</w:t>
      </w:r>
    </w:p>
    <w:p>
      <w:pPr>
        <w:pStyle w:val="15"/>
        <w:adjustRightInd w:val="0"/>
        <w:snapToGrid w:val="0"/>
        <w:spacing w:line="440" w:lineRule="exact"/>
        <w:jc w:val="left"/>
        <w:rPr>
          <w:rFonts w:hint="default" w:ascii="宋体" w:hAnsi="宋体" w:eastAsia="宋体" w:cs="宋体"/>
          <w:sz w:val="24"/>
          <w:szCs w:val="24"/>
          <w:lang w:val="en-US" w:eastAsia="zh-CN"/>
        </w:rPr>
      </w:pPr>
      <w:r>
        <w:rPr>
          <w:rFonts w:hint="eastAsia" w:ascii="宋体" w:hAnsi="宋体" w:eastAsia="宋体" w:cs="宋体"/>
          <w:sz w:val="24"/>
          <w:szCs w:val="24"/>
        </w:rPr>
        <w:t>十一、国有资本经营预算财政拨款收入支出决算表</w:t>
      </w:r>
      <w:r>
        <w:rPr>
          <w:rFonts w:hint="eastAsia" w:ascii="宋体" w:hAnsi="宋体" w:eastAsia="宋体" w:cs="宋体"/>
          <w:sz w:val="24"/>
          <w:szCs w:val="24"/>
        </w:rPr>
        <w:tab/>
      </w:r>
      <w:r>
        <w:rPr>
          <w:rFonts w:hint="default" w:ascii="宋体" w:hAnsi="宋体" w:cs="宋体"/>
          <w:sz w:val="24"/>
          <w:szCs w:val="24"/>
          <w:lang w:val="en-US" w:eastAsia="zh-CN"/>
        </w:rPr>
        <w:t>25</w:t>
      </w:r>
    </w:p>
    <w:p>
      <w:pPr>
        <w:pStyle w:val="15"/>
        <w:adjustRightInd w:val="0"/>
        <w:snapToGrid w:val="0"/>
        <w:spacing w:line="440" w:lineRule="exact"/>
        <w:jc w:val="left"/>
        <w:rPr>
          <w:rFonts w:hint="default" w:ascii="宋体" w:hAnsi="宋体" w:eastAsia="宋体" w:cs="宋体"/>
          <w:sz w:val="24"/>
          <w:szCs w:val="24"/>
          <w:lang w:val="en-US" w:eastAsia="zh-CN"/>
        </w:rPr>
      </w:pPr>
      <w:r>
        <w:rPr>
          <w:rFonts w:hint="eastAsia" w:ascii="宋体" w:hAnsi="宋体" w:eastAsia="宋体" w:cs="宋体"/>
          <w:sz w:val="24"/>
          <w:szCs w:val="24"/>
        </w:rPr>
        <w:t>十二、国有资本经营预算财政拨款支出决算表</w:t>
      </w:r>
      <w:r>
        <w:rPr>
          <w:rFonts w:hint="eastAsia" w:ascii="宋体" w:hAnsi="宋体" w:eastAsia="宋体" w:cs="宋体"/>
          <w:sz w:val="24"/>
          <w:szCs w:val="24"/>
        </w:rPr>
        <w:tab/>
      </w:r>
      <w:r>
        <w:rPr>
          <w:rFonts w:hint="default" w:ascii="宋体" w:hAnsi="宋体" w:cs="宋体"/>
          <w:sz w:val="24"/>
          <w:szCs w:val="24"/>
          <w:lang w:val="en-US" w:eastAsia="zh-CN"/>
        </w:rPr>
        <w:t>25</w:t>
      </w:r>
    </w:p>
    <w:p>
      <w:pPr>
        <w:pStyle w:val="15"/>
        <w:adjustRightInd w:val="0"/>
        <w:snapToGrid w:val="0"/>
        <w:spacing w:line="440" w:lineRule="exact"/>
        <w:jc w:val="left"/>
        <w:rPr>
          <w:rFonts w:hint="default" w:ascii="宋体" w:hAnsi="宋体" w:eastAsia="宋体" w:cs="宋体"/>
          <w:sz w:val="24"/>
          <w:szCs w:val="24"/>
          <w:lang w:val="en-US" w:eastAsia="zh-CN"/>
        </w:rPr>
      </w:pPr>
      <w:r>
        <w:rPr>
          <w:rFonts w:hint="eastAsia" w:ascii="宋体" w:hAnsi="宋体" w:eastAsia="宋体" w:cs="宋体"/>
          <w:sz w:val="24"/>
          <w:szCs w:val="24"/>
        </w:rPr>
        <w:t>十三、财政拨款“三公”经费支出决算表</w:t>
      </w:r>
      <w:r>
        <w:rPr>
          <w:rFonts w:hint="eastAsia" w:ascii="宋体" w:hAnsi="宋体" w:eastAsia="宋体" w:cs="宋体"/>
          <w:sz w:val="24"/>
          <w:szCs w:val="24"/>
        </w:rPr>
        <w:tab/>
      </w:r>
      <w:r>
        <w:rPr>
          <w:rFonts w:hint="default" w:ascii="宋体" w:hAnsi="宋体" w:cs="宋体"/>
          <w:sz w:val="24"/>
          <w:szCs w:val="24"/>
          <w:lang w:val="en-US" w:eastAsia="zh-CN"/>
        </w:rPr>
        <w:t>25</w:t>
      </w: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Style w:val="21"/>
          <w:rFonts w:hint="default" w:ascii="Times New Roman" w:hAnsi="Times New Roman" w:eastAsia="宋体" w:cs="Times New Roman"/>
          <w:color w:val="000000"/>
          <w:sz w:val="24"/>
          <w:szCs w:val="24"/>
        </w:rPr>
      </w:pPr>
    </w:p>
    <w:p>
      <w:pPr>
        <w:widowControl/>
        <w:jc w:val="center"/>
        <w:rPr>
          <w:rStyle w:val="21"/>
          <w:rFonts w:hint="default" w:ascii="Times New Roman" w:hAnsi="Times New Roman" w:eastAsia="宋体" w:cs="Times New Roman"/>
          <w:color w:val="000000"/>
          <w:sz w:val="24"/>
          <w:szCs w:val="24"/>
        </w:rPr>
      </w:pPr>
    </w:p>
    <w:p>
      <w:pPr>
        <w:widowControl/>
        <w:jc w:val="center"/>
        <w:rPr>
          <w:rStyle w:val="21"/>
          <w:rFonts w:hint="default" w:ascii="Times New Roman" w:hAnsi="Times New Roman" w:eastAsia="宋体" w:cs="Times New Roman"/>
          <w:color w:val="000000"/>
          <w:sz w:val="24"/>
          <w:szCs w:val="24"/>
        </w:rPr>
      </w:pPr>
    </w:p>
    <w:p>
      <w:pPr>
        <w:widowControl/>
        <w:jc w:val="center"/>
        <w:rPr>
          <w:rStyle w:val="21"/>
          <w:rFonts w:hint="default" w:ascii="Times New Roman" w:hAnsi="Times New Roman" w:eastAsia="宋体" w:cs="Times New Roman"/>
          <w:color w:val="000000"/>
          <w:sz w:val="24"/>
          <w:szCs w:val="24"/>
        </w:rPr>
      </w:pPr>
    </w:p>
    <w:p>
      <w:pPr>
        <w:spacing w:line="600" w:lineRule="atLeast"/>
        <w:ind w:firstLine="883" w:firstLineChars="200"/>
        <w:jc w:val="center"/>
        <w:rPr>
          <w:rStyle w:val="21"/>
          <w:rFonts w:hint="eastAsia" w:ascii="黑体" w:hAnsi="黑体" w:eastAsia="黑体" w:cs="黑体"/>
          <w:b/>
          <w:bCs/>
          <w:color w:val="000000"/>
          <w:sz w:val="52"/>
          <w:szCs w:val="52"/>
        </w:rPr>
      </w:pPr>
      <w:r>
        <w:rPr>
          <w:rStyle w:val="21"/>
          <w:rFonts w:hint="eastAsia" w:ascii="黑体" w:hAnsi="黑体" w:eastAsia="黑体" w:cs="黑体"/>
          <w:b/>
          <w:bCs/>
          <w:color w:val="000000"/>
          <w:sz w:val="44"/>
          <w:szCs w:val="44"/>
        </w:rPr>
        <w:t>第一部分 单位概况</w:t>
      </w:r>
      <w:bookmarkEnd w:id="12"/>
      <w:bookmarkEnd w:id="13"/>
    </w:p>
    <w:p>
      <w:pPr>
        <w:widowControl/>
        <w:jc w:val="left"/>
        <w:rPr>
          <w:rFonts w:hint="eastAsia" w:ascii="黑体" w:hAnsi="黑体" w:eastAsia="黑体" w:cs="黑体"/>
          <w:color w:val="000000"/>
          <w:sz w:val="24"/>
          <w:szCs w:val="24"/>
        </w:rPr>
      </w:pPr>
    </w:p>
    <w:p>
      <w:pPr>
        <w:pStyle w:val="6"/>
        <w:keepNext/>
        <w:keepLines/>
        <w:pageBreakBefore w:val="0"/>
        <w:widowControl w:val="0"/>
        <w:kinsoku/>
        <w:wordWrap/>
        <w:overflowPunct/>
        <w:topLinePunct w:val="0"/>
        <w:autoSpaceDE/>
        <w:autoSpaceDN/>
        <w:bidi w:val="0"/>
        <w:adjustRightInd/>
        <w:snapToGrid/>
        <w:spacing w:before="0" w:after="0" w:line="416" w:lineRule="auto"/>
        <w:ind w:firstLine="640" w:firstLineChars="200"/>
        <w:textAlignment w:val="auto"/>
        <w:rPr>
          <w:rStyle w:val="22"/>
          <w:rFonts w:hint="eastAsia" w:ascii="黑体" w:hAnsi="黑体" w:eastAsia="黑体" w:cs="黑体"/>
          <w:b w:val="0"/>
          <w:bCs w:val="0"/>
          <w:color w:val="000000"/>
          <w:sz w:val="32"/>
          <w:szCs w:val="32"/>
          <w:lang w:eastAsia="zh-CN"/>
        </w:rPr>
      </w:pPr>
      <w:bookmarkStart w:id="14" w:name="_Toc15377197"/>
      <w:bookmarkStart w:id="15" w:name="_Toc15396600"/>
      <w:r>
        <w:rPr>
          <w:rFonts w:hint="eastAsia" w:ascii="黑体" w:hAnsi="黑体" w:eastAsia="黑体" w:cs="黑体"/>
          <w:b w:val="0"/>
          <w:color w:val="000000"/>
          <w:sz w:val="32"/>
          <w:szCs w:val="32"/>
        </w:rPr>
        <w:t>一、</w:t>
      </w:r>
      <w:bookmarkEnd w:id="14"/>
      <w:bookmarkEnd w:id="15"/>
      <w:r>
        <w:rPr>
          <w:rFonts w:hint="eastAsia" w:ascii="黑体" w:hAnsi="黑体" w:eastAsia="黑体" w:cs="黑体"/>
          <w:b w:val="0"/>
          <w:color w:val="000000"/>
          <w:sz w:val="32"/>
          <w:szCs w:val="32"/>
          <w:lang w:eastAsia="zh-CN"/>
        </w:rPr>
        <w:t>主要职责</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1.组织法学工作者、法律工作者学习和贯彻党的基本理论、基本路线、基本纲领、基本经验，提高政法素质和业务素质，坚持正确的政治方向；</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2.引领、繁荣法学研究，推进法律理论创新、法律制度创新和法律文化创新，为社会主义民主法制建设提供理论支持；</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3.参与政治协商、科学决策和民主监督，对社会主义民主法制建设中的重大理论问题和实践问题，进行学术研讨，提出对策和建议；</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4.组织法学工作者、法律工作者深入实际进行调查研究，反映新情况，研究新问题，加强信息交流和传播；</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5.参与地方立法总体规划的研究和法律、法规的起草、修改、咨询与论证工作；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6.组织评选和表彰本州法学届、优秀法学成果的活动，营造尊重人才、鼓励创新的良好环境；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7.参与本地法制宣传，主管主办本会法制、法学刊物，编辑出版《阿坝政法》和资料；</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8.发挥人才、智力优势，开展形式多样的法律服务；</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9.指导、协调本州团体会员的工作；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10.履行本州法学研究和法学交流社团的职责，做好监督和管理工作；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11.反映本州广大会员和法学界、法律界和意见与要求，维护会员的合法利益。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22"/>
          <w:rFonts w:hint="eastAsia" w:ascii="黑体" w:hAnsi="黑体" w:eastAsia="黑体" w:cs="黑体"/>
          <w:b w:val="0"/>
          <w:bCs w:val="0"/>
          <w:color w:val="000000"/>
          <w:sz w:val="36"/>
          <w:szCs w:val="36"/>
        </w:rPr>
      </w:pPr>
      <w:bookmarkStart w:id="16" w:name="_Toc15377200"/>
      <w:bookmarkStart w:id="17" w:name="_Toc15396601"/>
      <w:r>
        <w:rPr>
          <w:rStyle w:val="22"/>
          <w:rFonts w:hint="eastAsia" w:ascii="黑体" w:hAnsi="黑体" w:eastAsia="黑体" w:cs="黑体"/>
          <w:b w:val="0"/>
          <w:bCs w:val="0"/>
          <w:color w:val="000000"/>
          <w:sz w:val="32"/>
          <w:szCs w:val="32"/>
        </w:rPr>
        <w:t>二、机构设置</w:t>
      </w:r>
      <w:bookmarkEnd w:id="16"/>
      <w:bookmarkEnd w:id="17"/>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宋体" w:cs="Times New Roman"/>
          <w:color w:val="000000"/>
          <w:sz w:val="32"/>
          <w:szCs w:val="32"/>
        </w:rPr>
      </w:pPr>
      <w:r>
        <w:rPr>
          <w:rFonts w:hint="eastAsia" w:ascii="仿宋_GB2312" w:hAnsi="仿宋_GB2312" w:eastAsia="仿宋_GB2312" w:cs="仿宋_GB2312"/>
          <w:color w:val="000000"/>
          <w:sz w:val="32"/>
          <w:szCs w:val="32"/>
        </w:rPr>
        <w:t>本</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属</w:t>
      </w:r>
      <w:r>
        <w:rPr>
          <w:rFonts w:hint="eastAsia" w:ascii="仿宋_GB2312" w:hAnsi="仿宋_GB2312" w:eastAsia="仿宋_GB2312" w:cs="仿宋_GB2312"/>
          <w:color w:val="000000"/>
          <w:sz w:val="32"/>
          <w:szCs w:val="32"/>
          <w:lang w:eastAsia="zh-CN"/>
        </w:rPr>
        <w:t>二</w:t>
      </w:r>
      <w:r>
        <w:rPr>
          <w:rFonts w:hint="eastAsia" w:ascii="仿宋_GB2312" w:hAnsi="仿宋_GB2312" w:eastAsia="仿宋_GB2312" w:cs="仿宋_GB2312"/>
          <w:color w:val="000000"/>
          <w:sz w:val="32"/>
          <w:szCs w:val="32"/>
        </w:rPr>
        <w:t>级预算单位</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阿坝州基层社会治理指导中心</w:t>
      </w:r>
      <w:r>
        <w:rPr>
          <w:rFonts w:hint="eastAsia" w:ascii="仿宋_GB2312" w:hAnsi="仿宋_GB2312" w:eastAsia="仿宋_GB2312" w:cs="仿宋_GB2312"/>
          <w:color w:val="000000"/>
          <w:sz w:val="32"/>
          <w:szCs w:val="32"/>
          <w:lang w:eastAsia="zh-CN"/>
        </w:rPr>
        <w:t>与州法学会共用一个基金号</w:t>
      </w:r>
      <w:r>
        <w:rPr>
          <w:rFonts w:hint="eastAsia" w:ascii="仿宋_GB2312" w:hAnsi="仿宋_GB2312" w:eastAsia="仿宋_GB2312" w:cs="仿宋_GB2312"/>
          <w:color w:val="000000"/>
          <w:sz w:val="32"/>
          <w:szCs w:val="32"/>
        </w:rPr>
        <w:t>。内设办公室、研究室</w:t>
      </w:r>
      <w:r>
        <w:rPr>
          <w:rFonts w:hint="eastAsia" w:ascii="仿宋_GB2312" w:hAnsi="仿宋_GB2312" w:eastAsia="仿宋_GB2312" w:cs="仿宋_GB2312"/>
          <w:color w:val="000000"/>
          <w:sz w:val="32"/>
          <w:szCs w:val="32"/>
          <w:lang w:eastAsia="zh-CN"/>
        </w:rPr>
        <w:t>等</w:t>
      </w:r>
      <w:r>
        <w:rPr>
          <w:rFonts w:hint="eastAsia" w:ascii="仿宋_GB2312" w:hAnsi="仿宋_GB2312" w:eastAsia="仿宋_GB2312" w:cs="仿宋_GB2312"/>
          <w:color w:val="000000"/>
          <w:sz w:val="32"/>
          <w:szCs w:val="32"/>
          <w:lang w:val="en-US" w:eastAsia="zh-CN"/>
        </w:rPr>
        <w:t>3个科室</w:t>
      </w:r>
      <w:r>
        <w:rPr>
          <w:rFonts w:hint="eastAsia" w:ascii="仿宋_GB2312" w:hAnsi="仿宋_GB2312" w:eastAsia="仿宋_GB2312" w:cs="仿宋_GB2312"/>
          <w:color w:val="000000"/>
          <w:sz w:val="32"/>
          <w:szCs w:val="32"/>
        </w:rPr>
        <w:t>。事业编制数</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人，实有</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人。</w:t>
      </w:r>
    </w:p>
    <w:p>
      <w:pPr>
        <w:pStyle w:val="5"/>
        <w:pageBreakBefore w:val="0"/>
        <w:widowControl w:val="0"/>
        <w:kinsoku/>
        <w:wordWrap/>
        <w:overflowPunct/>
        <w:topLinePunct w:val="0"/>
        <w:autoSpaceDE/>
        <w:autoSpaceDN/>
        <w:bidi w:val="0"/>
        <w:adjustRightInd/>
        <w:snapToGrid/>
        <w:spacing w:before="0" w:after="0"/>
        <w:ind w:right="440"/>
        <w:jc w:val="right"/>
        <w:textAlignment w:val="auto"/>
        <w:rPr>
          <w:rFonts w:hint="default" w:ascii="Times New Roman" w:hAnsi="Times New Roman" w:eastAsia="宋体" w:cs="Times New Roman"/>
          <w:b w:val="0"/>
          <w:color w:val="000000"/>
          <w:sz w:val="48"/>
          <w:szCs w:val="48"/>
        </w:rPr>
      </w:pPr>
      <w:bookmarkStart w:id="18" w:name="_Toc15396602"/>
      <w:bookmarkStart w:id="19" w:name="_Toc15377204"/>
    </w:p>
    <w:p>
      <w:pPr>
        <w:pStyle w:val="5"/>
        <w:pageBreakBefore w:val="0"/>
        <w:widowControl w:val="0"/>
        <w:kinsoku/>
        <w:wordWrap/>
        <w:overflowPunct/>
        <w:topLinePunct w:val="0"/>
        <w:autoSpaceDE/>
        <w:autoSpaceDN/>
        <w:bidi w:val="0"/>
        <w:adjustRightInd/>
        <w:snapToGrid/>
        <w:spacing w:before="0" w:after="0"/>
        <w:ind w:right="440"/>
        <w:jc w:val="right"/>
        <w:textAlignment w:val="auto"/>
        <w:rPr>
          <w:rStyle w:val="21"/>
          <w:rFonts w:hint="eastAsia" w:ascii="黑体" w:hAnsi="黑体" w:eastAsia="黑体" w:cs="黑体"/>
          <w:b w:val="0"/>
          <w:bCs w:val="0"/>
          <w:color w:val="000000"/>
          <w:sz w:val="44"/>
          <w:szCs w:val="44"/>
        </w:rPr>
      </w:pPr>
      <w:r>
        <w:rPr>
          <w:rFonts w:hint="eastAsia" w:ascii="黑体" w:hAnsi="黑体" w:eastAsia="黑体" w:cs="黑体"/>
          <w:b w:val="0"/>
          <w:color w:val="000000"/>
          <w:sz w:val="44"/>
          <w:szCs w:val="44"/>
        </w:rPr>
        <w:t>第二部分</w:t>
      </w:r>
      <w:r>
        <w:rPr>
          <w:rFonts w:hint="eastAsia" w:ascii="黑体" w:hAnsi="黑体" w:eastAsia="黑体" w:cs="黑体"/>
          <w:color w:val="000000"/>
          <w:sz w:val="44"/>
          <w:szCs w:val="44"/>
        </w:rPr>
        <w:t xml:space="preserve"> </w:t>
      </w:r>
      <w:r>
        <w:rPr>
          <w:rStyle w:val="21"/>
          <w:rFonts w:hint="eastAsia" w:ascii="黑体" w:hAnsi="黑体" w:eastAsia="黑体" w:cs="黑体"/>
          <w:b w:val="0"/>
          <w:bCs w:val="0"/>
          <w:color w:val="000000"/>
          <w:sz w:val="44"/>
          <w:szCs w:val="44"/>
        </w:rPr>
        <w:t>202</w:t>
      </w:r>
      <w:r>
        <w:rPr>
          <w:rStyle w:val="21"/>
          <w:rFonts w:hint="eastAsia" w:ascii="黑体" w:hAnsi="黑体" w:eastAsia="黑体" w:cs="黑体"/>
          <w:b w:val="0"/>
          <w:bCs w:val="0"/>
          <w:color w:val="000000"/>
          <w:sz w:val="44"/>
          <w:szCs w:val="44"/>
          <w:lang w:val="en-US"/>
        </w:rPr>
        <w:t>4</w:t>
      </w:r>
      <w:r>
        <w:rPr>
          <w:rStyle w:val="21"/>
          <w:rFonts w:hint="eastAsia" w:ascii="黑体" w:hAnsi="黑体" w:eastAsia="黑体" w:cs="黑体"/>
          <w:b w:val="0"/>
          <w:bCs w:val="0"/>
          <w:color w:val="000000"/>
          <w:sz w:val="44"/>
          <w:szCs w:val="44"/>
        </w:rPr>
        <w:t>年度部门决算情况说</w:t>
      </w:r>
      <w:bookmarkEnd w:id="18"/>
      <w:bookmarkEnd w:id="19"/>
      <w:r>
        <w:rPr>
          <w:rStyle w:val="21"/>
          <w:rFonts w:hint="eastAsia" w:ascii="黑体" w:hAnsi="黑体" w:eastAsia="黑体" w:cs="黑体"/>
          <w:b w:val="0"/>
          <w:bCs w:val="0"/>
          <w:color w:val="000000"/>
          <w:sz w:val="44"/>
          <w:szCs w:val="44"/>
        </w:rPr>
        <w:t>明</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黑体" w:hAnsi="黑体" w:eastAsia="黑体" w:cs="黑体"/>
          <w:color w:val="000000"/>
          <w:sz w:val="32"/>
          <w:szCs w:val="32"/>
          <w:lang w:eastAsia="zh-CN"/>
        </w:rPr>
      </w:pPr>
      <w:bookmarkStart w:id="20" w:name="_Toc15377205"/>
      <w:bookmarkStart w:id="21" w:name="_Toc15396603"/>
    </w:p>
    <w:p>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2"/>
          <w:rFonts w:hint="eastAsia" w:ascii="黑体" w:hAnsi="黑体" w:eastAsia="黑体" w:cs="黑体"/>
          <w:b w:val="0"/>
          <w:color w:val="000000"/>
          <w:sz w:val="32"/>
          <w:szCs w:val="32"/>
        </w:rPr>
      </w:pPr>
      <w:r>
        <w:rPr>
          <w:rFonts w:hint="eastAsia" w:ascii="黑体" w:hAnsi="黑体" w:eastAsia="黑体" w:cs="黑体"/>
          <w:color w:val="000000"/>
          <w:sz w:val="32"/>
          <w:szCs w:val="32"/>
          <w:lang w:eastAsia="zh-CN"/>
        </w:rPr>
        <w:t>一、</w:t>
      </w:r>
      <w:r>
        <w:rPr>
          <w:rFonts w:hint="eastAsia" w:ascii="黑体" w:hAnsi="黑体" w:eastAsia="黑体" w:cs="黑体"/>
          <w:color w:val="000000"/>
          <w:sz w:val="32"/>
          <w:szCs w:val="32"/>
        </w:rPr>
        <w:t>收</w:t>
      </w:r>
      <w:r>
        <w:rPr>
          <w:rStyle w:val="22"/>
          <w:rFonts w:hint="eastAsia" w:ascii="黑体" w:hAnsi="黑体" w:eastAsia="黑体" w:cs="黑体"/>
          <w:b w:val="0"/>
          <w:color w:val="000000"/>
          <w:sz w:val="32"/>
          <w:szCs w:val="32"/>
        </w:rPr>
        <w:t>入支出决算总体情况说明</w:t>
      </w:r>
      <w:bookmarkEnd w:id="20"/>
      <w:bookmarkEnd w:id="21"/>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eastAsia="zh-CN"/>
        </w:rPr>
        <w:t>出</w:t>
      </w:r>
      <w:r>
        <w:rPr>
          <w:rFonts w:hint="eastAsia" w:ascii="仿宋_GB2312" w:hAnsi="仿宋_GB2312" w:eastAsia="仿宋_GB2312" w:cs="仿宋_GB2312"/>
          <w:color w:val="000000"/>
          <w:sz w:val="32"/>
          <w:szCs w:val="32"/>
        </w:rPr>
        <w:t>总计</w:t>
      </w:r>
      <w:r>
        <w:rPr>
          <w:rFonts w:hint="eastAsia" w:ascii="仿宋_GB2312" w:hAnsi="仿宋_GB2312" w:eastAsia="仿宋_GB2312" w:cs="仿宋_GB2312"/>
          <w:sz w:val="32"/>
          <w:szCs w:val="32"/>
        </w:rPr>
        <w:t>183.6</w:t>
      </w:r>
      <w:r>
        <w:rPr>
          <w:rFonts w:hint="eastAsia" w:ascii="仿宋_GB2312" w:hAnsi="仿宋_GB2312" w:eastAsia="仿宋_GB2312" w:cs="仿宋_GB2312"/>
          <w:color w:val="000000"/>
          <w:sz w:val="32"/>
          <w:szCs w:val="32"/>
        </w:rPr>
        <w:t>万元。与202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年相比，收、支总计各增加</w:t>
      </w:r>
      <w:r>
        <w:rPr>
          <w:rFonts w:hint="eastAsia" w:ascii="仿宋_GB2312" w:hAnsi="仿宋_GB2312" w:eastAsia="仿宋_GB2312" w:cs="仿宋_GB2312"/>
          <w:color w:val="000000"/>
          <w:sz w:val="32"/>
          <w:szCs w:val="32"/>
          <w:lang w:val="en-US" w:eastAsia="zh-CN"/>
        </w:rPr>
        <w:t>9.39</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5.39</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人员经费和日常公用经费较上年有所增加</w:t>
      </w:r>
      <w:r>
        <w:rPr>
          <w:rFonts w:hint="eastAsia" w:ascii="仿宋_GB2312" w:hAnsi="仿宋_GB2312" w:eastAsia="仿宋_GB2312" w:cs="仿宋_GB2312"/>
          <w:color w:val="000000"/>
          <w:sz w:val="32"/>
          <w:szCs w:val="32"/>
        </w:rPr>
        <w:t>。</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（图1：收、支决算总计变动情况图）（柱状图）</w:t>
      </w:r>
    </w:p>
    <w:p>
      <w:pPr>
        <w:spacing w:line="600" w:lineRule="atLeast"/>
        <w:ind w:firstLine="640" w:firstLineChars="200"/>
        <w:rPr>
          <w:rFonts w:hint="eastAsia" w:asciiTheme="minorEastAsia" w:hAnsiTheme="minorEastAsia" w:eastAsiaTheme="minorEastAsia" w:cstheme="minorEastAsia"/>
          <w:color w:val="000000"/>
          <w:sz w:val="32"/>
          <w:szCs w:val="32"/>
        </w:rPr>
      </w:pPr>
    </w:p>
    <w:p>
      <w:pPr>
        <w:spacing w:line="600" w:lineRule="exact"/>
        <w:ind w:firstLine="640" w:firstLineChars="200"/>
        <w:rPr>
          <w:rFonts w:hint="eastAsia" w:asciiTheme="minorEastAsia" w:hAnsiTheme="minorEastAsia" w:eastAsiaTheme="minorEastAsia" w:cstheme="minorEastAsia"/>
          <w:color w:val="000000"/>
          <w:sz w:val="32"/>
          <w:szCs w:val="32"/>
        </w:rPr>
      </w:pPr>
    </w:p>
    <w:p>
      <w:pPr>
        <w:spacing w:line="600" w:lineRule="exact"/>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drawing>
          <wp:anchor distT="328930" distB="370840" distL="388620" distR="319405" simplePos="0" relativeHeight="251659264" behindDoc="1" locked="0" layoutInCell="1" allowOverlap="1">
            <wp:simplePos x="0" y="0"/>
            <wp:positionH relativeFrom="column">
              <wp:posOffset>406400</wp:posOffset>
            </wp:positionH>
            <wp:positionV relativeFrom="paragraph">
              <wp:posOffset>-371475</wp:posOffset>
            </wp:positionV>
            <wp:extent cx="4395470" cy="2247900"/>
            <wp:effectExtent l="0" t="0" r="0" b="0"/>
            <wp:wrapNone/>
            <wp:docPr id="1"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tabs>
          <w:tab w:val="left" w:pos="7140"/>
        </w:tabs>
        <w:spacing w:line="600" w:lineRule="exact"/>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ab/>
      </w:r>
    </w:p>
    <w:p>
      <w:pPr>
        <w:tabs>
          <w:tab w:val="left" w:pos="2115"/>
        </w:tabs>
        <w:spacing w:line="600" w:lineRule="exact"/>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ab/>
      </w:r>
    </w:p>
    <w:p>
      <w:pPr>
        <w:spacing w:line="600" w:lineRule="exact"/>
        <w:ind w:firstLine="640" w:firstLineChars="200"/>
        <w:rPr>
          <w:rFonts w:hint="eastAsia" w:asciiTheme="minorEastAsia" w:hAnsiTheme="minorEastAsia" w:eastAsiaTheme="minorEastAsia" w:cstheme="minorEastAsia"/>
          <w:color w:val="000000"/>
          <w:sz w:val="32"/>
          <w:szCs w:val="32"/>
        </w:rPr>
      </w:pPr>
    </w:p>
    <w:p>
      <w:pPr>
        <w:spacing w:line="600" w:lineRule="exact"/>
        <w:ind w:firstLine="640" w:firstLineChars="200"/>
        <w:rPr>
          <w:rFonts w:hint="eastAsia" w:asciiTheme="minorEastAsia" w:hAnsiTheme="minorEastAsia" w:eastAsiaTheme="minorEastAsia" w:cstheme="minorEastAsia"/>
          <w:color w:val="000000"/>
          <w:sz w:val="32"/>
          <w:szCs w:val="32"/>
        </w:rPr>
      </w:pPr>
    </w:p>
    <w:p>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2"/>
          <w:rFonts w:hint="eastAsia" w:asciiTheme="minorEastAsia" w:hAnsiTheme="minorEastAsia" w:eastAsiaTheme="minorEastAsia" w:cstheme="minorEastAsia"/>
          <w:b w:val="0"/>
          <w:color w:val="000000"/>
          <w:sz w:val="32"/>
          <w:szCs w:val="32"/>
        </w:rPr>
      </w:pPr>
      <w:bookmarkStart w:id="22" w:name="_Toc15377206"/>
      <w:bookmarkStart w:id="23" w:name="_Toc15396604"/>
      <w:r>
        <w:rPr>
          <w:rFonts w:hint="eastAsia" w:ascii="黑体" w:hAnsi="黑体" w:eastAsia="黑体" w:cs="黑体"/>
          <w:color w:val="000000"/>
          <w:sz w:val="32"/>
          <w:szCs w:val="32"/>
          <w:lang w:eastAsia="zh-CN"/>
        </w:rPr>
        <w:t>二、</w:t>
      </w:r>
      <w:r>
        <w:rPr>
          <w:rFonts w:hint="eastAsia" w:ascii="黑体" w:hAnsi="黑体" w:eastAsia="黑体" w:cs="黑体"/>
          <w:color w:val="000000"/>
          <w:sz w:val="32"/>
          <w:szCs w:val="32"/>
        </w:rPr>
        <w:t>收</w:t>
      </w:r>
      <w:r>
        <w:rPr>
          <w:rStyle w:val="22"/>
          <w:rFonts w:hint="eastAsia" w:ascii="黑体" w:hAnsi="黑体" w:eastAsia="黑体" w:cs="黑体"/>
          <w:b w:val="0"/>
          <w:color w:val="000000"/>
          <w:sz w:val="32"/>
          <w:szCs w:val="32"/>
        </w:rPr>
        <w:t>入决算情况说明</w:t>
      </w:r>
      <w:bookmarkEnd w:id="22"/>
      <w:bookmarkEnd w:id="23"/>
    </w:p>
    <w:p>
      <w:pPr>
        <w:spacing w:line="600" w:lineRule="atLeas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auto"/>
          <w:sz w:val="32"/>
          <w:szCs w:val="32"/>
          <w:highlight w:val="none"/>
          <w:lang w:val="en-US" w:eastAsia="zh-CN"/>
        </w:rPr>
        <w:t>2024</w:t>
      </w:r>
      <w:r>
        <w:rPr>
          <w:rFonts w:hint="eastAsia" w:ascii="仿宋_GB2312" w:hAnsi="仿宋_GB2312" w:eastAsia="仿宋_GB2312" w:cs="仿宋_GB2312"/>
          <w:color w:val="auto"/>
          <w:sz w:val="32"/>
          <w:szCs w:val="32"/>
          <w:highlight w:val="none"/>
          <w:lang w:eastAsia="zh-CN"/>
        </w:rPr>
        <w:t>年度收入合计</w:t>
      </w:r>
      <w:r>
        <w:rPr>
          <w:rFonts w:hint="eastAsia" w:ascii="仿宋_GB2312" w:hAnsi="仿宋_GB2312" w:eastAsia="仿宋_GB2312" w:cs="仿宋_GB2312"/>
          <w:sz w:val="32"/>
          <w:szCs w:val="32"/>
        </w:rPr>
        <w:t>183.6万元，其中：一般公共预算财政拨款收入183.6</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000000"/>
          <w:sz w:val="32"/>
          <w:szCs w:val="32"/>
        </w:rPr>
        <w:t>政府性基金预算财政拨款收入0万元，占0%；国有资本经营预算财政拨款收入0万元，占0%；上级补助收入0万元，占0%；事业收入0万元，占0%；经营收入0万元，占0%；附属单位上缴收入0万元，占0%；其他收入0万元，占0%</w:t>
      </w:r>
      <w:r>
        <w:rPr>
          <w:rFonts w:hint="eastAsia" w:ascii="仿宋_GB2312" w:hAnsi="仿宋_GB2312" w:eastAsia="仿宋_GB2312" w:cs="仿宋_GB2312"/>
          <w:color w:val="000000"/>
          <w:sz w:val="32"/>
          <w:szCs w:val="32"/>
          <w:lang w:eastAsia="zh-CN"/>
        </w:rPr>
        <w:t>。</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（图2：收入决算结构图）（饼状图）</w:t>
      </w:r>
    </w:p>
    <w:p>
      <w:pPr>
        <w:pStyle w:val="8"/>
        <w:rPr>
          <w:rFonts w:hint="default" w:ascii="Times New Roman" w:hAnsi="Times New Roman" w:eastAsia="宋体" w:cs="Times New Roman"/>
          <w:color w:val="000000"/>
          <w:sz w:val="24"/>
          <w:szCs w:val="24"/>
        </w:rPr>
      </w:pPr>
    </w:p>
    <w:p>
      <w:pPr>
        <w:pStyle w:val="14"/>
        <w:rPr>
          <w:rFonts w:hint="default"/>
        </w:rPr>
      </w:pPr>
      <w:r>
        <w:rPr>
          <w:rFonts w:hint="default" w:ascii="Times New Roman" w:hAnsi="Times New Roman" w:eastAsia="宋体" w:cs="Times New Roman"/>
          <w:color w:val="000000"/>
          <w:sz w:val="24"/>
          <w:szCs w:val="24"/>
        </w:rPr>
        <w:drawing>
          <wp:anchor distT="322580" distB="542925" distL="1388110" distR="306070" simplePos="0" relativeHeight="251659264" behindDoc="0" locked="0" layoutInCell="1" allowOverlap="1">
            <wp:simplePos x="0" y="0"/>
            <wp:positionH relativeFrom="column">
              <wp:posOffset>304800</wp:posOffset>
            </wp:positionH>
            <wp:positionV relativeFrom="paragraph">
              <wp:posOffset>348615</wp:posOffset>
            </wp:positionV>
            <wp:extent cx="5191125" cy="2343150"/>
            <wp:effectExtent l="0" t="0" r="0" b="0"/>
            <wp:wrapNone/>
            <wp:docPr id="2" name="对象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2"/>
          <w:rFonts w:hint="eastAsia" w:ascii="黑体" w:hAnsi="黑体" w:eastAsia="黑体" w:cs="黑体"/>
          <w:b w:val="0"/>
          <w:color w:val="000000"/>
          <w:sz w:val="32"/>
          <w:szCs w:val="32"/>
        </w:rPr>
      </w:pPr>
      <w:bookmarkStart w:id="24" w:name="_Toc15396605"/>
      <w:bookmarkStart w:id="25" w:name="_Toc15377207"/>
      <w:r>
        <w:rPr>
          <w:rFonts w:hint="eastAsia" w:ascii="黑体" w:hAnsi="黑体" w:eastAsia="黑体" w:cs="黑体"/>
          <w:color w:val="000000"/>
          <w:sz w:val="32"/>
          <w:szCs w:val="32"/>
          <w:lang w:eastAsia="zh-CN"/>
        </w:rPr>
        <w:t>三、</w:t>
      </w:r>
      <w:r>
        <w:rPr>
          <w:rFonts w:hint="eastAsia" w:ascii="黑体" w:hAnsi="黑体" w:eastAsia="黑体" w:cs="黑体"/>
          <w:color w:val="000000"/>
          <w:sz w:val="32"/>
          <w:szCs w:val="32"/>
        </w:rPr>
        <w:t>支</w:t>
      </w:r>
      <w:r>
        <w:rPr>
          <w:rStyle w:val="22"/>
          <w:rFonts w:hint="eastAsia" w:ascii="黑体" w:hAnsi="黑体" w:eastAsia="黑体" w:cs="黑体"/>
          <w:b w:val="0"/>
          <w:color w:val="000000"/>
          <w:sz w:val="32"/>
          <w:szCs w:val="32"/>
        </w:rPr>
        <w:t>出决算情况说明</w:t>
      </w:r>
      <w:bookmarkEnd w:id="24"/>
      <w:bookmarkEnd w:id="25"/>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auto"/>
          <w:sz w:val="32"/>
          <w:szCs w:val="32"/>
          <w:highlight w:val="none"/>
          <w:lang w:eastAsia="zh-CN"/>
        </w:rPr>
        <w:t>2024年度支出合计</w:t>
      </w:r>
      <w:r>
        <w:rPr>
          <w:rFonts w:hint="eastAsia" w:ascii="仿宋_GB2312" w:hAnsi="仿宋_GB2312" w:eastAsia="仿宋_GB2312" w:cs="仿宋_GB2312"/>
          <w:sz w:val="32"/>
          <w:szCs w:val="32"/>
        </w:rPr>
        <w:t>183.6</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183.6</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000000"/>
          <w:sz w:val="32"/>
          <w:szCs w:val="32"/>
        </w:rPr>
        <w:t>项目支出0.00万元，占 0.00%；上缴上级支出0.00万元，占 0.00%；经营支出0.00万元，占 0.00%；对附属单位补助支出0.00万元，占 0.00%。</w:t>
      </w:r>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（图3：支出决算结构图）（饼状图）</w:t>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322580" distB="542925" distL="1510030" distR="263525" simplePos="0" relativeHeight="251659264" behindDoc="0" locked="0" layoutInCell="1" allowOverlap="1">
            <wp:simplePos x="0" y="0"/>
            <wp:positionH relativeFrom="column">
              <wp:posOffset>400050</wp:posOffset>
            </wp:positionH>
            <wp:positionV relativeFrom="paragraph">
              <wp:posOffset>38100</wp:posOffset>
            </wp:positionV>
            <wp:extent cx="4953000" cy="1600200"/>
            <wp:effectExtent l="0" t="0" r="0" b="0"/>
            <wp:wrapNone/>
            <wp:docPr id="3" name="对象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outlineLvl w:val="1"/>
        <w:rPr>
          <w:rFonts w:hint="default" w:ascii="Times New Roman" w:hAnsi="Times New Roman" w:eastAsia="宋体" w:cs="Times New Roman"/>
          <w:color w:val="000000"/>
          <w:sz w:val="24"/>
          <w:szCs w:val="24"/>
        </w:rPr>
      </w:pPr>
      <w:bookmarkStart w:id="26" w:name="_Toc15377208"/>
      <w:bookmarkStart w:id="27" w:name="_Toc15396606"/>
    </w:p>
    <w:p>
      <w:pPr>
        <w:spacing w:line="600" w:lineRule="exact"/>
        <w:ind w:firstLine="480" w:firstLineChars="200"/>
        <w:outlineLvl w:val="1"/>
        <w:rPr>
          <w:rFonts w:hint="default" w:ascii="Times New Roman" w:hAnsi="Times New Roman" w:eastAsia="宋体" w:cs="Times New Roman"/>
          <w:color w:val="000000"/>
          <w:sz w:val="24"/>
          <w:szCs w:val="24"/>
        </w:rPr>
      </w:pPr>
    </w:p>
    <w:p>
      <w:pPr>
        <w:spacing w:line="600" w:lineRule="exact"/>
        <w:ind w:firstLine="480" w:firstLineChars="200"/>
        <w:outlineLvl w:val="1"/>
        <w:rPr>
          <w:rFonts w:hint="default" w:ascii="Times New Roman" w:hAnsi="Times New Roman" w:eastAsia="宋体" w:cs="Times New Roman"/>
          <w:color w:val="000000"/>
          <w:sz w:val="24"/>
          <w:szCs w:val="24"/>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2"/>
          <w:rFonts w:hint="default" w:ascii="Times New Roman" w:hAnsi="Times New Roman" w:eastAsia="宋体" w:cs="Times New Roman"/>
          <w:b w:val="0"/>
          <w:color w:val="000000"/>
          <w:sz w:val="32"/>
          <w:szCs w:val="32"/>
        </w:rPr>
      </w:pPr>
      <w:r>
        <w:rPr>
          <w:rFonts w:hint="eastAsia" w:ascii="黑体" w:hAnsi="黑体" w:eastAsia="黑体" w:cs="黑体"/>
          <w:color w:val="000000"/>
          <w:sz w:val="32"/>
          <w:szCs w:val="32"/>
        </w:rPr>
        <w:t>四、财</w:t>
      </w:r>
      <w:r>
        <w:rPr>
          <w:rStyle w:val="22"/>
          <w:rFonts w:hint="eastAsia" w:ascii="黑体" w:hAnsi="黑体" w:eastAsia="黑体" w:cs="黑体"/>
          <w:b w:val="0"/>
          <w:color w:val="000000"/>
          <w:sz w:val="32"/>
          <w:szCs w:val="32"/>
        </w:rPr>
        <w:t>政拨款收入支出决算总体情况说明</w:t>
      </w:r>
      <w:bookmarkEnd w:id="26"/>
      <w:bookmarkEnd w:id="27"/>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183.6</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ascii="仿宋_GB2312" w:hAnsi="仿宋_GB2312" w:eastAsia="仿宋_GB2312" w:cs="仿宋_GB2312"/>
          <w:color w:val="000000"/>
          <w:sz w:val="32"/>
          <w:szCs w:val="32"/>
        </w:rPr>
        <w:t>与20</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年相比，财政拨款收、支总计各增加</w:t>
      </w:r>
      <w:r>
        <w:rPr>
          <w:rFonts w:hint="eastAsia" w:ascii="仿宋_GB2312" w:hAnsi="仿宋_GB2312" w:eastAsia="仿宋_GB2312" w:cs="仿宋_GB2312"/>
          <w:color w:val="000000"/>
          <w:sz w:val="32"/>
          <w:szCs w:val="32"/>
          <w:lang w:val="en-US" w:eastAsia="zh-CN"/>
        </w:rPr>
        <w:t>9.39</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5.39</w:t>
      </w:r>
      <w:r>
        <w:rPr>
          <w:rFonts w:hint="eastAsia" w:ascii="仿宋_GB2312" w:hAnsi="仿宋_GB2312" w:eastAsia="仿宋_GB2312" w:cs="仿宋_GB2312"/>
          <w:color w:val="000000"/>
          <w:sz w:val="32"/>
          <w:szCs w:val="32"/>
        </w:rPr>
        <w:t>%。主要变动</w:t>
      </w:r>
      <w:r>
        <w:rPr>
          <w:rFonts w:hint="eastAsia" w:ascii="仿宋_GB2312" w:hAnsi="仿宋_GB2312" w:eastAsia="仿宋_GB2312" w:cs="仿宋_GB2312"/>
          <w:color w:val="000000"/>
          <w:sz w:val="32"/>
          <w:szCs w:val="32"/>
          <w:lang w:eastAsia="zh-CN"/>
        </w:rPr>
        <w:t>原因是人员经费和日常公用经费较上年有所增加</w:t>
      </w:r>
      <w:r>
        <w:rPr>
          <w:rFonts w:hint="eastAsia" w:ascii="仿宋_GB2312" w:hAnsi="仿宋_GB2312" w:eastAsia="仿宋_GB2312" w:cs="仿宋_GB2312"/>
          <w:color w:val="000000"/>
          <w:sz w:val="32"/>
          <w:szCs w:val="32"/>
        </w:rPr>
        <w:t>。</w:t>
      </w:r>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（图4：财政拨款收、支决算总计变动情况）（柱状图）</w: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328930" distB="370840" distL="388620" distR="320040" simplePos="0" relativeHeight="251659264" behindDoc="1" locked="0" layoutInCell="1" allowOverlap="1">
            <wp:simplePos x="0" y="0"/>
            <wp:positionH relativeFrom="column">
              <wp:posOffset>749300</wp:posOffset>
            </wp:positionH>
            <wp:positionV relativeFrom="paragraph">
              <wp:posOffset>214630</wp:posOffset>
            </wp:positionV>
            <wp:extent cx="4395470" cy="1388745"/>
            <wp:effectExtent l="0" t="0" r="0" b="0"/>
            <wp:wrapNone/>
            <wp:docPr id="4" name="对象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640"/>
        <w:rPr>
          <w:rFonts w:hint="default" w:ascii="Times New Roman" w:hAnsi="Times New Roman" w:eastAsia="宋体" w:cs="Times New Roman"/>
          <w:b/>
          <w:color w:val="000000"/>
          <w:sz w:val="24"/>
          <w:szCs w:val="24"/>
        </w:rPr>
      </w:pPr>
    </w:p>
    <w:p>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Style w:val="22"/>
          <w:rFonts w:hint="eastAsia" w:ascii="黑体" w:hAnsi="黑体" w:eastAsia="黑体" w:cs="黑体"/>
          <w:b w:val="0"/>
          <w:color w:val="000000"/>
          <w:sz w:val="32"/>
          <w:szCs w:val="32"/>
        </w:rPr>
      </w:pPr>
      <w:bookmarkStart w:id="28" w:name="_Toc15377209"/>
      <w:bookmarkStart w:id="29" w:name="_Toc15396607"/>
      <w:r>
        <w:rPr>
          <w:rFonts w:hint="eastAsia" w:ascii="黑体" w:hAnsi="黑体" w:eastAsia="黑体" w:cs="黑体"/>
          <w:color w:val="000000"/>
          <w:sz w:val="32"/>
          <w:szCs w:val="32"/>
        </w:rPr>
        <w:t>五、</w:t>
      </w:r>
      <w:r>
        <w:rPr>
          <w:rFonts w:hint="eastAsia" w:ascii="黑体" w:hAnsi="黑体" w:eastAsia="黑体" w:cs="黑体"/>
          <w:b/>
          <w:color w:val="000000"/>
          <w:sz w:val="32"/>
          <w:szCs w:val="32"/>
        </w:rPr>
        <w:t>一</w:t>
      </w:r>
      <w:r>
        <w:rPr>
          <w:rStyle w:val="22"/>
          <w:rFonts w:hint="eastAsia" w:ascii="黑体" w:hAnsi="黑体" w:eastAsia="黑体" w:cs="黑体"/>
          <w:b w:val="0"/>
          <w:color w:val="000000"/>
          <w:sz w:val="32"/>
          <w:szCs w:val="32"/>
        </w:rPr>
        <w:t>般公共预算财政拨款支出决算情况说明</w:t>
      </w:r>
      <w:bookmarkEnd w:id="28"/>
      <w:bookmarkEnd w:id="29"/>
    </w:p>
    <w:p>
      <w:pPr>
        <w:pStyle w:val="8"/>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640" w:firstLineChars="200"/>
        <w:textAlignment w:val="auto"/>
        <w:outlineLvl w:val="2"/>
        <w:rPr>
          <w:rFonts w:hint="eastAsia" w:ascii="仿宋_GB2312" w:hAnsi="仿宋_GB2312" w:eastAsia="仿宋_GB2312" w:cs="仿宋_GB2312"/>
          <w:bCs/>
          <w:color w:val="000000"/>
          <w:sz w:val="32"/>
          <w:szCs w:val="32"/>
        </w:rPr>
      </w:pPr>
      <w:bookmarkStart w:id="30" w:name="_Toc15377210"/>
      <w:r>
        <w:rPr>
          <w:rFonts w:hint="eastAsia" w:ascii="仿宋_GB2312" w:hAnsi="仿宋_GB2312" w:eastAsia="仿宋_GB2312" w:cs="仿宋_GB2312"/>
          <w:bCs/>
          <w:color w:val="000000"/>
          <w:sz w:val="32"/>
          <w:szCs w:val="32"/>
        </w:rPr>
        <w:t>（一）一般公共预算财政拨款支出决算总体情况</w:t>
      </w:r>
      <w:bookmarkEnd w:id="30"/>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183.6</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000000"/>
          <w:sz w:val="32"/>
          <w:szCs w:val="32"/>
        </w:rPr>
        <w:t>与20</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年相比，一般公共预算财政拨款增加</w:t>
      </w:r>
      <w:r>
        <w:rPr>
          <w:rFonts w:hint="eastAsia" w:ascii="仿宋_GB2312" w:hAnsi="仿宋_GB2312" w:eastAsia="仿宋_GB2312" w:cs="仿宋_GB2312"/>
          <w:color w:val="000000"/>
          <w:sz w:val="32"/>
          <w:szCs w:val="32"/>
          <w:lang w:val="en-US" w:eastAsia="zh-CN"/>
        </w:rPr>
        <w:t>9.39</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5.39</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人员经费和日常公用经费较上年有所增加</w:t>
      </w:r>
      <w:r>
        <w:rPr>
          <w:rFonts w:hint="eastAsia" w:ascii="仿宋_GB2312" w:hAnsi="仿宋_GB2312" w:eastAsia="仿宋_GB2312" w:cs="仿宋_GB2312"/>
          <w:color w:val="000000"/>
          <w:sz w:val="32"/>
          <w:szCs w:val="32"/>
        </w:rPr>
        <w:t>。</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（图5：一般公共预算财政拨款支出决算变动情况）（柱状图）</w:t>
      </w:r>
    </w:p>
    <w:p>
      <w:pPr>
        <w:spacing w:line="600" w:lineRule="atLeas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328930" distB="370840" distL="388620" distR="320040" simplePos="0" relativeHeight="251659264" behindDoc="1" locked="0" layoutInCell="1" allowOverlap="1">
            <wp:simplePos x="0" y="0"/>
            <wp:positionH relativeFrom="column">
              <wp:posOffset>540385</wp:posOffset>
            </wp:positionH>
            <wp:positionV relativeFrom="paragraph">
              <wp:posOffset>364490</wp:posOffset>
            </wp:positionV>
            <wp:extent cx="4395470" cy="951230"/>
            <wp:effectExtent l="0" t="0" r="0" b="0"/>
            <wp:wrapNone/>
            <wp:docPr id="5" name="对象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8"/>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640" w:firstLineChars="200"/>
        <w:textAlignment w:val="auto"/>
        <w:outlineLvl w:val="2"/>
        <w:rPr>
          <w:rFonts w:hint="eastAsia" w:ascii="仿宋_GB2312" w:hAnsi="仿宋_GB2312" w:eastAsia="仿宋_GB2312" w:cs="仿宋_GB2312"/>
          <w:bCs/>
          <w:color w:val="000000"/>
          <w:sz w:val="32"/>
          <w:szCs w:val="32"/>
        </w:rPr>
      </w:pPr>
      <w:bookmarkStart w:id="31" w:name="_Toc15377211"/>
      <w:r>
        <w:rPr>
          <w:rFonts w:hint="eastAsia" w:ascii="仿宋_GB2312" w:hAnsi="仿宋_GB2312" w:eastAsia="仿宋_GB2312" w:cs="仿宋_GB2312"/>
          <w:bCs/>
          <w:color w:val="000000"/>
          <w:sz w:val="32"/>
          <w:szCs w:val="32"/>
        </w:rPr>
        <w:t>（二）一般公共预算财政拨款支出决算结构情况</w:t>
      </w:r>
      <w:bookmarkEnd w:id="31"/>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183.6</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000000"/>
          <w:sz w:val="32"/>
          <w:szCs w:val="32"/>
        </w:rPr>
        <w:t>公共安全支出为</w:t>
      </w:r>
      <w:r>
        <w:rPr>
          <w:rFonts w:hint="eastAsia" w:ascii="仿宋_GB2312" w:hAnsi="仿宋_GB2312" w:eastAsia="仿宋_GB2312" w:cs="仿宋_GB2312"/>
          <w:color w:val="000000"/>
          <w:sz w:val="32"/>
          <w:szCs w:val="32"/>
          <w:lang w:val="en-US" w:eastAsia="zh-CN"/>
        </w:rPr>
        <w:t>135.06</w:t>
      </w:r>
      <w:r>
        <w:rPr>
          <w:rFonts w:hint="eastAsia" w:ascii="仿宋_GB2312" w:hAnsi="仿宋_GB2312" w:eastAsia="仿宋_GB2312" w:cs="仿宋_GB2312"/>
          <w:color w:val="000000"/>
          <w:sz w:val="32"/>
          <w:szCs w:val="32"/>
        </w:rPr>
        <w:t>万元，占比7</w:t>
      </w:r>
      <w:r>
        <w:rPr>
          <w:rFonts w:hint="eastAsia" w:ascii="仿宋_GB2312" w:hAnsi="仿宋_GB2312" w:eastAsia="仿宋_GB2312" w:cs="仿宋_GB2312"/>
          <w:color w:val="000000"/>
          <w:sz w:val="32"/>
          <w:szCs w:val="32"/>
          <w:lang w:val="en-US" w:eastAsia="zh-CN"/>
        </w:rPr>
        <w:t>3.56</w:t>
      </w:r>
      <w:r>
        <w:rPr>
          <w:rFonts w:hint="eastAsia" w:ascii="仿宋_GB2312" w:hAnsi="仿宋_GB2312" w:eastAsia="仿宋_GB2312" w:cs="仿宋_GB2312"/>
          <w:color w:val="000000"/>
          <w:sz w:val="32"/>
          <w:szCs w:val="32"/>
        </w:rPr>
        <w:t>%；社会保障和就业支出为</w:t>
      </w:r>
      <w:r>
        <w:rPr>
          <w:rFonts w:hint="eastAsia" w:ascii="仿宋_GB2312" w:hAnsi="仿宋_GB2312" w:eastAsia="仿宋_GB2312" w:cs="仿宋_GB2312"/>
          <w:color w:val="000000"/>
          <w:sz w:val="32"/>
          <w:szCs w:val="32"/>
          <w:lang w:val="en-US" w:eastAsia="zh-CN"/>
        </w:rPr>
        <w:t>22.83</w:t>
      </w:r>
      <w:r>
        <w:rPr>
          <w:rFonts w:hint="eastAsia" w:ascii="仿宋_GB2312" w:hAnsi="仿宋_GB2312" w:eastAsia="仿宋_GB2312" w:cs="仿宋_GB2312"/>
          <w:color w:val="000000"/>
          <w:sz w:val="32"/>
          <w:szCs w:val="32"/>
        </w:rPr>
        <w:t>万元，占比</w:t>
      </w:r>
      <w:r>
        <w:rPr>
          <w:rFonts w:hint="eastAsia" w:ascii="仿宋_GB2312" w:hAnsi="仿宋_GB2312" w:eastAsia="仿宋_GB2312" w:cs="仿宋_GB2312"/>
          <w:color w:val="000000"/>
          <w:sz w:val="32"/>
          <w:szCs w:val="32"/>
          <w:lang w:val="en-US" w:eastAsia="zh-CN"/>
        </w:rPr>
        <w:t>12.43</w:t>
      </w:r>
      <w:r>
        <w:rPr>
          <w:rFonts w:hint="eastAsia" w:ascii="仿宋_GB2312" w:hAnsi="仿宋_GB2312" w:eastAsia="仿宋_GB2312" w:cs="仿宋_GB2312"/>
          <w:color w:val="000000"/>
          <w:sz w:val="32"/>
          <w:szCs w:val="32"/>
        </w:rPr>
        <w:t>%；卫生健康支出为</w:t>
      </w:r>
      <w:r>
        <w:rPr>
          <w:rFonts w:hint="eastAsia" w:ascii="仿宋_GB2312" w:hAnsi="仿宋_GB2312" w:eastAsia="仿宋_GB2312" w:cs="仿宋_GB2312"/>
          <w:color w:val="000000"/>
          <w:sz w:val="32"/>
          <w:szCs w:val="32"/>
          <w:lang w:val="en-US" w:eastAsia="zh-CN"/>
        </w:rPr>
        <w:t>10.61</w:t>
      </w:r>
      <w:r>
        <w:rPr>
          <w:rFonts w:hint="eastAsia" w:ascii="仿宋_GB2312" w:hAnsi="仿宋_GB2312" w:eastAsia="仿宋_GB2312" w:cs="仿宋_GB2312"/>
          <w:color w:val="000000"/>
          <w:sz w:val="32"/>
          <w:szCs w:val="32"/>
        </w:rPr>
        <w:t>万元，占比</w:t>
      </w:r>
      <w:r>
        <w:rPr>
          <w:rFonts w:hint="eastAsia" w:ascii="仿宋_GB2312" w:hAnsi="仿宋_GB2312" w:eastAsia="仿宋_GB2312" w:cs="仿宋_GB2312"/>
          <w:color w:val="000000"/>
          <w:sz w:val="32"/>
          <w:szCs w:val="32"/>
          <w:lang w:val="en-US" w:eastAsia="zh-CN"/>
        </w:rPr>
        <w:t>5.78</w:t>
      </w:r>
      <w:r>
        <w:rPr>
          <w:rFonts w:hint="eastAsia" w:ascii="仿宋_GB2312" w:hAnsi="仿宋_GB2312" w:eastAsia="仿宋_GB2312" w:cs="仿宋_GB2312"/>
          <w:color w:val="000000"/>
          <w:sz w:val="32"/>
          <w:szCs w:val="32"/>
        </w:rPr>
        <w:t>%；住房保障支出为</w:t>
      </w:r>
      <w:r>
        <w:rPr>
          <w:rFonts w:hint="eastAsia" w:ascii="仿宋_GB2312" w:hAnsi="仿宋_GB2312" w:eastAsia="仿宋_GB2312" w:cs="仿宋_GB2312"/>
          <w:color w:val="000000"/>
          <w:sz w:val="32"/>
          <w:szCs w:val="32"/>
          <w:lang w:val="en-US" w:eastAsia="zh-CN"/>
        </w:rPr>
        <w:t>15.11</w:t>
      </w:r>
      <w:r>
        <w:rPr>
          <w:rFonts w:hint="eastAsia" w:ascii="仿宋_GB2312" w:hAnsi="仿宋_GB2312" w:eastAsia="仿宋_GB2312" w:cs="仿宋_GB2312"/>
          <w:color w:val="000000"/>
          <w:sz w:val="32"/>
          <w:szCs w:val="32"/>
        </w:rPr>
        <w:t>万元，占比</w:t>
      </w:r>
      <w:r>
        <w:rPr>
          <w:rFonts w:hint="eastAsia" w:ascii="仿宋_GB2312" w:hAnsi="仿宋_GB2312" w:eastAsia="仿宋_GB2312" w:cs="仿宋_GB2312"/>
          <w:color w:val="000000"/>
          <w:sz w:val="32"/>
          <w:szCs w:val="32"/>
          <w:lang w:val="en-US" w:eastAsia="zh-CN"/>
        </w:rPr>
        <w:t>8.23</w:t>
      </w:r>
      <w:r>
        <w:rPr>
          <w:rFonts w:hint="eastAsia" w:ascii="仿宋_GB2312" w:hAnsi="仿宋_GB2312" w:eastAsia="仿宋_GB2312" w:cs="仿宋_GB2312"/>
          <w:color w:val="000000"/>
          <w:sz w:val="32"/>
          <w:szCs w:val="32"/>
        </w:rPr>
        <w:t>%。</w:t>
      </w:r>
    </w:p>
    <w:p>
      <w:pPr>
        <w:spacing w:line="600" w:lineRule="exact"/>
        <w:ind w:firstLine="640" w:firstLineChars="200"/>
        <w:rPr>
          <w:rFonts w:hint="eastAsia" w:asciiTheme="minorEastAsia" w:hAnsiTheme="minorEastAsia" w:eastAsiaTheme="minorEastAsia" w:cstheme="minorEastAsia"/>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pPr>
        <w:spacing w:line="600" w:lineRule="exact"/>
        <w:ind w:firstLine="640" w:firstLineChars="200"/>
        <w:rPr>
          <w:rFonts w:hint="eastAsia" w:asciiTheme="minorEastAsia" w:hAnsiTheme="minorEastAsia" w:eastAsiaTheme="minorEastAsia" w:cstheme="minorEastAsia"/>
          <w:color w:val="000000"/>
          <w:sz w:val="32"/>
          <w:szCs w:val="32"/>
        </w:rPr>
      </w:pP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347345" distB="457200" distL="369570" distR="208915" simplePos="0" relativeHeight="251659264" behindDoc="0" locked="0" layoutInCell="1" allowOverlap="1">
            <wp:simplePos x="0" y="0"/>
            <wp:positionH relativeFrom="column">
              <wp:posOffset>857250</wp:posOffset>
            </wp:positionH>
            <wp:positionV relativeFrom="paragraph">
              <wp:posOffset>123825</wp:posOffset>
            </wp:positionV>
            <wp:extent cx="4076700" cy="2524125"/>
            <wp:effectExtent l="0" t="0" r="0" b="0"/>
            <wp:wrapNone/>
            <wp:docPr id="6" name="对象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8"/>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640" w:firstLineChars="200"/>
        <w:textAlignment w:val="auto"/>
        <w:outlineLvl w:val="2"/>
        <w:rPr>
          <w:rFonts w:hint="eastAsia" w:ascii="仿宋_GB2312" w:hAnsi="仿宋_GB2312" w:eastAsia="仿宋_GB2312" w:cs="仿宋_GB2312"/>
          <w:bCs/>
          <w:color w:val="000000"/>
          <w:sz w:val="32"/>
          <w:szCs w:val="32"/>
        </w:rPr>
      </w:pPr>
      <w:bookmarkStart w:id="32" w:name="_Toc15377212"/>
      <w:r>
        <w:rPr>
          <w:rFonts w:hint="eastAsia" w:ascii="仿宋_GB2312" w:hAnsi="仿宋_GB2312" w:eastAsia="仿宋_GB2312" w:cs="仿宋_GB2312"/>
          <w:bCs/>
          <w:color w:val="000000"/>
          <w:sz w:val="32"/>
          <w:szCs w:val="32"/>
        </w:rPr>
        <w:t>（三）一般公共预算财政拨款支出决算具体情况</w:t>
      </w:r>
      <w:bookmarkEnd w:id="32"/>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年一般公共预算支出决算数为</w:t>
      </w:r>
      <w:r>
        <w:rPr>
          <w:rFonts w:hint="eastAsia" w:ascii="仿宋_GB2312" w:hAnsi="仿宋_GB2312" w:eastAsia="仿宋_GB2312" w:cs="仿宋_GB2312"/>
          <w:sz w:val="32"/>
          <w:szCs w:val="32"/>
        </w:rPr>
        <w:t>183.6</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，完成预算100.00%。其中：</w:t>
      </w:r>
    </w:p>
    <w:p>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000000"/>
          <w:sz w:val="32"/>
          <w:szCs w:val="32"/>
        </w:rPr>
      </w:pPr>
      <w:bookmarkStart w:id="33" w:name="_Toc15377214"/>
      <w:bookmarkStart w:id="34" w:name="_Toc15396608"/>
      <w:r>
        <w:rPr>
          <w:rFonts w:hint="eastAsia" w:ascii="仿宋_GB2312" w:hAnsi="仿宋_GB2312" w:eastAsia="仿宋_GB2312" w:cs="仿宋_GB2312"/>
          <w:color w:val="000000"/>
          <w:sz w:val="32"/>
          <w:szCs w:val="32"/>
        </w:rPr>
        <w:t>（1）公共安全支出2040250：202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年决算数为</w:t>
      </w:r>
      <w:r>
        <w:rPr>
          <w:rFonts w:hint="eastAsia" w:ascii="仿宋_GB2312" w:hAnsi="仿宋_GB2312" w:eastAsia="仿宋_GB2312" w:cs="仿宋_GB2312"/>
          <w:color w:val="000000"/>
          <w:sz w:val="32"/>
          <w:szCs w:val="32"/>
          <w:lang w:val="en-US" w:eastAsia="zh-CN"/>
        </w:rPr>
        <w:t>135.06</w:t>
      </w:r>
      <w:r>
        <w:rPr>
          <w:rFonts w:hint="eastAsia" w:ascii="仿宋_GB2312" w:hAnsi="仿宋_GB2312" w:eastAsia="仿宋_GB2312" w:cs="仿宋_GB2312"/>
          <w:color w:val="000000"/>
          <w:sz w:val="32"/>
          <w:szCs w:val="32"/>
        </w:rPr>
        <w:t>万元，决算数等于预算数。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（2）社会保障和就业2080505：202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年决算数为</w:t>
      </w:r>
      <w:r>
        <w:rPr>
          <w:rFonts w:hint="eastAsia" w:ascii="仿宋_GB2312" w:hAnsi="仿宋_GB2312" w:eastAsia="仿宋_GB2312" w:cs="仿宋_GB2312"/>
          <w:color w:val="000000"/>
          <w:sz w:val="32"/>
          <w:szCs w:val="32"/>
          <w:lang w:val="en-US" w:eastAsia="zh-CN"/>
        </w:rPr>
        <w:t>15.22</w:t>
      </w:r>
      <w:r>
        <w:rPr>
          <w:rFonts w:hint="eastAsia" w:ascii="仿宋_GB2312" w:hAnsi="仿宋_GB2312" w:eastAsia="仿宋_GB2312" w:cs="仿宋_GB2312"/>
          <w:color w:val="000000"/>
          <w:sz w:val="32"/>
          <w:szCs w:val="32"/>
        </w:rPr>
        <w:t>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（3）社会保障和就业2080506：202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年决算数为</w:t>
      </w:r>
      <w:r>
        <w:rPr>
          <w:rFonts w:hint="eastAsia" w:ascii="仿宋_GB2312" w:hAnsi="仿宋_GB2312" w:eastAsia="仿宋_GB2312" w:cs="仿宋_GB2312"/>
          <w:color w:val="000000"/>
          <w:sz w:val="32"/>
          <w:szCs w:val="32"/>
          <w:lang w:val="en-US" w:eastAsia="zh-CN"/>
        </w:rPr>
        <w:t>7.61</w:t>
      </w:r>
      <w:r>
        <w:rPr>
          <w:rFonts w:hint="eastAsia" w:ascii="仿宋_GB2312" w:hAnsi="仿宋_GB2312" w:eastAsia="仿宋_GB2312" w:cs="仿宋_GB2312"/>
          <w:color w:val="000000"/>
          <w:sz w:val="32"/>
          <w:szCs w:val="32"/>
        </w:rPr>
        <w:t>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val="en-US" w:eastAsia="zh-CN"/>
        </w:rPr>
        <w:t>卫生健康支出</w:t>
      </w:r>
      <w:r>
        <w:rPr>
          <w:rFonts w:hint="eastAsia" w:ascii="仿宋_GB2312" w:hAnsi="仿宋_GB2312" w:eastAsia="仿宋_GB2312" w:cs="仿宋_GB2312"/>
          <w:color w:val="000000"/>
          <w:sz w:val="32"/>
          <w:szCs w:val="32"/>
        </w:rPr>
        <w:t>2101102：20</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rPr>
        <w:t>年决算数为</w:t>
      </w:r>
      <w:r>
        <w:rPr>
          <w:rFonts w:hint="eastAsia" w:ascii="仿宋_GB2312" w:hAnsi="仿宋_GB2312" w:eastAsia="仿宋_GB2312" w:cs="仿宋_GB2312"/>
          <w:color w:val="000000"/>
          <w:sz w:val="32"/>
          <w:szCs w:val="32"/>
          <w:lang w:val="en-US" w:eastAsia="zh-CN"/>
        </w:rPr>
        <w:t>8.99</w:t>
      </w:r>
      <w:r>
        <w:rPr>
          <w:rFonts w:hint="eastAsia" w:ascii="仿宋_GB2312" w:hAnsi="仿宋_GB2312" w:eastAsia="仿宋_GB2312" w:cs="仿宋_GB2312"/>
          <w:color w:val="000000"/>
          <w:sz w:val="32"/>
          <w:szCs w:val="32"/>
        </w:rPr>
        <w:t>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卫生健康支出</w:t>
      </w:r>
      <w:bookmarkStart w:id="62" w:name="_GoBack"/>
      <w:bookmarkEnd w:id="62"/>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101199</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年决算数为</w:t>
      </w:r>
      <w:r>
        <w:rPr>
          <w:rFonts w:hint="eastAsia" w:ascii="仿宋_GB2312" w:hAnsi="仿宋_GB2312" w:eastAsia="仿宋_GB2312" w:cs="仿宋_GB2312"/>
          <w:color w:val="000000"/>
          <w:sz w:val="32"/>
          <w:szCs w:val="32"/>
          <w:lang w:val="en-US" w:eastAsia="zh-CN"/>
        </w:rPr>
        <w:t>1.62</w:t>
      </w:r>
      <w:r>
        <w:rPr>
          <w:rFonts w:hint="eastAsia" w:ascii="仿宋_GB2312" w:hAnsi="仿宋_GB2312" w:eastAsia="仿宋_GB2312" w:cs="仿宋_GB2312"/>
          <w:color w:val="000000"/>
          <w:sz w:val="32"/>
          <w:szCs w:val="32"/>
        </w:rPr>
        <w:t>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）住房保障2210201：202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年决算数为</w:t>
      </w:r>
      <w:r>
        <w:rPr>
          <w:rFonts w:hint="eastAsia" w:ascii="仿宋_GB2312" w:hAnsi="仿宋_GB2312" w:eastAsia="仿宋_GB2312" w:cs="仿宋_GB2312"/>
          <w:color w:val="000000"/>
          <w:sz w:val="32"/>
          <w:szCs w:val="32"/>
          <w:lang w:val="en-US" w:eastAsia="zh-CN"/>
        </w:rPr>
        <w:t>15.1</w:t>
      </w:r>
      <w:r>
        <w:rPr>
          <w:rFonts w:hint="eastAsia" w:ascii="仿宋_GB2312" w:hAnsi="仿宋_GB2312" w:eastAsia="仿宋_GB2312" w:cs="仿宋_GB2312"/>
          <w:color w:val="000000"/>
          <w:sz w:val="32"/>
          <w:szCs w:val="32"/>
        </w:rPr>
        <w:t>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firstLineChars="200"/>
        <w:textAlignment w:val="auto"/>
        <w:outlineLvl w:val="1"/>
        <w:rPr>
          <w:rStyle w:val="22"/>
          <w:rFonts w:hint="default" w:ascii="Times New Roman" w:hAnsi="Times New Roman" w:eastAsia="宋体" w:cs="Times New Roman"/>
          <w:color w:val="000000"/>
          <w:sz w:val="24"/>
          <w:szCs w:val="24"/>
        </w:rPr>
      </w:pPr>
      <w:r>
        <w:rPr>
          <w:rFonts w:hint="eastAsia" w:ascii="黑体" w:hAnsi="黑体" w:eastAsia="黑体" w:cs="黑体"/>
          <w:color w:val="000000"/>
          <w:sz w:val="32"/>
          <w:szCs w:val="32"/>
        </w:rPr>
        <w:t>六</w:t>
      </w:r>
      <w:r>
        <w:rPr>
          <w:rFonts w:hint="eastAsia" w:ascii="黑体" w:hAnsi="黑体" w:eastAsia="黑体" w:cs="黑体"/>
          <w:b/>
          <w:color w:val="000000"/>
          <w:sz w:val="32"/>
          <w:szCs w:val="32"/>
        </w:rPr>
        <w:t>、一</w:t>
      </w:r>
      <w:r>
        <w:rPr>
          <w:rStyle w:val="22"/>
          <w:rFonts w:hint="eastAsia" w:ascii="黑体" w:hAnsi="黑体" w:eastAsia="黑体" w:cs="黑体"/>
          <w:b w:val="0"/>
          <w:color w:val="000000"/>
          <w:sz w:val="32"/>
          <w:szCs w:val="32"/>
        </w:rPr>
        <w:t>般公共预算财政拨款基本支出决算情况说明</w:t>
      </w:r>
      <w:bookmarkEnd w:id="33"/>
      <w:bookmarkEnd w:id="34"/>
      <w:r>
        <w:rPr>
          <w:rStyle w:val="22"/>
          <w:rFonts w:hint="default" w:ascii="Times New Roman" w:hAnsi="Times New Roman" w:eastAsia="宋体" w:cs="Times New Roman"/>
          <w:b w:val="0"/>
          <w:color w:val="000000"/>
          <w:sz w:val="24"/>
          <w:szCs w:val="24"/>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5" w:name="_Toc15377215"/>
      <w:bookmarkStart w:id="36" w:name="_Toc15396609"/>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183.6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165.57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　公用经费</w:t>
      </w:r>
      <w:r>
        <w:rPr>
          <w:rFonts w:hint="eastAsia" w:ascii="仿宋_GB2312" w:hAnsi="仿宋_GB2312" w:eastAsia="仿宋_GB2312" w:cs="仿宋_GB2312"/>
          <w:color w:val="000000" w:themeColor="text1"/>
          <w:sz w:val="32"/>
          <w:szCs w:val="32"/>
          <w14:textFill>
            <w14:solidFill>
              <w14:schemeClr w14:val="tx1"/>
            </w14:solidFill>
          </w14:textFill>
        </w:rPr>
        <w:t>18.03</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2"/>
          <w:rFonts w:hint="eastAsia" w:ascii="黑体" w:hAnsi="黑体" w:eastAsia="黑体" w:cs="黑体"/>
          <w:b w:val="0"/>
          <w:color w:val="000000"/>
          <w:sz w:val="32"/>
          <w:szCs w:val="32"/>
        </w:rPr>
      </w:pPr>
      <w:r>
        <w:rPr>
          <w:rFonts w:hint="eastAsia" w:ascii="黑体" w:hAnsi="黑体" w:eastAsia="黑体" w:cs="黑体"/>
          <w:color w:val="000000"/>
          <w:sz w:val="32"/>
          <w:szCs w:val="32"/>
        </w:rPr>
        <w:t>七、</w:t>
      </w:r>
      <w:r>
        <w:rPr>
          <w:rStyle w:val="22"/>
          <w:rFonts w:hint="eastAsia" w:ascii="黑体" w:hAnsi="黑体" w:eastAsia="黑体" w:cs="黑体"/>
          <w:b w:val="0"/>
          <w:color w:val="000000"/>
          <w:sz w:val="32"/>
          <w:szCs w:val="32"/>
        </w:rPr>
        <w:t>财政拨款</w:t>
      </w:r>
      <w:r>
        <w:rPr>
          <w:rStyle w:val="22"/>
          <w:rFonts w:hint="eastAsia" w:ascii="黑体" w:hAnsi="黑体" w:eastAsia="黑体" w:cs="黑体"/>
          <w:color w:val="000000"/>
          <w:sz w:val="32"/>
          <w:szCs w:val="32"/>
        </w:rPr>
        <w:t>“</w:t>
      </w:r>
      <w:r>
        <w:rPr>
          <w:rStyle w:val="22"/>
          <w:rFonts w:hint="eastAsia" w:ascii="黑体" w:hAnsi="黑体" w:eastAsia="黑体" w:cs="黑体"/>
          <w:b w:val="0"/>
          <w:color w:val="000000"/>
          <w:sz w:val="32"/>
          <w:szCs w:val="32"/>
        </w:rPr>
        <w:t>三公”经费支出决算情况说明</w:t>
      </w:r>
      <w:bookmarkEnd w:id="35"/>
      <w:bookmarkEnd w:id="36"/>
    </w:p>
    <w:p>
      <w:pPr>
        <w:spacing w:line="600" w:lineRule="atLeast"/>
        <w:ind w:firstLine="640" w:firstLineChars="200"/>
        <w:rPr>
          <w:rFonts w:hint="eastAsia" w:ascii="仿宋_GB2312" w:hAnsi="仿宋_GB2312" w:eastAsia="仿宋_GB2312" w:cs="仿宋_GB2312"/>
          <w:color w:val="000000"/>
          <w:sz w:val="32"/>
          <w:szCs w:val="32"/>
        </w:rPr>
      </w:pPr>
      <w:bookmarkStart w:id="37" w:name="_Toc15377218"/>
      <w:bookmarkStart w:id="38" w:name="_Toc15396610"/>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年无“三公”经费财政拨款支出。主要原因是无因公出国（境）费；州法学会无公务用车，公务用车由州委政法委提供；无公务接待。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2"/>
          <w:rFonts w:hint="eastAsia" w:ascii="黑体" w:hAnsi="黑体" w:eastAsia="黑体" w:cs="黑体"/>
          <w:color w:val="000000"/>
          <w:sz w:val="32"/>
          <w:szCs w:val="32"/>
        </w:rPr>
      </w:pPr>
      <w:r>
        <w:rPr>
          <w:rFonts w:hint="eastAsia" w:ascii="黑体" w:hAnsi="黑体" w:eastAsia="黑体" w:cs="黑体"/>
          <w:color w:val="000000"/>
          <w:sz w:val="32"/>
          <w:szCs w:val="32"/>
        </w:rPr>
        <w:t>八、</w:t>
      </w:r>
      <w:r>
        <w:rPr>
          <w:rStyle w:val="22"/>
          <w:rFonts w:hint="eastAsia" w:ascii="黑体" w:hAnsi="黑体" w:eastAsia="黑体" w:cs="黑体"/>
          <w:b w:val="0"/>
          <w:color w:val="000000"/>
          <w:sz w:val="32"/>
          <w:szCs w:val="32"/>
        </w:rPr>
        <w:t>政府性基金预算支出决算情况说明</w:t>
      </w:r>
      <w:bookmarkEnd w:id="37"/>
      <w:bookmarkEnd w:id="38"/>
    </w:p>
    <w:p>
      <w:pPr>
        <w:spacing w:line="600" w:lineRule="atLeast"/>
        <w:ind w:firstLine="640" w:firstLineChars="200"/>
        <w:rPr>
          <w:rFonts w:hint="eastAsia" w:asciiTheme="minorEastAsia" w:hAnsiTheme="minorEastAsia" w:eastAsiaTheme="minorEastAsia" w:cstheme="minorEastAsia"/>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年政府性基金预算拨款支出0.00万元。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2"/>
          <w:rFonts w:hint="eastAsia" w:ascii="黑体" w:hAnsi="黑体" w:eastAsia="黑体" w:cs="黑体"/>
          <w:b w:val="0"/>
          <w:color w:val="000000"/>
          <w:sz w:val="32"/>
          <w:szCs w:val="32"/>
        </w:rPr>
      </w:pPr>
      <w:bookmarkStart w:id="39" w:name="_Toc15377219"/>
      <w:bookmarkStart w:id="40" w:name="_Toc15396611"/>
      <w:r>
        <w:rPr>
          <w:rStyle w:val="22"/>
          <w:rFonts w:hint="eastAsia" w:ascii="黑体" w:hAnsi="黑体" w:eastAsia="黑体" w:cs="黑体"/>
          <w:b w:val="0"/>
          <w:color w:val="000000"/>
          <w:sz w:val="32"/>
          <w:szCs w:val="32"/>
        </w:rPr>
        <w:t>九、国有资本经营预算支出决算情况说明</w:t>
      </w:r>
      <w:bookmarkEnd w:id="39"/>
      <w:bookmarkEnd w:id="40"/>
    </w:p>
    <w:p>
      <w:pPr>
        <w:spacing w:line="600" w:lineRule="atLeast"/>
        <w:ind w:firstLine="640" w:firstLineChars="200"/>
        <w:rPr>
          <w:rFonts w:hint="eastAsia" w:asciiTheme="minorEastAsia" w:hAnsiTheme="minorEastAsia" w:eastAsiaTheme="minorEastAsia" w:cstheme="minorEastAsia"/>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年国有资本经营预算拨款支出0.00万元。</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Style w:val="22"/>
          <w:rFonts w:hint="eastAsia" w:asciiTheme="minorEastAsia" w:hAnsiTheme="minorEastAsia" w:eastAsiaTheme="minorEastAsia" w:cstheme="minorEastAsia"/>
          <w:color w:val="000000"/>
          <w:sz w:val="32"/>
          <w:szCs w:val="32"/>
        </w:rPr>
      </w:pPr>
      <w:bookmarkStart w:id="41" w:name="_Toc15396612"/>
      <w:bookmarkStart w:id="42" w:name="_Toc15377221"/>
      <w:r>
        <w:rPr>
          <w:rFonts w:hint="eastAsia" w:ascii="黑体" w:hAnsi="黑体" w:eastAsia="黑体" w:cs="黑体"/>
          <w:color w:val="000000"/>
          <w:sz w:val="32"/>
          <w:szCs w:val="32"/>
        </w:rPr>
        <w:t>十</w:t>
      </w:r>
      <w:r>
        <w:rPr>
          <w:rStyle w:val="22"/>
          <w:rFonts w:hint="eastAsia" w:ascii="黑体" w:hAnsi="黑体" w:eastAsia="黑体" w:cs="黑体"/>
          <w:color w:val="000000"/>
          <w:sz w:val="32"/>
          <w:szCs w:val="32"/>
        </w:rPr>
        <w:t>、</w:t>
      </w:r>
      <w:r>
        <w:rPr>
          <w:rStyle w:val="22"/>
          <w:rFonts w:hint="eastAsia" w:ascii="黑体" w:hAnsi="黑体" w:eastAsia="黑体" w:cs="黑体"/>
          <w:b w:val="0"/>
          <w:color w:val="000000"/>
          <w:sz w:val="32"/>
          <w:szCs w:val="32"/>
        </w:rPr>
        <w:t>其他重要事项的情况说明</w:t>
      </w:r>
      <w:bookmarkEnd w:id="41"/>
      <w:bookmarkEnd w:id="42"/>
    </w:p>
    <w:p>
      <w:pPr>
        <w:pStyle w:val="8"/>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640" w:firstLineChars="200"/>
        <w:textAlignment w:val="auto"/>
        <w:outlineLvl w:val="2"/>
        <w:rPr>
          <w:rFonts w:hint="eastAsia" w:ascii="仿宋_GB2312" w:hAnsi="仿宋_GB2312" w:eastAsia="仿宋_GB2312" w:cs="仿宋_GB2312"/>
          <w:bCs/>
          <w:color w:val="000000"/>
          <w:sz w:val="32"/>
          <w:szCs w:val="32"/>
        </w:rPr>
      </w:pPr>
      <w:bookmarkStart w:id="43" w:name="_Toc15377222"/>
      <w:r>
        <w:rPr>
          <w:rFonts w:hint="eastAsia" w:ascii="仿宋_GB2312" w:hAnsi="仿宋_GB2312" w:eastAsia="仿宋_GB2312" w:cs="仿宋_GB2312"/>
          <w:bCs/>
          <w:color w:val="000000"/>
          <w:sz w:val="32"/>
          <w:szCs w:val="32"/>
        </w:rPr>
        <w:t>（一）机关运行经费支出情况</w:t>
      </w:r>
      <w:bookmarkEnd w:id="43"/>
    </w:p>
    <w:p>
      <w:pPr>
        <w:spacing w:line="600" w:lineRule="atLeas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年，四川省阿坝州法学会机关运行经费支出0.00万元，比202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年增加0.00万元，增长0.00%。</w:t>
      </w:r>
      <w:r>
        <w:rPr>
          <w:rFonts w:hint="eastAsia" w:ascii="仿宋_GB2312" w:hAnsi="仿宋_GB2312" w:eastAsia="仿宋_GB2312" w:cs="仿宋_GB2312"/>
          <w:color w:val="000000"/>
          <w:sz w:val="32"/>
          <w:szCs w:val="32"/>
          <w:lang w:eastAsia="zh-CN"/>
        </w:rPr>
        <w:t>本单位为事业单位</w:t>
      </w:r>
      <w:r>
        <w:rPr>
          <w:rFonts w:hint="eastAsia" w:ascii="仿宋_GB2312" w:hAnsi="仿宋_GB2312" w:eastAsia="仿宋_GB2312" w:cs="仿宋_GB2312"/>
          <w:color w:val="000000"/>
          <w:sz w:val="32"/>
          <w:szCs w:val="32"/>
          <w:lang w:val="en-US" w:eastAsia="zh-CN"/>
        </w:rPr>
        <w:t>，未使用机关运行经费相关科目，机关运行经费安排为零。</w:t>
      </w:r>
    </w:p>
    <w:p>
      <w:pPr>
        <w:pStyle w:val="8"/>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640" w:firstLineChars="200"/>
        <w:textAlignment w:val="auto"/>
        <w:outlineLvl w:val="2"/>
        <w:rPr>
          <w:rFonts w:hint="eastAsia" w:ascii="仿宋_GB2312" w:hAnsi="仿宋_GB2312" w:eastAsia="仿宋_GB2312" w:cs="仿宋_GB2312"/>
          <w:bCs/>
          <w:color w:val="000000"/>
          <w:sz w:val="32"/>
          <w:szCs w:val="32"/>
        </w:rPr>
      </w:pPr>
      <w:bookmarkStart w:id="44" w:name="_Toc15377223"/>
      <w:r>
        <w:rPr>
          <w:rFonts w:hint="eastAsia" w:ascii="仿宋_GB2312" w:hAnsi="仿宋_GB2312" w:eastAsia="仿宋_GB2312" w:cs="仿宋_GB2312"/>
          <w:bCs/>
          <w:color w:val="000000"/>
          <w:sz w:val="32"/>
          <w:szCs w:val="32"/>
        </w:rPr>
        <w:t>（二）政府采购支出情况</w:t>
      </w:r>
      <w:bookmarkEnd w:id="44"/>
    </w:p>
    <w:p>
      <w:pPr>
        <w:spacing w:line="600" w:lineRule="atLeast"/>
        <w:ind w:firstLine="640" w:firstLineChars="200"/>
        <w:rPr>
          <w:rFonts w:hint="eastAsia" w:ascii="仿宋_GB2312" w:hAnsi="仿宋_GB2312" w:eastAsia="仿宋_GB2312" w:cs="仿宋_GB2312"/>
          <w:color w:val="000000"/>
          <w:sz w:val="32"/>
          <w:szCs w:val="32"/>
        </w:rPr>
      </w:pPr>
      <w:bookmarkStart w:id="45" w:name="_Toc15377224"/>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无</w:t>
      </w:r>
      <w:r>
        <w:rPr>
          <w:rFonts w:hint="eastAsia" w:ascii="仿宋_GB2312" w:hAnsi="仿宋_GB2312" w:eastAsia="仿宋_GB2312" w:cs="仿宋_GB2312"/>
          <w:color w:val="000000"/>
          <w:sz w:val="32"/>
          <w:szCs w:val="32"/>
        </w:rPr>
        <w:t>政府采购支出。</w:t>
      </w:r>
    </w:p>
    <w:p>
      <w:pPr>
        <w:pStyle w:val="8"/>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640" w:firstLineChars="200"/>
        <w:textAlignment w:val="auto"/>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（三）国有资产占有使用情况</w:t>
      </w:r>
      <w:bookmarkEnd w:id="45"/>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年12月31日，无公务用车。无单价50万元以上通用设备和单价100万元以上专用设备。</w:t>
      </w:r>
    </w:p>
    <w:p>
      <w:pPr>
        <w:pStyle w:val="8"/>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640" w:firstLineChars="200"/>
        <w:textAlignment w:val="auto"/>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（四）预算绩效管理情况。</w:t>
      </w:r>
    </w:p>
    <w:p>
      <w:pPr>
        <w:spacing w:line="600" w:lineRule="atLeas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根据预算绩效管理要求，本单位在202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年度预算编制阶段，组织对经费支出开展了预算事前绩效评估，并编制了绩效目标，预算执行过程中开展绩效监控，年终执行完毕后，对支出开展了绩效目标完成情况梳理填报。</w:t>
      </w:r>
    </w:p>
    <w:p>
      <w:pPr>
        <w:pStyle w:val="8"/>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hAnsi="仿宋_GB2312" w:cs="仿宋_GB2312"/>
          <w:color w:val="auto"/>
          <w:sz w:val="32"/>
          <w:szCs w:val="32"/>
          <w:highlight w:val="none"/>
          <w:lang w:val="en-US" w:eastAsia="zh-CN"/>
        </w:rPr>
      </w:pPr>
      <w:r>
        <w:rPr>
          <w:rFonts w:hint="eastAsia" w:hAnsi="仿宋_GB2312" w:cs="仿宋_GB2312"/>
          <w:sz w:val="32"/>
          <w:szCs w:val="32"/>
          <w:lang w:eastAsia="zh-CN"/>
        </w:rPr>
        <w:t>本单位按要求对</w:t>
      </w:r>
      <w:r>
        <w:rPr>
          <w:rFonts w:hint="eastAsia" w:hAnsi="仿宋_GB2312" w:cs="仿宋_GB2312"/>
          <w:sz w:val="32"/>
          <w:szCs w:val="32"/>
          <w:lang w:val="en-US" w:eastAsia="zh-CN"/>
        </w:rPr>
        <w:t>2024年整体支出开展绩效自评，形成州法学会2024年单位绩效自评报告，</w:t>
      </w:r>
      <w:r>
        <w:rPr>
          <w:rFonts w:hint="eastAsia" w:hAnsi="仿宋_GB2312" w:cs="仿宋_GB2312"/>
          <w:color w:val="auto"/>
          <w:sz w:val="32"/>
          <w:szCs w:val="32"/>
          <w:highlight w:val="none"/>
          <w:lang w:val="en-US" w:eastAsia="zh-CN"/>
        </w:rPr>
        <w:t>自评得分为98.5分。2024年州法学会贯彻落实深入实施预算绩效管理的决策部署，强化组织领导，明确责任主体，完善制度建设，加强事前、事中、事后全过程管理，切实提高财政资金使用效率。</w:t>
      </w:r>
    </w:p>
    <w:p>
      <w:pPr>
        <w:pStyle w:val="8"/>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hAnsi="仿宋_GB2312" w:cs="仿宋_GB2312"/>
          <w:color w:val="auto"/>
          <w:sz w:val="32"/>
          <w:szCs w:val="32"/>
          <w:highlight w:val="none"/>
          <w:lang w:val="en-US" w:eastAsia="zh-CN"/>
        </w:rPr>
      </w:pPr>
      <w:r>
        <w:rPr>
          <w:rFonts w:hint="eastAsia" w:hAnsi="仿宋_GB2312" w:cs="仿宋_GB2312"/>
          <w:color w:val="auto"/>
          <w:sz w:val="32"/>
          <w:szCs w:val="32"/>
          <w:highlight w:val="none"/>
          <w:lang w:val="en-US" w:eastAsia="zh-CN"/>
        </w:rPr>
        <w:t>2024年度州法学会不涉及特定目标类部门预算项目绩效目标自评。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0"/>
        <w:rPr>
          <w:rStyle w:val="19"/>
          <w:rFonts w:hint="default" w:ascii="Times New Roman" w:hAnsi="Times New Roman" w:cs="Times New Roman"/>
          <w:sz w:val="48"/>
          <w:szCs w:val="48"/>
        </w:rPr>
      </w:pPr>
      <w:bookmarkStart w:id="46" w:name="_Toc15396614"/>
      <w:bookmarkStart w:id="47" w:name="_Toc15377226"/>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0"/>
        <w:rPr>
          <w:rStyle w:val="21"/>
          <w:rFonts w:hint="default" w:ascii="Times New Roman" w:hAnsi="Times New Roman" w:eastAsia="宋体" w:cs="Times New Roman"/>
          <w:b w:val="0"/>
          <w:color w:val="000000"/>
          <w:sz w:val="48"/>
          <w:szCs w:val="48"/>
        </w:rPr>
      </w:pPr>
      <w:r>
        <w:rPr>
          <w:rStyle w:val="19"/>
          <w:rFonts w:hint="eastAsia" w:ascii="黑体" w:hAnsi="黑体" w:eastAsia="黑体" w:cs="黑体"/>
          <w:sz w:val="44"/>
          <w:szCs w:val="44"/>
        </w:rPr>
        <w:t>第三部分 名词解释</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宋体" w:cs="Times New Roman"/>
          <w:b/>
          <w:color w:val="000000"/>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1．财政拨款收入：指省级财政当年拨付的资金。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3．公共安全支出（类）公安（款）行政运行（项）:指主要用于在职在编人员基本工资、津贴补贴，保障机关正常运转的日常公用支出。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公共安全支出（类）公安（款）一般行政管理事务（项）:指主要用于有序开展反恐维稳、社会治安综合治理、司法体制和社会体制改革、依法治省、政法队伍建设、政法部门服务保障经济发展、信息化建设以及见义勇为等重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5．社会保障和就业支出（类）行政事业单位离退休（款）未归口管理的行政单位离退休（项）:指主要用于离退休人员离退休费和津补贴。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6．社会保障和就业支出（类）行政事业单位离退休（款）机关事业单位基本养老保险缴费支出（项）:指主要用于离退休人员离退休费和津补贴。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7．社会保障和就业支出（类）其他社会保障和就业支出（款）其他社会保障和就业支出（项）:指其它用于社会保障和就业方面的支出。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8．医疗卫生与计划生育支出（类）医疗保障（款）行政单位医疗（项）：指财政部门集中安排的行政单位基本医疗保险缴费经费。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9．医疗卫生与计划生育支出（类）医疗保障（款）公务员医疗补助（项）:指财政部门集中安排的公务员医疗补助经费。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10．住房保障支出（类）住房改革支出（款）住房公积金（项）:指按照相关政策规定比例为个人缴纳的住房公积金。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11．住房保障支出（类）住房改革支出（款）购房补贴（项）:指按照相关政策规定，向符合条件的个人发放的用于购买住房的补贴。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12．年末结转和结余：指本年度或以前年度预算安排、因客观条件发生变化无法按原计划实施，需延迟到以后年度按有关规定继续使用的资金。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13．基本支出：是用于保障省委政法委机关、省法学会、省政法研究所正常运转的日常支出，包括基本工资、津贴补贴等人员经费以及办公费、印刷费、水电费等日常公用经费。  　　14．项目支出：是用于保障省委政法委机关、省法学会、省政法研究所，为完成特定的行政工作任务或事业发展目标，用于专项业务工作的经费支出。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color w:val="000000"/>
          <w:sz w:val="32"/>
          <w:szCs w:val="32"/>
        </w:rPr>
      </w:pPr>
      <w:r>
        <w:rPr>
          <w:rFonts w:hint="eastAsia" w:ascii="仿宋_GB2312" w:hAnsi="仿宋_GB2312" w:eastAsia="仿宋_GB2312" w:cs="仿宋_GB2312"/>
          <w:color w:val="000000"/>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480" w:firstLineChars="200"/>
        <w:rPr>
          <w:rFonts w:hint="default" w:ascii="Times New Roman" w:hAnsi="Times New Roman" w:eastAsia="宋体" w:cs="Times New Roman"/>
          <w:color w:val="000000"/>
          <w:sz w:val="24"/>
          <w:szCs w:val="24"/>
        </w:rPr>
      </w:pPr>
    </w:p>
    <w:bookmarkEnd w:id="46"/>
    <w:p>
      <w:pPr>
        <w:spacing w:line="600" w:lineRule="exact"/>
        <w:jc w:val="center"/>
        <w:outlineLvl w:val="0"/>
        <w:rPr>
          <w:rStyle w:val="21"/>
          <w:rFonts w:hint="eastAsia" w:ascii="黑体" w:hAnsi="黑体" w:eastAsia="黑体" w:cs="黑体"/>
          <w:b/>
          <w:bCs/>
          <w:color w:val="000000" w:themeColor="text1"/>
          <w:sz w:val="44"/>
          <w:szCs w:val="44"/>
          <w14:textFill>
            <w14:solidFill>
              <w14:schemeClr w14:val="tx1"/>
            </w14:solidFill>
          </w14:textFill>
        </w:rPr>
      </w:pPr>
      <w:r>
        <w:rPr>
          <w:rFonts w:hint="eastAsia" w:ascii="黑体" w:hAnsi="黑体" w:eastAsia="黑体" w:cs="黑体"/>
          <w:b/>
          <w:bCs/>
          <w:color w:val="000000" w:themeColor="text1"/>
          <w:sz w:val="44"/>
          <w:szCs w:val="44"/>
          <w14:textFill>
            <w14:solidFill>
              <w14:schemeClr w14:val="tx1"/>
            </w14:solidFill>
          </w14:textFill>
        </w:rPr>
        <w:t>第</w:t>
      </w:r>
      <w:r>
        <w:rPr>
          <w:rStyle w:val="21"/>
          <w:rFonts w:hint="eastAsia" w:ascii="黑体" w:hAnsi="黑体" w:eastAsia="黑体" w:cs="黑体"/>
          <w:b/>
          <w:bCs/>
          <w:color w:val="000000" w:themeColor="text1"/>
          <w:sz w:val="44"/>
          <w:szCs w:val="44"/>
          <w14:textFill>
            <w14:solidFill>
              <w14:schemeClr w14:val="tx1"/>
            </w14:solidFill>
          </w14:textFill>
        </w:rPr>
        <w:t>四部分 附件</w:t>
      </w:r>
    </w:p>
    <w:p>
      <w:pPr>
        <w:spacing w:line="600" w:lineRule="exact"/>
        <w:jc w:val="center"/>
        <w:outlineLvl w:val="0"/>
        <w:rPr>
          <w:rStyle w:val="21"/>
          <w:rFonts w:hint="default" w:ascii="Times New Roman" w:hAnsi="Times New Roman" w:eastAsia="宋体" w:cs="Times New Roman"/>
          <w:color w:val="FF0000"/>
          <w:sz w:val="24"/>
          <w:szCs w:val="24"/>
        </w:rPr>
      </w:pPr>
    </w:p>
    <w:bookmarkEnd w:id="47"/>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b w:val="0"/>
          <w:bCs w:val="0"/>
          <w:color w:val="000000"/>
          <w:sz w:val="36"/>
          <w:szCs w:val="36"/>
          <w:lang w:val="en" w:eastAsia="zh-CN"/>
        </w:rPr>
      </w:pPr>
      <w:bookmarkStart w:id="48" w:name="_Toc15396618"/>
      <w:r>
        <w:rPr>
          <w:rFonts w:hint="default" w:ascii="Times New Roman" w:hAnsi="Times New Roman" w:eastAsia="方正小标宋_GBK" w:cs="Times New Roman"/>
          <w:b w:val="0"/>
          <w:bCs w:val="0"/>
          <w:color w:val="000000"/>
          <w:sz w:val="36"/>
          <w:szCs w:val="36"/>
          <w:lang w:val="en" w:eastAsia="zh-CN"/>
        </w:rPr>
        <w:t xml:space="preserve">阿坝州法学会               </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b w:val="0"/>
          <w:bCs w:val="0"/>
          <w:color w:val="000000"/>
          <w:sz w:val="36"/>
          <w:szCs w:val="36"/>
          <w:lang w:val="en" w:eastAsia="zh-CN"/>
        </w:rPr>
      </w:pPr>
      <w:r>
        <w:rPr>
          <w:rFonts w:hint="default" w:ascii="Times New Roman" w:hAnsi="Times New Roman" w:eastAsia="方正小标宋_GBK" w:cs="Times New Roman"/>
          <w:b w:val="0"/>
          <w:bCs w:val="0"/>
          <w:color w:val="000000"/>
          <w:sz w:val="36"/>
          <w:szCs w:val="36"/>
          <w:lang w:val="en" w:eastAsia="zh-CN"/>
        </w:rPr>
        <w:t>关于20</w:t>
      </w:r>
      <w:r>
        <w:rPr>
          <w:rFonts w:hint="eastAsia" w:eastAsia="方正小标宋_GBK" w:cs="Times New Roman"/>
          <w:b w:val="0"/>
          <w:bCs w:val="0"/>
          <w:color w:val="000000"/>
          <w:sz w:val="36"/>
          <w:szCs w:val="36"/>
          <w:lang w:val="en-US" w:eastAsia="zh-CN"/>
        </w:rPr>
        <w:t>24</w:t>
      </w:r>
      <w:r>
        <w:rPr>
          <w:rFonts w:hint="default" w:ascii="Times New Roman" w:hAnsi="Times New Roman" w:eastAsia="方正小标宋_GBK" w:cs="Times New Roman"/>
          <w:b w:val="0"/>
          <w:bCs w:val="0"/>
          <w:color w:val="000000"/>
          <w:sz w:val="36"/>
          <w:szCs w:val="36"/>
          <w:lang w:val="en" w:eastAsia="zh-CN"/>
        </w:rPr>
        <w:t>年整体支出绩效评价报告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州财政局：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按照阿坝州财政局《关于开展202</w:t>
      </w:r>
      <w:r>
        <w:rPr>
          <w:rFonts w:hint="eastAsia"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年州级部门</w:t>
      </w:r>
      <w:r>
        <w:rPr>
          <w:rFonts w:hint="eastAsia" w:eastAsia="仿宋_GB2312" w:cs="Times New Roman"/>
          <w:color w:val="000000"/>
          <w:sz w:val="32"/>
          <w:szCs w:val="32"/>
          <w:lang w:eastAsia="zh-CN"/>
        </w:rPr>
        <w:t>预算</w:t>
      </w:r>
      <w:r>
        <w:rPr>
          <w:rFonts w:hint="default" w:ascii="Times New Roman" w:hAnsi="Times New Roman" w:eastAsia="仿宋_GB2312" w:cs="Times New Roman"/>
          <w:color w:val="000000"/>
          <w:sz w:val="32"/>
          <w:szCs w:val="32"/>
        </w:rPr>
        <w:t>绩效自评工作的通知》（阿州财监绩〔202</w:t>
      </w:r>
      <w:r>
        <w:rPr>
          <w:rFonts w:hint="eastAsia"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号）要求，我单位及时对202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年度</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整体支出绩效情况开展自评，现将自评情况报告如下：</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hint="eastAsia" w:ascii="方正公文黑体" w:hAnsi="方正公文黑体" w:eastAsia="方正公文黑体" w:cs="方正公文黑体"/>
          <w:b w:val="0"/>
          <w:bCs w:val="0"/>
          <w:color w:val="000000"/>
          <w:kern w:val="0"/>
          <w:sz w:val="32"/>
          <w:szCs w:val="32"/>
          <w:shd w:val="clear" w:color="auto" w:fill="FFFFFF"/>
          <w:lang w:val="zh-CN"/>
        </w:rPr>
      </w:pPr>
      <w:r>
        <w:rPr>
          <w:rFonts w:hint="default" w:ascii="Times New Roman" w:hAnsi="Times New Roman" w:eastAsia="方正公文黑体" w:cs="Times New Roman"/>
          <w:b w:val="0"/>
          <w:bCs w:val="0"/>
          <w:color w:val="000000"/>
          <w:kern w:val="0"/>
          <w:sz w:val="32"/>
          <w:szCs w:val="32"/>
          <w:shd w:val="clear" w:color="auto" w:fill="FFFFFF"/>
          <w:lang w:val="zh-CN"/>
        </w:rPr>
        <w:t>一、</w:t>
      </w:r>
      <w:r>
        <w:rPr>
          <w:rFonts w:hint="eastAsia" w:ascii="方正公文黑体" w:hAnsi="方正公文黑体" w:eastAsia="方正公文黑体" w:cs="方正公文黑体"/>
          <w:b w:val="0"/>
          <w:bCs w:val="0"/>
          <w:color w:val="000000"/>
          <w:kern w:val="0"/>
          <w:sz w:val="32"/>
          <w:szCs w:val="32"/>
          <w:shd w:val="clear" w:color="auto" w:fill="FFFFFF"/>
          <w:lang w:val="zh-CN"/>
        </w:rPr>
        <w:t>单位概况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方正公文楷体" w:cs="Times New Roman"/>
          <w:b w:val="0"/>
          <w:bCs w:val="0"/>
          <w:color w:val="000000"/>
          <w:kern w:val="0"/>
          <w:sz w:val="32"/>
          <w:szCs w:val="32"/>
          <w:shd w:val="clear" w:color="auto" w:fill="FFFFFF"/>
          <w:lang w:val="zh-CN" w:eastAsia="zh-CN" w:bidi="ar-SA"/>
        </w:rPr>
        <w:t>（一）机构组成。</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州法学会属二级预算单位。</w:t>
      </w:r>
      <w:r>
        <w:rPr>
          <w:rFonts w:hint="default" w:ascii="Times New Roman" w:hAnsi="Times New Roman" w:eastAsia="仿宋_GB2312" w:cs="Times New Roman"/>
          <w:color w:val="000000"/>
          <w:sz w:val="32"/>
          <w:szCs w:val="32"/>
          <w:lang w:eastAsia="zh-CN"/>
        </w:rPr>
        <w:t>内设办公室、研究室。</w:t>
      </w:r>
      <w:r>
        <w:rPr>
          <w:rFonts w:hint="default" w:ascii="Times New Roman" w:hAnsi="Times New Roman" w:eastAsia="仿宋_GB2312" w:cs="Times New Roman"/>
          <w:color w:val="000000"/>
          <w:sz w:val="32"/>
          <w:szCs w:val="32"/>
        </w:rPr>
        <w:t>州</w:t>
      </w:r>
      <w:r>
        <w:rPr>
          <w:rFonts w:hint="eastAsia" w:eastAsia="仿宋_GB2312" w:cs="Times New Roman"/>
          <w:color w:val="000000"/>
          <w:sz w:val="32"/>
          <w:szCs w:val="32"/>
          <w:lang w:eastAsia="zh-CN"/>
        </w:rPr>
        <w:t>政法宣传信息服务</w:t>
      </w:r>
      <w:r>
        <w:rPr>
          <w:rFonts w:hint="default" w:ascii="Times New Roman" w:hAnsi="Times New Roman" w:eastAsia="仿宋_GB2312" w:cs="Times New Roman"/>
          <w:color w:val="000000"/>
          <w:sz w:val="32"/>
          <w:szCs w:val="32"/>
        </w:rPr>
        <w:t>中心</w:t>
      </w:r>
      <w:r>
        <w:rPr>
          <w:rFonts w:hint="default" w:ascii="Times New Roman" w:hAnsi="Times New Roman" w:eastAsia="仿宋_GB2312" w:cs="Times New Roman"/>
          <w:color w:val="000000"/>
          <w:sz w:val="32"/>
          <w:szCs w:val="32"/>
          <w:lang w:eastAsia="zh-CN"/>
        </w:rPr>
        <w:t>与州法学会共用一个基金号</w:t>
      </w:r>
      <w:r>
        <w:rPr>
          <w:rFonts w:hint="default"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方正公文楷体" w:cs="Times New Roman"/>
          <w:b w:val="0"/>
          <w:bCs w:val="0"/>
          <w:color w:val="000000"/>
          <w:kern w:val="0"/>
          <w:sz w:val="32"/>
          <w:szCs w:val="32"/>
          <w:shd w:val="clear" w:color="auto" w:fill="FFFFFF"/>
          <w:lang w:val="zh-CN" w:eastAsia="zh-CN" w:bidi="ar-SA"/>
        </w:rPr>
        <w:t>（二）机构职能。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州法学会职能简介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组织法学工作者、法律工作者学习和贯彻党的基本理论、基本路线、基本纲领、基本经验，提高政法素质和业务素质，坚持正确的政治方向；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引领、繁荣法学研究，推进法律理论创新、法律制度创新和法律文化创新，为社会主义民主法制建设提供理论支持；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参与政治协商、科学决策和民主监督，对社会主义民主法制建设中的重大理论问题和实践问题，进行学术研讨，提出对策和建议；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组织法学工作者、法律工作者深入实际进行调查研究，反映新情况，研究新问题，加强信息交流和传播；</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参与地方立法总体规划的研究和法律、法规的起草、修改、咨询与论证工作；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组织评选和表彰本州法学届优秀法学成果的活动，营造尊重人才、鼓励创新的良好环境；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参与本地法制宣传，主管主办本会法制、法学刊物，编辑出版《阿坝政法》和资料；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发挥人才、智力优势，开展形式多样的法律服务；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指导、协调本州团体会员的工作；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10</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履行本州法学研究和法学交流社团的职责，做好监督和管理工作；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11</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反映本州广大会员和法学界、法律界和意见与要求，维护会员的合法利益。</w:t>
      </w:r>
    </w:p>
    <w:p>
      <w:pPr>
        <w:pStyle w:val="8"/>
        <w:keepNext w:val="0"/>
        <w:keepLines w:val="0"/>
        <w:pageBreakBefore w:val="0"/>
        <w:kinsoku/>
        <w:wordWrap/>
        <w:overflowPunct/>
        <w:topLinePunct w:val="0"/>
        <w:autoSpaceDE/>
        <w:autoSpaceDN/>
        <w:bidi w:val="0"/>
        <w:spacing w:line="540"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（三）人员概况。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州法学会事业编制4名，在职</w:t>
      </w:r>
      <w:r>
        <w:rPr>
          <w:rFonts w:hint="eastAsia"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名；州</w:t>
      </w:r>
      <w:r>
        <w:rPr>
          <w:rFonts w:hint="eastAsia" w:eastAsia="仿宋_GB2312" w:cs="Times New Roman"/>
          <w:color w:val="000000"/>
          <w:sz w:val="32"/>
          <w:szCs w:val="32"/>
          <w:lang w:eastAsia="zh-CN"/>
        </w:rPr>
        <w:t>政法宣传信息服务</w:t>
      </w:r>
      <w:r>
        <w:rPr>
          <w:rFonts w:hint="default" w:ascii="Times New Roman" w:hAnsi="Times New Roman" w:eastAsia="仿宋_GB2312" w:cs="Times New Roman"/>
          <w:color w:val="000000"/>
          <w:sz w:val="32"/>
          <w:szCs w:val="32"/>
        </w:rPr>
        <w:t>中心事业编制5名，在职4名。</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hint="default" w:ascii="Times New Roman" w:hAnsi="Times New Roman" w:eastAsia="方正公文黑体" w:cs="Times New Roman"/>
          <w:b w:val="0"/>
          <w:bCs w:val="0"/>
          <w:color w:val="000000"/>
          <w:kern w:val="0"/>
          <w:sz w:val="32"/>
          <w:szCs w:val="32"/>
          <w:shd w:val="clear" w:color="auto" w:fill="FFFFFF"/>
          <w:lang w:val="zh-CN"/>
        </w:rPr>
      </w:pPr>
      <w:r>
        <w:rPr>
          <w:rFonts w:hint="default" w:ascii="Times New Roman" w:hAnsi="Times New Roman" w:eastAsia="方正公文黑体" w:cs="Times New Roman"/>
          <w:b w:val="0"/>
          <w:bCs w:val="0"/>
          <w:color w:val="000000"/>
          <w:kern w:val="0"/>
          <w:sz w:val="32"/>
          <w:szCs w:val="32"/>
          <w:shd w:val="clear" w:color="auto" w:fill="FFFFFF"/>
          <w:lang w:val="zh-CN"/>
        </w:rPr>
        <w:t>二、单位资金收支情况</w:t>
      </w:r>
    </w:p>
    <w:p>
      <w:pPr>
        <w:pStyle w:val="8"/>
        <w:keepNext w:val="0"/>
        <w:keepLines w:val="0"/>
        <w:pageBreakBefore w:val="0"/>
        <w:kinsoku/>
        <w:wordWrap/>
        <w:overflowPunct/>
        <w:topLinePunct w:val="0"/>
        <w:autoSpaceDE/>
        <w:autoSpaceDN/>
        <w:bidi w:val="0"/>
        <w:spacing w:line="540"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（一）收入情况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年年初预算收入为</w:t>
      </w:r>
      <w:r>
        <w:rPr>
          <w:rFonts w:hint="eastAsia" w:eastAsia="仿宋_GB2312" w:cs="Times New Roman"/>
          <w:color w:val="000000"/>
          <w:sz w:val="32"/>
          <w:szCs w:val="32"/>
          <w:lang w:val="en-US" w:eastAsia="zh-CN"/>
        </w:rPr>
        <w:t>172</w:t>
      </w:r>
      <w:r>
        <w:rPr>
          <w:rFonts w:hint="default" w:ascii="Times New Roman" w:hAnsi="Times New Roman" w:eastAsia="仿宋_GB2312" w:cs="Times New Roman"/>
          <w:color w:val="000000"/>
          <w:sz w:val="32"/>
          <w:szCs w:val="32"/>
        </w:rPr>
        <w:t>.</w:t>
      </w:r>
      <w:r>
        <w:rPr>
          <w:rFonts w:hint="eastAsia" w:eastAsia="仿宋_GB2312" w:cs="Times New Roman"/>
          <w:color w:val="000000"/>
          <w:sz w:val="32"/>
          <w:szCs w:val="32"/>
          <w:lang w:val="en-US" w:eastAsia="zh-CN"/>
        </w:rPr>
        <w:t>51万</w:t>
      </w:r>
      <w:r>
        <w:rPr>
          <w:rFonts w:hint="default" w:ascii="Times New Roman" w:hAnsi="Times New Roman" w:eastAsia="仿宋_GB2312" w:cs="Times New Roman"/>
          <w:color w:val="000000"/>
          <w:sz w:val="32"/>
          <w:szCs w:val="32"/>
        </w:rPr>
        <w:t>元，决算报表收入为</w:t>
      </w:r>
      <w:r>
        <w:rPr>
          <w:rFonts w:hint="eastAsia" w:eastAsia="仿宋_GB2312" w:cs="Times New Roman"/>
          <w:color w:val="000000"/>
          <w:sz w:val="32"/>
          <w:szCs w:val="32"/>
          <w:lang w:val="en-US" w:eastAsia="zh-CN"/>
        </w:rPr>
        <w:t>183</w:t>
      </w:r>
      <w:r>
        <w:rPr>
          <w:rFonts w:hint="default" w:ascii="Times New Roman" w:hAnsi="Times New Roman" w:eastAsia="仿宋_GB2312" w:cs="Times New Roman"/>
          <w:color w:val="000000"/>
          <w:sz w:val="32"/>
          <w:szCs w:val="32"/>
        </w:rPr>
        <w:t>.</w:t>
      </w:r>
      <w:r>
        <w:rPr>
          <w:rFonts w:hint="eastAsia" w:eastAsia="仿宋_GB2312" w:cs="Times New Roman"/>
          <w:color w:val="000000"/>
          <w:sz w:val="32"/>
          <w:szCs w:val="32"/>
          <w:lang w:val="en-US" w:eastAsia="zh-CN"/>
        </w:rPr>
        <w:t>6万</w:t>
      </w:r>
      <w:r>
        <w:rPr>
          <w:rFonts w:hint="default" w:ascii="Times New Roman" w:hAnsi="Times New Roman" w:eastAsia="仿宋_GB2312" w:cs="Times New Roman"/>
          <w:color w:val="000000"/>
          <w:sz w:val="32"/>
          <w:szCs w:val="32"/>
        </w:rPr>
        <w:t>元。</w:t>
      </w:r>
    </w:p>
    <w:p>
      <w:pPr>
        <w:pStyle w:val="8"/>
        <w:keepNext w:val="0"/>
        <w:keepLines w:val="0"/>
        <w:pageBreakBefore w:val="0"/>
        <w:kinsoku/>
        <w:wordWrap/>
        <w:overflowPunct/>
        <w:topLinePunct w:val="0"/>
        <w:autoSpaceDE/>
        <w:autoSpaceDN/>
        <w:bidi w:val="0"/>
        <w:spacing w:line="540"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（二）支出情况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年年初预算支出为</w:t>
      </w:r>
      <w:r>
        <w:rPr>
          <w:rFonts w:hint="eastAsia" w:eastAsia="仿宋_GB2312" w:cs="Times New Roman"/>
          <w:color w:val="000000"/>
          <w:sz w:val="32"/>
          <w:szCs w:val="32"/>
          <w:lang w:val="en-US" w:eastAsia="zh-CN"/>
        </w:rPr>
        <w:t>172</w:t>
      </w:r>
      <w:r>
        <w:rPr>
          <w:rFonts w:hint="default" w:ascii="Times New Roman" w:hAnsi="Times New Roman" w:eastAsia="仿宋_GB2312" w:cs="Times New Roman"/>
          <w:color w:val="000000"/>
          <w:sz w:val="32"/>
          <w:szCs w:val="32"/>
        </w:rPr>
        <w:t>.</w:t>
      </w:r>
      <w:r>
        <w:rPr>
          <w:rFonts w:hint="eastAsia" w:eastAsia="仿宋_GB2312" w:cs="Times New Roman"/>
          <w:color w:val="000000"/>
          <w:sz w:val="32"/>
          <w:szCs w:val="32"/>
          <w:lang w:val="en-US" w:eastAsia="zh-CN"/>
        </w:rPr>
        <w:t>51万</w:t>
      </w:r>
      <w:r>
        <w:rPr>
          <w:rFonts w:hint="default" w:ascii="Times New Roman" w:hAnsi="Times New Roman" w:eastAsia="仿宋_GB2312" w:cs="Times New Roman"/>
          <w:color w:val="000000"/>
          <w:sz w:val="32"/>
          <w:szCs w:val="32"/>
        </w:rPr>
        <w:t>元，决算报表支出为</w:t>
      </w:r>
      <w:r>
        <w:rPr>
          <w:rFonts w:hint="eastAsia" w:eastAsia="仿宋_GB2312" w:cs="Times New Roman"/>
          <w:color w:val="000000"/>
          <w:sz w:val="32"/>
          <w:szCs w:val="32"/>
          <w:lang w:val="en-US" w:eastAsia="zh-CN"/>
        </w:rPr>
        <w:t>183</w:t>
      </w:r>
      <w:r>
        <w:rPr>
          <w:rFonts w:hint="default" w:ascii="Times New Roman" w:hAnsi="Times New Roman" w:eastAsia="仿宋_GB2312" w:cs="Times New Roman"/>
          <w:color w:val="000000"/>
          <w:sz w:val="32"/>
          <w:szCs w:val="32"/>
        </w:rPr>
        <w:t>.</w:t>
      </w:r>
      <w:r>
        <w:rPr>
          <w:rFonts w:hint="eastAsia" w:eastAsia="仿宋_GB2312" w:cs="Times New Roman"/>
          <w:color w:val="000000"/>
          <w:sz w:val="32"/>
          <w:szCs w:val="32"/>
          <w:lang w:val="en-US" w:eastAsia="zh-CN"/>
        </w:rPr>
        <w:t>6万</w:t>
      </w:r>
      <w:r>
        <w:rPr>
          <w:rFonts w:hint="default" w:ascii="Times New Roman" w:hAnsi="Times New Roman" w:eastAsia="仿宋_GB2312" w:cs="Times New Roman"/>
          <w:color w:val="000000"/>
          <w:sz w:val="32"/>
          <w:szCs w:val="32"/>
        </w:rPr>
        <w:t>元，其中：公共安全支出为135.06万元，占比73.56%；社会保障和就业支出为22.83万元，占比12.43%；卫生健康支出为10.61万元，占比5.78%；住房保障支出为15.10万元，占比8.22%。</w:t>
      </w:r>
    </w:p>
    <w:p>
      <w:pPr>
        <w:pStyle w:val="8"/>
        <w:keepNext w:val="0"/>
        <w:keepLines w:val="0"/>
        <w:pageBreakBefore w:val="0"/>
        <w:kinsoku/>
        <w:wordWrap/>
        <w:overflowPunct/>
        <w:topLinePunct w:val="0"/>
        <w:autoSpaceDE/>
        <w:autoSpaceDN/>
        <w:bidi w:val="0"/>
        <w:spacing w:line="540"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（三）结余分配和结转结余情况。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无</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hint="default" w:ascii="Times New Roman" w:hAnsi="Times New Roman" w:eastAsia="方正公文黑体" w:cs="Times New Roman"/>
          <w:b w:val="0"/>
          <w:bCs w:val="0"/>
          <w:color w:val="000000"/>
          <w:kern w:val="0"/>
          <w:sz w:val="32"/>
          <w:szCs w:val="32"/>
          <w:shd w:val="clear" w:color="auto" w:fill="FFFFFF"/>
          <w:lang w:val="zh-CN"/>
        </w:rPr>
      </w:pPr>
      <w:r>
        <w:rPr>
          <w:rFonts w:hint="default" w:ascii="Times New Roman" w:hAnsi="Times New Roman" w:eastAsia="方正公文黑体" w:cs="Times New Roman"/>
          <w:b w:val="0"/>
          <w:bCs w:val="0"/>
          <w:color w:val="000000"/>
          <w:kern w:val="0"/>
          <w:sz w:val="32"/>
          <w:szCs w:val="32"/>
          <w:shd w:val="clear" w:color="auto" w:fill="FFFFFF"/>
          <w:lang w:val="zh-CN"/>
        </w:rPr>
        <w:t>三、单位预算绩效分析</w:t>
      </w:r>
    </w:p>
    <w:p>
      <w:pPr>
        <w:pStyle w:val="8"/>
        <w:keepNext w:val="0"/>
        <w:keepLines w:val="0"/>
        <w:pageBreakBefore w:val="0"/>
        <w:kinsoku/>
        <w:wordWrap/>
        <w:overflowPunct/>
        <w:topLinePunct w:val="0"/>
        <w:autoSpaceDE/>
        <w:autoSpaceDN/>
        <w:bidi w:val="0"/>
        <w:spacing w:line="540"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（一）单位预算总体绩效分析（65分）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1.履职效能（15分）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eastAsia" w:eastAsia="仿宋_GB2312" w:cs="Times New Roman"/>
          <w:color w:val="000000"/>
          <w:sz w:val="32"/>
          <w:szCs w:val="32"/>
          <w:lang w:eastAsia="zh-CN"/>
        </w:rPr>
        <w:t>（</w:t>
      </w:r>
      <w:r>
        <w:rPr>
          <w:rFonts w:hint="eastAsia" w:eastAsia="仿宋_GB2312" w:cs="Times New Roman"/>
          <w:color w:val="000000"/>
          <w:sz w:val="32"/>
          <w:szCs w:val="32"/>
          <w:lang w:val="en-US" w:eastAsia="zh-CN"/>
        </w:rPr>
        <w:t>1</w:t>
      </w:r>
      <w:r>
        <w:rPr>
          <w:rFonts w:hint="eastAsia"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全面加强政治建设。全州法学会系统牢牢把握法学会的政治机关定位，加强政治引领，把学习贯彻习近平新时代中国特色社会主义思想和习近平法治思想作为首要政治任务，坚持干什么学什么、缺什么学什么，着力在学懂弄通做实上下功夫，坚持用党的创新理论凝心铸魂，教育引领广大法学法律工作者坚定法治自信，坚定不移走中国特色社会主义法治道路。紧扣政治安全主线，聚焦全民法治素养培塑、社会安全顽疾整治、重大矛盾纠纷攻坚等行动，强化课题研究、法治宣传、法律服务等活动，积极应对法学意识形态领域新情况、新问题，确保意识形态领域政治安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eastAsia" w:eastAsia="仿宋_GB2312" w:cs="Times New Roman"/>
          <w:color w:val="000000"/>
          <w:sz w:val="32"/>
          <w:szCs w:val="32"/>
          <w:lang w:eastAsia="zh-CN"/>
        </w:rPr>
        <w:t>（</w:t>
      </w:r>
      <w:r>
        <w:rPr>
          <w:rFonts w:hint="eastAsia" w:eastAsia="仿宋_GB2312" w:cs="Times New Roman"/>
          <w:color w:val="000000"/>
          <w:sz w:val="32"/>
          <w:szCs w:val="32"/>
          <w:lang w:val="en-US" w:eastAsia="zh-CN"/>
        </w:rPr>
        <w:t>2</w:t>
      </w:r>
      <w:r>
        <w:rPr>
          <w:rFonts w:hint="eastAsia"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繁荣地方法学，为法治实践提供理论支持。始终坚持“立足当地、研究当地、服务当地”，围绕省委、州委重大法治战略、立法事项、改革举措以及经济社会发展、法治建设中的重点难点热点问题，精准聚焦，精准发力，推动法治建设。一是积极发挥法学会研究平台作用，坚持问题导向、目标导向、结果导向，组织广大法学法律工作者深入开展法学研究，全州公开征集2024年法治实践创新课题28个，推荐上报8个，法治四川课题34个，推荐上报4个，“法治四川”法学研究课题选题建议10个，上报“法治四川”专项课题4个，西南民族大学法学院、金川县法院联合申报的课题《藏族民间习惯法在司法活动中的应用机制研究》已结项。先后组织广大会员参加了中国法学会、省法学会组织的各类论坛，形成理论研讨文章37余篇，1篇论文获得第十届“治蜀兴川”法治论坛一等奖，2篇论文获得首届成渝地区双城经济圈法治论坛二等奖、三等奖。二是积极运用汶川县第三方调解中心和“无忧法治院”、小金县乡（镇）法治诊所等法治实践基地及县、乡、村三级基层服务站点，持续推动法学工作向基层延伸。三是充分利用新媒体平台，全州各级法学会依托政法系统微信公众号，每周发布法律知识、法治人物、以案释法等精彩普法内容，制作发布以宣传孝善勤俭文化、法治文化为主的宣传视频500余个，解答法律咨询20万余人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eastAsia" w:eastAsia="仿宋_GB2312" w:cs="Times New Roman"/>
          <w:color w:val="000000"/>
          <w:sz w:val="32"/>
          <w:szCs w:val="32"/>
          <w:lang w:eastAsia="zh-CN"/>
        </w:rPr>
        <w:t>（</w:t>
      </w:r>
      <w:r>
        <w:rPr>
          <w:rFonts w:hint="eastAsia" w:eastAsia="仿宋_GB2312" w:cs="Times New Roman"/>
          <w:color w:val="000000"/>
          <w:sz w:val="32"/>
          <w:szCs w:val="32"/>
          <w:lang w:val="en-US" w:eastAsia="zh-CN"/>
        </w:rPr>
        <w:t>3</w:t>
      </w:r>
      <w:r>
        <w:rPr>
          <w:rFonts w:hint="eastAsia"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深化法治实践探索，提升法治服务。一是深入基层，就县、乡、村三级法律服务所（站、室）服务平台规范化建设工作进行督导调研。截至目前，三级法律服务诊所（站、室）服务平台规范化建设率达90%，后续将继续完善站点服务建设。二是以“首席法律咨询专家”入驻“微网实格”作为服务中心工作的重要抓手，结合首席法律咨询专家联络点，围绕党委政府重大公共决策、重大法律风险防控、重大矛盾纠纷调处、重大信访积案化解建言献策，开展法律咨询和法律服务，搭建起联系服务基层群众的法治桥梁，切实提升了依法决策、依法行政水平。三是积极探索把一批讲公道、重法律、有威望、有能力、有影响的宗教界代表、乡村贤能人士等特邀人民调解员吸纳到乡镇首席法律咨询专家库中，明确可调、不可调范围，打造了一支体现地域特点、符合民族风俗的特色专家队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eastAsia" w:eastAsia="仿宋_GB2312" w:cs="Times New Roman"/>
          <w:color w:val="000000"/>
          <w:sz w:val="32"/>
          <w:szCs w:val="32"/>
          <w:lang w:eastAsia="zh-CN"/>
        </w:rPr>
        <w:t>（</w:t>
      </w:r>
      <w:r>
        <w:rPr>
          <w:rFonts w:hint="eastAsia" w:eastAsia="仿宋_GB2312" w:cs="Times New Roman"/>
          <w:color w:val="000000"/>
          <w:sz w:val="32"/>
          <w:szCs w:val="32"/>
          <w:lang w:val="en-US" w:eastAsia="zh-CN"/>
        </w:rPr>
        <w:t>4</w:t>
      </w:r>
      <w:r>
        <w:rPr>
          <w:rFonts w:hint="eastAsia"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做实法治宣传教育，厚植法治底色。一是积极构建集法治宣传、成果展示、法律服务、工作宣传等内容为一体的法治文化广场、法治长廊等阵地，全方位讲好法学会故事。二是以“贴近基层、贴近群众、贴近实际”为基本要求，组织全州广大法律、法学工作者集中开展“法律政策七进”“百名法学家百场报告会”法治宣讲和“青年普法志愿者法治文化基层行”等活动，引导广大干部群众深度认知、高度信仰法治。三是以“八五”普法为依托，纵深推进党的二十大、二十届三中全会精神、习近平法治思想、“法治四川行”一月一主题、宪法、《民法典》等主题讲座、集中宣讲等活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eastAsia" w:eastAsia="仿宋_GB2312" w:cs="Times New Roman"/>
          <w:color w:val="000000"/>
          <w:sz w:val="32"/>
          <w:szCs w:val="32"/>
          <w:lang w:eastAsia="zh-CN"/>
        </w:rPr>
        <w:t>（</w:t>
      </w:r>
      <w:r>
        <w:rPr>
          <w:rFonts w:hint="eastAsia" w:eastAsia="仿宋_GB2312" w:cs="Times New Roman"/>
          <w:color w:val="000000"/>
          <w:sz w:val="32"/>
          <w:szCs w:val="32"/>
          <w:lang w:val="en-US" w:eastAsia="zh-CN"/>
        </w:rPr>
        <w:t>5</w:t>
      </w:r>
      <w:r>
        <w:rPr>
          <w:rFonts w:hint="eastAsia"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加强自身建设，夯实履职基础。一是认真贯彻落实《关于进一步加强法学会建设的意见》，结合省法学会《关于进一步做好法学会会员队伍核查工作的通知》工作要求，全面加强州、县法学会会员信息核查工作，进一步完善信息，严格规范会员入会的申请。二是整合法学法律工作者资源力量，全面加强州、县法学会组织体系建设。四是积极组织法学法律工作者参与各类培训班。自评得分：1</w:t>
      </w:r>
      <w:r>
        <w:rPr>
          <w:rFonts w:hint="eastAsia"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2.预算管理（25分）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（1）预算编制质量（8分）。严格按要求编制年初</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预算，年初预算编制的科学性和准确性较高，财政拨款预算偏离度为</w:t>
      </w:r>
      <w:r>
        <w:rPr>
          <w:rFonts w:hint="default" w:eastAsia="仿宋_GB2312" w:cs="Times New Roman"/>
          <w:color w:val="000000"/>
          <w:sz w:val="32"/>
          <w:szCs w:val="32"/>
          <w:lang w:val="en-US"/>
        </w:rPr>
        <w:t>6</w:t>
      </w:r>
      <w:r>
        <w:rPr>
          <w:rFonts w:hint="default" w:ascii="Times New Roman" w:hAnsi="Times New Roman" w:eastAsia="仿宋_GB2312" w:cs="Times New Roman"/>
          <w:color w:val="000000"/>
          <w:sz w:val="32"/>
          <w:szCs w:val="32"/>
        </w:rPr>
        <w:t>.</w:t>
      </w:r>
      <w:r>
        <w:rPr>
          <w:rFonts w:hint="default" w:eastAsia="仿宋_GB2312" w:cs="Times New Roman"/>
          <w:color w:val="000000"/>
          <w:sz w:val="32"/>
          <w:szCs w:val="32"/>
          <w:lang w:val="en-US"/>
        </w:rPr>
        <w:t>43</w:t>
      </w:r>
      <w:r>
        <w:rPr>
          <w:rFonts w:hint="default" w:ascii="Times New Roman" w:hAnsi="Times New Roman" w:eastAsia="仿宋_GB2312" w:cs="Times New Roman"/>
          <w:color w:val="000000"/>
          <w:sz w:val="32"/>
          <w:szCs w:val="32"/>
        </w:rPr>
        <w:t>%，资产配置预算偏离度为0（使用州委政法委资产，本单位属州委政法委代管，本单位无资产），政府采购预算偏离度为0（本年无资产采购）。自评得分：</w:t>
      </w:r>
      <w:r>
        <w:rPr>
          <w:rFonts w:hint="eastAsia"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lang w:val="en-US" w:eastAsia="zh-CN"/>
        </w:rPr>
        <w:t>.</w:t>
      </w:r>
      <w:r>
        <w:rPr>
          <w:rFonts w:hint="eastAsia"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（2）单位收入统筹（4分）。无自有收入、无财政核定的综合补助比例。自评得分：4分。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（3）支出执行进度（6分）。1至6月、1至10月预算执行支付进度分别为48.</w:t>
      </w:r>
      <w:r>
        <w:rPr>
          <w:rFonts w:hint="default" w:eastAsia="仿宋_GB2312" w:cs="Times New Roman"/>
          <w:color w:val="000000"/>
          <w:sz w:val="32"/>
          <w:szCs w:val="32"/>
          <w:lang w:val="en-US"/>
        </w:rPr>
        <w:t>8</w:t>
      </w:r>
      <w:r>
        <w:rPr>
          <w:rFonts w:hint="default" w:ascii="Times New Roman" w:hAnsi="Times New Roman" w:eastAsia="仿宋_GB2312" w:cs="Times New Roman"/>
          <w:color w:val="000000"/>
          <w:sz w:val="32"/>
          <w:szCs w:val="32"/>
        </w:rPr>
        <w:t>%、8</w:t>
      </w:r>
      <w:r>
        <w:rPr>
          <w:rFonts w:hint="default" w:eastAsia="仿宋_GB2312" w:cs="Times New Roman"/>
          <w:color w:val="000000"/>
          <w:sz w:val="32"/>
          <w:szCs w:val="32"/>
          <w:lang w:val="en-US"/>
        </w:rPr>
        <w:t>4</w:t>
      </w:r>
      <w:r>
        <w:rPr>
          <w:rFonts w:hint="default" w:ascii="Times New Roman" w:hAnsi="Times New Roman" w:eastAsia="仿宋_GB2312" w:cs="Times New Roman"/>
          <w:color w:val="000000"/>
          <w:sz w:val="32"/>
          <w:szCs w:val="32"/>
        </w:rPr>
        <w:t>.</w:t>
      </w:r>
      <w:r>
        <w:rPr>
          <w:rFonts w:hint="default" w:eastAsia="仿宋_GB2312" w:cs="Times New Roman"/>
          <w:color w:val="000000"/>
          <w:sz w:val="32"/>
          <w:szCs w:val="32"/>
          <w:lang w:val="en-US"/>
        </w:rPr>
        <w:t>5</w:t>
      </w:r>
      <w:r>
        <w:rPr>
          <w:rFonts w:hint="default" w:ascii="Times New Roman" w:hAnsi="Times New Roman" w:eastAsia="仿宋_GB2312" w:cs="Times New Roman"/>
          <w:color w:val="000000"/>
          <w:sz w:val="32"/>
          <w:szCs w:val="32"/>
        </w:rPr>
        <w:t>%,无支出预警金额，无支出违规金额。自评得分：</w:t>
      </w:r>
      <w:r>
        <w:rPr>
          <w:rFonts w:hint="default" w:ascii="Times New Roman" w:hAnsi="Times New Roman" w:eastAsia="仿宋_GB2312" w:cs="Times New Roman"/>
          <w:color w:val="000000"/>
          <w:sz w:val="32"/>
          <w:szCs w:val="32"/>
          <w:lang w:val="en-US"/>
        </w:rPr>
        <w:t>5</w:t>
      </w:r>
      <w:r>
        <w:rPr>
          <w:rFonts w:hint="default" w:ascii="Times New Roman" w:hAnsi="Times New Roman" w:eastAsia="仿宋_GB2312" w:cs="Times New Roman"/>
          <w:color w:val="000000"/>
          <w:sz w:val="32"/>
          <w:szCs w:val="32"/>
          <w:lang w:val="en-US" w:eastAsia="zh-CN"/>
        </w:rPr>
        <w:t>.</w:t>
      </w:r>
      <w:r>
        <w:rPr>
          <w:rFonts w:hint="eastAsia"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（4）预算年终结余（2分）。预算注销金额和结转金额为</w:t>
      </w:r>
      <w:r>
        <w:rPr>
          <w:rFonts w:hint="default" w:eastAsia="仿宋_GB2312" w:cs="Times New Roman"/>
          <w:color w:val="000000"/>
          <w:sz w:val="32"/>
          <w:szCs w:val="32"/>
          <w:lang w:val="en-US"/>
        </w:rPr>
        <w:t>0</w:t>
      </w:r>
      <w:r>
        <w:rPr>
          <w:rFonts w:hint="default" w:ascii="Times New Roman" w:hAnsi="Times New Roman" w:eastAsia="仿宋_GB2312" w:cs="Times New Roman"/>
          <w:color w:val="000000"/>
          <w:sz w:val="32"/>
          <w:szCs w:val="32"/>
        </w:rPr>
        <w:t>元，</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预算总金额</w:t>
      </w:r>
      <w:r>
        <w:rPr>
          <w:rFonts w:hint="default" w:eastAsia="仿宋_GB2312" w:cs="Times New Roman"/>
          <w:color w:val="000000"/>
          <w:sz w:val="32"/>
          <w:szCs w:val="32"/>
          <w:lang w:val="en-US"/>
        </w:rPr>
        <w:t>172</w:t>
      </w:r>
      <w:r>
        <w:rPr>
          <w:rFonts w:hint="default" w:ascii="Times New Roman" w:hAnsi="Times New Roman" w:eastAsia="仿宋_GB2312" w:cs="Times New Roman"/>
          <w:color w:val="000000"/>
          <w:sz w:val="32"/>
          <w:szCs w:val="32"/>
        </w:rPr>
        <w:t>.</w:t>
      </w:r>
      <w:r>
        <w:rPr>
          <w:rFonts w:hint="default" w:eastAsia="仿宋_GB2312" w:cs="Times New Roman"/>
          <w:color w:val="000000"/>
          <w:sz w:val="32"/>
          <w:szCs w:val="32"/>
          <w:lang w:val="en-US"/>
        </w:rPr>
        <w:t>51</w:t>
      </w:r>
      <w:r>
        <w:rPr>
          <w:rFonts w:hint="eastAsia" w:eastAsia="仿宋_GB2312" w:cs="Times New Roman"/>
          <w:color w:val="000000"/>
          <w:sz w:val="32"/>
          <w:szCs w:val="32"/>
          <w:lang w:val="en-US" w:eastAsia="zh-CN"/>
        </w:rPr>
        <w:t>万</w:t>
      </w:r>
      <w:r>
        <w:rPr>
          <w:rFonts w:hint="default" w:ascii="Times New Roman" w:hAnsi="Times New Roman" w:eastAsia="仿宋_GB2312" w:cs="Times New Roman"/>
          <w:color w:val="000000"/>
          <w:sz w:val="32"/>
          <w:szCs w:val="32"/>
        </w:rPr>
        <w:t>元，整体预算结余率为</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%。自评得分：2分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（5）严控一般性支出（5分）。严控“三公”经费、会议、培训、差旅、办节办展、办公设备购置、信息网络及软件购置更新、课题经费等。自评得分：</w:t>
      </w:r>
      <w:r>
        <w:rPr>
          <w:rFonts w:hint="default" w:ascii="Times New Roman" w:hAnsi="Times New Roman" w:eastAsia="仿宋_GB2312" w:cs="Times New Roman"/>
          <w:color w:val="000000"/>
          <w:sz w:val="32"/>
          <w:szCs w:val="32"/>
          <w:lang w:val="en-US"/>
        </w:rPr>
        <w:t>4</w:t>
      </w:r>
      <w:r>
        <w:rPr>
          <w:rFonts w:hint="default" w:ascii="Times New Roman" w:hAnsi="Times New Roman" w:eastAsia="仿宋_GB2312" w:cs="Times New Roman"/>
          <w:color w:val="000000"/>
          <w:sz w:val="32"/>
          <w:szCs w:val="32"/>
          <w:lang w:val="en-US" w:eastAsia="zh-CN"/>
        </w:rPr>
        <w:t>.</w:t>
      </w:r>
      <w:r>
        <w:rPr>
          <w:rFonts w:hint="eastAsia"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3.财务管理（10分）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财务管理制度（4分）。根据本单位工作实际，在建立并实施内部监督和控制中，制定了内部财务管理制度。建立和完善各项制度的同时，相关人员在工作过程中严格遵守这些规章制度，有效地实施了内部监督和控制。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财务岗位设置（2分）。明确了记账人员和审批人员、经办人员的职责权限，使其相互分离、相互制约，以明确责任，防止舞弊，各项业务事项得以有序进行；明确了财务收支审批程序和审批人员的权限，规范了各项资金的使用，提高了资金使用效益。自评得分：2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（3）资金使用规范（4分）。明确了经费支出的范围和开支标准，采取各种有效措施控制经费开支，杜绝了浪费现象的发生。自评得分：4分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4.资产管理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（1）人均资产变化率（3分）。州法学会无资产，使用州委政法委的资产。截至202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年12月31日，州委政法委</w:t>
      </w:r>
      <w:r>
        <w:rPr>
          <w:rFonts w:hint="default" w:ascii="Times New Roman" w:hAnsi="Times New Roman" w:eastAsia="仿宋_GB2312" w:cs="Times New Roman"/>
          <w:b w:val="0"/>
          <w:bCs w:val="0"/>
          <w:color w:val="000000"/>
          <w:sz w:val="32"/>
          <w:szCs w:val="32"/>
        </w:rPr>
        <w:t>资产总额（账面净值，下同）2</w:t>
      </w:r>
      <w:r>
        <w:rPr>
          <w:rFonts w:hint="default" w:eastAsia="仿宋_GB2312" w:cs="Times New Roman"/>
          <w:b w:val="0"/>
          <w:bCs w:val="0"/>
          <w:color w:val="000000"/>
          <w:sz w:val="32"/>
          <w:szCs w:val="32"/>
          <w:lang w:val="en-US"/>
        </w:rPr>
        <w:t>22</w:t>
      </w:r>
      <w:r>
        <w:rPr>
          <w:rFonts w:hint="default" w:ascii="Times New Roman" w:hAnsi="Times New Roman" w:eastAsia="仿宋_GB2312" w:cs="Times New Roman"/>
          <w:b w:val="0"/>
          <w:bCs w:val="0"/>
          <w:color w:val="000000"/>
          <w:sz w:val="32"/>
          <w:szCs w:val="32"/>
        </w:rPr>
        <w:t>.</w:t>
      </w:r>
      <w:r>
        <w:rPr>
          <w:rFonts w:hint="default" w:eastAsia="仿宋_GB2312" w:cs="Times New Roman"/>
          <w:b w:val="0"/>
          <w:bCs w:val="0"/>
          <w:color w:val="000000"/>
          <w:sz w:val="32"/>
          <w:szCs w:val="32"/>
          <w:lang w:val="en-US"/>
        </w:rPr>
        <w:t>74</w:t>
      </w:r>
      <w:r>
        <w:rPr>
          <w:rFonts w:hint="default" w:ascii="Times New Roman" w:hAnsi="Times New Roman" w:eastAsia="仿宋_GB2312" w:cs="Times New Roman"/>
          <w:b w:val="0"/>
          <w:bCs w:val="0"/>
          <w:color w:val="000000"/>
          <w:sz w:val="32"/>
          <w:szCs w:val="32"/>
        </w:rPr>
        <w:t>万元，较上年</w:t>
      </w:r>
      <w:r>
        <w:rPr>
          <w:rFonts w:hint="eastAsia" w:eastAsia="仿宋_GB2312" w:cs="Times New Roman"/>
          <w:b w:val="0"/>
          <w:bCs w:val="0"/>
          <w:color w:val="000000"/>
          <w:sz w:val="32"/>
          <w:szCs w:val="32"/>
          <w:lang w:eastAsia="zh-CN"/>
        </w:rPr>
        <w:t>增加</w:t>
      </w:r>
      <w:r>
        <w:rPr>
          <w:rFonts w:hint="eastAsia" w:eastAsia="仿宋_GB2312" w:cs="Times New Roman"/>
          <w:b w:val="0"/>
          <w:bCs w:val="0"/>
          <w:color w:val="000000"/>
          <w:sz w:val="32"/>
          <w:szCs w:val="32"/>
          <w:lang w:val="en-US" w:eastAsia="zh-CN"/>
        </w:rPr>
        <w:t>19</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98</w:t>
      </w:r>
      <w:r>
        <w:rPr>
          <w:rFonts w:hint="default" w:ascii="Times New Roman" w:hAnsi="Times New Roman" w:eastAsia="仿宋_GB2312" w:cs="Times New Roman"/>
          <w:b w:val="0"/>
          <w:bCs w:val="0"/>
          <w:color w:val="000000"/>
          <w:sz w:val="32"/>
          <w:szCs w:val="32"/>
        </w:rPr>
        <w:t>%。负债总额2</w:t>
      </w:r>
      <w:r>
        <w:rPr>
          <w:rFonts w:hint="eastAsia" w:eastAsia="仿宋_GB2312" w:cs="Times New Roman"/>
          <w:b w:val="0"/>
          <w:bCs w:val="0"/>
          <w:color w:val="000000"/>
          <w:sz w:val="32"/>
          <w:szCs w:val="32"/>
          <w:lang w:val="en-US" w:eastAsia="zh-CN"/>
        </w:rPr>
        <w:t>5</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05</w:t>
      </w:r>
      <w:r>
        <w:rPr>
          <w:rFonts w:hint="default" w:ascii="Times New Roman" w:hAnsi="Times New Roman" w:eastAsia="仿宋_GB2312" w:cs="Times New Roman"/>
          <w:b w:val="0"/>
          <w:bCs w:val="0"/>
          <w:color w:val="000000"/>
          <w:sz w:val="32"/>
          <w:szCs w:val="32"/>
        </w:rPr>
        <w:t>万元，较上年</w:t>
      </w:r>
      <w:r>
        <w:rPr>
          <w:rFonts w:hint="eastAsia" w:eastAsia="仿宋_GB2312" w:cs="Times New Roman"/>
          <w:b w:val="0"/>
          <w:bCs w:val="0"/>
          <w:color w:val="000000"/>
          <w:sz w:val="32"/>
          <w:szCs w:val="32"/>
          <w:lang w:eastAsia="zh-CN"/>
        </w:rPr>
        <w:t>增加</w:t>
      </w:r>
      <w:r>
        <w:rPr>
          <w:rFonts w:hint="eastAsia" w:eastAsia="仿宋_GB2312" w:cs="Times New Roman"/>
          <w:b w:val="0"/>
          <w:bCs w:val="0"/>
          <w:color w:val="000000"/>
          <w:sz w:val="32"/>
          <w:szCs w:val="32"/>
          <w:lang w:val="en-US" w:eastAsia="zh-CN"/>
        </w:rPr>
        <w:t>21</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08</w:t>
      </w:r>
      <w:r>
        <w:rPr>
          <w:rFonts w:hint="default" w:ascii="Times New Roman" w:hAnsi="Times New Roman" w:eastAsia="仿宋_GB2312" w:cs="Times New Roman"/>
          <w:b w:val="0"/>
          <w:bCs w:val="0"/>
          <w:color w:val="000000"/>
          <w:sz w:val="32"/>
          <w:szCs w:val="32"/>
        </w:rPr>
        <w:t>%。净资产</w:t>
      </w:r>
      <w:r>
        <w:rPr>
          <w:rFonts w:hint="eastAsia" w:eastAsia="仿宋_GB2312" w:cs="Times New Roman"/>
          <w:b w:val="0"/>
          <w:bCs w:val="0"/>
          <w:color w:val="000000"/>
          <w:sz w:val="32"/>
          <w:szCs w:val="32"/>
          <w:lang w:val="en-US" w:eastAsia="zh-CN"/>
        </w:rPr>
        <w:t>222</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75</w:t>
      </w:r>
      <w:r>
        <w:rPr>
          <w:rFonts w:hint="default" w:ascii="Times New Roman" w:hAnsi="Times New Roman" w:eastAsia="仿宋_GB2312" w:cs="Times New Roman"/>
          <w:b w:val="0"/>
          <w:bCs w:val="0"/>
          <w:color w:val="000000"/>
          <w:sz w:val="32"/>
          <w:szCs w:val="32"/>
        </w:rPr>
        <w:t>万元,较上年</w:t>
      </w:r>
      <w:r>
        <w:rPr>
          <w:rFonts w:hint="eastAsia" w:eastAsia="仿宋_GB2312" w:cs="Times New Roman"/>
          <w:b w:val="0"/>
          <w:bCs w:val="0"/>
          <w:color w:val="000000"/>
          <w:sz w:val="32"/>
          <w:szCs w:val="32"/>
          <w:lang w:eastAsia="zh-CN"/>
        </w:rPr>
        <w:t>增加</w:t>
      </w:r>
      <w:r>
        <w:rPr>
          <w:rFonts w:hint="eastAsia" w:eastAsia="仿宋_GB2312" w:cs="Times New Roman"/>
          <w:b w:val="0"/>
          <w:bCs w:val="0"/>
          <w:color w:val="000000"/>
          <w:sz w:val="32"/>
          <w:szCs w:val="32"/>
          <w:lang w:val="en-US" w:eastAsia="zh-CN"/>
        </w:rPr>
        <w:t>19</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98</w:t>
      </w:r>
      <w:r>
        <w:rPr>
          <w:rFonts w:hint="default" w:ascii="Times New Roman" w:hAnsi="Times New Roman" w:eastAsia="仿宋_GB2312" w:cs="Times New Roman"/>
          <w:b w:val="0"/>
          <w:bCs w:val="0"/>
          <w:color w:val="000000"/>
          <w:sz w:val="32"/>
          <w:szCs w:val="32"/>
        </w:rPr>
        <w:t>%。截至202</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年12月31日，编制人数3</w:t>
      </w:r>
      <w:r>
        <w:rPr>
          <w:rFonts w:hint="eastAsia" w:eastAsia="仿宋_GB2312" w:cs="Times New Roman"/>
          <w:b w:val="0"/>
          <w:bCs w:val="0"/>
          <w:color w:val="000000"/>
          <w:sz w:val="32"/>
          <w:szCs w:val="32"/>
          <w:lang w:val="en-US" w:eastAsia="zh-CN"/>
        </w:rPr>
        <w:t>9</w:t>
      </w:r>
      <w:r>
        <w:rPr>
          <w:rFonts w:hint="default" w:ascii="Times New Roman" w:hAnsi="Times New Roman" w:eastAsia="仿宋_GB2312" w:cs="Times New Roman"/>
          <w:b w:val="0"/>
          <w:bCs w:val="0"/>
          <w:color w:val="000000"/>
          <w:sz w:val="32"/>
          <w:szCs w:val="32"/>
        </w:rPr>
        <w:t>人，较上年度增加0人，年末实有人数3</w:t>
      </w:r>
      <w:r>
        <w:rPr>
          <w:rFonts w:hint="eastAsia" w:eastAsia="仿宋_GB2312" w:cs="Times New Roman"/>
          <w:b w:val="0"/>
          <w:bCs w:val="0"/>
          <w:color w:val="000000"/>
          <w:sz w:val="32"/>
          <w:szCs w:val="32"/>
          <w:lang w:val="en-US" w:eastAsia="zh-CN"/>
        </w:rPr>
        <w:t>5</w:t>
      </w:r>
      <w:r>
        <w:rPr>
          <w:rFonts w:hint="default" w:ascii="Times New Roman" w:hAnsi="Times New Roman" w:eastAsia="仿宋_GB2312" w:cs="Times New Roman"/>
          <w:b w:val="0"/>
          <w:bCs w:val="0"/>
          <w:color w:val="000000"/>
          <w:sz w:val="32"/>
          <w:szCs w:val="32"/>
        </w:rPr>
        <w:t>人（其中事业人员</w:t>
      </w:r>
      <w:r>
        <w:rPr>
          <w:rFonts w:hint="eastAsia" w:eastAsia="仿宋_GB2312" w:cs="Times New Roman"/>
          <w:b w:val="0"/>
          <w:bCs w:val="0"/>
          <w:color w:val="000000"/>
          <w:sz w:val="32"/>
          <w:szCs w:val="32"/>
          <w:lang w:val="en-US" w:eastAsia="zh-CN"/>
        </w:rPr>
        <w:t>7</w:t>
      </w:r>
      <w:r>
        <w:rPr>
          <w:rFonts w:hint="default" w:ascii="Times New Roman" w:hAnsi="Times New Roman" w:eastAsia="仿宋_GB2312" w:cs="Times New Roman"/>
          <w:b w:val="0"/>
          <w:bCs w:val="0"/>
          <w:color w:val="000000"/>
          <w:sz w:val="32"/>
          <w:szCs w:val="32"/>
        </w:rPr>
        <w:t>人，</w:t>
      </w:r>
      <w:r>
        <w:rPr>
          <w:rFonts w:hint="default" w:ascii="Times New Roman" w:hAnsi="Times New Roman" w:eastAsia="仿宋_GB2312" w:cs="Times New Roman"/>
          <w:b w:val="0"/>
          <w:bCs w:val="0"/>
          <w:color w:val="000000"/>
          <w:sz w:val="32"/>
          <w:szCs w:val="32"/>
          <w:lang w:eastAsia="zh-CN"/>
        </w:rPr>
        <w:t>编外长聘</w:t>
      </w:r>
      <w:r>
        <w:rPr>
          <w:rFonts w:hint="default" w:ascii="Times New Roman" w:hAnsi="Times New Roman" w:eastAsia="仿宋_GB2312" w:cs="Times New Roman"/>
          <w:b w:val="0"/>
          <w:bCs w:val="0"/>
          <w:color w:val="000000"/>
          <w:sz w:val="32"/>
          <w:szCs w:val="32"/>
        </w:rPr>
        <w:t>人员</w:t>
      </w:r>
      <w:r>
        <w:rPr>
          <w:rFonts w:hint="eastAsia" w:eastAsia="仿宋_GB2312" w:cs="Times New Roman"/>
          <w:b w:val="0"/>
          <w:bCs w:val="0"/>
          <w:color w:val="000000"/>
          <w:sz w:val="32"/>
          <w:szCs w:val="32"/>
          <w:lang w:val="en-US" w:eastAsia="zh-CN"/>
        </w:rPr>
        <w:t>2</w:t>
      </w:r>
      <w:r>
        <w:rPr>
          <w:rFonts w:hint="default" w:ascii="Times New Roman" w:hAnsi="Times New Roman" w:eastAsia="仿宋_GB2312" w:cs="Times New Roman"/>
          <w:b w:val="0"/>
          <w:bCs w:val="0"/>
          <w:color w:val="000000"/>
          <w:sz w:val="32"/>
          <w:szCs w:val="32"/>
        </w:rPr>
        <w:t>人），较上年度</w:t>
      </w:r>
      <w:r>
        <w:rPr>
          <w:rFonts w:hint="eastAsia" w:eastAsia="仿宋_GB2312" w:cs="Times New Roman"/>
          <w:b w:val="0"/>
          <w:bCs w:val="0"/>
          <w:color w:val="000000"/>
          <w:sz w:val="32"/>
          <w:szCs w:val="32"/>
          <w:lang w:eastAsia="zh-CN"/>
        </w:rPr>
        <w:t>减少</w:t>
      </w:r>
      <w:r>
        <w:rPr>
          <w:rFonts w:hint="default" w:ascii="Times New Roman" w:hAnsi="Times New Roman" w:eastAsia="仿宋_GB2312" w:cs="Times New Roman"/>
          <w:b w:val="0"/>
          <w:bCs w:val="0"/>
          <w:color w:val="000000"/>
          <w:sz w:val="32"/>
          <w:szCs w:val="32"/>
        </w:rPr>
        <w:t>4人。人均资产变化率较小</w:t>
      </w:r>
      <w:r>
        <w:rPr>
          <w:rFonts w:hint="default" w:ascii="Times New Roman" w:hAnsi="Times New Roman" w:eastAsia="仿宋_GB2312" w:cs="Times New Roman"/>
          <w:color w:val="000000"/>
          <w:sz w:val="32"/>
          <w:szCs w:val="32"/>
        </w:rPr>
        <w:t>。自评得分：3分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（2）资产利用率（3分）。州委政法委</w:t>
      </w:r>
      <w:r>
        <w:rPr>
          <w:rFonts w:hint="default" w:ascii="Times New Roman" w:hAnsi="Times New Roman" w:eastAsia="仿宋_GB2312" w:cs="Times New Roman"/>
          <w:b w:val="0"/>
          <w:bCs w:val="0"/>
          <w:color w:val="000000"/>
          <w:sz w:val="32"/>
          <w:szCs w:val="32"/>
        </w:rPr>
        <w:t>超最低使用年限资产利用率为0；办公设备超最低使用年限资产</w:t>
      </w:r>
      <w:r>
        <w:rPr>
          <w:rFonts w:hint="eastAsia" w:eastAsia="仿宋_GB2312" w:cs="Times New Roman"/>
          <w:b w:val="0"/>
          <w:bCs w:val="0"/>
          <w:color w:val="000000"/>
          <w:sz w:val="32"/>
          <w:szCs w:val="32"/>
          <w:lang w:val="en-US" w:eastAsia="zh-CN"/>
        </w:rPr>
        <w:t>320</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04万</w:t>
      </w:r>
      <w:r>
        <w:rPr>
          <w:rFonts w:hint="default" w:ascii="Times New Roman" w:hAnsi="Times New Roman" w:eastAsia="仿宋_GB2312" w:cs="Times New Roman"/>
          <w:b w:val="0"/>
          <w:bCs w:val="0"/>
          <w:color w:val="000000"/>
          <w:sz w:val="32"/>
          <w:szCs w:val="32"/>
        </w:rPr>
        <w:t>元，办公设备的账面价值为</w:t>
      </w:r>
      <w:r>
        <w:rPr>
          <w:rFonts w:hint="eastAsia" w:eastAsia="仿宋_GB2312" w:cs="Times New Roman"/>
          <w:b w:val="0"/>
          <w:bCs w:val="0"/>
          <w:color w:val="000000"/>
          <w:sz w:val="32"/>
          <w:szCs w:val="32"/>
          <w:lang w:val="en-US" w:eastAsia="zh-CN"/>
        </w:rPr>
        <w:t>719</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93万</w:t>
      </w:r>
      <w:r>
        <w:rPr>
          <w:rFonts w:hint="default" w:ascii="Times New Roman" w:hAnsi="Times New Roman" w:eastAsia="仿宋_GB2312" w:cs="Times New Roman"/>
          <w:b w:val="0"/>
          <w:bCs w:val="0"/>
          <w:color w:val="000000"/>
          <w:sz w:val="32"/>
          <w:szCs w:val="32"/>
        </w:rPr>
        <w:t>元，办公设备超最低使用年限资产利用率为4</w:t>
      </w:r>
      <w:r>
        <w:rPr>
          <w:rFonts w:hint="eastAsia"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w:t>
      </w:r>
      <w:r>
        <w:rPr>
          <w:rFonts w:hint="eastAsia" w:eastAsia="仿宋_GB2312" w:cs="Times New Roman"/>
          <w:b w:val="0"/>
          <w:bCs w:val="0"/>
          <w:color w:val="000000"/>
          <w:sz w:val="32"/>
          <w:szCs w:val="32"/>
          <w:lang w:val="en-US" w:eastAsia="zh-CN"/>
        </w:rPr>
        <w:t>45</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color w:val="000000"/>
          <w:sz w:val="32"/>
          <w:szCs w:val="32"/>
        </w:rPr>
        <w:t>自评得分：3分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（3）资产利用率（3分）。州委政法委202</w:t>
      </w:r>
      <w:r>
        <w:rPr>
          <w:rFonts w:hint="eastAsia"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年和202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年均无闲置资产。自评得分：3分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5.采购管理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（1）支持中小企业发展（3分）。采购中严格执行政府采购促进中小企业发展相关管理办法，2023年采购金额共计0元，其中涉及中小企业的采购金额为0元。自评得分：3分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（2）采购执行率（3分）。2023年采购金额共计0元，当年政府采购总预算数0元，当年已完成采购项目节约金额为0元。自评得分：3分</w:t>
      </w:r>
    </w:p>
    <w:p>
      <w:pPr>
        <w:pStyle w:val="8"/>
        <w:keepNext w:val="0"/>
        <w:keepLines w:val="0"/>
        <w:pageBreakBefore w:val="0"/>
        <w:kinsoku/>
        <w:wordWrap/>
        <w:overflowPunct/>
        <w:topLinePunct w:val="0"/>
        <w:autoSpaceDE/>
        <w:autoSpaceDN/>
        <w:bidi w:val="0"/>
        <w:spacing w:line="540"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(二)项目绩效（35分）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1.项目决策（12分）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（1）决策程序（4分）。</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预算项目设立按规定履行评估论证、申报程序，无未履行事前评估程序的</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预算项目。202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年无特定目标类预算项目。自评得分：4分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目标设置（4分）。预算项目绩效目标与计划期内的任务量、预算安排的资金量匹配较好，绩效目标设置科学合理、规范完整、量化细化、预算匹配。特定目标类项目目标设置都是经业务科室和财务部门共同合作完成，并经过相关专家指导，目标设置符合规定。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（3）项目入库（4分）。</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预算项目能在规定时间完成项目入库。202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年无特定目标类预算项目。自评得分：4分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2.项目执行（12分）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（1）执行同向（4分）。</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预算项目实际列支内容是与绩效目标设置方向相符，无实际列支内容与绩效目标设置方向不相符的</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预算阶段项目。自评得分：4分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（2）项目调整（4分）。202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预算项目中无应采取未采取收回预算、调整目标等处置措施的</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预算项目。自评得分：4分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（3）执行结果（4分）。202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年无特定目标类预算项目。自评得分：4分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3.目标实现（11分）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（1）目标完成（4分）。202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年无特定目标类预算项目。自评得分：4分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（2）目标偏离（4分）。2023年无特定目标类预算项目。自评得分：4分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（3）实现效果（3分）。202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年无特定目标类预算项目。自评得分：3分</w:t>
      </w:r>
    </w:p>
    <w:p>
      <w:pPr>
        <w:pStyle w:val="8"/>
        <w:keepNext w:val="0"/>
        <w:keepLines w:val="0"/>
        <w:pageBreakBefore w:val="0"/>
        <w:kinsoku/>
        <w:wordWrap/>
        <w:overflowPunct/>
        <w:topLinePunct w:val="0"/>
        <w:autoSpaceDE/>
        <w:autoSpaceDN/>
        <w:bidi w:val="0"/>
        <w:spacing w:line="540"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（三）绩效结果应用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1.内部应用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将内设机构绩效目标管理纳入内部考核体系；建立对内设机构预算绩效挂钩。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2.信息公开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（1）预算公开。经保密审查，按要求在财政部门批复后</w:t>
      </w: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日内向社会公开本</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预算（含所有财政资金安排的“三公”经费、机关运行经费的安排、使用情况等）在州政府门户网站上进行了公开。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（2）决算公开。经保密审查，按要求在财政部门批复</w:t>
      </w: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日内向社会公开本</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决算（含所有财政资金安排的“三公”经费、机关运行经费的安排、使用情况等）在州政府门户网站上进行了公开。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3.整改反馈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阿坝州财政局《关于开展202</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、202</w:t>
      </w:r>
      <w:r>
        <w:rPr>
          <w:rFonts w:hint="eastAsia"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年预决算公开情况专项检查情况的通报》，对公开不及时、公开内容不完整、细化程度不够、其它方面存在的问题进行了通报，均无我单位。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我单位无债务资金、无非税收入；编制政府采购实施计划与政府采购预算的一致；按规定完成资产清查任务，并及时上报行政事业单位资产报表；设立了完整的内控制度，未发生廉政或重大责任事故，并按要求上报了内控报表、分析材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我单位202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年度整体支出绩效评价自评合格，并按规定将自评情况及时报送财政部门备案，对于自评过程中发现的不足及问题，我单位</w:t>
      </w:r>
      <w:r>
        <w:rPr>
          <w:rFonts w:hint="eastAsia" w:eastAsia="仿宋_GB2312" w:cs="Times New Roman"/>
          <w:color w:val="000000"/>
          <w:sz w:val="32"/>
          <w:szCs w:val="32"/>
          <w:lang w:eastAsia="zh-CN"/>
        </w:rPr>
        <w:t>将</w:t>
      </w:r>
      <w:r>
        <w:rPr>
          <w:rFonts w:hint="default" w:ascii="Times New Roman" w:hAnsi="Times New Roman" w:eastAsia="仿宋_GB2312" w:cs="Times New Roman"/>
          <w:color w:val="000000"/>
          <w:sz w:val="32"/>
          <w:szCs w:val="32"/>
        </w:rPr>
        <w:t>积极整改，力求下一年度通过完善相关政策制度，建立更加切合实际的绩效评价体系。</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hint="default" w:ascii="Times New Roman" w:hAnsi="Times New Roman" w:eastAsia="方正公文黑体" w:cs="Times New Roman"/>
          <w:b w:val="0"/>
          <w:bCs w:val="0"/>
          <w:color w:val="000000"/>
          <w:kern w:val="0"/>
          <w:sz w:val="32"/>
          <w:szCs w:val="32"/>
          <w:shd w:val="clear" w:color="auto" w:fill="FFFFFF"/>
          <w:lang w:val="zh-CN"/>
        </w:rPr>
      </w:pPr>
      <w:r>
        <w:rPr>
          <w:rFonts w:hint="default" w:ascii="Times New Roman" w:hAnsi="Times New Roman" w:eastAsia="方正公文黑体" w:cs="Times New Roman"/>
          <w:b w:val="0"/>
          <w:bCs w:val="0"/>
          <w:color w:val="000000"/>
          <w:kern w:val="0"/>
          <w:sz w:val="32"/>
          <w:szCs w:val="32"/>
          <w:shd w:val="clear" w:color="auto" w:fill="FFFFFF"/>
          <w:lang w:val="zh-CN"/>
        </w:rPr>
        <w:t>四、评价结论及建议</w:t>
      </w:r>
    </w:p>
    <w:p>
      <w:pPr>
        <w:pStyle w:val="8"/>
        <w:keepNext w:val="0"/>
        <w:keepLines w:val="0"/>
        <w:pageBreakBefore w:val="0"/>
        <w:kinsoku/>
        <w:wordWrap/>
        <w:overflowPunct/>
        <w:topLinePunct w:val="0"/>
        <w:autoSpaceDE/>
        <w:autoSpaceDN/>
        <w:bidi w:val="0"/>
        <w:spacing w:line="540"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（一）评价结论。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通过</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整体支出绩效评价</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自评满分为</w:t>
      </w:r>
      <w:r>
        <w:rPr>
          <w:rFonts w:hint="default" w:ascii="Times New Roman" w:hAnsi="Times New Roman" w:eastAsia="仿宋_GB2312" w:cs="Times New Roman"/>
          <w:color w:val="000000"/>
          <w:sz w:val="32"/>
          <w:szCs w:val="32"/>
          <w:lang w:val="en-US"/>
        </w:rPr>
        <w:t>100</w:t>
      </w:r>
      <w:r>
        <w:rPr>
          <w:rFonts w:hint="default" w:ascii="Times New Roman" w:hAnsi="Times New Roman" w:eastAsia="仿宋_GB2312" w:cs="Times New Roman"/>
          <w:color w:val="000000"/>
          <w:sz w:val="32"/>
          <w:szCs w:val="32"/>
        </w:rPr>
        <w:t>分，通过自评得分</w:t>
      </w:r>
      <w:r>
        <w:rPr>
          <w:rFonts w:hint="default" w:ascii="Times New Roman" w:hAnsi="Times New Roman" w:eastAsia="仿宋_GB2312" w:cs="Times New Roman"/>
          <w:color w:val="000000"/>
          <w:sz w:val="32"/>
          <w:szCs w:val="32"/>
          <w:lang w:val="en-US"/>
        </w:rPr>
        <w:t>9</w:t>
      </w:r>
      <w:r>
        <w:rPr>
          <w:rFonts w:hint="eastAsia"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lang w:val="en-US" w:eastAsia="zh-CN"/>
        </w:rPr>
        <w:t>.</w:t>
      </w:r>
      <w:r>
        <w:rPr>
          <w:rFonts w:hint="eastAsia"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分。</w:t>
      </w:r>
    </w:p>
    <w:p>
      <w:pPr>
        <w:pStyle w:val="8"/>
        <w:keepNext w:val="0"/>
        <w:keepLines w:val="0"/>
        <w:pageBreakBefore w:val="0"/>
        <w:kinsoku/>
        <w:wordWrap/>
        <w:overflowPunct/>
        <w:topLinePunct w:val="0"/>
        <w:autoSpaceDE/>
        <w:autoSpaceDN/>
        <w:bidi w:val="0"/>
        <w:spacing w:line="540"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（二）存在问题。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一是预算编制准确度有待提高，</w:t>
      </w:r>
      <w:r>
        <w:rPr>
          <w:rFonts w:hint="eastAsia" w:eastAsia="仿宋_GB2312" w:cs="Times New Roman"/>
          <w:color w:val="000000"/>
          <w:sz w:val="32"/>
          <w:szCs w:val="32"/>
          <w:lang w:eastAsia="zh-CN"/>
        </w:rPr>
        <w:t>由于维稳工作的不确定性，</w:t>
      </w:r>
      <w:r>
        <w:rPr>
          <w:rFonts w:hint="default" w:ascii="Times New Roman" w:hAnsi="Times New Roman" w:eastAsia="仿宋_GB2312" w:cs="Times New Roman"/>
          <w:color w:val="000000"/>
          <w:sz w:val="32"/>
          <w:szCs w:val="32"/>
        </w:rPr>
        <w:t>存在中期追加、期末追减情况；二是固定资产卡片有未及时更新情况，管理有待完善。</w:t>
      </w:r>
    </w:p>
    <w:p>
      <w:pPr>
        <w:pStyle w:val="8"/>
        <w:keepNext w:val="0"/>
        <w:keepLines w:val="0"/>
        <w:pageBreakBefore w:val="0"/>
        <w:kinsoku/>
        <w:wordWrap/>
        <w:overflowPunct/>
        <w:topLinePunct w:val="0"/>
        <w:autoSpaceDE/>
        <w:autoSpaceDN/>
        <w:bidi w:val="0"/>
        <w:spacing w:line="540" w:lineRule="exact"/>
        <w:ind w:firstLine="640" w:firstLineChars="200"/>
        <w:jc w:val="both"/>
        <w:textAlignment w:val="auto"/>
        <w:rPr>
          <w:rFonts w:hint="default" w:ascii="Times New Roman" w:hAnsi="Times New Roman" w:eastAsia="方正公文楷体" w:cs="Times New Roman"/>
          <w:b w:val="0"/>
          <w:bCs w:val="0"/>
          <w:color w:val="000000"/>
          <w:kern w:val="0"/>
          <w:sz w:val="32"/>
          <w:szCs w:val="32"/>
          <w:shd w:val="clear" w:color="auto" w:fill="FFFFFF"/>
          <w:lang w:val="zh-CN"/>
        </w:rPr>
      </w:pPr>
      <w:r>
        <w:rPr>
          <w:rFonts w:hint="default" w:ascii="Times New Roman" w:hAnsi="Times New Roman" w:eastAsia="方正公文楷体" w:cs="Times New Roman"/>
          <w:b w:val="0"/>
          <w:bCs w:val="0"/>
          <w:color w:val="000000"/>
          <w:kern w:val="0"/>
          <w:sz w:val="32"/>
          <w:szCs w:val="32"/>
          <w:shd w:val="clear" w:color="auto" w:fill="FFFFFF"/>
          <w:lang w:val="zh-CN"/>
        </w:rPr>
        <w:t>（三）改进建议。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是加强每月预算执行监控，及时督促相关科室推进项目执行。二是通过近年预决算数据对比，科学编制预算，未雨绸缪尽量做好年度规划，降低经费追加减比例。三是进一步健全完善内部控制制度，加强资产管理，及时更新固定资产卡片，提高单位成本费用准确度，提升</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整体支出绩效评价。</w:t>
      </w:r>
    </w:p>
    <w:p>
      <w:pPr>
        <w:spacing w:line="600" w:lineRule="exact"/>
        <w:jc w:val="center"/>
        <w:outlineLvl w:val="0"/>
        <w:rPr>
          <w:rFonts w:hint="default" w:ascii="Times New Roman" w:hAnsi="Times New Roman" w:eastAsia="宋体" w:cs="Times New Roman"/>
          <w:color w:val="000000"/>
          <w:sz w:val="24"/>
          <w:szCs w:val="24"/>
        </w:rPr>
      </w:pPr>
    </w:p>
    <w:bookmarkEnd w:id="48"/>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color w:val="auto"/>
          <w:highlight w:val="none"/>
        </w:rPr>
        <w:t>五部分 附表</w:t>
      </w:r>
      <w:bookmarkStart w:id="49"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4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0" w:name="_Toc15396620"/>
      <w:r>
        <w:rPr>
          <w:rFonts w:hint="eastAsia" w:ascii="Times New Roman" w:hAnsi="Times New Roman" w:eastAsia="仿宋_GB2312" w:cs="仿宋_GB2312"/>
          <w:color w:val="auto"/>
          <w:sz w:val="32"/>
          <w:szCs w:val="32"/>
          <w:highlight w:val="none"/>
        </w:rPr>
        <w:t>二、收入决算表</w:t>
      </w:r>
      <w:bookmarkEnd w:id="50"/>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1" w:name="_Toc15396621"/>
      <w:r>
        <w:rPr>
          <w:rFonts w:hint="eastAsia" w:ascii="Times New Roman" w:hAnsi="Times New Roman" w:eastAsia="仿宋_GB2312" w:cs="仿宋_GB2312"/>
          <w:color w:val="auto"/>
          <w:sz w:val="32"/>
          <w:szCs w:val="32"/>
          <w:highlight w:val="none"/>
        </w:rPr>
        <w:t>三、支出决算表</w:t>
      </w:r>
      <w:bookmarkEnd w:id="51"/>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2"/>
      <w:r>
        <w:rPr>
          <w:rFonts w:hint="eastAsia" w:ascii="Times New Roman" w:hAnsi="Times New Roman" w:eastAsia="仿宋_GB2312" w:cs="仿宋_GB2312"/>
          <w:color w:val="auto"/>
          <w:sz w:val="32"/>
          <w:szCs w:val="32"/>
          <w:highlight w:val="none"/>
        </w:rPr>
        <w:t>四、财政拨款收入支出决算总表</w:t>
      </w:r>
      <w:bookmarkEnd w:id="5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3"/>
      <w:r>
        <w:rPr>
          <w:rFonts w:hint="eastAsia" w:ascii="Times New Roman" w:hAnsi="Times New Roman" w:eastAsia="仿宋_GB2312" w:cs="仿宋_GB2312"/>
          <w:color w:val="auto"/>
          <w:sz w:val="32"/>
          <w:szCs w:val="32"/>
          <w:highlight w:val="none"/>
        </w:rPr>
        <w:t>五、财政拨款支出决算明细表</w:t>
      </w:r>
      <w:bookmarkEnd w:id="53"/>
      <w:bookmarkStart w:id="54" w:name="_Toc153966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5"/>
      <w:r>
        <w:rPr>
          <w:rFonts w:hint="eastAsia" w:ascii="Times New Roman" w:hAnsi="Times New Roman" w:eastAsia="仿宋_GB2312" w:cs="仿宋_GB2312"/>
          <w:color w:val="auto"/>
          <w:sz w:val="32"/>
          <w:szCs w:val="32"/>
          <w:highlight w:val="none"/>
        </w:rPr>
        <w:t>七、一般公共预算财政拨款支出决算明细表</w:t>
      </w:r>
      <w:bookmarkEnd w:id="55"/>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6"/>
      <w:r>
        <w:rPr>
          <w:rFonts w:hint="eastAsia" w:ascii="Times New Roman" w:hAnsi="Times New Roman" w:eastAsia="仿宋_GB2312" w:cs="仿宋_GB2312"/>
          <w:color w:val="auto"/>
          <w:sz w:val="32"/>
          <w:szCs w:val="32"/>
          <w:highlight w:val="none"/>
        </w:rPr>
        <w:t>八、一般公共预算财政拨款基本支出决算表</w:t>
      </w:r>
      <w:bookmarkEnd w:id="5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7"/>
      <w:r>
        <w:rPr>
          <w:rFonts w:hint="eastAsia" w:ascii="Times New Roman" w:hAnsi="Times New Roman" w:eastAsia="仿宋_GB2312" w:cs="仿宋_GB2312"/>
          <w:color w:val="auto"/>
          <w:sz w:val="32"/>
          <w:szCs w:val="32"/>
          <w:highlight w:val="none"/>
        </w:rPr>
        <w:t>九、一般公共预算财政拨款项目支出决算表</w:t>
      </w:r>
      <w:bookmarkEnd w:id="57"/>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8"/>
      <w:r>
        <w:rPr>
          <w:rFonts w:hint="eastAsia" w:ascii="Times New Roman" w:hAnsi="Times New Roman" w:eastAsia="仿宋_GB2312" w:cs="仿宋_GB2312"/>
          <w:color w:val="auto"/>
          <w:sz w:val="32"/>
          <w:szCs w:val="32"/>
          <w:highlight w:val="none"/>
        </w:rPr>
        <w:t>十、</w:t>
      </w:r>
      <w:bookmarkEnd w:id="58"/>
      <w:r>
        <w:rPr>
          <w:rFonts w:hint="eastAsia" w:ascii="Times New Roman" w:hAnsi="Times New Roman" w:eastAsia="仿宋_GB2312" w:cs="仿宋_GB2312"/>
          <w:color w:val="auto"/>
          <w:sz w:val="32"/>
          <w:szCs w:val="32"/>
          <w:highlight w:val="none"/>
        </w:rPr>
        <w:t>政府性基金预算财政拨款收入支出决算表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9"/>
      <w:r>
        <w:rPr>
          <w:rFonts w:hint="eastAsia" w:ascii="Times New Roman" w:hAnsi="Times New Roman" w:eastAsia="仿宋_GB2312" w:cs="仿宋_GB2312"/>
          <w:color w:val="auto"/>
          <w:sz w:val="32"/>
          <w:szCs w:val="32"/>
          <w:highlight w:val="none"/>
        </w:rPr>
        <w:t>十一、</w:t>
      </w:r>
      <w:bookmarkEnd w:id="59"/>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30"/>
      <w:r>
        <w:rPr>
          <w:rFonts w:hint="eastAsia" w:ascii="Times New Roman" w:hAnsi="Times New Roman" w:eastAsia="仿宋_GB2312" w:cs="仿宋_GB2312"/>
          <w:color w:val="auto"/>
          <w:sz w:val="32"/>
          <w:szCs w:val="32"/>
          <w:highlight w:val="none"/>
        </w:rPr>
        <w:t>十二、</w:t>
      </w:r>
      <w:bookmarkEnd w:id="60"/>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1" w:name="_Toc15396631"/>
      <w:r>
        <w:rPr>
          <w:rFonts w:hint="eastAsia" w:ascii="Times New Roman" w:hAnsi="Times New Roman" w:eastAsia="仿宋_GB2312" w:cs="仿宋_GB2312"/>
          <w:color w:val="auto"/>
          <w:sz w:val="32"/>
          <w:szCs w:val="32"/>
          <w:highlight w:val="none"/>
        </w:rPr>
        <w:t>十三、</w:t>
      </w:r>
      <w:bookmarkEnd w:id="61"/>
      <w:r>
        <w:rPr>
          <w:rFonts w:hint="eastAsia" w:ascii="Times New Roman" w:hAnsi="Times New Roman" w:eastAsia="仿宋_GB2312" w:cs="仿宋_GB2312"/>
          <w:color w:val="auto"/>
          <w:sz w:val="32"/>
          <w:szCs w:val="32"/>
          <w:highlight w:val="none"/>
          <w:lang w:eastAsia="zh-CN"/>
        </w:rPr>
        <w:t>财政拨款“三公”经费支出决算表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sz w:val="32"/>
          <w:szCs w:val="32"/>
        </w:rPr>
      </w:pPr>
    </w:p>
    <w:sectPr>
      <w:headerReference r:id="rId3" w:type="default"/>
      <w:footerReference r:id="rId4" w:type="default"/>
      <w:pgSz w:w="11906" w:h="16838"/>
      <w:pgMar w:top="2098" w:right="1474" w:bottom="1984" w:left="1587" w:header="851" w:footer="992" w:gutter="0"/>
      <w:pgNumType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DejaVu Sans"/>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altName w:val="DejaVu Sans"/>
    <w:panose1 w:val="020F0302020204030204"/>
    <w:charset w:val="00"/>
    <w:family w:val="auto"/>
    <w:pitch w:val="default"/>
    <w:sig w:usb0="00000000" w:usb1="00000000" w:usb2="00000000" w:usb3="00000000" w:csb0="2000019F" w:csb1="00000000"/>
  </w:font>
  <w:font w:name="方正公文小标宋">
    <w:panose1 w:val="02000000000000000000"/>
    <w:charset w:val="86"/>
    <w:family w:val="auto"/>
    <w:pitch w:val="default"/>
    <w:sig w:usb0="00000001" w:usb1="08000000" w:usb2="00000000" w:usb3="00000000" w:csb0="00040000" w:csb1="00000000"/>
  </w:font>
  <w:font w:name="Lucida Sans">
    <w:altName w:val="仿宋"/>
    <w:panose1 w:val="00000000000000000000"/>
    <w:charset w:val="01"/>
    <w:family w:val="auto"/>
    <w:pitch w:val="default"/>
    <w:sig w:usb0="00000000" w:usb1="00000000" w:usb2="00000000" w:usb3="00000000" w:csb0="00000000" w:csb1="00000000"/>
  </w:font>
  <w:font w:name="方正小标宋_GBK">
    <w:panose1 w:val="03000502000000000000"/>
    <w:charset w:val="86"/>
    <w:family w:val="auto"/>
    <w:pitch w:val="default"/>
    <w:sig w:usb0="00000001" w:usb1="080E0000" w:usb2="00000000" w:usb3="00000000" w:csb0="00040000" w:csb1="00000000"/>
  </w:font>
  <w:font w:name="方正公文黑体">
    <w:panose1 w:val="02000000000000000000"/>
    <w:charset w:val="86"/>
    <w:family w:val="auto"/>
    <w:pitch w:val="default"/>
    <w:sig w:usb0="00000001" w:usb1="08000000" w:usb2="00000000" w:usb3="00000000" w:csb0="00040000" w:csb1="00000000"/>
  </w:font>
  <w:font w:name="方正公文楷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23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FD3896"/>
    <w:rsid w:val="165F539F"/>
    <w:rsid w:val="1B4D9CED"/>
    <w:rsid w:val="1CF55A83"/>
    <w:rsid w:val="211793E2"/>
    <w:rsid w:val="24B74F5C"/>
    <w:rsid w:val="27BE23CD"/>
    <w:rsid w:val="2B0F2B4B"/>
    <w:rsid w:val="2FBB83FF"/>
    <w:rsid w:val="2FFB78F1"/>
    <w:rsid w:val="37FB4BED"/>
    <w:rsid w:val="3B4D74C6"/>
    <w:rsid w:val="3C2D0331"/>
    <w:rsid w:val="3DAFA806"/>
    <w:rsid w:val="3DE57734"/>
    <w:rsid w:val="3EDD9DF4"/>
    <w:rsid w:val="3F5FDC92"/>
    <w:rsid w:val="3F7908D7"/>
    <w:rsid w:val="3FA4900C"/>
    <w:rsid w:val="3FFBE249"/>
    <w:rsid w:val="437D54BA"/>
    <w:rsid w:val="457D2734"/>
    <w:rsid w:val="4A5F02C8"/>
    <w:rsid w:val="4DFA719C"/>
    <w:rsid w:val="4FDFD029"/>
    <w:rsid w:val="527F78A8"/>
    <w:rsid w:val="53CD00C7"/>
    <w:rsid w:val="5BAD4821"/>
    <w:rsid w:val="5BDF4050"/>
    <w:rsid w:val="5BFF8F48"/>
    <w:rsid w:val="5CEDE495"/>
    <w:rsid w:val="5D3B103D"/>
    <w:rsid w:val="5D3DC0BB"/>
    <w:rsid w:val="5D735715"/>
    <w:rsid w:val="5DDBFC62"/>
    <w:rsid w:val="5E136363"/>
    <w:rsid w:val="5E288724"/>
    <w:rsid w:val="5EEF2601"/>
    <w:rsid w:val="5F1B8A7F"/>
    <w:rsid w:val="5F6EA6A2"/>
    <w:rsid w:val="5F9D7B79"/>
    <w:rsid w:val="5FF72927"/>
    <w:rsid w:val="5FFB5B5F"/>
    <w:rsid w:val="5FFFD718"/>
    <w:rsid w:val="61F9BE81"/>
    <w:rsid w:val="639F3B60"/>
    <w:rsid w:val="66FA16CC"/>
    <w:rsid w:val="67FAECA9"/>
    <w:rsid w:val="67FF0A66"/>
    <w:rsid w:val="6A29AB6B"/>
    <w:rsid w:val="6AEB269E"/>
    <w:rsid w:val="6B3D90E7"/>
    <w:rsid w:val="6B7F7E9C"/>
    <w:rsid w:val="6DBD86A0"/>
    <w:rsid w:val="6DE67944"/>
    <w:rsid w:val="6F6E3B5F"/>
    <w:rsid w:val="6FCB1A33"/>
    <w:rsid w:val="733D9602"/>
    <w:rsid w:val="73D69AAF"/>
    <w:rsid w:val="73DF7479"/>
    <w:rsid w:val="73EFF3D9"/>
    <w:rsid w:val="74BFFEC5"/>
    <w:rsid w:val="75FFAF8B"/>
    <w:rsid w:val="77342843"/>
    <w:rsid w:val="77AEBE5F"/>
    <w:rsid w:val="77CE373B"/>
    <w:rsid w:val="77D60B72"/>
    <w:rsid w:val="77DBBB50"/>
    <w:rsid w:val="79525843"/>
    <w:rsid w:val="797D0225"/>
    <w:rsid w:val="7B7DDBE6"/>
    <w:rsid w:val="7CF7100E"/>
    <w:rsid w:val="7CF869CA"/>
    <w:rsid w:val="7D69D0AE"/>
    <w:rsid w:val="7DFB4FAD"/>
    <w:rsid w:val="7DFB6ED5"/>
    <w:rsid w:val="7DFF570B"/>
    <w:rsid w:val="7E6F63B2"/>
    <w:rsid w:val="7E7F11D6"/>
    <w:rsid w:val="7EBB24E3"/>
    <w:rsid w:val="7EBB402D"/>
    <w:rsid w:val="7EE20300"/>
    <w:rsid w:val="7EED9202"/>
    <w:rsid w:val="7EFF7F93"/>
    <w:rsid w:val="7F1FA0D7"/>
    <w:rsid w:val="7F7A91E0"/>
    <w:rsid w:val="7F7F43A1"/>
    <w:rsid w:val="7FBF894F"/>
    <w:rsid w:val="7FCBD980"/>
    <w:rsid w:val="7FE9C0A6"/>
    <w:rsid w:val="7FF5AD36"/>
    <w:rsid w:val="7FF99F6A"/>
    <w:rsid w:val="7FFDBCAD"/>
    <w:rsid w:val="7FFF3129"/>
    <w:rsid w:val="7FFF8641"/>
    <w:rsid w:val="7FFFC46F"/>
    <w:rsid w:val="8BF17328"/>
    <w:rsid w:val="95E7B3F6"/>
    <w:rsid w:val="9EFFA6BB"/>
    <w:rsid w:val="9FE9E240"/>
    <w:rsid w:val="9FFF7B54"/>
    <w:rsid w:val="A7DD98E6"/>
    <w:rsid w:val="ABF926EE"/>
    <w:rsid w:val="B57DEE77"/>
    <w:rsid w:val="B777DD1E"/>
    <w:rsid w:val="BBBD62D5"/>
    <w:rsid w:val="BBDFC127"/>
    <w:rsid w:val="BBFF6CEF"/>
    <w:rsid w:val="BC7FE745"/>
    <w:rsid w:val="BE7F7B3F"/>
    <w:rsid w:val="BEFF68C5"/>
    <w:rsid w:val="BF396DA7"/>
    <w:rsid w:val="BFA4AA84"/>
    <w:rsid w:val="BFDF4F16"/>
    <w:rsid w:val="BFEFE163"/>
    <w:rsid w:val="C7AF3958"/>
    <w:rsid w:val="C8FBF9B2"/>
    <w:rsid w:val="CBBF72DE"/>
    <w:rsid w:val="CF2D8DD9"/>
    <w:rsid w:val="D5F7365B"/>
    <w:rsid w:val="D67A47EE"/>
    <w:rsid w:val="D973C69E"/>
    <w:rsid w:val="DB93406E"/>
    <w:rsid w:val="DBBF7273"/>
    <w:rsid w:val="DBFB585D"/>
    <w:rsid w:val="DDF708F5"/>
    <w:rsid w:val="DE77851A"/>
    <w:rsid w:val="DEBAFF52"/>
    <w:rsid w:val="DED54566"/>
    <w:rsid w:val="DF5EE5EF"/>
    <w:rsid w:val="DF77AEC2"/>
    <w:rsid w:val="DFB9465A"/>
    <w:rsid w:val="DFFF210D"/>
    <w:rsid w:val="E377EF94"/>
    <w:rsid w:val="E3FE6A60"/>
    <w:rsid w:val="E4FEA400"/>
    <w:rsid w:val="E5FF9CE7"/>
    <w:rsid w:val="E67920C2"/>
    <w:rsid w:val="E6FFAE1B"/>
    <w:rsid w:val="E73FD91D"/>
    <w:rsid w:val="EDEF2621"/>
    <w:rsid w:val="EE5D4C46"/>
    <w:rsid w:val="EF13CB21"/>
    <w:rsid w:val="EF7F0D39"/>
    <w:rsid w:val="EFBBB16B"/>
    <w:rsid w:val="EFFC3B64"/>
    <w:rsid w:val="F1FDF8B4"/>
    <w:rsid w:val="F2320079"/>
    <w:rsid w:val="F3DC2D92"/>
    <w:rsid w:val="F43FD444"/>
    <w:rsid w:val="F6DFF2CC"/>
    <w:rsid w:val="F6FD1BF9"/>
    <w:rsid w:val="F7D30366"/>
    <w:rsid w:val="F7F5B597"/>
    <w:rsid w:val="F7F7582F"/>
    <w:rsid w:val="F7FF4B31"/>
    <w:rsid w:val="FAF7186B"/>
    <w:rsid w:val="FAFFB0B7"/>
    <w:rsid w:val="FB5D2DAC"/>
    <w:rsid w:val="FB5F99E2"/>
    <w:rsid w:val="FB7F8FF0"/>
    <w:rsid w:val="FBAAAB4A"/>
    <w:rsid w:val="FBDF54E1"/>
    <w:rsid w:val="FBF3FD20"/>
    <w:rsid w:val="FBF451AD"/>
    <w:rsid w:val="FBFDEBA7"/>
    <w:rsid w:val="FCCABC9D"/>
    <w:rsid w:val="FCDF43E6"/>
    <w:rsid w:val="FDFBBDC6"/>
    <w:rsid w:val="FDFE6329"/>
    <w:rsid w:val="FE9D0AB5"/>
    <w:rsid w:val="FE9F85A3"/>
    <w:rsid w:val="FEEDADD1"/>
    <w:rsid w:val="FEFB097A"/>
    <w:rsid w:val="FF2F4F89"/>
    <w:rsid w:val="FF53FFF4"/>
    <w:rsid w:val="FF7F585D"/>
    <w:rsid w:val="FF8FC6B7"/>
    <w:rsid w:val="FFB6948A"/>
    <w:rsid w:val="FFBE77C4"/>
    <w:rsid w:val="FFDBB507"/>
    <w:rsid w:val="FFDFE305"/>
    <w:rsid w:val="FFEC1E1D"/>
    <w:rsid w:val="FFED408D"/>
    <w:rsid w:val="FFFE9B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link w:val="22"/>
    <w:qFormat/>
    <w:uiPriority w:val="0"/>
    <w:pPr>
      <w:keepNext/>
      <w:keepLines/>
      <w:widowControl w:val="0"/>
      <w:spacing w:before="260" w:after="260" w:line="415" w:lineRule="auto"/>
      <w:outlineLvl w:val="1"/>
    </w:pPr>
    <w:rPr>
      <w:rFonts w:ascii="Cambria" w:hAnsi="Cambria"/>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8">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qFormat/>
    <w:uiPriority w:val="99"/>
    <w:rPr>
      <w:rFonts w:eastAsia="宋体"/>
    </w:rPr>
  </w:style>
  <w:style w:type="paragraph" w:styleId="4">
    <w:name w:val="Body Text Indent"/>
    <w:basedOn w:val="1"/>
    <w:next w:val="3"/>
    <w:qFormat/>
    <w:uiPriority w:val="99"/>
    <w:pPr>
      <w:widowControl/>
      <w:spacing w:line="540" w:lineRule="exact"/>
      <w:ind w:firstLine="200" w:firstLineChars="200"/>
      <w:textAlignment w:val="baseline"/>
    </w:pPr>
    <w:rPr>
      <w:rFonts w:eastAsia="仿宋_GB2312"/>
      <w:color w:val="000000"/>
      <w:kern w:val="0"/>
      <w:sz w:val="32"/>
      <w:szCs w:val="32"/>
    </w:rPr>
  </w:style>
  <w:style w:type="paragraph" w:styleId="8">
    <w:name w:val="Body Text"/>
    <w:basedOn w:val="1"/>
    <w:qFormat/>
    <w:uiPriority w:val="0"/>
    <w:pPr>
      <w:spacing w:before="30" w:beforeLines="30"/>
    </w:pPr>
    <w:rPr>
      <w:rFonts w:ascii="仿宋_GB2312" w:eastAsia="仿宋_GB2312"/>
      <w:kern w:val="0"/>
      <w:sz w:val="24"/>
      <w:szCs w:val="20"/>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15">
    <w:name w:val="toc 2"/>
    <w:basedOn w:val="1"/>
    <w:next w:val="1"/>
    <w:qFormat/>
    <w:uiPriority w:val="0"/>
    <w:pPr>
      <w:tabs>
        <w:tab w:val="right" w:leader="dot" w:pos="8296"/>
      </w:tabs>
      <w:ind w:left="200" w:leftChars="200"/>
    </w:pPr>
  </w:style>
  <w:style w:type="paragraph" w:styleId="16">
    <w:name w:val="Normal (Web)"/>
    <w:basedOn w:val="1"/>
    <w:qFormat/>
    <w:uiPriority w:val="0"/>
    <w:pPr>
      <w:widowControl/>
      <w:spacing w:before="100" w:beforeAutospacing="1" w:after="100" w:afterAutospacing="1"/>
      <w:jc w:val="left"/>
    </w:pPr>
    <w:rPr>
      <w:rFonts w:ascii="宋体" w:cs="宋体"/>
      <w:kern w:val="0"/>
      <w:sz w:val="24"/>
    </w:rPr>
  </w:style>
  <w:style w:type="character" w:styleId="19">
    <w:name w:val="Strong"/>
    <w:basedOn w:val="18"/>
    <w:qFormat/>
    <w:uiPriority w:val="0"/>
    <w:rPr>
      <w:b/>
      <w:bCs/>
    </w:rPr>
  </w:style>
  <w:style w:type="character" w:styleId="20">
    <w:name w:val="Hyperlink"/>
    <w:basedOn w:val="18"/>
    <w:qFormat/>
    <w:uiPriority w:val="0"/>
    <w:rPr>
      <w:rFonts w:cs="Times New Roman"/>
      <w:color w:val="0000FF"/>
      <w:u w:val="single"/>
    </w:rPr>
  </w:style>
  <w:style w:type="character" w:customStyle="1" w:styleId="21">
    <w:name w:val="heading 1 Char"/>
    <w:basedOn w:val="18"/>
    <w:link w:val="5"/>
    <w:qFormat/>
    <w:uiPriority w:val="0"/>
    <w:rPr>
      <w:rFonts w:ascii="Times New Roman" w:hAnsi="Times New Roman" w:eastAsia="宋体" w:cs="Times New Roman"/>
      <w:b/>
      <w:bCs/>
      <w:kern w:val="44"/>
      <w:sz w:val="44"/>
      <w:szCs w:val="44"/>
      <w:lang w:val="en-US" w:eastAsia="zh-CN" w:bidi="ar-SA"/>
    </w:rPr>
  </w:style>
  <w:style w:type="character" w:customStyle="1" w:styleId="22">
    <w:name w:val="heading 2 Char"/>
    <w:basedOn w:val="18"/>
    <w:link w:val="6"/>
    <w:qFormat/>
    <w:uiPriority w:val="0"/>
    <w:rPr>
      <w:rFonts w:ascii="Cambria" w:hAnsi="Cambria" w:eastAsia="宋体" w:cs="Times New Roman"/>
      <w:b/>
      <w:bCs/>
      <w:kern w:val="2"/>
      <w:sz w:val="32"/>
      <w:szCs w:val="32"/>
      <w:lang w:val="en-US" w:eastAsia="zh-CN" w:bidi="ar-SA"/>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标题1"/>
    <w:basedOn w:val="5"/>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26">
    <w:name w:val="TOC Heading"/>
    <w:basedOn w:val="5"/>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27">
    <w:name w:val="Char Char Char Char Char Char Char Char Char Char Char Char Char Char Char Char"/>
    <w:basedOn w:val="1"/>
    <w:qFormat/>
    <w:uiPriority w:val="0"/>
    <w:pPr>
      <w:tabs>
        <w:tab w:val="left" w:pos="360"/>
      </w:tabs>
    </w:pPr>
    <w:rPr>
      <w:sz w:val="24"/>
    </w:rPr>
  </w:style>
  <w:style w:type="character" w:customStyle="1" w:styleId="28">
    <w:name w:val="标题 1 Char"/>
    <w:basedOn w:val="18"/>
    <w:link w:val="5"/>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81132"/>
          <c:y val="0.14492753"/>
          <c:w val="0.7051887"/>
          <c:h val="0.5362319"/>
        </c:manualLayout>
      </c:layout>
      <c:barChart>
        <c:barDir val="col"/>
        <c:grouping val="clustered"/>
        <c:varyColors val="0"/>
        <c:ser>
          <c:idx val="0"/>
          <c:order val="0"/>
          <c:tx>
            <c:strRef>
              <c:f>工作表465537!$A$2</c:f>
              <c:strCache>
                <c:ptCount val="1"/>
                <c:pt idx="0">
                  <c:v>金额(万元)</c:v>
                </c:pt>
              </c:strCache>
            </c:strRef>
          </c:tx>
          <c:spPr>
            <a:solidFill>
              <a:srgbClr val="4F81BD"/>
            </a:solidFill>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工作表465537!$B$1:$C$1</c:f>
              <c:strCache>
                <c:ptCount val="2"/>
                <c:pt idx="0">
                  <c:v>2023年收支总额</c:v>
                </c:pt>
                <c:pt idx="1">
                  <c:v>2024年收支总额</c:v>
                </c:pt>
              </c:strCache>
            </c:strRef>
          </c:cat>
          <c:val>
            <c:numRef>
              <c:f>工作表465537!$B$2:$C$2</c:f>
              <c:numCache>
                <c:formatCode>General</c:formatCode>
                <c:ptCount val="2"/>
                <c:pt idx="0">
                  <c:v>174.21</c:v>
                </c:pt>
                <c:pt idx="1">
                  <c:v>183.6</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000000"/>
              </a:solidFill>
              <a:prstDash val="solid"/>
              <a:round/>
            </a:ln>
          </c:spPr>
        </c:majorGridlines>
        <c:title>
          <c:tx>
            <c:rich>
              <a:bodyPr rot="-5400000" spcFirstLastPara="0" vertOverflow="ellipsis" vert="horz" wrap="square"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5943354"/>
              <c:y val="0.22077908"/>
            </c:manualLayout>
          </c:layout>
          <c:overlay val="0"/>
          <c:spPr>
            <a:noFill/>
            <a:ln>
              <a:noFill/>
            </a:ln>
          </c:spPr>
        </c:title>
        <c:numFmt formatCode="General"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8962264"/>
          <c:y val="0.34057993"/>
          <c:w val="0.094339676"/>
          <c:h val="0.12318877"/>
        </c:manualLayout>
      </c:layout>
      <c:overlay val="0"/>
      <c:spPr>
        <a:noFill/>
        <a:ln w="6350">
          <a:solidFill>
            <a:srgbClr val="000000"/>
          </a:solidFill>
          <a:prstDash val="solid"/>
        </a:ln>
      </c:spPr>
      <c:txPr>
        <a:bodyPr rot="0" spcFirstLastPara="0" vertOverflow="ellipsis" vert="horz" wrap="square"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4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60733"/>
          <c:y val="0.23626374"/>
          <c:w val="0.2565445"/>
          <c:h val="0.53846157"/>
        </c:manualLayout>
      </c:layout>
      <c:pieChart>
        <c:varyColors val="1"/>
        <c:ser>
          <c:idx val="0"/>
          <c:order val="0"/>
          <c:tx>
            <c:strRef>
              <c:f>工作表465538!$A$2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numFmt formatCode="0%" sourceLinked="1"/>
            <c:spPr>
              <a:noFill/>
              <a:ln>
                <a:noFill/>
              </a:ln>
              <a:effectLst/>
            </c:spPr>
            <c:txPr>
              <a:bodyPr rot="0" spcFirstLastPara="0" vertOverflow="ellipsis" vert="horz" wrap="square" lIns="38100" tIns="19050" rIns="38100" bIns="19050"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工作表465538!$B$1:$C$1</c:f>
              <c:strCache>
                <c:ptCount val="2"/>
                <c:pt idx="0">
                  <c:v>一般公共预算财政拨款收入</c:v>
                </c:pt>
                <c:pt idx="1">
                  <c:v>其他收入</c:v>
                </c:pt>
              </c:strCache>
            </c:strRef>
          </c:cat>
          <c:val>
            <c:numRef>
              <c:f>工作表465538!$B$2:$C$2</c:f>
              <c:numCache>
                <c:formatCode>0%</c:formatCode>
                <c:ptCount val="2"/>
                <c:pt idx="0">
                  <c:v>1</c:v>
                </c:pt>
                <c:pt idx="1">
                  <c:v>0</c:v>
                </c:pt>
              </c:numCache>
            </c:numRef>
          </c:val>
        </c:ser>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682636"/>
          <c:y val="0.21689136"/>
          <c:w val="0.23418334"/>
          <c:h val="0.5878251"/>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23258"/>
          <c:y val="0"/>
          <c:w val="0.3364892"/>
          <c:h val="1"/>
        </c:manualLayout>
      </c:layout>
      <c:pieChart>
        <c:varyColors val="1"/>
        <c:ser>
          <c:idx val="0"/>
          <c:order val="0"/>
          <c:tx>
            <c:strRef>
              <c:f>工作表465539!$A$2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工作表465539!$B$1:$C$1</c:f>
              <c:strCache>
                <c:ptCount val="2"/>
                <c:pt idx="0">
                  <c:v>基本支出</c:v>
                </c:pt>
                <c:pt idx="1">
                  <c:v>项目支出</c:v>
                </c:pt>
              </c:strCache>
            </c:strRef>
          </c:cat>
          <c:val>
            <c:numRef>
              <c:f>工作表465539!$B$2:$C$2</c:f>
              <c:numCache>
                <c:formatCode>0%</c:formatCode>
                <c:ptCount val="2"/>
                <c:pt idx="0">
                  <c:v>1</c:v>
                </c:pt>
                <c:pt idx="1">
                  <c:v>0</c:v>
                </c:pt>
              </c:numCache>
            </c:numRef>
          </c:val>
        </c:ser>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65510803"/>
          <c:y val="0.38278404"/>
          <c:w val="0.17801048"/>
          <c:h val="0.1923077"/>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81132"/>
          <c:y val="0.14492753"/>
          <c:w val="0.7051887"/>
          <c:h val="0.5362319"/>
        </c:manualLayout>
      </c:layout>
      <c:barChart>
        <c:barDir val="col"/>
        <c:grouping val="clustered"/>
        <c:varyColors val="0"/>
        <c:ser>
          <c:idx val="0"/>
          <c:order val="0"/>
          <c:tx>
            <c:strRef>
              <c:f>工作表465540!$A$2</c:f>
              <c:strCache>
                <c:ptCount val="1"/>
                <c:pt idx="0">
                  <c:v>金额(万元)</c:v>
                </c:pt>
              </c:strCache>
            </c:strRef>
          </c:tx>
          <c:spPr>
            <a:solidFill>
              <a:srgbClr val="4F81BD"/>
            </a:solidFill>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工作表465540!$B$1:$C$1</c:f>
              <c:strCache>
                <c:ptCount val="2"/>
                <c:pt idx="0">
                  <c:v>2023年财政拨款收支总计</c:v>
                </c:pt>
                <c:pt idx="1">
                  <c:v>2024年财政拨款收支总计</c:v>
                </c:pt>
              </c:strCache>
            </c:strRef>
          </c:cat>
          <c:val>
            <c:numRef>
              <c:f>工作表465540!$B$2:$C$2</c:f>
              <c:numCache>
                <c:formatCode>General</c:formatCode>
                <c:ptCount val="2"/>
                <c:pt idx="0">
                  <c:v>174.21</c:v>
                </c:pt>
                <c:pt idx="1">
                  <c:v>183.6</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000000"/>
              </a:solidFill>
              <a:prstDash val="solid"/>
              <a:round/>
            </a:ln>
          </c:spPr>
        </c:majorGridlines>
        <c:title>
          <c:tx>
            <c:rich>
              <a:bodyPr rot="-5400000" spcFirstLastPara="0" vertOverflow="ellipsis" vert="horz" wrap="square"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5943354"/>
              <c:y val="0.22077908"/>
            </c:manualLayout>
          </c:layout>
          <c:overlay val="0"/>
          <c:spPr>
            <a:noFill/>
            <a:ln>
              <a:noFill/>
            </a:ln>
          </c:spPr>
        </c:title>
        <c:numFmt formatCode="General"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8962264"/>
          <c:y val="0.34057993"/>
          <c:w val="0.094339676"/>
          <c:h val="0.12318877"/>
        </c:manualLayout>
      </c:layout>
      <c:overlay val="0"/>
      <c:spPr>
        <a:noFill/>
        <a:ln w="6350">
          <a:solidFill>
            <a:srgbClr val="000000"/>
          </a:solidFill>
          <a:prstDash val="solid"/>
        </a:ln>
      </c:spPr>
      <c:txPr>
        <a:bodyPr rot="0" spcFirstLastPara="0" vertOverflow="ellipsis" vert="horz" wrap="square"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4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81132"/>
          <c:y val="0.14492753"/>
          <c:w val="0.7051887"/>
          <c:h val="0.5362319"/>
        </c:manualLayout>
      </c:layout>
      <c:barChart>
        <c:barDir val="col"/>
        <c:grouping val="clustered"/>
        <c:varyColors val="0"/>
        <c:ser>
          <c:idx val="0"/>
          <c:order val="0"/>
          <c:tx>
            <c:strRef>
              <c:f>工作表465541!$A$2</c:f>
              <c:strCache>
                <c:ptCount val="1"/>
                <c:pt idx="0">
                  <c:v>金额(万元)</c:v>
                </c:pt>
              </c:strCache>
            </c:strRef>
          </c:tx>
          <c:spPr>
            <a:solidFill>
              <a:srgbClr val="4F81BD"/>
            </a:solidFill>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工作表465541!$B$1:$C$1</c:f>
              <c:strCache>
                <c:ptCount val="2"/>
                <c:pt idx="0">
                  <c:v>2023年财政拨款支出</c:v>
                </c:pt>
                <c:pt idx="1">
                  <c:v>2024年财政拨款支出</c:v>
                </c:pt>
              </c:strCache>
            </c:strRef>
          </c:cat>
          <c:val>
            <c:numRef>
              <c:f>工作表465541!$B$2:$C$2</c:f>
              <c:numCache>
                <c:formatCode>General</c:formatCode>
                <c:ptCount val="2"/>
                <c:pt idx="0">
                  <c:v>174.21</c:v>
                </c:pt>
                <c:pt idx="1">
                  <c:v>183.6</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000000"/>
              </a:solidFill>
              <a:prstDash val="solid"/>
              <a:round/>
            </a:ln>
          </c:spPr>
        </c:majorGridlines>
        <c:title>
          <c:tx>
            <c:rich>
              <a:bodyPr rot="-5400000" spcFirstLastPara="0" vertOverflow="ellipsis" vert="horz" wrap="square"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5943354"/>
              <c:y val="0.22077908"/>
            </c:manualLayout>
          </c:layout>
          <c:overlay val="0"/>
          <c:spPr>
            <a:noFill/>
            <a:ln>
              <a:noFill/>
            </a:ln>
          </c:spPr>
        </c:title>
        <c:numFmt formatCode="General"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8962264"/>
          <c:y val="0.34057993"/>
          <c:w val="0.094339676"/>
          <c:h val="0.12318877"/>
        </c:manualLayout>
      </c:layout>
      <c:overlay val="0"/>
      <c:spPr>
        <a:noFill/>
        <a:ln w="6350">
          <a:solidFill>
            <a:srgbClr val="000000"/>
          </a:solidFill>
          <a:prstDash val="solid"/>
        </a:ln>
      </c:spPr>
      <c:txPr>
        <a:bodyPr rot="0" spcFirstLastPara="0" vertOverflow="ellipsis" vert="horz" wrap="square"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4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208821"/>
          <c:y val="0.09226603"/>
          <c:w val="0.53351486"/>
          <c:h val="0.8616768"/>
        </c:manualLayout>
      </c:layout>
      <c:pieChart>
        <c:varyColors val="1"/>
        <c:ser>
          <c:idx val="0"/>
          <c:order val="0"/>
          <c:tx>
            <c:strRef>
              <c:f>工作表465542!$A$2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工作表465542!$B$1:$E$1</c:f>
              <c:strCache>
                <c:ptCount val="4"/>
                <c:pt idx="0">
                  <c:v>公共安全支出</c:v>
                </c:pt>
                <c:pt idx="1">
                  <c:v>社会保障和就业支出</c:v>
                </c:pt>
                <c:pt idx="2">
                  <c:v>卫生健康支出</c:v>
                </c:pt>
                <c:pt idx="3">
                  <c:v>住房保障支出</c:v>
                </c:pt>
              </c:strCache>
            </c:strRef>
          </c:cat>
          <c:val>
            <c:numRef>
              <c:f>工作表465542!$B$2:$E$2</c:f>
              <c:numCache>
                <c:formatCode>0.00%</c:formatCode>
                <c:ptCount val="4"/>
                <c:pt idx="0">
                  <c:v>0.7356</c:v>
                </c:pt>
                <c:pt idx="1">
                  <c:v>0.1243</c:v>
                </c:pt>
                <c:pt idx="2">
                  <c:v>0.0578</c:v>
                </c:pt>
                <c:pt idx="3">
                  <c:v>0.0823</c:v>
                </c:pt>
              </c:numCache>
            </c:numRef>
          </c:val>
        </c:ser>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65591395"/>
          <c:y val="0.15384616"/>
          <c:w val="0.24875218"/>
          <c:h val="0.6868132"/>
        </c:manualLayout>
      </c:layout>
      <c:overlay val="0"/>
      <c:spPr>
        <a:noFill/>
        <a:ln w="6350">
          <a:solidFill>
            <a:srgbClr val="000000"/>
          </a:solidFill>
          <a:prstDash val="solid"/>
        </a:ln>
      </c:spPr>
      <c:txPr>
        <a:bodyPr rot="0" spcFirstLastPara="0" vertOverflow="ellipsis" vert="horz" wrap="square"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22</Pages>
  <Words>8216</Words>
  <Characters>8873</Characters>
  <Lines>507</Lines>
  <Paragraphs>195</Paragraphs>
  <TotalTime>0</TotalTime>
  <ScaleCrop>false</ScaleCrop>
  <LinksUpToDate>false</LinksUpToDate>
  <CharactersWithSpaces>8961</CharactersWithSpaces>
  <Application>WPS Office_11.8.2.1117_F1E327BC-269C-435d-A152-05C5408002CA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2021-10-07T14:04:00Z</dcterms:created>
  <dc:creator>曹颖</dc:creator>
  <cp:lastModifiedBy>user</cp:lastModifiedBy>
  <cp:lastPrinted>2023-10-03T04:32:00Z</cp:lastPrinted>
  <dcterms:modified xsi:type="dcterms:W3CDTF">2025-09-19T10:39:44Z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2052-11.8.2.1117</vt:lpwstr>
  </property>
  <property fmtid="{D5CDD505-2E9C-101B-9397-08002B2CF9AE}" pid="3" name="ICV">
    <vt:lpwstr>EB9A587730134D441D40BA680E7C710F</vt:lpwstr>
  </property>
</Properties>
</file>