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outlineLvl w:val="0"/>
        <w:rPr>
          <w:rFonts w:hint="eastAsia" w:ascii="方正公文小标宋" w:hAnsi="方正公文小标宋" w:eastAsia="方正公文小标宋" w:cs="方正公文小标宋"/>
          <w:color w:val="000000"/>
          <w:sz w:val="52"/>
          <w:szCs w:val="52"/>
        </w:rPr>
      </w:pPr>
      <w:bookmarkStart w:id="0" w:name="_Toc15396597"/>
      <w:bookmarkStart w:id="1" w:name="_Toc15396475"/>
      <w:bookmarkStart w:id="2" w:name="_Toc15377425"/>
      <w:bookmarkStart w:id="3" w:name="_Toc15377193"/>
      <w:bookmarkStart w:id="4" w:name="_Toc15378441"/>
      <w:bookmarkStart w:id="5" w:name="_Toc15306267"/>
      <w:r>
        <w:rPr>
          <w:rFonts w:hint="eastAsia" w:ascii="方正公文小标宋" w:hAnsi="方正公文小标宋" w:eastAsia="方正公文小标宋" w:cs="方正公文小标宋"/>
          <w:color w:val="000000"/>
          <w:sz w:val="52"/>
          <w:szCs w:val="52"/>
        </w:rPr>
        <w:t>202</w:t>
      </w:r>
      <w:r>
        <w:rPr>
          <w:rFonts w:hint="eastAsia" w:ascii="方正公文小标宋" w:hAnsi="方正公文小标宋" w:eastAsia="方正公文小标宋" w:cs="方正公文小标宋"/>
          <w:color w:val="000000"/>
          <w:sz w:val="52"/>
          <w:szCs w:val="52"/>
          <w:lang w:val="en-US" w:eastAsia="zh-CN"/>
        </w:rPr>
        <w:t>4</w:t>
      </w:r>
      <w:r>
        <w:rPr>
          <w:rFonts w:hint="eastAsia" w:ascii="方正公文小标宋" w:hAnsi="方正公文小标宋" w:eastAsia="方正公文小标宋" w:cs="方正公文小标宋"/>
          <w:color w:val="000000"/>
          <w:sz w:val="52"/>
          <w:szCs w:val="52"/>
        </w:rPr>
        <w:t>年度</w:t>
      </w:r>
      <w:bookmarkEnd w:id="0"/>
      <w:bookmarkEnd w:id="1"/>
      <w:bookmarkEnd w:id="2"/>
      <w:bookmarkEnd w:id="3"/>
      <w:bookmarkEnd w:id="4"/>
    </w:p>
    <w:bookmarkEnd w:id="5"/>
    <w:p>
      <w:pPr>
        <w:adjustRightInd w:val="0"/>
        <w:snapToGrid w:val="0"/>
        <w:spacing w:line="360" w:lineRule="auto"/>
        <w:jc w:val="center"/>
        <w:outlineLvl w:val="0"/>
        <w:rPr>
          <w:rFonts w:hint="eastAsia" w:ascii="Times New Roman" w:hAnsi="Times New Roman" w:eastAsia="宋体" w:cs="Times New Roman"/>
          <w:color w:val="000000"/>
          <w:sz w:val="52"/>
          <w:szCs w:val="52"/>
          <w:lang w:eastAsia="zh-CN"/>
        </w:rPr>
      </w:pPr>
      <w:bookmarkStart w:id="6" w:name="_Toc15396476"/>
      <w:bookmarkStart w:id="7" w:name="_Toc15377194"/>
      <w:bookmarkStart w:id="8" w:name="_Toc15396598"/>
      <w:bookmarkStart w:id="9" w:name="_Toc15378442"/>
      <w:bookmarkStart w:id="10" w:name="_Toc15377426"/>
      <w:r>
        <w:rPr>
          <w:rFonts w:hint="eastAsia" w:ascii="方正公文小标宋" w:hAnsi="方正公文小标宋" w:eastAsia="方正公文小标宋" w:cs="方正公文小标宋"/>
          <w:color w:val="000000"/>
          <w:sz w:val="52"/>
          <w:szCs w:val="52"/>
        </w:rPr>
        <w:t>阿坝州</w:t>
      </w:r>
      <w:bookmarkStart w:id="11" w:name="_Toc15306268"/>
      <w:r>
        <w:rPr>
          <w:rFonts w:hint="eastAsia" w:ascii="方正公文小标宋" w:hAnsi="方正公文小标宋" w:eastAsia="方正公文小标宋" w:cs="方正公文小标宋"/>
          <w:color w:val="000000"/>
          <w:sz w:val="52"/>
          <w:szCs w:val="52"/>
        </w:rPr>
        <w:t>委政法委</w:t>
      </w:r>
      <w:r>
        <w:rPr>
          <w:rFonts w:hint="eastAsia" w:ascii="方正公文小标宋" w:hAnsi="方正公文小标宋" w:eastAsia="方正公文小标宋" w:cs="方正公文小标宋"/>
          <w:color w:val="000000"/>
          <w:sz w:val="52"/>
          <w:szCs w:val="52"/>
          <w:lang w:eastAsia="zh-CN"/>
        </w:rPr>
        <w:t>单位</w:t>
      </w:r>
      <w:r>
        <w:rPr>
          <w:rFonts w:hint="eastAsia" w:ascii="方正公文小标宋" w:hAnsi="方正公文小标宋" w:eastAsia="方正公文小标宋" w:cs="方正公文小标宋"/>
          <w:color w:val="000000"/>
          <w:sz w:val="52"/>
          <w:szCs w:val="52"/>
        </w:rPr>
        <w:t>决算</w:t>
      </w:r>
      <w:bookmarkEnd w:id="6"/>
      <w:bookmarkEnd w:id="7"/>
      <w:bookmarkEnd w:id="8"/>
      <w:bookmarkEnd w:id="9"/>
      <w:bookmarkEnd w:id="10"/>
      <w:bookmarkEnd w:id="11"/>
      <w:r>
        <w:rPr>
          <w:rFonts w:hint="eastAsia" w:ascii="方正公文小标宋" w:hAnsi="方正公文小标宋" w:eastAsia="方正公文小标宋" w:cs="方正公文小标宋"/>
          <w:color w:val="000000"/>
          <w:sz w:val="52"/>
          <w:szCs w:val="52"/>
          <w:lang w:eastAsia="zh-CN"/>
        </w:rPr>
        <w:t>公开</w:t>
      </w:r>
    </w:p>
    <w:p>
      <w:pPr>
        <w:widowControl/>
        <w:jc w:val="center"/>
        <w:rPr>
          <w:rFonts w:hint="default" w:ascii="Times New Roman" w:hAnsi="Times New Roman" w:eastAsia="方正小标宋简体" w:cs="Times New Roman"/>
          <w:color w:val="000000"/>
          <w:sz w:val="36"/>
          <w:szCs w:val="36"/>
        </w:rPr>
      </w:pPr>
    </w:p>
    <w:p>
      <w:pPr>
        <w:rPr>
          <w:rFonts w:hint="default" w:ascii="Times New Roman" w:hAnsi="Times New Roman" w:eastAsia="方正小标宋简体" w:cs="Times New Roman"/>
          <w:color w:val="000000"/>
          <w:sz w:val="36"/>
          <w:szCs w:val="36"/>
        </w:rPr>
      </w:pPr>
    </w:p>
    <w:p>
      <w:pPr>
        <w:rPr>
          <w:rFonts w:hint="default" w:ascii="Times New Roman" w:hAnsi="Times New Roman" w:eastAsia="方正小标宋简体" w:cs="Times New Roman"/>
          <w:color w:val="000000"/>
          <w:sz w:val="36"/>
          <w:szCs w:val="36"/>
        </w:rPr>
      </w:pPr>
    </w:p>
    <w:p>
      <w:pPr>
        <w:rPr>
          <w:rFonts w:hint="default" w:ascii="Times New Roman" w:hAnsi="Times New Roman" w:eastAsia="方正小标宋简体" w:cs="Times New Roman"/>
          <w:color w:val="000000"/>
          <w:sz w:val="36"/>
          <w:szCs w:val="36"/>
        </w:rPr>
      </w:pPr>
    </w:p>
    <w:p>
      <w:pPr>
        <w:pStyle w:val="7"/>
        <w:rPr>
          <w:rFonts w:hint="default" w:ascii="Times New Roman" w:hAnsi="Times New Roman" w:eastAsia="方正小标宋简体" w:cs="Times New Roman"/>
          <w:color w:val="000000"/>
          <w:sz w:val="36"/>
          <w:szCs w:val="36"/>
        </w:rPr>
      </w:pPr>
    </w:p>
    <w:p>
      <w:pPr>
        <w:rPr>
          <w:rFonts w:hint="default" w:ascii="Times New Roman" w:hAnsi="Times New Roman" w:eastAsia="方正小标宋简体" w:cs="Times New Roman"/>
          <w:color w:val="000000"/>
          <w:sz w:val="36"/>
          <w:szCs w:val="36"/>
        </w:rPr>
      </w:pPr>
    </w:p>
    <w:p>
      <w:pPr>
        <w:pStyle w:val="7"/>
        <w:rPr>
          <w:rFonts w:hint="default" w:ascii="Times New Roman" w:hAnsi="Times New Roman" w:eastAsia="方正小标宋简体" w:cs="Times New Roman"/>
          <w:color w:val="000000"/>
          <w:sz w:val="36"/>
          <w:szCs w:val="36"/>
        </w:rPr>
      </w:pPr>
    </w:p>
    <w:p>
      <w:pPr>
        <w:rPr>
          <w:rFonts w:hint="default" w:ascii="Times New Roman" w:hAnsi="Times New Roman" w:eastAsia="方正小标宋简体" w:cs="Times New Roman"/>
          <w:color w:val="000000"/>
          <w:sz w:val="36"/>
          <w:szCs w:val="36"/>
        </w:rPr>
      </w:pPr>
    </w:p>
    <w:p>
      <w:pPr>
        <w:pStyle w:val="7"/>
        <w:rPr>
          <w:rFonts w:hint="default" w:ascii="Times New Roman" w:hAnsi="Times New Roman" w:eastAsia="方正小标宋简体" w:cs="Times New Roman"/>
          <w:color w:val="000000"/>
          <w:sz w:val="36"/>
          <w:szCs w:val="36"/>
        </w:rPr>
      </w:pPr>
    </w:p>
    <w:p>
      <w:pPr>
        <w:rPr>
          <w:rFonts w:hint="default" w:ascii="Times New Roman" w:hAnsi="Times New Roman" w:eastAsia="方正小标宋简体" w:cs="Times New Roman"/>
          <w:color w:val="000000"/>
          <w:sz w:val="36"/>
          <w:szCs w:val="36"/>
        </w:rPr>
      </w:pPr>
    </w:p>
    <w:p>
      <w:pPr>
        <w:pStyle w:val="7"/>
        <w:rPr>
          <w:rFonts w:hint="default" w:ascii="Times New Roman" w:hAnsi="Times New Roman" w:eastAsia="方正小标宋简体" w:cs="Times New Roman"/>
          <w:color w:val="000000"/>
          <w:sz w:val="36"/>
          <w:szCs w:val="36"/>
        </w:rPr>
      </w:pPr>
    </w:p>
    <w:p>
      <w:pPr>
        <w:rPr>
          <w:rFonts w:hint="default" w:ascii="Times New Roman" w:hAnsi="Times New Roman" w:eastAsia="方正小标宋简体" w:cs="Times New Roman"/>
          <w:color w:val="000000"/>
          <w:sz w:val="36"/>
          <w:szCs w:val="36"/>
        </w:rPr>
      </w:pPr>
    </w:p>
    <w:p>
      <w:pPr>
        <w:pStyle w:val="7"/>
        <w:rPr>
          <w:rFonts w:hint="default" w:ascii="Times New Roman" w:hAnsi="Times New Roman" w:eastAsia="方正小标宋简体" w:cs="Times New Roman"/>
          <w:color w:val="000000"/>
          <w:sz w:val="36"/>
          <w:szCs w:val="36"/>
        </w:rPr>
      </w:pPr>
    </w:p>
    <w:p>
      <w:pPr>
        <w:rPr>
          <w:rFonts w:hint="default" w:ascii="Times New Roman" w:hAnsi="Times New Roman" w:cs="Times New Roman"/>
        </w:rPr>
      </w:pPr>
    </w:p>
    <w:p>
      <w:pPr>
        <w:rPr>
          <w:rFonts w:hint="default" w:ascii="Times New Roman" w:hAnsi="Times New Roman" w:eastAsia="方正小标宋简体" w:cs="Times New Roman"/>
          <w:color w:val="000000"/>
          <w:sz w:val="36"/>
          <w:szCs w:val="36"/>
        </w:rPr>
      </w:pPr>
    </w:p>
    <w:p>
      <w:pPr>
        <w:pStyle w:val="7"/>
        <w:spacing w:before="93" w:beforeLines="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已经保密审查、内容审定，同意对外公开</w:t>
      </w:r>
    </w:p>
    <w:p>
      <w:pPr>
        <w:widowControl/>
        <w:jc w:val="center"/>
        <w:rPr>
          <w:rFonts w:hint="default" w:ascii="Times New Roman" w:hAnsi="Times New Roman" w:eastAsia="仿宋" w:cs="Times New Roman"/>
          <w:color w:val="000000"/>
          <w:sz w:val="24"/>
        </w:rPr>
      </w:pPr>
      <w:r>
        <w:rPr>
          <w:rFonts w:hint="default" w:ascii="Times New Roman" w:hAnsi="Times New Roman" w:eastAsia="方正小标宋简体" w:cs="Times New Roman"/>
          <w:color w:val="000000"/>
          <w:sz w:val="36"/>
          <w:szCs w:val="36"/>
        </w:rPr>
        <w:br w:type="page"/>
      </w:r>
    </w:p>
    <w:p>
      <w:pPr>
        <w:widowControl/>
        <w:jc w:val="center"/>
        <w:rPr>
          <w:rFonts w:hint="eastAsia" w:ascii="黑体" w:hAnsi="黑体" w:eastAsia="黑体" w:cs="黑体"/>
          <w:sz w:val="48"/>
          <w:szCs w:val="48"/>
        </w:rPr>
      </w:pPr>
      <w:bookmarkStart w:id="12" w:name="_Toc15396599"/>
      <w:bookmarkStart w:id="13" w:name="_Toc15377196"/>
      <w:r>
        <w:rPr>
          <w:rFonts w:hint="eastAsia" w:ascii="黑体" w:hAnsi="黑体" w:eastAsia="黑体" w:cs="黑体"/>
          <w:sz w:val="48"/>
          <w:szCs w:val="48"/>
        </w:rPr>
        <w:t>目录</w:t>
      </w:r>
    </w:p>
    <w:p>
      <w:pPr>
        <w:widowControl/>
        <w:jc w:val="center"/>
        <w:rPr>
          <w:rFonts w:hint="default" w:ascii="Times New Roman" w:hAnsi="Times New Roman" w:eastAsia="宋体" w:cs="Times New Roman"/>
          <w:sz w:val="24"/>
          <w:szCs w:val="24"/>
        </w:rPr>
      </w:pPr>
    </w:p>
    <w:p>
      <w:pPr>
        <w:pStyle w:val="14"/>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公开时间：202</w:t>
      </w:r>
      <w:r>
        <w:rPr>
          <w:rFonts w:hint="eastAsia" w:ascii="Times New Roman" w:eastAsia="宋体" w:cs="Times New Roman"/>
          <w:sz w:val="24"/>
          <w:szCs w:val="24"/>
          <w:lang w:val="en-US" w:eastAsia="zh-CN"/>
        </w:rPr>
        <w:t>5</w:t>
      </w:r>
      <w:r>
        <w:rPr>
          <w:rFonts w:hint="default" w:ascii="Times New Roman" w:hAnsi="Times New Roman" w:eastAsia="宋体" w:cs="Times New Roman"/>
          <w:sz w:val="24"/>
          <w:szCs w:val="24"/>
        </w:rPr>
        <w:t>年9月</w:t>
      </w:r>
      <w:r>
        <w:rPr>
          <w:rFonts w:hint="eastAsia" w:ascii="Times New Roman" w:eastAsia="宋体" w:cs="Times New Roman"/>
          <w:sz w:val="24"/>
          <w:szCs w:val="24"/>
          <w:lang w:val="en-US" w:eastAsia="zh-CN"/>
        </w:rPr>
        <w:t>19</w:t>
      </w:r>
      <w:r>
        <w:rPr>
          <w:rFonts w:hint="default" w:ascii="Times New Roman" w:hAnsi="Times New Roman" w:eastAsia="宋体" w:cs="Times New Roman"/>
          <w:sz w:val="24"/>
          <w:szCs w:val="24"/>
        </w:rPr>
        <w:t>日</w:t>
      </w:r>
    </w:p>
    <w:p>
      <w:pPr>
        <w:rPr>
          <w:rFonts w:hint="default" w:ascii="Times New Roman" w:hAnsi="Times New Roman" w:eastAsia="宋体" w:cs="Times New Roman"/>
          <w:sz w:val="24"/>
          <w:szCs w:val="24"/>
        </w:rPr>
      </w:pPr>
    </w:p>
    <w:p>
      <w:pPr>
        <w:pStyle w:val="14"/>
        <w:adjustRightInd w:val="0"/>
        <w:snapToGrid w:val="0"/>
        <w:spacing w:before="0" w:line="44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第一部分 </w:t>
      </w:r>
      <w:r>
        <w:rPr>
          <w:rFonts w:hint="eastAsia" w:ascii="Times New Roman" w:eastAsia="宋体" w:cs="Times New Roman"/>
          <w:sz w:val="24"/>
          <w:szCs w:val="24"/>
          <w:lang w:eastAsia="zh-CN"/>
        </w:rPr>
        <w:t>部门</w:t>
      </w:r>
      <w:r>
        <w:rPr>
          <w:rFonts w:hint="default" w:ascii="Times New Roman" w:hAnsi="Times New Roman" w:eastAsia="宋体" w:cs="Times New Roman"/>
          <w:sz w:val="24"/>
          <w:szCs w:val="24"/>
        </w:rPr>
        <w:t>概况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4</w:t>
      </w:r>
    </w:p>
    <w:p>
      <w:pPr>
        <w:pStyle w:val="17"/>
        <w:adjustRightInd w:val="0"/>
        <w:snapToGrid w:val="0"/>
        <w:spacing w:line="44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一、</w:t>
      </w:r>
      <w:r>
        <w:rPr>
          <w:rFonts w:hint="eastAsia" w:cs="Times New Roman"/>
          <w:sz w:val="24"/>
          <w:szCs w:val="24"/>
          <w:lang w:eastAsia="zh-CN"/>
        </w:rPr>
        <w:t>部门</w:t>
      </w:r>
      <w:r>
        <w:rPr>
          <w:rFonts w:hint="default" w:ascii="Times New Roman" w:hAnsi="Times New Roman" w:eastAsia="宋体" w:cs="Times New Roman"/>
          <w:sz w:val="24"/>
          <w:szCs w:val="24"/>
        </w:rPr>
        <w:t>职责</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4</w:t>
      </w:r>
    </w:p>
    <w:p>
      <w:pPr>
        <w:pStyle w:val="17"/>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二、机构设置</w:t>
      </w:r>
      <w:r>
        <w:rPr>
          <w:rFonts w:hint="default" w:ascii="Times New Roman" w:hAnsi="Times New Roman" w:eastAsia="宋体" w:cs="Times New Roman"/>
          <w:sz w:val="24"/>
          <w:szCs w:val="24"/>
        </w:rPr>
        <w:tab/>
      </w:r>
      <w:r>
        <w:rPr>
          <w:rFonts w:hint="eastAsia" w:cs="Times New Roman"/>
          <w:sz w:val="24"/>
          <w:szCs w:val="24"/>
          <w:lang w:val="en-US" w:eastAsia="zh-CN"/>
        </w:rPr>
        <w:t>5</w:t>
      </w:r>
    </w:p>
    <w:p>
      <w:pPr>
        <w:pStyle w:val="14"/>
        <w:adjustRightInd w:val="0"/>
        <w:snapToGrid w:val="0"/>
        <w:spacing w:before="0"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第二部分 202</w:t>
      </w:r>
      <w:r>
        <w:rPr>
          <w:rFonts w:hint="eastAsia" w:ascii="Times New Roman" w:eastAsia="宋体" w:cs="Times New Roman"/>
          <w:sz w:val="24"/>
          <w:szCs w:val="24"/>
          <w:lang w:val="en-US" w:eastAsia="zh-CN"/>
        </w:rPr>
        <w:t>4</w:t>
      </w:r>
      <w:r>
        <w:rPr>
          <w:rFonts w:hint="default" w:ascii="Times New Roman" w:hAnsi="Times New Roman" w:eastAsia="宋体" w:cs="Times New Roman"/>
          <w:sz w:val="24"/>
          <w:szCs w:val="24"/>
        </w:rPr>
        <w:t>年度</w:t>
      </w:r>
      <w:r>
        <w:rPr>
          <w:rFonts w:hint="eastAsia" w:cs="Times New Roman"/>
          <w:sz w:val="24"/>
          <w:szCs w:val="24"/>
          <w:lang w:eastAsia="zh-CN"/>
        </w:rPr>
        <w:t>部门</w:t>
      </w:r>
      <w:r>
        <w:rPr>
          <w:rFonts w:hint="default" w:ascii="Times New Roman" w:hAnsi="Times New Roman" w:eastAsia="宋体" w:cs="Times New Roman"/>
          <w:sz w:val="24"/>
          <w:szCs w:val="24"/>
        </w:rPr>
        <w:t>决算情况说明</w:t>
      </w:r>
      <w:r>
        <w:rPr>
          <w:rFonts w:hint="default" w:ascii="Times New Roman" w:hAnsi="Times New Roman" w:eastAsia="宋体" w:cs="Times New Roman"/>
          <w:sz w:val="24"/>
          <w:szCs w:val="24"/>
        </w:rPr>
        <w:tab/>
      </w:r>
      <w:r>
        <w:rPr>
          <w:rFonts w:hint="eastAsia" w:ascii="Times New Roman" w:eastAsia="宋体" w:cs="Times New Roman"/>
          <w:sz w:val="24"/>
          <w:szCs w:val="24"/>
          <w:lang w:val="en-US" w:eastAsia="zh-CN"/>
        </w:rPr>
        <w:t>6</w:t>
      </w:r>
    </w:p>
    <w:p>
      <w:pPr>
        <w:pStyle w:val="17"/>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一、收入支出决算总体情况说明</w:t>
      </w:r>
      <w:r>
        <w:rPr>
          <w:rFonts w:hint="default" w:ascii="Times New Roman" w:hAnsi="Times New Roman" w:eastAsia="宋体" w:cs="Times New Roman"/>
          <w:sz w:val="24"/>
          <w:szCs w:val="24"/>
        </w:rPr>
        <w:tab/>
      </w:r>
      <w:r>
        <w:rPr>
          <w:rFonts w:hint="eastAsia" w:cs="Times New Roman"/>
          <w:sz w:val="24"/>
          <w:szCs w:val="24"/>
          <w:lang w:val="en-US" w:eastAsia="zh-CN"/>
        </w:rPr>
        <w:t>6</w:t>
      </w:r>
    </w:p>
    <w:p>
      <w:pPr>
        <w:pStyle w:val="17"/>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二、收入决算情况说明</w:t>
      </w:r>
      <w:r>
        <w:rPr>
          <w:rFonts w:hint="default" w:ascii="Times New Roman" w:hAnsi="Times New Roman" w:eastAsia="宋体" w:cs="Times New Roman"/>
          <w:sz w:val="24"/>
          <w:szCs w:val="24"/>
        </w:rPr>
        <w:tab/>
      </w:r>
      <w:r>
        <w:rPr>
          <w:rFonts w:hint="eastAsia" w:cs="Times New Roman"/>
          <w:sz w:val="24"/>
          <w:szCs w:val="24"/>
          <w:lang w:val="en-US" w:eastAsia="zh-CN"/>
        </w:rPr>
        <w:t>6</w:t>
      </w:r>
    </w:p>
    <w:p>
      <w:pPr>
        <w:pStyle w:val="17"/>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三、支出决算情况说明</w:t>
      </w:r>
      <w:r>
        <w:rPr>
          <w:rFonts w:hint="default" w:ascii="Times New Roman" w:hAnsi="Times New Roman" w:eastAsia="宋体" w:cs="Times New Roman"/>
          <w:sz w:val="24"/>
          <w:szCs w:val="24"/>
        </w:rPr>
        <w:tab/>
      </w:r>
      <w:r>
        <w:rPr>
          <w:rFonts w:hint="eastAsia" w:cs="Times New Roman"/>
          <w:sz w:val="24"/>
          <w:szCs w:val="24"/>
          <w:lang w:val="en-US" w:eastAsia="zh-CN"/>
        </w:rPr>
        <w:t>7</w:t>
      </w:r>
    </w:p>
    <w:p>
      <w:pPr>
        <w:pStyle w:val="17"/>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四、财政拨款收入支出决算总体情况说明</w:t>
      </w:r>
      <w:r>
        <w:rPr>
          <w:rFonts w:hint="default" w:ascii="Times New Roman" w:hAnsi="Times New Roman" w:eastAsia="宋体" w:cs="Times New Roman"/>
          <w:sz w:val="24"/>
          <w:szCs w:val="24"/>
        </w:rPr>
        <w:tab/>
      </w:r>
      <w:r>
        <w:rPr>
          <w:rFonts w:hint="eastAsia" w:cs="Times New Roman"/>
          <w:sz w:val="24"/>
          <w:szCs w:val="24"/>
          <w:lang w:val="en-US" w:eastAsia="zh-CN"/>
        </w:rPr>
        <w:t>7</w:t>
      </w:r>
    </w:p>
    <w:p>
      <w:pPr>
        <w:pStyle w:val="17"/>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五、一般公共预算财政拨款支出决算情况说明</w:t>
      </w:r>
      <w:r>
        <w:rPr>
          <w:rFonts w:hint="default" w:ascii="Times New Roman" w:hAnsi="Times New Roman" w:eastAsia="宋体" w:cs="Times New Roman"/>
          <w:sz w:val="24"/>
          <w:szCs w:val="24"/>
        </w:rPr>
        <w:tab/>
      </w:r>
      <w:r>
        <w:rPr>
          <w:rFonts w:hint="eastAsia" w:cs="Times New Roman"/>
          <w:sz w:val="24"/>
          <w:szCs w:val="24"/>
          <w:lang w:val="en-US" w:eastAsia="zh-CN"/>
        </w:rPr>
        <w:t>8</w:t>
      </w:r>
    </w:p>
    <w:p>
      <w:pPr>
        <w:pStyle w:val="17"/>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六、一般公共预算财政拨款基本支出决算情况说明</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1</w:t>
      </w:r>
      <w:r>
        <w:rPr>
          <w:rFonts w:hint="default" w:cs="Times New Roman"/>
          <w:sz w:val="24"/>
          <w:szCs w:val="24"/>
          <w:lang w:val="en-US" w:eastAsia="zh-CN"/>
        </w:rPr>
        <w:t>1</w:t>
      </w:r>
    </w:p>
    <w:p>
      <w:pPr>
        <w:pStyle w:val="17"/>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七、财政拨款“三公”经费支出决算情况说明</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1</w:t>
      </w:r>
      <w:r>
        <w:rPr>
          <w:rFonts w:hint="default" w:cs="Times New Roman"/>
          <w:sz w:val="24"/>
          <w:szCs w:val="24"/>
          <w:lang w:val="en-US" w:eastAsia="zh-CN"/>
        </w:rPr>
        <w:t>1</w:t>
      </w:r>
    </w:p>
    <w:p>
      <w:pPr>
        <w:pStyle w:val="17"/>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八、政府性基金预算支出决算情况说明</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1</w:t>
      </w:r>
      <w:r>
        <w:rPr>
          <w:rFonts w:hint="default" w:cs="Times New Roman"/>
          <w:sz w:val="24"/>
          <w:szCs w:val="24"/>
          <w:lang w:val="en-US"/>
        </w:rPr>
        <w:t>3</w:t>
      </w:r>
    </w:p>
    <w:p>
      <w:pPr>
        <w:pStyle w:val="17"/>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九、国有资本经营预算支出决算情况说明</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1</w:t>
      </w:r>
      <w:r>
        <w:rPr>
          <w:rFonts w:hint="default" w:cs="Times New Roman"/>
          <w:sz w:val="24"/>
          <w:szCs w:val="24"/>
          <w:lang w:val="en-US" w:eastAsia="zh-CN"/>
        </w:rPr>
        <w:t>3</w:t>
      </w:r>
    </w:p>
    <w:p>
      <w:pPr>
        <w:pStyle w:val="17"/>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十、其他重要事项的情况说明</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1</w:t>
      </w:r>
      <w:r>
        <w:rPr>
          <w:rFonts w:hint="default" w:cs="Times New Roman"/>
          <w:sz w:val="24"/>
          <w:szCs w:val="24"/>
          <w:lang w:val="en-US" w:eastAsia="zh-CN"/>
        </w:rPr>
        <w:t>3</w:t>
      </w:r>
    </w:p>
    <w:p>
      <w:pPr>
        <w:pStyle w:val="14"/>
        <w:adjustRightInd w:val="0"/>
        <w:snapToGrid w:val="0"/>
        <w:spacing w:before="0"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第三部分 名词解释</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1</w:t>
      </w:r>
      <w:r>
        <w:rPr>
          <w:rFonts w:hint="default" w:ascii="Times New Roman" w:eastAsia="宋体" w:cs="Times New Roman"/>
          <w:sz w:val="24"/>
          <w:szCs w:val="24"/>
          <w:lang w:val="en-US" w:eastAsia="zh-CN"/>
        </w:rPr>
        <w:t>4</w:t>
      </w:r>
    </w:p>
    <w:p>
      <w:pPr>
        <w:pStyle w:val="14"/>
        <w:adjustRightInd w:val="0"/>
        <w:snapToGrid w:val="0"/>
        <w:spacing w:before="0" w:line="440" w:lineRule="exact"/>
        <w:jc w:val="left"/>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第四部分 附件</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1</w:t>
      </w:r>
      <w:r>
        <w:rPr>
          <w:rFonts w:hint="default" w:ascii="Times New Roman" w:eastAsia="宋体" w:cs="Times New Roman"/>
          <w:sz w:val="24"/>
          <w:szCs w:val="24"/>
          <w:lang w:val="en-US" w:eastAsia="zh-CN"/>
        </w:rPr>
        <w:t>7</w:t>
      </w:r>
    </w:p>
    <w:p>
      <w:pPr>
        <w:pStyle w:val="17"/>
        <w:adjustRightInd w:val="0"/>
        <w:snapToGrid w:val="0"/>
        <w:spacing w:line="440" w:lineRule="exact"/>
        <w:jc w:val="lef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第五部分 附表</w:t>
      </w:r>
      <w:r>
        <w:rPr>
          <w:rFonts w:hint="default" w:ascii="Times New Roman" w:hAnsi="Times New Roman" w:eastAsia="宋体" w:cs="Times New Roman"/>
          <w:sz w:val="24"/>
          <w:szCs w:val="24"/>
        </w:rPr>
        <w:tab/>
      </w:r>
      <w:r>
        <w:rPr>
          <w:rFonts w:hint="default" w:cs="Times New Roman"/>
          <w:sz w:val="24"/>
          <w:szCs w:val="24"/>
          <w:lang w:val="en-US"/>
        </w:rPr>
        <w:t>41</w:t>
      </w:r>
    </w:p>
    <w:p>
      <w:pPr>
        <w:pStyle w:val="17"/>
        <w:adjustRightInd w:val="0"/>
        <w:snapToGrid w:val="0"/>
        <w:spacing w:line="440" w:lineRule="exact"/>
        <w:jc w:val="lef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二、收入决算表</w:t>
      </w:r>
      <w:r>
        <w:rPr>
          <w:rFonts w:hint="default" w:ascii="Times New Roman" w:hAnsi="Times New Roman" w:eastAsia="宋体" w:cs="Times New Roman"/>
          <w:sz w:val="24"/>
          <w:szCs w:val="24"/>
        </w:rPr>
        <w:tab/>
      </w:r>
      <w:r>
        <w:rPr>
          <w:rFonts w:hint="default" w:cs="Times New Roman"/>
          <w:sz w:val="24"/>
          <w:szCs w:val="24"/>
          <w:lang w:val="en-US"/>
        </w:rPr>
        <w:t>41</w:t>
      </w:r>
    </w:p>
    <w:p>
      <w:pPr>
        <w:pStyle w:val="17"/>
        <w:adjustRightInd w:val="0"/>
        <w:snapToGrid w:val="0"/>
        <w:spacing w:line="440" w:lineRule="exact"/>
        <w:jc w:val="lef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三、支出决算表</w:t>
      </w:r>
      <w:r>
        <w:rPr>
          <w:rFonts w:hint="default" w:ascii="Times New Roman" w:hAnsi="Times New Roman" w:eastAsia="宋体" w:cs="Times New Roman"/>
          <w:sz w:val="24"/>
          <w:szCs w:val="24"/>
        </w:rPr>
        <w:tab/>
      </w:r>
      <w:r>
        <w:rPr>
          <w:rFonts w:hint="default" w:cs="Times New Roman"/>
          <w:sz w:val="24"/>
          <w:szCs w:val="24"/>
          <w:lang w:val="en-US"/>
        </w:rPr>
        <w:t>41</w:t>
      </w:r>
    </w:p>
    <w:p>
      <w:pPr>
        <w:pStyle w:val="17"/>
        <w:adjustRightInd w:val="0"/>
        <w:snapToGrid w:val="0"/>
        <w:spacing w:line="440" w:lineRule="exact"/>
        <w:jc w:val="lef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四、财政拨款收入支出决算总表</w:t>
      </w:r>
      <w:r>
        <w:rPr>
          <w:rFonts w:hint="default" w:ascii="Times New Roman" w:hAnsi="Times New Roman" w:eastAsia="宋体" w:cs="Times New Roman"/>
          <w:sz w:val="24"/>
          <w:szCs w:val="24"/>
        </w:rPr>
        <w:tab/>
      </w:r>
      <w:r>
        <w:rPr>
          <w:rFonts w:hint="default" w:cs="Times New Roman"/>
          <w:sz w:val="24"/>
          <w:szCs w:val="24"/>
          <w:lang w:val="en-US"/>
        </w:rPr>
        <w:t>41</w:t>
      </w:r>
    </w:p>
    <w:p>
      <w:pPr>
        <w:pStyle w:val="17"/>
        <w:adjustRightInd w:val="0"/>
        <w:snapToGrid w:val="0"/>
        <w:spacing w:line="440" w:lineRule="exact"/>
        <w:jc w:val="lef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五、财政拨款支出决算明细表</w:t>
      </w:r>
      <w:r>
        <w:rPr>
          <w:rFonts w:hint="default" w:ascii="Times New Roman" w:hAnsi="Times New Roman" w:eastAsia="宋体" w:cs="Times New Roman"/>
          <w:sz w:val="24"/>
          <w:szCs w:val="24"/>
        </w:rPr>
        <w:tab/>
      </w:r>
      <w:r>
        <w:rPr>
          <w:rFonts w:hint="default" w:cs="Times New Roman"/>
          <w:sz w:val="24"/>
          <w:szCs w:val="24"/>
          <w:lang w:val="en-US"/>
        </w:rPr>
        <w:t>41</w:t>
      </w:r>
    </w:p>
    <w:p>
      <w:pPr>
        <w:pStyle w:val="17"/>
        <w:adjustRightInd w:val="0"/>
        <w:snapToGrid w:val="0"/>
        <w:spacing w:line="440" w:lineRule="exact"/>
        <w:jc w:val="lef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六、一般公共预算财政拨款支出决算表</w:t>
      </w:r>
      <w:r>
        <w:rPr>
          <w:rFonts w:hint="default" w:ascii="Times New Roman" w:hAnsi="Times New Roman" w:eastAsia="宋体" w:cs="Times New Roman"/>
          <w:sz w:val="24"/>
          <w:szCs w:val="24"/>
        </w:rPr>
        <w:tab/>
      </w:r>
      <w:r>
        <w:rPr>
          <w:rFonts w:hint="default" w:cs="Times New Roman"/>
          <w:sz w:val="24"/>
          <w:szCs w:val="24"/>
          <w:lang w:val="en-US"/>
        </w:rPr>
        <w:t>41</w:t>
      </w:r>
    </w:p>
    <w:p>
      <w:pPr>
        <w:pStyle w:val="17"/>
        <w:adjustRightInd w:val="0"/>
        <w:snapToGrid w:val="0"/>
        <w:spacing w:line="440" w:lineRule="exact"/>
        <w:jc w:val="lef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七、一般公共预算财政拨款支出决算明细表</w:t>
      </w:r>
      <w:r>
        <w:rPr>
          <w:rFonts w:hint="default" w:ascii="Times New Roman" w:hAnsi="Times New Roman" w:eastAsia="宋体" w:cs="Times New Roman"/>
          <w:sz w:val="24"/>
          <w:szCs w:val="24"/>
        </w:rPr>
        <w:tab/>
      </w:r>
      <w:r>
        <w:rPr>
          <w:rFonts w:hint="default" w:cs="Times New Roman"/>
          <w:sz w:val="24"/>
          <w:szCs w:val="24"/>
          <w:lang w:val="en-US"/>
        </w:rPr>
        <w:t>41</w:t>
      </w:r>
    </w:p>
    <w:p>
      <w:pPr>
        <w:pStyle w:val="17"/>
        <w:adjustRightInd w:val="0"/>
        <w:snapToGrid w:val="0"/>
        <w:spacing w:line="440" w:lineRule="exact"/>
        <w:jc w:val="lef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八、一般公共预算财政拨款基本支出决算明细表</w:t>
      </w:r>
      <w:r>
        <w:rPr>
          <w:rFonts w:hint="default" w:ascii="Times New Roman" w:hAnsi="Times New Roman" w:eastAsia="宋体" w:cs="Times New Roman"/>
          <w:sz w:val="24"/>
          <w:szCs w:val="24"/>
        </w:rPr>
        <w:tab/>
      </w:r>
      <w:r>
        <w:rPr>
          <w:rFonts w:hint="default" w:cs="Times New Roman"/>
          <w:sz w:val="24"/>
          <w:szCs w:val="24"/>
          <w:lang w:val="en-US"/>
        </w:rPr>
        <w:t>41</w:t>
      </w:r>
    </w:p>
    <w:p>
      <w:pPr>
        <w:pStyle w:val="17"/>
        <w:adjustRightInd w:val="0"/>
        <w:snapToGrid w:val="0"/>
        <w:spacing w:line="440" w:lineRule="exact"/>
        <w:jc w:val="lef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九、一般公共预算财政拨款项目支出决算表</w:t>
      </w:r>
      <w:r>
        <w:rPr>
          <w:rFonts w:hint="default" w:ascii="Times New Roman" w:hAnsi="Times New Roman" w:eastAsia="宋体" w:cs="Times New Roman"/>
          <w:sz w:val="24"/>
          <w:szCs w:val="24"/>
        </w:rPr>
        <w:tab/>
      </w:r>
      <w:r>
        <w:rPr>
          <w:rFonts w:hint="default" w:cs="Times New Roman"/>
          <w:sz w:val="24"/>
          <w:szCs w:val="24"/>
          <w:lang w:val="en-US"/>
        </w:rPr>
        <w:t>41</w:t>
      </w:r>
    </w:p>
    <w:p>
      <w:pPr>
        <w:pStyle w:val="17"/>
        <w:adjustRightInd w:val="0"/>
        <w:snapToGrid w:val="0"/>
        <w:spacing w:line="440" w:lineRule="exact"/>
        <w:jc w:val="lef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十、政府性基金预算财政拨款收入支出决算表</w:t>
      </w:r>
      <w:r>
        <w:rPr>
          <w:rFonts w:hint="default" w:ascii="Times New Roman" w:hAnsi="Times New Roman" w:eastAsia="宋体" w:cs="Times New Roman"/>
          <w:sz w:val="24"/>
          <w:szCs w:val="24"/>
        </w:rPr>
        <w:tab/>
      </w:r>
      <w:r>
        <w:rPr>
          <w:rFonts w:hint="default" w:cs="Times New Roman"/>
          <w:sz w:val="24"/>
          <w:szCs w:val="24"/>
          <w:lang w:val="en-US"/>
        </w:rPr>
        <w:t>41</w:t>
      </w:r>
    </w:p>
    <w:p>
      <w:pPr>
        <w:pStyle w:val="17"/>
        <w:adjustRightInd w:val="0"/>
        <w:snapToGrid w:val="0"/>
        <w:spacing w:line="440" w:lineRule="exact"/>
        <w:jc w:val="lef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十一、国有资本经营预算财政拨款收入支出决算表</w:t>
      </w:r>
      <w:r>
        <w:rPr>
          <w:rFonts w:hint="default" w:ascii="Times New Roman" w:hAnsi="Times New Roman" w:eastAsia="宋体" w:cs="Times New Roman"/>
          <w:sz w:val="24"/>
          <w:szCs w:val="24"/>
        </w:rPr>
        <w:tab/>
      </w:r>
      <w:r>
        <w:rPr>
          <w:rFonts w:hint="default" w:cs="Times New Roman"/>
          <w:sz w:val="24"/>
          <w:szCs w:val="24"/>
          <w:lang w:val="en-US"/>
        </w:rPr>
        <w:t>41</w:t>
      </w:r>
    </w:p>
    <w:p>
      <w:pPr>
        <w:pStyle w:val="17"/>
        <w:adjustRightInd w:val="0"/>
        <w:snapToGrid w:val="0"/>
        <w:spacing w:line="440" w:lineRule="exact"/>
        <w:jc w:val="lef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十二、国有资本经营预算财政拨款支出决算表</w:t>
      </w:r>
      <w:r>
        <w:rPr>
          <w:rFonts w:hint="default" w:ascii="Times New Roman" w:hAnsi="Times New Roman" w:eastAsia="宋体" w:cs="Times New Roman"/>
          <w:sz w:val="24"/>
          <w:szCs w:val="24"/>
        </w:rPr>
        <w:tab/>
      </w:r>
      <w:r>
        <w:rPr>
          <w:rFonts w:hint="default" w:cs="Times New Roman"/>
          <w:sz w:val="24"/>
          <w:szCs w:val="24"/>
          <w:lang w:val="en-US"/>
        </w:rPr>
        <w:t>41</w:t>
      </w:r>
    </w:p>
    <w:p>
      <w:pPr>
        <w:pStyle w:val="17"/>
        <w:adjustRightInd w:val="0"/>
        <w:snapToGrid w:val="0"/>
        <w:spacing w:line="440" w:lineRule="exact"/>
        <w:jc w:val="lef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十三、财政拨款“三公”经费支出决算表</w:t>
      </w:r>
      <w:r>
        <w:rPr>
          <w:rFonts w:hint="default" w:ascii="Times New Roman" w:hAnsi="Times New Roman" w:eastAsia="宋体" w:cs="Times New Roman"/>
          <w:sz w:val="24"/>
          <w:szCs w:val="24"/>
        </w:rPr>
        <w:tab/>
      </w:r>
      <w:r>
        <w:rPr>
          <w:rFonts w:hint="default" w:cs="Times New Roman"/>
          <w:sz w:val="24"/>
          <w:szCs w:val="24"/>
          <w:lang w:val="en-US"/>
        </w:rPr>
        <w:t>41</w:t>
      </w:r>
    </w:p>
    <w:sdt>
      <w:sdtPr>
        <w:rPr>
          <w:rFonts w:hint="default" w:ascii="Times New Roman" w:hAnsi="Times New Roman" w:eastAsia="宋体" w:cs="Times New Roman"/>
          <w:sz w:val="24"/>
          <w:szCs w:val="24"/>
          <w:lang w:val="zh-CN"/>
        </w:rPr>
        <w:id w:val="-1"/>
        <w:showingPlcHdr/>
        <w:docPartObj>
          <w:docPartGallery w:val="Table of Contents"/>
          <w:docPartUnique/>
        </w:docPartObj>
      </w:sdtPr>
      <w:sdtEndPr>
        <w:rPr>
          <w:rFonts w:hint="default" w:ascii="Times New Roman" w:hAnsi="Times New Roman" w:eastAsia="宋体" w:cs="Times New Roman"/>
          <w:color w:val="auto"/>
          <w:kern w:val="2"/>
          <w:sz w:val="24"/>
          <w:szCs w:val="24"/>
          <w:lang w:val="zh-CN"/>
        </w:rPr>
      </w:sdtEndPr>
      <w:sdtContent>
        <w:p>
          <w:pPr>
            <w:pStyle w:val="14"/>
            <w:jc w:val="center"/>
            <w:rPr>
              <w:rFonts w:hint="default" w:ascii="Times New Roman" w:hAnsi="Times New Roman" w:eastAsia="宋体" w:cs="Times New Roman"/>
              <w:sz w:val="24"/>
              <w:szCs w:val="24"/>
            </w:rPr>
          </w:pPr>
        </w:p>
      </w:sdtContent>
    </w:sdt>
    <w:p>
      <w:pPr>
        <w:widowControl/>
        <w:spacing w:line="480" w:lineRule="auto"/>
        <w:jc w:val="left"/>
        <w:rPr>
          <w:rFonts w:hint="default" w:ascii="Times New Roman" w:hAnsi="Times New Roman" w:eastAsia="仿宋" w:cs="Times New Roman"/>
          <w:b/>
          <w:bCs/>
          <w:color w:val="000000"/>
          <w:kern w:val="44"/>
          <w:sz w:val="20"/>
          <w:szCs w:val="20"/>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pStyle w:val="4"/>
        <w:jc w:val="center"/>
        <w:rPr>
          <w:rFonts w:hint="default" w:ascii="Times New Roman" w:hAnsi="Times New Roman" w:eastAsia="黑体" w:cs="Times New Roman"/>
          <w:b w:val="0"/>
          <w:color w:val="000000"/>
        </w:rPr>
      </w:pPr>
    </w:p>
    <w:p>
      <w:pPr>
        <w:rPr>
          <w:rFonts w:hint="default" w:ascii="Times New Roman" w:hAnsi="Times New Roman" w:cs="Times New Roman"/>
          <w:color w:val="000000"/>
        </w:rPr>
      </w:pPr>
    </w:p>
    <w:p>
      <w:pPr>
        <w:rPr>
          <w:rFonts w:hint="default" w:ascii="Times New Roman" w:hAnsi="Times New Roman" w:cs="Times New Roman"/>
          <w:color w:val="000000"/>
        </w:rPr>
      </w:pPr>
    </w:p>
    <w:p>
      <w:pPr>
        <w:rPr>
          <w:rFonts w:hint="default" w:ascii="Times New Roman" w:hAnsi="Times New Roman" w:cs="Times New Roman"/>
          <w:color w:val="000000"/>
        </w:rPr>
      </w:pPr>
    </w:p>
    <w:p>
      <w:pPr>
        <w:pStyle w:val="4"/>
        <w:jc w:val="center"/>
        <w:rPr>
          <w:rStyle w:val="23"/>
          <w:rFonts w:hint="eastAsia" w:ascii="黑体" w:hAnsi="黑体" w:eastAsia="黑体" w:cs="黑体"/>
          <w:b/>
          <w:bCs w:val="0"/>
          <w:color w:val="000000"/>
          <w:sz w:val="48"/>
          <w:szCs w:val="48"/>
        </w:rPr>
      </w:pPr>
      <w:r>
        <w:rPr>
          <w:rFonts w:hint="eastAsia" w:ascii="黑体" w:hAnsi="黑体" w:eastAsia="黑体" w:cs="黑体"/>
          <w:b/>
          <w:bCs w:val="0"/>
          <w:color w:val="000000"/>
          <w:sz w:val="44"/>
          <w:szCs w:val="44"/>
        </w:rPr>
        <w:t xml:space="preserve">第一部分 </w:t>
      </w:r>
      <w:r>
        <w:rPr>
          <w:rStyle w:val="23"/>
          <w:rFonts w:hint="eastAsia" w:ascii="黑体" w:hAnsi="黑体" w:eastAsia="黑体" w:cs="黑体"/>
          <w:b/>
          <w:bCs w:val="0"/>
          <w:color w:val="000000"/>
          <w:sz w:val="44"/>
          <w:szCs w:val="44"/>
        </w:rPr>
        <w:t>部门概况</w:t>
      </w:r>
      <w:bookmarkEnd w:id="12"/>
      <w:bookmarkEnd w:id="13"/>
    </w:p>
    <w:p>
      <w:pPr>
        <w:pStyle w:val="5"/>
        <w:keepNext/>
        <w:keepLines/>
        <w:pageBreakBefore w:val="0"/>
        <w:widowControl w:val="0"/>
        <w:kinsoku/>
        <w:wordWrap/>
        <w:overflowPunct/>
        <w:topLinePunct w:val="0"/>
        <w:autoSpaceDE/>
        <w:autoSpaceDN/>
        <w:bidi w:val="0"/>
        <w:adjustRightInd/>
        <w:snapToGrid/>
        <w:spacing w:before="0" w:after="0" w:line="416" w:lineRule="auto"/>
        <w:ind w:firstLine="642" w:firstLineChars="200"/>
        <w:textAlignment w:val="auto"/>
        <w:rPr>
          <w:rStyle w:val="24"/>
          <w:rFonts w:hint="eastAsia" w:ascii="黑体" w:hAnsi="黑体" w:eastAsia="黑体" w:cs="黑体"/>
          <w:b w:val="0"/>
          <w:bCs w:val="0"/>
          <w:color w:val="000000"/>
          <w:sz w:val="36"/>
          <w:szCs w:val="36"/>
          <w:lang w:eastAsia="zh-CN"/>
        </w:rPr>
      </w:pPr>
      <w:bookmarkStart w:id="14" w:name="_Toc15377197"/>
      <w:bookmarkStart w:id="15" w:name="_Toc15396600"/>
      <w:r>
        <w:rPr>
          <w:rFonts w:hint="eastAsia" w:ascii="黑体" w:hAnsi="黑体" w:eastAsia="黑体" w:cs="黑体"/>
          <w:b/>
          <w:bCs w:val="0"/>
          <w:color w:val="000000"/>
          <w:sz w:val="32"/>
          <w:szCs w:val="32"/>
        </w:rPr>
        <w:t>一、</w:t>
      </w:r>
      <w:bookmarkEnd w:id="14"/>
      <w:bookmarkEnd w:id="15"/>
      <w:r>
        <w:rPr>
          <w:rFonts w:hint="eastAsia" w:ascii="黑体" w:hAnsi="黑体" w:eastAsia="黑体" w:cs="黑体"/>
          <w:b/>
          <w:bCs w:val="0"/>
          <w:color w:val="000000"/>
          <w:sz w:val="32"/>
          <w:szCs w:val="32"/>
          <w:lang w:eastAsia="zh-CN"/>
        </w:rPr>
        <w:t>部门职责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bookmarkStart w:id="16" w:name="_Toc15377199"/>
      <w:bookmarkStart w:id="17" w:name="_Toc15378446"/>
      <w:r>
        <w:rPr>
          <w:rFonts w:hint="eastAsia" w:ascii="仿宋_GB2312" w:hAnsi="仿宋_GB2312" w:eastAsia="仿宋_GB2312" w:cs="仿宋_GB2312"/>
          <w:color w:val="000000"/>
          <w:sz w:val="32"/>
          <w:szCs w:val="32"/>
          <w:lang w:eastAsia="zh-CN"/>
        </w:rPr>
        <w:t>（一）</w:t>
      </w:r>
      <w:r>
        <w:rPr>
          <w:rFonts w:hint="eastAsia" w:ascii="仿宋_GB2312" w:hAnsi="仿宋_GB2312" w:eastAsia="仿宋_GB2312" w:cs="仿宋_GB2312"/>
          <w:color w:val="000000"/>
          <w:sz w:val="32"/>
          <w:szCs w:val="32"/>
        </w:rPr>
        <w:t>贯彻习近平新时代中国特色社会主义思想，坚持党对政法工作的绝对领导，坚决执行党的路线方针政策和党中央</w:t>
      </w:r>
      <w:r>
        <w:rPr>
          <w:rFonts w:hint="eastAsia" w:ascii="仿宋_GB2312" w:hAnsi="仿宋_GB2312" w:eastAsia="仿宋_GB2312" w:cs="仿宋_GB2312"/>
          <w:color w:val="000000"/>
          <w:sz w:val="32"/>
          <w:szCs w:val="32"/>
          <w:lang w:eastAsia="zh-CN"/>
        </w:rPr>
        <w:t>、省委及州委</w:t>
      </w:r>
      <w:r>
        <w:rPr>
          <w:rFonts w:hint="eastAsia" w:ascii="仿宋_GB2312" w:hAnsi="仿宋_GB2312" w:eastAsia="仿宋_GB2312" w:cs="仿宋_GB2312"/>
          <w:color w:val="000000"/>
          <w:sz w:val="32"/>
          <w:szCs w:val="32"/>
        </w:rPr>
        <w:t>重大决策部署，推动完善和落实政治轮训和政治督察制度</w:t>
      </w:r>
      <w:r>
        <w:rPr>
          <w:rFonts w:hint="eastAsia" w:ascii="仿宋_GB2312" w:hAnsi="仿宋_GB2312" w:eastAsia="仿宋_GB2312" w:cs="仿宋_GB2312"/>
          <w:color w:val="000000"/>
          <w:sz w:val="32"/>
          <w:szCs w:val="32"/>
          <w:lang w:eastAsia="zh-CN"/>
        </w:rPr>
        <w:t>，推进平安阿坝、法治阿坝建设，加强过硬队伍建设，深化智能化建设，确保社会大局稳定、促进社会公平正义、保障人民安居乐业</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（二）</w:t>
      </w:r>
      <w:r>
        <w:rPr>
          <w:rFonts w:hint="eastAsia" w:ascii="仿宋_GB2312" w:hAnsi="仿宋_GB2312" w:eastAsia="仿宋_GB2312" w:cs="仿宋_GB2312"/>
          <w:color w:val="000000"/>
          <w:sz w:val="32"/>
          <w:szCs w:val="32"/>
        </w:rPr>
        <w:t>贯彻党中央</w:t>
      </w:r>
      <w:r>
        <w:rPr>
          <w:rFonts w:hint="eastAsia" w:ascii="仿宋_GB2312" w:hAnsi="仿宋_GB2312" w:eastAsia="仿宋_GB2312" w:cs="仿宋_GB2312"/>
          <w:color w:val="000000"/>
          <w:sz w:val="32"/>
          <w:szCs w:val="32"/>
          <w:lang w:eastAsia="zh-CN"/>
        </w:rPr>
        <w:t>、省委和州委</w:t>
      </w:r>
      <w:r>
        <w:rPr>
          <w:rFonts w:hint="eastAsia" w:ascii="仿宋_GB2312" w:hAnsi="仿宋_GB2312" w:eastAsia="仿宋_GB2312" w:cs="仿宋_GB2312"/>
          <w:color w:val="000000"/>
          <w:sz w:val="32"/>
          <w:szCs w:val="32"/>
        </w:rPr>
        <w:t>以及上级党组织决定，研究协调政法单位之间</w:t>
      </w:r>
      <w:r>
        <w:rPr>
          <w:rFonts w:hint="eastAsia" w:ascii="仿宋_GB2312" w:hAnsi="仿宋_GB2312" w:eastAsia="仿宋_GB2312" w:cs="仿宋_GB2312"/>
          <w:color w:val="000000"/>
          <w:sz w:val="32"/>
          <w:szCs w:val="32"/>
          <w:lang w:eastAsia="zh-CN"/>
        </w:rPr>
        <w:t>以及</w:t>
      </w:r>
      <w:r>
        <w:rPr>
          <w:rFonts w:hint="eastAsia" w:ascii="仿宋_GB2312" w:hAnsi="仿宋_GB2312" w:eastAsia="仿宋_GB2312" w:cs="仿宋_GB2312"/>
          <w:color w:val="000000"/>
          <w:sz w:val="32"/>
          <w:szCs w:val="32"/>
        </w:rPr>
        <w:t>政法单位和有关部门、地方之间有关重大事项，统一政法单位思想和行动。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（三）组织开展</w:t>
      </w:r>
      <w:r>
        <w:rPr>
          <w:rFonts w:hint="eastAsia" w:ascii="仿宋_GB2312" w:hAnsi="仿宋_GB2312" w:eastAsia="仿宋_GB2312" w:cs="仿宋_GB2312"/>
          <w:color w:val="000000"/>
          <w:sz w:val="32"/>
          <w:szCs w:val="32"/>
        </w:rPr>
        <w:t>政法领域重大实践和理论问题</w:t>
      </w:r>
      <w:r>
        <w:rPr>
          <w:rFonts w:hint="eastAsia" w:ascii="仿宋_GB2312" w:hAnsi="仿宋_GB2312" w:eastAsia="仿宋_GB2312" w:cs="仿宋_GB2312"/>
          <w:color w:val="000000"/>
          <w:sz w:val="32"/>
          <w:szCs w:val="32"/>
          <w:lang w:eastAsia="zh-CN"/>
        </w:rPr>
        <w:t>的</w:t>
      </w:r>
      <w:r>
        <w:rPr>
          <w:rFonts w:hint="eastAsia" w:ascii="仿宋_GB2312" w:hAnsi="仿宋_GB2312" w:eastAsia="仿宋_GB2312" w:cs="仿宋_GB2312"/>
          <w:color w:val="000000"/>
          <w:sz w:val="32"/>
          <w:szCs w:val="32"/>
        </w:rPr>
        <w:t>调查研究，</w:t>
      </w:r>
      <w:r>
        <w:rPr>
          <w:rFonts w:hint="eastAsia" w:ascii="仿宋_GB2312" w:hAnsi="仿宋_GB2312" w:eastAsia="仿宋_GB2312" w:cs="仿宋_GB2312"/>
          <w:color w:val="000000"/>
          <w:sz w:val="32"/>
          <w:szCs w:val="32"/>
          <w:lang w:eastAsia="zh-CN"/>
        </w:rPr>
        <w:t>研究拟订全州政法工作的政策措施，及时向州委</w:t>
      </w:r>
      <w:r>
        <w:rPr>
          <w:rFonts w:hint="eastAsia" w:ascii="仿宋_GB2312" w:hAnsi="仿宋_GB2312" w:eastAsia="仿宋_GB2312" w:cs="仿宋_GB2312"/>
          <w:color w:val="000000"/>
          <w:sz w:val="32"/>
          <w:szCs w:val="32"/>
        </w:rPr>
        <w:t>提出重大决策部署和改革措施的意见和建议，协助</w:t>
      </w:r>
      <w:r>
        <w:rPr>
          <w:rFonts w:hint="eastAsia" w:ascii="仿宋_GB2312" w:hAnsi="仿宋_GB2312" w:eastAsia="仿宋_GB2312" w:cs="仿宋_GB2312"/>
          <w:color w:val="000000"/>
          <w:sz w:val="32"/>
          <w:szCs w:val="32"/>
          <w:lang w:eastAsia="zh-CN"/>
        </w:rPr>
        <w:t>州</w:t>
      </w:r>
      <w:r>
        <w:rPr>
          <w:rFonts w:hint="eastAsia" w:ascii="仿宋_GB2312" w:hAnsi="仿宋_GB2312" w:eastAsia="仿宋_GB2312" w:cs="仿宋_GB2312"/>
          <w:color w:val="000000"/>
          <w:sz w:val="32"/>
          <w:szCs w:val="32"/>
        </w:rPr>
        <w:t>委决策和统筹推进政法</w:t>
      </w:r>
      <w:r>
        <w:rPr>
          <w:rFonts w:hint="eastAsia" w:ascii="仿宋_GB2312" w:hAnsi="仿宋_GB2312" w:eastAsia="仿宋_GB2312" w:cs="仿宋_GB2312"/>
          <w:color w:val="000000"/>
          <w:sz w:val="32"/>
          <w:szCs w:val="32"/>
          <w:lang w:eastAsia="zh-CN"/>
        </w:rPr>
        <w:t>领域</w:t>
      </w:r>
      <w:r>
        <w:rPr>
          <w:rFonts w:hint="eastAsia" w:ascii="仿宋_GB2312" w:hAnsi="仿宋_GB2312" w:eastAsia="仿宋_GB2312" w:cs="仿宋_GB2312"/>
          <w:color w:val="000000"/>
          <w:sz w:val="32"/>
          <w:szCs w:val="32"/>
        </w:rPr>
        <w:t>改革等各项工作。</w:t>
      </w:r>
      <w:r>
        <w:rPr>
          <w:rFonts w:hint="eastAsia" w:ascii="仿宋_GB2312" w:hAnsi="仿宋_GB2312" w:eastAsia="仿宋_GB2312" w:cs="仿宋_GB2312"/>
          <w:color w:val="000000"/>
          <w:sz w:val="32"/>
          <w:szCs w:val="32"/>
          <w:lang w:eastAsia="zh-CN"/>
        </w:rPr>
        <w:t>参与有关民族自治法规、地方性法规和规章的起草、修改工作，及时提出立法建议。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（四）</w:t>
      </w:r>
      <w:r>
        <w:rPr>
          <w:rFonts w:hint="eastAsia" w:ascii="仿宋_GB2312" w:hAnsi="仿宋_GB2312" w:eastAsia="仿宋_GB2312" w:cs="仿宋_GB2312"/>
          <w:color w:val="000000"/>
          <w:sz w:val="32"/>
          <w:szCs w:val="32"/>
        </w:rPr>
        <w:t>了解掌握和分析研判社会稳定形势、政法工作情况动态，创新完善多部门参与的</w:t>
      </w:r>
      <w:r>
        <w:rPr>
          <w:rFonts w:hint="eastAsia" w:ascii="仿宋_GB2312" w:hAnsi="仿宋_GB2312" w:eastAsia="仿宋_GB2312" w:cs="仿宋_GB2312"/>
          <w:color w:val="000000"/>
          <w:sz w:val="32"/>
          <w:szCs w:val="32"/>
          <w:lang w:eastAsia="zh-CN"/>
        </w:rPr>
        <w:t>综治维稳机制</w:t>
      </w:r>
      <w:r>
        <w:rPr>
          <w:rFonts w:hint="eastAsia" w:ascii="仿宋_GB2312" w:hAnsi="仿宋_GB2312" w:eastAsia="仿宋_GB2312" w:cs="仿宋_GB2312"/>
          <w:color w:val="000000"/>
          <w:sz w:val="32"/>
          <w:szCs w:val="32"/>
        </w:rPr>
        <w:t>，协调推动预防、化解影响稳定的社会矛盾和风险，协调应对和妥善处置重大突发事件。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（五）</w:t>
      </w:r>
      <w:r>
        <w:rPr>
          <w:rFonts w:hint="eastAsia" w:ascii="仿宋_GB2312" w:hAnsi="仿宋_GB2312" w:eastAsia="仿宋_GB2312" w:cs="仿宋_GB2312"/>
          <w:color w:val="000000"/>
          <w:sz w:val="32"/>
          <w:szCs w:val="32"/>
        </w:rPr>
        <w:t>加强对政法工作的督查，统筹协调维护社会稳定、社会治安综合治理等有关法律法规和政策的实施工作。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（六）</w:t>
      </w:r>
      <w:r>
        <w:rPr>
          <w:rFonts w:hint="eastAsia" w:ascii="仿宋_GB2312" w:hAnsi="仿宋_GB2312" w:eastAsia="仿宋_GB2312" w:cs="仿宋_GB2312"/>
          <w:color w:val="000000"/>
          <w:sz w:val="32"/>
          <w:szCs w:val="32"/>
        </w:rPr>
        <w:t>支持和监督政法单位依法行使职权，检查政法单位执行党的路线方针政策、党中央</w:t>
      </w:r>
      <w:r>
        <w:rPr>
          <w:rFonts w:hint="eastAsia" w:ascii="仿宋_GB2312" w:hAnsi="仿宋_GB2312" w:eastAsia="仿宋_GB2312" w:cs="仿宋_GB2312"/>
          <w:color w:val="000000"/>
          <w:sz w:val="32"/>
          <w:szCs w:val="32"/>
          <w:lang w:eastAsia="zh-CN"/>
        </w:rPr>
        <w:t>、省委和州委</w:t>
      </w:r>
      <w:r>
        <w:rPr>
          <w:rFonts w:hint="eastAsia" w:ascii="仿宋_GB2312" w:hAnsi="仿宋_GB2312" w:eastAsia="仿宋_GB2312" w:cs="仿宋_GB2312"/>
          <w:color w:val="000000"/>
          <w:sz w:val="32"/>
          <w:szCs w:val="32"/>
        </w:rPr>
        <w:t>重大决策部署</w:t>
      </w:r>
      <w:r>
        <w:rPr>
          <w:rFonts w:hint="eastAsia" w:ascii="仿宋_GB2312" w:hAnsi="仿宋_GB2312" w:eastAsia="仿宋_GB2312" w:cs="仿宋_GB2312"/>
          <w:color w:val="000000"/>
          <w:sz w:val="32"/>
          <w:szCs w:val="32"/>
          <w:lang w:eastAsia="zh-CN"/>
        </w:rPr>
        <w:t>以及</w:t>
      </w:r>
      <w:r>
        <w:rPr>
          <w:rFonts w:hint="eastAsia" w:ascii="仿宋_GB2312" w:hAnsi="仿宋_GB2312" w:eastAsia="仿宋_GB2312" w:cs="仿宋_GB2312"/>
          <w:color w:val="000000"/>
          <w:sz w:val="32"/>
          <w:szCs w:val="32"/>
        </w:rPr>
        <w:t>法律法规的情况，指导和协调政法单位密切配合，完善与纪检监察机关工作衔接和协作配合机制，推进严格执法、公正司法。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（七）</w:t>
      </w:r>
      <w:r>
        <w:rPr>
          <w:rFonts w:hint="eastAsia" w:ascii="仿宋_GB2312" w:hAnsi="仿宋_GB2312" w:eastAsia="仿宋_GB2312" w:cs="仿宋_GB2312"/>
          <w:color w:val="000000"/>
          <w:sz w:val="32"/>
          <w:szCs w:val="32"/>
        </w:rPr>
        <w:t>指导推动</w:t>
      </w:r>
      <w:r>
        <w:rPr>
          <w:rFonts w:hint="eastAsia" w:ascii="仿宋_GB2312" w:hAnsi="仿宋_GB2312" w:eastAsia="仿宋_GB2312" w:cs="仿宋_GB2312"/>
          <w:color w:val="000000"/>
          <w:sz w:val="32"/>
          <w:szCs w:val="32"/>
          <w:lang w:eastAsia="zh-CN"/>
        </w:rPr>
        <w:t>政法系统</w:t>
      </w:r>
      <w:r>
        <w:rPr>
          <w:rFonts w:hint="eastAsia" w:ascii="仿宋_GB2312" w:hAnsi="仿宋_GB2312" w:eastAsia="仿宋_GB2312" w:cs="仿宋_GB2312"/>
          <w:color w:val="000000"/>
          <w:sz w:val="32"/>
          <w:szCs w:val="32"/>
        </w:rPr>
        <w:t>党的建设和政法队伍建设，协助</w:t>
      </w:r>
      <w:r>
        <w:rPr>
          <w:rFonts w:hint="eastAsia" w:ascii="仿宋_GB2312" w:hAnsi="仿宋_GB2312" w:eastAsia="仿宋_GB2312" w:cs="仿宋_GB2312"/>
          <w:color w:val="000000"/>
          <w:sz w:val="32"/>
          <w:szCs w:val="32"/>
          <w:lang w:eastAsia="zh-CN"/>
        </w:rPr>
        <w:t>州</w:t>
      </w:r>
      <w:r>
        <w:rPr>
          <w:rFonts w:hint="eastAsia" w:ascii="仿宋_GB2312" w:hAnsi="仿宋_GB2312" w:eastAsia="仿宋_GB2312" w:cs="仿宋_GB2312"/>
          <w:color w:val="000000"/>
          <w:sz w:val="32"/>
          <w:szCs w:val="32"/>
        </w:rPr>
        <w:t>委及</w:t>
      </w:r>
      <w:r>
        <w:rPr>
          <w:rFonts w:hint="eastAsia" w:ascii="仿宋_GB2312" w:hAnsi="仿宋_GB2312" w:eastAsia="仿宋_GB2312" w:cs="仿宋_GB2312"/>
          <w:color w:val="000000"/>
          <w:sz w:val="32"/>
          <w:szCs w:val="32"/>
          <w:lang w:eastAsia="zh-CN"/>
        </w:rPr>
        <w:t>州委</w:t>
      </w:r>
      <w:r>
        <w:rPr>
          <w:rFonts w:hint="eastAsia" w:ascii="仿宋_GB2312" w:hAnsi="仿宋_GB2312" w:eastAsia="仿宋_GB2312" w:cs="仿宋_GB2312"/>
          <w:color w:val="000000"/>
          <w:sz w:val="32"/>
          <w:szCs w:val="32"/>
        </w:rPr>
        <w:t>组织部加强政法单位领导班子和干部队伍建设，协助</w:t>
      </w:r>
      <w:r>
        <w:rPr>
          <w:rFonts w:hint="eastAsia" w:ascii="仿宋_GB2312" w:hAnsi="仿宋_GB2312" w:eastAsia="仿宋_GB2312" w:cs="仿宋_GB2312"/>
          <w:color w:val="000000"/>
          <w:sz w:val="32"/>
          <w:szCs w:val="32"/>
          <w:lang w:eastAsia="zh-CN"/>
        </w:rPr>
        <w:t>州</w:t>
      </w:r>
      <w:r>
        <w:rPr>
          <w:rFonts w:hint="eastAsia" w:ascii="仿宋_GB2312" w:hAnsi="仿宋_GB2312" w:eastAsia="仿宋_GB2312" w:cs="仿宋_GB2312"/>
          <w:color w:val="000000"/>
          <w:sz w:val="32"/>
          <w:szCs w:val="32"/>
        </w:rPr>
        <w:t>委和</w:t>
      </w:r>
      <w:r>
        <w:rPr>
          <w:rFonts w:hint="eastAsia" w:ascii="仿宋_GB2312" w:hAnsi="仿宋_GB2312" w:eastAsia="仿宋_GB2312" w:cs="仿宋_GB2312"/>
          <w:color w:val="000000"/>
          <w:sz w:val="32"/>
          <w:szCs w:val="32"/>
          <w:lang w:eastAsia="zh-CN"/>
        </w:rPr>
        <w:t>州纪委监委</w:t>
      </w:r>
      <w:r>
        <w:rPr>
          <w:rFonts w:hint="eastAsia" w:ascii="仿宋_GB2312" w:hAnsi="仿宋_GB2312" w:eastAsia="仿宋_GB2312" w:cs="仿宋_GB2312"/>
          <w:color w:val="000000"/>
          <w:sz w:val="32"/>
          <w:szCs w:val="32"/>
        </w:rPr>
        <w:t>做好监督检查、审查调查工作。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（八）</w:t>
      </w:r>
      <w:r>
        <w:rPr>
          <w:rFonts w:hint="eastAsia" w:ascii="仿宋_GB2312" w:hAnsi="仿宋_GB2312" w:eastAsia="仿宋_GB2312" w:cs="仿宋_GB2312"/>
          <w:color w:val="000000"/>
          <w:sz w:val="32"/>
          <w:szCs w:val="32"/>
        </w:rPr>
        <w:t>落实全面依法治国领导机构</w:t>
      </w:r>
      <w:r>
        <w:rPr>
          <w:rFonts w:hint="eastAsia" w:ascii="仿宋_GB2312" w:hAnsi="仿宋_GB2312" w:eastAsia="仿宋_GB2312" w:cs="仿宋_GB2312"/>
          <w:color w:val="000000"/>
          <w:sz w:val="32"/>
          <w:szCs w:val="32"/>
          <w:lang w:eastAsia="zh-CN"/>
        </w:rPr>
        <w:t>、城乡基层治理领导机构</w:t>
      </w:r>
      <w:r>
        <w:rPr>
          <w:rFonts w:hint="eastAsia" w:ascii="仿宋_GB2312" w:hAnsi="仿宋_GB2312" w:eastAsia="仿宋_GB2312" w:cs="仿宋_GB2312"/>
          <w:color w:val="000000"/>
          <w:sz w:val="32"/>
          <w:szCs w:val="32"/>
        </w:rPr>
        <w:t>的</w:t>
      </w:r>
      <w:r>
        <w:rPr>
          <w:rFonts w:hint="eastAsia" w:ascii="仿宋_GB2312" w:hAnsi="仿宋_GB2312" w:eastAsia="仿宋_GB2312" w:cs="仿宋_GB2312"/>
          <w:color w:val="000000"/>
          <w:sz w:val="32"/>
          <w:szCs w:val="32"/>
          <w:lang w:eastAsia="zh-CN"/>
        </w:rPr>
        <w:t>各项</w:t>
      </w:r>
      <w:r>
        <w:rPr>
          <w:rFonts w:hint="eastAsia" w:ascii="仿宋_GB2312" w:hAnsi="仿宋_GB2312" w:eastAsia="仿宋_GB2312" w:cs="仿宋_GB2312"/>
          <w:color w:val="000000"/>
          <w:sz w:val="32"/>
          <w:szCs w:val="32"/>
        </w:rPr>
        <w:t>部署，支持配合其办事机构工作</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指导政法单位加强</w:t>
      </w:r>
      <w:r>
        <w:rPr>
          <w:rFonts w:hint="eastAsia" w:ascii="仿宋_GB2312" w:hAnsi="仿宋_GB2312" w:eastAsia="仿宋_GB2312" w:cs="仿宋_GB2312"/>
          <w:color w:val="000000"/>
          <w:sz w:val="32"/>
          <w:szCs w:val="32"/>
          <w:lang w:eastAsia="zh-CN"/>
        </w:rPr>
        <w:t>社会稳定、平安建设、法治建设等重大问题</w:t>
      </w:r>
      <w:r>
        <w:rPr>
          <w:rFonts w:hint="eastAsia" w:ascii="仿宋_GB2312" w:hAnsi="仿宋_GB2312" w:eastAsia="仿宋_GB2312" w:cs="仿宋_GB2312"/>
          <w:color w:val="000000"/>
          <w:sz w:val="32"/>
          <w:szCs w:val="32"/>
        </w:rPr>
        <w:t>研究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提出建议和工作意见，指导和协调政法单位</w:t>
      </w:r>
      <w:r>
        <w:rPr>
          <w:rFonts w:hint="eastAsia" w:ascii="仿宋_GB2312" w:hAnsi="仿宋_GB2312" w:eastAsia="仿宋_GB2312" w:cs="仿宋_GB2312"/>
          <w:color w:val="000000"/>
          <w:sz w:val="32"/>
          <w:szCs w:val="32"/>
          <w:lang w:eastAsia="zh-CN"/>
        </w:rPr>
        <w:t>开展维护社会稳定、执法司法、创新社会治理等有关</w:t>
      </w:r>
      <w:r>
        <w:rPr>
          <w:rFonts w:hint="eastAsia" w:ascii="仿宋_GB2312" w:hAnsi="仿宋_GB2312" w:eastAsia="仿宋_GB2312" w:cs="仿宋_GB2312"/>
          <w:color w:val="000000"/>
          <w:sz w:val="32"/>
          <w:szCs w:val="32"/>
        </w:rPr>
        <w:t>工作。</w:t>
      </w:r>
      <w:r>
        <w:rPr>
          <w:rFonts w:hint="eastAsia" w:ascii="仿宋_GB2312" w:hAnsi="仿宋_GB2312" w:eastAsia="仿宋_GB2312" w:cs="仿宋_GB2312"/>
          <w:color w:val="000000"/>
          <w:sz w:val="32"/>
          <w:szCs w:val="32"/>
          <w:lang w:eastAsia="zh-CN"/>
        </w:rPr>
        <w:t>指导见义勇为表彰奖励工作。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（九）</w:t>
      </w:r>
      <w:r>
        <w:rPr>
          <w:rFonts w:hint="eastAsia" w:ascii="仿宋_GB2312" w:hAnsi="仿宋_GB2312" w:eastAsia="仿宋_GB2312" w:cs="仿宋_GB2312"/>
          <w:color w:val="000000"/>
          <w:sz w:val="32"/>
          <w:szCs w:val="32"/>
        </w:rPr>
        <w:t>掌握分析政法舆情动态，指导和协调政法单位和有关部门做好依法办理、宣传报道和舆论引导等相关工作</w:t>
      </w:r>
      <w:r>
        <w:rPr>
          <w:rFonts w:hint="eastAsia" w:ascii="仿宋_GB2312" w:hAnsi="仿宋_GB2312" w:eastAsia="仿宋_GB2312" w:cs="仿宋_GB2312"/>
          <w:color w:val="000000"/>
          <w:sz w:val="32"/>
          <w:szCs w:val="32"/>
          <w:lang w:val="en-US" w:eastAsia="zh-CN"/>
        </w:rPr>
        <w:t>,推动政法网络新媒体发展</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统筹指导并推动智能化建设。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（十）</w:t>
      </w:r>
      <w:r>
        <w:rPr>
          <w:rFonts w:hint="eastAsia" w:ascii="仿宋_GB2312" w:hAnsi="仿宋_GB2312" w:eastAsia="仿宋_GB2312" w:cs="仿宋_GB2312"/>
          <w:color w:val="000000"/>
          <w:sz w:val="32"/>
          <w:szCs w:val="32"/>
        </w:rPr>
        <w:t>完成州委</w:t>
      </w:r>
      <w:r>
        <w:rPr>
          <w:rFonts w:hint="eastAsia" w:ascii="仿宋_GB2312" w:hAnsi="仿宋_GB2312" w:eastAsia="仿宋_GB2312" w:cs="仿宋_GB2312"/>
          <w:color w:val="000000"/>
          <w:sz w:val="32"/>
          <w:szCs w:val="32"/>
          <w:lang w:eastAsia="zh-CN"/>
        </w:rPr>
        <w:t>和上级党委政法委员会</w:t>
      </w:r>
      <w:r>
        <w:rPr>
          <w:rFonts w:hint="eastAsia" w:ascii="仿宋_GB2312" w:hAnsi="仿宋_GB2312" w:eastAsia="仿宋_GB2312" w:cs="仿宋_GB2312"/>
          <w:color w:val="000000"/>
          <w:sz w:val="32"/>
          <w:szCs w:val="32"/>
        </w:rPr>
        <w:t>交办的其他任务。</w:t>
      </w:r>
    </w:p>
    <w:bookmarkEnd w:id="16"/>
    <w:bookmarkEnd w:id="17"/>
    <w:p>
      <w:pPr>
        <w:pStyle w:val="5"/>
        <w:keepNext/>
        <w:keepLines/>
        <w:pageBreakBefore w:val="0"/>
        <w:widowControl w:val="0"/>
        <w:kinsoku/>
        <w:wordWrap/>
        <w:overflowPunct/>
        <w:topLinePunct w:val="0"/>
        <w:autoSpaceDE/>
        <w:autoSpaceDN/>
        <w:bidi w:val="0"/>
        <w:adjustRightInd/>
        <w:snapToGrid/>
        <w:spacing w:before="0" w:after="0" w:line="416" w:lineRule="auto"/>
        <w:ind w:firstLine="642" w:firstLineChars="200"/>
        <w:textAlignment w:val="auto"/>
        <w:rPr>
          <w:rFonts w:hint="default" w:ascii="Times New Roman" w:hAnsi="Times New Roman" w:eastAsia="宋体" w:cs="Times New Roman"/>
          <w:b/>
          <w:bCs w:val="0"/>
          <w:color w:val="000000"/>
          <w:sz w:val="32"/>
          <w:szCs w:val="32"/>
          <w:lang w:eastAsia="zh-CN"/>
        </w:rPr>
      </w:pPr>
      <w:bookmarkStart w:id="18" w:name="_Toc15377200"/>
      <w:bookmarkStart w:id="19" w:name="_Toc15396601"/>
      <w:r>
        <w:rPr>
          <w:rFonts w:hint="eastAsia" w:ascii="黑体" w:hAnsi="黑体" w:eastAsia="黑体" w:cs="黑体"/>
          <w:b/>
          <w:bCs w:val="0"/>
          <w:color w:val="000000"/>
          <w:sz w:val="32"/>
          <w:szCs w:val="32"/>
          <w:lang w:eastAsia="zh-CN"/>
        </w:rPr>
        <w:t>二、机构设置</w:t>
      </w:r>
      <w:bookmarkEnd w:id="18"/>
      <w:bookmarkEnd w:id="1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bookmarkStart w:id="20" w:name="_Toc15377204"/>
      <w:bookmarkStart w:id="21" w:name="_Toc15396602"/>
      <w:r>
        <w:rPr>
          <w:rFonts w:hint="default" w:ascii="仿宋_GB2312" w:hAnsi="仿宋_GB2312" w:eastAsia="仿宋_GB2312" w:cs="仿宋_GB2312"/>
          <w:color w:val="000000"/>
          <w:sz w:val="32"/>
          <w:szCs w:val="32"/>
        </w:rPr>
        <w:t>州委政法委属二级预算单位。内设办公室、基层治理</w:t>
      </w:r>
      <w:r>
        <w:rPr>
          <w:rFonts w:hint="eastAsia" w:ascii="仿宋_GB2312" w:hAnsi="仿宋_GB2312" w:eastAsia="仿宋_GB2312" w:cs="仿宋_GB2312"/>
          <w:color w:val="000000"/>
          <w:sz w:val="32"/>
          <w:szCs w:val="32"/>
          <w:lang w:eastAsia="zh-CN"/>
        </w:rPr>
        <w:t>与平安创建</w:t>
      </w:r>
      <w:r>
        <w:rPr>
          <w:rFonts w:hint="default" w:ascii="仿宋_GB2312" w:hAnsi="仿宋_GB2312" w:eastAsia="仿宋_GB2312" w:cs="仿宋_GB2312"/>
          <w:color w:val="000000"/>
          <w:sz w:val="32"/>
          <w:szCs w:val="32"/>
        </w:rPr>
        <w:t>科、法治与执法监督科、宣传科、政治部</w:t>
      </w:r>
      <w:r>
        <w:rPr>
          <w:rFonts w:hint="eastAsia" w:ascii="仿宋_GB2312" w:hAnsi="仿宋_GB2312" w:eastAsia="仿宋_GB2312" w:cs="仿宋_GB2312"/>
          <w:color w:val="000000"/>
          <w:sz w:val="32"/>
          <w:szCs w:val="32"/>
          <w:lang w:eastAsia="zh-CN"/>
        </w:rPr>
        <w:t>等</w:t>
      </w:r>
      <w:r>
        <w:rPr>
          <w:rFonts w:hint="eastAsia" w:ascii="仿宋_GB2312" w:hAnsi="仿宋_GB2312" w:eastAsia="仿宋_GB2312" w:cs="仿宋_GB2312"/>
          <w:color w:val="000000"/>
          <w:sz w:val="32"/>
          <w:szCs w:val="32"/>
          <w:lang w:val="en-US" w:eastAsia="zh-CN"/>
        </w:rPr>
        <w:t>7个科室</w:t>
      </w:r>
      <w:r>
        <w:rPr>
          <w:rFonts w:hint="default" w:ascii="仿宋_GB2312" w:hAnsi="仿宋_GB2312" w:eastAsia="仿宋_GB2312" w:cs="仿宋_GB2312"/>
          <w:color w:val="000000"/>
          <w:sz w:val="32"/>
          <w:szCs w:val="32"/>
        </w:rPr>
        <w:t>。行政编制22名，工勤编制8名；在职人员总数</w:t>
      </w:r>
      <w:r>
        <w:rPr>
          <w:rFonts w:hint="eastAsia" w:ascii="仿宋_GB2312" w:hAnsi="仿宋_GB2312" w:eastAsia="仿宋_GB2312" w:cs="仿宋_GB2312"/>
          <w:color w:val="000000"/>
          <w:sz w:val="32"/>
          <w:szCs w:val="32"/>
          <w:lang w:val="en-US" w:eastAsia="zh-CN"/>
        </w:rPr>
        <w:t>28</w:t>
      </w:r>
      <w:r>
        <w:rPr>
          <w:rFonts w:hint="default" w:ascii="仿宋_GB2312" w:hAnsi="仿宋_GB2312" w:eastAsia="仿宋_GB2312" w:cs="仿宋_GB2312"/>
          <w:color w:val="000000"/>
          <w:sz w:val="32"/>
          <w:szCs w:val="32"/>
        </w:rPr>
        <w:t>人，其中行政人员</w:t>
      </w:r>
      <w:r>
        <w:rPr>
          <w:rFonts w:hint="eastAsia" w:ascii="仿宋_GB2312" w:hAnsi="仿宋_GB2312" w:eastAsia="仿宋_GB2312" w:cs="仿宋_GB2312"/>
          <w:color w:val="000000"/>
          <w:sz w:val="32"/>
          <w:szCs w:val="32"/>
          <w:lang w:val="en-US" w:eastAsia="zh-CN"/>
        </w:rPr>
        <w:t>18</w:t>
      </w:r>
      <w:r>
        <w:rPr>
          <w:rFonts w:hint="default" w:ascii="仿宋_GB2312" w:hAnsi="仿宋_GB2312" w:eastAsia="仿宋_GB2312" w:cs="仿宋_GB2312"/>
          <w:color w:val="000000"/>
          <w:sz w:val="32"/>
          <w:szCs w:val="32"/>
        </w:rPr>
        <w:t>人，机关工勤人员8人</w:t>
      </w:r>
      <w:r>
        <w:rPr>
          <w:rFonts w:hint="eastAsia" w:ascii="仿宋_GB2312" w:hAnsi="仿宋_GB2312" w:eastAsia="仿宋_GB2312" w:cs="仿宋_GB2312"/>
          <w:color w:val="000000"/>
          <w:sz w:val="32"/>
          <w:szCs w:val="32"/>
          <w:lang w:eastAsia="zh-CN"/>
        </w:rPr>
        <w:t>，</w:t>
      </w:r>
      <w:r>
        <w:rPr>
          <w:rFonts w:hint="default" w:ascii="仿宋_GB2312" w:hAnsi="仿宋_GB2312" w:eastAsia="仿宋_GB2312" w:cs="仿宋_GB2312"/>
          <w:color w:val="000000"/>
          <w:sz w:val="32"/>
          <w:szCs w:val="32"/>
        </w:rPr>
        <w:t>编外长聘人员</w:t>
      </w:r>
      <w:r>
        <w:rPr>
          <w:rFonts w:hint="eastAsia" w:ascii="仿宋_GB2312" w:hAnsi="仿宋_GB2312" w:eastAsia="仿宋_GB2312" w:cs="仿宋_GB2312"/>
          <w:color w:val="000000"/>
          <w:sz w:val="32"/>
          <w:szCs w:val="32"/>
          <w:lang w:val="en-US" w:eastAsia="zh-CN"/>
        </w:rPr>
        <w:t>2</w:t>
      </w:r>
      <w:r>
        <w:rPr>
          <w:rFonts w:hint="default" w:ascii="仿宋_GB2312" w:hAnsi="仿宋_GB2312" w:eastAsia="仿宋_GB2312" w:cs="仿宋_GB2312"/>
          <w:color w:val="000000"/>
          <w:sz w:val="32"/>
          <w:szCs w:val="32"/>
        </w:rPr>
        <w:t>人</w:t>
      </w:r>
      <w:r>
        <w:rPr>
          <w:rFonts w:hint="eastAsia" w:ascii="仿宋_GB2312" w:hAnsi="仿宋_GB2312" w:eastAsia="仿宋_GB2312" w:cs="仿宋_GB2312"/>
          <w:color w:val="000000"/>
          <w:sz w:val="32"/>
          <w:szCs w:val="32"/>
          <w:lang w:val="en-US" w:eastAsia="zh-CN"/>
        </w:rPr>
        <w:t>;</w:t>
      </w:r>
      <w:r>
        <w:rPr>
          <w:rFonts w:hint="default" w:ascii="仿宋_GB2312" w:hAnsi="仿宋_GB2312" w:eastAsia="仿宋_GB2312" w:cs="仿宋_GB2312"/>
          <w:color w:val="000000"/>
          <w:sz w:val="32"/>
          <w:szCs w:val="32"/>
        </w:rPr>
        <w:t>退休职工</w:t>
      </w:r>
      <w:r>
        <w:rPr>
          <w:rFonts w:hint="eastAsia" w:ascii="仿宋_GB2312" w:hAnsi="仿宋_GB2312" w:eastAsia="仿宋_GB2312" w:cs="仿宋_GB2312"/>
          <w:color w:val="000000"/>
          <w:sz w:val="32"/>
          <w:szCs w:val="32"/>
          <w:lang w:val="en-US" w:eastAsia="zh-CN"/>
        </w:rPr>
        <w:t>9</w:t>
      </w:r>
      <w:r>
        <w:rPr>
          <w:rFonts w:hint="default" w:ascii="仿宋_GB2312" w:hAnsi="仿宋_GB2312" w:eastAsia="仿宋_GB2312" w:cs="仿宋_GB2312"/>
          <w:color w:val="000000"/>
          <w:sz w:val="32"/>
          <w:szCs w:val="32"/>
        </w:rPr>
        <w:t>人已纳入社保。</w:t>
      </w:r>
    </w:p>
    <w:p>
      <w:pPr>
        <w:pStyle w:val="4"/>
        <w:ind w:right="440"/>
        <w:jc w:val="center"/>
        <w:rPr>
          <w:rStyle w:val="23"/>
          <w:rFonts w:hint="eastAsia" w:ascii="黑体" w:hAnsi="黑体" w:eastAsia="黑体" w:cs="黑体"/>
          <w:b/>
          <w:bCs w:val="0"/>
          <w:color w:val="000000"/>
          <w:sz w:val="44"/>
          <w:szCs w:val="44"/>
        </w:rPr>
      </w:pPr>
      <w:r>
        <w:rPr>
          <w:rFonts w:hint="eastAsia" w:ascii="黑体" w:hAnsi="黑体" w:eastAsia="黑体" w:cs="黑体"/>
          <w:b/>
          <w:bCs w:val="0"/>
          <w:color w:val="000000"/>
          <w:sz w:val="44"/>
          <w:szCs w:val="44"/>
        </w:rPr>
        <w:t xml:space="preserve">第二部分 </w:t>
      </w:r>
      <w:r>
        <w:rPr>
          <w:rStyle w:val="23"/>
          <w:rFonts w:hint="eastAsia" w:ascii="黑体" w:hAnsi="黑体" w:eastAsia="黑体" w:cs="黑体"/>
          <w:b/>
          <w:bCs w:val="0"/>
          <w:color w:val="000000"/>
          <w:sz w:val="44"/>
          <w:szCs w:val="44"/>
        </w:rPr>
        <w:t>202</w:t>
      </w:r>
      <w:r>
        <w:rPr>
          <w:rStyle w:val="23"/>
          <w:rFonts w:hint="eastAsia" w:ascii="黑体" w:hAnsi="黑体" w:eastAsia="黑体" w:cs="黑体"/>
          <w:b/>
          <w:bCs w:val="0"/>
          <w:color w:val="000000"/>
          <w:sz w:val="44"/>
          <w:szCs w:val="44"/>
          <w:lang w:val="en-US"/>
        </w:rPr>
        <w:t>4</w:t>
      </w:r>
      <w:r>
        <w:rPr>
          <w:rStyle w:val="23"/>
          <w:rFonts w:hint="eastAsia" w:ascii="黑体" w:hAnsi="黑体" w:eastAsia="黑体" w:cs="黑体"/>
          <w:b/>
          <w:bCs w:val="0"/>
          <w:color w:val="000000"/>
          <w:sz w:val="44"/>
          <w:szCs w:val="44"/>
        </w:rPr>
        <w:t>年度部门决算情况说明</w:t>
      </w:r>
      <w:bookmarkEnd w:id="20"/>
      <w:bookmarkEnd w:id="21"/>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after="0" w:afterAutospacing="0" w:line="240" w:lineRule="auto"/>
        <w:ind w:left="0" w:right="0" w:firstLine="640" w:firstLineChars="200"/>
        <w:jc w:val="left"/>
        <w:textAlignment w:val="auto"/>
        <w:outlineLvl w:val="9"/>
        <w:rPr>
          <w:rFonts w:hint="eastAsia" w:ascii="黑体" w:hAnsi="黑体" w:eastAsia="黑体" w:cs="黑体"/>
          <w:snapToGrid/>
          <w:color w:val="auto"/>
          <w:spacing w:val="0"/>
          <w:w w:val="100"/>
          <w:position w:val="0"/>
          <w:sz w:val="32"/>
          <w:szCs w:val="32"/>
          <w:u w:val="none" w:color="auto"/>
          <w:vertAlign w:val="baseline"/>
        </w:rPr>
      </w:pPr>
      <w:bookmarkStart w:id="22" w:name="_Toc15377205"/>
      <w:bookmarkStart w:id="23" w:name="_Toc15396603"/>
      <w:r>
        <w:rPr>
          <w:rFonts w:hint="eastAsia" w:ascii="黑体" w:hAnsi="黑体" w:eastAsia="黑体" w:cs="黑体"/>
          <w:snapToGrid/>
          <w:color w:val="auto"/>
          <w:spacing w:val="0"/>
          <w:w w:val="100"/>
          <w:position w:val="0"/>
          <w:sz w:val="32"/>
          <w:szCs w:val="32"/>
          <w:u w:val="none" w:color="auto"/>
          <w:vertAlign w:val="baseline"/>
          <w:lang w:eastAsia="zh-CN"/>
        </w:rPr>
        <w:t>一、</w:t>
      </w:r>
      <w:r>
        <w:rPr>
          <w:rFonts w:hint="eastAsia" w:ascii="黑体" w:hAnsi="黑体" w:eastAsia="黑体" w:cs="黑体"/>
          <w:snapToGrid/>
          <w:color w:val="auto"/>
          <w:spacing w:val="0"/>
          <w:w w:val="100"/>
          <w:position w:val="0"/>
          <w:sz w:val="32"/>
          <w:szCs w:val="32"/>
          <w:u w:val="none" w:color="auto"/>
          <w:vertAlign w:val="baseline"/>
        </w:rPr>
        <w:t>收入支出决算总体情况说明</w:t>
      </w:r>
      <w:bookmarkEnd w:id="22"/>
      <w:bookmarkEnd w:id="23"/>
    </w:p>
    <w:p>
      <w:pPr>
        <w:keepNext w:val="0"/>
        <w:keepLines w:val="0"/>
        <w:pageBreakBefore w:val="0"/>
        <w:widowControl w:val="0"/>
        <w:kinsoku/>
        <w:wordWrap/>
        <w:overflowPunct/>
        <w:topLinePunct w:val="0"/>
        <w:autoSpaceDE/>
        <w:autoSpaceDN/>
        <w:bidi w:val="0"/>
        <w:adjustRightInd/>
        <w:snapToGrid/>
        <w:spacing w:afterAutospacing="0"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2024年度收、支总计2369.05万元。与2023年相比，收、支总计各增加625.42万元，</w:t>
      </w:r>
      <w:r>
        <w:rPr>
          <w:rFonts w:hint="eastAsia" w:ascii="仿宋_GB2312" w:hAnsi="仿宋_GB2312" w:eastAsia="仿宋_GB2312" w:cs="仿宋_GB2312"/>
          <w:color w:val="000000"/>
          <w:sz w:val="32"/>
          <w:szCs w:val="32"/>
          <w:lang w:eastAsia="zh-CN"/>
        </w:rPr>
        <w:t>增长</w:t>
      </w:r>
      <w:r>
        <w:rPr>
          <w:rFonts w:hint="default" w:ascii="仿宋_GB2312" w:hAnsi="仿宋_GB2312" w:eastAsia="仿宋_GB2312" w:cs="仿宋_GB2312"/>
          <w:color w:val="000000"/>
          <w:sz w:val="32"/>
          <w:szCs w:val="32"/>
          <w:lang w:val="en-US" w:eastAsia="zh-CN"/>
        </w:rPr>
        <w:t>35.87</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主要变动原因是年中新增项目“采购阿坝州‘微网实格’信息系统服务”，该项目增加预算较多。</w:t>
      </w:r>
    </w:p>
    <w:p>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（图1：收、支决算总计变动情况图）（柱状图）</w:t>
      </w: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drawing>
          <wp:anchor distT="316865" distB="339725" distL="369570" distR="293370" simplePos="0" relativeHeight="251660288" behindDoc="1" locked="0" layoutInCell="1" allowOverlap="1">
            <wp:simplePos x="0" y="0"/>
            <wp:positionH relativeFrom="column">
              <wp:posOffset>36830</wp:posOffset>
            </wp:positionH>
            <wp:positionV relativeFrom="paragraph">
              <wp:posOffset>106680</wp:posOffset>
            </wp:positionV>
            <wp:extent cx="5299710" cy="1824355"/>
            <wp:effectExtent l="0" t="0" r="0" b="0"/>
            <wp:wrapNone/>
            <wp:docPr id="1" name="对象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keepNext w:val="0"/>
        <w:keepLines w:val="0"/>
        <w:pageBreakBefore w:val="0"/>
        <w:kinsoku/>
        <w:wordWrap/>
        <w:overflowPunct/>
        <w:topLinePunct w:val="0"/>
        <w:autoSpaceDE/>
        <w:autoSpaceDN/>
        <w:bidi w:val="0"/>
        <w:adjustRightInd/>
        <w:snapToGrid/>
        <w:spacing w:afterAutospacing="0" w:line="600" w:lineRule="exact"/>
        <w:ind w:firstLine="480" w:firstLineChars="200"/>
        <w:jc w:val="left"/>
        <w:textAlignment w:val="auto"/>
        <w:rPr>
          <w:rFonts w:hint="default" w:ascii="Times New Roman" w:hAnsi="Times New Roman" w:eastAsia="宋体" w:cs="Times New Roman"/>
          <w:color w:val="000000"/>
          <w:sz w:val="24"/>
          <w:szCs w:val="24"/>
        </w:rPr>
      </w:pP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after="0" w:afterAutospacing="0" w:line="240" w:lineRule="auto"/>
        <w:ind w:left="0" w:right="0" w:firstLine="640" w:firstLineChars="200"/>
        <w:jc w:val="left"/>
        <w:textAlignment w:val="auto"/>
        <w:outlineLvl w:val="9"/>
        <w:rPr>
          <w:rFonts w:hint="eastAsia" w:ascii="黑体" w:hAnsi="黑体" w:eastAsia="黑体" w:cs="黑体"/>
          <w:snapToGrid/>
          <w:color w:val="auto"/>
          <w:spacing w:val="0"/>
          <w:w w:val="100"/>
          <w:position w:val="0"/>
          <w:sz w:val="32"/>
          <w:szCs w:val="32"/>
          <w:u w:val="none" w:color="auto"/>
          <w:vertAlign w:val="baseline"/>
        </w:rPr>
      </w:pPr>
      <w:bookmarkStart w:id="24" w:name="_Toc15396604"/>
      <w:bookmarkStart w:id="25" w:name="_Toc15377206"/>
      <w:r>
        <w:rPr>
          <w:rFonts w:hint="eastAsia" w:ascii="黑体" w:hAnsi="黑体" w:eastAsia="黑体" w:cs="黑体"/>
          <w:snapToGrid/>
          <w:color w:val="auto"/>
          <w:spacing w:val="0"/>
          <w:w w:val="100"/>
          <w:position w:val="0"/>
          <w:sz w:val="32"/>
          <w:szCs w:val="32"/>
          <w:u w:val="none" w:color="auto"/>
          <w:vertAlign w:val="baseline"/>
          <w:lang w:eastAsia="zh-CN"/>
        </w:rPr>
        <w:t>二、</w:t>
      </w:r>
      <w:r>
        <w:rPr>
          <w:rFonts w:hint="eastAsia" w:ascii="黑体" w:hAnsi="黑体" w:eastAsia="黑体" w:cs="黑体"/>
          <w:snapToGrid/>
          <w:color w:val="auto"/>
          <w:spacing w:val="0"/>
          <w:w w:val="100"/>
          <w:position w:val="0"/>
          <w:sz w:val="32"/>
          <w:szCs w:val="32"/>
          <w:u w:val="none" w:color="auto"/>
          <w:vertAlign w:val="baseline"/>
        </w:rPr>
        <w:t>收入决算情况说明</w:t>
      </w:r>
      <w:bookmarkEnd w:id="24"/>
      <w:bookmarkEnd w:id="25"/>
    </w:p>
    <w:p>
      <w:pPr>
        <w:keepNext w:val="0"/>
        <w:keepLines w:val="0"/>
        <w:pageBreakBefore w:val="0"/>
        <w:widowControl w:val="0"/>
        <w:kinsoku/>
        <w:wordWrap/>
        <w:overflowPunct/>
        <w:topLinePunct w:val="0"/>
        <w:autoSpaceDE/>
        <w:autoSpaceDN/>
        <w:bidi w:val="0"/>
        <w:adjustRightInd/>
        <w:snapToGrid/>
        <w:spacing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年收入合计</w:t>
      </w:r>
      <w:r>
        <w:rPr>
          <w:rFonts w:hint="eastAsia" w:ascii="仿宋_GB2312" w:hAnsi="仿宋_GB2312" w:eastAsia="仿宋_GB2312" w:cs="仿宋_GB2312"/>
          <w:color w:val="000000"/>
          <w:sz w:val="32"/>
          <w:szCs w:val="32"/>
          <w:lang w:val="en-US" w:eastAsia="zh-CN"/>
        </w:rPr>
        <w:t>2369.05</w:t>
      </w:r>
      <w:r>
        <w:rPr>
          <w:rFonts w:hint="eastAsia" w:ascii="仿宋_GB2312" w:hAnsi="仿宋_GB2312" w:eastAsia="仿宋_GB2312" w:cs="仿宋_GB2312"/>
          <w:color w:val="000000"/>
          <w:sz w:val="32"/>
          <w:szCs w:val="32"/>
        </w:rPr>
        <w:t>万元，其中：一般公共预算财政拨款收入</w:t>
      </w:r>
      <w:r>
        <w:rPr>
          <w:rFonts w:hint="eastAsia" w:ascii="仿宋_GB2312" w:hAnsi="仿宋_GB2312" w:eastAsia="仿宋_GB2312" w:cs="仿宋_GB2312"/>
          <w:color w:val="000000"/>
          <w:sz w:val="32"/>
          <w:szCs w:val="32"/>
          <w:lang w:val="en-US" w:eastAsia="zh-CN"/>
        </w:rPr>
        <w:t>2369.05</w:t>
      </w:r>
      <w:r>
        <w:rPr>
          <w:rFonts w:hint="eastAsia" w:ascii="仿宋_GB2312" w:hAnsi="仿宋_GB2312" w:eastAsia="仿宋_GB2312" w:cs="仿宋_GB2312"/>
          <w:color w:val="000000"/>
          <w:sz w:val="32"/>
          <w:szCs w:val="32"/>
        </w:rPr>
        <w:t>万元，占 100.00%；政府性基金预算财政拨款收入0.00万元，占 0.00%；上级补助收入0.00万元，占 0.00%；事业收入0.00万元，占 0.00%；经营收入0.00万元，占 0.00%；附属单位上缴收入0.00万元，占 0.00%；其他收入0.00万元，占 0.00%。</w:t>
      </w:r>
    </w:p>
    <w:p>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（图2：收入决算结构图）（饼状图）</w:t>
      </w:r>
    </w:p>
    <w:p>
      <w:pPr>
        <w:keepNext w:val="0"/>
        <w:keepLines w:val="0"/>
        <w:pageBreakBefore w:val="0"/>
        <w:kinsoku/>
        <w:wordWrap/>
        <w:overflowPunct/>
        <w:topLinePunct w:val="0"/>
        <w:autoSpaceDE/>
        <w:autoSpaceDN/>
        <w:bidi w:val="0"/>
        <w:adjustRightInd/>
        <w:snapToGrid/>
        <w:spacing w:afterAutospacing="0" w:line="600" w:lineRule="exact"/>
        <w:ind w:firstLine="480" w:firstLineChars="20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drawing>
          <wp:anchor distT="1402080" distB="1383665" distL="2863215" distR="118745" simplePos="0" relativeHeight="251660288" behindDoc="0" locked="0" layoutInCell="1" allowOverlap="1">
            <wp:simplePos x="0" y="0"/>
            <wp:positionH relativeFrom="column">
              <wp:posOffset>503555</wp:posOffset>
            </wp:positionH>
            <wp:positionV relativeFrom="paragraph">
              <wp:posOffset>283845</wp:posOffset>
            </wp:positionV>
            <wp:extent cx="4660900" cy="1143000"/>
            <wp:effectExtent l="0" t="0" r="0" b="0"/>
            <wp:wrapNone/>
            <wp:docPr id="2" name="对象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tabs>
          <w:tab w:val="left" w:pos="5220"/>
        </w:tabs>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ab/>
      </w:r>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ind w:left="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三、支出决算情况说明</w:t>
      </w:r>
    </w:p>
    <w:p>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年度本年支出合计</w:t>
      </w:r>
      <w:r>
        <w:rPr>
          <w:rFonts w:hint="eastAsia" w:ascii="仿宋_GB2312" w:hAnsi="仿宋_GB2312" w:eastAsia="仿宋_GB2312" w:cs="仿宋_GB2312"/>
          <w:color w:val="000000"/>
          <w:sz w:val="32"/>
          <w:szCs w:val="32"/>
          <w:lang w:val="en-US" w:eastAsia="zh-CN"/>
        </w:rPr>
        <w:t>2369.05</w:t>
      </w:r>
      <w:r>
        <w:rPr>
          <w:rFonts w:hint="eastAsia" w:ascii="仿宋_GB2312" w:hAnsi="仿宋_GB2312" w:eastAsia="仿宋_GB2312" w:cs="仿宋_GB2312"/>
          <w:color w:val="000000"/>
          <w:sz w:val="32"/>
          <w:szCs w:val="32"/>
        </w:rPr>
        <w:t>万元，其中：基本支出</w:t>
      </w:r>
      <w:r>
        <w:rPr>
          <w:rFonts w:hint="eastAsia" w:ascii="仿宋_GB2312" w:hAnsi="仿宋_GB2312" w:eastAsia="仿宋_GB2312" w:cs="仿宋_GB2312"/>
          <w:color w:val="000000"/>
          <w:sz w:val="32"/>
          <w:szCs w:val="32"/>
          <w:lang w:val="en-US" w:eastAsia="zh-CN"/>
        </w:rPr>
        <w:t>1120.65</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47.3</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1248.41</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52.7</w:t>
      </w:r>
      <w:r>
        <w:rPr>
          <w:rFonts w:hint="eastAsia" w:ascii="仿宋_GB2312" w:hAnsi="仿宋_GB2312" w:eastAsia="仿宋_GB2312" w:cs="仿宋_GB2312"/>
          <w:color w:val="000000"/>
          <w:sz w:val="32"/>
          <w:szCs w:val="32"/>
        </w:rPr>
        <w:t>%；上缴上级支出0万元，占0%；经营支出0万元，占0%；对附属单位补助支出0万元，占0%。（图3：支出决算结构图）（饼状图）</w:t>
      </w: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drawing>
          <wp:anchor distT="1438275" distB="1439545" distL="2448560" distR="118745" simplePos="0" relativeHeight="251660288" behindDoc="0" locked="0" layoutInCell="1" allowOverlap="1">
            <wp:simplePos x="0" y="0"/>
            <wp:positionH relativeFrom="column">
              <wp:posOffset>258445</wp:posOffset>
            </wp:positionH>
            <wp:positionV relativeFrom="paragraph">
              <wp:posOffset>234950</wp:posOffset>
            </wp:positionV>
            <wp:extent cx="4761230" cy="2225040"/>
            <wp:effectExtent l="0" t="0" r="0" b="0"/>
            <wp:wrapNone/>
            <wp:docPr id="3" name="对象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pict>
          <v:shape id="_x0000_s1026" o:spid="_x0000_s1026" o:spt="75" type="#_x0000_t75" style="position:absolute;left:0pt;margin-left:237.1pt;margin-top:740.05pt;height:14.4pt;width:107pt;z-index:251660288;mso-width-relative:page;mso-height-relative:page;" o:ole="t" filled="f" o:preferrelative="t" stroked="f" coordsize="21600,21600">
            <v:path/>
            <v:fill on="f" focussize="0,0"/>
            <v:stroke on="f" color="#000000"/>
            <v:imagedata r:id="rId17" o:title="image1"/>
            <o:lock v:ext="edit" aspectratio="t"/>
          </v:shape>
          <o:OLEObject Type="Embed" ProgID="Package" ShapeID="_x0000_s1026" DrawAspect="Content" ObjectID="_1468075725" r:id="rId16">
            <o:LockedField>false</o:LockedField>
          </o:OLEObject>
        </w:pict>
      </w: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pict>
          <v:shape id="_x0000_s1027" o:spid="_x0000_s1027" o:spt="75" type="#_x0000_t75" style="position:absolute;left:0pt;margin-left:237.1pt;margin-top:740.05pt;height:14.4pt;width:107pt;z-index:251660288;mso-width-relative:page;mso-height-relative:page;" o:ole="t" filled="f" o:preferrelative="t" stroked="f" coordsize="21600,21600">
            <v:path/>
            <v:fill on="f" focussize="0,0"/>
            <v:stroke on="f" color="#000000"/>
            <v:imagedata r:id="rId17" o:title="image1"/>
            <o:lock v:ext="edit" aspectratio="t"/>
          </v:shape>
          <o:OLEObject Type="Embed" ProgID="Package" ShapeID="_x0000_s1027" DrawAspect="Content" ObjectID="_1468075726" r:id="rId18">
            <o:LockedField>false</o:LockedField>
          </o:OLEObject>
        </w:pict>
      </w:r>
      <w:r>
        <w:rPr>
          <w:rFonts w:hint="default" w:ascii="Times New Roman" w:hAnsi="Times New Roman" w:eastAsia="宋体" w:cs="Times New Roman"/>
          <w:color w:val="000000"/>
          <w:sz w:val="24"/>
          <w:szCs w:val="24"/>
        </w:rPr>
        <w:pict>
          <v:shape id="_x0000_s1028" o:spid="_x0000_s1028" o:spt="75" type="#_x0000_t75" style="position:absolute;left:0pt;margin-left:237.1pt;margin-top:740.05pt;height:14.4pt;width:107pt;z-index:251660288;mso-width-relative:page;mso-height-relative:page;" o:ole="t" filled="f" o:preferrelative="t" stroked="f" coordsize="21600,21600">
            <v:path/>
            <v:fill on="f" focussize="0,0"/>
            <v:stroke on="f" color="#000000"/>
            <v:imagedata r:id="rId17" o:title="image1"/>
            <o:lock v:ext="edit" aspectratio="t"/>
          </v:shape>
          <o:OLEObject Type="Embed" ProgID="Package" ShapeID="_x0000_s1028" DrawAspect="Content" ObjectID="_1468075727" r:id="rId19">
            <o:LockedField>false</o:LockedField>
          </o:OLEObject>
        </w:pict>
      </w:r>
      <w:r>
        <w:rPr>
          <w:rFonts w:hint="default" w:ascii="Times New Roman" w:hAnsi="Times New Roman" w:eastAsia="宋体" w:cs="Times New Roman"/>
          <w:color w:val="000000"/>
          <w:sz w:val="24"/>
          <w:szCs w:val="24"/>
        </w:rPr>
        <w:pict>
          <v:shape id="_x0000_s1029" o:spid="_x0000_s1029" o:spt="75" type="#_x0000_t75" style="position:absolute;left:0pt;margin-left:237.1pt;margin-top:740.05pt;height:14.4pt;width:107pt;z-index:251660288;mso-width-relative:page;mso-height-relative:page;" o:ole="t" filled="f" o:preferrelative="t" stroked="f" coordsize="21600,21600">
            <v:path/>
            <v:fill on="f" focussize="0,0"/>
            <v:stroke on="f" color="#000000"/>
            <v:imagedata r:id="rId17" o:title="image1"/>
            <o:lock v:ext="edit" aspectratio="t"/>
          </v:shape>
          <o:OLEObject Type="Embed" ProgID="Package" ShapeID="_x0000_s1029" DrawAspect="Content" ObjectID="_1468075728" r:id="rId20">
            <o:LockedField>false</o:LockedField>
          </o:OLEObject>
        </w:pict>
      </w:r>
      <w:r>
        <w:rPr>
          <w:rFonts w:hint="default" w:ascii="Times New Roman" w:hAnsi="Times New Roman" w:eastAsia="宋体" w:cs="Times New Roman"/>
          <w:color w:val="000000"/>
          <w:sz w:val="24"/>
          <w:szCs w:val="24"/>
        </w:rPr>
        <w:pict>
          <v:shape id="_x0000_s1030" o:spid="_x0000_s1030" o:spt="75" type="#_x0000_t75" style="position:absolute;left:0pt;margin-left:237.1pt;margin-top:740.05pt;height:14.4pt;width:107pt;z-index:251660288;mso-width-relative:page;mso-height-relative:page;" o:ole="t" filled="f" o:preferrelative="t" stroked="f" coordsize="21600,21600">
            <v:path/>
            <v:fill on="f" focussize="0,0"/>
            <v:stroke on="f" color="#000000"/>
            <v:imagedata r:id="rId17" o:title="image1"/>
            <o:lock v:ext="edit" aspectratio="t"/>
          </v:shape>
          <o:OLEObject Type="Embed" ProgID="Package" ShapeID="_x0000_s1030" DrawAspect="Content" ObjectID="_1468075729" r:id="rId21">
            <o:LockedField>false</o:LockedField>
          </o:OLEObject>
        </w:pict>
      </w:r>
      <w:r>
        <w:rPr>
          <w:rFonts w:hint="default" w:ascii="Times New Roman" w:hAnsi="Times New Roman" w:eastAsia="宋体" w:cs="Times New Roman"/>
          <w:color w:val="000000"/>
          <w:sz w:val="24"/>
          <w:szCs w:val="24"/>
        </w:rPr>
        <w:pict>
          <v:shape id="_x0000_s1031" o:spid="_x0000_s1031" o:spt="75" type="#_x0000_t75" style="position:absolute;left:0pt;margin-left:237.1pt;margin-top:740.05pt;height:14.4pt;width:107pt;z-index:251660288;mso-width-relative:page;mso-height-relative:page;" o:ole="t" filled="f" o:preferrelative="t" stroked="f" coordsize="21600,21600">
            <v:path/>
            <v:fill on="f" focussize="0,0"/>
            <v:stroke on="f" color="#000000"/>
            <v:imagedata r:id="rId17" o:title="image1"/>
            <o:lock v:ext="edit" aspectratio="t"/>
          </v:shape>
          <o:OLEObject Type="Embed" ProgID="Package" ShapeID="_x0000_s1031" DrawAspect="Content" ObjectID="_1468075730" r:id="rId22">
            <o:LockedField>false</o:LockedField>
          </o:OLEObject>
        </w:pict>
      </w: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pict>
          <v:shape id="_x0000_s1032" o:spid="_x0000_s1032" o:spt="75" type="#_x0000_t75" style="position:absolute;left:0pt;margin-left:237.1pt;margin-top:740.05pt;height:14.4pt;width:107pt;z-index:251660288;mso-width-relative:page;mso-height-relative:page;" o:ole="t" filled="f" o:preferrelative="t" stroked="f" coordsize="21600,21600">
            <v:path/>
            <v:fill on="f" focussize="0,0"/>
            <v:stroke on="f" color="#000000"/>
            <v:imagedata r:id="rId17" o:title="image1"/>
            <o:lock v:ext="edit" aspectratio="t"/>
          </v:shape>
          <o:OLEObject Type="Embed" ProgID="Package" ShapeID="_x0000_s1032" DrawAspect="Content" ObjectID="_1468075731" r:id="rId23">
            <o:LockedField>false</o:LockedField>
          </o:OLEObject>
        </w:pict>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ind w:left="0" w:firstLine="640" w:firstLineChars="200"/>
        <w:jc w:val="left"/>
        <w:textAlignment w:val="auto"/>
        <w:rPr>
          <w:rFonts w:hint="eastAsia" w:ascii="黑体" w:hAnsi="黑体" w:eastAsia="黑体" w:cs="黑体"/>
          <w:sz w:val="32"/>
          <w:szCs w:val="32"/>
        </w:rPr>
      </w:pPr>
      <w:bookmarkStart w:id="26" w:name="_Toc15377208"/>
      <w:bookmarkStart w:id="27" w:name="_Toc15396606"/>
      <w:r>
        <w:rPr>
          <w:rFonts w:hint="eastAsia" w:ascii="黑体" w:hAnsi="黑体" w:eastAsia="黑体" w:cs="黑体"/>
          <w:sz w:val="32"/>
          <w:szCs w:val="32"/>
        </w:rPr>
        <w:t>四、财政拨款收入支出决算总体情况说明</w:t>
      </w:r>
      <w:bookmarkEnd w:id="26"/>
      <w:bookmarkEnd w:id="27"/>
    </w:p>
    <w:p>
      <w:pPr>
        <w:keepNext w:val="0"/>
        <w:keepLines w:val="0"/>
        <w:pageBreakBefore w:val="0"/>
        <w:widowControl w:val="0"/>
        <w:kinsoku/>
        <w:wordWrap/>
        <w:overflowPunct/>
        <w:topLinePunct w:val="0"/>
        <w:autoSpaceDE/>
        <w:autoSpaceDN/>
        <w:bidi w:val="0"/>
        <w:adjustRightInd/>
        <w:snapToGrid/>
        <w:spacing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年财政拨款收、支总计占</w:t>
      </w:r>
      <w:r>
        <w:rPr>
          <w:rFonts w:hint="eastAsia" w:ascii="仿宋_GB2312" w:hAnsi="仿宋_GB2312" w:eastAsia="仿宋_GB2312" w:cs="仿宋_GB2312"/>
          <w:color w:val="000000"/>
          <w:sz w:val="32"/>
          <w:szCs w:val="32"/>
          <w:lang w:val="en-US" w:eastAsia="zh-CN"/>
        </w:rPr>
        <w:t>2369.05</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与2023年相比，收、支总计各增加625.42万元，</w:t>
      </w:r>
      <w:r>
        <w:rPr>
          <w:rFonts w:hint="eastAsia" w:ascii="仿宋_GB2312" w:hAnsi="仿宋_GB2312" w:eastAsia="仿宋_GB2312" w:cs="仿宋_GB2312"/>
          <w:color w:val="000000"/>
          <w:sz w:val="32"/>
          <w:szCs w:val="32"/>
          <w:lang w:eastAsia="zh-CN"/>
        </w:rPr>
        <w:t>增长</w:t>
      </w:r>
      <w:r>
        <w:rPr>
          <w:rFonts w:hint="default" w:ascii="仿宋_GB2312" w:hAnsi="仿宋_GB2312" w:eastAsia="仿宋_GB2312" w:cs="仿宋_GB2312"/>
          <w:color w:val="000000"/>
          <w:sz w:val="32"/>
          <w:szCs w:val="32"/>
          <w:lang w:val="en-US" w:eastAsia="zh-CN"/>
        </w:rPr>
        <w:t>35.87</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主要变动原因是年中新增项目“采购阿坝州‘微网实格’信息系统服务”，该项目增加预算较多。</w:t>
      </w:r>
    </w:p>
    <w:p>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（图4：财政拨款收、支决算总计变动情况）（柱状图）</w:t>
      </w:r>
    </w:p>
    <w:p>
      <w:pPr>
        <w:spacing w:line="600" w:lineRule="exact"/>
        <w:ind w:firstLine="480" w:firstLineChars="200"/>
        <w:rPr>
          <w:rFonts w:hint="default" w:ascii="Times New Roman" w:hAnsi="Times New Roman" w:eastAsia="宋体" w:cs="Times New Roman"/>
          <w:color w:val="000000"/>
          <w:sz w:val="24"/>
          <w:szCs w:val="24"/>
        </w:rPr>
      </w:pPr>
    </w:p>
    <w:p>
      <w:pPr>
        <w:tabs>
          <w:tab w:val="center" w:pos="4393"/>
        </w:tabs>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drawing>
          <wp:anchor distT="316865" distB="327660" distL="369570" distR="285750" simplePos="0" relativeHeight="251660288" behindDoc="1" locked="0" layoutInCell="1" allowOverlap="1">
            <wp:simplePos x="0" y="0"/>
            <wp:positionH relativeFrom="column">
              <wp:posOffset>434340</wp:posOffset>
            </wp:positionH>
            <wp:positionV relativeFrom="paragraph">
              <wp:posOffset>184150</wp:posOffset>
            </wp:positionV>
            <wp:extent cx="4334510" cy="938530"/>
            <wp:effectExtent l="0" t="0" r="0" b="0"/>
            <wp:wrapNone/>
            <wp:docPr id="12" name="对象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r>
        <w:rPr>
          <w:rFonts w:hint="default" w:ascii="Times New Roman" w:hAnsi="Times New Roman" w:eastAsia="宋体" w:cs="Times New Roman"/>
          <w:color w:val="000000"/>
          <w:sz w:val="24"/>
          <w:szCs w:val="24"/>
        </w:rPr>
        <w:tab/>
      </w:r>
    </w:p>
    <w:p>
      <w:pPr>
        <w:spacing w:line="600" w:lineRule="exact"/>
        <w:ind w:firstLine="480" w:firstLineChars="200"/>
        <w:rPr>
          <w:rFonts w:hint="default" w:ascii="Times New Roman" w:hAnsi="Times New Roman" w:eastAsia="宋体" w:cs="Times New Roman"/>
          <w:color w:val="000000"/>
          <w:sz w:val="24"/>
          <w:szCs w:val="24"/>
        </w:rPr>
      </w:pPr>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ind w:left="0" w:firstLine="640" w:firstLineChars="200"/>
        <w:jc w:val="left"/>
        <w:textAlignment w:val="auto"/>
        <w:rPr>
          <w:rFonts w:hint="eastAsia" w:ascii="黑体" w:hAnsi="黑体" w:eastAsia="黑体" w:cs="黑体"/>
          <w:sz w:val="32"/>
          <w:szCs w:val="32"/>
        </w:rPr>
      </w:pPr>
      <w:bookmarkStart w:id="28" w:name="_Toc15377210"/>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ind w:left="0" w:firstLine="640" w:firstLineChars="200"/>
        <w:jc w:val="left"/>
        <w:textAlignment w:val="auto"/>
        <w:rPr>
          <w:rFonts w:hint="eastAsia" w:ascii="黑体" w:hAnsi="黑体" w:eastAsia="黑体" w:cs="黑体"/>
          <w:sz w:val="32"/>
          <w:szCs w:val="32"/>
        </w:rPr>
      </w:pPr>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ind w:left="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五、</w:t>
      </w:r>
      <w:r>
        <w:rPr>
          <w:rStyle w:val="21"/>
          <w:rFonts w:hint="eastAsia" w:ascii="黑体" w:hAnsi="黑体" w:eastAsia="黑体" w:cs="黑体"/>
          <w:sz w:val="32"/>
          <w:szCs w:val="32"/>
        </w:rPr>
        <w:t>一</w:t>
      </w:r>
      <w:r>
        <w:rPr>
          <w:rFonts w:hint="eastAsia" w:ascii="黑体" w:hAnsi="黑体" w:eastAsia="黑体" w:cs="黑体"/>
          <w:sz w:val="32"/>
          <w:szCs w:val="32"/>
        </w:rPr>
        <w:t>般公共预算财政拨款支出决算情况说明</w:t>
      </w:r>
    </w:p>
    <w:bookmarkEnd w:id="28"/>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ind w:left="0" w:firstLine="642" w:firstLineChars="200"/>
        <w:jc w:val="left"/>
        <w:textAlignment w:val="auto"/>
        <w:rPr>
          <w:rFonts w:hint="eastAsia" w:ascii="仿宋_GB2312" w:hAnsi="仿宋_GB2312" w:eastAsia="仿宋_GB2312" w:cs="仿宋_GB2312"/>
          <w:sz w:val="32"/>
          <w:szCs w:val="32"/>
        </w:rPr>
      </w:pPr>
      <w:r>
        <w:rPr>
          <w:rStyle w:val="21"/>
          <w:rFonts w:hint="eastAsia" w:ascii="仿宋_GB2312" w:hAnsi="仿宋_GB2312" w:eastAsia="仿宋_GB2312" w:cs="仿宋_GB2312"/>
          <w:sz w:val="32"/>
          <w:szCs w:val="32"/>
        </w:rPr>
        <w:t>（一）一般公共预算财政拨款支出决算总体情况</w:t>
      </w:r>
    </w:p>
    <w:p>
      <w:pPr>
        <w:keepNext w:val="0"/>
        <w:keepLines w:val="0"/>
        <w:pageBreakBefore w:val="0"/>
        <w:widowControl w:val="0"/>
        <w:kinsoku/>
        <w:wordWrap/>
        <w:overflowPunct/>
        <w:topLinePunct w:val="0"/>
        <w:autoSpaceDE/>
        <w:autoSpaceDN/>
        <w:bidi w:val="0"/>
        <w:adjustRightInd/>
        <w:snapToGrid/>
        <w:spacing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2024</w:t>
      </w:r>
      <w:r>
        <w:rPr>
          <w:rFonts w:hint="eastAsia" w:ascii="仿宋_GB2312" w:hAnsi="仿宋_GB2312" w:eastAsia="仿宋_GB2312" w:cs="仿宋_GB2312"/>
          <w:color w:val="000000"/>
          <w:sz w:val="32"/>
          <w:szCs w:val="32"/>
        </w:rPr>
        <w:t>年一般公共预算财政拨款支出</w:t>
      </w:r>
      <w:r>
        <w:rPr>
          <w:rFonts w:hint="eastAsia" w:ascii="仿宋_GB2312" w:hAnsi="仿宋_GB2312" w:eastAsia="仿宋_GB2312" w:cs="仿宋_GB2312"/>
          <w:color w:val="000000"/>
          <w:sz w:val="32"/>
          <w:szCs w:val="32"/>
          <w:lang w:val="en-US" w:eastAsia="zh-CN"/>
        </w:rPr>
        <w:t>2369.05</w:t>
      </w:r>
      <w:r>
        <w:rPr>
          <w:rFonts w:hint="eastAsia" w:ascii="仿宋_GB2312" w:hAnsi="仿宋_GB2312" w:eastAsia="仿宋_GB2312" w:cs="仿宋_GB2312"/>
          <w:color w:val="000000"/>
          <w:sz w:val="32"/>
          <w:szCs w:val="32"/>
        </w:rPr>
        <w:t>万元，占本年支出合计的 100.00%。</w:t>
      </w:r>
      <w:r>
        <w:rPr>
          <w:rFonts w:hint="eastAsia" w:ascii="仿宋_GB2312" w:hAnsi="仿宋_GB2312" w:eastAsia="仿宋_GB2312" w:cs="仿宋_GB2312"/>
          <w:color w:val="000000"/>
          <w:sz w:val="32"/>
          <w:szCs w:val="32"/>
          <w:lang w:val="en-US" w:eastAsia="zh-CN"/>
        </w:rPr>
        <w:t>与2023年相比，收、支总计各增加625.42万元，</w:t>
      </w:r>
      <w:r>
        <w:rPr>
          <w:rFonts w:hint="eastAsia" w:ascii="仿宋_GB2312" w:hAnsi="仿宋_GB2312" w:eastAsia="仿宋_GB2312" w:cs="仿宋_GB2312"/>
          <w:color w:val="000000"/>
          <w:sz w:val="32"/>
          <w:szCs w:val="32"/>
          <w:lang w:eastAsia="zh-CN"/>
        </w:rPr>
        <w:t>增长</w:t>
      </w:r>
      <w:r>
        <w:rPr>
          <w:rFonts w:hint="default" w:ascii="仿宋_GB2312" w:hAnsi="仿宋_GB2312" w:eastAsia="仿宋_GB2312" w:cs="仿宋_GB2312"/>
          <w:color w:val="000000"/>
          <w:sz w:val="32"/>
          <w:szCs w:val="32"/>
          <w:lang w:val="en-US" w:eastAsia="zh-CN"/>
        </w:rPr>
        <w:t>35.87</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主要变动原因是年中新增项目“采购阿坝州‘微网实格’信息系统服务”，该项目增加预算较多。</w:t>
      </w:r>
    </w:p>
    <w:p>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drawing>
          <wp:anchor distT="255270" distB="150495" distL="375920" distR="302895" simplePos="0" relativeHeight="251660288" behindDoc="1" locked="0" layoutInCell="1" allowOverlap="1">
            <wp:simplePos x="0" y="0"/>
            <wp:positionH relativeFrom="column">
              <wp:posOffset>706755</wp:posOffset>
            </wp:positionH>
            <wp:positionV relativeFrom="paragraph">
              <wp:posOffset>721360</wp:posOffset>
            </wp:positionV>
            <wp:extent cx="4023360" cy="1286510"/>
            <wp:effectExtent l="0" t="0" r="0" b="0"/>
            <wp:wrapNone/>
            <wp:docPr id="13" name="对象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Pr>
          <w:rFonts w:hint="eastAsia" w:ascii="仿宋_GB2312" w:hAnsi="仿宋_GB2312" w:eastAsia="仿宋_GB2312" w:cs="仿宋_GB2312"/>
          <w:color w:val="000000"/>
          <w:sz w:val="32"/>
          <w:szCs w:val="32"/>
        </w:rPr>
        <w:t>（图5：一般公共预算财政拨款支出决算变动情况）（柱状图）</w:t>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pStyle w:val="18"/>
        <w:shd w:val="clear" w:color="auto" w:fill="FFFFFF"/>
        <w:spacing w:before="0" w:beforeAutospacing="0"/>
        <w:ind w:left="0"/>
        <w:jc w:val="left"/>
        <w:rPr>
          <w:rStyle w:val="21"/>
          <w:rFonts w:hint="default" w:ascii="Times New Roman" w:hAnsi="Times New Roman" w:cs="Times New Roman"/>
        </w:rPr>
      </w:pPr>
    </w:p>
    <w:p>
      <w:pPr>
        <w:pStyle w:val="1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left="0" w:firstLine="642" w:firstLineChars="200"/>
        <w:jc w:val="left"/>
        <w:textAlignment w:val="auto"/>
        <w:rPr>
          <w:rFonts w:hint="eastAsia" w:ascii="仿宋_GB2312" w:hAnsi="仿宋_GB2312" w:eastAsia="仿宋_GB2312" w:cs="仿宋_GB2312"/>
          <w:sz w:val="32"/>
          <w:szCs w:val="32"/>
        </w:rPr>
      </w:pPr>
      <w:r>
        <w:rPr>
          <w:rStyle w:val="21"/>
          <w:rFonts w:hint="eastAsia" w:ascii="仿宋_GB2312" w:hAnsi="仿宋_GB2312" w:eastAsia="仿宋_GB2312" w:cs="仿宋_GB2312"/>
          <w:sz w:val="32"/>
          <w:szCs w:val="32"/>
        </w:rPr>
        <w:t>（二）一般公共预算财政拨款支出决算结构情况</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年一般公共预算财政拨款支出</w:t>
      </w:r>
      <w:r>
        <w:rPr>
          <w:rFonts w:hint="eastAsia" w:ascii="仿宋_GB2312" w:hAnsi="仿宋_GB2312" w:eastAsia="仿宋_GB2312" w:cs="仿宋_GB2312"/>
          <w:color w:val="000000"/>
          <w:sz w:val="32"/>
          <w:szCs w:val="32"/>
          <w:lang w:val="en-US" w:eastAsia="zh-CN"/>
        </w:rPr>
        <w:t>2369.05</w:t>
      </w:r>
      <w:r>
        <w:rPr>
          <w:rFonts w:hint="eastAsia" w:ascii="仿宋_GB2312" w:hAnsi="仿宋_GB2312" w:eastAsia="仿宋_GB2312" w:cs="仿宋_GB2312"/>
          <w:color w:val="000000"/>
          <w:sz w:val="32"/>
          <w:szCs w:val="32"/>
        </w:rPr>
        <w:t>万元，主要用于以下方面:公共安全支出为</w:t>
      </w:r>
      <w:r>
        <w:rPr>
          <w:rFonts w:hint="eastAsia" w:ascii="仿宋_GB2312" w:hAnsi="仿宋_GB2312" w:eastAsia="仿宋_GB2312" w:cs="仿宋_GB2312"/>
          <w:color w:val="000000"/>
          <w:sz w:val="32"/>
          <w:szCs w:val="32"/>
          <w:lang w:val="en-US" w:eastAsia="zh-CN"/>
        </w:rPr>
        <w:t>2146.96</w:t>
      </w:r>
      <w:r>
        <w:rPr>
          <w:rFonts w:hint="eastAsia" w:ascii="仿宋_GB2312" w:hAnsi="仿宋_GB2312" w:eastAsia="仿宋_GB2312" w:cs="仿宋_GB2312"/>
          <w:color w:val="000000"/>
          <w:sz w:val="32"/>
          <w:szCs w:val="32"/>
        </w:rPr>
        <w:t>万元，占比</w:t>
      </w:r>
      <w:r>
        <w:rPr>
          <w:rFonts w:hint="eastAsia" w:ascii="仿宋_GB2312" w:hAnsi="仿宋_GB2312" w:eastAsia="仿宋_GB2312" w:cs="仿宋_GB2312"/>
          <w:color w:val="000000"/>
          <w:sz w:val="32"/>
          <w:szCs w:val="32"/>
          <w:lang w:val="en-US" w:eastAsia="zh-CN"/>
        </w:rPr>
        <w:t>90.63</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highlight w:val="none"/>
        </w:rPr>
        <w:t>教育支出为</w:t>
      </w:r>
      <w:r>
        <w:rPr>
          <w:rFonts w:hint="eastAsia" w:ascii="仿宋_GB2312" w:hAnsi="仿宋_GB2312" w:eastAsia="仿宋_GB2312" w:cs="仿宋_GB2312"/>
          <w:color w:val="000000"/>
          <w:sz w:val="32"/>
          <w:szCs w:val="32"/>
          <w:highlight w:val="none"/>
          <w:lang w:val="en-US" w:eastAsia="zh-CN"/>
        </w:rPr>
        <w:t>0.4</w:t>
      </w:r>
      <w:r>
        <w:rPr>
          <w:rFonts w:hint="eastAsia" w:ascii="仿宋_GB2312" w:hAnsi="仿宋_GB2312" w:eastAsia="仿宋_GB2312" w:cs="仿宋_GB2312"/>
          <w:color w:val="000000"/>
          <w:sz w:val="32"/>
          <w:szCs w:val="32"/>
          <w:highlight w:val="none"/>
        </w:rPr>
        <w:t>万元，占比0</w:t>
      </w:r>
      <w:r>
        <w:rPr>
          <w:rFonts w:hint="eastAsia" w:ascii="仿宋_GB2312" w:hAnsi="仿宋_GB2312" w:eastAsia="仿宋_GB2312" w:cs="仿宋_GB2312"/>
          <w:color w:val="000000"/>
          <w:sz w:val="32"/>
          <w:szCs w:val="32"/>
          <w:highlight w:val="none"/>
          <w:lang w:val="en-US" w:eastAsia="zh-CN"/>
        </w:rPr>
        <w:t>.02</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rPr>
        <w:t>社会保障和就业支出为</w:t>
      </w:r>
      <w:r>
        <w:rPr>
          <w:rFonts w:hint="eastAsia" w:ascii="仿宋_GB2312" w:hAnsi="仿宋_GB2312" w:eastAsia="仿宋_GB2312" w:cs="仿宋_GB2312"/>
          <w:color w:val="000000"/>
          <w:sz w:val="32"/>
          <w:szCs w:val="32"/>
          <w:lang w:val="en-US" w:eastAsia="zh-CN"/>
        </w:rPr>
        <w:t>113.98</w:t>
      </w:r>
      <w:r>
        <w:rPr>
          <w:rFonts w:hint="eastAsia" w:ascii="仿宋_GB2312" w:hAnsi="仿宋_GB2312" w:eastAsia="仿宋_GB2312" w:cs="仿宋_GB2312"/>
          <w:color w:val="000000"/>
          <w:sz w:val="32"/>
          <w:szCs w:val="32"/>
        </w:rPr>
        <w:t>万元，占比</w:t>
      </w:r>
      <w:r>
        <w:rPr>
          <w:rFonts w:hint="eastAsia" w:ascii="仿宋_GB2312" w:hAnsi="仿宋_GB2312" w:eastAsia="仿宋_GB2312" w:cs="仿宋_GB2312"/>
          <w:color w:val="000000"/>
          <w:sz w:val="32"/>
          <w:szCs w:val="32"/>
          <w:lang w:val="en-US" w:eastAsia="zh-CN"/>
        </w:rPr>
        <w:t>4.81</w:t>
      </w:r>
      <w:r>
        <w:rPr>
          <w:rFonts w:hint="eastAsia" w:ascii="仿宋_GB2312" w:hAnsi="仿宋_GB2312" w:eastAsia="仿宋_GB2312" w:cs="仿宋_GB2312"/>
          <w:color w:val="000000"/>
          <w:sz w:val="32"/>
          <w:szCs w:val="32"/>
        </w:rPr>
        <w:t>%；卫生健康支出为</w:t>
      </w:r>
      <w:r>
        <w:rPr>
          <w:rFonts w:hint="eastAsia" w:ascii="仿宋_GB2312" w:hAnsi="仿宋_GB2312" w:eastAsia="仿宋_GB2312" w:cs="仿宋_GB2312"/>
          <w:color w:val="000000"/>
          <w:sz w:val="32"/>
          <w:szCs w:val="32"/>
          <w:lang w:val="en-US" w:eastAsia="zh-CN"/>
        </w:rPr>
        <w:t>45.42</w:t>
      </w:r>
      <w:r>
        <w:rPr>
          <w:rFonts w:hint="eastAsia" w:ascii="仿宋_GB2312" w:hAnsi="仿宋_GB2312" w:eastAsia="仿宋_GB2312" w:cs="仿宋_GB2312"/>
          <w:color w:val="000000"/>
          <w:sz w:val="32"/>
          <w:szCs w:val="32"/>
        </w:rPr>
        <w:t>万元，占比</w:t>
      </w:r>
      <w:r>
        <w:rPr>
          <w:rFonts w:hint="eastAsia" w:ascii="仿宋_GB2312" w:hAnsi="仿宋_GB2312" w:eastAsia="仿宋_GB2312" w:cs="仿宋_GB2312"/>
          <w:color w:val="000000"/>
          <w:sz w:val="32"/>
          <w:szCs w:val="32"/>
          <w:lang w:val="en-US" w:eastAsia="zh-CN"/>
        </w:rPr>
        <w:t>1.92</w:t>
      </w:r>
      <w:r>
        <w:rPr>
          <w:rFonts w:hint="eastAsia" w:ascii="仿宋_GB2312" w:hAnsi="仿宋_GB2312" w:eastAsia="仿宋_GB2312" w:cs="仿宋_GB2312"/>
          <w:color w:val="000000"/>
          <w:sz w:val="32"/>
          <w:szCs w:val="32"/>
        </w:rPr>
        <w:t>%；住房保障支出为</w:t>
      </w:r>
      <w:r>
        <w:rPr>
          <w:rFonts w:hint="eastAsia" w:ascii="仿宋_GB2312" w:hAnsi="仿宋_GB2312" w:eastAsia="仿宋_GB2312" w:cs="仿宋_GB2312"/>
          <w:color w:val="000000"/>
          <w:sz w:val="32"/>
          <w:szCs w:val="32"/>
          <w:lang w:val="en-US" w:eastAsia="zh-CN"/>
        </w:rPr>
        <w:t>61.79</w:t>
      </w:r>
      <w:r>
        <w:rPr>
          <w:rFonts w:hint="eastAsia" w:ascii="仿宋_GB2312" w:hAnsi="仿宋_GB2312" w:eastAsia="仿宋_GB2312" w:cs="仿宋_GB2312"/>
          <w:color w:val="000000"/>
          <w:sz w:val="32"/>
          <w:szCs w:val="32"/>
        </w:rPr>
        <w:t>万元，占比</w:t>
      </w:r>
      <w:r>
        <w:rPr>
          <w:rFonts w:hint="eastAsia" w:ascii="仿宋_GB2312" w:hAnsi="仿宋_GB2312" w:eastAsia="仿宋_GB2312" w:cs="仿宋_GB2312"/>
          <w:color w:val="000000"/>
          <w:sz w:val="32"/>
          <w:szCs w:val="32"/>
          <w:lang w:val="en-US" w:eastAsia="zh-CN"/>
        </w:rPr>
        <w:t>2.6</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文化旅游体育与传媒支出为0.5,</w:t>
      </w:r>
      <w:r>
        <w:rPr>
          <w:rFonts w:hint="eastAsia" w:ascii="仿宋_GB2312" w:hAnsi="仿宋_GB2312" w:eastAsia="仿宋_GB2312" w:cs="仿宋_GB2312"/>
          <w:color w:val="000000"/>
          <w:sz w:val="32"/>
          <w:szCs w:val="32"/>
        </w:rPr>
        <w:t>占比</w:t>
      </w:r>
      <w:r>
        <w:rPr>
          <w:rFonts w:hint="eastAsia" w:ascii="仿宋_GB2312" w:hAnsi="仿宋_GB2312" w:eastAsia="仿宋_GB2312" w:cs="仿宋_GB2312"/>
          <w:color w:val="000000"/>
          <w:sz w:val="32"/>
          <w:szCs w:val="32"/>
          <w:lang w:val="en-US" w:eastAsia="zh-CN"/>
        </w:rPr>
        <w:t>0.02</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p>
    <w:p>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（图6：一般公共预算财政拨款支出决算结构）（饼状图）</w:t>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drawing>
          <wp:anchor distT="725170" distB="803275" distL="1546860" distR="419735" simplePos="0" relativeHeight="251660288" behindDoc="0" locked="0" layoutInCell="1" allowOverlap="1">
            <wp:simplePos x="0" y="0"/>
            <wp:positionH relativeFrom="column">
              <wp:posOffset>217805</wp:posOffset>
            </wp:positionH>
            <wp:positionV relativeFrom="paragraph">
              <wp:posOffset>231140</wp:posOffset>
            </wp:positionV>
            <wp:extent cx="5695950" cy="3079750"/>
            <wp:effectExtent l="0" t="0" r="0" b="0"/>
            <wp:wrapNone/>
            <wp:docPr id="14" name="对象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pStyle w:val="18"/>
        <w:shd w:val="clear" w:color="auto" w:fill="FFFFFF"/>
        <w:spacing w:before="0" w:beforeAutospacing="0"/>
        <w:ind w:left="0"/>
        <w:jc w:val="left"/>
        <w:rPr>
          <w:rStyle w:val="21"/>
          <w:rFonts w:hint="default" w:ascii="Times New Roman" w:hAnsi="Times New Roman" w:cs="Times New Roman"/>
        </w:rPr>
      </w:pPr>
    </w:p>
    <w:p>
      <w:pPr>
        <w:pStyle w:val="18"/>
        <w:shd w:val="clear" w:color="auto" w:fill="FFFFFF"/>
        <w:spacing w:before="0" w:beforeAutospacing="0"/>
        <w:ind w:left="0"/>
        <w:jc w:val="left"/>
        <w:rPr>
          <w:rStyle w:val="21"/>
          <w:rFonts w:hint="default" w:ascii="Times New Roman" w:hAnsi="Times New Roman" w:cs="Times New Roman"/>
        </w:rPr>
      </w:pPr>
    </w:p>
    <w:p>
      <w:pPr>
        <w:pStyle w:val="1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left="0" w:firstLine="642" w:firstLineChars="200"/>
        <w:jc w:val="left"/>
        <w:textAlignment w:val="auto"/>
        <w:rPr>
          <w:rStyle w:val="21"/>
          <w:rFonts w:hint="eastAsia" w:ascii="仿宋_GB2312" w:hAnsi="仿宋_GB2312" w:eastAsia="仿宋_GB2312" w:cs="仿宋_GB2312"/>
          <w:sz w:val="32"/>
          <w:szCs w:val="32"/>
        </w:rPr>
      </w:pPr>
    </w:p>
    <w:p>
      <w:pPr>
        <w:pStyle w:val="1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left="0" w:firstLine="642" w:firstLineChars="200"/>
        <w:jc w:val="left"/>
        <w:textAlignment w:val="auto"/>
        <w:rPr>
          <w:rStyle w:val="21"/>
          <w:rFonts w:hint="eastAsia" w:ascii="仿宋_GB2312" w:hAnsi="仿宋_GB2312" w:eastAsia="仿宋_GB2312" w:cs="仿宋_GB2312"/>
          <w:sz w:val="32"/>
          <w:szCs w:val="32"/>
        </w:rPr>
      </w:pPr>
    </w:p>
    <w:p>
      <w:pPr>
        <w:pStyle w:val="1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left="0" w:firstLine="642" w:firstLineChars="200"/>
        <w:jc w:val="left"/>
        <w:textAlignment w:val="auto"/>
        <w:rPr>
          <w:rFonts w:hint="eastAsia" w:ascii="仿宋_GB2312" w:hAnsi="仿宋_GB2312" w:eastAsia="仿宋_GB2312" w:cs="仿宋_GB2312"/>
          <w:sz w:val="32"/>
          <w:szCs w:val="32"/>
        </w:rPr>
      </w:pPr>
      <w:r>
        <w:rPr>
          <w:rStyle w:val="21"/>
          <w:rFonts w:hint="eastAsia" w:ascii="仿宋_GB2312" w:hAnsi="仿宋_GB2312" w:eastAsia="仿宋_GB2312" w:cs="仿宋_GB2312"/>
          <w:sz w:val="32"/>
          <w:szCs w:val="32"/>
        </w:rPr>
        <w:t>（三）一般公共预算财政拨款支出决算具体情况</w:t>
      </w:r>
    </w:p>
    <w:p>
      <w:pPr>
        <w:keepNext w:val="0"/>
        <w:keepLines w:val="0"/>
        <w:pageBreakBefore w:val="0"/>
        <w:widowControl w:val="0"/>
        <w:kinsoku/>
        <w:wordWrap/>
        <w:overflowPunct/>
        <w:topLinePunct w:val="0"/>
        <w:autoSpaceDE/>
        <w:autoSpaceDN/>
        <w:bidi w:val="0"/>
        <w:adjustRightInd/>
        <w:snapToGrid/>
        <w:spacing w:afterAutospacing="0"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年一般公共预算支出决算数为</w:t>
      </w:r>
      <w:r>
        <w:rPr>
          <w:rFonts w:hint="eastAsia" w:ascii="仿宋_GB2312" w:hAnsi="仿宋_GB2312" w:eastAsia="仿宋_GB2312" w:cs="仿宋_GB2312"/>
          <w:color w:val="000000"/>
          <w:sz w:val="32"/>
          <w:szCs w:val="32"/>
          <w:lang w:val="en-US" w:eastAsia="zh-CN"/>
        </w:rPr>
        <w:t>2369.05</w:t>
      </w:r>
      <w:r>
        <w:rPr>
          <w:rFonts w:hint="eastAsia" w:ascii="仿宋_GB2312" w:hAnsi="仿宋_GB2312" w:eastAsia="仿宋_GB2312" w:cs="仿宋_GB2312"/>
          <w:color w:val="000000"/>
          <w:sz w:val="32"/>
          <w:szCs w:val="32"/>
        </w:rPr>
        <w:t>万元，完成预算</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%。其中：</w:t>
      </w:r>
    </w:p>
    <w:p>
      <w:pPr>
        <w:keepNext w:val="0"/>
        <w:keepLines w:val="0"/>
        <w:pageBreakBefore w:val="0"/>
        <w:widowControl w:val="0"/>
        <w:tabs>
          <w:tab w:val="right" w:pos="8306"/>
        </w:tabs>
        <w:kinsoku/>
        <w:wordWrap/>
        <w:overflowPunct/>
        <w:topLinePunct w:val="0"/>
        <w:autoSpaceDE/>
        <w:autoSpaceDN/>
        <w:bidi w:val="0"/>
        <w:adjustRightInd/>
        <w:snapToGrid/>
        <w:spacing w:afterAutospacing="0" w:line="600" w:lineRule="exact"/>
        <w:ind w:firstLine="640" w:firstLineChars="200"/>
        <w:textAlignment w:val="auto"/>
        <w:outlineLvl w:val="1"/>
        <w:rPr>
          <w:rFonts w:hint="eastAsia" w:ascii="仿宋_GB2312" w:hAnsi="仿宋_GB2312" w:eastAsia="仿宋_GB2312" w:cs="仿宋_GB2312"/>
          <w:color w:val="000000"/>
          <w:sz w:val="32"/>
          <w:szCs w:val="32"/>
          <w:lang w:val="en-US" w:eastAsia="zh-CN"/>
        </w:rPr>
      </w:pPr>
      <w:bookmarkStart w:id="29" w:name="_Toc15377214"/>
      <w:bookmarkStart w:id="30" w:name="_Toc15396608"/>
      <w:r>
        <w:rPr>
          <w:rFonts w:hint="eastAsia" w:ascii="仿宋_GB2312" w:hAnsi="仿宋_GB2312" w:eastAsia="仿宋_GB2312" w:cs="仿宋_GB2312"/>
          <w:color w:val="000000"/>
          <w:sz w:val="32"/>
          <w:szCs w:val="32"/>
          <w:lang w:val="en-US" w:eastAsia="zh-CN"/>
        </w:rPr>
        <w:t>（1）一般公共服务2040201：2024年决算数为899.45万元，完成预算100%，决算数等于预算数。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afterAutospacing="0" w:line="600" w:lineRule="exact"/>
        <w:ind w:firstLine="640" w:firstLineChars="200"/>
        <w:textAlignment w:val="auto"/>
        <w:outlineLvl w:val="1"/>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（2）一般公共服务2040202：2024年决算数为541.45万元，完成预算100%，决算数等于预算数。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afterAutospacing="0" w:line="600" w:lineRule="exact"/>
        <w:ind w:firstLine="640" w:firstLineChars="200"/>
        <w:textAlignment w:val="auto"/>
        <w:outlineLvl w:val="1"/>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（3）公共安全支出2040299：2024年决算数为629.69万元，决算数等于预算数。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afterAutospacing="0" w:line="600" w:lineRule="exact"/>
        <w:ind w:firstLine="640" w:firstLineChars="200"/>
        <w:textAlignment w:val="auto"/>
        <w:outlineLvl w:val="1"/>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（4）其他公共安全支出2049999：2024年决算数为76.36万元，完成预算100%，决算数等于预算数。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afterAutospacing="0" w:line="600" w:lineRule="exact"/>
        <w:ind w:firstLine="640" w:firstLineChars="200"/>
        <w:textAlignment w:val="auto"/>
        <w:outlineLvl w:val="1"/>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（5）其他教育支出2059999：2024年决算数为0.4万元，完成预算100%，决算数等于预算数。</w:t>
      </w:r>
    </w:p>
    <w:p>
      <w:pPr>
        <w:keepNext w:val="0"/>
        <w:keepLines w:val="0"/>
        <w:widowControl/>
        <w:suppressLineNumbers w:val="0"/>
        <w:ind w:firstLine="640" w:firstLineChars="200"/>
        <w:jc w:val="left"/>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（6）其他文化旅游体育与传媒支出2079999；2024年决算数为0.4万元，完成预算100%，决算数等于预算数。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afterAutospacing="0" w:line="600" w:lineRule="exact"/>
        <w:ind w:firstLine="640" w:firstLineChars="200"/>
        <w:textAlignment w:val="auto"/>
        <w:outlineLvl w:val="1"/>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（7）社会保障和就业2080505：2024年决算数为75.91万元，完成预算100%，决算数等于预算数。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afterAutospacing="0" w:line="600" w:lineRule="exact"/>
        <w:ind w:firstLine="640" w:firstLineChars="200"/>
        <w:textAlignment w:val="auto"/>
        <w:outlineLvl w:val="1"/>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（8）社会保障和就业2080506：2024年决算数为38.07万元，完成预算100%，决算数等于预算数。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afterAutospacing="0" w:line="600" w:lineRule="exact"/>
        <w:ind w:firstLine="640" w:firstLineChars="200"/>
        <w:textAlignment w:val="auto"/>
        <w:outlineLvl w:val="1"/>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（9）卫生健康支出2101101：2024年决算数为37.2万元，完成预算100%，决算数等于预算数。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afterAutospacing="0" w:line="600" w:lineRule="exact"/>
        <w:ind w:firstLine="640" w:firstLineChars="200"/>
        <w:textAlignment w:val="auto"/>
        <w:outlineLvl w:val="1"/>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（10）卫生健康支出</w:t>
      </w:r>
      <w:bookmarkStart w:id="51" w:name="_GoBack"/>
      <w:bookmarkEnd w:id="51"/>
      <w:r>
        <w:rPr>
          <w:rFonts w:hint="eastAsia" w:ascii="仿宋_GB2312" w:hAnsi="仿宋_GB2312" w:eastAsia="仿宋_GB2312" w:cs="仿宋_GB2312"/>
          <w:color w:val="000000"/>
          <w:sz w:val="32"/>
          <w:szCs w:val="32"/>
          <w:lang w:val="en-US" w:eastAsia="zh-CN"/>
        </w:rPr>
        <w:t>2101103：2024年决算数为8.2万元，完成预算100%，决算数等于预算数。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afterAutospacing="0" w:line="600" w:lineRule="exact"/>
        <w:ind w:firstLine="640" w:firstLineChars="200"/>
        <w:textAlignment w:val="auto"/>
        <w:outlineLvl w:val="1"/>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（11）住房保障2210201：2024年决算数为61.79万元，完成预算100%，决算数等于预算数。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afterAutospacing="0" w:line="600" w:lineRule="exact"/>
        <w:ind w:firstLine="640" w:firstLineChars="200"/>
        <w:textAlignment w:val="auto"/>
        <w:outlineLvl w:val="1"/>
        <w:rPr>
          <w:rStyle w:val="24"/>
          <w:rFonts w:hint="default" w:ascii="Times New Roman" w:hAnsi="Times New Roman" w:eastAsia="宋体" w:cs="Times New Roman"/>
          <w:color w:val="000000"/>
          <w:sz w:val="24"/>
          <w:szCs w:val="24"/>
        </w:rPr>
      </w:pPr>
      <w:r>
        <w:rPr>
          <w:rFonts w:hint="eastAsia" w:ascii="黑体" w:hAnsi="黑体" w:eastAsia="黑体" w:cs="黑体"/>
          <w:color w:val="000000"/>
          <w:sz w:val="32"/>
          <w:szCs w:val="32"/>
        </w:rPr>
        <w:t>六</w:t>
      </w:r>
      <w:r>
        <w:rPr>
          <w:rFonts w:hint="eastAsia" w:ascii="黑体" w:hAnsi="黑体" w:eastAsia="黑体" w:cs="黑体"/>
          <w:b/>
          <w:color w:val="000000"/>
          <w:sz w:val="32"/>
          <w:szCs w:val="32"/>
        </w:rPr>
        <w:t>、一</w:t>
      </w:r>
      <w:r>
        <w:rPr>
          <w:rStyle w:val="24"/>
          <w:rFonts w:hint="eastAsia" w:ascii="黑体" w:hAnsi="黑体" w:eastAsia="黑体" w:cs="黑体"/>
          <w:b w:val="0"/>
          <w:color w:val="000000"/>
          <w:sz w:val="32"/>
          <w:szCs w:val="32"/>
        </w:rPr>
        <w:t>般公共预算财政拨款基本支出决算情况说明</w:t>
      </w:r>
      <w:bookmarkEnd w:id="29"/>
      <w:bookmarkEnd w:id="30"/>
      <w:r>
        <w:rPr>
          <w:rStyle w:val="24"/>
          <w:rFonts w:hint="default" w:ascii="Times New Roman" w:hAnsi="Times New Roman" w:eastAsia="宋体" w:cs="Times New Roman"/>
          <w:b w:val="0"/>
          <w:color w:val="000000"/>
          <w:sz w:val="24"/>
          <w:szCs w:val="24"/>
        </w:rPr>
        <w:tab/>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1" w:name="_Toc15377215"/>
      <w:bookmarkStart w:id="32" w:name="_Toc15396609"/>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1120.65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910.08</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210.56</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Style w:val="24"/>
          <w:rFonts w:hint="eastAsia" w:ascii="黑体" w:hAnsi="黑体" w:eastAsia="黑体" w:cs="黑体"/>
          <w:b w:val="0"/>
          <w:color w:val="000000"/>
          <w:sz w:val="32"/>
          <w:szCs w:val="32"/>
        </w:rPr>
      </w:pPr>
      <w:r>
        <w:rPr>
          <w:rFonts w:hint="eastAsia" w:ascii="黑体" w:hAnsi="黑体" w:eastAsia="黑体" w:cs="黑体"/>
          <w:color w:val="000000"/>
          <w:sz w:val="32"/>
          <w:szCs w:val="32"/>
        </w:rPr>
        <w:t>七、</w:t>
      </w:r>
      <w:r>
        <w:rPr>
          <w:rStyle w:val="24"/>
          <w:rFonts w:hint="eastAsia" w:ascii="黑体" w:hAnsi="黑体" w:eastAsia="黑体" w:cs="黑体"/>
          <w:b w:val="0"/>
          <w:color w:val="000000"/>
          <w:sz w:val="32"/>
          <w:szCs w:val="32"/>
        </w:rPr>
        <w:t>财政拨款</w:t>
      </w:r>
      <w:r>
        <w:rPr>
          <w:rStyle w:val="24"/>
          <w:rFonts w:hint="eastAsia" w:ascii="黑体" w:hAnsi="黑体" w:eastAsia="黑体" w:cs="黑体"/>
          <w:color w:val="000000"/>
          <w:sz w:val="32"/>
          <w:szCs w:val="32"/>
        </w:rPr>
        <w:t>“</w:t>
      </w:r>
      <w:r>
        <w:rPr>
          <w:rStyle w:val="24"/>
          <w:rFonts w:hint="eastAsia" w:ascii="黑体" w:hAnsi="黑体" w:eastAsia="黑体" w:cs="黑体"/>
          <w:b w:val="0"/>
          <w:color w:val="000000"/>
          <w:sz w:val="32"/>
          <w:szCs w:val="32"/>
        </w:rPr>
        <w:t>三公”经费支出决算情况说明</w:t>
      </w:r>
      <w:bookmarkEnd w:id="31"/>
      <w:bookmarkEnd w:id="32"/>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2"/>
        <w:rPr>
          <w:rFonts w:hint="eastAsia" w:ascii="仿宋_GB2312" w:hAnsi="仿宋_GB2312" w:eastAsia="仿宋_GB2312" w:cs="仿宋_GB2312"/>
          <w:b/>
          <w:color w:val="000000"/>
          <w:sz w:val="32"/>
          <w:szCs w:val="32"/>
        </w:rPr>
      </w:pPr>
      <w:bookmarkStart w:id="33" w:name="_Toc15377216"/>
      <w:r>
        <w:rPr>
          <w:rFonts w:hint="eastAsia" w:ascii="仿宋_GB2312" w:hAnsi="仿宋_GB2312" w:eastAsia="仿宋_GB2312" w:cs="仿宋_GB2312"/>
          <w:b/>
          <w:color w:val="000000"/>
          <w:sz w:val="32"/>
          <w:szCs w:val="32"/>
        </w:rPr>
        <w:t>（一）“三公”经费财政拨款支出决算总体情况说明</w:t>
      </w:r>
      <w:bookmarkEnd w:id="33"/>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145.41</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highlight w:val="none"/>
        </w:rPr>
        <w:t>97.18</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000000"/>
          <w:sz w:val="32"/>
          <w:szCs w:val="32"/>
          <w:highlight w:val="none"/>
        </w:rPr>
        <w:t>较上年度增加</w:t>
      </w:r>
      <w:r>
        <w:rPr>
          <w:rFonts w:hint="eastAsia" w:ascii="仿宋_GB2312" w:hAnsi="仿宋_GB2312" w:eastAsia="仿宋_GB2312" w:cs="仿宋_GB2312"/>
          <w:color w:val="000000"/>
          <w:sz w:val="32"/>
          <w:szCs w:val="32"/>
          <w:highlight w:val="none"/>
          <w:lang w:val="en-US" w:eastAsia="zh-CN"/>
        </w:rPr>
        <w:t>60.57</w:t>
      </w:r>
      <w:r>
        <w:rPr>
          <w:rFonts w:hint="eastAsia" w:ascii="仿宋_GB2312" w:hAnsi="仿宋_GB2312" w:eastAsia="仿宋_GB2312" w:cs="仿宋_GB2312"/>
          <w:color w:val="000000"/>
          <w:sz w:val="32"/>
          <w:szCs w:val="32"/>
          <w:highlight w:val="none"/>
        </w:rPr>
        <w:t>万元，增长</w:t>
      </w:r>
      <w:r>
        <w:rPr>
          <w:rFonts w:hint="eastAsia" w:ascii="仿宋_GB2312" w:hAnsi="仿宋_GB2312" w:eastAsia="仿宋_GB2312" w:cs="仿宋_GB2312"/>
          <w:color w:val="000000"/>
          <w:sz w:val="32"/>
          <w:szCs w:val="32"/>
          <w:highlight w:val="none"/>
          <w:lang w:val="en-US" w:eastAsia="zh-CN"/>
        </w:rPr>
        <w:t>71.39</w:t>
      </w:r>
      <w:r>
        <w:rPr>
          <w:rFonts w:hint="eastAsia" w:ascii="仿宋_GB2312" w:hAnsi="仿宋_GB2312" w:eastAsia="仿宋_GB2312" w:cs="仿宋_GB2312"/>
          <w:color w:val="000000"/>
          <w:sz w:val="32"/>
          <w:szCs w:val="32"/>
          <w:highlight w:val="none"/>
        </w:rPr>
        <w:t>%。决算数小于预算数的主要原因是</w:t>
      </w:r>
      <w:r>
        <w:rPr>
          <w:rFonts w:hint="eastAsia" w:ascii="仿宋_GB2312" w:hAnsi="仿宋_GB2312" w:eastAsia="仿宋_GB2312" w:cs="仿宋_GB2312"/>
          <w:color w:val="000000"/>
          <w:sz w:val="32"/>
          <w:szCs w:val="32"/>
          <w:highlight w:val="none"/>
          <w:lang w:eastAsia="zh-CN"/>
        </w:rPr>
        <w:t>部门坚持过紧日子，进一步压减“三公”经费</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2"/>
        <w:rPr>
          <w:rFonts w:hint="eastAsia" w:ascii="仿宋_GB2312" w:hAnsi="仿宋_GB2312" w:eastAsia="仿宋_GB2312" w:cs="仿宋_GB2312"/>
          <w:b/>
          <w:color w:val="000000"/>
          <w:sz w:val="32"/>
          <w:szCs w:val="32"/>
        </w:rPr>
      </w:pPr>
      <w:bookmarkStart w:id="34" w:name="_Toc15377217"/>
      <w:r>
        <w:rPr>
          <w:rFonts w:hint="eastAsia" w:ascii="仿宋_GB2312" w:hAnsi="仿宋_GB2312" w:eastAsia="仿宋_GB2312" w:cs="仿宋_GB2312"/>
          <w:b/>
          <w:color w:val="000000"/>
          <w:sz w:val="32"/>
          <w:szCs w:val="32"/>
        </w:rPr>
        <w:t>（二）“三公”经费财政拨款支出决算具体情况说明</w:t>
      </w:r>
      <w:bookmarkEnd w:id="34"/>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bookmarkStart w:id="35" w:name="_Toc15377218"/>
      <w:bookmarkStart w:id="36" w:name="_Toc15396610"/>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rPr>
        <w:t>144.91</w:t>
      </w:r>
      <w:r>
        <w:rPr>
          <w:rFonts w:hint="eastAsia" w:ascii="仿宋_GB2312" w:hAnsi="仿宋_GB2312" w:eastAsia="仿宋_GB2312" w:cs="仿宋_GB2312"/>
          <w:color w:val="auto"/>
          <w:kern w:val="2"/>
          <w:sz w:val="32"/>
          <w:szCs w:val="32"/>
          <w:highlight w:val="none"/>
          <w:lang w:val="en-US" w:eastAsia="zh-CN" w:bidi="ar-SA"/>
        </w:rPr>
        <w:t>万元，占99.66%；公务接待费支出决算</w:t>
      </w:r>
      <w:r>
        <w:rPr>
          <w:rFonts w:hint="eastAsia" w:ascii="仿宋_GB2312" w:hAnsi="仿宋_GB2312" w:eastAsia="仿宋_GB2312" w:cs="仿宋_GB2312"/>
          <w:sz w:val="32"/>
          <w:szCs w:val="32"/>
        </w:rPr>
        <w:t>0.5</w:t>
      </w:r>
      <w:r>
        <w:rPr>
          <w:rFonts w:hint="eastAsia" w:ascii="仿宋_GB2312" w:hAnsi="仿宋_GB2312" w:eastAsia="仿宋_GB2312" w:cs="仿宋_GB2312"/>
          <w:color w:val="auto"/>
          <w:kern w:val="2"/>
          <w:sz w:val="32"/>
          <w:szCs w:val="32"/>
          <w:highlight w:val="none"/>
          <w:lang w:val="en-US" w:eastAsia="zh-CN" w:bidi="ar-SA"/>
        </w:rPr>
        <w:t>万元，占0.34%。具体情况如下：</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ind w:firstLine="640" w:firstLineChars="200"/>
        <w:jc w:val="center"/>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drawing>
          <wp:anchor distT="718185" distB="1114425" distL="2618740" distR="761365" simplePos="0" relativeHeight="251660288" behindDoc="0" locked="0" layoutInCell="1" allowOverlap="1">
            <wp:simplePos x="0" y="0"/>
            <wp:positionH relativeFrom="column">
              <wp:posOffset>595630</wp:posOffset>
            </wp:positionH>
            <wp:positionV relativeFrom="paragraph">
              <wp:posOffset>415290</wp:posOffset>
            </wp:positionV>
            <wp:extent cx="4533900" cy="2203450"/>
            <wp:effectExtent l="0" t="0" r="0" b="0"/>
            <wp:wrapNone/>
            <wp:docPr id="15" name="对象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r>
        <w:rPr>
          <w:rFonts w:hint="eastAsia" w:ascii="仿宋_GB2312" w:hAnsi="仿宋_GB2312" w:eastAsia="仿宋_GB2312" w:cs="仿宋_GB2312"/>
          <w:color w:val="000000"/>
          <w:kern w:val="0"/>
          <w:sz w:val="32"/>
          <w:szCs w:val="32"/>
        </w:rPr>
        <w:t>（图7：“三公”经费财政拨款支出结构）（饼状图）</w:t>
      </w:r>
    </w:p>
    <w:p>
      <w:pPr>
        <w:widowControl/>
        <w:shd w:val="clear" w:color="auto" w:fill="FFFFFF"/>
        <w:spacing w:before="100" w:beforeAutospacing="1" w:after="100" w:afterAutospacing="1"/>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drawing>
          <wp:anchor distT="718185" distB="1114425" distL="2618740" distR="761365" simplePos="0" relativeHeight="251661312" behindDoc="0" locked="0" layoutInCell="1" allowOverlap="1">
            <wp:simplePos x="0" y="0"/>
            <wp:positionH relativeFrom="column">
              <wp:posOffset>747395</wp:posOffset>
            </wp:positionH>
            <wp:positionV relativeFrom="paragraph">
              <wp:posOffset>53340</wp:posOffset>
            </wp:positionV>
            <wp:extent cx="4533900" cy="2203450"/>
            <wp:effectExtent l="0" t="0" r="0" b="0"/>
            <wp:wrapNone/>
            <wp:docPr id="4" name="对象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p>
    <w:p>
      <w:pPr>
        <w:pStyle w:val="7"/>
        <w:rPr>
          <w:rFonts w:hint="default" w:ascii="Times New Roman" w:hAnsi="Times New Roman" w:eastAsia="宋体" w:cs="Times New Roman"/>
          <w:color w:val="000000"/>
          <w:kern w:val="0"/>
          <w:sz w:val="24"/>
          <w:szCs w:val="24"/>
        </w:rPr>
      </w:pPr>
    </w:p>
    <w:p>
      <w:pPr>
        <w:pStyle w:val="15"/>
        <w:rPr>
          <w:rFonts w:hint="default" w:ascii="Times New Roman" w:hAnsi="Times New Roman" w:eastAsia="宋体" w:cs="Times New Roman"/>
          <w:color w:val="000000"/>
          <w:kern w:val="0"/>
          <w:sz w:val="24"/>
          <w:szCs w:val="24"/>
        </w:rPr>
      </w:pPr>
    </w:p>
    <w:p>
      <w:pPr>
        <w:rPr>
          <w:rFonts w:hint="default" w:ascii="Times New Roman" w:hAnsi="Times New Roman" w:eastAsia="宋体" w:cs="Times New Roman"/>
          <w:color w:val="000000"/>
          <w:kern w:val="0"/>
          <w:sz w:val="24"/>
          <w:szCs w:val="24"/>
        </w:rPr>
      </w:pPr>
    </w:p>
    <w:p>
      <w:pPr>
        <w:pStyle w:val="7"/>
        <w:rPr>
          <w:rFonts w:hint="default"/>
        </w:rPr>
      </w:pPr>
    </w:p>
    <w:p>
      <w:pPr>
        <w:widowControl/>
        <w:shd w:val="clear" w:color="auto" w:fill="FFFFFF"/>
        <w:spacing w:before="100" w:beforeAutospacing="1" w:after="100" w:afterAutospacing="1"/>
        <w:jc w:val="center"/>
        <w:rPr>
          <w:rFonts w:hint="default" w:ascii="Times New Roman" w:hAnsi="Times New Roman" w:eastAsia="宋体" w:cs="Times New Roman"/>
          <w:color w:val="000000"/>
          <w:kern w:val="0"/>
          <w:sz w:val="24"/>
          <w:szCs w:val="24"/>
        </w:rPr>
      </w:pPr>
    </w:p>
    <w:p>
      <w:pPr>
        <w:widowControl/>
        <w:shd w:val="clear" w:color="auto" w:fill="FFFFFF"/>
        <w:spacing w:before="100" w:beforeAutospacing="1" w:after="100" w:afterAutospacing="1"/>
        <w:jc w:val="center"/>
        <w:rPr>
          <w:rFonts w:hint="default" w:ascii="Times New Roman" w:hAnsi="Times New Roman" w:eastAsia="宋体" w:cs="Times New Roman"/>
          <w:color w:val="000000"/>
          <w:kern w:val="0"/>
          <w:sz w:val="24"/>
          <w:szCs w:val="24"/>
        </w:rPr>
      </w:pPr>
    </w:p>
    <w:p>
      <w:pPr>
        <w:widowControl/>
        <w:shd w:val="clear" w:color="auto" w:fill="FFFFFF"/>
        <w:spacing w:before="100" w:beforeAutospacing="1" w:after="100" w:afterAutospacing="1"/>
        <w:jc w:val="center"/>
        <w:rPr>
          <w:rFonts w:hint="default" w:ascii="Times New Roman" w:hAnsi="Times New Roman" w:eastAsia="宋体" w:cs="Times New Roman"/>
          <w:color w:val="000000"/>
          <w:kern w:val="0"/>
          <w:sz w:val="24"/>
          <w:szCs w:val="2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Times New Roman" w:hAnsi="Times New Roman" w:eastAsia="仿宋_GB2312" w:cs="仿宋_GB2312"/>
          <w:b w:val="0"/>
          <w:bCs w:val="0"/>
          <w:color w:val="auto"/>
          <w:kern w:val="2"/>
          <w:sz w:val="32"/>
          <w:szCs w:val="32"/>
          <w:highlight w:val="none"/>
          <w:lang w:val="en-US" w:eastAsia="zh-CN" w:bidi="ar-SA"/>
        </w:rPr>
        <w:t>1.</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年无因公出国（境）费预算和支出。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Times New Roman" w:hAnsi="Times New Roman" w:eastAsia="仿宋_GB2312" w:cs="仿宋_GB2312"/>
          <w:b w:val="0"/>
          <w:bCs w:val="0"/>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val="0"/>
          <w:bCs w:val="0"/>
          <w:color w:val="auto"/>
          <w:kern w:val="2"/>
          <w:sz w:val="32"/>
          <w:szCs w:val="32"/>
          <w:highlight w:val="none"/>
          <w:lang w:val="en-US" w:eastAsia="zh-CN" w:bidi="ar-SA"/>
        </w:rPr>
        <w:t>144.91万</w:t>
      </w:r>
      <w:r>
        <w:rPr>
          <w:rFonts w:hint="eastAsia" w:ascii="Times New Roman" w:hAnsi="Times New Roman" w:eastAsia="仿宋_GB2312" w:cs="仿宋_GB2312"/>
          <w:b w:val="0"/>
          <w:bCs w:val="0"/>
          <w:color w:val="auto"/>
          <w:kern w:val="2"/>
          <w:sz w:val="32"/>
          <w:szCs w:val="32"/>
          <w:highlight w:val="none"/>
          <w:lang w:val="en-US" w:eastAsia="zh-CN" w:bidi="ar-SA"/>
        </w:rPr>
        <w:t>元</w:t>
      </w:r>
      <w:r>
        <w:rPr>
          <w:rFonts w:hint="eastAsia" w:eastAsia="仿宋_GB2312" w:cs="仿宋_GB2312"/>
          <w:b w:val="0"/>
          <w:bCs w:val="0"/>
          <w:color w:val="auto"/>
          <w:kern w:val="2"/>
          <w:sz w:val="32"/>
          <w:szCs w:val="32"/>
          <w:highlight w:val="none"/>
          <w:lang w:val="en-US" w:eastAsia="zh-CN" w:bidi="ar-SA"/>
        </w:rPr>
        <w:t>，</w:t>
      </w:r>
      <w:r>
        <w:rPr>
          <w:rFonts w:hint="eastAsia" w:ascii="Times New Roman" w:hAnsi="Times New Roman" w:eastAsia="仿宋_GB2312" w:cs="仿宋_GB2312"/>
          <w:b w:val="0"/>
          <w:bCs w:val="0"/>
          <w:color w:val="auto"/>
          <w:kern w:val="2"/>
          <w:sz w:val="32"/>
          <w:szCs w:val="32"/>
          <w:highlight w:val="none"/>
          <w:lang w:val="en-US" w:eastAsia="zh-CN" w:bidi="ar-SA"/>
        </w:rPr>
        <w:t>完成预算</w:t>
      </w:r>
      <w:r>
        <w:rPr>
          <w:rFonts w:hint="eastAsia" w:eastAsia="仿宋_GB2312" w:cs="仿宋_GB2312"/>
          <w:b w:val="0"/>
          <w:bCs w:val="0"/>
          <w:color w:val="auto"/>
          <w:kern w:val="2"/>
          <w:sz w:val="32"/>
          <w:szCs w:val="32"/>
          <w:highlight w:val="none"/>
          <w:lang w:val="en-US" w:eastAsia="zh-CN" w:bidi="ar-SA"/>
        </w:rPr>
        <w:t>100</w:t>
      </w:r>
      <w:r>
        <w:rPr>
          <w:rFonts w:hint="eastAsia" w:ascii="Times New Roman" w:hAnsi="Times New Roman" w:eastAsia="仿宋_GB2312" w:cs="仿宋_GB2312"/>
          <w:b w:val="0"/>
          <w:bCs w:val="0"/>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公务用车购置及运行维护费支出决算比2023年度增加</w:t>
      </w:r>
      <w:r>
        <w:rPr>
          <w:rFonts w:hint="eastAsia" w:eastAsia="仿宋_GB2312" w:cs="仿宋_GB2312"/>
          <w:color w:val="auto"/>
          <w:kern w:val="2"/>
          <w:sz w:val="32"/>
          <w:szCs w:val="32"/>
          <w:highlight w:val="none"/>
          <w:lang w:val="en-US" w:eastAsia="zh-CN" w:bidi="ar-SA"/>
        </w:rPr>
        <w:t>60.39</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71.45</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000000"/>
          <w:sz w:val="32"/>
          <w:szCs w:val="32"/>
        </w:rPr>
        <w:t>主要原因是</w:t>
      </w:r>
      <w:r>
        <w:rPr>
          <w:rFonts w:hint="eastAsia" w:ascii="仿宋_GB2312" w:hAnsi="仿宋_GB2312" w:eastAsia="仿宋_GB2312" w:cs="仿宋_GB2312"/>
          <w:color w:val="000000"/>
          <w:sz w:val="32"/>
          <w:szCs w:val="32"/>
          <w:lang w:val="en-US" w:eastAsia="zh-CN"/>
        </w:rPr>
        <w:t>2024年新购一辆车，价格为59.5万元，公务用车购置及运行维护费相应增加。</w:t>
      </w:r>
      <w:r>
        <w:rPr>
          <w:rFonts w:hint="eastAsia" w:ascii="仿宋_GB2312" w:hAnsi="仿宋_GB2312" w:eastAsia="仿宋_GB2312" w:cs="仿宋_GB2312"/>
          <w:color w:val="000000"/>
          <w:sz w:val="32"/>
          <w:szCs w:val="32"/>
        </w:rPr>
        <w:t>截至202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年12月31日，单位共有公务用车</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辆，其中：轿车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辆、越野车</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辆、载客汽车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辆。公务用车运行维护费支出</w:t>
      </w:r>
      <w:r>
        <w:rPr>
          <w:rFonts w:hint="eastAsia" w:ascii="仿宋_GB2312" w:hAnsi="仿宋_GB2312" w:eastAsia="仿宋_GB2312" w:cs="仿宋_GB2312"/>
          <w:color w:val="000000"/>
          <w:sz w:val="32"/>
          <w:szCs w:val="32"/>
          <w:lang w:val="en-US" w:eastAsia="zh-CN"/>
        </w:rPr>
        <w:t>144.91</w:t>
      </w:r>
      <w:r>
        <w:rPr>
          <w:rFonts w:hint="eastAsia" w:ascii="仿宋_GB2312" w:hAnsi="仿宋_GB2312" w:eastAsia="仿宋_GB2312" w:cs="仿宋_GB2312"/>
          <w:color w:val="000000"/>
          <w:sz w:val="32"/>
          <w:szCs w:val="32"/>
        </w:rPr>
        <w:t>万元。主要用于</w:t>
      </w:r>
      <w:r>
        <w:rPr>
          <w:rFonts w:hint="eastAsia" w:ascii="仿宋_GB2312" w:hAnsi="仿宋_GB2312" w:eastAsia="仿宋_GB2312" w:cs="仿宋_GB2312"/>
          <w:color w:val="000000"/>
          <w:sz w:val="32"/>
          <w:szCs w:val="32"/>
          <w:lang w:eastAsia="zh-CN"/>
        </w:rPr>
        <w:t>综治维稳工作</w:t>
      </w:r>
      <w:r>
        <w:rPr>
          <w:rFonts w:hint="eastAsia" w:ascii="仿宋_GB2312" w:hAnsi="仿宋_GB2312" w:eastAsia="仿宋_GB2312" w:cs="仿宋_GB2312"/>
          <w:color w:val="000000"/>
          <w:sz w:val="32"/>
          <w:szCs w:val="32"/>
        </w:rPr>
        <w:t>等所需的公务用车</w:t>
      </w:r>
      <w:r>
        <w:rPr>
          <w:rFonts w:hint="eastAsia" w:ascii="仿宋_GB2312" w:hAnsi="仿宋_GB2312" w:eastAsia="仿宋_GB2312" w:cs="仿宋_GB2312"/>
          <w:color w:val="000000"/>
          <w:sz w:val="32"/>
          <w:szCs w:val="32"/>
          <w:lang w:eastAsia="zh-CN"/>
        </w:rPr>
        <w:t>购置费、</w:t>
      </w:r>
      <w:r>
        <w:rPr>
          <w:rFonts w:hint="eastAsia" w:ascii="仿宋_GB2312" w:hAnsi="仿宋_GB2312" w:eastAsia="仿宋_GB2312" w:cs="仿宋_GB2312"/>
          <w:color w:val="000000"/>
          <w:sz w:val="32"/>
          <w:szCs w:val="32"/>
        </w:rPr>
        <w:t>燃料费、维修费、过路过桥费、保险费等支出。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3.公务接待费支出0.</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highlight w:val="none"/>
        </w:rPr>
        <w:t>完成预算11.69%。</w:t>
      </w:r>
      <w:r>
        <w:rPr>
          <w:rFonts w:hint="eastAsia" w:ascii="仿宋_GB2312" w:hAnsi="仿宋_GB2312" w:eastAsia="仿宋_GB2312" w:cs="仿宋_GB2312"/>
          <w:color w:val="000000"/>
          <w:sz w:val="32"/>
          <w:szCs w:val="32"/>
        </w:rPr>
        <w:t>公务接待费支出决算比202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年度</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0.18</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增长</w:t>
      </w:r>
      <w:r>
        <w:rPr>
          <w:rFonts w:hint="eastAsia" w:ascii="仿宋_GB2312" w:hAnsi="仿宋_GB2312" w:eastAsia="仿宋_GB2312" w:cs="仿宋_GB2312"/>
          <w:color w:val="000000"/>
          <w:sz w:val="32"/>
          <w:szCs w:val="32"/>
          <w:lang w:val="en-US" w:eastAsia="zh-CN"/>
        </w:rPr>
        <w:t>56.25</w:t>
      </w:r>
      <w:r>
        <w:rPr>
          <w:rFonts w:hint="eastAsia" w:ascii="仿宋_GB2312" w:hAnsi="仿宋_GB2312" w:eastAsia="仿宋_GB2312" w:cs="仿宋_GB2312"/>
          <w:color w:val="000000"/>
          <w:sz w:val="32"/>
          <w:szCs w:val="32"/>
        </w:rPr>
        <w:t>%。主要原因是</w:t>
      </w:r>
      <w:r>
        <w:rPr>
          <w:rFonts w:hint="eastAsia" w:ascii="仿宋_GB2312" w:eastAsia="仿宋_GB2312"/>
          <w:color w:val="000000"/>
          <w:sz w:val="32"/>
          <w:szCs w:val="32"/>
        </w:rPr>
        <w:t>接待人数上升，相应增加费用。</w:t>
      </w:r>
      <w:r>
        <w:rPr>
          <w:rFonts w:hint="eastAsia" w:ascii="仿宋_GB2312" w:hAnsi="仿宋_GB2312" w:eastAsia="仿宋_GB2312" w:cs="仿宋_GB2312"/>
          <w:color w:val="000000"/>
          <w:sz w:val="32"/>
          <w:szCs w:val="32"/>
        </w:rPr>
        <w:t>其中：国内公务接待支出</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万元，主要用于</w:t>
      </w:r>
      <w:r>
        <w:rPr>
          <w:rFonts w:hint="eastAsia" w:ascii="仿宋_GB2312" w:hAnsi="仿宋_GB2312" w:eastAsia="仿宋_GB2312" w:cs="仿宋_GB2312"/>
          <w:color w:val="000000"/>
          <w:sz w:val="32"/>
          <w:szCs w:val="32"/>
          <w:lang w:eastAsia="zh-CN"/>
        </w:rPr>
        <w:t>上级单位检查指导工作人员的</w:t>
      </w:r>
      <w:r>
        <w:rPr>
          <w:rFonts w:hint="eastAsia" w:ascii="仿宋_GB2312" w:hAnsi="仿宋_GB2312" w:eastAsia="仿宋_GB2312" w:cs="仿宋_GB2312"/>
          <w:color w:val="000000"/>
          <w:sz w:val="32"/>
          <w:szCs w:val="32"/>
        </w:rPr>
        <w:t>用餐费等。</w:t>
      </w:r>
      <w:r>
        <w:rPr>
          <w:rFonts w:hint="eastAsia" w:ascii="仿宋_GB2312" w:hAnsi="仿宋_GB2312" w:eastAsia="仿宋_GB2312" w:cs="仿宋_GB2312"/>
          <w:color w:val="000000"/>
          <w:sz w:val="32"/>
          <w:szCs w:val="32"/>
          <w:highlight w:val="none"/>
        </w:rPr>
        <w:t>国内公务接待</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14:textFill>
            <w14:solidFill>
              <w14:schemeClr w14:val="tx1"/>
            </w14:solidFill>
          </w14:textFill>
        </w:rPr>
        <w:t>批次，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38</w:t>
      </w:r>
      <w:r>
        <w:rPr>
          <w:rFonts w:hint="eastAsia" w:ascii="仿宋_GB2312" w:hAnsi="仿宋_GB2312" w:eastAsia="仿宋_GB2312" w:cs="仿宋_GB2312"/>
          <w:color w:val="000000" w:themeColor="text1"/>
          <w:sz w:val="32"/>
          <w:szCs w:val="32"/>
          <w:highlight w:val="none"/>
          <w14:textFill>
            <w14:solidFill>
              <w14:schemeClr w14:val="tx1"/>
            </w14:solidFill>
          </w14:textFill>
        </w:rPr>
        <w:t>人次</w:t>
      </w:r>
      <w:r>
        <w:rPr>
          <w:rFonts w:hint="eastAsia" w:ascii="仿宋_GB2312" w:hAnsi="仿宋_GB2312" w:eastAsia="仿宋_GB2312" w:cs="仿宋_GB2312"/>
          <w:color w:val="000000"/>
          <w:sz w:val="32"/>
          <w:szCs w:val="32"/>
          <w:highlight w:val="none"/>
        </w:rPr>
        <w:t>（不包括陪同人员），</w:t>
      </w:r>
      <w:r>
        <w:rPr>
          <w:rFonts w:hint="eastAsia" w:ascii="仿宋_GB2312" w:hAnsi="仿宋_GB2312" w:eastAsia="仿宋_GB2312" w:cs="仿宋_GB2312"/>
          <w:color w:val="000000"/>
          <w:sz w:val="32"/>
          <w:szCs w:val="32"/>
        </w:rPr>
        <w:t>共计支出0.</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Style w:val="24"/>
          <w:rFonts w:hint="eastAsia" w:ascii="黑体" w:hAnsi="黑体" w:eastAsia="黑体" w:cs="黑体"/>
          <w:color w:val="000000"/>
          <w:sz w:val="32"/>
          <w:szCs w:val="32"/>
        </w:rPr>
      </w:pPr>
      <w:r>
        <w:rPr>
          <w:rFonts w:hint="eastAsia" w:ascii="黑体" w:hAnsi="黑体" w:eastAsia="黑体" w:cs="黑体"/>
          <w:color w:val="000000"/>
          <w:sz w:val="32"/>
          <w:szCs w:val="32"/>
        </w:rPr>
        <w:t>八、</w:t>
      </w:r>
      <w:r>
        <w:rPr>
          <w:rStyle w:val="24"/>
          <w:rFonts w:hint="eastAsia" w:ascii="黑体" w:hAnsi="黑体" w:eastAsia="黑体" w:cs="黑体"/>
          <w:b w:val="0"/>
          <w:color w:val="000000"/>
          <w:sz w:val="32"/>
          <w:szCs w:val="32"/>
        </w:rPr>
        <w:t>政府性基金预算支出决算情况说明</w:t>
      </w:r>
      <w:bookmarkEnd w:id="35"/>
      <w:bookmarkEnd w:id="36"/>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宋体" w:cs="Times New Roman"/>
          <w:color w:val="000000"/>
          <w:sz w:val="24"/>
          <w:szCs w:val="24"/>
        </w:rPr>
      </w:pPr>
      <w:r>
        <w:rPr>
          <w:rFonts w:hint="default"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default" w:ascii="仿宋_GB2312" w:hAnsi="仿宋_GB2312" w:eastAsia="仿宋_GB2312" w:cs="仿宋_GB2312"/>
          <w:color w:val="000000"/>
          <w:sz w:val="32"/>
          <w:szCs w:val="32"/>
        </w:rPr>
        <w:t>年政府性基金预算拨款支出0.00万元。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Style w:val="24"/>
          <w:rFonts w:hint="default" w:ascii="黑体" w:hAnsi="黑体" w:eastAsia="黑体" w:cs="黑体"/>
          <w:b w:val="0"/>
          <w:color w:val="000000" w:themeColor="text1"/>
          <w:sz w:val="32"/>
          <w:szCs w:val="32"/>
          <w14:textFill>
            <w14:solidFill>
              <w14:schemeClr w14:val="tx1"/>
            </w14:solidFill>
          </w14:textFill>
        </w:rPr>
      </w:pPr>
      <w:bookmarkStart w:id="37" w:name="_Toc15377219"/>
      <w:bookmarkStart w:id="38" w:name="_Toc15396611"/>
      <w:r>
        <w:rPr>
          <w:rStyle w:val="24"/>
          <w:rFonts w:hint="default" w:ascii="黑体" w:hAnsi="黑体" w:eastAsia="黑体" w:cs="黑体"/>
          <w:b w:val="0"/>
          <w:color w:val="000000" w:themeColor="text1"/>
          <w:sz w:val="32"/>
          <w:szCs w:val="32"/>
          <w14:textFill>
            <w14:solidFill>
              <w14:schemeClr w14:val="tx1"/>
            </w14:solidFill>
          </w14:textFill>
        </w:rPr>
        <w:t>九、国有资本经营预算支出决算情况说明</w:t>
      </w:r>
      <w:bookmarkEnd w:id="37"/>
      <w:bookmarkEnd w:id="3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FF0000"/>
          <w:sz w:val="32"/>
          <w:szCs w:val="32"/>
          <w:lang w:eastAsia="zh-CN"/>
        </w:rPr>
      </w:pPr>
      <w:r>
        <w:rPr>
          <w:rFonts w:hint="default" w:ascii="仿宋_GB2312" w:hAnsi="仿宋_GB2312" w:eastAsia="仿宋_GB2312" w:cs="仿宋_GB2312"/>
          <w:color w:val="000000" w:themeColor="text1"/>
          <w:sz w:val="32"/>
          <w:szCs w:val="32"/>
          <w:lang w:eastAsia="zh-CN"/>
          <w14:textFill>
            <w14:solidFill>
              <w14:schemeClr w14:val="tx1"/>
            </w14:solidFill>
          </w14:textFill>
        </w:rPr>
        <w:t>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default" w:ascii="仿宋_GB2312" w:hAnsi="仿宋_GB2312" w:eastAsia="仿宋_GB2312" w:cs="仿宋_GB2312"/>
          <w:color w:val="000000" w:themeColor="text1"/>
          <w:sz w:val="32"/>
          <w:szCs w:val="32"/>
          <w:lang w:eastAsia="zh-CN"/>
          <w14:textFill>
            <w14:solidFill>
              <w14:schemeClr w14:val="tx1"/>
            </w14:solidFill>
          </w14:textFill>
        </w:rPr>
        <w:t>年国有资本经营预算拨款支出0.00万元。</w:t>
      </w:r>
      <w:bookmarkStart w:id="39" w:name="_Toc15377221"/>
      <w:bookmarkStart w:id="40" w:name="_Toc15396612"/>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Style w:val="24"/>
          <w:rFonts w:hint="default" w:ascii="黑体" w:hAnsi="黑体" w:eastAsia="黑体" w:cs="黑体"/>
          <w:b w:val="0"/>
          <w:color w:val="000000"/>
          <w:sz w:val="32"/>
          <w:szCs w:val="32"/>
        </w:rPr>
      </w:pPr>
      <w:r>
        <w:rPr>
          <w:rStyle w:val="24"/>
          <w:rFonts w:hint="default" w:ascii="黑体" w:hAnsi="黑体" w:eastAsia="黑体" w:cs="黑体"/>
          <w:b w:val="0"/>
          <w:color w:val="000000"/>
          <w:sz w:val="32"/>
          <w:szCs w:val="32"/>
        </w:rPr>
        <w:t>十、其他重要事项的情况说明</w:t>
      </w:r>
      <w:bookmarkEnd w:id="39"/>
      <w:bookmarkEnd w:id="4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eastAsia="zh-CN"/>
        </w:rPr>
      </w:pPr>
      <w:bookmarkStart w:id="41" w:name="_Toc15377222"/>
      <w:r>
        <w:rPr>
          <w:rFonts w:hint="default" w:ascii="仿宋_GB2312" w:hAnsi="仿宋_GB2312" w:eastAsia="仿宋_GB2312" w:cs="仿宋_GB2312"/>
          <w:color w:val="000000"/>
          <w:sz w:val="32"/>
          <w:szCs w:val="32"/>
          <w:lang w:eastAsia="zh-CN"/>
        </w:rPr>
        <w:t>（一）机关运行经费支出情况</w:t>
      </w:r>
      <w:bookmarkEnd w:id="4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eastAsia="zh-CN"/>
        </w:rPr>
      </w:pPr>
      <w:r>
        <w:rPr>
          <w:rFonts w:hint="default" w:ascii="仿宋_GB2312" w:hAnsi="仿宋_GB2312" w:eastAsia="仿宋_GB2312" w:cs="仿宋_GB2312"/>
          <w:color w:val="000000"/>
          <w:sz w:val="32"/>
          <w:szCs w:val="32"/>
          <w:lang w:eastAsia="zh-CN"/>
        </w:rPr>
        <w:t>202</w:t>
      </w:r>
      <w:r>
        <w:rPr>
          <w:rFonts w:hint="eastAsia" w:ascii="仿宋_GB2312" w:hAnsi="仿宋_GB2312" w:eastAsia="仿宋_GB2312" w:cs="仿宋_GB2312"/>
          <w:color w:val="000000"/>
          <w:sz w:val="32"/>
          <w:szCs w:val="32"/>
          <w:lang w:val="en-US" w:eastAsia="zh-CN"/>
        </w:rPr>
        <w:t>4</w:t>
      </w:r>
      <w:r>
        <w:rPr>
          <w:rFonts w:hint="default" w:ascii="仿宋_GB2312" w:hAnsi="仿宋_GB2312" w:eastAsia="仿宋_GB2312" w:cs="仿宋_GB2312"/>
          <w:color w:val="000000"/>
          <w:sz w:val="32"/>
          <w:szCs w:val="32"/>
          <w:lang w:eastAsia="zh-CN"/>
        </w:rPr>
        <w:t>年，中共四川省阿坝州委政法委员会（本级）机关运行经费支出</w:t>
      </w:r>
      <w:r>
        <w:rPr>
          <w:rFonts w:hint="eastAsia" w:ascii="仿宋_GB2312" w:hAnsi="仿宋_GB2312" w:eastAsia="仿宋_GB2312" w:cs="仿宋_GB2312"/>
          <w:sz w:val="32"/>
          <w:szCs w:val="32"/>
        </w:rPr>
        <w:t>210.56</w:t>
      </w:r>
      <w:r>
        <w:rPr>
          <w:rFonts w:hint="default" w:ascii="仿宋_GB2312" w:hAnsi="仿宋_GB2312" w:eastAsia="仿宋_GB2312" w:cs="仿宋_GB2312"/>
          <w:color w:val="000000"/>
          <w:sz w:val="32"/>
          <w:szCs w:val="32"/>
          <w:lang w:eastAsia="zh-CN"/>
        </w:rPr>
        <w:t>万元，比20</w:t>
      </w:r>
      <w:r>
        <w:rPr>
          <w:rFonts w:hint="default"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val="en-US" w:eastAsia="zh-CN"/>
        </w:rPr>
        <w:t>3</w:t>
      </w:r>
      <w:r>
        <w:rPr>
          <w:rFonts w:hint="default" w:ascii="仿宋_GB2312" w:hAnsi="仿宋_GB2312" w:eastAsia="仿宋_GB2312" w:cs="仿宋_GB2312"/>
          <w:color w:val="000000"/>
          <w:sz w:val="32"/>
          <w:szCs w:val="32"/>
          <w:lang w:eastAsia="zh-CN"/>
        </w:rPr>
        <w:t>年有所</w:t>
      </w:r>
      <w:r>
        <w:rPr>
          <w:rFonts w:hint="eastAsia" w:ascii="仿宋_GB2312" w:hAnsi="仿宋_GB2312" w:eastAsia="仿宋_GB2312" w:cs="仿宋_GB2312"/>
          <w:color w:val="000000"/>
          <w:sz w:val="32"/>
          <w:szCs w:val="32"/>
          <w:lang w:eastAsia="zh-CN"/>
        </w:rPr>
        <w:t>增加</w:t>
      </w:r>
      <w:r>
        <w:rPr>
          <w:rFonts w:hint="default" w:ascii="仿宋_GB2312" w:hAnsi="仿宋_GB2312" w:eastAsia="仿宋_GB2312" w:cs="仿宋_GB2312"/>
          <w:color w:val="000000"/>
          <w:sz w:val="32"/>
          <w:szCs w:val="32"/>
          <w:lang w:eastAsia="zh-CN"/>
        </w:rPr>
        <w:t>，主要原因是</w:t>
      </w:r>
      <w:r>
        <w:rPr>
          <w:rFonts w:hint="eastAsia" w:ascii="仿宋_GB2312" w:hAnsi="仿宋_GB2312" w:eastAsia="仿宋_GB2312" w:cs="仿宋_GB2312"/>
          <w:color w:val="000000"/>
          <w:sz w:val="32"/>
          <w:szCs w:val="32"/>
          <w:lang w:eastAsia="zh-CN"/>
        </w:rPr>
        <w:t>机关运行经费有所增加</w:t>
      </w:r>
      <w:r>
        <w:rPr>
          <w:rFonts w:hint="default"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eastAsia="zh-CN"/>
        </w:rPr>
      </w:pPr>
      <w:bookmarkStart w:id="42" w:name="_Toc15377223"/>
      <w:r>
        <w:rPr>
          <w:rFonts w:hint="default" w:ascii="仿宋_GB2312" w:hAnsi="仿宋_GB2312" w:eastAsia="仿宋_GB2312" w:cs="仿宋_GB2312"/>
          <w:color w:val="000000"/>
          <w:sz w:val="32"/>
          <w:szCs w:val="32"/>
          <w:lang w:eastAsia="zh-CN"/>
        </w:rPr>
        <w:t>（二）政府采购支出情况</w:t>
      </w:r>
      <w:bookmarkEnd w:id="4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2024年度，</w:t>
      </w:r>
      <w:r>
        <w:rPr>
          <w:rFonts w:hint="eastAsia" w:ascii="仿宋_GB2312" w:hAnsi="仿宋_GB2312" w:eastAsia="仿宋_GB2312" w:cs="仿宋_GB2312"/>
          <w:color w:val="000000"/>
          <w:sz w:val="32"/>
          <w:szCs w:val="32"/>
          <w:lang w:eastAsia="zh-CN"/>
        </w:rPr>
        <w:t>中共阿坝州委政法委员会（本级）</w:t>
      </w:r>
      <w:r>
        <w:rPr>
          <w:rFonts w:hint="eastAsia" w:ascii="仿宋_GB2312" w:hAnsi="仿宋_GB2312" w:eastAsia="仿宋_GB2312" w:cs="仿宋_GB2312"/>
          <w:color w:val="000000"/>
          <w:sz w:val="32"/>
          <w:szCs w:val="32"/>
          <w:lang w:val="en-US" w:eastAsia="zh-CN"/>
        </w:rPr>
        <w:t>政府采购支出总额</w:t>
      </w:r>
      <w:r>
        <w:rPr>
          <w:rFonts w:hint="eastAsia" w:ascii="仿宋_GB2312" w:hAnsi="仿宋_GB2312" w:eastAsia="仿宋_GB2312" w:cs="仿宋_GB2312"/>
          <w:color w:val="000000"/>
          <w:sz w:val="32"/>
          <w:szCs w:val="32"/>
          <w:lang w:eastAsia="zh-CN"/>
        </w:rPr>
        <w:t>520.63</w:t>
      </w:r>
      <w:r>
        <w:rPr>
          <w:rFonts w:hint="eastAsia" w:ascii="仿宋_GB2312" w:hAnsi="仿宋_GB2312" w:eastAsia="仿宋_GB2312" w:cs="仿宋_GB2312"/>
          <w:color w:val="000000"/>
          <w:sz w:val="32"/>
          <w:szCs w:val="32"/>
          <w:lang w:val="en-US" w:eastAsia="zh-CN"/>
        </w:rPr>
        <w:t>万元，其中：政府采购货物支出</w:t>
      </w:r>
      <w:r>
        <w:rPr>
          <w:rFonts w:hint="eastAsia" w:ascii="仿宋_GB2312" w:hAnsi="仿宋_GB2312" w:eastAsia="仿宋_GB2312" w:cs="仿宋_GB2312"/>
          <w:color w:val="000000"/>
          <w:sz w:val="32"/>
          <w:szCs w:val="32"/>
          <w:lang w:eastAsia="zh-CN"/>
        </w:rPr>
        <w:t>59.5</w:t>
      </w:r>
      <w:r>
        <w:rPr>
          <w:rFonts w:hint="eastAsia" w:ascii="仿宋_GB2312" w:hAnsi="仿宋_GB2312" w:eastAsia="仿宋_GB2312" w:cs="仿宋_GB2312"/>
          <w:color w:val="000000"/>
          <w:sz w:val="32"/>
          <w:szCs w:val="32"/>
          <w:lang w:val="en-US" w:eastAsia="zh-CN"/>
        </w:rPr>
        <w:t>万元、政府采购工程支出</w:t>
      </w:r>
      <w:r>
        <w:rPr>
          <w:rFonts w:hint="eastAsia" w:ascii="仿宋_GB2312" w:hAnsi="仿宋_GB2312" w:eastAsia="仿宋_GB2312" w:cs="仿宋_GB2312"/>
          <w:color w:val="000000"/>
          <w:sz w:val="32"/>
          <w:szCs w:val="32"/>
          <w:lang w:eastAsia="zh-CN"/>
        </w:rPr>
        <w:t>286.62</w:t>
      </w:r>
      <w:r>
        <w:rPr>
          <w:rFonts w:hint="eastAsia" w:ascii="仿宋_GB2312" w:hAnsi="仿宋_GB2312" w:eastAsia="仿宋_GB2312" w:cs="仿宋_GB2312"/>
          <w:color w:val="000000"/>
          <w:sz w:val="32"/>
          <w:szCs w:val="32"/>
          <w:lang w:val="en-US" w:eastAsia="zh-CN"/>
        </w:rPr>
        <w:t>万元、政府采购服务支出</w:t>
      </w:r>
      <w:r>
        <w:rPr>
          <w:rFonts w:hint="eastAsia" w:ascii="仿宋_GB2312" w:hAnsi="仿宋_GB2312" w:eastAsia="仿宋_GB2312" w:cs="仿宋_GB2312"/>
          <w:color w:val="000000"/>
          <w:sz w:val="32"/>
          <w:szCs w:val="32"/>
          <w:lang w:eastAsia="zh-CN"/>
        </w:rPr>
        <w:t>174.51</w:t>
      </w:r>
      <w:r>
        <w:rPr>
          <w:rFonts w:hint="eastAsia" w:ascii="仿宋_GB2312" w:hAnsi="仿宋_GB2312" w:eastAsia="仿宋_GB2312" w:cs="仿宋_GB2312"/>
          <w:color w:val="000000"/>
          <w:sz w:val="32"/>
          <w:szCs w:val="32"/>
          <w:lang w:val="en-US" w:eastAsia="zh-CN"/>
        </w:rPr>
        <w:t>万元。</w:t>
      </w:r>
      <w:r>
        <w:rPr>
          <w:rFonts w:hint="default" w:ascii="仿宋_GB2312" w:hAnsi="仿宋_GB2312" w:eastAsia="仿宋_GB2312" w:cs="仿宋_GB2312"/>
          <w:color w:val="000000"/>
          <w:sz w:val="32"/>
          <w:szCs w:val="32"/>
          <w:lang w:eastAsia="zh-CN"/>
        </w:rPr>
        <w:t>主要用于综治中心信息化建设购买服务、政法三级网线路租赁等</w:t>
      </w:r>
      <w:r>
        <w:rPr>
          <w:rFonts w:hint="eastAsia" w:ascii="仿宋_GB2312" w:hAnsi="仿宋_GB2312" w:eastAsia="仿宋_GB2312" w:cs="仿宋_GB2312"/>
          <w:color w:val="000000"/>
          <w:sz w:val="32"/>
          <w:szCs w:val="32"/>
          <w:lang w:val="en-US" w:eastAsia="zh-CN"/>
        </w:rPr>
        <w:t>。授予中小企业合同金额</w:t>
      </w:r>
      <w:r>
        <w:rPr>
          <w:rFonts w:hint="eastAsia" w:ascii="仿宋_GB2312" w:hAnsi="仿宋_GB2312" w:eastAsia="仿宋_GB2312" w:cs="仿宋_GB2312"/>
          <w:color w:val="000000"/>
          <w:sz w:val="32"/>
          <w:szCs w:val="32"/>
          <w:lang w:eastAsia="zh-CN"/>
        </w:rPr>
        <w:t>520.63</w:t>
      </w:r>
      <w:r>
        <w:rPr>
          <w:rFonts w:hint="eastAsia" w:ascii="仿宋_GB2312" w:hAnsi="仿宋_GB2312" w:eastAsia="仿宋_GB2312" w:cs="仿宋_GB2312"/>
          <w:color w:val="000000"/>
          <w:sz w:val="32"/>
          <w:szCs w:val="32"/>
          <w:lang w:val="en-US" w:eastAsia="zh-CN"/>
        </w:rPr>
        <w:t>万元，占政府采购支出总额的</w:t>
      </w:r>
      <w:r>
        <w:rPr>
          <w:rFonts w:hint="eastAsia" w:ascii="仿宋_GB2312" w:hAnsi="仿宋_GB2312" w:eastAsia="仿宋_GB2312" w:cs="仿宋_GB2312"/>
          <w:color w:val="000000"/>
          <w:sz w:val="32"/>
          <w:szCs w:val="32"/>
          <w:lang w:eastAsia="zh-CN"/>
        </w:rPr>
        <w:t>100</w:t>
      </w:r>
      <w:r>
        <w:rPr>
          <w:rFonts w:hint="eastAsia" w:ascii="仿宋_GB2312" w:hAnsi="仿宋_GB2312" w:eastAsia="仿宋_GB2312" w:cs="仿宋_GB2312"/>
          <w:color w:val="000000"/>
          <w:sz w:val="32"/>
          <w:szCs w:val="32"/>
          <w:lang w:val="en-US" w:eastAsia="zh-CN"/>
        </w:rPr>
        <w:t>%，其中：授予小微企业合同金额</w:t>
      </w:r>
      <w:r>
        <w:rPr>
          <w:rFonts w:hint="eastAsia" w:ascii="仿宋_GB2312" w:hAnsi="仿宋_GB2312" w:eastAsia="仿宋_GB2312" w:cs="仿宋_GB2312"/>
          <w:color w:val="000000"/>
          <w:sz w:val="32"/>
          <w:szCs w:val="32"/>
          <w:lang w:eastAsia="zh-CN"/>
        </w:rPr>
        <w:t>407.75</w:t>
      </w:r>
      <w:r>
        <w:rPr>
          <w:rFonts w:hint="eastAsia" w:ascii="仿宋_GB2312" w:hAnsi="仿宋_GB2312" w:eastAsia="仿宋_GB2312" w:cs="仿宋_GB2312"/>
          <w:color w:val="000000"/>
          <w:sz w:val="32"/>
          <w:szCs w:val="32"/>
          <w:lang w:val="en-US" w:eastAsia="zh-CN"/>
        </w:rPr>
        <w:t>万元，占政府采购支出总额的</w:t>
      </w:r>
      <w:r>
        <w:rPr>
          <w:rFonts w:hint="eastAsia" w:ascii="仿宋_GB2312" w:hAnsi="仿宋_GB2312" w:eastAsia="仿宋_GB2312" w:cs="仿宋_GB2312"/>
          <w:color w:val="000000"/>
          <w:sz w:val="32"/>
          <w:szCs w:val="32"/>
          <w:lang w:eastAsia="zh-CN"/>
        </w:rPr>
        <w:t>78.31</w:t>
      </w:r>
      <w:r>
        <w:rPr>
          <w:rFonts w:hint="eastAsia" w:ascii="仿宋_GB2312" w:hAnsi="仿宋_GB2312" w:eastAsia="仿宋_GB2312" w:cs="仿宋_GB2312"/>
          <w:color w:val="00000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eastAsia="zh-CN"/>
        </w:rPr>
      </w:pPr>
      <w:bookmarkStart w:id="43" w:name="_Toc15377224"/>
      <w:r>
        <w:rPr>
          <w:rFonts w:hint="default" w:ascii="仿宋_GB2312" w:hAnsi="仿宋_GB2312" w:eastAsia="仿宋_GB2312" w:cs="仿宋_GB2312"/>
          <w:color w:val="000000"/>
          <w:sz w:val="32"/>
          <w:szCs w:val="32"/>
          <w:lang w:eastAsia="zh-CN"/>
        </w:rPr>
        <w:t>（三）国有资产占有使用情况</w:t>
      </w:r>
      <w:bookmarkEnd w:id="4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eastAsia="zh-CN"/>
        </w:rPr>
      </w:pPr>
      <w:r>
        <w:rPr>
          <w:rFonts w:hint="default" w:ascii="仿宋_GB2312" w:hAnsi="仿宋_GB2312" w:eastAsia="仿宋_GB2312" w:cs="仿宋_GB2312"/>
          <w:color w:val="000000"/>
          <w:sz w:val="32"/>
          <w:szCs w:val="32"/>
          <w:lang w:eastAsia="zh-CN"/>
        </w:rPr>
        <w:t>截至202</w:t>
      </w:r>
      <w:r>
        <w:rPr>
          <w:rFonts w:hint="eastAsia" w:ascii="仿宋_GB2312" w:hAnsi="仿宋_GB2312" w:eastAsia="仿宋_GB2312" w:cs="仿宋_GB2312"/>
          <w:color w:val="000000"/>
          <w:sz w:val="32"/>
          <w:szCs w:val="32"/>
          <w:lang w:val="en-US" w:eastAsia="zh-CN"/>
        </w:rPr>
        <w:t>4</w:t>
      </w:r>
      <w:r>
        <w:rPr>
          <w:rFonts w:hint="default" w:ascii="仿宋_GB2312" w:hAnsi="仿宋_GB2312" w:eastAsia="仿宋_GB2312" w:cs="仿宋_GB2312"/>
          <w:color w:val="000000"/>
          <w:sz w:val="32"/>
          <w:szCs w:val="32"/>
          <w:lang w:eastAsia="zh-CN"/>
        </w:rPr>
        <w:t>年12月31日，中共四川省阿坝州委政法委员会（本级）共有车辆</w:t>
      </w:r>
      <w:r>
        <w:rPr>
          <w:rFonts w:hint="eastAsia" w:ascii="仿宋_GB2312" w:hAnsi="仿宋_GB2312" w:eastAsia="仿宋_GB2312" w:cs="仿宋_GB2312"/>
          <w:color w:val="000000"/>
          <w:sz w:val="32"/>
          <w:szCs w:val="32"/>
          <w:lang w:val="en-US" w:eastAsia="zh-CN"/>
        </w:rPr>
        <w:t>6</w:t>
      </w:r>
      <w:r>
        <w:rPr>
          <w:rFonts w:hint="default" w:ascii="仿宋_GB2312" w:hAnsi="仿宋_GB2312" w:eastAsia="仿宋_GB2312" w:cs="仿宋_GB2312"/>
          <w:color w:val="000000"/>
          <w:sz w:val="32"/>
          <w:szCs w:val="32"/>
          <w:lang w:eastAsia="zh-CN"/>
        </w:rPr>
        <w:t>辆，其中：主要领导干部用车0辆、机要通信用车0辆、应急保障用车</w:t>
      </w:r>
      <w:r>
        <w:rPr>
          <w:rFonts w:hint="eastAsia" w:ascii="仿宋_GB2312" w:hAnsi="仿宋_GB2312" w:eastAsia="仿宋_GB2312" w:cs="仿宋_GB2312"/>
          <w:color w:val="000000"/>
          <w:sz w:val="32"/>
          <w:szCs w:val="32"/>
          <w:lang w:val="en-US" w:eastAsia="zh-CN"/>
        </w:rPr>
        <w:t>6</w:t>
      </w:r>
      <w:r>
        <w:rPr>
          <w:rFonts w:hint="default" w:ascii="仿宋_GB2312" w:hAnsi="仿宋_GB2312" w:eastAsia="仿宋_GB2312" w:cs="仿宋_GB2312"/>
          <w:color w:val="000000"/>
          <w:sz w:val="32"/>
          <w:szCs w:val="32"/>
          <w:lang w:eastAsia="zh-CN"/>
        </w:rPr>
        <w:t>辆、执法执勤用车0 辆、特种专业技术用车0辆、离退休干部用车0辆、其他用车 0辆。无单价50万元以上通用设备和单价100万元以上专用设备。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32"/>
          <w:lang w:eastAsia="zh-CN"/>
          <w14:textFill>
            <w14:solidFill>
              <w14:schemeClr w14:val="tx1"/>
            </w14:solidFill>
          </w14:textFill>
        </w:rPr>
      </w:pPr>
      <w:r>
        <w:rPr>
          <w:rFonts w:hint="default" w:ascii="仿宋_GB2312" w:hAnsi="仿宋_GB2312" w:eastAsia="仿宋_GB2312" w:cs="仿宋_GB2312"/>
          <w:color w:val="000000" w:themeColor="text1"/>
          <w:sz w:val="32"/>
          <w:szCs w:val="32"/>
          <w:lang w:eastAsia="zh-CN"/>
          <w14:textFill>
            <w14:solidFill>
              <w14:schemeClr w14:val="tx1"/>
            </w14:solidFill>
          </w14:textFill>
        </w:rPr>
        <w:t>（四）预算绩效管理情况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eastAsia="zh-CN"/>
        </w:rPr>
      </w:pPr>
      <w:bookmarkStart w:id="44" w:name="_Toc15377225"/>
      <w:bookmarkStart w:id="45" w:name="_Toc15396613"/>
      <w:r>
        <w:rPr>
          <w:rFonts w:hint="default" w:ascii="仿宋_GB2312" w:hAnsi="仿宋_GB2312" w:eastAsia="仿宋_GB2312" w:cs="仿宋_GB2312"/>
          <w:color w:val="000000"/>
          <w:sz w:val="32"/>
          <w:szCs w:val="32"/>
          <w:lang w:eastAsia="zh-CN"/>
        </w:rPr>
        <w:t>根据预算绩效管理要求，本部门在年初预算编制阶段，组织对</w:t>
      </w:r>
      <w:r>
        <w:rPr>
          <w:rFonts w:hint="eastAsia" w:ascii="仿宋_GB2312" w:hAnsi="仿宋_GB2312" w:eastAsia="仿宋_GB2312" w:cs="仿宋_GB2312"/>
          <w:color w:val="000000"/>
          <w:sz w:val="32"/>
          <w:szCs w:val="32"/>
          <w:lang w:val="en-US" w:eastAsia="zh-CN"/>
        </w:rPr>
        <w:t>20</w:t>
      </w:r>
      <w:r>
        <w:rPr>
          <w:rFonts w:hint="default" w:ascii="仿宋_GB2312" w:hAnsi="仿宋_GB2312" w:eastAsia="仿宋_GB2312" w:cs="仿宋_GB2312"/>
          <w:color w:val="000000"/>
          <w:sz w:val="32"/>
          <w:szCs w:val="32"/>
          <w:lang w:eastAsia="zh-CN"/>
        </w:rPr>
        <w:t>个项目开展了预算事前绩效评估，对</w:t>
      </w:r>
      <w:r>
        <w:rPr>
          <w:rFonts w:hint="eastAsia" w:ascii="仿宋_GB2312" w:hAnsi="仿宋_GB2312" w:eastAsia="仿宋_GB2312" w:cs="仿宋_GB2312"/>
          <w:color w:val="000000"/>
          <w:sz w:val="32"/>
          <w:szCs w:val="32"/>
          <w:lang w:val="en-US" w:eastAsia="zh-CN"/>
        </w:rPr>
        <w:t>20</w:t>
      </w:r>
      <w:r>
        <w:rPr>
          <w:rFonts w:hint="default" w:ascii="仿宋_GB2312" w:hAnsi="仿宋_GB2312" w:eastAsia="仿宋_GB2312" w:cs="仿宋_GB2312"/>
          <w:color w:val="000000"/>
          <w:sz w:val="32"/>
          <w:szCs w:val="32"/>
          <w:lang w:eastAsia="zh-CN"/>
        </w:rPr>
        <w:t>个项目编制了绩效目标，预算执行过程中，选取</w:t>
      </w:r>
      <w:r>
        <w:rPr>
          <w:rFonts w:hint="eastAsia" w:ascii="仿宋_GB2312" w:hAnsi="仿宋_GB2312" w:eastAsia="仿宋_GB2312" w:cs="仿宋_GB2312"/>
          <w:color w:val="000000"/>
          <w:sz w:val="32"/>
          <w:szCs w:val="32"/>
          <w:lang w:val="en-US" w:eastAsia="zh-CN"/>
        </w:rPr>
        <w:t>20</w:t>
      </w:r>
      <w:r>
        <w:rPr>
          <w:rFonts w:hint="default" w:ascii="仿宋_GB2312" w:hAnsi="仿宋_GB2312" w:eastAsia="仿宋_GB2312" w:cs="仿宋_GB2312"/>
          <w:color w:val="000000"/>
          <w:sz w:val="32"/>
          <w:szCs w:val="32"/>
          <w:lang w:eastAsia="zh-CN"/>
        </w:rPr>
        <w:t>个项目开展绩效监控，年终执行完毕后，对</w:t>
      </w:r>
      <w:r>
        <w:rPr>
          <w:rFonts w:hint="default"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val="en-US" w:eastAsia="zh-CN"/>
        </w:rPr>
        <w:t>0</w:t>
      </w:r>
      <w:r>
        <w:rPr>
          <w:rFonts w:hint="default" w:ascii="仿宋_GB2312" w:hAnsi="仿宋_GB2312" w:eastAsia="仿宋_GB2312" w:cs="仿宋_GB2312"/>
          <w:color w:val="000000"/>
          <w:sz w:val="32"/>
          <w:szCs w:val="32"/>
          <w:lang w:eastAsia="zh-CN"/>
        </w:rPr>
        <w:t>个项目开展了绩效自评。</w:t>
      </w:r>
    </w:p>
    <w:p>
      <w:pPr>
        <w:spacing w:line="580" w:lineRule="exact"/>
        <w:ind w:firstLine="480" w:firstLineChars="200"/>
        <w:rPr>
          <w:rFonts w:hint="default" w:ascii="Times New Roman" w:hAnsi="Times New Roman" w:eastAsia="宋体" w:cs="Times New Roman"/>
          <w:color w:val="000000"/>
          <w:sz w:val="24"/>
          <w:szCs w:val="24"/>
        </w:rPr>
      </w:pPr>
    </w:p>
    <w:bookmarkEnd w:id="44"/>
    <w:bookmarkEnd w:id="45"/>
    <w:p>
      <w:pPr>
        <w:pStyle w:val="18"/>
        <w:shd w:val="clear" w:color="auto" w:fill="FFFFFF"/>
        <w:spacing w:before="0" w:beforeAutospacing="0"/>
        <w:ind w:left="0"/>
        <w:jc w:val="center"/>
        <w:rPr>
          <w:rFonts w:hint="eastAsia" w:ascii="黑体" w:hAnsi="黑体" w:eastAsia="黑体" w:cs="黑体"/>
        </w:rPr>
      </w:pPr>
      <w:r>
        <w:rPr>
          <w:rStyle w:val="21"/>
          <w:rFonts w:hint="eastAsia" w:ascii="黑体" w:hAnsi="黑体" w:eastAsia="黑体" w:cs="黑体"/>
          <w:sz w:val="39"/>
          <w:szCs w:val="39"/>
        </w:rPr>
        <w:t>第三部分 名词解释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bookmarkStart w:id="46" w:name="_Toc15396614"/>
      <w:bookmarkStart w:id="47" w:name="_Toc15377226"/>
      <w:r>
        <w:rPr>
          <w:rFonts w:hint="eastAsia" w:ascii="仿宋_GB2312" w:hAnsi="仿宋_GB2312" w:eastAsia="仿宋_GB2312" w:cs="仿宋_GB2312"/>
          <w:color w:val="000000"/>
          <w:sz w:val="32"/>
          <w:szCs w:val="32"/>
        </w:rPr>
        <w:t>1．财政拨款收入：指省级财政当年拨付的资金。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2．其他收入：指除上述“财政拨款收入”、“事业收入”、“经营收入”等以外的收入。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3．公共安全支出（类）公安（款）行政运行（项）:指主要用于在职在编人员基本工资、津贴补贴，保障机关正常运转的日常公用支出。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公共安全支出（类）公安（款）一般行政管理事务（项）:指主要用于有序开展反恐维稳、社会治安综合治理、司法体制和社会体制改革、依法治省、政法队伍建设、政法部门服务保障经济发展、信息化建设以及见义勇为等重点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5．社会保障和就业支出（类）行政事业单位离退休（款）未归口管理的行政单位离退休（项）:指主要用于离退休人员离退休费和津补贴。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6．社会保障和就业支出（类）行政事业单位离退休（款）机关事业单位基本养老保险缴费支出（项）:指主要用于离退休人员离退休费和津补贴。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7．社会保障和就业支出（类）其他社会保障和就业支出（款）其他社会保障和就业支出（项）:指其它用于社会保障和就业方面的支出。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8．医疗卫生与计划生育支出（类）医疗保障（款）行政单位医疗（项）：指财政部门集中安排的行政单位基本医疗保险缴费经费。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9．医疗卫生与计划生育支出（类）医疗保障（款）公务员医疗补助（项）:指财政部门集中安排的公务员医疗补助经费。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10．住房保障支出（类）住房改革支出（款）住房公积金（项）:指按照相关政策规定比例为个人缴纳的住房公积金。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11．住房保障支出（类）住房改革支出（款）购房补贴（项）:指按照相关政策规定，向符合条件的个人发放的用于购买住房的补贴。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12．年末结转和结余：指本年度或以前年度预算安排、因客观条件发生变化无法按原计划实施，需延迟到以后年度按有关规定继续使用的资金。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13．基本支出：是用于保障省委政法委机关、省法学会、省政法研究所正常运转的日常支出，包括基本工资、津贴补贴等人员经费以及办公费、印刷费、水电费等日常公用经费。  　　14．项目支出：是用于保障省委政法委机关、省法学会、省政法研究所，为完成特定的行政工作任务或事业发展目标，用于专项业务工作的经费支出。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三公”经费：纳入省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default" w:ascii="Times New Roman" w:hAnsi="Times New Roman" w:eastAsia="宋体" w:cs="Times New Roman"/>
          <w:color w:val="000000"/>
          <w:sz w:val="24"/>
          <w:szCs w:val="24"/>
        </w:rPr>
      </w:pPr>
    </w:p>
    <w:bookmarkEnd w:id="46"/>
    <w:p>
      <w:pPr>
        <w:spacing w:line="580" w:lineRule="exact"/>
        <w:jc w:val="center"/>
        <w:rPr>
          <w:rFonts w:hint="eastAsia" w:ascii="黑体" w:hAnsi="黑体" w:eastAsia="黑体" w:cs="黑体"/>
          <w:color w:val="000000"/>
          <w:sz w:val="44"/>
          <w:szCs w:val="44"/>
        </w:rPr>
      </w:pPr>
      <w:bookmarkStart w:id="48" w:name="_Toc15396617"/>
      <w:r>
        <w:rPr>
          <w:rStyle w:val="21"/>
          <w:rFonts w:hint="eastAsia" w:ascii="黑体" w:hAnsi="黑体" w:eastAsia="黑体" w:cs="黑体"/>
          <w:sz w:val="44"/>
          <w:szCs w:val="44"/>
          <w:highlight w:val="none"/>
        </w:rPr>
        <w:t>第四部分 附件</w:t>
      </w:r>
    </w:p>
    <w:p>
      <w:pPr>
        <w:spacing w:line="600" w:lineRule="exact"/>
        <w:jc w:val="center"/>
        <w:outlineLvl w:val="0"/>
        <w:rPr>
          <w:rStyle w:val="23"/>
          <w:rFonts w:hint="default" w:ascii="Times New Roman" w:hAnsi="Times New Roman" w:eastAsia="宋体" w:cs="Times New Roman"/>
          <w:b w:val="0"/>
          <w:color w:val="000000"/>
          <w:sz w:val="24"/>
          <w:szCs w:val="24"/>
          <w:lang w:eastAsia="zh-CN"/>
        </w:rPr>
      </w:pPr>
    </w:p>
    <w:bookmarkEnd w:id="47"/>
    <w:bookmarkEnd w:id="48"/>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小标宋_GBK" w:cs="Times New Roman"/>
          <w:b w:val="0"/>
          <w:bCs w:val="0"/>
          <w:color w:val="000000"/>
          <w:sz w:val="36"/>
          <w:szCs w:val="36"/>
        </w:rPr>
      </w:pPr>
      <w:bookmarkStart w:id="49" w:name="_Toc15396618"/>
      <w:r>
        <w:rPr>
          <w:rFonts w:hint="default" w:ascii="Times New Roman" w:hAnsi="Times New Roman" w:eastAsia="方正小标宋_GBK" w:cs="Times New Roman"/>
          <w:b w:val="0"/>
          <w:bCs w:val="0"/>
          <w:color w:val="000000"/>
          <w:sz w:val="36"/>
          <w:szCs w:val="36"/>
        </w:rPr>
        <w:t>中共阿坝州委政法委员会</w:t>
      </w:r>
    </w:p>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default" w:ascii="Times New Roman" w:hAnsi="Times New Roman" w:eastAsia="方正小标宋简体" w:cs="Times New Roman"/>
          <w:color w:val="000000"/>
          <w:sz w:val="36"/>
          <w:szCs w:val="36"/>
        </w:rPr>
      </w:pPr>
      <w:r>
        <w:rPr>
          <w:rFonts w:hint="default" w:ascii="Times New Roman" w:hAnsi="Times New Roman" w:eastAsia="方正小标宋简体" w:cs="Times New Roman"/>
          <w:color w:val="000000"/>
          <w:sz w:val="36"/>
          <w:szCs w:val="36"/>
        </w:rPr>
        <w:t>关于202</w:t>
      </w:r>
      <w:r>
        <w:rPr>
          <w:rFonts w:hint="eastAsia" w:eastAsia="方正小标宋简体" w:cs="Times New Roman"/>
          <w:color w:val="000000"/>
          <w:sz w:val="36"/>
          <w:szCs w:val="36"/>
          <w:lang w:val="en-US" w:eastAsia="zh-CN"/>
        </w:rPr>
        <w:t>4</w:t>
      </w:r>
      <w:r>
        <w:rPr>
          <w:rFonts w:hint="default" w:ascii="Times New Roman" w:hAnsi="Times New Roman" w:eastAsia="方正小标宋简体" w:cs="Times New Roman"/>
          <w:color w:val="000000"/>
          <w:sz w:val="36"/>
          <w:szCs w:val="36"/>
        </w:rPr>
        <w:t>年整体支出绩效</w:t>
      </w:r>
      <w:r>
        <w:rPr>
          <w:rFonts w:hint="default" w:ascii="Times New Roman" w:hAnsi="Times New Roman" w:eastAsia="方正小标宋简体" w:cs="Times New Roman"/>
          <w:color w:val="000000"/>
          <w:sz w:val="36"/>
          <w:szCs w:val="36"/>
          <w:lang w:eastAsia="zh-CN"/>
        </w:rPr>
        <w:t>评价</w:t>
      </w:r>
      <w:r>
        <w:rPr>
          <w:rFonts w:hint="default" w:ascii="Times New Roman" w:hAnsi="Times New Roman" w:eastAsia="方正小标宋简体" w:cs="Times New Roman"/>
          <w:color w:val="000000"/>
          <w:sz w:val="36"/>
          <w:szCs w:val="36"/>
        </w:rPr>
        <w:t>报告</w:t>
      </w:r>
    </w:p>
    <w:p>
      <w:pPr>
        <w:widowControl/>
        <w:spacing w:line="578" w:lineRule="exact"/>
        <w:jc w:val="center"/>
        <w:rPr>
          <w:rFonts w:hint="default" w:ascii="Times New Roman" w:hAnsi="Times New Roman" w:eastAsia="方正小标宋简体" w:cs="Times New Roman"/>
          <w:color w:val="000000"/>
          <w:sz w:val="44"/>
          <w:szCs w:val="44"/>
        </w:rPr>
      </w:pPr>
    </w:p>
    <w:p>
      <w:pPr>
        <w:keepNext w:val="0"/>
        <w:keepLines w:val="0"/>
        <w:pageBreakBefore w:val="0"/>
        <w:widowControl w:val="0"/>
        <w:kinsoku/>
        <w:wordWrap/>
        <w:overflowPunct/>
        <w:topLinePunct w:val="0"/>
        <w:autoSpaceDE/>
        <w:autoSpaceDN/>
        <w:bidi w:val="0"/>
        <w:adjustRightInd/>
        <w:snapToGrid/>
        <w:spacing w:line="576" w:lineRule="exact"/>
        <w:ind w:right="99"/>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州财政局：</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按照阿坝州财政局《关于开展2025年州级部门预算绩效自评工作的通知》（阿州财监绩〔2025〕4号）要求，我单位及时对2024年度单位整体支出绩效情况开展自评，现将自评情况报告如下：</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default" w:ascii="Times New Roman" w:hAnsi="Times New Roman" w:eastAsia="方正公文黑体" w:cs="Times New Roman"/>
          <w:b w:val="0"/>
          <w:bCs w:val="0"/>
          <w:color w:val="000000"/>
          <w:kern w:val="0"/>
          <w:sz w:val="32"/>
          <w:szCs w:val="32"/>
          <w:shd w:val="clear" w:color="auto" w:fill="FFFFFF"/>
          <w:lang w:val="zh-CN"/>
        </w:rPr>
      </w:pPr>
      <w:r>
        <w:rPr>
          <w:rFonts w:hint="default" w:ascii="Times New Roman" w:hAnsi="Times New Roman" w:eastAsia="方正公文黑体" w:cs="Times New Roman"/>
          <w:b w:val="0"/>
          <w:bCs w:val="0"/>
          <w:color w:val="000000"/>
          <w:kern w:val="0"/>
          <w:sz w:val="32"/>
          <w:szCs w:val="32"/>
          <w:shd w:val="clear" w:color="auto" w:fill="FFFFFF"/>
          <w:lang w:val="zh-CN"/>
        </w:rPr>
        <w:t>一、单位概况</w:t>
      </w:r>
    </w:p>
    <w:p>
      <w:pPr>
        <w:pStyle w:val="7"/>
        <w:keepNext w:val="0"/>
        <w:keepLines w:val="0"/>
        <w:pageBreakBefore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方正公文楷体" w:cs="Times New Roman"/>
          <w:b w:val="0"/>
          <w:bCs w:val="0"/>
          <w:color w:val="000000"/>
          <w:kern w:val="0"/>
          <w:sz w:val="32"/>
          <w:szCs w:val="32"/>
          <w:shd w:val="clear" w:color="auto" w:fill="FFFFFF"/>
          <w:lang w:val="zh-CN"/>
        </w:rPr>
      </w:pPr>
      <w:r>
        <w:rPr>
          <w:rFonts w:hint="default" w:ascii="Times New Roman" w:hAnsi="Times New Roman" w:eastAsia="方正公文楷体" w:cs="Times New Roman"/>
          <w:b w:val="0"/>
          <w:bCs w:val="0"/>
          <w:color w:val="000000"/>
          <w:kern w:val="0"/>
          <w:sz w:val="32"/>
          <w:szCs w:val="32"/>
          <w:shd w:val="clear" w:color="auto" w:fill="FFFFFF"/>
          <w:lang w:val="zh-CN"/>
        </w:rPr>
        <w:t>（一）机构组成。</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州委政法委属</w:t>
      </w:r>
      <w:r>
        <w:rPr>
          <w:rFonts w:hint="default" w:ascii="Times New Roman" w:hAnsi="Times New Roman" w:eastAsia="仿宋_GB2312" w:cs="Times New Roman"/>
          <w:b w:val="0"/>
          <w:bCs w:val="0"/>
          <w:color w:val="000000"/>
          <w:sz w:val="32"/>
          <w:szCs w:val="32"/>
          <w:lang w:eastAsia="zh-CN"/>
        </w:rPr>
        <w:t>二</w:t>
      </w:r>
      <w:r>
        <w:rPr>
          <w:rFonts w:hint="default" w:ascii="Times New Roman" w:hAnsi="Times New Roman" w:eastAsia="仿宋_GB2312" w:cs="Times New Roman"/>
          <w:b w:val="0"/>
          <w:bCs w:val="0"/>
          <w:color w:val="000000"/>
          <w:sz w:val="32"/>
          <w:szCs w:val="32"/>
        </w:rPr>
        <w:t>级预算单位。内设办公室、州委维护稳定指挥部办公室、维护稳定与综治督导科、基层社会治理科、法治与执法监督科、宣传科、政治部。</w:t>
      </w:r>
    </w:p>
    <w:p>
      <w:pPr>
        <w:pStyle w:val="7"/>
        <w:keepNext w:val="0"/>
        <w:keepLines w:val="0"/>
        <w:pageBreakBefore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方正公文楷体" w:cs="Times New Roman"/>
          <w:b w:val="0"/>
          <w:bCs w:val="0"/>
          <w:color w:val="000000"/>
          <w:kern w:val="0"/>
          <w:sz w:val="32"/>
          <w:szCs w:val="32"/>
          <w:shd w:val="clear" w:color="auto" w:fill="FFFFFF"/>
          <w:lang w:val="zh-CN"/>
        </w:rPr>
      </w:pPr>
      <w:r>
        <w:rPr>
          <w:rFonts w:hint="default" w:ascii="Times New Roman" w:hAnsi="Times New Roman" w:eastAsia="方正公文楷体" w:cs="Times New Roman"/>
          <w:b w:val="0"/>
          <w:bCs w:val="0"/>
          <w:color w:val="000000"/>
          <w:kern w:val="0"/>
          <w:sz w:val="32"/>
          <w:szCs w:val="32"/>
          <w:shd w:val="clear" w:color="auto" w:fill="FFFFFF"/>
          <w:lang w:val="zh-CN"/>
        </w:rPr>
        <w:t>（二）机构职能。</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州委政法委职能简介</w:t>
      </w:r>
    </w:p>
    <w:p>
      <w:pPr>
        <w:pStyle w:val="7"/>
        <w:keepNext w:val="0"/>
        <w:keepLines w:val="0"/>
        <w:pageBreakBefore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eastAsia" w:eastAsia="仿宋_GB2312" w:cs="Times New Roman"/>
          <w:b w:val="0"/>
          <w:bCs w:val="0"/>
          <w:color w:val="000000"/>
          <w:sz w:val="32"/>
          <w:szCs w:val="32"/>
          <w:lang w:val="en-US" w:eastAsia="zh-CN"/>
        </w:rPr>
        <w:t>1.</w:t>
      </w:r>
      <w:r>
        <w:rPr>
          <w:rFonts w:hint="default" w:ascii="Times New Roman" w:hAnsi="Times New Roman" w:eastAsia="仿宋_GB2312" w:cs="Times New Roman"/>
          <w:b w:val="0"/>
          <w:bCs w:val="0"/>
          <w:color w:val="000000"/>
          <w:sz w:val="32"/>
          <w:szCs w:val="32"/>
        </w:rPr>
        <w:t>贯彻习近平新时代中国特色社会主义思想，坚持党对政法工作的绝对领导，坚决执行党的路线方针政策和党中央、省委及州委重大决策部署，推动完善和落实政治轮训和政治督察制度，推进平安阿坝、法治阿坝建设，加强过硬队伍建设，深化智能化建设，确保社会大局稳定、促进社会公平正义、保障人民安居乐业。</w:t>
      </w:r>
    </w:p>
    <w:p>
      <w:pPr>
        <w:pStyle w:val="7"/>
        <w:keepNext w:val="0"/>
        <w:keepLines w:val="0"/>
        <w:pageBreakBefore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eastAsia" w:eastAsia="仿宋_GB2312" w:cs="Times New Roman"/>
          <w:b w:val="0"/>
          <w:bCs w:val="0"/>
          <w:color w:val="000000"/>
          <w:sz w:val="32"/>
          <w:szCs w:val="32"/>
          <w:lang w:val="en-US" w:eastAsia="zh-CN"/>
        </w:rPr>
        <w:t>2.</w:t>
      </w:r>
      <w:r>
        <w:rPr>
          <w:rFonts w:hint="default" w:ascii="Times New Roman" w:hAnsi="Times New Roman" w:eastAsia="仿宋_GB2312" w:cs="Times New Roman"/>
          <w:b w:val="0"/>
          <w:bCs w:val="0"/>
          <w:color w:val="000000"/>
          <w:sz w:val="32"/>
          <w:szCs w:val="32"/>
        </w:rPr>
        <w:t>贯彻党中央、省委和州委以及上级党组织决定，研究协调政法单位之间以及政法单位和有关部门、地方之间有关重大事项，统一政法单位思想和行动。</w:t>
      </w:r>
    </w:p>
    <w:p>
      <w:pPr>
        <w:pStyle w:val="7"/>
        <w:keepNext w:val="0"/>
        <w:keepLines w:val="0"/>
        <w:pageBreakBefore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eastAsia" w:eastAsia="仿宋_GB2312" w:cs="Times New Roman"/>
          <w:b w:val="0"/>
          <w:bCs w:val="0"/>
          <w:color w:val="000000"/>
          <w:sz w:val="32"/>
          <w:szCs w:val="32"/>
          <w:lang w:val="en-US" w:eastAsia="zh-CN"/>
        </w:rPr>
        <w:t>3.</w:t>
      </w:r>
      <w:r>
        <w:rPr>
          <w:rFonts w:hint="default" w:ascii="Times New Roman" w:hAnsi="Times New Roman" w:eastAsia="仿宋_GB2312" w:cs="Times New Roman"/>
          <w:b w:val="0"/>
          <w:bCs w:val="0"/>
          <w:color w:val="000000"/>
          <w:sz w:val="32"/>
          <w:szCs w:val="32"/>
        </w:rPr>
        <w:t>组织开展政法领域重大实践和理论问题的调查研究，研究拟订全州政法工作的政策措施，及时向州委提出重大决策部署和改革措施的意见和建议，协助州委决策和统筹推进政法领域改革等各项工作。参与有关民族自治法规、地方性法规和规章的起草、修改工作，及时提出立法建议。</w:t>
      </w:r>
    </w:p>
    <w:p>
      <w:pPr>
        <w:pStyle w:val="7"/>
        <w:keepNext w:val="0"/>
        <w:keepLines w:val="0"/>
        <w:pageBreakBefore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eastAsia" w:eastAsia="仿宋_GB2312" w:cs="Times New Roman"/>
          <w:b w:val="0"/>
          <w:bCs w:val="0"/>
          <w:color w:val="000000"/>
          <w:sz w:val="32"/>
          <w:szCs w:val="32"/>
          <w:lang w:val="en-US" w:eastAsia="zh-CN"/>
        </w:rPr>
        <w:t>4.</w:t>
      </w:r>
      <w:r>
        <w:rPr>
          <w:rFonts w:hint="default" w:ascii="Times New Roman" w:hAnsi="Times New Roman" w:eastAsia="仿宋_GB2312" w:cs="Times New Roman"/>
          <w:b w:val="0"/>
          <w:bCs w:val="0"/>
          <w:color w:val="000000"/>
          <w:sz w:val="32"/>
          <w:szCs w:val="32"/>
        </w:rPr>
        <w:t>了解掌握和分析研判社会稳定形势、政法工作情况动态，创新完善多部门参与的综治维稳机制，协调推动预防、化解影响稳定的社会矛盾和风险，协调应对和妥善处置重大突发事件。</w:t>
      </w:r>
    </w:p>
    <w:p>
      <w:pPr>
        <w:pStyle w:val="7"/>
        <w:keepNext w:val="0"/>
        <w:keepLines w:val="0"/>
        <w:pageBreakBefore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eastAsia" w:eastAsia="仿宋_GB2312" w:cs="Times New Roman"/>
          <w:b w:val="0"/>
          <w:bCs w:val="0"/>
          <w:color w:val="000000"/>
          <w:sz w:val="32"/>
          <w:szCs w:val="32"/>
          <w:lang w:val="en-US" w:eastAsia="zh-CN"/>
        </w:rPr>
        <w:t>5.</w:t>
      </w:r>
      <w:r>
        <w:rPr>
          <w:rFonts w:hint="default" w:ascii="Times New Roman" w:hAnsi="Times New Roman" w:eastAsia="仿宋_GB2312" w:cs="Times New Roman"/>
          <w:b w:val="0"/>
          <w:bCs w:val="0"/>
          <w:color w:val="000000"/>
          <w:sz w:val="32"/>
          <w:szCs w:val="32"/>
        </w:rPr>
        <w:t>加强对政法工作的督查，统筹协调维护社会稳定、社会治安综合治理等有关法律法规和政策的实施工作。</w:t>
      </w:r>
    </w:p>
    <w:p>
      <w:pPr>
        <w:pStyle w:val="7"/>
        <w:keepNext w:val="0"/>
        <w:keepLines w:val="0"/>
        <w:pageBreakBefore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eastAsia" w:eastAsia="仿宋_GB2312" w:cs="Times New Roman"/>
          <w:b w:val="0"/>
          <w:bCs w:val="0"/>
          <w:color w:val="000000"/>
          <w:sz w:val="32"/>
          <w:szCs w:val="32"/>
          <w:lang w:val="en-US" w:eastAsia="zh-CN"/>
        </w:rPr>
        <w:t>6.</w:t>
      </w:r>
      <w:r>
        <w:rPr>
          <w:rFonts w:hint="default" w:ascii="Times New Roman" w:hAnsi="Times New Roman" w:eastAsia="仿宋_GB2312" w:cs="Times New Roman"/>
          <w:b w:val="0"/>
          <w:bCs w:val="0"/>
          <w:color w:val="000000"/>
          <w:sz w:val="32"/>
          <w:szCs w:val="32"/>
        </w:rPr>
        <w:t>支持和监督政法单位依法行使职权，检查政法单位执行党的路线方针政策、党中央、省委和州委重大决策部署以及法律法规的情况，指导和协调政法单位密切配合，完善与纪检监察机关工作衔接和协作配合机制，推进严格执法、公正司法。</w:t>
      </w:r>
    </w:p>
    <w:p>
      <w:pPr>
        <w:pStyle w:val="7"/>
        <w:keepNext w:val="0"/>
        <w:keepLines w:val="0"/>
        <w:pageBreakBefore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eastAsia" w:eastAsia="仿宋_GB2312" w:cs="Times New Roman"/>
          <w:b w:val="0"/>
          <w:bCs w:val="0"/>
          <w:color w:val="000000"/>
          <w:sz w:val="32"/>
          <w:szCs w:val="32"/>
          <w:lang w:val="en-US" w:eastAsia="zh-CN"/>
        </w:rPr>
        <w:t>7.</w:t>
      </w:r>
      <w:r>
        <w:rPr>
          <w:rFonts w:hint="default" w:ascii="Times New Roman" w:hAnsi="Times New Roman" w:eastAsia="仿宋_GB2312" w:cs="Times New Roman"/>
          <w:b w:val="0"/>
          <w:bCs w:val="0"/>
          <w:color w:val="000000"/>
          <w:sz w:val="32"/>
          <w:szCs w:val="32"/>
        </w:rPr>
        <w:t>指导推动政法系统党的建设和政法队伍建设，协助州委及州委组织部加强政法单位领导班子和干部队伍建设，协助州委和州纪委监委做好监督检查、审查调查工作。</w:t>
      </w:r>
    </w:p>
    <w:p>
      <w:pPr>
        <w:pStyle w:val="7"/>
        <w:keepNext w:val="0"/>
        <w:keepLines w:val="0"/>
        <w:pageBreakBefore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eastAsia" w:eastAsia="仿宋_GB2312" w:cs="Times New Roman"/>
          <w:b w:val="0"/>
          <w:bCs w:val="0"/>
          <w:color w:val="000000"/>
          <w:sz w:val="32"/>
          <w:szCs w:val="32"/>
          <w:lang w:val="en-US" w:eastAsia="zh-CN"/>
        </w:rPr>
        <w:t>8.</w:t>
      </w:r>
      <w:r>
        <w:rPr>
          <w:rFonts w:hint="default" w:ascii="Times New Roman" w:hAnsi="Times New Roman" w:eastAsia="仿宋_GB2312" w:cs="Times New Roman"/>
          <w:b w:val="0"/>
          <w:bCs w:val="0"/>
          <w:color w:val="000000"/>
          <w:sz w:val="32"/>
          <w:szCs w:val="32"/>
        </w:rPr>
        <w:t>落实全面依法治国领导机构、城乡基层治理领导机构的各项部署，支持配合其办事机构工作。指导政法单位加强社会稳定、平安建设、法治建设等重大问题研究，提出建议和工作意见，指导和协调政法单位开展维护社会稳定、执法司法、创新社会治理等有关工作。指导见义勇为表彰奖励工作。</w:t>
      </w:r>
    </w:p>
    <w:p>
      <w:pPr>
        <w:pStyle w:val="7"/>
        <w:keepNext w:val="0"/>
        <w:keepLines w:val="0"/>
        <w:pageBreakBefore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eastAsia" w:eastAsia="仿宋_GB2312" w:cs="Times New Roman"/>
          <w:b w:val="0"/>
          <w:bCs w:val="0"/>
          <w:color w:val="000000"/>
          <w:sz w:val="32"/>
          <w:szCs w:val="32"/>
          <w:lang w:val="en-US" w:eastAsia="zh-CN"/>
        </w:rPr>
        <w:t>9.</w:t>
      </w:r>
      <w:r>
        <w:rPr>
          <w:rFonts w:hint="default" w:ascii="Times New Roman" w:hAnsi="Times New Roman" w:eastAsia="仿宋_GB2312" w:cs="Times New Roman"/>
          <w:b w:val="0"/>
          <w:bCs w:val="0"/>
          <w:color w:val="000000"/>
          <w:sz w:val="32"/>
          <w:szCs w:val="32"/>
        </w:rPr>
        <w:t>掌握分析政法舆情动态，指导和协调政法单位和有关部门做好依法办理、宣传报道和舆论引导等相关工作,推动政法网络新媒体发展。统筹指导并推动智能化建设。</w:t>
      </w:r>
    </w:p>
    <w:p>
      <w:pPr>
        <w:pStyle w:val="7"/>
        <w:keepNext w:val="0"/>
        <w:keepLines w:val="0"/>
        <w:pageBreakBefore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eastAsia" w:eastAsia="仿宋_GB2312" w:cs="Times New Roman"/>
          <w:b w:val="0"/>
          <w:bCs w:val="0"/>
          <w:color w:val="000000"/>
          <w:sz w:val="32"/>
          <w:szCs w:val="32"/>
          <w:lang w:val="en-US" w:eastAsia="zh-CN"/>
        </w:rPr>
        <w:t>10.</w:t>
      </w:r>
      <w:r>
        <w:rPr>
          <w:rFonts w:hint="default" w:ascii="Times New Roman" w:hAnsi="Times New Roman" w:eastAsia="仿宋_GB2312" w:cs="Times New Roman"/>
          <w:b w:val="0"/>
          <w:bCs w:val="0"/>
          <w:color w:val="000000"/>
          <w:sz w:val="32"/>
          <w:szCs w:val="32"/>
        </w:rPr>
        <w:t>完成州委和上级党委政法委员会交办的其他任务。</w:t>
      </w:r>
    </w:p>
    <w:p>
      <w:pPr>
        <w:pStyle w:val="7"/>
        <w:keepNext w:val="0"/>
        <w:keepLines w:val="0"/>
        <w:pageBreakBefore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方正公文楷体" w:cs="Times New Roman"/>
          <w:b w:val="0"/>
          <w:bCs w:val="0"/>
          <w:color w:val="000000"/>
          <w:kern w:val="0"/>
          <w:sz w:val="32"/>
          <w:szCs w:val="32"/>
          <w:shd w:val="clear" w:color="auto" w:fill="FFFFFF"/>
          <w:lang w:val="zh-CN"/>
        </w:rPr>
      </w:pPr>
      <w:r>
        <w:rPr>
          <w:rFonts w:hint="default" w:ascii="Times New Roman" w:hAnsi="Times New Roman" w:eastAsia="方正公文楷体" w:cs="Times New Roman"/>
          <w:b w:val="0"/>
          <w:bCs w:val="0"/>
          <w:color w:val="000000"/>
          <w:kern w:val="0"/>
          <w:sz w:val="32"/>
          <w:szCs w:val="32"/>
          <w:shd w:val="clear" w:color="auto" w:fill="FFFFFF"/>
          <w:lang w:val="zh-CN"/>
        </w:rPr>
        <w:t>（三）人员概况。</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州编委核定州委政法委人员编制30名，其中：公务员编制22名，工勤编制8名。202</w:t>
      </w:r>
      <w:r>
        <w:rPr>
          <w:rFonts w:hint="eastAsia" w:eastAsia="仿宋_GB2312" w:cs="Times New Roman"/>
          <w:b w:val="0"/>
          <w:bCs w:val="0"/>
          <w:color w:val="000000"/>
          <w:sz w:val="32"/>
          <w:szCs w:val="32"/>
          <w:lang w:val="en-US" w:eastAsia="zh-CN"/>
        </w:rPr>
        <w:t>4</w:t>
      </w:r>
      <w:r>
        <w:rPr>
          <w:rFonts w:hint="default" w:ascii="Times New Roman" w:hAnsi="Times New Roman" w:eastAsia="仿宋_GB2312" w:cs="Times New Roman"/>
          <w:b w:val="0"/>
          <w:bCs w:val="0"/>
          <w:color w:val="000000"/>
          <w:sz w:val="32"/>
          <w:szCs w:val="32"/>
        </w:rPr>
        <w:t>年底在职职工2</w:t>
      </w:r>
      <w:r>
        <w:rPr>
          <w:rFonts w:hint="eastAsia" w:eastAsia="仿宋_GB2312" w:cs="Times New Roman"/>
          <w:b w:val="0"/>
          <w:bCs w:val="0"/>
          <w:color w:val="000000"/>
          <w:sz w:val="32"/>
          <w:szCs w:val="32"/>
          <w:lang w:val="en-US" w:eastAsia="zh-CN"/>
        </w:rPr>
        <w:t>6</w:t>
      </w:r>
      <w:r>
        <w:rPr>
          <w:rFonts w:hint="default" w:ascii="Times New Roman" w:hAnsi="Times New Roman" w:eastAsia="仿宋_GB2312" w:cs="Times New Roman"/>
          <w:b w:val="0"/>
          <w:bCs w:val="0"/>
          <w:color w:val="000000"/>
          <w:sz w:val="32"/>
          <w:szCs w:val="32"/>
        </w:rPr>
        <w:t>人，</w:t>
      </w:r>
      <w:r>
        <w:rPr>
          <w:rFonts w:hint="default" w:ascii="Times New Roman" w:hAnsi="Times New Roman" w:eastAsia="仿宋_GB2312" w:cs="Times New Roman"/>
          <w:b w:val="0"/>
          <w:bCs w:val="0"/>
          <w:color w:val="000000"/>
          <w:sz w:val="32"/>
          <w:szCs w:val="32"/>
          <w:lang w:eastAsia="zh-CN"/>
        </w:rPr>
        <w:t>编外长聘人员</w:t>
      </w:r>
      <w:r>
        <w:rPr>
          <w:rFonts w:hint="eastAsia" w:eastAsia="仿宋_GB2312" w:cs="Times New Roman"/>
          <w:b w:val="0"/>
          <w:bCs w:val="0"/>
          <w:color w:val="000000"/>
          <w:sz w:val="32"/>
          <w:szCs w:val="32"/>
          <w:lang w:val="en-US" w:eastAsia="zh-CN"/>
        </w:rPr>
        <w:t>2</w:t>
      </w:r>
      <w:r>
        <w:rPr>
          <w:rFonts w:hint="default" w:ascii="Times New Roman" w:hAnsi="Times New Roman" w:eastAsia="仿宋_GB2312" w:cs="Times New Roman"/>
          <w:b w:val="0"/>
          <w:bCs w:val="0"/>
          <w:color w:val="000000"/>
          <w:sz w:val="32"/>
          <w:szCs w:val="32"/>
          <w:lang w:val="en-US" w:eastAsia="zh-CN"/>
        </w:rPr>
        <w:t>人</w:t>
      </w:r>
      <w:r>
        <w:rPr>
          <w:rFonts w:hint="eastAsia" w:eastAsia="仿宋_GB2312" w:cs="Times New Roman"/>
          <w:b w:val="0"/>
          <w:bCs w:val="0"/>
          <w:color w:val="000000"/>
          <w:sz w:val="32"/>
          <w:szCs w:val="32"/>
          <w:lang w:val="en-US" w:eastAsia="zh-CN"/>
        </w:rPr>
        <w:t>。</w:t>
      </w:r>
      <w:r>
        <w:rPr>
          <w:rFonts w:hint="default" w:ascii="Times New Roman" w:hAnsi="Times New Roman" w:eastAsia="仿宋_GB2312" w:cs="Times New Roman"/>
          <w:b w:val="0"/>
          <w:bCs w:val="0"/>
          <w:color w:val="000000"/>
          <w:sz w:val="32"/>
          <w:szCs w:val="32"/>
        </w:rPr>
        <w:t>退休职工</w:t>
      </w:r>
      <w:r>
        <w:rPr>
          <w:rFonts w:hint="eastAsia" w:eastAsia="仿宋_GB2312" w:cs="Times New Roman"/>
          <w:b w:val="0"/>
          <w:bCs w:val="0"/>
          <w:color w:val="000000"/>
          <w:sz w:val="32"/>
          <w:szCs w:val="32"/>
          <w:lang w:val="en-US" w:eastAsia="zh-CN"/>
        </w:rPr>
        <w:t>9</w:t>
      </w:r>
      <w:r>
        <w:rPr>
          <w:rFonts w:hint="default" w:ascii="Times New Roman" w:hAnsi="Times New Roman" w:eastAsia="仿宋_GB2312" w:cs="Times New Roman"/>
          <w:b w:val="0"/>
          <w:bCs w:val="0"/>
          <w:color w:val="000000"/>
          <w:sz w:val="32"/>
          <w:szCs w:val="32"/>
        </w:rPr>
        <w:t>人已纳入社保。</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default" w:ascii="Times New Roman" w:hAnsi="Times New Roman" w:eastAsia="方正公文黑体" w:cs="Times New Roman"/>
          <w:b w:val="0"/>
          <w:bCs w:val="0"/>
          <w:color w:val="000000"/>
          <w:kern w:val="0"/>
          <w:sz w:val="32"/>
          <w:szCs w:val="32"/>
          <w:shd w:val="clear" w:color="auto" w:fill="FFFFFF"/>
          <w:lang w:val="zh-CN"/>
        </w:rPr>
      </w:pPr>
      <w:r>
        <w:rPr>
          <w:rFonts w:hint="default" w:ascii="Times New Roman" w:hAnsi="Times New Roman" w:eastAsia="方正公文黑体" w:cs="Times New Roman"/>
          <w:b w:val="0"/>
          <w:bCs w:val="0"/>
          <w:color w:val="000000"/>
          <w:kern w:val="0"/>
          <w:sz w:val="32"/>
          <w:szCs w:val="32"/>
          <w:shd w:val="clear" w:color="auto" w:fill="FFFFFF"/>
          <w:lang w:val="zh-CN"/>
        </w:rPr>
        <w:t>二、单位资金收支情况</w:t>
      </w:r>
    </w:p>
    <w:p>
      <w:pPr>
        <w:pStyle w:val="7"/>
        <w:keepNext w:val="0"/>
        <w:keepLines w:val="0"/>
        <w:pageBreakBefore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方正公文楷体" w:cs="Times New Roman"/>
          <w:b w:val="0"/>
          <w:bCs w:val="0"/>
          <w:color w:val="000000"/>
          <w:kern w:val="0"/>
          <w:sz w:val="32"/>
          <w:szCs w:val="32"/>
          <w:shd w:val="clear" w:color="auto" w:fill="FFFFFF"/>
          <w:lang w:val="zh-CN"/>
        </w:rPr>
      </w:pPr>
      <w:r>
        <w:rPr>
          <w:rFonts w:hint="default" w:ascii="Times New Roman" w:hAnsi="Times New Roman" w:eastAsia="方正公文楷体" w:cs="Times New Roman"/>
          <w:b w:val="0"/>
          <w:bCs w:val="0"/>
          <w:color w:val="000000"/>
          <w:kern w:val="0"/>
          <w:sz w:val="32"/>
          <w:szCs w:val="32"/>
          <w:shd w:val="clear" w:color="auto" w:fill="FFFFFF"/>
          <w:lang w:val="zh-CN"/>
        </w:rPr>
        <w:t>（一）收入情况</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202</w:t>
      </w:r>
      <w:r>
        <w:rPr>
          <w:rFonts w:hint="eastAsia" w:eastAsia="仿宋_GB2312" w:cs="Times New Roman"/>
          <w:b w:val="0"/>
          <w:bCs w:val="0"/>
          <w:color w:val="000000"/>
          <w:sz w:val="32"/>
          <w:szCs w:val="32"/>
          <w:lang w:val="en-US" w:eastAsia="zh-CN"/>
        </w:rPr>
        <w:t>4</w:t>
      </w:r>
      <w:r>
        <w:rPr>
          <w:rFonts w:hint="default" w:ascii="Times New Roman" w:hAnsi="Times New Roman" w:eastAsia="仿宋_GB2312" w:cs="Times New Roman"/>
          <w:b w:val="0"/>
          <w:bCs w:val="0"/>
          <w:color w:val="000000"/>
          <w:sz w:val="32"/>
          <w:szCs w:val="32"/>
        </w:rPr>
        <w:t>年年初预算收入为</w:t>
      </w:r>
      <w:r>
        <w:rPr>
          <w:rFonts w:hint="eastAsia" w:eastAsia="仿宋_GB2312" w:cs="Times New Roman"/>
          <w:b w:val="0"/>
          <w:bCs w:val="0"/>
          <w:color w:val="000000"/>
          <w:sz w:val="32"/>
          <w:szCs w:val="32"/>
          <w:lang w:val="en-US" w:eastAsia="zh-CN"/>
        </w:rPr>
        <w:t>1428.84万</w:t>
      </w:r>
      <w:r>
        <w:rPr>
          <w:rFonts w:hint="default" w:ascii="Times New Roman" w:hAnsi="Times New Roman" w:eastAsia="仿宋_GB2312" w:cs="Times New Roman"/>
          <w:b w:val="0"/>
          <w:bCs w:val="0"/>
          <w:color w:val="000000"/>
          <w:sz w:val="32"/>
          <w:szCs w:val="32"/>
        </w:rPr>
        <w:t>元，决算报表收入为</w:t>
      </w:r>
      <w:r>
        <w:rPr>
          <w:rFonts w:hint="eastAsia" w:eastAsia="仿宋_GB2312" w:cs="Times New Roman"/>
          <w:b w:val="0"/>
          <w:bCs w:val="0"/>
          <w:color w:val="000000"/>
          <w:sz w:val="32"/>
          <w:szCs w:val="32"/>
          <w:lang w:val="en-US" w:eastAsia="zh-CN"/>
        </w:rPr>
        <w:t>2369</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05万</w:t>
      </w:r>
      <w:r>
        <w:rPr>
          <w:rFonts w:hint="default" w:ascii="Times New Roman" w:hAnsi="Times New Roman" w:eastAsia="仿宋_GB2312" w:cs="Times New Roman"/>
          <w:b w:val="0"/>
          <w:bCs w:val="0"/>
          <w:color w:val="000000"/>
          <w:sz w:val="32"/>
          <w:szCs w:val="32"/>
        </w:rPr>
        <w:t>元。</w:t>
      </w:r>
    </w:p>
    <w:p>
      <w:pPr>
        <w:pStyle w:val="7"/>
        <w:keepNext w:val="0"/>
        <w:keepLines w:val="0"/>
        <w:pageBreakBefore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方正公文楷体" w:cs="Times New Roman"/>
          <w:b w:val="0"/>
          <w:bCs w:val="0"/>
          <w:color w:val="000000"/>
          <w:kern w:val="0"/>
          <w:sz w:val="32"/>
          <w:szCs w:val="32"/>
          <w:shd w:val="clear" w:color="auto" w:fill="FFFFFF"/>
          <w:lang w:val="zh-CN"/>
        </w:rPr>
      </w:pPr>
      <w:r>
        <w:rPr>
          <w:rFonts w:hint="default" w:ascii="Times New Roman" w:hAnsi="Times New Roman" w:eastAsia="方正公文楷体" w:cs="Times New Roman"/>
          <w:b w:val="0"/>
          <w:bCs w:val="0"/>
          <w:color w:val="000000"/>
          <w:kern w:val="0"/>
          <w:sz w:val="32"/>
          <w:szCs w:val="32"/>
          <w:shd w:val="clear" w:color="auto" w:fill="FFFFFF"/>
          <w:lang w:val="zh-CN"/>
        </w:rPr>
        <w:t>（二）支出情况</w:t>
      </w:r>
    </w:p>
    <w:p>
      <w:pPr>
        <w:pBdr>
          <w:bottom w:val="single" w:color="FFFFFF" w:sz="4" w:space="31"/>
        </w:pBdr>
        <w:tabs>
          <w:tab w:val="left" w:pos="1440"/>
        </w:tabs>
        <w:spacing w:line="576" w:lineRule="exact"/>
        <w:ind w:firstLine="640" w:firstLineChars="200"/>
        <w:rPr>
          <w:rFonts w:hint="eastAsia" w:ascii="仿宋_GB2312" w:eastAsia="仿宋_GB2312"/>
          <w:color w:val="000000"/>
          <w:sz w:val="32"/>
          <w:szCs w:val="32"/>
        </w:rPr>
      </w:pPr>
      <w:r>
        <w:rPr>
          <w:rFonts w:hint="default" w:ascii="Times New Roman" w:hAnsi="Times New Roman" w:eastAsia="仿宋_GB2312" w:cs="Times New Roman"/>
          <w:b w:val="0"/>
          <w:bCs w:val="0"/>
          <w:color w:val="000000"/>
          <w:sz w:val="32"/>
          <w:szCs w:val="32"/>
        </w:rPr>
        <w:t>202</w:t>
      </w:r>
      <w:r>
        <w:rPr>
          <w:rFonts w:hint="eastAsia" w:eastAsia="仿宋_GB2312" w:cs="Times New Roman"/>
          <w:b w:val="0"/>
          <w:bCs w:val="0"/>
          <w:color w:val="000000"/>
          <w:sz w:val="32"/>
          <w:szCs w:val="32"/>
          <w:lang w:val="en-US" w:eastAsia="zh-CN"/>
        </w:rPr>
        <w:t>4</w:t>
      </w:r>
      <w:r>
        <w:rPr>
          <w:rFonts w:hint="default" w:ascii="Times New Roman" w:hAnsi="Times New Roman" w:eastAsia="仿宋_GB2312" w:cs="Times New Roman"/>
          <w:b w:val="0"/>
          <w:bCs w:val="0"/>
          <w:color w:val="000000"/>
          <w:sz w:val="32"/>
          <w:szCs w:val="32"/>
        </w:rPr>
        <w:t>年年初预算支出为</w:t>
      </w:r>
      <w:r>
        <w:rPr>
          <w:rFonts w:hint="eastAsia" w:eastAsia="仿宋_GB2312" w:cs="Times New Roman"/>
          <w:b w:val="0"/>
          <w:bCs w:val="0"/>
          <w:color w:val="000000"/>
          <w:sz w:val="32"/>
          <w:szCs w:val="32"/>
          <w:lang w:val="en-US" w:eastAsia="zh-CN"/>
        </w:rPr>
        <w:t>1428.84万</w:t>
      </w:r>
      <w:r>
        <w:rPr>
          <w:rFonts w:hint="default" w:ascii="Times New Roman" w:hAnsi="Times New Roman" w:eastAsia="仿宋_GB2312" w:cs="Times New Roman"/>
          <w:b w:val="0"/>
          <w:bCs w:val="0"/>
          <w:color w:val="000000"/>
          <w:sz w:val="32"/>
          <w:szCs w:val="32"/>
        </w:rPr>
        <w:t>元，决算报表支出为</w:t>
      </w:r>
      <w:r>
        <w:rPr>
          <w:rFonts w:hint="eastAsia" w:eastAsia="仿宋_GB2312" w:cs="Times New Roman"/>
          <w:b w:val="0"/>
          <w:bCs w:val="0"/>
          <w:color w:val="000000"/>
          <w:sz w:val="32"/>
          <w:szCs w:val="32"/>
          <w:lang w:val="en-US" w:eastAsia="zh-CN"/>
        </w:rPr>
        <w:t>2369</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05万</w:t>
      </w:r>
      <w:r>
        <w:rPr>
          <w:rFonts w:hint="default" w:ascii="Times New Roman" w:hAnsi="Times New Roman" w:eastAsia="仿宋_GB2312" w:cs="Times New Roman"/>
          <w:b w:val="0"/>
          <w:bCs w:val="0"/>
          <w:color w:val="000000"/>
          <w:sz w:val="32"/>
          <w:szCs w:val="32"/>
        </w:rPr>
        <w:t>元，其中：</w:t>
      </w:r>
      <w:r>
        <w:rPr>
          <w:rFonts w:hint="eastAsia" w:ascii="仿宋_GB2312" w:eastAsia="仿宋_GB2312"/>
          <w:color w:val="000000"/>
          <w:sz w:val="32"/>
          <w:szCs w:val="32"/>
        </w:rPr>
        <w:t>公共安全支出为2146.96万元，占比</w:t>
      </w:r>
      <w:r>
        <w:rPr>
          <w:rFonts w:hint="eastAsia" w:ascii="仿宋_GB2312" w:eastAsia="仿宋_GB2312"/>
          <w:color w:val="000000"/>
          <w:sz w:val="32"/>
          <w:szCs w:val="32"/>
          <w:lang w:val="en-US" w:eastAsia="zh-CN"/>
        </w:rPr>
        <w:t>90</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63</w:t>
      </w:r>
      <w:r>
        <w:rPr>
          <w:rFonts w:hint="eastAsia" w:ascii="仿宋_GB2312" w:eastAsia="仿宋_GB2312"/>
          <w:color w:val="000000"/>
          <w:sz w:val="32"/>
          <w:szCs w:val="32"/>
        </w:rPr>
        <w:t>%；教育支出为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万元，占比</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%；文化旅游体育与传媒支出为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万元，占比</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%；社会保障和就业支出为</w:t>
      </w:r>
      <w:r>
        <w:rPr>
          <w:rFonts w:hint="default" w:ascii="仿宋_GB2312" w:eastAsia="仿宋_GB2312"/>
          <w:color w:val="000000"/>
          <w:sz w:val="32"/>
          <w:szCs w:val="32"/>
          <w:lang w:val="en-US" w:eastAsia="zh-CN"/>
        </w:rPr>
        <w:t>113.98</w:t>
      </w:r>
      <w:r>
        <w:rPr>
          <w:rFonts w:hint="eastAsia" w:ascii="仿宋_GB2312" w:eastAsia="仿宋_GB2312"/>
          <w:color w:val="000000"/>
          <w:sz w:val="32"/>
          <w:szCs w:val="32"/>
        </w:rPr>
        <w:t>万元，占比</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81</w:t>
      </w:r>
      <w:r>
        <w:rPr>
          <w:rFonts w:hint="eastAsia" w:ascii="仿宋_GB2312" w:eastAsia="仿宋_GB2312"/>
          <w:color w:val="000000"/>
          <w:sz w:val="32"/>
          <w:szCs w:val="32"/>
        </w:rPr>
        <w:t>%；卫生健康支出为</w:t>
      </w:r>
      <w:r>
        <w:rPr>
          <w:rFonts w:hint="default" w:ascii="仿宋_GB2312" w:eastAsia="仿宋_GB2312"/>
          <w:color w:val="000000"/>
          <w:sz w:val="32"/>
          <w:szCs w:val="32"/>
          <w:lang w:val="en-US"/>
        </w:rPr>
        <w:t>45.43</w:t>
      </w:r>
      <w:r>
        <w:rPr>
          <w:rFonts w:hint="eastAsia" w:ascii="仿宋_GB2312" w:eastAsia="仿宋_GB2312"/>
          <w:color w:val="000000"/>
          <w:sz w:val="32"/>
          <w:szCs w:val="32"/>
        </w:rPr>
        <w:t>万元，占比</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w:t>
      </w:r>
      <w:r>
        <w:rPr>
          <w:rFonts w:hint="default" w:ascii="仿宋_GB2312" w:eastAsia="仿宋_GB2312"/>
          <w:color w:val="000000"/>
          <w:sz w:val="32"/>
          <w:szCs w:val="32"/>
          <w:lang w:val="en-US"/>
        </w:rPr>
        <w:t>9</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%；住房保障支出为</w:t>
      </w:r>
      <w:r>
        <w:rPr>
          <w:rFonts w:hint="default" w:ascii="仿宋_GB2312" w:eastAsia="仿宋_GB2312"/>
          <w:color w:val="000000"/>
          <w:sz w:val="32"/>
          <w:szCs w:val="32"/>
          <w:lang w:val="en-US"/>
        </w:rPr>
        <w:t>61.79</w:t>
      </w:r>
      <w:r>
        <w:rPr>
          <w:rFonts w:hint="eastAsia" w:ascii="仿宋_GB2312" w:eastAsia="仿宋_GB2312"/>
          <w:color w:val="000000"/>
          <w:sz w:val="32"/>
          <w:szCs w:val="32"/>
        </w:rPr>
        <w:t>万元，占比</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61</w:t>
      </w:r>
      <w:r>
        <w:rPr>
          <w:rFonts w:hint="eastAsia" w:ascii="仿宋_GB2312" w:eastAsia="仿宋_GB2312"/>
          <w:color w:val="000000"/>
          <w:sz w:val="32"/>
          <w:szCs w:val="32"/>
        </w:rPr>
        <w:t>%。</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公文楷体" w:cs="Times New Roman"/>
          <w:b w:val="0"/>
          <w:bCs w:val="0"/>
          <w:color w:val="000000"/>
          <w:kern w:val="0"/>
          <w:sz w:val="32"/>
          <w:szCs w:val="32"/>
          <w:shd w:val="clear" w:color="auto" w:fill="FFFFFF"/>
          <w:lang w:val="zh-CN"/>
        </w:rPr>
      </w:pPr>
      <w:r>
        <w:rPr>
          <w:rFonts w:hint="default" w:ascii="Times New Roman" w:hAnsi="Times New Roman" w:eastAsia="方正公文楷体" w:cs="Times New Roman"/>
          <w:b w:val="0"/>
          <w:bCs w:val="0"/>
          <w:color w:val="000000"/>
          <w:kern w:val="0"/>
          <w:sz w:val="32"/>
          <w:szCs w:val="32"/>
          <w:shd w:val="clear" w:color="auto" w:fill="FFFFFF"/>
          <w:lang w:val="zh-CN"/>
        </w:rPr>
        <w:t>（三）结余分配和结转结余情况。</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无</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公文黑体" w:cs="Times New Roman"/>
          <w:b w:val="0"/>
          <w:bCs w:val="0"/>
          <w:color w:val="000000"/>
          <w:kern w:val="0"/>
          <w:sz w:val="32"/>
          <w:szCs w:val="32"/>
          <w:shd w:val="clear" w:color="auto" w:fill="FFFFFF"/>
          <w:lang w:val="zh-CN"/>
        </w:rPr>
      </w:pPr>
      <w:r>
        <w:rPr>
          <w:rFonts w:hint="default" w:ascii="Times New Roman" w:hAnsi="Times New Roman" w:eastAsia="方正公文黑体" w:cs="Times New Roman"/>
          <w:b w:val="0"/>
          <w:bCs w:val="0"/>
          <w:color w:val="000000"/>
          <w:kern w:val="0"/>
          <w:sz w:val="32"/>
          <w:szCs w:val="32"/>
          <w:shd w:val="clear" w:color="auto" w:fill="FFFFFF"/>
          <w:lang w:val="zh-CN"/>
        </w:rPr>
        <w:t>三、单位预算绩效分析</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公文楷体" w:cs="Times New Roman"/>
          <w:b w:val="0"/>
          <w:bCs w:val="0"/>
          <w:color w:val="000000"/>
          <w:sz w:val="32"/>
          <w:szCs w:val="32"/>
        </w:rPr>
      </w:pPr>
      <w:r>
        <w:rPr>
          <w:rFonts w:hint="default" w:ascii="Times New Roman" w:hAnsi="Times New Roman" w:eastAsia="方正公文楷体" w:cs="Times New Roman"/>
          <w:b w:val="0"/>
          <w:bCs w:val="0"/>
          <w:color w:val="000000"/>
          <w:sz w:val="32"/>
          <w:szCs w:val="32"/>
        </w:rPr>
        <w:t>（一）</w:t>
      </w:r>
      <w:r>
        <w:rPr>
          <w:rFonts w:hint="default" w:ascii="Times New Roman" w:hAnsi="Times New Roman" w:eastAsia="方正公文楷体" w:cs="Times New Roman"/>
          <w:b w:val="0"/>
          <w:bCs w:val="0"/>
          <w:color w:val="000000"/>
          <w:sz w:val="32"/>
          <w:szCs w:val="32"/>
          <w:lang w:eastAsia="zh-CN"/>
        </w:rPr>
        <w:t>单位</w:t>
      </w:r>
      <w:r>
        <w:rPr>
          <w:rFonts w:hint="default" w:ascii="Times New Roman" w:hAnsi="Times New Roman" w:eastAsia="方正公文楷体" w:cs="Times New Roman"/>
          <w:b w:val="0"/>
          <w:bCs w:val="0"/>
          <w:color w:val="000000"/>
          <w:sz w:val="32"/>
          <w:szCs w:val="32"/>
        </w:rPr>
        <w:t>预算总体绩效分析（65分）</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1.履职效能（15分）</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eastAsia" w:eastAsia="仿宋_GB2312" w:cs="Times New Roman"/>
          <w:b w:val="0"/>
          <w:bCs w:val="0"/>
          <w:color w:val="000000"/>
          <w:sz w:val="32"/>
          <w:szCs w:val="32"/>
          <w:lang w:eastAsia="zh-CN"/>
        </w:rPr>
        <w:t>（</w:t>
      </w:r>
      <w:r>
        <w:rPr>
          <w:rFonts w:hint="eastAsia" w:eastAsia="仿宋_GB2312" w:cs="Times New Roman"/>
          <w:b w:val="0"/>
          <w:bCs w:val="0"/>
          <w:color w:val="000000"/>
          <w:sz w:val="32"/>
          <w:szCs w:val="32"/>
          <w:lang w:val="en-US" w:eastAsia="zh-CN"/>
        </w:rPr>
        <w:t>1</w:t>
      </w:r>
      <w:r>
        <w:rPr>
          <w:rFonts w:hint="eastAsia"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坚持政治引领，党的政治建设不断加强。一是党对政法工作的绝对领导持续加强。始终把政治建设摆在首位，坚持以习近平新时代中国特色社会主义思想为指引，贯彻落实《中国共产党政法工作条例》。二是推动党纪学习教育走深走实。在全州政法系统党纪学习教育中走在前、作表率，锚定动员部署、学习研讨、警示教育、讲纪律党课、辅导培训等7个重点任务，举办州级政法单位党纪学习教育读书班，召开委务会、党支部会等逐章逐条学习《条例》18次，开展集中学习研讨6场次，支部书记讲纪律党课2次，常态化推进学纪、知纪、明纪、守纪。三是抓实抓牢政治督察和纪律作风巡查。开展对州司法局政治督察整改回头看，坚决把党管政法工作落到实处。</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eastAsia" w:eastAsia="仿宋_GB2312" w:cs="Times New Roman"/>
          <w:b w:val="0"/>
          <w:bCs w:val="0"/>
          <w:color w:val="000000"/>
          <w:sz w:val="32"/>
          <w:szCs w:val="32"/>
          <w:lang w:eastAsia="zh-CN"/>
        </w:rPr>
        <w:t>（</w:t>
      </w:r>
      <w:r>
        <w:rPr>
          <w:rFonts w:hint="eastAsia" w:eastAsia="仿宋_GB2312" w:cs="Times New Roman"/>
          <w:b w:val="0"/>
          <w:bCs w:val="0"/>
          <w:color w:val="000000"/>
          <w:sz w:val="32"/>
          <w:szCs w:val="32"/>
          <w:lang w:val="en-US" w:eastAsia="zh-CN"/>
        </w:rPr>
        <w:t>2</w:t>
      </w:r>
      <w:r>
        <w:rPr>
          <w:rFonts w:hint="eastAsia"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坚持综合施策，政治社会大局持续稳定向好。</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eastAsia" w:eastAsia="仿宋_GB2312" w:cs="Times New Roman"/>
          <w:b w:val="0"/>
          <w:bCs w:val="0"/>
          <w:color w:val="000000"/>
          <w:sz w:val="32"/>
          <w:szCs w:val="32"/>
          <w:lang w:eastAsia="zh-CN"/>
        </w:rPr>
        <w:t>（</w:t>
      </w:r>
      <w:r>
        <w:rPr>
          <w:rFonts w:hint="eastAsia" w:eastAsia="仿宋_GB2312" w:cs="Times New Roman"/>
          <w:b w:val="0"/>
          <w:bCs w:val="0"/>
          <w:color w:val="000000"/>
          <w:sz w:val="32"/>
          <w:szCs w:val="32"/>
          <w:lang w:val="en-US" w:eastAsia="zh-CN"/>
        </w:rPr>
        <w:t>3</w:t>
      </w:r>
      <w:r>
        <w:rPr>
          <w:rFonts w:hint="eastAsia"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坚持夯基固本，平安阿坝建设再上新台阶。一是主动创稳，推动党建引领“微网实格”。按照城镇、农区、牧区等种类划分网格，实现每个微网格至少有1名干部、1名民（辅）警、1名党员。坚持诉求在格上收集、宣教在格上开展、矛盾在格上化解、服务在格上体现、问题在格上解决，切实把社会稳定、安全生产、防灾减灾、民生民利等方面的突出问题落实到格，细化到具体人头。二是主动出击，深入推进专项行动。三是主动防范，强化综治中心规范化建设。以加强综治中心规范化建设、实体化运行为基础，有效调动教育、民宗、公安、信访、人社、环保、卫健、应急等多部门力量和资源，推动基层治理重心下移、力量下沉、保障下倾，实现矛盾联调、问题联治、平安联创，有效打通服务群众“最后一米”。依托综治中心加强县乡两级“一站式”矛盾纠纷多元化解平台建设，实现群众诉求多渠道收集、“一平台”办理、精准化督办，矛盾纠纷“一站式接收、一揽子调处、全链条解决”，最大限度排查调处矛盾纠纷，解决人民内部矛盾。全面抓实“微网实格”信息系统建设，构建“综治中心+网格化+大数据”模式，不断深化“多中心合一”综治中心平台运用。</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eastAsia" w:eastAsia="仿宋_GB2312" w:cs="Times New Roman"/>
          <w:b w:val="0"/>
          <w:bCs w:val="0"/>
          <w:color w:val="000000"/>
          <w:sz w:val="32"/>
          <w:szCs w:val="32"/>
          <w:lang w:eastAsia="zh-CN"/>
        </w:rPr>
        <w:t>（</w:t>
      </w:r>
      <w:r>
        <w:rPr>
          <w:rFonts w:hint="eastAsia" w:eastAsia="仿宋_GB2312" w:cs="Times New Roman"/>
          <w:b w:val="0"/>
          <w:bCs w:val="0"/>
          <w:color w:val="000000"/>
          <w:sz w:val="32"/>
          <w:szCs w:val="32"/>
          <w:lang w:val="en-US" w:eastAsia="zh-CN"/>
        </w:rPr>
        <w:t>4</w:t>
      </w:r>
      <w:r>
        <w:rPr>
          <w:rFonts w:hint="eastAsia"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坚持法治先行，服务保障能力显著提升。牢牢扭住法治化建设重心，更加有效发挥法治固根本、稳预期、利长远的保障作用，推动构建法治良序，深化法治阿坝建设。一是以规范执法推动依法行政。严格规范公正文明执法，开展执法司法突出问题检查。严格落实法治建设年度报告制度和党政主要负责人述法工作，全面完成“法治帐图”制作，实现依法行政“权”与“责”可视化、图形化。二是以公正司法促进公平正义。深化司法体制改革，强化审判权运行监督制约。三是以明德守法共建法治社会。持续推进“法治提能”行动，完成全州1201个单位49120人年度学法考法工作。精进“法律政策七进”，深化“法治四川行”一月一主题和全覆盖法治宣讲活动。扎实推进政法公共服务体系建设，完善三级公共法律服务体系，建成公共法律服务中心、工作站、工作室1342个。四是以精准用法护航经济发展。坚持以法治力量推动营商环境持续优化，落地落实“营造法治化营商环境提升年”重点举措。五是以能动履职筑牢生态司法屏障。</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eastAsia" w:eastAsia="仿宋_GB2312" w:cs="Times New Roman"/>
          <w:b w:val="0"/>
          <w:bCs w:val="0"/>
          <w:color w:val="000000"/>
          <w:sz w:val="32"/>
          <w:szCs w:val="32"/>
          <w:lang w:eastAsia="zh-CN"/>
        </w:rPr>
        <w:t>（</w:t>
      </w:r>
      <w:r>
        <w:rPr>
          <w:rFonts w:hint="eastAsia" w:eastAsia="仿宋_GB2312" w:cs="Times New Roman"/>
          <w:b w:val="0"/>
          <w:bCs w:val="0"/>
          <w:color w:val="000000"/>
          <w:sz w:val="32"/>
          <w:szCs w:val="32"/>
          <w:lang w:val="en-US" w:eastAsia="zh-CN"/>
        </w:rPr>
        <w:t>5</w:t>
      </w:r>
      <w:r>
        <w:rPr>
          <w:rFonts w:hint="eastAsia"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锻造高原铁军，综合能力水平全面提高。持续巩固深化政法队伍教育整顿成果，州委部署开展为期3年的全州政法系统“铸忠诚警魂建高原铁军”教育活动，着力锻造阿坝政法高原铁军。一是加强协管优化队伍结构。建立政法系统科级干部人才库，精细掌握政法队伍情况，为履行干部协管职能夯实基础。会同州委组织部定期研判、共同推动，通过限期整改、压实责任、工作通报等措施，推动必须交流干部按期轮岗交流。二是加强培训提升干警能力。制定《2024年度政治轮训工作方案》，举办全州政法系统领导干部能力提升培训班4期。用好四川政法大讲堂、职工夜校等平台，广泛开展政治轮训、岗位练兵和技能比武，政法干警政治能力、业务能力和综合素质明显提升。三是严管厚爱激发队伍活力。召开2次全州政法系统党风廉政建设工作会议，常态化开展警示教育75场次，通报全州政法干警违纪违法情况。自评得分：1</w:t>
      </w:r>
      <w:r>
        <w:rPr>
          <w:rFonts w:hint="eastAsia" w:eastAsia="仿宋_GB2312" w:cs="Times New Roman"/>
          <w:b w:val="0"/>
          <w:bCs w:val="0"/>
          <w:color w:val="000000"/>
          <w:sz w:val="32"/>
          <w:szCs w:val="32"/>
          <w:lang w:val="en-US" w:eastAsia="zh-CN"/>
        </w:rPr>
        <w:t>5</w:t>
      </w:r>
      <w:r>
        <w:rPr>
          <w:rFonts w:hint="default" w:ascii="Times New Roman" w:hAnsi="Times New Roman" w:eastAsia="仿宋_GB2312" w:cs="Times New Roman"/>
          <w:b w:val="0"/>
          <w:bCs w:val="0"/>
          <w:color w:val="000000"/>
          <w:sz w:val="32"/>
          <w:szCs w:val="32"/>
        </w:rPr>
        <w:t>分。</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2.预算管理（25分）</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（1）预算编制质量（8分）。严格按要求编制年初</w:t>
      </w:r>
      <w:r>
        <w:rPr>
          <w:rFonts w:hint="default" w:ascii="Times New Roman" w:hAnsi="Times New Roman" w:eastAsia="仿宋_GB2312" w:cs="Times New Roman"/>
          <w:b w:val="0"/>
          <w:bCs w:val="0"/>
          <w:color w:val="000000"/>
          <w:sz w:val="32"/>
          <w:szCs w:val="32"/>
          <w:lang w:eastAsia="zh-CN"/>
        </w:rPr>
        <w:t>单位</w:t>
      </w:r>
      <w:r>
        <w:rPr>
          <w:rFonts w:hint="default" w:ascii="Times New Roman" w:hAnsi="Times New Roman" w:eastAsia="仿宋_GB2312" w:cs="Times New Roman"/>
          <w:b w:val="0"/>
          <w:bCs w:val="0"/>
          <w:color w:val="000000"/>
          <w:sz w:val="32"/>
          <w:szCs w:val="32"/>
        </w:rPr>
        <w:t>预算，年初预算编制的科学性和准确性较高，财政拨款预算偏离度为</w:t>
      </w:r>
      <w:r>
        <w:rPr>
          <w:rFonts w:hint="eastAsia" w:eastAsia="仿宋_GB2312" w:cs="Times New Roman"/>
          <w:b w:val="0"/>
          <w:bCs w:val="0"/>
          <w:color w:val="000000"/>
          <w:sz w:val="32"/>
          <w:szCs w:val="32"/>
          <w:lang w:val="en-US" w:eastAsia="zh-CN"/>
        </w:rPr>
        <w:t>6</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44</w:t>
      </w:r>
      <w:r>
        <w:rPr>
          <w:rFonts w:hint="default" w:ascii="Times New Roman" w:hAnsi="Times New Roman" w:eastAsia="仿宋_GB2312" w:cs="Times New Roman"/>
          <w:b w:val="0"/>
          <w:bCs w:val="0"/>
          <w:color w:val="000000"/>
          <w:sz w:val="32"/>
          <w:szCs w:val="32"/>
        </w:rPr>
        <w:t>%，资产配置预算偏离度为1.38%，政府采购预算偏离度为0.83%。自评得分：</w:t>
      </w:r>
      <w:r>
        <w:rPr>
          <w:rFonts w:hint="eastAsia" w:eastAsia="仿宋_GB2312" w:cs="Times New Roman"/>
          <w:b w:val="0"/>
          <w:bCs w:val="0"/>
          <w:color w:val="000000"/>
          <w:sz w:val="32"/>
          <w:szCs w:val="32"/>
          <w:lang w:val="en-US" w:eastAsia="zh-CN"/>
        </w:rPr>
        <w:t>7</w:t>
      </w:r>
      <w:r>
        <w:rPr>
          <w:rFonts w:hint="default" w:eastAsia="仿宋_GB2312" w:cs="Times New Roman"/>
          <w:b w:val="0"/>
          <w:bCs w:val="0"/>
          <w:color w:val="000000"/>
          <w:sz w:val="32"/>
          <w:szCs w:val="32"/>
          <w:lang w:val="en-US" w:eastAsia="zh-CN"/>
        </w:rPr>
        <w:t>.5</w:t>
      </w:r>
      <w:r>
        <w:rPr>
          <w:rFonts w:hint="default" w:ascii="Times New Roman" w:hAnsi="Times New Roman" w:eastAsia="仿宋_GB2312" w:cs="Times New Roman"/>
          <w:b w:val="0"/>
          <w:bCs w:val="0"/>
          <w:color w:val="000000"/>
          <w:sz w:val="32"/>
          <w:szCs w:val="32"/>
        </w:rPr>
        <w:t>分。</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（2）单位收入统筹（4分）。无自有收入、无财政核定的综合补助比例。自评得分：4分。</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（3）支出执行进度（6分）。1至6月、1至10月预算执行支付进度分别为3</w:t>
      </w:r>
      <w:r>
        <w:rPr>
          <w:rFonts w:hint="eastAsia" w:eastAsia="仿宋_GB2312" w:cs="Times New Roman"/>
          <w:b w:val="0"/>
          <w:bCs w:val="0"/>
          <w:color w:val="000000"/>
          <w:sz w:val="32"/>
          <w:szCs w:val="32"/>
          <w:lang w:val="en-US" w:eastAsia="zh-CN"/>
        </w:rPr>
        <w:t>0</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2</w:t>
      </w:r>
      <w:r>
        <w:rPr>
          <w:rFonts w:hint="default" w:ascii="Times New Roman" w:hAnsi="Times New Roman" w:eastAsia="仿宋_GB2312" w:cs="Times New Roman"/>
          <w:b w:val="0"/>
          <w:bCs w:val="0"/>
          <w:color w:val="000000"/>
          <w:sz w:val="32"/>
          <w:szCs w:val="32"/>
        </w:rPr>
        <w:t>%、</w:t>
      </w:r>
      <w:r>
        <w:rPr>
          <w:rFonts w:hint="eastAsia" w:ascii="Times New Roman" w:hAnsi="Times New Roman" w:eastAsia="仿宋_GB2312" w:cs="Times New Roman"/>
          <w:b w:val="0"/>
          <w:bCs w:val="0"/>
          <w:color w:val="000000"/>
          <w:sz w:val="32"/>
          <w:szCs w:val="32"/>
          <w:lang w:val="en-US" w:eastAsia="zh-CN"/>
        </w:rPr>
        <w:t>64</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8</w:t>
      </w:r>
      <w:r>
        <w:rPr>
          <w:rFonts w:hint="default" w:ascii="Times New Roman" w:hAnsi="Times New Roman" w:eastAsia="仿宋_GB2312" w:cs="Times New Roman"/>
          <w:b w:val="0"/>
          <w:bCs w:val="0"/>
          <w:color w:val="000000"/>
          <w:sz w:val="32"/>
          <w:szCs w:val="32"/>
        </w:rPr>
        <w:t>%</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无支出预警金额，无支出违规金额。自评得分：</w:t>
      </w:r>
      <w:r>
        <w:rPr>
          <w:rFonts w:hint="default" w:ascii="Times New Roman" w:hAnsi="Times New Roman" w:eastAsia="仿宋_GB2312" w:cs="Times New Roman"/>
          <w:b w:val="0"/>
          <w:bCs w:val="0"/>
          <w:color w:val="000000"/>
          <w:sz w:val="32"/>
          <w:szCs w:val="32"/>
          <w:lang w:val="en-US"/>
        </w:rPr>
        <w:t>5</w:t>
      </w:r>
      <w:r>
        <w:rPr>
          <w:rFonts w:hint="default" w:eastAsia="仿宋_GB2312" w:cs="Times New Roman"/>
          <w:b w:val="0"/>
          <w:bCs w:val="0"/>
          <w:color w:val="000000"/>
          <w:sz w:val="32"/>
          <w:szCs w:val="32"/>
          <w:lang w:val="en-US"/>
        </w:rPr>
        <w:t>.5</w:t>
      </w:r>
      <w:r>
        <w:rPr>
          <w:rFonts w:hint="default" w:ascii="Times New Roman" w:hAnsi="Times New Roman" w:eastAsia="仿宋_GB2312" w:cs="Times New Roman"/>
          <w:b w:val="0"/>
          <w:bCs w:val="0"/>
          <w:color w:val="000000"/>
          <w:sz w:val="32"/>
          <w:szCs w:val="32"/>
        </w:rPr>
        <w:t>分</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（4）</w:t>
      </w:r>
      <w:r>
        <w:rPr>
          <w:rFonts w:hint="eastAsia" w:eastAsia="仿宋_GB2312" w:cs="Times New Roman"/>
          <w:b w:val="0"/>
          <w:bCs w:val="0"/>
          <w:color w:val="000000"/>
          <w:sz w:val="32"/>
          <w:szCs w:val="32"/>
          <w:lang w:eastAsia="zh-CN"/>
        </w:rPr>
        <w:t>预</w:t>
      </w:r>
      <w:r>
        <w:rPr>
          <w:rFonts w:hint="default" w:ascii="Times New Roman" w:hAnsi="Times New Roman" w:eastAsia="仿宋_GB2312" w:cs="Times New Roman"/>
          <w:b w:val="0"/>
          <w:bCs w:val="0"/>
          <w:color w:val="000000"/>
          <w:sz w:val="32"/>
          <w:szCs w:val="32"/>
        </w:rPr>
        <w:t>算年终结余（2分）。预算注销金额和结转金额为</w:t>
      </w:r>
      <w:r>
        <w:rPr>
          <w:rFonts w:hint="eastAsia" w:eastAsia="仿宋_GB2312" w:cs="Times New Roman"/>
          <w:b w:val="0"/>
          <w:bCs w:val="0"/>
          <w:color w:val="000000"/>
          <w:sz w:val="32"/>
          <w:szCs w:val="32"/>
          <w:lang w:val="en-US" w:eastAsia="zh-CN"/>
        </w:rPr>
        <w:t>28</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86万</w:t>
      </w:r>
      <w:r>
        <w:rPr>
          <w:rFonts w:hint="default" w:ascii="Times New Roman" w:hAnsi="Times New Roman" w:eastAsia="仿宋_GB2312" w:cs="Times New Roman"/>
          <w:b w:val="0"/>
          <w:bCs w:val="0"/>
          <w:color w:val="000000"/>
          <w:sz w:val="32"/>
          <w:szCs w:val="32"/>
        </w:rPr>
        <w:t>元，</w:t>
      </w:r>
      <w:r>
        <w:rPr>
          <w:rFonts w:hint="default" w:ascii="Times New Roman" w:hAnsi="Times New Roman" w:eastAsia="仿宋_GB2312" w:cs="Times New Roman"/>
          <w:b w:val="0"/>
          <w:bCs w:val="0"/>
          <w:color w:val="000000"/>
          <w:sz w:val="32"/>
          <w:szCs w:val="32"/>
          <w:lang w:eastAsia="zh-CN"/>
        </w:rPr>
        <w:t>单位</w:t>
      </w:r>
      <w:r>
        <w:rPr>
          <w:rFonts w:hint="default" w:ascii="Times New Roman" w:hAnsi="Times New Roman" w:eastAsia="仿宋_GB2312" w:cs="Times New Roman"/>
          <w:b w:val="0"/>
          <w:bCs w:val="0"/>
          <w:color w:val="000000"/>
          <w:sz w:val="32"/>
          <w:szCs w:val="32"/>
        </w:rPr>
        <w:t>预算总金额1</w:t>
      </w:r>
      <w:r>
        <w:rPr>
          <w:rFonts w:hint="eastAsia" w:eastAsia="仿宋_GB2312" w:cs="Times New Roman"/>
          <w:b w:val="0"/>
          <w:bCs w:val="0"/>
          <w:color w:val="000000"/>
          <w:sz w:val="32"/>
          <w:szCs w:val="32"/>
          <w:lang w:val="en-US" w:eastAsia="zh-CN"/>
        </w:rPr>
        <w:t>428</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84万</w:t>
      </w:r>
      <w:r>
        <w:rPr>
          <w:rFonts w:hint="default" w:ascii="Times New Roman" w:hAnsi="Times New Roman" w:eastAsia="仿宋_GB2312" w:cs="Times New Roman"/>
          <w:b w:val="0"/>
          <w:bCs w:val="0"/>
          <w:color w:val="000000"/>
          <w:sz w:val="32"/>
          <w:szCs w:val="32"/>
        </w:rPr>
        <w:t>元，整体预算结余率为2.02%。自评得分：2分</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（5）严控一般性支出（5分）。严控“三公”经费、会议、培训、差旅、办节办展、办公设备购置、信息网络及软件购置更新、课题经费等。自评得分：</w:t>
      </w:r>
      <w:r>
        <w:rPr>
          <w:rFonts w:hint="default" w:ascii="Times New Roman" w:hAnsi="Times New Roman" w:eastAsia="仿宋_GB2312" w:cs="Times New Roman"/>
          <w:b w:val="0"/>
          <w:bCs w:val="0"/>
          <w:color w:val="000000"/>
          <w:sz w:val="32"/>
          <w:szCs w:val="32"/>
          <w:lang w:val="en-US"/>
        </w:rPr>
        <w:t>4</w:t>
      </w:r>
      <w:r>
        <w:rPr>
          <w:rFonts w:hint="default" w:eastAsia="仿宋_GB2312" w:cs="Times New Roman"/>
          <w:b w:val="0"/>
          <w:bCs w:val="0"/>
          <w:color w:val="000000"/>
          <w:sz w:val="32"/>
          <w:szCs w:val="32"/>
          <w:lang w:val="en-US"/>
        </w:rPr>
        <w:t>.5</w:t>
      </w:r>
      <w:r>
        <w:rPr>
          <w:rFonts w:hint="default" w:ascii="Times New Roman" w:hAnsi="Times New Roman" w:eastAsia="仿宋_GB2312" w:cs="Times New Roman"/>
          <w:b w:val="0"/>
          <w:bCs w:val="0"/>
          <w:color w:val="000000"/>
          <w:sz w:val="32"/>
          <w:szCs w:val="32"/>
        </w:rPr>
        <w:t>分</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3.财务管理（10分）</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1）财务管理制度（4分）。根据本单位工作实际，在建立并实施内部监督和控制过程中，制定了内部财务管理制度。建立和完善各项制度的同时，相关人员在工作过程中严格遵守这些规章制度，有效地实施了内部监督和控制。自评得分：4分</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2）财务岗位设置（2分）。明确了记账人员和审批人员、经办人员的职责权限，使其相互分离、相互制约，以明确责任，防止舞弊，各项业务事项得以有序进行；明确了财务收支审批程序和审批人员的权限，规范了各项资金的使用，提高了资金使用效益。自评得分：2分</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（3）资金使用规范（4分）。明确了经费支出的范围和开支标准，采取各种有效措施控制经费开支，杜绝了浪费现象的发生。自评得分：4分</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4.资产管理</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（1）人均资产变化率（3分）。截至202</w:t>
      </w:r>
      <w:r>
        <w:rPr>
          <w:rFonts w:hint="eastAsia" w:eastAsia="仿宋_GB2312" w:cs="Times New Roman"/>
          <w:b w:val="0"/>
          <w:bCs w:val="0"/>
          <w:color w:val="000000"/>
          <w:sz w:val="32"/>
          <w:szCs w:val="32"/>
          <w:lang w:val="en-US" w:eastAsia="zh-CN"/>
        </w:rPr>
        <w:t>4</w:t>
      </w:r>
      <w:r>
        <w:rPr>
          <w:rFonts w:hint="default" w:ascii="Times New Roman" w:hAnsi="Times New Roman" w:eastAsia="仿宋_GB2312" w:cs="Times New Roman"/>
          <w:b w:val="0"/>
          <w:bCs w:val="0"/>
          <w:color w:val="000000"/>
          <w:sz w:val="32"/>
          <w:szCs w:val="32"/>
        </w:rPr>
        <w:t>年12月31日，资产总额（账面净值，下同）2</w:t>
      </w:r>
      <w:r>
        <w:rPr>
          <w:rFonts w:hint="default" w:eastAsia="仿宋_GB2312" w:cs="Times New Roman"/>
          <w:b w:val="0"/>
          <w:bCs w:val="0"/>
          <w:color w:val="000000"/>
          <w:sz w:val="32"/>
          <w:szCs w:val="32"/>
          <w:lang w:val="en-US"/>
        </w:rPr>
        <w:t>22</w:t>
      </w:r>
      <w:r>
        <w:rPr>
          <w:rFonts w:hint="default" w:ascii="Times New Roman" w:hAnsi="Times New Roman" w:eastAsia="仿宋_GB2312" w:cs="Times New Roman"/>
          <w:b w:val="0"/>
          <w:bCs w:val="0"/>
          <w:color w:val="000000"/>
          <w:sz w:val="32"/>
          <w:szCs w:val="32"/>
        </w:rPr>
        <w:t>.</w:t>
      </w:r>
      <w:r>
        <w:rPr>
          <w:rFonts w:hint="default" w:eastAsia="仿宋_GB2312" w:cs="Times New Roman"/>
          <w:b w:val="0"/>
          <w:bCs w:val="0"/>
          <w:color w:val="000000"/>
          <w:sz w:val="32"/>
          <w:szCs w:val="32"/>
          <w:lang w:val="en-US"/>
        </w:rPr>
        <w:t>74</w:t>
      </w:r>
      <w:r>
        <w:rPr>
          <w:rFonts w:hint="default" w:ascii="Times New Roman" w:hAnsi="Times New Roman" w:eastAsia="仿宋_GB2312" w:cs="Times New Roman"/>
          <w:b w:val="0"/>
          <w:bCs w:val="0"/>
          <w:color w:val="000000"/>
          <w:sz w:val="32"/>
          <w:szCs w:val="32"/>
        </w:rPr>
        <w:t>万元，较上年</w:t>
      </w:r>
      <w:r>
        <w:rPr>
          <w:rFonts w:hint="eastAsia" w:eastAsia="仿宋_GB2312" w:cs="Times New Roman"/>
          <w:b w:val="0"/>
          <w:bCs w:val="0"/>
          <w:color w:val="000000"/>
          <w:sz w:val="32"/>
          <w:szCs w:val="32"/>
          <w:lang w:eastAsia="zh-CN"/>
        </w:rPr>
        <w:t>增加</w:t>
      </w:r>
      <w:r>
        <w:rPr>
          <w:rFonts w:hint="eastAsia" w:eastAsia="仿宋_GB2312" w:cs="Times New Roman"/>
          <w:b w:val="0"/>
          <w:bCs w:val="0"/>
          <w:color w:val="000000"/>
          <w:sz w:val="32"/>
          <w:szCs w:val="32"/>
          <w:lang w:val="en-US" w:eastAsia="zh-CN"/>
        </w:rPr>
        <w:t>19</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98</w:t>
      </w:r>
      <w:r>
        <w:rPr>
          <w:rFonts w:hint="default" w:ascii="Times New Roman" w:hAnsi="Times New Roman" w:eastAsia="仿宋_GB2312" w:cs="Times New Roman"/>
          <w:b w:val="0"/>
          <w:bCs w:val="0"/>
          <w:color w:val="000000"/>
          <w:sz w:val="32"/>
          <w:szCs w:val="32"/>
        </w:rPr>
        <w:t>%。负债总额2</w:t>
      </w:r>
      <w:r>
        <w:rPr>
          <w:rFonts w:hint="eastAsia" w:eastAsia="仿宋_GB2312" w:cs="Times New Roman"/>
          <w:b w:val="0"/>
          <w:bCs w:val="0"/>
          <w:color w:val="000000"/>
          <w:sz w:val="32"/>
          <w:szCs w:val="32"/>
          <w:lang w:val="en-US" w:eastAsia="zh-CN"/>
        </w:rPr>
        <w:t>5</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05</w:t>
      </w:r>
      <w:r>
        <w:rPr>
          <w:rFonts w:hint="default" w:ascii="Times New Roman" w:hAnsi="Times New Roman" w:eastAsia="仿宋_GB2312" w:cs="Times New Roman"/>
          <w:b w:val="0"/>
          <w:bCs w:val="0"/>
          <w:color w:val="000000"/>
          <w:sz w:val="32"/>
          <w:szCs w:val="32"/>
        </w:rPr>
        <w:t>万元，较上年</w:t>
      </w:r>
      <w:r>
        <w:rPr>
          <w:rFonts w:hint="eastAsia" w:eastAsia="仿宋_GB2312" w:cs="Times New Roman"/>
          <w:b w:val="0"/>
          <w:bCs w:val="0"/>
          <w:color w:val="000000"/>
          <w:sz w:val="32"/>
          <w:szCs w:val="32"/>
          <w:lang w:eastAsia="zh-CN"/>
        </w:rPr>
        <w:t>增加</w:t>
      </w:r>
      <w:r>
        <w:rPr>
          <w:rFonts w:hint="eastAsia" w:eastAsia="仿宋_GB2312" w:cs="Times New Roman"/>
          <w:b w:val="0"/>
          <w:bCs w:val="0"/>
          <w:color w:val="000000"/>
          <w:sz w:val="32"/>
          <w:szCs w:val="32"/>
          <w:lang w:val="en-US" w:eastAsia="zh-CN"/>
        </w:rPr>
        <w:t>21</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08</w:t>
      </w:r>
      <w:r>
        <w:rPr>
          <w:rFonts w:hint="default" w:ascii="Times New Roman" w:hAnsi="Times New Roman" w:eastAsia="仿宋_GB2312" w:cs="Times New Roman"/>
          <w:b w:val="0"/>
          <w:bCs w:val="0"/>
          <w:color w:val="000000"/>
          <w:sz w:val="32"/>
          <w:szCs w:val="32"/>
        </w:rPr>
        <w:t>%。净资产</w:t>
      </w:r>
      <w:r>
        <w:rPr>
          <w:rFonts w:hint="eastAsia" w:eastAsia="仿宋_GB2312" w:cs="Times New Roman"/>
          <w:b w:val="0"/>
          <w:bCs w:val="0"/>
          <w:color w:val="000000"/>
          <w:sz w:val="32"/>
          <w:szCs w:val="32"/>
          <w:lang w:val="en-US" w:eastAsia="zh-CN"/>
        </w:rPr>
        <w:t>222</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75</w:t>
      </w:r>
      <w:r>
        <w:rPr>
          <w:rFonts w:hint="default" w:ascii="Times New Roman" w:hAnsi="Times New Roman" w:eastAsia="仿宋_GB2312" w:cs="Times New Roman"/>
          <w:b w:val="0"/>
          <w:bCs w:val="0"/>
          <w:color w:val="000000"/>
          <w:sz w:val="32"/>
          <w:szCs w:val="32"/>
        </w:rPr>
        <w:t>万元,较上年</w:t>
      </w:r>
      <w:r>
        <w:rPr>
          <w:rFonts w:hint="eastAsia" w:eastAsia="仿宋_GB2312" w:cs="Times New Roman"/>
          <w:b w:val="0"/>
          <w:bCs w:val="0"/>
          <w:color w:val="000000"/>
          <w:sz w:val="32"/>
          <w:szCs w:val="32"/>
          <w:lang w:eastAsia="zh-CN"/>
        </w:rPr>
        <w:t>增加</w:t>
      </w:r>
      <w:r>
        <w:rPr>
          <w:rFonts w:hint="eastAsia" w:eastAsia="仿宋_GB2312" w:cs="Times New Roman"/>
          <w:b w:val="0"/>
          <w:bCs w:val="0"/>
          <w:color w:val="000000"/>
          <w:sz w:val="32"/>
          <w:szCs w:val="32"/>
          <w:lang w:val="en-US" w:eastAsia="zh-CN"/>
        </w:rPr>
        <w:t>19</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98</w:t>
      </w:r>
      <w:r>
        <w:rPr>
          <w:rFonts w:hint="default" w:ascii="Times New Roman" w:hAnsi="Times New Roman" w:eastAsia="仿宋_GB2312" w:cs="Times New Roman"/>
          <w:b w:val="0"/>
          <w:bCs w:val="0"/>
          <w:color w:val="000000"/>
          <w:sz w:val="32"/>
          <w:szCs w:val="32"/>
        </w:rPr>
        <w:t>%。截至202</w:t>
      </w:r>
      <w:r>
        <w:rPr>
          <w:rFonts w:hint="eastAsia" w:eastAsia="仿宋_GB2312" w:cs="Times New Roman"/>
          <w:b w:val="0"/>
          <w:bCs w:val="0"/>
          <w:color w:val="000000"/>
          <w:sz w:val="32"/>
          <w:szCs w:val="32"/>
          <w:lang w:val="en-US" w:eastAsia="zh-CN"/>
        </w:rPr>
        <w:t>4</w:t>
      </w:r>
      <w:r>
        <w:rPr>
          <w:rFonts w:hint="default" w:ascii="Times New Roman" w:hAnsi="Times New Roman" w:eastAsia="仿宋_GB2312" w:cs="Times New Roman"/>
          <w:b w:val="0"/>
          <w:bCs w:val="0"/>
          <w:color w:val="000000"/>
          <w:sz w:val="32"/>
          <w:szCs w:val="32"/>
        </w:rPr>
        <w:t>年12月31日，编制人数3</w:t>
      </w:r>
      <w:r>
        <w:rPr>
          <w:rFonts w:hint="eastAsia" w:eastAsia="仿宋_GB2312" w:cs="Times New Roman"/>
          <w:b w:val="0"/>
          <w:bCs w:val="0"/>
          <w:color w:val="000000"/>
          <w:sz w:val="32"/>
          <w:szCs w:val="32"/>
          <w:lang w:val="en-US" w:eastAsia="zh-CN"/>
        </w:rPr>
        <w:t>9</w:t>
      </w:r>
      <w:r>
        <w:rPr>
          <w:rFonts w:hint="default" w:ascii="Times New Roman" w:hAnsi="Times New Roman" w:eastAsia="仿宋_GB2312" w:cs="Times New Roman"/>
          <w:b w:val="0"/>
          <w:bCs w:val="0"/>
          <w:color w:val="000000"/>
          <w:sz w:val="32"/>
          <w:szCs w:val="32"/>
        </w:rPr>
        <w:t>人，较上年度增加0人，年末实有人数3</w:t>
      </w:r>
      <w:r>
        <w:rPr>
          <w:rFonts w:hint="eastAsia" w:eastAsia="仿宋_GB2312" w:cs="Times New Roman"/>
          <w:b w:val="0"/>
          <w:bCs w:val="0"/>
          <w:color w:val="000000"/>
          <w:sz w:val="32"/>
          <w:szCs w:val="32"/>
          <w:lang w:val="en-US" w:eastAsia="zh-CN"/>
        </w:rPr>
        <w:t>5</w:t>
      </w:r>
      <w:r>
        <w:rPr>
          <w:rFonts w:hint="default" w:ascii="Times New Roman" w:hAnsi="Times New Roman" w:eastAsia="仿宋_GB2312" w:cs="Times New Roman"/>
          <w:b w:val="0"/>
          <w:bCs w:val="0"/>
          <w:color w:val="000000"/>
          <w:sz w:val="32"/>
          <w:szCs w:val="32"/>
        </w:rPr>
        <w:t>人（其中事业人员</w:t>
      </w:r>
      <w:r>
        <w:rPr>
          <w:rFonts w:hint="eastAsia" w:eastAsia="仿宋_GB2312" w:cs="Times New Roman"/>
          <w:b w:val="0"/>
          <w:bCs w:val="0"/>
          <w:color w:val="000000"/>
          <w:sz w:val="32"/>
          <w:szCs w:val="32"/>
          <w:lang w:val="en-US" w:eastAsia="zh-CN"/>
        </w:rPr>
        <w:t>7</w:t>
      </w:r>
      <w:r>
        <w:rPr>
          <w:rFonts w:hint="default" w:ascii="Times New Roman" w:hAnsi="Times New Roman" w:eastAsia="仿宋_GB2312" w:cs="Times New Roman"/>
          <w:b w:val="0"/>
          <w:bCs w:val="0"/>
          <w:color w:val="000000"/>
          <w:sz w:val="32"/>
          <w:szCs w:val="32"/>
        </w:rPr>
        <w:t>人，</w:t>
      </w:r>
      <w:r>
        <w:rPr>
          <w:rFonts w:hint="default" w:ascii="Times New Roman" w:hAnsi="Times New Roman" w:eastAsia="仿宋_GB2312" w:cs="Times New Roman"/>
          <w:b w:val="0"/>
          <w:bCs w:val="0"/>
          <w:color w:val="000000"/>
          <w:sz w:val="32"/>
          <w:szCs w:val="32"/>
          <w:lang w:eastAsia="zh-CN"/>
        </w:rPr>
        <w:t>编外长聘</w:t>
      </w:r>
      <w:r>
        <w:rPr>
          <w:rFonts w:hint="default" w:ascii="Times New Roman" w:hAnsi="Times New Roman" w:eastAsia="仿宋_GB2312" w:cs="Times New Roman"/>
          <w:b w:val="0"/>
          <w:bCs w:val="0"/>
          <w:color w:val="000000"/>
          <w:sz w:val="32"/>
          <w:szCs w:val="32"/>
        </w:rPr>
        <w:t>人员</w:t>
      </w:r>
      <w:r>
        <w:rPr>
          <w:rFonts w:hint="eastAsia" w:eastAsia="仿宋_GB2312" w:cs="Times New Roman"/>
          <w:b w:val="0"/>
          <w:bCs w:val="0"/>
          <w:color w:val="000000"/>
          <w:sz w:val="32"/>
          <w:szCs w:val="32"/>
          <w:lang w:val="en-US" w:eastAsia="zh-CN"/>
        </w:rPr>
        <w:t>2</w:t>
      </w:r>
      <w:r>
        <w:rPr>
          <w:rFonts w:hint="default" w:ascii="Times New Roman" w:hAnsi="Times New Roman" w:eastAsia="仿宋_GB2312" w:cs="Times New Roman"/>
          <w:b w:val="0"/>
          <w:bCs w:val="0"/>
          <w:color w:val="000000"/>
          <w:sz w:val="32"/>
          <w:szCs w:val="32"/>
        </w:rPr>
        <w:t>人），较上年度</w:t>
      </w:r>
      <w:r>
        <w:rPr>
          <w:rFonts w:hint="eastAsia" w:eastAsia="仿宋_GB2312" w:cs="Times New Roman"/>
          <w:b w:val="0"/>
          <w:bCs w:val="0"/>
          <w:color w:val="000000"/>
          <w:sz w:val="32"/>
          <w:szCs w:val="32"/>
          <w:lang w:eastAsia="zh-CN"/>
        </w:rPr>
        <w:t>减少</w:t>
      </w:r>
      <w:r>
        <w:rPr>
          <w:rFonts w:hint="default" w:ascii="Times New Roman" w:hAnsi="Times New Roman" w:eastAsia="仿宋_GB2312" w:cs="Times New Roman"/>
          <w:b w:val="0"/>
          <w:bCs w:val="0"/>
          <w:color w:val="000000"/>
          <w:sz w:val="32"/>
          <w:szCs w:val="32"/>
        </w:rPr>
        <w:t>4人。人均资产变化率较小。自评得分：3分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（2）资产利用率（3分）</w:t>
      </w:r>
      <w:r>
        <w:rPr>
          <w:rFonts w:hint="eastAsia"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办公家具超最低使用年限资产利用率为0；办公设备超最低使用年限资产</w:t>
      </w:r>
      <w:r>
        <w:rPr>
          <w:rFonts w:hint="eastAsia" w:eastAsia="仿宋_GB2312" w:cs="Times New Roman"/>
          <w:b w:val="0"/>
          <w:bCs w:val="0"/>
          <w:color w:val="000000"/>
          <w:sz w:val="32"/>
          <w:szCs w:val="32"/>
          <w:lang w:val="en-US" w:eastAsia="zh-CN"/>
        </w:rPr>
        <w:t>320</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04万</w:t>
      </w:r>
      <w:r>
        <w:rPr>
          <w:rFonts w:hint="default" w:ascii="Times New Roman" w:hAnsi="Times New Roman" w:eastAsia="仿宋_GB2312" w:cs="Times New Roman"/>
          <w:b w:val="0"/>
          <w:bCs w:val="0"/>
          <w:color w:val="000000"/>
          <w:sz w:val="32"/>
          <w:szCs w:val="32"/>
        </w:rPr>
        <w:t>元，办公设备的账面价值为</w:t>
      </w:r>
      <w:r>
        <w:rPr>
          <w:rFonts w:hint="eastAsia" w:eastAsia="仿宋_GB2312" w:cs="Times New Roman"/>
          <w:b w:val="0"/>
          <w:bCs w:val="0"/>
          <w:color w:val="000000"/>
          <w:sz w:val="32"/>
          <w:szCs w:val="32"/>
          <w:lang w:val="en-US" w:eastAsia="zh-CN"/>
        </w:rPr>
        <w:t>719</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93万</w:t>
      </w:r>
      <w:r>
        <w:rPr>
          <w:rFonts w:hint="default" w:ascii="Times New Roman" w:hAnsi="Times New Roman" w:eastAsia="仿宋_GB2312" w:cs="Times New Roman"/>
          <w:b w:val="0"/>
          <w:bCs w:val="0"/>
          <w:color w:val="000000"/>
          <w:sz w:val="32"/>
          <w:szCs w:val="32"/>
        </w:rPr>
        <w:t>元，办公设备超最低使用年限资产利用率为4</w:t>
      </w:r>
      <w:r>
        <w:rPr>
          <w:rFonts w:hint="eastAsia" w:eastAsia="仿宋_GB2312" w:cs="Times New Roman"/>
          <w:b w:val="0"/>
          <w:bCs w:val="0"/>
          <w:color w:val="000000"/>
          <w:sz w:val="32"/>
          <w:szCs w:val="32"/>
          <w:lang w:val="en-US" w:eastAsia="zh-CN"/>
        </w:rPr>
        <w:t>4</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45</w:t>
      </w:r>
      <w:r>
        <w:rPr>
          <w:rFonts w:hint="default" w:ascii="Times New Roman" w:hAnsi="Times New Roman" w:eastAsia="仿宋_GB2312" w:cs="Times New Roman"/>
          <w:b w:val="0"/>
          <w:bCs w:val="0"/>
          <w:color w:val="000000"/>
          <w:sz w:val="32"/>
          <w:szCs w:val="32"/>
        </w:rPr>
        <w:t>%。自评得分：3分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（3）资产</w:t>
      </w:r>
      <w:r>
        <w:rPr>
          <w:rFonts w:hint="eastAsia" w:eastAsia="仿宋_GB2312" w:cs="Times New Roman"/>
          <w:b w:val="0"/>
          <w:bCs w:val="0"/>
          <w:color w:val="000000"/>
          <w:sz w:val="32"/>
          <w:szCs w:val="32"/>
          <w:lang w:eastAsia="zh-CN"/>
        </w:rPr>
        <w:t>盘活</w:t>
      </w:r>
      <w:r>
        <w:rPr>
          <w:rFonts w:hint="default" w:ascii="Times New Roman" w:hAnsi="Times New Roman" w:eastAsia="仿宋_GB2312" w:cs="Times New Roman"/>
          <w:b w:val="0"/>
          <w:bCs w:val="0"/>
          <w:color w:val="000000"/>
          <w:sz w:val="32"/>
          <w:szCs w:val="32"/>
        </w:rPr>
        <w:t>率（3分）。202</w:t>
      </w:r>
      <w:r>
        <w:rPr>
          <w:rFonts w:hint="eastAsia" w:eastAsia="仿宋_GB2312" w:cs="Times New Roman"/>
          <w:b w:val="0"/>
          <w:bCs w:val="0"/>
          <w:color w:val="000000"/>
          <w:sz w:val="32"/>
          <w:szCs w:val="32"/>
          <w:lang w:val="en-US" w:eastAsia="zh-CN"/>
        </w:rPr>
        <w:t>3</w:t>
      </w:r>
      <w:r>
        <w:rPr>
          <w:rFonts w:hint="default" w:ascii="Times New Roman" w:hAnsi="Times New Roman" w:eastAsia="仿宋_GB2312" w:cs="Times New Roman"/>
          <w:b w:val="0"/>
          <w:bCs w:val="0"/>
          <w:color w:val="000000"/>
          <w:sz w:val="32"/>
          <w:szCs w:val="32"/>
        </w:rPr>
        <w:t>年和202</w:t>
      </w:r>
      <w:r>
        <w:rPr>
          <w:rFonts w:hint="eastAsia" w:eastAsia="仿宋_GB2312" w:cs="Times New Roman"/>
          <w:b w:val="0"/>
          <w:bCs w:val="0"/>
          <w:color w:val="000000"/>
          <w:sz w:val="32"/>
          <w:szCs w:val="32"/>
          <w:lang w:val="en-US" w:eastAsia="zh-CN"/>
        </w:rPr>
        <w:t>4</w:t>
      </w:r>
      <w:r>
        <w:rPr>
          <w:rFonts w:hint="default" w:ascii="Times New Roman" w:hAnsi="Times New Roman" w:eastAsia="仿宋_GB2312" w:cs="Times New Roman"/>
          <w:b w:val="0"/>
          <w:bCs w:val="0"/>
          <w:color w:val="000000"/>
          <w:sz w:val="32"/>
          <w:szCs w:val="32"/>
        </w:rPr>
        <w:t>年均无闲置资产。自评得分：3分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5.采购管理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（1）支持中小企业发展（3分）。采购中严格执行政府采购促进中小企业发展相关管理办法，202</w:t>
      </w:r>
      <w:r>
        <w:rPr>
          <w:rFonts w:hint="eastAsia" w:eastAsia="仿宋_GB2312" w:cs="Times New Roman"/>
          <w:b w:val="0"/>
          <w:bCs w:val="0"/>
          <w:color w:val="000000"/>
          <w:sz w:val="32"/>
          <w:szCs w:val="32"/>
          <w:lang w:val="en-US" w:eastAsia="zh-CN"/>
        </w:rPr>
        <w:t>4</w:t>
      </w:r>
      <w:r>
        <w:rPr>
          <w:rFonts w:hint="default" w:ascii="Times New Roman" w:hAnsi="Times New Roman" w:eastAsia="仿宋_GB2312" w:cs="Times New Roman"/>
          <w:b w:val="0"/>
          <w:bCs w:val="0"/>
          <w:color w:val="000000"/>
          <w:sz w:val="32"/>
          <w:szCs w:val="32"/>
        </w:rPr>
        <w:t>年采购金额共计</w:t>
      </w:r>
      <w:r>
        <w:rPr>
          <w:rFonts w:hint="eastAsia" w:eastAsia="仿宋_GB2312" w:cs="Times New Roman"/>
          <w:b w:val="0"/>
          <w:bCs w:val="0"/>
          <w:color w:val="000000"/>
          <w:sz w:val="32"/>
          <w:szCs w:val="32"/>
          <w:lang w:val="en-US" w:eastAsia="zh-CN"/>
        </w:rPr>
        <w:t>520</w:t>
      </w:r>
      <w:r>
        <w:rPr>
          <w:rFonts w:hint="default" w:eastAsia="仿宋_GB2312" w:cs="Times New Roman"/>
          <w:b w:val="0"/>
          <w:bCs w:val="0"/>
          <w:color w:val="000000"/>
          <w:sz w:val="32"/>
          <w:szCs w:val="32"/>
          <w:lang w:val="en-US" w:eastAsia="zh-CN"/>
        </w:rPr>
        <w:t>.63</w:t>
      </w:r>
      <w:r>
        <w:rPr>
          <w:rFonts w:hint="eastAsia" w:eastAsia="仿宋_GB2312" w:cs="Times New Roman"/>
          <w:b w:val="0"/>
          <w:bCs w:val="0"/>
          <w:color w:val="000000"/>
          <w:sz w:val="32"/>
          <w:szCs w:val="32"/>
          <w:lang w:val="en-US" w:eastAsia="zh-CN"/>
        </w:rPr>
        <w:t>万</w:t>
      </w:r>
      <w:r>
        <w:rPr>
          <w:rFonts w:hint="default" w:ascii="Times New Roman" w:hAnsi="Times New Roman" w:eastAsia="仿宋_GB2312" w:cs="Times New Roman"/>
          <w:b w:val="0"/>
          <w:bCs w:val="0"/>
          <w:color w:val="000000"/>
          <w:sz w:val="32"/>
          <w:szCs w:val="32"/>
        </w:rPr>
        <w:t>元，其中涉及中小企业的采购金额为</w:t>
      </w:r>
      <w:r>
        <w:rPr>
          <w:rFonts w:hint="eastAsia" w:eastAsia="仿宋_GB2312" w:cs="Times New Roman"/>
          <w:b w:val="0"/>
          <w:bCs w:val="0"/>
          <w:color w:val="000000"/>
          <w:sz w:val="32"/>
          <w:szCs w:val="32"/>
          <w:lang w:val="en-US" w:eastAsia="zh-CN"/>
        </w:rPr>
        <w:t>520</w:t>
      </w:r>
      <w:r>
        <w:rPr>
          <w:rFonts w:hint="default" w:eastAsia="仿宋_GB2312" w:cs="Times New Roman"/>
          <w:b w:val="0"/>
          <w:bCs w:val="0"/>
          <w:color w:val="000000"/>
          <w:sz w:val="32"/>
          <w:szCs w:val="32"/>
          <w:lang w:val="en-US" w:eastAsia="zh-CN"/>
        </w:rPr>
        <w:t>.63</w:t>
      </w:r>
      <w:r>
        <w:rPr>
          <w:rFonts w:hint="eastAsia" w:eastAsia="仿宋_GB2312" w:cs="Times New Roman"/>
          <w:b w:val="0"/>
          <w:bCs w:val="0"/>
          <w:color w:val="000000"/>
          <w:sz w:val="32"/>
          <w:szCs w:val="32"/>
          <w:lang w:val="en-US" w:eastAsia="zh-CN"/>
        </w:rPr>
        <w:t>万</w:t>
      </w:r>
      <w:r>
        <w:rPr>
          <w:rFonts w:hint="default" w:ascii="Times New Roman" w:hAnsi="Times New Roman" w:eastAsia="仿宋_GB2312" w:cs="Times New Roman"/>
          <w:b w:val="0"/>
          <w:bCs w:val="0"/>
          <w:color w:val="000000"/>
          <w:sz w:val="32"/>
          <w:szCs w:val="32"/>
        </w:rPr>
        <w:t>元。自评得分：3分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（2）采购执行率（3分）。202</w:t>
      </w:r>
      <w:r>
        <w:rPr>
          <w:rFonts w:hint="eastAsia" w:eastAsia="仿宋_GB2312" w:cs="Times New Roman"/>
          <w:b w:val="0"/>
          <w:bCs w:val="0"/>
          <w:color w:val="000000"/>
          <w:sz w:val="32"/>
          <w:szCs w:val="32"/>
          <w:lang w:val="en-US" w:eastAsia="zh-CN"/>
        </w:rPr>
        <w:t>4</w:t>
      </w:r>
      <w:r>
        <w:rPr>
          <w:rFonts w:hint="default" w:ascii="Times New Roman" w:hAnsi="Times New Roman" w:eastAsia="仿宋_GB2312" w:cs="Times New Roman"/>
          <w:b w:val="0"/>
          <w:bCs w:val="0"/>
          <w:color w:val="000000"/>
          <w:sz w:val="32"/>
          <w:szCs w:val="32"/>
        </w:rPr>
        <w:t>年采购金额共计</w:t>
      </w:r>
      <w:r>
        <w:rPr>
          <w:rFonts w:hint="eastAsia" w:eastAsia="仿宋_GB2312" w:cs="Times New Roman"/>
          <w:b w:val="0"/>
          <w:bCs w:val="0"/>
          <w:color w:val="000000"/>
          <w:sz w:val="32"/>
          <w:szCs w:val="32"/>
          <w:lang w:val="en-US" w:eastAsia="zh-CN"/>
        </w:rPr>
        <w:t>520</w:t>
      </w:r>
      <w:r>
        <w:rPr>
          <w:rFonts w:hint="default" w:eastAsia="仿宋_GB2312" w:cs="Times New Roman"/>
          <w:b w:val="0"/>
          <w:bCs w:val="0"/>
          <w:color w:val="000000"/>
          <w:sz w:val="32"/>
          <w:szCs w:val="32"/>
          <w:lang w:val="en-US" w:eastAsia="zh-CN"/>
        </w:rPr>
        <w:t>.63</w:t>
      </w:r>
      <w:r>
        <w:rPr>
          <w:rFonts w:hint="eastAsia" w:eastAsia="仿宋_GB2312" w:cs="Times New Roman"/>
          <w:b w:val="0"/>
          <w:bCs w:val="0"/>
          <w:color w:val="000000"/>
          <w:sz w:val="32"/>
          <w:szCs w:val="32"/>
          <w:lang w:val="en-US" w:eastAsia="zh-CN"/>
        </w:rPr>
        <w:t>万</w:t>
      </w:r>
      <w:r>
        <w:rPr>
          <w:rFonts w:hint="default" w:ascii="Times New Roman" w:hAnsi="Times New Roman" w:eastAsia="仿宋_GB2312" w:cs="Times New Roman"/>
          <w:b w:val="0"/>
          <w:bCs w:val="0"/>
          <w:color w:val="000000"/>
          <w:sz w:val="32"/>
          <w:szCs w:val="32"/>
        </w:rPr>
        <w:t>元，当年政府采购总预算数</w:t>
      </w:r>
      <w:r>
        <w:rPr>
          <w:rFonts w:hint="eastAsia" w:eastAsia="仿宋_GB2312" w:cs="Times New Roman"/>
          <w:b w:val="0"/>
          <w:bCs w:val="0"/>
          <w:color w:val="000000"/>
          <w:sz w:val="32"/>
          <w:szCs w:val="32"/>
          <w:lang w:val="en-US" w:eastAsia="zh-CN"/>
        </w:rPr>
        <w:t>520</w:t>
      </w:r>
      <w:r>
        <w:rPr>
          <w:rFonts w:hint="default" w:eastAsia="仿宋_GB2312" w:cs="Times New Roman"/>
          <w:b w:val="0"/>
          <w:bCs w:val="0"/>
          <w:color w:val="000000"/>
          <w:sz w:val="32"/>
          <w:szCs w:val="32"/>
          <w:lang w:val="en-US" w:eastAsia="zh-CN"/>
        </w:rPr>
        <w:t>.63</w:t>
      </w:r>
      <w:r>
        <w:rPr>
          <w:rFonts w:hint="eastAsia" w:eastAsia="仿宋_GB2312" w:cs="Times New Roman"/>
          <w:b w:val="0"/>
          <w:bCs w:val="0"/>
          <w:color w:val="000000"/>
          <w:sz w:val="32"/>
          <w:szCs w:val="32"/>
          <w:lang w:val="en-US" w:eastAsia="zh-CN"/>
        </w:rPr>
        <w:t>万</w:t>
      </w:r>
      <w:r>
        <w:rPr>
          <w:rFonts w:hint="default" w:ascii="Times New Roman" w:hAnsi="Times New Roman" w:eastAsia="仿宋_GB2312" w:cs="Times New Roman"/>
          <w:b w:val="0"/>
          <w:bCs w:val="0"/>
          <w:color w:val="000000"/>
          <w:sz w:val="32"/>
          <w:szCs w:val="32"/>
        </w:rPr>
        <w:t>元。自评得分：3分</w:t>
      </w:r>
    </w:p>
    <w:p>
      <w:pPr>
        <w:pStyle w:val="7"/>
        <w:keepNext w:val="0"/>
        <w:keepLines w:val="0"/>
        <w:pageBreakBefore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方正公文楷体" w:cs="Times New Roman"/>
          <w:b w:val="0"/>
          <w:bCs w:val="0"/>
          <w:color w:val="000000"/>
          <w:kern w:val="0"/>
          <w:sz w:val="32"/>
          <w:szCs w:val="32"/>
          <w:shd w:val="clear" w:color="auto" w:fill="FFFFFF"/>
          <w:lang w:val="zh-CN"/>
        </w:rPr>
      </w:pPr>
      <w:r>
        <w:rPr>
          <w:rFonts w:hint="default" w:ascii="Times New Roman" w:hAnsi="Times New Roman" w:eastAsia="方正公文楷体" w:cs="Times New Roman"/>
          <w:b w:val="0"/>
          <w:bCs w:val="0"/>
          <w:color w:val="000000"/>
          <w:kern w:val="0"/>
          <w:sz w:val="32"/>
          <w:szCs w:val="32"/>
          <w:shd w:val="clear" w:color="auto" w:fill="FFFFFF"/>
          <w:lang w:val="zh-CN"/>
        </w:rPr>
        <w:t>(二)项目绩效（35分）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1.项目决策（12分）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（1）决策程序（4分）。</w:t>
      </w:r>
      <w:r>
        <w:rPr>
          <w:rFonts w:hint="default" w:ascii="Times New Roman" w:hAnsi="Times New Roman" w:eastAsia="仿宋_GB2312" w:cs="Times New Roman"/>
          <w:b w:val="0"/>
          <w:bCs w:val="0"/>
          <w:color w:val="000000"/>
          <w:sz w:val="32"/>
          <w:szCs w:val="32"/>
          <w:lang w:eastAsia="zh-CN"/>
        </w:rPr>
        <w:t>单位</w:t>
      </w:r>
      <w:r>
        <w:rPr>
          <w:rFonts w:hint="default" w:ascii="Times New Roman" w:hAnsi="Times New Roman" w:eastAsia="仿宋_GB2312" w:cs="Times New Roman"/>
          <w:b w:val="0"/>
          <w:bCs w:val="0"/>
          <w:color w:val="000000"/>
          <w:sz w:val="32"/>
          <w:szCs w:val="32"/>
        </w:rPr>
        <w:t>预算项目设立按规定履行评估论证、申报程序，无未履行事前评估程序的</w:t>
      </w:r>
      <w:r>
        <w:rPr>
          <w:rFonts w:hint="default" w:ascii="Times New Roman" w:hAnsi="Times New Roman" w:eastAsia="仿宋_GB2312" w:cs="Times New Roman"/>
          <w:b w:val="0"/>
          <w:bCs w:val="0"/>
          <w:color w:val="000000"/>
          <w:sz w:val="32"/>
          <w:szCs w:val="32"/>
          <w:lang w:eastAsia="zh-CN"/>
        </w:rPr>
        <w:t>单位</w:t>
      </w:r>
      <w:r>
        <w:rPr>
          <w:rFonts w:hint="default" w:ascii="Times New Roman" w:hAnsi="Times New Roman" w:eastAsia="仿宋_GB2312" w:cs="Times New Roman"/>
          <w:b w:val="0"/>
          <w:bCs w:val="0"/>
          <w:color w:val="000000"/>
          <w:sz w:val="32"/>
          <w:szCs w:val="32"/>
        </w:rPr>
        <w:t>预算项目。202</w:t>
      </w:r>
      <w:r>
        <w:rPr>
          <w:rFonts w:hint="eastAsia" w:eastAsia="仿宋_GB2312" w:cs="Times New Roman"/>
          <w:b w:val="0"/>
          <w:bCs w:val="0"/>
          <w:color w:val="000000"/>
          <w:sz w:val="32"/>
          <w:szCs w:val="32"/>
          <w:lang w:val="en-US" w:eastAsia="zh-CN"/>
        </w:rPr>
        <w:t>4</w:t>
      </w:r>
      <w:r>
        <w:rPr>
          <w:rFonts w:hint="default" w:ascii="Times New Roman" w:hAnsi="Times New Roman" w:eastAsia="仿宋_GB2312" w:cs="Times New Roman"/>
          <w:b w:val="0"/>
          <w:bCs w:val="0"/>
          <w:color w:val="000000"/>
          <w:sz w:val="32"/>
          <w:szCs w:val="32"/>
        </w:rPr>
        <w:t>年共有</w:t>
      </w:r>
      <w:r>
        <w:rPr>
          <w:rFonts w:hint="eastAsia" w:eastAsia="仿宋_GB2312" w:cs="Times New Roman"/>
          <w:b w:val="0"/>
          <w:bCs w:val="0"/>
          <w:color w:val="000000"/>
          <w:sz w:val="32"/>
          <w:szCs w:val="32"/>
          <w:lang w:val="en-US" w:eastAsia="zh-CN"/>
        </w:rPr>
        <w:t>22</w:t>
      </w:r>
      <w:r>
        <w:rPr>
          <w:rFonts w:hint="default" w:ascii="Times New Roman" w:hAnsi="Times New Roman" w:eastAsia="仿宋_GB2312" w:cs="Times New Roman"/>
          <w:b w:val="0"/>
          <w:bCs w:val="0"/>
          <w:color w:val="000000"/>
          <w:sz w:val="32"/>
          <w:szCs w:val="32"/>
        </w:rPr>
        <w:t>个特定目标类预算项目，决策程序合规。自评得分：4分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2）目标设置（4分）。预算项目绩效目标与计划期内的任务量、预算安排的资金量匹配较好，绩效目标设置科学合理、规范完整、量化细化、预算匹配。特定目标类项目目标设置都是经业务科室和财务部门共同合作完成，并经过相关专家指导，目标设置符合规定。自评得分：4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（3）项目入库（4分）。</w:t>
      </w:r>
      <w:r>
        <w:rPr>
          <w:rFonts w:hint="default" w:ascii="Times New Roman" w:hAnsi="Times New Roman" w:eastAsia="仿宋_GB2312" w:cs="Times New Roman"/>
          <w:b w:val="0"/>
          <w:bCs w:val="0"/>
          <w:color w:val="000000"/>
          <w:sz w:val="32"/>
          <w:szCs w:val="32"/>
          <w:lang w:eastAsia="zh-CN"/>
        </w:rPr>
        <w:t>单位</w:t>
      </w:r>
      <w:r>
        <w:rPr>
          <w:rFonts w:hint="default" w:ascii="Times New Roman" w:hAnsi="Times New Roman" w:eastAsia="仿宋_GB2312" w:cs="Times New Roman"/>
          <w:b w:val="0"/>
          <w:bCs w:val="0"/>
          <w:color w:val="000000"/>
          <w:sz w:val="32"/>
          <w:szCs w:val="32"/>
        </w:rPr>
        <w:t>预算项目能在规定时间</w:t>
      </w:r>
      <w:r>
        <w:rPr>
          <w:rFonts w:hint="default" w:ascii="Times New Roman" w:hAnsi="Times New Roman" w:eastAsia="仿宋_GB2312" w:cs="Times New Roman"/>
          <w:b w:val="0"/>
          <w:bCs w:val="0"/>
          <w:color w:val="000000"/>
          <w:sz w:val="32"/>
          <w:szCs w:val="32"/>
          <w:lang w:eastAsia="zh-CN"/>
        </w:rPr>
        <w:t>内</w:t>
      </w:r>
      <w:r>
        <w:rPr>
          <w:rFonts w:hint="default" w:ascii="Times New Roman" w:hAnsi="Times New Roman" w:eastAsia="仿宋_GB2312" w:cs="Times New Roman"/>
          <w:b w:val="0"/>
          <w:bCs w:val="0"/>
          <w:color w:val="000000"/>
          <w:sz w:val="32"/>
          <w:szCs w:val="32"/>
        </w:rPr>
        <w:t>完成项目入库。202</w:t>
      </w:r>
      <w:r>
        <w:rPr>
          <w:rFonts w:hint="eastAsia" w:eastAsia="仿宋_GB2312" w:cs="Times New Roman"/>
          <w:b w:val="0"/>
          <w:bCs w:val="0"/>
          <w:color w:val="000000"/>
          <w:sz w:val="32"/>
          <w:szCs w:val="32"/>
          <w:lang w:val="en-US" w:eastAsia="zh-CN"/>
        </w:rPr>
        <w:t>4</w:t>
      </w:r>
      <w:r>
        <w:rPr>
          <w:rFonts w:hint="default" w:ascii="Times New Roman" w:hAnsi="Times New Roman" w:eastAsia="仿宋_GB2312" w:cs="Times New Roman"/>
          <w:b w:val="0"/>
          <w:bCs w:val="0"/>
          <w:color w:val="000000"/>
          <w:sz w:val="32"/>
          <w:szCs w:val="32"/>
        </w:rPr>
        <w:t>年共有</w:t>
      </w:r>
      <w:r>
        <w:rPr>
          <w:rFonts w:hint="eastAsia" w:eastAsia="仿宋_GB2312" w:cs="Times New Roman"/>
          <w:b w:val="0"/>
          <w:bCs w:val="0"/>
          <w:color w:val="000000"/>
          <w:sz w:val="32"/>
          <w:szCs w:val="32"/>
          <w:lang w:val="en-US" w:eastAsia="zh-CN"/>
        </w:rPr>
        <w:t>22</w:t>
      </w:r>
      <w:r>
        <w:rPr>
          <w:rFonts w:hint="default" w:ascii="Times New Roman" w:hAnsi="Times New Roman" w:eastAsia="仿宋_GB2312" w:cs="Times New Roman"/>
          <w:b w:val="0"/>
          <w:bCs w:val="0"/>
          <w:color w:val="000000"/>
          <w:sz w:val="32"/>
          <w:szCs w:val="32"/>
        </w:rPr>
        <w:t>个特定目标类预算项目能在州财政局规定的时间内按时入库。自评得分：4分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2.项目执行（12分）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（1）执行同向（4分）。</w:t>
      </w:r>
      <w:r>
        <w:rPr>
          <w:rFonts w:hint="default" w:ascii="Times New Roman" w:hAnsi="Times New Roman" w:eastAsia="仿宋_GB2312" w:cs="Times New Roman"/>
          <w:b w:val="0"/>
          <w:bCs w:val="0"/>
          <w:color w:val="000000"/>
          <w:sz w:val="32"/>
          <w:szCs w:val="32"/>
          <w:lang w:eastAsia="zh-CN"/>
        </w:rPr>
        <w:t>单位</w:t>
      </w:r>
      <w:r>
        <w:rPr>
          <w:rFonts w:hint="default" w:ascii="Times New Roman" w:hAnsi="Times New Roman" w:eastAsia="仿宋_GB2312" w:cs="Times New Roman"/>
          <w:b w:val="0"/>
          <w:bCs w:val="0"/>
          <w:color w:val="000000"/>
          <w:sz w:val="32"/>
          <w:szCs w:val="32"/>
        </w:rPr>
        <w:t>预算项目实际列支内容是与绩效目标设置方向相符，无实际列支内容与绩效目标设置方向不相符的</w:t>
      </w:r>
      <w:r>
        <w:rPr>
          <w:rFonts w:hint="default" w:ascii="Times New Roman" w:hAnsi="Times New Roman" w:eastAsia="仿宋_GB2312" w:cs="Times New Roman"/>
          <w:b w:val="0"/>
          <w:bCs w:val="0"/>
          <w:color w:val="000000"/>
          <w:sz w:val="32"/>
          <w:szCs w:val="32"/>
          <w:lang w:eastAsia="zh-CN"/>
        </w:rPr>
        <w:t>单位</w:t>
      </w:r>
      <w:r>
        <w:rPr>
          <w:rFonts w:hint="default" w:ascii="Times New Roman" w:hAnsi="Times New Roman" w:eastAsia="仿宋_GB2312" w:cs="Times New Roman"/>
          <w:b w:val="0"/>
          <w:bCs w:val="0"/>
          <w:color w:val="000000"/>
          <w:sz w:val="32"/>
          <w:szCs w:val="32"/>
        </w:rPr>
        <w:t>预算项目。自评得分：4分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（2）项目调整（4分）。202</w:t>
      </w:r>
      <w:r>
        <w:rPr>
          <w:rFonts w:hint="eastAsia" w:eastAsia="仿宋_GB2312" w:cs="Times New Roman"/>
          <w:b w:val="0"/>
          <w:bCs w:val="0"/>
          <w:color w:val="000000"/>
          <w:sz w:val="32"/>
          <w:szCs w:val="32"/>
          <w:lang w:val="en-US" w:eastAsia="zh-CN"/>
        </w:rPr>
        <w:t>4</w:t>
      </w:r>
      <w:r>
        <w:rPr>
          <w:rFonts w:hint="default" w:ascii="Times New Roman" w:hAnsi="Times New Roman" w:eastAsia="仿宋_GB2312" w:cs="Times New Roman"/>
          <w:b w:val="0"/>
          <w:bCs w:val="0"/>
          <w:color w:val="000000"/>
          <w:sz w:val="32"/>
          <w:szCs w:val="32"/>
        </w:rPr>
        <w:t>年</w:t>
      </w:r>
      <w:r>
        <w:rPr>
          <w:rFonts w:hint="default" w:ascii="Times New Roman" w:hAnsi="Times New Roman" w:eastAsia="仿宋_GB2312" w:cs="Times New Roman"/>
          <w:b w:val="0"/>
          <w:bCs w:val="0"/>
          <w:color w:val="000000"/>
          <w:sz w:val="32"/>
          <w:szCs w:val="32"/>
          <w:lang w:eastAsia="zh-CN"/>
        </w:rPr>
        <w:t>单位</w:t>
      </w:r>
      <w:r>
        <w:rPr>
          <w:rFonts w:hint="default" w:ascii="Times New Roman" w:hAnsi="Times New Roman" w:eastAsia="仿宋_GB2312" w:cs="Times New Roman"/>
          <w:b w:val="0"/>
          <w:bCs w:val="0"/>
          <w:color w:val="000000"/>
          <w:sz w:val="32"/>
          <w:szCs w:val="32"/>
        </w:rPr>
        <w:t>预算项目中无应采取未采取收回预算、调整目标等处置措施的</w:t>
      </w:r>
      <w:r>
        <w:rPr>
          <w:rFonts w:hint="default" w:ascii="Times New Roman" w:hAnsi="Times New Roman" w:eastAsia="仿宋_GB2312" w:cs="Times New Roman"/>
          <w:b w:val="0"/>
          <w:bCs w:val="0"/>
          <w:color w:val="000000"/>
          <w:sz w:val="32"/>
          <w:szCs w:val="32"/>
          <w:lang w:eastAsia="zh-CN"/>
        </w:rPr>
        <w:t>单位</w:t>
      </w:r>
      <w:r>
        <w:rPr>
          <w:rFonts w:hint="default" w:ascii="Times New Roman" w:hAnsi="Times New Roman" w:eastAsia="仿宋_GB2312" w:cs="Times New Roman"/>
          <w:b w:val="0"/>
          <w:bCs w:val="0"/>
          <w:color w:val="000000"/>
          <w:sz w:val="32"/>
          <w:szCs w:val="32"/>
        </w:rPr>
        <w:t>预算项目。自评得分：4分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（3）执行结果（4分）。宣传教育转化工作经费项目支付率为100%，平安创建、群防群治、网格化管理工作经费项目支付率为</w:t>
      </w:r>
      <w:r>
        <w:rPr>
          <w:rFonts w:hint="eastAsia" w:eastAsia="仿宋_GB2312" w:cs="Times New Roman"/>
          <w:b w:val="0"/>
          <w:bCs w:val="0"/>
          <w:color w:val="000000"/>
          <w:sz w:val="32"/>
          <w:szCs w:val="32"/>
          <w:lang w:val="en-US" w:eastAsia="zh-CN"/>
        </w:rPr>
        <w:t>100</w:t>
      </w:r>
      <w:r>
        <w:rPr>
          <w:rFonts w:hint="default" w:ascii="Times New Roman" w:hAnsi="Times New Roman" w:eastAsia="仿宋_GB2312" w:cs="Times New Roman"/>
          <w:b w:val="0"/>
          <w:bCs w:val="0"/>
          <w:color w:val="000000"/>
          <w:sz w:val="32"/>
          <w:szCs w:val="32"/>
        </w:rPr>
        <w:t>%,见义勇为专项经费项目支付率为100%，法学会工作经费项目支付率为100%，大调解工作经费项目支付率为</w:t>
      </w:r>
      <w:r>
        <w:rPr>
          <w:rFonts w:hint="eastAsia" w:eastAsia="仿宋_GB2312" w:cs="Times New Roman"/>
          <w:b w:val="0"/>
          <w:bCs w:val="0"/>
          <w:color w:val="000000"/>
          <w:sz w:val="32"/>
          <w:szCs w:val="32"/>
          <w:lang w:val="en-US" w:eastAsia="zh-CN"/>
        </w:rPr>
        <w:t>100</w:t>
      </w:r>
      <w:r>
        <w:rPr>
          <w:rFonts w:hint="default" w:ascii="Times New Roman" w:hAnsi="Times New Roman" w:eastAsia="仿宋_GB2312" w:cs="Times New Roman"/>
          <w:b w:val="0"/>
          <w:bCs w:val="0"/>
          <w:color w:val="000000"/>
          <w:sz w:val="32"/>
          <w:szCs w:val="32"/>
        </w:rPr>
        <w:t>%</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政法三级网、阿坝长安网、大调解网络租赁及维护费项目支付率为97.9</w:t>
      </w:r>
      <w:r>
        <w:rPr>
          <w:rFonts w:hint="eastAsia" w:eastAsia="仿宋_GB2312" w:cs="Times New Roman"/>
          <w:b w:val="0"/>
          <w:bCs w:val="0"/>
          <w:color w:val="000000"/>
          <w:sz w:val="32"/>
          <w:szCs w:val="32"/>
          <w:lang w:val="en-US" w:eastAsia="zh-CN"/>
        </w:rPr>
        <w:t>8</w:t>
      </w:r>
      <w:r>
        <w:rPr>
          <w:rFonts w:hint="default" w:ascii="Times New Roman" w:hAnsi="Times New Roman" w:eastAsia="仿宋_GB2312" w:cs="Times New Roman"/>
          <w:b w:val="0"/>
          <w:bCs w:val="0"/>
          <w:color w:val="000000"/>
          <w:sz w:val="32"/>
          <w:szCs w:val="32"/>
        </w:rPr>
        <w:t>%</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公务用车大修项目支付率为9</w:t>
      </w:r>
      <w:r>
        <w:rPr>
          <w:rFonts w:hint="eastAsia" w:eastAsia="仿宋_GB2312" w:cs="Times New Roman"/>
          <w:b w:val="0"/>
          <w:bCs w:val="0"/>
          <w:color w:val="000000"/>
          <w:sz w:val="32"/>
          <w:szCs w:val="32"/>
          <w:lang w:val="en-US" w:eastAsia="zh-CN"/>
        </w:rPr>
        <w:t>9</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09</w:t>
      </w:r>
      <w:r>
        <w:rPr>
          <w:rFonts w:hint="default" w:ascii="Times New Roman" w:hAnsi="Times New Roman" w:eastAsia="仿宋_GB2312" w:cs="Times New Roman"/>
          <w:b w:val="0"/>
          <w:bCs w:val="0"/>
          <w:color w:val="000000"/>
          <w:sz w:val="32"/>
          <w:szCs w:val="32"/>
        </w:rPr>
        <w:t>%</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全州政法干部培训费项目支付率为</w:t>
      </w:r>
      <w:r>
        <w:rPr>
          <w:rFonts w:hint="eastAsia" w:eastAsia="仿宋_GB2312" w:cs="Times New Roman"/>
          <w:b w:val="0"/>
          <w:bCs w:val="0"/>
          <w:color w:val="000000"/>
          <w:sz w:val="32"/>
          <w:szCs w:val="32"/>
          <w:lang w:val="en-US" w:eastAsia="zh-CN"/>
        </w:rPr>
        <w:t>100</w:t>
      </w:r>
      <w:r>
        <w:rPr>
          <w:rFonts w:hint="default" w:ascii="Times New Roman" w:hAnsi="Times New Roman" w:eastAsia="仿宋_GB2312" w:cs="Times New Roman"/>
          <w:b w:val="0"/>
          <w:bCs w:val="0"/>
          <w:color w:val="000000"/>
          <w:sz w:val="32"/>
          <w:szCs w:val="32"/>
        </w:rPr>
        <w:t>%</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综治工作经费项目支付率为</w:t>
      </w:r>
      <w:r>
        <w:rPr>
          <w:rFonts w:hint="eastAsia" w:eastAsia="仿宋_GB2312" w:cs="Times New Roman"/>
          <w:b w:val="0"/>
          <w:bCs w:val="0"/>
          <w:color w:val="000000"/>
          <w:sz w:val="32"/>
          <w:szCs w:val="32"/>
          <w:lang w:val="en-US" w:eastAsia="zh-CN"/>
        </w:rPr>
        <w:t>100</w:t>
      </w:r>
      <w:r>
        <w:rPr>
          <w:rFonts w:hint="default" w:ascii="Times New Roman" w:hAnsi="Times New Roman" w:eastAsia="仿宋_GB2312" w:cs="Times New Roman"/>
          <w:b w:val="0"/>
          <w:bCs w:val="0"/>
          <w:color w:val="000000"/>
          <w:sz w:val="32"/>
          <w:szCs w:val="32"/>
        </w:rPr>
        <w:t>%,办公设备购置项目支付率</w:t>
      </w:r>
      <w:r>
        <w:rPr>
          <w:rFonts w:hint="eastAsia" w:eastAsia="仿宋_GB2312" w:cs="Times New Roman"/>
          <w:b w:val="0"/>
          <w:bCs w:val="0"/>
          <w:color w:val="000000"/>
          <w:sz w:val="32"/>
          <w:szCs w:val="32"/>
          <w:lang w:val="en-US" w:eastAsia="zh-CN"/>
        </w:rPr>
        <w:t>100</w:t>
      </w:r>
      <w:r>
        <w:rPr>
          <w:rFonts w:hint="default" w:ascii="Times New Roman" w:hAnsi="Times New Roman" w:eastAsia="仿宋_GB2312" w:cs="Times New Roman"/>
          <w:b w:val="0"/>
          <w:bCs w:val="0"/>
          <w:color w:val="000000"/>
          <w:sz w:val="32"/>
          <w:szCs w:val="32"/>
        </w:rPr>
        <w:t>%</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202</w:t>
      </w:r>
      <w:r>
        <w:rPr>
          <w:rFonts w:hint="eastAsia" w:eastAsia="仿宋_GB2312" w:cs="Times New Roman"/>
          <w:b w:val="0"/>
          <w:bCs w:val="0"/>
          <w:color w:val="000000"/>
          <w:sz w:val="32"/>
          <w:szCs w:val="32"/>
          <w:lang w:val="en-US" w:eastAsia="zh-CN"/>
        </w:rPr>
        <w:t>4</w:t>
      </w:r>
      <w:r>
        <w:rPr>
          <w:rFonts w:hint="default" w:ascii="Times New Roman" w:hAnsi="Times New Roman" w:eastAsia="仿宋_GB2312" w:cs="Times New Roman"/>
          <w:b w:val="0"/>
          <w:bCs w:val="0"/>
          <w:color w:val="000000"/>
          <w:sz w:val="32"/>
          <w:szCs w:val="32"/>
        </w:rPr>
        <w:t>年春节走访慰问高层次人才慰问经费项目支付率为100%。自评得分：4分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3.目标实现（11分）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（1）目标完成（4分）。</w:t>
      </w:r>
      <w:r>
        <w:rPr>
          <w:rFonts w:hint="default" w:ascii="Times New Roman" w:hAnsi="Times New Roman" w:eastAsia="仿宋_GB2312" w:cs="Times New Roman"/>
          <w:b w:val="0"/>
          <w:bCs w:val="0"/>
          <w:color w:val="000000"/>
          <w:sz w:val="32"/>
          <w:szCs w:val="32"/>
          <w:lang w:eastAsia="zh-CN"/>
        </w:rPr>
        <w:t>单位</w:t>
      </w:r>
      <w:r>
        <w:rPr>
          <w:rFonts w:hint="default" w:ascii="Times New Roman" w:hAnsi="Times New Roman" w:eastAsia="仿宋_GB2312" w:cs="Times New Roman"/>
          <w:b w:val="0"/>
          <w:bCs w:val="0"/>
          <w:color w:val="000000"/>
          <w:sz w:val="32"/>
          <w:szCs w:val="32"/>
        </w:rPr>
        <w:t>预算项目绩效目标数量指标完成情况：</w:t>
      </w:r>
      <w:r>
        <w:rPr>
          <w:rFonts w:hint="eastAsia" w:ascii="仿宋_GB2312" w:eastAsia="仿宋_GB2312" w:cs="Times New Roman"/>
          <w:sz w:val="32"/>
          <w:szCs w:val="32"/>
          <w:lang w:val="en-US" w:eastAsia="zh-CN"/>
        </w:rPr>
        <w:t>在全州政法系统党纪学习教育中走在前、作表率，锚定动员部署、学习研讨、警示教育、讲纪律党课、辅导培训等7个重点任务，举办州级政法单位党纪学习教育读书班，召开委务会、党支部会等逐章逐条学习《条例》18次，开展集中学习研讨6场次，支部书记讲纪律党课2次，常态化推进学纪、知纪、明纪、守纪。</w:t>
      </w:r>
      <w:r>
        <w:rPr>
          <w:rFonts w:hint="default" w:ascii="仿宋_GB2312" w:eastAsia="仿宋_GB2312" w:cs="Times New Roman"/>
          <w:sz w:val="32"/>
          <w:szCs w:val="32"/>
          <w:lang w:val="en-US" w:eastAsia="zh-CN"/>
        </w:rPr>
        <w:t>制定《2024年度政治轮训工作方案》，举办全州政法系统领导干部能力提升培训班4期。召开2次全州政法系统党风廉政建设工作会议，常态化开展警示教育75场次，通报全州政法干警违纪违法情况。</w:t>
      </w:r>
      <w:r>
        <w:rPr>
          <w:rFonts w:hint="default" w:ascii="Times New Roman" w:hAnsi="Times New Roman" w:eastAsia="仿宋_GB2312" w:cs="Times New Roman"/>
          <w:b w:val="0"/>
          <w:bCs w:val="0"/>
          <w:color w:val="000000"/>
          <w:sz w:val="32"/>
          <w:szCs w:val="32"/>
        </w:rPr>
        <w:t>自评得分：4分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（2）目标偏离（4分）。</w:t>
      </w:r>
      <w:r>
        <w:rPr>
          <w:rFonts w:hint="default" w:ascii="Times New Roman" w:hAnsi="Times New Roman" w:eastAsia="仿宋_GB2312" w:cs="Times New Roman"/>
          <w:b w:val="0"/>
          <w:bCs w:val="0"/>
          <w:color w:val="000000"/>
          <w:sz w:val="32"/>
          <w:szCs w:val="32"/>
          <w:lang w:eastAsia="zh-CN"/>
        </w:rPr>
        <w:t>单位</w:t>
      </w:r>
      <w:r>
        <w:rPr>
          <w:rFonts w:hint="default" w:ascii="Times New Roman" w:hAnsi="Times New Roman" w:eastAsia="仿宋_GB2312" w:cs="Times New Roman"/>
          <w:b w:val="0"/>
          <w:bCs w:val="0"/>
          <w:color w:val="000000"/>
          <w:sz w:val="32"/>
          <w:szCs w:val="32"/>
        </w:rPr>
        <w:t>预算项目绩效目标数量指标实现程度与预期目标的偏离较小。自评得分：4分</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（3）实现效果（3分）。</w:t>
      </w:r>
      <w:r>
        <w:rPr>
          <w:rFonts w:hint="default" w:ascii="Times New Roman" w:hAnsi="Times New Roman" w:eastAsia="仿宋_GB2312" w:cs="Times New Roman"/>
          <w:b w:val="0"/>
          <w:bCs w:val="0"/>
          <w:color w:val="000000"/>
          <w:sz w:val="32"/>
          <w:szCs w:val="32"/>
          <w:lang w:eastAsia="zh-CN"/>
        </w:rPr>
        <w:t>单位</w:t>
      </w:r>
      <w:r>
        <w:rPr>
          <w:rFonts w:hint="default" w:ascii="Times New Roman" w:hAnsi="Times New Roman" w:eastAsia="仿宋_GB2312" w:cs="Times New Roman"/>
          <w:b w:val="0"/>
          <w:bCs w:val="0"/>
          <w:color w:val="000000"/>
          <w:sz w:val="32"/>
          <w:szCs w:val="32"/>
        </w:rPr>
        <w:t>预算项目绩效目标效益指标实施效果：</w:t>
      </w:r>
      <w:r>
        <w:rPr>
          <w:rFonts w:hint="eastAsia" w:ascii="仿宋_GB2312" w:eastAsia="仿宋_GB2312" w:cs="Times New Roman"/>
          <w:sz w:val="32"/>
          <w:szCs w:val="32"/>
          <w:lang w:val="en-US" w:eastAsia="zh-CN"/>
        </w:rPr>
        <w:t>坚持政治引领，党的政治建设不断加强。坚持综合施策，政治社会大局持续稳定向好。坚持夯基固本，平安阿坝建设再上新台阶。坚持</w:t>
      </w:r>
      <w:r>
        <w:rPr>
          <w:rFonts w:hint="default" w:ascii="仿宋_GB2312" w:eastAsia="仿宋_GB2312" w:cs="Times New Roman"/>
          <w:sz w:val="32"/>
          <w:szCs w:val="32"/>
          <w:lang w:val="en-US" w:eastAsia="zh-CN"/>
        </w:rPr>
        <w:t>法治先行，服务保障能力显著提升</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lang w:val="en-US" w:eastAsia="zh-CN"/>
        </w:rPr>
        <w:t>锻造高原铁军，综合能力水平全面提高</w:t>
      </w:r>
      <w:r>
        <w:rPr>
          <w:rFonts w:hint="eastAsia" w:ascii="仿宋_GB2312" w:eastAsia="仿宋_GB2312" w:cs="Times New Roman"/>
          <w:sz w:val="32"/>
          <w:szCs w:val="32"/>
          <w:lang w:val="en-US" w:eastAsia="zh-CN"/>
        </w:rPr>
        <w:t>。</w:t>
      </w:r>
      <w:r>
        <w:rPr>
          <w:rFonts w:hint="default" w:ascii="Times New Roman" w:hAnsi="Times New Roman" w:eastAsia="仿宋_GB2312" w:cs="Times New Roman"/>
          <w:b w:val="0"/>
          <w:bCs w:val="0"/>
          <w:color w:val="000000"/>
          <w:sz w:val="32"/>
          <w:szCs w:val="32"/>
        </w:rPr>
        <w:t>自评得分：3分</w:t>
      </w:r>
    </w:p>
    <w:p>
      <w:pPr>
        <w:pStyle w:val="7"/>
        <w:keepNext w:val="0"/>
        <w:keepLines w:val="0"/>
        <w:pageBreakBefore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方正公文楷体" w:cs="Times New Roman"/>
          <w:b w:val="0"/>
          <w:bCs w:val="0"/>
          <w:color w:val="000000"/>
          <w:kern w:val="0"/>
          <w:sz w:val="32"/>
          <w:szCs w:val="32"/>
          <w:shd w:val="clear" w:color="auto" w:fill="FFFFFF"/>
          <w:lang w:val="zh-CN"/>
        </w:rPr>
      </w:pPr>
      <w:r>
        <w:rPr>
          <w:rFonts w:hint="default" w:ascii="Times New Roman" w:hAnsi="Times New Roman" w:eastAsia="方正公文楷体" w:cs="Times New Roman"/>
          <w:b w:val="0"/>
          <w:bCs w:val="0"/>
          <w:color w:val="000000"/>
          <w:kern w:val="0"/>
          <w:sz w:val="32"/>
          <w:szCs w:val="32"/>
          <w:shd w:val="clear" w:color="auto" w:fill="FFFFFF"/>
          <w:lang w:val="zh-CN"/>
        </w:rPr>
        <w:t>（三）绩效结果应用</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1.内部应用</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将内设机构绩效目标管理纳入内部考核体系；建立对内设机构预算绩效挂钩。</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2.信息公开</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 xml:space="preserve"> （1）预算公开。经保密审查，按要求在财政部门批复后</w:t>
      </w:r>
      <w:r>
        <w:rPr>
          <w:rFonts w:hint="default" w:ascii="Times New Roman" w:hAnsi="Times New Roman" w:eastAsia="仿宋_GB2312" w:cs="Times New Roman"/>
          <w:b w:val="0"/>
          <w:bCs w:val="0"/>
          <w:color w:val="000000"/>
          <w:sz w:val="32"/>
          <w:szCs w:val="32"/>
          <w:lang w:val="en-US" w:eastAsia="zh-CN"/>
        </w:rPr>
        <w:t>20</w:t>
      </w:r>
      <w:r>
        <w:rPr>
          <w:rFonts w:hint="default" w:ascii="Times New Roman" w:hAnsi="Times New Roman" w:eastAsia="仿宋_GB2312" w:cs="Times New Roman"/>
          <w:b w:val="0"/>
          <w:bCs w:val="0"/>
          <w:color w:val="000000"/>
          <w:sz w:val="32"/>
          <w:szCs w:val="32"/>
        </w:rPr>
        <w:t>日内向社会公开本</w:t>
      </w:r>
      <w:r>
        <w:rPr>
          <w:rFonts w:hint="default" w:ascii="Times New Roman" w:hAnsi="Times New Roman" w:eastAsia="仿宋_GB2312" w:cs="Times New Roman"/>
          <w:b w:val="0"/>
          <w:bCs w:val="0"/>
          <w:color w:val="000000"/>
          <w:sz w:val="32"/>
          <w:szCs w:val="32"/>
          <w:lang w:eastAsia="zh-CN"/>
        </w:rPr>
        <w:t>单位</w:t>
      </w:r>
      <w:r>
        <w:rPr>
          <w:rFonts w:hint="default" w:ascii="Times New Roman" w:hAnsi="Times New Roman" w:eastAsia="仿宋_GB2312" w:cs="Times New Roman"/>
          <w:b w:val="0"/>
          <w:bCs w:val="0"/>
          <w:color w:val="000000"/>
          <w:sz w:val="32"/>
          <w:szCs w:val="32"/>
        </w:rPr>
        <w:t>预算（含所有财政资金安排的“三公”经费、机关运行经费的安排、使用情况等）在州政府门户网站上进行了公开。</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（2）决算公开。经保密审查，按要求在财政部门批复</w:t>
      </w:r>
      <w:r>
        <w:rPr>
          <w:rFonts w:hint="default" w:ascii="Times New Roman" w:hAnsi="Times New Roman" w:eastAsia="仿宋_GB2312" w:cs="Times New Roman"/>
          <w:b w:val="0"/>
          <w:bCs w:val="0"/>
          <w:color w:val="000000"/>
          <w:sz w:val="32"/>
          <w:szCs w:val="32"/>
          <w:lang w:val="en-US" w:eastAsia="zh-CN"/>
        </w:rPr>
        <w:t>20</w:t>
      </w:r>
      <w:r>
        <w:rPr>
          <w:rFonts w:hint="default" w:ascii="Times New Roman" w:hAnsi="Times New Roman" w:eastAsia="仿宋_GB2312" w:cs="Times New Roman"/>
          <w:b w:val="0"/>
          <w:bCs w:val="0"/>
          <w:color w:val="000000"/>
          <w:sz w:val="32"/>
          <w:szCs w:val="32"/>
        </w:rPr>
        <w:t>日内向社会公开本</w:t>
      </w:r>
      <w:r>
        <w:rPr>
          <w:rFonts w:hint="default" w:ascii="Times New Roman" w:hAnsi="Times New Roman" w:eastAsia="仿宋_GB2312" w:cs="Times New Roman"/>
          <w:b w:val="0"/>
          <w:bCs w:val="0"/>
          <w:color w:val="000000"/>
          <w:sz w:val="32"/>
          <w:szCs w:val="32"/>
          <w:lang w:eastAsia="zh-CN"/>
        </w:rPr>
        <w:t>单位</w:t>
      </w:r>
      <w:r>
        <w:rPr>
          <w:rFonts w:hint="default" w:ascii="Times New Roman" w:hAnsi="Times New Roman" w:eastAsia="仿宋_GB2312" w:cs="Times New Roman"/>
          <w:b w:val="0"/>
          <w:bCs w:val="0"/>
          <w:color w:val="000000"/>
          <w:sz w:val="32"/>
          <w:szCs w:val="32"/>
        </w:rPr>
        <w:t>决算（含所有财政资金安排的“三公”经费、机关运行经费的安排、使用情况等）在州政府门户网站上进行了公开。</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3.整改反馈</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阿坝州财政局《关于开展202</w:t>
      </w:r>
      <w:r>
        <w:rPr>
          <w:rFonts w:hint="eastAsia" w:eastAsia="仿宋_GB2312" w:cs="Times New Roman"/>
          <w:b w:val="0"/>
          <w:bCs w:val="0"/>
          <w:color w:val="000000"/>
          <w:sz w:val="32"/>
          <w:szCs w:val="32"/>
          <w:lang w:val="en-US" w:eastAsia="zh-CN"/>
        </w:rPr>
        <w:t>2</w:t>
      </w:r>
      <w:r>
        <w:rPr>
          <w:rFonts w:hint="default" w:ascii="Times New Roman" w:hAnsi="Times New Roman" w:eastAsia="仿宋_GB2312" w:cs="Times New Roman"/>
          <w:b w:val="0"/>
          <w:bCs w:val="0"/>
          <w:color w:val="000000"/>
          <w:sz w:val="32"/>
          <w:szCs w:val="32"/>
        </w:rPr>
        <w:t>、202</w:t>
      </w:r>
      <w:r>
        <w:rPr>
          <w:rFonts w:hint="eastAsia" w:eastAsia="仿宋_GB2312" w:cs="Times New Roman"/>
          <w:b w:val="0"/>
          <w:bCs w:val="0"/>
          <w:color w:val="000000"/>
          <w:sz w:val="32"/>
          <w:szCs w:val="32"/>
          <w:lang w:val="en-US" w:eastAsia="zh-CN"/>
        </w:rPr>
        <w:t>3</w:t>
      </w:r>
      <w:r>
        <w:rPr>
          <w:rFonts w:hint="default" w:ascii="Times New Roman" w:hAnsi="Times New Roman" w:eastAsia="仿宋_GB2312" w:cs="Times New Roman"/>
          <w:b w:val="0"/>
          <w:bCs w:val="0"/>
          <w:color w:val="000000"/>
          <w:sz w:val="32"/>
          <w:szCs w:val="32"/>
        </w:rPr>
        <w:t>年预决算公开情况专项检查情况的通报》，对公开不及时、公开内容不完整、细化程度不够、其它方面存在的问题进行了通报，均无我单位。</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我单位无债务资金、无非税收入；编制政府采购实施计划与政府采购预算的一致；按规定完成资产清查任务，并及时上报行政事业单位资产报表；设立了完整的内控制度，未发生廉政或重大责任事故，并按要求上报了内控报表、分析材料。</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我单位202</w:t>
      </w:r>
      <w:r>
        <w:rPr>
          <w:rFonts w:hint="eastAsia" w:eastAsia="仿宋_GB2312" w:cs="Times New Roman"/>
          <w:b w:val="0"/>
          <w:bCs w:val="0"/>
          <w:color w:val="000000"/>
          <w:sz w:val="32"/>
          <w:szCs w:val="32"/>
          <w:lang w:val="en-US" w:eastAsia="zh-CN"/>
        </w:rPr>
        <w:t>4</w:t>
      </w:r>
      <w:r>
        <w:rPr>
          <w:rFonts w:hint="default" w:ascii="Times New Roman" w:hAnsi="Times New Roman" w:eastAsia="仿宋_GB2312" w:cs="Times New Roman"/>
          <w:b w:val="0"/>
          <w:bCs w:val="0"/>
          <w:color w:val="000000"/>
          <w:sz w:val="32"/>
          <w:szCs w:val="32"/>
        </w:rPr>
        <w:t>年度整体支出绩效评价自评合格，并按规定将自评情况及时报送财政部门备案，对于自评过程中发现的不足及问题，我单位</w:t>
      </w:r>
      <w:r>
        <w:rPr>
          <w:rFonts w:hint="default" w:ascii="Times New Roman" w:hAnsi="Times New Roman" w:eastAsia="仿宋_GB2312" w:cs="Times New Roman"/>
          <w:b w:val="0"/>
          <w:bCs w:val="0"/>
          <w:color w:val="000000"/>
          <w:sz w:val="32"/>
          <w:szCs w:val="32"/>
          <w:lang w:eastAsia="zh-CN"/>
        </w:rPr>
        <w:t>将</w:t>
      </w:r>
      <w:r>
        <w:rPr>
          <w:rFonts w:hint="default" w:ascii="Times New Roman" w:hAnsi="Times New Roman" w:eastAsia="仿宋_GB2312" w:cs="Times New Roman"/>
          <w:b w:val="0"/>
          <w:bCs w:val="0"/>
          <w:color w:val="000000"/>
          <w:sz w:val="32"/>
          <w:szCs w:val="32"/>
        </w:rPr>
        <w:t>积极整改，力求下一年度通过完善相关政策制度，建立更加切合实际的绩效评价体系。</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default" w:ascii="Times New Roman" w:hAnsi="Times New Roman" w:eastAsia="方正公文黑体" w:cs="Times New Roman"/>
          <w:b w:val="0"/>
          <w:bCs w:val="0"/>
          <w:color w:val="000000"/>
          <w:kern w:val="0"/>
          <w:sz w:val="32"/>
          <w:szCs w:val="32"/>
          <w:shd w:val="clear" w:color="auto" w:fill="FFFFFF"/>
          <w:lang w:val="zh-CN"/>
        </w:rPr>
      </w:pPr>
      <w:r>
        <w:rPr>
          <w:rFonts w:hint="default" w:ascii="Times New Roman" w:hAnsi="Times New Roman" w:eastAsia="方正公文黑体" w:cs="Times New Roman"/>
          <w:b w:val="0"/>
          <w:bCs w:val="0"/>
          <w:color w:val="000000"/>
          <w:kern w:val="0"/>
          <w:sz w:val="32"/>
          <w:szCs w:val="32"/>
          <w:shd w:val="clear" w:color="auto" w:fill="FFFFFF"/>
          <w:lang w:val="zh-CN"/>
        </w:rPr>
        <w:t>四、评价结论及建议</w:t>
      </w:r>
    </w:p>
    <w:p>
      <w:pPr>
        <w:pStyle w:val="7"/>
        <w:keepNext w:val="0"/>
        <w:keepLines w:val="0"/>
        <w:pageBreakBefore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方正公文楷体" w:cs="Times New Roman"/>
          <w:b w:val="0"/>
          <w:bCs w:val="0"/>
          <w:color w:val="000000"/>
          <w:kern w:val="0"/>
          <w:sz w:val="32"/>
          <w:szCs w:val="32"/>
          <w:shd w:val="clear" w:color="auto" w:fill="FFFFFF"/>
          <w:lang w:val="zh-CN"/>
        </w:rPr>
      </w:pPr>
      <w:r>
        <w:rPr>
          <w:rFonts w:hint="default" w:ascii="Times New Roman" w:hAnsi="Times New Roman" w:eastAsia="方正公文楷体" w:cs="Times New Roman"/>
          <w:b w:val="0"/>
          <w:bCs w:val="0"/>
          <w:color w:val="000000"/>
          <w:kern w:val="0"/>
          <w:sz w:val="32"/>
          <w:szCs w:val="32"/>
          <w:shd w:val="clear" w:color="auto" w:fill="FFFFFF"/>
          <w:lang w:val="zh-CN"/>
        </w:rPr>
        <w:t>（一）评价结论。</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通过</w:t>
      </w:r>
      <w:r>
        <w:rPr>
          <w:rFonts w:hint="default" w:ascii="Times New Roman" w:hAnsi="Times New Roman" w:eastAsia="仿宋_GB2312" w:cs="Times New Roman"/>
          <w:b w:val="0"/>
          <w:bCs w:val="0"/>
          <w:color w:val="000000"/>
          <w:sz w:val="32"/>
          <w:szCs w:val="32"/>
          <w:lang w:eastAsia="zh-CN"/>
        </w:rPr>
        <w:t>单位</w:t>
      </w:r>
      <w:r>
        <w:rPr>
          <w:rFonts w:hint="default" w:ascii="Times New Roman" w:hAnsi="Times New Roman" w:eastAsia="仿宋_GB2312" w:cs="Times New Roman"/>
          <w:b w:val="0"/>
          <w:bCs w:val="0"/>
          <w:color w:val="000000"/>
          <w:sz w:val="32"/>
          <w:szCs w:val="32"/>
        </w:rPr>
        <w:t>整体支出绩效评价</w:t>
      </w:r>
      <w:r>
        <w:rPr>
          <w:rFonts w:hint="default" w:ascii="Times New Roman" w:hAnsi="Times New Roman" w:eastAsia="仿宋_GB2312" w:cs="Times New Roman"/>
          <w:b w:val="0"/>
          <w:bCs w:val="0"/>
          <w:color w:val="000000"/>
          <w:sz w:val="32"/>
          <w:szCs w:val="32"/>
          <w:lang w:eastAsia="zh-CN"/>
        </w:rPr>
        <w:t>单位</w:t>
      </w:r>
      <w:r>
        <w:rPr>
          <w:rFonts w:hint="default" w:ascii="Times New Roman" w:hAnsi="Times New Roman" w:eastAsia="仿宋_GB2312" w:cs="Times New Roman"/>
          <w:b w:val="0"/>
          <w:bCs w:val="0"/>
          <w:color w:val="000000"/>
          <w:sz w:val="32"/>
          <w:szCs w:val="32"/>
        </w:rPr>
        <w:t>自评满分为</w:t>
      </w:r>
      <w:r>
        <w:rPr>
          <w:rFonts w:hint="default" w:ascii="Times New Roman" w:hAnsi="Times New Roman" w:eastAsia="仿宋_GB2312" w:cs="Times New Roman"/>
          <w:b w:val="0"/>
          <w:bCs w:val="0"/>
          <w:color w:val="000000"/>
          <w:sz w:val="32"/>
          <w:szCs w:val="32"/>
          <w:lang w:val="en-US"/>
        </w:rPr>
        <w:t>100</w:t>
      </w:r>
      <w:r>
        <w:rPr>
          <w:rFonts w:hint="default" w:ascii="Times New Roman" w:hAnsi="Times New Roman" w:eastAsia="仿宋_GB2312" w:cs="Times New Roman"/>
          <w:b w:val="0"/>
          <w:bCs w:val="0"/>
          <w:color w:val="000000"/>
          <w:sz w:val="32"/>
          <w:szCs w:val="32"/>
        </w:rPr>
        <w:t>分，通过自评得分</w:t>
      </w:r>
      <w:r>
        <w:rPr>
          <w:rFonts w:hint="default" w:ascii="Times New Roman" w:hAnsi="Times New Roman" w:eastAsia="仿宋_GB2312" w:cs="Times New Roman"/>
          <w:b w:val="0"/>
          <w:bCs w:val="0"/>
          <w:color w:val="000000"/>
          <w:sz w:val="32"/>
          <w:szCs w:val="32"/>
          <w:lang w:val="en-US"/>
        </w:rPr>
        <w:t>9</w:t>
      </w:r>
      <w:r>
        <w:rPr>
          <w:rFonts w:hint="eastAsia" w:eastAsia="仿宋_GB2312" w:cs="Times New Roman"/>
          <w:b w:val="0"/>
          <w:bCs w:val="0"/>
          <w:color w:val="000000"/>
          <w:sz w:val="32"/>
          <w:szCs w:val="32"/>
          <w:lang w:val="en-US" w:eastAsia="zh-CN"/>
        </w:rPr>
        <w:t>8</w:t>
      </w:r>
      <w:r>
        <w:rPr>
          <w:rFonts w:hint="default" w:eastAsia="仿宋_GB2312" w:cs="Times New Roman"/>
          <w:b w:val="0"/>
          <w:bCs w:val="0"/>
          <w:color w:val="000000"/>
          <w:sz w:val="32"/>
          <w:szCs w:val="32"/>
          <w:lang w:val="en-US" w:eastAsia="zh-CN"/>
        </w:rPr>
        <w:t>.5</w:t>
      </w:r>
      <w:r>
        <w:rPr>
          <w:rFonts w:hint="default" w:ascii="Times New Roman" w:hAnsi="Times New Roman" w:eastAsia="仿宋_GB2312" w:cs="Times New Roman"/>
          <w:b w:val="0"/>
          <w:bCs w:val="0"/>
          <w:color w:val="000000"/>
          <w:sz w:val="32"/>
          <w:szCs w:val="32"/>
        </w:rPr>
        <w:t>分。</w:t>
      </w:r>
    </w:p>
    <w:p>
      <w:pPr>
        <w:pStyle w:val="7"/>
        <w:keepNext w:val="0"/>
        <w:keepLines w:val="0"/>
        <w:pageBreakBefore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方正公文楷体" w:cs="Times New Roman"/>
          <w:b w:val="0"/>
          <w:bCs w:val="0"/>
          <w:color w:val="000000"/>
          <w:kern w:val="0"/>
          <w:sz w:val="32"/>
          <w:szCs w:val="32"/>
          <w:shd w:val="clear" w:color="auto" w:fill="FFFFFF"/>
          <w:lang w:val="zh-CN"/>
        </w:rPr>
      </w:pPr>
      <w:r>
        <w:rPr>
          <w:rFonts w:hint="default" w:ascii="Times New Roman" w:hAnsi="Times New Roman" w:eastAsia="方正公文楷体" w:cs="Times New Roman"/>
          <w:b w:val="0"/>
          <w:bCs w:val="0"/>
          <w:color w:val="000000"/>
          <w:kern w:val="0"/>
          <w:sz w:val="32"/>
          <w:szCs w:val="32"/>
          <w:shd w:val="clear" w:color="auto" w:fill="FFFFFF"/>
          <w:lang w:val="zh-CN"/>
        </w:rPr>
        <w:t>（二）存在问题。</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一是预算编制准确度有待提高，</w:t>
      </w:r>
      <w:r>
        <w:rPr>
          <w:rFonts w:hint="eastAsia" w:eastAsia="仿宋_GB2312" w:cs="Times New Roman"/>
          <w:b w:val="0"/>
          <w:bCs w:val="0"/>
          <w:color w:val="000000"/>
          <w:sz w:val="32"/>
          <w:szCs w:val="32"/>
          <w:lang w:eastAsia="zh-CN"/>
        </w:rPr>
        <w:t>由于维稳工作的不确定性，</w:t>
      </w:r>
      <w:r>
        <w:rPr>
          <w:rFonts w:hint="default" w:ascii="Times New Roman" w:hAnsi="Times New Roman" w:eastAsia="仿宋_GB2312" w:cs="Times New Roman"/>
          <w:b w:val="0"/>
          <w:bCs w:val="0"/>
          <w:color w:val="000000"/>
          <w:sz w:val="32"/>
          <w:szCs w:val="32"/>
        </w:rPr>
        <w:t>存在中期追加、期末追减情况；二是固定资产卡片有未及时更新情况，管理有待完善。</w:t>
      </w:r>
    </w:p>
    <w:p>
      <w:pPr>
        <w:pStyle w:val="7"/>
        <w:keepNext w:val="0"/>
        <w:keepLines w:val="0"/>
        <w:pageBreakBefore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方正公文楷体" w:cs="Times New Roman"/>
          <w:b w:val="0"/>
          <w:bCs w:val="0"/>
          <w:color w:val="000000"/>
          <w:kern w:val="0"/>
          <w:sz w:val="32"/>
          <w:szCs w:val="32"/>
          <w:shd w:val="clear" w:color="auto" w:fill="FFFFFF"/>
          <w:lang w:val="zh-CN"/>
        </w:rPr>
      </w:pPr>
      <w:r>
        <w:rPr>
          <w:rFonts w:hint="default" w:ascii="Times New Roman" w:hAnsi="Times New Roman" w:eastAsia="方正公文楷体" w:cs="Times New Roman"/>
          <w:b w:val="0"/>
          <w:bCs w:val="0"/>
          <w:color w:val="000000"/>
          <w:kern w:val="0"/>
          <w:sz w:val="32"/>
          <w:szCs w:val="32"/>
          <w:shd w:val="clear" w:color="auto" w:fill="FFFFFF"/>
          <w:lang w:val="zh-CN"/>
        </w:rPr>
        <w:t>（三）改进建议。</w:t>
      </w:r>
    </w:p>
    <w:p>
      <w:pPr>
        <w:keepNext w:val="0"/>
        <w:keepLines w:val="0"/>
        <w:pageBreakBefore w:val="0"/>
        <w:widowControl w:val="0"/>
        <w:kinsoku/>
        <w:wordWrap/>
        <w:overflowPunct/>
        <w:topLinePunct w:val="0"/>
        <w:autoSpaceDE/>
        <w:autoSpaceDN/>
        <w:bidi w:val="0"/>
        <w:adjustRightInd/>
        <w:snapToGrid/>
        <w:spacing w:line="576" w:lineRule="exact"/>
        <w:ind w:right="99" w:firstLine="584"/>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一是加强每月预算执行监控，及时督促相关科室推进项目执行。二是通过近年预决算数据对比，科学编制预算，未雨绸缪尽量做好年度规划，降低经费追加减比例。三是进一步健全完善内部控制制度，加强资产管理，及时更新固定资产卡片，提高单位成本费用准确度，提升</w:t>
      </w:r>
      <w:r>
        <w:rPr>
          <w:rFonts w:hint="default" w:ascii="Times New Roman" w:hAnsi="Times New Roman" w:eastAsia="仿宋_GB2312" w:cs="Times New Roman"/>
          <w:b w:val="0"/>
          <w:bCs w:val="0"/>
          <w:color w:val="000000"/>
          <w:sz w:val="32"/>
          <w:szCs w:val="32"/>
          <w:lang w:eastAsia="zh-CN"/>
        </w:rPr>
        <w:t>单位</w:t>
      </w:r>
      <w:r>
        <w:rPr>
          <w:rFonts w:hint="default" w:ascii="Times New Roman" w:hAnsi="Times New Roman" w:eastAsia="仿宋_GB2312" w:cs="Times New Roman"/>
          <w:b w:val="0"/>
          <w:bCs w:val="0"/>
          <w:color w:val="000000"/>
          <w:sz w:val="32"/>
          <w:szCs w:val="32"/>
        </w:rPr>
        <w:t>整体支出绩效评价。</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afterAutospacing="0" w:line="576" w:lineRule="exact"/>
        <w:ind w:firstLine="640" w:firstLineChars="200"/>
        <w:textAlignment w:val="auto"/>
        <w:rPr>
          <w:rFonts w:hint="eastAsia" w:ascii="仿宋_GB2312" w:hAnsi="仿宋_GB2312" w:eastAsia="仿宋_GB2312" w:cs="仿宋_GB2312"/>
          <w:color w:val="000000"/>
          <w:sz w:val="32"/>
          <w:szCs w:val="32"/>
        </w:rPr>
      </w:pPr>
    </w:p>
    <w:p>
      <w:pPr>
        <w:pStyle w:val="2"/>
        <w:rPr>
          <w:rFonts w:hint="eastAsia" w:ascii="仿宋_GB2312" w:hAnsi="仿宋_GB2312" w:eastAsia="仿宋_GB2312" w:cs="仿宋_GB2312"/>
          <w:color w:val="000000"/>
          <w:sz w:val="32"/>
          <w:szCs w:val="32"/>
        </w:rPr>
      </w:pPr>
    </w:p>
    <w:p>
      <w:pPr>
        <w:rPr>
          <w:rFonts w:hint="eastAsia" w:ascii="仿宋_GB2312" w:hAnsi="仿宋_GB2312" w:eastAsia="仿宋_GB2312" w:cs="仿宋_GB2312"/>
          <w:color w:val="000000"/>
          <w:sz w:val="32"/>
          <w:szCs w:val="32"/>
        </w:rPr>
      </w:pPr>
    </w:p>
    <w:p>
      <w:pPr>
        <w:pStyle w:val="2"/>
        <w:rPr>
          <w:rFonts w:hint="eastAsia" w:ascii="仿宋_GB2312" w:hAnsi="仿宋_GB2312" w:eastAsia="仿宋_GB2312" w:cs="仿宋_GB2312"/>
          <w:color w:val="000000"/>
          <w:sz w:val="32"/>
          <w:szCs w:val="32"/>
        </w:rPr>
      </w:pPr>
    </w:p>
    <w:p>
      <w:pPr>
        <w:rPr>
          <w:rFonts w:hint="eastAsia" w:ascii="仿宋_GB2312" w:hAnsi="仿宋_GB2312" w:eastAsia="仿宋_GB2312" w:cs="仿宋_GB2312"/>
          <w:color w:val="000000"/>
          <w:sz w:val="32"/>
          <w:szCs w:val="32"/>
        </w:rPr>
      </w:pPr>
    </w:p>
    <w:p>
      <w:pPr>
        <w:pStyle w:val="2"/>
        <w:rPr>
          <w:rFonts w:hint="eastAsia" w:ascii="仿宋_GB2312" w:hAnsi="仿宋_GB2312" w:eastAsia="仿宋_GB2312" w:cs="仿宋_GB2312"/>
          <w:color w:val="000000"/>
          <w:sz w:val="32"/>
          <w:szCs w:val="32"/>
        </w:rPr>
        <w:sectPr>
          <w:footerReference r:id="rId5" w:type="first"/>
          <w:headerReference r:id="rId3" w:type="default"/>
          <w:footerReference r:id="rId4" w:type="default"/>
          <w:pgSz w:w="11906" w:h="16838"/>
          <w:pgMar w:top="2098" w:right="1474" w:bottom="1984" w:left="1587" w:header="851" w:footer="992" w:gutter="0"/>
          <w:pgNumType w:fmt="decimal" w:start="1"/>
          <w:cols w:space="0" w:num="1"/>
          <w:titlePg/>
          <w:rtlGutter w:val="0"/>
          <w:docGrid w:type="lines" w:linePitch="312" w:charSpace="0"/>
        </w:sectPr>
      </w:pPr>
    </w:p>
    <w:p>
      <w:pPr>
        <w:keepNext w:val="0"/>
        <w:keepLines w:val="0"/>
        <w:widowControl/>
        <w:suppressLineNumbers w:val="0"/>
        <w:jc w:val="center"/>
        <w:textAlignment w:val="center"/>
        <w:rPr>
          <w:rStyle w:val="29"/>
          <w:rFonts w:hint="eastAsia" w:ascii="方正公文小标宋" w:hAnsi="方正公文小标宋" w:eastAsia="方正公文小标宋" w:cs="方正公文小标宋"/>
          <w:highlight w:val="yellow"/>
          <w:lang w:val="en-US" w:eastAsia="zh-CN" w:bidi="ar"/>
        </w:rPr>
      </w:pPr>
      <w:r>
        <w:rPr>
          <w:rFonts w:hint="eastAsia" w:cs="Times New Roman"/>
          <w:color w:val="auto"/>
          <w:sz w:val="32"/>
          <w:szCs w:val="32"/>
          <w:highlight w:val="none"/>
          <w:lang w:val="zh-CN" w:eastAsia="zh-CN" w:bidi="ar-SA"/>
        </w:rPr>
        <w:t>附表：</w:t>
      </w:r>
      <w:r>
        <w:rPr>
          <w:rFonts w:hint="eastAsia" w:cs="Times New Roman"/>
          <w:color w:val="auto"/>
          <w:sz w:val="32"/>
          <w:szCs w:val="32"/>
          <w:highlight w:val="none"/>
          <w:lang w:val="en-US" w:eastAsia="zh-CN" w:bidi="ar-SA"/>
        </w:rPr>
        <w:t>部门预算项目支出绩效自评表（2024年度）</w:t>
      </w:r>
    </w:p>
    <w:tbl>
      <w:tblPr>
        <w:tblStyle w:val="19"/>
        <w:tblW w:w="12696"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3"/>
        <w:gridCol w:w="2047"/>
        <w:gridCol w:w="1771"/>
        <w:gridCol w:w="2259"/>
        <w:gridCol w:w="520"/>
        <w:gridCol w:w="1673"/>
        <w:gridCol w:w="546"/>
        <w:gridCol w:w="1090"/>
        <w:gridCol w:w="505"/>
        <w:gridCol w:w="456"/>
        <w:gridCol w:w="11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b/>
                <w:bCs/>
                <w:i w:val="0"/>
                <w:iCs w:val="0"/>
                <w:color w:val="000000"/>
                <w:sz w:val="30"/>
                <w:szCs w:val="30"/>
                <w:u w:val="none"/>
              </w:rPr>
            </w:pPr>
            <w:r>
              <w:rPr>
                <w:rFonts w:ascii="方正小标宋_GBK" w:hAnsi="方正小标宋_GBK" w:eastAsia="方正小标宋_GBK" w:cs="方正小标宋_GBK"/>
                <w:b/>
                <w:bCs/>
                <w:i w:val="0"/>
                <w:iCs w:val="0"/>
                <w:color w:val="000000"/>
                <w:kern w:val="0"/>
                <w:sz w:val="30"/>
                <w:szCs w:val="30"/>
                <w:u w:val="none"/>
                <w:lang w:val="en-US" w:eastAsia="zh-CN" w:bidi="ar"/>
              </w:rPr>
              <w:t>部门预算项目支出绩效自评表（</w:t>
            </w:r>
            <w:r>
              <w:rPr>
                <w:rFonts w:hint="default" w:ascii="Times New Roman" w:hAnsi="Times New Roman" w:eastAsia="宋体" w:cs="Times New Roman"/>
                <w:b/>
                <w:bCs/>
                <w:i w:val="0"/>
                <w:iCs w:val="0"/>
                <w:color w:val="000000"/>
                <w:kern w:val="0"/>
                <w:sz w:val="30"/>
                <w:szCs w:val="30"/>
                <w:u w:val="none"/>
                <w:lang w:val="en-US" w:eastAsia="zh-CN" w:bidi="ar"/>
              </w:rPr>
              <w:t>2024</w:t>
            </w:r>
            <w:r>
              <w:rPr>
                <w:rFonts w:ascii="方正小标宋_GBK" w:hAnsi="方正小标宋_GBK" w:eastAsia="方正小标宋_GBK" w:cs="方正小标宋_GBK"/>
                <w:b/>
                <w:bCs/>
                <w:i w:val="0"/>
                <w:iCs w:val="0"/>
                <w:color w:val="000000"/>
                <w:kern w:val="0"/>
                <w:sz w:val="30"/>
                <w:szCs w:val="30"/>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项目名称</w:t>
            </w:r>
          </w:p>
        </w:tc>
        <w:tc>
          <w:tcPr>
            <w:tcW w:w="996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Style w:val="36"/>
                <w:rFonts w:eastAsia="宋体"/>
                <w:sz w:val="10"/>
                <w:szCs w:val="10"/>
                <w:lang w:val="en-US" w:eastAsia="zh-CN" w:bidi="ar"/>
              </w:rPr>
              <w:t>51320022T000000356533-</w:t>
            </w:r>
            <w:r>
              <w:rPr>
                <w:rStyle w:val="35"/>
                <w:sz w:val="10"/>
                <w:szCs w:val="10"/>
                <w:lang w:val="en-US" w:eastAsia="zh-CN" w:bidi="ar"/>
              </w:rPr>
              <w:t>州综治中心信息系统运行服务、视频会议系统提升建设经费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主管部门</w:t>
            </w:r>
          </w:p>
        </w:tc>
        <w:tc>
          <w:tcPr>
            <w:tcW w:w="67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州委政法委部门</w:t>
            </w:r>
          </w:p>
        </w:tc>
        <w:tc>
          <w:tcPr>
            <w:tcW w:w="1090" w:type="dxa"/>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实施单位</w:t>
            </w:r>
            <w:r>
              <w:rPr>
                <w:rStyle w:val="36"/>
                <w:rFonts w:eastAsia="宋体"/>
                <w:sz w:val="10"/>
                <w:szCs w:val="10"/>
                <w:lang w:val="en-US" w:eastAsia="zh-CN" w:bidi="ar"/>
              </w:rPr>
              <w:t xml:space="preserve"> </w:t>
            </w:r>
            <w:r>
              <w:rPr>
                <w:rStyle w:val="35"/>
                <w:sz w:val="10"/>
                <w:szCs w:val="10"/>
                <w:lang w:val="en-US" w:eastAsia="zh-CN" w:bidi="ar"/>
              </w:rPr>
              <w:t>（盖章）</w:t>
            </w:r>
          </w:p>
        </w:tc>
        <w:tc>
          <w:tcPr>
            <w:tcW w:w="21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州委政法委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项目基本情况</w:t>
            </w:r>
          </w:p>
        </w:tc>
        <w:tc>
          <w:tcPr>
            <w:tcW w:w="20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Style w:val="36"/>
                <w:rFonts w:eastAsia="宋体"/>
                <w:sz w:val="10"/>
                <w:szCs w:val="10"/>
                <w:lang w:val="en-US" w:eastAsia="zh-CN" w:bidi="ar"/>
              </w:rPr>
              <w:t>1.</w:t>
            </w:r>
            <w:r>
              <w:rPr>
                <w:rStyle w:val="35"/>
                <w:sz w:val="10"/>
                <w:szCs w:val="10"/>
                <w:lang w:val="en-US" w:eastAsia="zh-CN" w:bidi="ar"/>
              </w:rPr>
              <w:t>项目年度目标完成情况</w:t>
            </w:r>
          </w:p>
        </w:tc>
        <w:tc>
          <w:tcPr>
            <w:tcW w:w="67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项目年度目标</w:t>
            </w:r>
          </w:p>
        </w:tc>
        <w:tc>
          <w:tcPr>
            <w:tcW w:w="31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2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67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0"/>
                <w:szCs w:val="10"/>
                <w:u w:val="none"/>
              </w:rPr>
            </w:pPr>
            <w:r>
              <w:rPr>
                <w:rFonts w:hint="eastAsia" w:ascii="方正公文仿宋" w:hAnsi="方正公文仿宋" w:eastAsia="方正公文仿宋" w:cs="方正公文仿宋"/>
                <w:i w:val="0"/>
                <w:iCs w:val="0"/>
                <w:color w:val="000000"/>
                <w:kern w:val="0"/>
                <w:sz w:val="10"/>
                <w:szCs w:val="10"/>
                <w:u w:val="none"/>
                <w:lang w:val="en-US" w:eastAsia="zh-CN" w:bidi="ar"/>
              </w:rPr>
              <w:t>保障和提高综治信息系统运行效率，支撑全州基层社会治理工作开展。保障单位视频会议系统正常运行，保障对视频会议系统及设备进行维护、升级。</w:t>
            </w:r>
          </w:p>
        </w:tc>
        <w:tc>
          <w:tcPr>
            <w:tcW w:w="31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0"/>
                <w:szCs w:val="10"/>
                <w:u w:val="none"/>
              </w:rPr>
            </w:pPr>
            <w:r>
              <w:rPr>
                <w:rFonts w:hint="eastAsia" w:ascii="方正公文仿宋" w:hAnsi="方正公文仿宋" w:eastAsia="方正公文仿宋" w:cs="方正公文仿宋"/>
                <w:i w:val="0"/>
                <w:iCs w:val="0"/>
                <w:color w:val="000000"/>
                <w:kern w:val="0"/>
                <w:sz w:val="10"/>
                <w:szCs w:val="10"/>
                <w:u w:val="none"/>
                <w:lang w:val="en-US" w:eastAsia="zh-CN" w:bidi="ar"/>
              </w:rPr>
              <w:t>四川长胜久远信息技术有限公司负责对我委综治中心系统维护和修理服务、工程师驻场服务、网络安全等级保护测评服务、公安网视频监控专线网络接入服务，</w:t>
            </w:r>
            <w:r>
              <w:rPr>
                <w:rStyle w:val="36"/>
                <w:rFonts w:eastAsia="方正公文仿宋"/>
                <w:sz w:val="10"/>
                <w:szCs w:val="10"/>
                <w:lang w:val="en-US" w:eastAsia="zh-CN" w:bidi="ar"/>
              </w:rPr>
              <w:t>2024</w:t>
            </w:r>
            <w:r>
              <w:rPr>
                <w:rStyle w:val="35"/>
                <w:sz w:val="10"/>
                <w:szCs w:val="10"/>
                <w:lang w:val="en-US" w:eastAsia="zh-CN" w:bidi="ar"/>
              </w:rPr>
              <w:t>年已按项目合同和投标文件的相关技术要求和标的完成项目所有工作，我委验收合格后按合同支付柒拾万贰仟元运维经费。政法委视频会议系统运行正常，发生维护费用较少。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Style w:val="36"/>
                <w:rFonts w:eastAsia="宋体"/>
                <w:sz w:val="10"/>
                <w:szCs w:val="10"/>
                <w:lang w:val="en-US" w:eastAsia="zh-CN" w:bidi="ar"/>
              </w:rPr>
              <w:t>2.</w:t>
            </w:r>
            <w:r>
              <w:rPr>
                <w:rStyle w:val="35"/>
                <w:sz w:val="10"/>
                <w:szCs w:val="10"/>
                <w:lang w:val="en-US" w:eastAsia="zh-CN" w:bidi="ar"/>
              </w:rPr>
              <w:t>项目实施内容及过程概述</w:t>
            </w:r>
          </w:p>
        </w:tc>
        <w:tc>
          <w:tcPr>
            <w:tcW w:w="996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通过业务部门提供的具体实施方案，按照财政有关规定及财务管理制度规定制定的项目财务、会计和报帐管理制度，做到手续齐备、数字准确、账目清楚、处理及时。资金使用未超过委务会审定额度。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预算执行情况（</w:t>
            </w:r>
            <w:r>
              <w:rPr>
                <w:rStyle w:val="36"/>
                <w:rFonts w:eastAsia="宋体"/>
                <w:sz w:val="10"/>
                <w:szCs w:val="10"/>
                <w:lang w:val="en-US" w:eastAsia="zh-CN" w:bidi="ar"/>
              </w:rPr>
              <w:t>10</w:t>
            </w:r>
            <w:r>
              <w:rPr>
                <w:rStyle w:val="35"/>
                <w:sz w:val="10"/>
                <w:szCs w:val="10"/>
                <w:lang w:val="en-US" w:eastAsia="zh-CN" w:bidi="ar"/>
              </w:rPr>
              <w:t>分）</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年度预算数（万元）</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年初预算</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调整后预算数</w:t>
            </w:r>
          </w:p>
        </w:tc>
        <w:tc>
          <w:tcPr>
            <w:tcW w:w="27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预算执行数</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得分</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总额</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113.80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81.03</w:t>
            </w:r>
          </w:p>
        </w:tc>
        <w:tc>
          <w:tcPr>
            <w:tcW w:w="27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81.03</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iCs/>
                <w:color w:val="000000"/>
                <w:sz w:val="10"/>
                <w:szCs w:val="10"/>
                <w:u w:val="none"/>
              </w:rPr>
            </w:pPr>
            <w:r>
              <w:rPr>
                <w:rFonts w:hint="default" w:ascii="Times New Roman" w:hAnsi="Times New Roman" w:eastAsia="宋体" w:cs="Times New Roman"/>
                <w:i/>
                <w:iCs/>
                <w:color w:val="000000"/>
                <w:kern w:val="0"/>
                <w:sz w:val="10"/>
                <w:szCs w:val="1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其中：财政资金</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113.80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81.03</w:t>
            </w:r>
          </w:p>
        </w:tc>
        <w:tc>
          <w:tcPr>
            <w:tcW w:w="27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81.03</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财政专户管理资金</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7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单位资金</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7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其他资金</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27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绩效指标（</w:t>
            </w:r>
            <w:r>
              <w:rPr>
                <w:rStyle w:val="36"/>
                <w:rFonts w:eastAsia="宋体"/>
                <w:sz w:val="10"/>
                <w:szCs w:val="10"/>
                <w:lang w:val="en-US" w:eastAsia="zh-CN" w:bidi="ar"/>
              </w:rPr>
              <w:t>90</w:t>
            </w:r>
            <w:r>
              <w:rPr>
                <w:rStyle w:val="35"/>
                <w:sz w:val="10"/>
                <w:szCs w:val="10"/>
                <w:lang w:val="en-US" w:eastAsia="zh-CN" w:bidi="ar"/>
              </w:rPr>
              <w:t>分）</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一级指标</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二级指标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三级指标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指标性质</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指标值</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度量单位</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得分</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产出指标</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数量指标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0"/>
                <w:szCs w:val="10"/>
                <w:u w:val="none"/>
              </w:rPr>
            </w:pPr>
            <w:r>
              <w:rPr>
                <w:rFonts w:hint="eastAsia" w:ascii="方正公文仿宋" w:hAnsi="方正公文仿宋" w:eastAsia="方正公文仿宋" w:cs="方正公文仿宋"/>
                <w:i w:val="0"/>
                <w:iCs w:val="0"/>
                <w:color w:val="000000"/>
                <w:kern w:val="0"/>
                <w:sz w:val="10"/>
                <w:szCs w:val="10"/>
                <w:u w:val="none"/>
                <w:lang w:val="en-US" w:eastAsia="zh-CN" w:bidi="ar"/>
              </w:rPr>
              <w:t>保障县（市）数</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17</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0"/>
                <w:szCs w:val="10"/>
                <w:u w:val="none"/>
              </w:rPr>
            </w:pPr>
            <w:r>
              <w:rPr>
                <w:rFonts w:hint="eastAsia" w:ascii="方正公文仿宋" w:hAnsi="方正公文仿宋" w:eastAsia="方正公文仿宋" w:cs="方正公文仿宋"/>
                <w:i w:val="0"/>
                <w:iCs w:val="0"/>
                <w:color w:val="000000"/>
                <w:kern w:val="0"/>
                <w:sz w:val="10"/>
                <w:szCs w:val="10"/>
                <w:u w:val="none"/>
                <w:lang w:val="en-US" w:eastAsia="zh-CN" w:bidi="ar"/>
              </w:rPr>
              <w:t>个（套）</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17</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质量指标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运行质量</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定性</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确保</w:t>
            </w:r>
            <w:r>
              <w:rPr>
                <w:rStyle w:val="36"/>
                <w:rFonts w:eastAsia="宋体"/>
                <w:sz w:val="10"/>
                <w:szCs w:val="10"/>
                <w:lang w:val="en-US" w:eastAsia="zh-CN" w:bidi="ar"/>
              </w:rPr>
              <w:t>24</w:t>
            </w:r>
            <w:r>
              <w:rPr>
                <w:rStyle w:val="35"/>
                <w:sz w:val="10"/>
                <w:szCs w:val="10"/>
                <w:lang w:val="en-US" w:eastAsia="zh-CN" w:bidi="ar"/>
              </w:rPr>
              <w:t>小时不间断运行</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确保</w:t>
            </w:r>
            <w:r>
              <w:rPr>
                <w:rStyle w:val="36"/>
                <w:rFonts w:eastAsia="宋体"/>
                <w:sz w:val="10"/>
                <w:szCs w:val="10"/>
                <w:lang w:val="en-US" w:eastAsia="zh-CN" w:bidi="ar"/>
              </w:rPr>
              <w:t>24</w:t>
            </w:r>
            <w:r>
              <w:rPr>
                <w:rStyle w:val="35"/>
                <w:sz w:val="10"/>
                <w:szCs w:val="10"/>
                <w:lang w:val="en-US" w:eastAsia="zh-CN" w:bidi="ar"/>
              </w:rPr>
              <w:t>小时不间断运行</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确保联网的视频</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定性</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清晰可见</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清晰可见</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时效指标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项目完成时间</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定性</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6"/>
                <w:rFonts w:eastAsia="宋体"/>
                <w:sz w:val="10"/>
                <w:szCs w:val="10"/>
                <w:lang w:val="en-US" w:eastAsia="zh-CN" w:bidi="ar"/>
              </w:rPr>
              <w:t>2024</w:t>
            </w:r>
            <w:r>
              <w:rPr>
                <w:rStyle w:val="35"/>
                <w:sz w:val="10"/>
                <w:szCs w:val="10"/>
                <w:lang w:val="en-US" w:eastAsia="zh-CN" w:bidi="ar"/>
              </w:rPr>
              <w:t>年</w:t>
            </w:r>
            <w:r>
              <w:rPr>
                <w:rStyle w:val="36"/>
                <w:rFonts w:eastAsia="宋体"/>
                <w:sz w:val="10"/>
                <w:szCs w:val="10"/>
                <w:lang w:val="en-US" w:eastAsia="zh-CN" w:bidi="ar"/>
              </w:rPr>
              <w:t>12</w:t>
            </w:r>
            <w:r>
              <w:rPr>
                <w:rStyle w:val="35"/>
                <w:sz w:val="10"/>
                <w:szCs w:val="10"/>
                <w:lang w:val="en-US" w:eastAsia="zh-CN" w:bidi="ar"/>
              </w:rPr>
              <w:t>月底前完成</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6"/>
                <w:rFonts w:eastAsia="宋体"/>
                <w:sz w:val="10"/>
                <w:szCs w:val="10"/>
                <w:lang w:val="en-US" w:eastAsia="zh-CN" w:bidi="ar"/>
              </w:rPr>
              <w:t>2024</w:t>
            </w:r>
            <w:r>
              <w:rPr>
                <w:rStyle w:val="35"/>
                <w:sz w:val="10"/>
                <w:szCs w:val="10"/>
                <w:lang w:val="en-US" w:eastAsia="zh-CN" w:bidi="ar"/>
              </w:rPr>
              <w:t>年</w:t>
            </w:r>
            <w:r>
              <w:rPr>
                <w:rStyle w:val="36"/>
                <w:rFonts w:eastAsia="宋体"/>
                <w:sz w:val="10"/>
                <w:szCs w:val="10"/>
                <w:lang w:val="en-US" w:eastAsia="zh-CN" w:bidi="ar"/>
              </w:rPr>
              <w:t>12</w:t>
            </w:r>
            <w:r>
              <w:rPr>
                <w:rStyle w:val="35"/>
                <w:sz w:val="10"/>
                <w:szCs w:val="10"/>
                <w:lang w:val="en-US" w:eastAsia="zh-CN" w:bidi="ar"/>
              </w:rPr>
              <w:t>月底前完成</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效益指标</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社会效益指标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设备利用率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定性</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高</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高</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满意度指标</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服务对象满意度指标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6"/>
                <w:rFonts w:eastAsia="宋体"/>
                <w:sz w:val="10"/>
                <w:szCs w:val="10"/>
                <w:lang w:val="en-US" w:eastAsia="zh-CN" w:bidi="ar"/>
              </w:rPr>
              <w:t>18</w:t>
            </w:r>
            <w:r>
              <w:rPr>
                <w:rStyle w:val="35"/>
                <w:sz w:val="10"/>
                <w:szCs w:val="10"/>
                <w:lang w:val="en-US" w:eastAsia="zh-CN" w:bidi="ar"/>
              </w:rPr>
              <w:t>县（市）对维保的满意度</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成本指标</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经济成本指标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成本控制率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10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评价结论</w:t>
            </w:r>
          </w:p>
        </w:tc>
        <w:tc>
          <w:tcPr>
            <w:tcW w:w="1201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根据项目执行情况和项目绩效情况，总得分</w:t>
            </w:r>
            <w:r>
              <w:rPr>
                <w:rStyle w:val="36"/>
                <w:rFonts w:eastAsia="宋体"/>
                <w:sz w:val="10"/>
                <w:szCs w:val="10"/>
                <w:lang w:val="en-US" w:eastAsia="zh-CN" w:bidi="ar"/>
              </w:rPr>
              <w:t>96</w:t>
            </w:r>
            <w:r>
              <w:rPr>
                <w:rStyle w:val="35"/>
                <w:sz w:val="10"/>
                <w:szCs w:val="10"/>
                <w:lang w:val="en-US" w:eastAsia="zh-CN" w:bidi="ar"/>
              </w:rPr>
              <w:t>分，项目综合绩效评价为优秀。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存在问题</w:t>
            </w:r>
          </w:p>
        </w:tc>
        <w:tc>
          <w:tcPr>
            <w:tcW w:w="1201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绩效指标个数较少。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改进措施</w:t>
            </w:r>
          </w:p>
        </w:tc>
        <w:tc>
          <w:tcPr>
            <w:tcW w:w="1201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业务部门和财务部门共同合作，提升绩效指标数量和质量。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72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项目负责人：</w:t>
            </w:r>
            <w:r>
              <w:rPr>
                <w:rStyle w:val="35"/>
                <w:rFonts w:hint="eastAsia"/>
                <w:sz w:val="10"/>
                <w:szCs w:val="10"/>
                <w:lang w:val="en-US" w:eastAsia="zh-CN" w:bidi="ar"/>
              </w:rPr>
              <w:t>邓涛</w:t>
            </w:r>
          </w:p>
        </w:tc>
        <w:tc>
          <w:tcPr>
            <w:tcW w:w="541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Style w:val="35"/>
                <w:sz w:val="10"/>
                <w:szCs w:val="10"/>
                <w:lang w:val="en-US" w:eastAsia="zh-CN" w:bidi="ar"/>
              </w:rPr>
              <w:t>财务负责人：</w:t>
            </w:r>
            <w:r>
              <w:rPr>
                <w:rStyle w:val="35"/>
                <w:rFonts w:hint="eastAsia"/>
                <w:sz w:val="10"/>
                <w:szCs w:val="10"/>
                <w:lang w:val="en-US" w:eastAsia="zh-CN" w:bidi="ar"/>
              </w:rPr>
              <w:t>李戎生</w:t>
            </w:r>
          </w:p>
        </w:tc>
      </w:tr>
    </w:tbl>
    <w:p>
      <w:pPr>
        <w:keepNext w:val="0"/>
        <w:keepLines w:val="0"/>
        <w:pageBreakBefore w:val="0"/>
        <w:kinsoku/>
        <w:wordWrap/>
        <w:overflowPunct/>
        <w:topLinePunct w:val="0"/>
        <w:autoSpaceDE/>
        <w:autoSpaceDN/>
        <w:bidi w:val="0"/>
        <w:adjustRightInd/>
        <w:snapToGrid/>
        <w:spacing w:line="0" w:lineRule="atLeast"/>
        <w:rPr>
          <w:rFonts w:hint="eastAsia"/>
          <w:sz w:val="11"/>
          <w:szCs w:val="11"/>
        </w:rPr>
      </w:pPr>
    </w:p>
    <w:p>
      <w:pPr>
        <w:keepNext w:val="0"/>
        <w:keepLines w:val="0"/>
        <w:widowControl/>
        <w:suppressLineNumbers w:val="0"/>
        <w:jc w:val="center"/>
        <w:textAlignment w:val="center"/>
        <w:rPr>
          <w:rStyle w:val="37"/>
          <w:lang w:val="en-US" w:eastAsia="zh-CN" w:bidi="ar"/>
        </w:rPr>
        <w:sectPr>
          <w:footerReference r:id="rId7" w:type="first"/>
          <w:footerReference r:id="rId6" w:type="default"/>
          <w:pgSz w:w="16838" w:h="11906" w:orient="landscape"/>
          <w:pgMar w:top="1587" w:right="2098" w:bottom="1474" w:left="1984" w:header="851" w:footer="992" w:gutter="0"/>
          <w:pgNumType w:fmt="decimal" w:start="30"/>
          <w:cols w:space="0" w:num="1"/>
          <w:titlePg/>
          <w:rtlGutter w:val="0"/>
          <w:docGrid w:type="lines" w:linePitch="315" w:charSpace="0"/>
        </w:sectPr>
      </w:pPr>
    </w:p>
    <w:tbl>
      <w:tblPr>
        <w:tblStyle w:val="19"/>
        <w:tblW w:w="12696"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5"/>
        <w:gridCol w:w="1848"/>
        <w:gridCol w:w="1597"/>
        <w:gridCol w:w="2038"/>
        <w:gridCol w:w="469"/>
        <w:gridCol w:w="1509"/>
        <w:gridCol w:w="470"/>
        <w:gridCol w:w="982"/>
        <w:gridCol w:w="454"/>
        <w:gridCol w:w="410"/>
        <w:gridCol w:w="23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69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0"/>
                <w:szCs w:val="30"/>
                <w:u w:val="none"/>
              </w:rPr>
            </w:pPr>
            <w:r>
              <w:rPr>
                <w:rStyle w:val="37"/>
                <w:lang w:val="en-US" w:eastAsia="zh-CN" w:bidi="ar"/>
              </w:rPr>
              <w:t>部门预算项目支出绩效自评表（</w:t>
            </w:r>
            <w:r>
              <w:rPr>
                <w:rFonts w:hint="default" w:ascii="Times New Roman" w:hAnsi="Times New Roman" w:eastAsia="宋体" w:cs="Times New Roman"/>
                <w:b/>
                <w:bCs/>
                <w:i w:val="0"/>
                <w:iCs w:val="0"/>
                <w:color w:val="000000"/>
                <w:kern w:val="0"/>
                <w:sz w:val="30"/>
                <w:szCs w:val="30"/>
                <w:u w:val="none"/>
                <w:lang w:val="en-US" w:eastAsia="zh-CN" w:bidi="ar"/>
              </w:rPr>
              <w:t>2024</w:t>
            </w:r>
            <w:r>
              <w:rPr>
                <w:rStyle w:val="37"/>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4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项目名称</w:t>
            </w:r>
          </w:p>
        </w:tc>
        <w:tc>
          <w:tcPr>
            <w:tcW w:w="1023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51320022T000000337684-</w:t>
            </w:r>
            <w:r>
              <w:rPr>
                <w:rFonts w:ascii="方正公文仿宋" w:hAnsi="方正公文仿宋" w:eastAsia="方正公文仿宋" w:cs="方正公文仿宋"/>
                <w:i w:val="0"/>
                <w:iCs w:val="0"/>
                <w:color w:val="000000"/>
                <w:kern w:val="0"/>
                <w:sz w:val="10"/>
                <w:szCs w:val="10"/>
                <w:u w:val="none"/>
                <w:lang w:val="en-US" w:eastAsia="zh-CN" w:bidi="ar"/>
              </w:rPr>
              <w:t>综治工作经费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4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主管部门</w:t>
            </w:r>
          </w:p>
        </w:tc>
        <w:tc>
          <w:tcPr>
            <w:tcW w:w="608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州委政法委部门</w:t>
            </w:r>
          </w:p>
        </w:tc>
        <w:tc>
          <w:tcPr>
            <w:tcW w:w="982"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sz w:val="10"/>
                <w:szCs w:val="10"/>
              </w:rPr>
            </w:pPr>
            <w:r>
              <w:rPr>
                <w:rFonts w:ascii="方正公文仿宋" w:hAnsi="方正公文仿宋" w:eastAsia="方正公文仿宋" w:cs="方正公文仿宋"/>
                <w:i w:val="0"/>
                <w:iCs w:val="0"/>
                <w:color w:val="000000"/>
                <w:kern w:val="0"/>
                <w:sz w:val="10"/>
                <w:szCs w:val="10"/>
                <w:u w:val="none"/>
                <w:lang w:val="en-US" w:eastAsia="zh-CN" w:bidi="ar"/>
              </w:rPr>
              <w:t>实施单位</w:t>
            </w:r>
            <w:r>
              <w:rPr>
                <w:rFonts w:hint="default" w:ascii="Times New Roman" w:hAnsi="Times New Roman" w:eastAsia="宋体" w:cs="Times New Roman"/>
                <w:i w:val="0"/>
                <w:iCs w:val="0"/>
                <w:color w:val="000000"/>
                <w:kern w:val="0"/>
                <w:sz w:val="10"/>
                <w:szCs w:val="10"/>
                <w:u w:val="none"/>
                <w:lang w:val="en-US" w:eastAsia="zh-CN" w:bidi="ar"/>
              </w:rPr>
              <w:t xml:space="preserve"> </w:t>
            </w:r>
            <w:r>
              <w:rPr>
                <w:rFonts w:ascii="方正公文仿宋" w:hAnsi="方正公文仿宋" w:eastAsia="方正公文仿宋" w:cs="方正公文仿宋"/>
                <w:i w:val="0"/>
                <w:iCs w:val="0"/>
                <w:color w:val="000000"/>
                <w:kern w:val="0"/>
                <w:sz w:val="10"/>
                <w:szCs w:val="10"/>
                <w:u w:val="none"/>
                <w:lang w:val="en-US" w:eastAsia="zh-CN" w:bidi="ar"/>
              </w:rPr>
              <w:t>（盖章）</w:t>
            </w:r>
          </w:p>
        </w:tc>
        <w:tc>
          <w:tcPr>
            <w:tcW w:w="316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州委政法委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项目基本情况</w:t>
            </w:r>
          </w:p>
        </w:tc>
        <w:tc>
          <w:tcPr>
            <w:tcW w:w="18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w:t>
            </w:r>
            <w:r>
              <w:rPr>
                <w:rFonts w:ascii="方正公文仿宋" w:hAnsi="方正公文仿宋" w:eastAsia="方正公文仿宋" w:cs="方正公文仿宋"/>
                <w:i w:val="0"/>
                <w:iCs w:val="0"/>
                <w:color w:val="000000"/>
                <w:kern w:val="0"/>
                <w:sz w:val="10"/>
                <w:szCs w:val="10"/>
                <w:u w:val="none"/>
                <w:lang w:val="en-US" w:eastAsia="zh-CN" w:bidi="ar"/>
              </w:rPr>
              <w:t>项目年度目标完成情况</w:t>
            </w:r>
          </w:p>
        </w:tc>
        <w:tc>
          <w:tcPr>
            <w:tcW w:w="608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项目年度目标</w:t>
            </w:r>
          </w:p>
        </w:tc>
        <w:tc>
          <w:tcPr>
            <w:tcW w:w="41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18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608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按照省、州工作要求，督导指导全州综治工作，提高基层社会治理和治理能力现代化水平，提升人民群众的幸福感、获得感、安全感。</w:t>
            </w:r>
          </w:p>
        </w:tc>
        <w:tc>
          <w:tcPr>
            <w:tcW w:w="41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组织和依靠各部门、各单位和人民群众的力量，综合运用政治、经济、行政、法律、文化、教育等多种手段，通过加强打击、防范、教育、管理、建设、改造等方面的工作，重点开展打击整治侵害未成年人违法犯罪专项行动、电信诈骗、养老诈骗、禁毒等工作，实现从根本上预防和治理违法犯罪，化解不安定因素，维护社会治安持续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w:t>
            </w:r>
            <w:r>
              <w:rPr>
                <w:rFonts w:ascii="方正公文仿宋" w:hAnsi="方正公文仿宋" w:eastAsia="方正公文仿宋" w:cs="方正公文仿宋"/>
                <w:i w:val="0"/>
                <w:iCs w:val="0"/>
                <w:color w:val="000000"/>
                <w:kern w:val="0"/>
                <w:sz w:val="10"/>
                <w:szCs w:val="10"/>
                <w:u w:val="none"/>
                <w:lang w:val="en-US" w:eastAsia="zh-CN" w:bidi="ar"/>
              </w:rPr>
              <w:t>项目实施内容及过程概述</w:t>
            </w:r>
          </w:p>
        </w:tc>
        <w:tc>
          <w:tcPr>
            <w:tcW w:w="1023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通过业务部门提供的具体实施方案，按照财政有关规定及财务管理制度规定制定的项目财务、会计和报帐管理制度，做到手续齐备、数字准确、账目清楚、处理及时。资金使用未超过委务会审定额度。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预算执行情况（</w:t>
            </w:r>
            <w:r>
              <w:rPr>
                <w:rFonts w:hint="default" w:ascii="Times New Roman" w:hAnsi="Times New Roman" w:eastAsia="宋体" w:cs="Times New Roman"/>
                <w:i w:val="0"/>
                <w:iCs w:val="0"/>
                <w:color w:val="000000"/>
                <w:kern w:val="0"/>
                <w:sz w:val="10"/>
                <w:szCs w:val="10"/>
                <w:u w:val="none"/>
                <w:lang w:val="en-US" w:eastAsia="zh-CN" w:bidi="ar"/>
              </w:rPr>
              <w:t>10</w:t>
            </w:r>
            <w:r>
              <w:rPr>
                <w:rFonts w:ascii="方正公文仿宋" w:hAnsi="方正公文仿宋" w:eastAsia="方正公文仿宋" w:cs="方正公文仿宋"/>
                <w:i w:val="0"/>
                <w:iCs w:val="0"/>
                <w:color w:val="000000"/>
                <w:kern w:val="0"/>
                <w:sz w:val="10"/>
                <w:szCs w:val="10"/>
                <w:u w:val="none"/>
                <w:lang w:val="en-US" w:eastAsia="zh-CN" w:bidi="ar"/>
              </w:rPr>
              <w:t>分）</w:t>
            </w: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年度预算数（万元）</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年初预算</w:t>
            </w: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调整后预算数</w:t>
            </w:r>
          </w:p>
        </w:tc>
        <w:tc>
          <w:tcPr>
            <w:tcW w:w="2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ascii="方正公文仿宋" w:hAnsi="方正公文仿宋" w:eastAsia="方正公文仿宋" w:cs="方正公文仿宋"/>
                <w:i w:val="0"/>
                <w:iCs w:val="0"/>
                <w:color w:val="000000"/>
                <w:kern w:val="0"/>
                <w:sz w:val="10"/>
                <w:szCs w:val="10"/>
                <w:u w:val="none"/>
                <w:lang w:val="en-US" w:eastAsia="zh-CN" w:bidi="ar"/>
              </w:rPr>
              <w:t>预算执行数</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预算执行率</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权重</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ascii="方正公文仿宋" w:hAnsi="方正公文仿宋" w:eastAsia="方正公文仿宋" w:cs="方正公文仿宋"/>
                <w:i w:val="0"/>
                <w:iCs w:val="0"/>
                <w:color w:val="000000"/>
                <w:kern w:val="0"/>
                <w:sz w:val="10"/>
                <w:szCs w:val="10"/>
                <w:u w:val="none"/>
                <w:lang w:val="en-US" w:eastAsia="zh-CN" w:bidi="ar"/>
              </w:rPr>
              <w:t>得分</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总额</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8.05</w:t>
            </w: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8.05</w:t>
            </w:r>
          </w:p>
        </w:tc>
        <w:tc>
          <w:tcPr>
            <w:tcW w:w="2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8.05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100.00%</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23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iCs/>
                <w:color w:val="000000"/>
                <w:sz w:val="10"/>
                <w:szCs w:val="10"/>
                <w:u w:val="none"/>
              </w:rPr>
            </w:pPr>
            <w:r>
              <w:rPr>
                <w:rFonts w:hint="default" w:ascii="Times New Roman" w:hAnsi="Times New Roman" w:eastAsia="宋体" w:cs="Times New Roman"/>
                <w:i/>
                <w:iCs/>
                <w:color w:val="000000"/>
                <w:kern w:val="0"/>
                <w:sz w:val="10"/>
                <w:szCs w:val="1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其中：财政资金</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8.05</w:t>
            </w: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8.05</w:t>
            </w:r>
          </w:p>
        </w:tc>
        <w:tc>
          <w:tcPr>
            <w:tcW w:w="2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8.05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100.00%</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w:t>
            </w:r>
          </w:p>
        </w:tc>
        <w:tc>
          <w:tcPr>
            <w:tcW w:w="2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财政专户管理资金</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w:t>
            </w:r>
          </w:p>
        </w:tc>
        <w:tc>
          <w:tcPr>
            <w:tcW w:w="2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单位资金</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w:t>
            </w:r>
          </w:p>
        </w:tc>
        <w:tc>
          <w:tcPr>
            <w:tcW w:w="2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其他资金</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2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sz w:val="10"/>
                <w:szCs w:val="10"/>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iCs/>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w:t>
            </w:r>
          </w:p>
        </w:tc>
        <w:tc>
          <w:tcPr>
            <w:tcW w:w="2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绩效指标（</w:t>
            </w:r>
            <w:r>
              <w:rPr>
                <w:rFonts w:hint="default" w:ascii="Times New Roman" w:hAnsi="Times New Roman" w:eastAsia="宋体" w:cs="Times New Roman"/>
                <w:i w:val="0"/>
                <w:iCs w:val="0"/>
                <w:color w:val="000000"/>
                <w:kern w:val="0"/>
                <w:sz w:val="10"/>
                <w:szCs w:val="10"/>
                <w:u w:val="none"/>
                <w:lang w:val="en-US" w:eastAsia="zh-CN" w:bidi="ar"/>
              </w:rPr>
              <w:t>90</w:t>
            </w:r>
            <w:r>
              <w:rPr>
                <w:rFonts w:ascii="方正公文仿宋" w:hAnsi="方正公文仿宋" w:eastAsia="方正公文仿宋" w:cs="方正公文仿宋"/>
                <w:i w:val="0"/>
                <w:iCs w:val="0"/>
                <w:color w:val="000000"/>
                <w:kern w:val="0"/>
                <w:sz w:val="10"/>
                <w:szCs w:val="10"/>
                <w:u w:val="none"/>
                <w:lang w:val="en-US" w:eastAsia="zh-CN" w:bidi="ar"/>
              </w:rPr>
              <w:t>分）</w:t>
            </w: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一级指标</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二级指标</w:t>
            </w: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三级指标</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ascii="方正公文仿宋" w:hAnsi="方正公文仿宋" w:eastAsia="方正公文仿宋" w:cs="方正公文仿宋"/>
                <w:i w:val="0"/>
                <w:iCs w:val="0"/>
                <w:color w:val="000000"/>
                <w:kern w:val="0"/>
                <w:sz w:val="10"/>
                <w:szCs w:val="10"/>
                <w:u w:val="none"/>
                <w:lang w:val="en-US" w:eastAsia="zh-CN" w:bidi="ar"/>
              </w:rPr>
              <w:t>指标性质</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指标值</w:t>
            </w: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度量单位</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完成值</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权重</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ascii="方正公文仿宋" w:hAnsi="方正公文仿宋" w:eastAsia="方正公文仿宋" w:cs="方正公文仿宋"/>
                <w:i w:val="0"/>
                <w:iCs w:val="0"/>
                <w:color w:val="000000"/>
                <w:kern w:val="0"/>
                <w:sz w:val="10"/>
                <w:szCs w:val="10"/>
                <w:u w:val="none"/>
                <w:lang w:val="en-US" w:eastAsia="zh-CN" w:bidi="ar"/>
              </w:rPr>
              <w:t>得分</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8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产出指标</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数量指标</w:t>
            </w: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项目完成率</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8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质量指标</w:t>
            </w: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预算编制准确率</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8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时效指标</w:t>
            </w: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项目完成时间</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ascii="方正公文仿宋" w:hAnsi="方正公文仿宋" w:eastAsia="方正公文仿宋" w:cs="方正公文仿宋"/>
                <w:i w:val="0"/>
                <w:iCs w:val="0"/>
                <w:color w:val="000000"/>
                <w:kern w:val="0"/>
                <w:sz w:val="10"/>
                <w:szCs w:val="10"/>
                <w:u w:val="none"/>
                <w:lang w:val="en-US" w:eastAsia="zh-CN" w:bidi="ar"/>
              </w:rPr>
              <w:t>定性</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2024</w:t>
            </w:r>
            <w:r>
              <w:rPr>
                <w:rFonts w:ascii="方正公文仿宋" w:hAnsi="方正公文仿宋" w:eastAsia="方正公文仿宋" w:cs="方正公文仿宋"/>
                <w:i w:val="0"/>
                <w:iCs w:val="0"/>
                <w:color w:val="000000"/>
                <w:kern w:val="0"/>
                <w:sz w:val="10"/>
                <w:szCs w:val="10"/>
                <w:u w:val="none"/>
                <w:lang w:val="en-US" w:eastAsia="zh-CN" w:bidi="ar"/>
              </w:rPr>
              <w:t>年</w:t>
            </w:r>
            <w:r>
              <w:rPr>
                <w:rFonts w:hint="default" w:ascii="Times New Roman" w:hAnsi="Times New Roman" w:eastAsia="宋体" w:cs="Times New Roman"/>
                <w:i w:val="0"/>
                <w:iCs w:val="0"/>
                <w:color w:val="000000"/>
                <w:kern w:val="0"/>
                <w:sz w:val="10"/>
                <w:szCs w:val="10"/>
                <w:u w:val="none"/>
                <w:lang w:val="en-US" w:eastAsia="zh-CN" w:bidi="ar"/>
              </w:rPr>
              <w:t>12</w:t>
            </w:r>
            <w:r>
              <w:rPr>
                <w:rFonts w:ascii="方正公文仿宋" w:hAnsi="方正公文仿宋" w:eastAsia="方正公文仿宋" w:cs="方正公文仿宋"/>
                <w:i w:val="0"/>
                <w:iCs w:val="0"/>
                <w:color w:val="000000"/>
                <w:kern w:val="0"/>
                <w:sz w:val="10"/>
                <w:szCs w:val="10"/>
                <w:u w:val="none"/>
                <w:lang w:val="en-US" w:eastAsia="zh-CN" w:bidi="ar"/>
              </w:rPr>
              <w:t>月底前完成</w:t>
            </w: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2024</w:t>
            </w:r>
            <w:r>
              <w:rPr>
                <w:rFonts w:ascii="方正公文仿宋" w:hAnsi="方正公文仿宋" w:eastAsia="方正公文仿宋" w:cs="方正公文仿宋"/>
                <w:i w:val="0"/>
                <w:iCs w:val="0"/>
                <w:color w:val="000000"/>
                <w:kern w:val="0"/>
                <w:sz w:val="10"/>
                <w:szCs w:val="10"/>
                <w:u w:val="none"/>
                <w:lang w:val="en-US" w:eastAsia="zh-CN" w:bidi="ar"/>
              </w:rPr>
              <w:t>年</w:t>
            </w:r>
            <w:r>
              <w:rPr>
                <w:rFonts w:hint="default" w:ascii="Times New Roman" w:hAnsi="Times New Roman" w:eastAsia="宋体" w:cs="Times New Roman"/>
                <w:i w:val="0"/>
                <w:iCs w:val="0"/>
                <w:color w:val="000000"/>
                <w:kern w:val="0"/>
                <w:sz w:val="10"/>
                <w:szCs w:val="10"/>
                <w:u w:val="none"/>
                <w:lang w:val="en-US" w:eastAsia="zh-CN" w:bidi="ar"/>
              </w:rPr>
              <w:t>12</w:t>
            </w:r>
            <w:r>
              <w:rPr>
                <w:rFonts w:ascii="方正公文仿宋" w:hAnsi="方正公文仿宋" w:eastAsia="方正公文仿宋" w:cs="方正公文仿宋"/>
                <w:i w:val="0"/>
                <w:iCs w:val="0"/>
                <w:color w:val="000000"/>
                <w:kern w:val="0"/>
                <w:sz w:val="10"/>
                <w:szCs w:val="10"/>
                <w:u w:val="none"/>
                <w:lang w:val="en-US" w:eastAsia="zh-CN" w:bidi="ar"/>
              </w:rPr>
              <w:t>月底前完成</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效益指标</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社会效益指标</w:t>
            </w: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全面深化平安阿坝建设</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ascii="方正公文仿宋" w:hAnsi="方正公文仿宋" w:eastAsia="方正公文仿宋" w:cs="方正公文仿宋"/>
                <w:i w:val="0"/>
                <w:iCs w:val="0"/>
                <w:color w:val="000000"/>
                <w:kern w:val="0"/>
                <w:sz w:val="10"/>
                <w:szCs w:val="10"/>
                <w:u w:val="none"/>
                <w:lang w:val="en-US" w:eastAsia="zh-CN" w:bidi="ar"/>
              </w:rPr>
              <w:t>定性</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有效深化</w:t>
            </w: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有效深化</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8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满意度指标</w:t>
            </w:r>
          </w:p>
        </w:tc>
        <w:tc>
          <w:tcPr>
            <w:tcW w:w="15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服务对象满意度指标</w:t>
            </w: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受惠群众满意度</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8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5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人民群众满意度</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成本指标</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经济成本指标</w:t>
            </w: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成本控制率</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52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合计</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100</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100</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评价结论</w:t>
            </w:r>
          </w:p>
        </w:tc>
        <w:tc>
          <w:tcPr>
            <w:tcW w:w="1208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根据项目执行情况和项目绩效情况，总得分</w:t>
            </w:r>
            <w:r>
              <w:rPr>
                <w:rFonts w:hint="default" w:ascii="Times New Roman" w:hAnsi="Times New Roman" w:eastAsia="宋体" w:cs="Times New Roman"/>
                <w:i w:val="0"/>
                <w:iCs w:val="0"/>
                <w:color w:val="000000"/>
                <w:kern w:val="0"/>
                <w:sz w:val="10"/>
                <w:szCs w:val="10"/>
                <w:u w:val="none"/>
                <w:lang w:val="en-US" w:eastAsia="zh-CN" w:bidi="ar"/>
              </w:rPr>
              <w:t>100</w:t>
            </w:r>
            <w:r>
              <w:rPr>
                <w:rFonts w:ascii="方正公文仿宋" w:hAnsi="方正公文仿宋" w:eastAsia="方正公文仿宋" w:cs="方正公文仿宋"/>
                <w:i w:val="0"/>
                <w:iCs w:val="0"/>
                <w:color w:val="000000"/>
                <w:kern w:val="0"/>
                <w:sz w:val="10"/>
                <w:szCs w:val="10"/>
                <w:u w:val="none"/>
                <w:lang w:val="en-US" w:eastAsia="zh-CN" w:bidi="ar"/>
              </w:rPr>
              <w:t>分，项目综合绩效评价为优秀。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存在问题</w:t>
            </w:r>
          </w:p>
        </w:tc>
        <w:tc>
          <w:tcPr>
            <w:tcW w:w="1208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绩效指标个数较少。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改进措施</w:t>
            </w:r>
          </w:p>
        </w:tc>
        <w:tc>
          <w:tcPr>
            <w:tcW w:w="1208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业务部门和财务部门共同合作，提升绩效指标数量和质量。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6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项目负责人：</w:t>
            </w:r>
            <w:r>
              <w:rPr>
                <w:rFonts w:hint="eastAsia" w:ascii="方正公文仿宋" w:hAnsi="方正公文仿宋" w:eastAsia="方正公文仿宋" w:cs="方正公文仿宋"/>
                <w:i w:val="0"/>
                <w:iCs w:val="0"/>
                <w:color w:val="000000"/>
                <w:kern w:val="0"/>
                <w:sz w:val="10"/>
                <w:szCs w:val="10"/>
                <w:u w:val="none"/>
                <w:lang w:val="en-US" w:eastAsia="zh-CN" w:bidi="ar"/>
              </w:rPr>
              <w:t>邓涛</w:t>
            </w:r>
          </w:p>
        </w:tc>
        <w:tc>
          <w:tcPr>
            <w:tcW w:w="612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财务负责人：</w:t>
            </w:r>
            <w:r>
              <w:rPr>
                <w:rFonts w:hint="eastAsia" w:ascii="方正公文仿宋" w:hAnsi="方正公文仿宋" w:eastAsia="方正公文仿宋" w:cs="方正公文仿宋"/>
                <w:i w:val="0"/>
                <w:iCs w:val="0"/>
                <w:color w:val="000000"/>
                <w:kern w:val="0"/>
                <w:sz w:val="10"/>
                <w:szCs w:val="10"/>
                <w:u w:val="none"/>
                <w:lang w:val="en-US" w:eastAsia="zh-CN" w:bidi="ar"/>
              </w:rPr>
              <w:t>李戎生</w:t>
            </w:r>
          </w:p>
        </w:tc>
      </w:tr>
    </w:tbl>
    <w:p>
      <w:pPr>
        <w:pStyle w:val="2"/>
        <w:rPr>
          <w:rFonts w:hint="eastAsia"/>
          <w:sz w:val="11"/>
          <w:szCs w:val="11"/>
        </w:rPr>
      </w:pPr>
    </w:p>
    <w:p>
      <w:pPr>
        <w:rPr>
          <w:rFonts w:hint="eastAsia"/>
          <w:sz w:val="11"/>
          <w:szCs w:val="11"/>
        </w:rPr>
      </w:pPr>
    </w:p>
    <w:tbl>
      <w:tblPr>
        <w:tblStyle w:val="19"/>
        <w:tblW w:w="12696"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4"/>
        <w:gridCol w:w="2046"/>
        <w:gridCol w:w="1770"/>
        <w:gridCol w:w="2257"/>
        <w:gridCol w:w="520"/>
        <w:gridCol w:w="1673"/>
        <w:gridCol w:w="520"/>
        <w:gridCol w:w="1090"/>
        <w:gridCol w:w="505"/>
        <w:gridCol w:w="486"/>
        <w:gridCol w:w="11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69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0"/>
                <w:szCs w:val="30"/>
                <w:u w:val="none"/>
              </w:rPr>
            </w:pPr>
            <w:r>
              <w:rPr>
                <w:rFonts w:ascii="方正小标宋_GBK" w:hAnsi="方正小标宋_GBK" w:eastAsia="方正小标宋_GBK" w:cs="方正小标宋_GBK"/>
                <w:b/>
                <w:bCs/>
                <w:i w:val="0"/>
                <w:iCs w:val="0"/>
                <w:color w:val="000000"/>
                <w:kern w:val="0"/>
                <w:sz w:val="30"/>
                <w:szCs w:val="30"/>
                <w:u w:val="none"/>
                <w:lang w:val="en-US" w:eastAsia="zh-CN" w:bidi="ar"/>
              </w:rPr>
              <w:t>部门预算项目支出绩效自评表（</w:t>
            </w:r>
            <w:r>
              <w:rPr>
                <w:rFonts w:hint="default" w:ascii="Times New Roman" w:hAnsi="Times New Roman" w:eastAsia="宋体" w:cs="Times New Roman"/>
                <w:b/>
                <w:bCs/>
                <w:i w:val="0"/>
                <w:iCs w:val="0"/>
                <w:color w:val="000000"/>
                <w:kern w:val="0"/>
                <w:sz w:val="30"/>
                <w:szCs w:val="30"/>
                <w:u w:val="none"/>
                <w:lang w:val="en-US" w:eastAsia="zh-CN" w:bidi="ar"/>
              </w:rPr>
              <w:t>2024</w:t>
            </w:r>
            <w:r>
              <w:rPr>
                <w:rFonts w:ascii="方正小标宋_GBK" w:hAnsi="方正小标宋_GBK" w:eastAsia="方正小标宋_GBK" w:cs="方正小标宋_GBK"/>
                <w:b/>
                <w:bCs/>
                <w:i w:val="0"/>
                <w:iCs w:val="0"/>
                <w:color w:val="000000"/>
                <w:kern w:val="0"/>
                <w:sz w:val="30"/>
                <w:szCs w:val="30"/>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项目名称</w:t>
            </w:r>
          </w:p>
        </w:tc>
        <w:tc>
          <w:tcPr>
            <w:tcW w:w="996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51320022T000000337681-</w:t>
            </w:r>
            <w:r>
              <w:rPr>
                <w:rFonts w:ascii="方正公文仿宋" w:hAnsi="方正公文仿宋" w:eastAsia="方正公文仿宋" w:cs="方正公文仿宋"/>
                <w:i w:val="0"/>
                <w:iCs w:val="0"/>
                <w:color w:val="000000"/>
                <w:kern w:val="0"/>
                <w:sz w:val="10"/>
                <w:szCs w:val="10"/>
                <w:u w:val="none"/>
                <w:lang w:val="en-US" w:eastAsia="zh-CN" w:bidi="ar"/>
              </w:rPr>
              <w:t>全州政法干部培训费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主管部门</w:t>
            </w:r>
          </w:p>
        </w:tc>
        <w:tc>
          <w:tcPr>
            <w:tcW w:w="6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州委政法委部门</w:t>
            </w:r>
          </w:p>
        </w:tc>
        <w:tc>
          <w:tcPr>
            <w:tcW w:w="1090" w:type="dxa"/>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实施单位</w:t>
            </w:r>
            <w:r>
              <w:rPr>
                <w:rFonts w:hint="default" w:ascii="Times New Roman" w:hAnsi="Times New Roman" w:eastAsia="宋体" w:cs="Times New Roman"/>
                <w:i w:val="0"/>
                <w:iCs w:val="0"/>
                <w:color w:val="000000"/>
                <w:kern w:val="0"/>
                <w:sz w:val="10"/>
                <w:szCs w:val="10"/>
                <w:u w:val="none"/>
                <w:lang w:val="en-US" w:eastAsia="zh-CN" w:bidi="ar"/>
              </w:rPr>
              <w:t xml:space="preserve"> </w:t>
            </w:r>
            <w:r>
              <w:rPr>
                <w:rFonts w:ascii="方正公文仿宋" w:hAnsi="方正公文仿宋" w:eastAsia="方正公文仿宋" w:cs="方正公文仿宋"/>
                <w:i w:val="0"/>
                <w:iCs w:val="0"/>
                <w:color w:val="000000"/>
                <w:kern w:val="0"/>
                <w:sz w:val="10"/>
                <w:szCs w:val="10"/>
                <w:u w:val="none"/>
                <w:lang w:val="en-US" w:eastAsia="zh-CN" w:bidi="ar"/>
              </w:rPr>
              <w:t>（盖章）</w:t>
            </w:r>
          </w:p>
        </w:tc>
        <w:tc>
          <w:tcPr>
            <w:tcW w:w="21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州委政法委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项目基本情况</w:t>
            </w: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w:t>
            </w:r>
            <w:r>
              <w:rPr>
                <w:rFonts w:ascii="方正公文仿宋" w:hAnsi="方正公文仿宋" w:eastAsia="方正公文仿宋" w:cs="方正公文仿宋"/>
                <w:i w:val="0"/>
                <w:iCs w:val="0"/>
                <w:color w:val="000000"/>
                <w:kern w:val="0"/>
                <w:sz w:val="10"/>
                <w:szCs w:val="10"/>
                <w:u w:val="none"/>
                <w:lang w:val="en-US" w:eastAsia="zh-CN" w:bidi="ar"/>
              </w:rPr>
              <w:t>项目年度目标完成情况</w:t>
            </w:r>
          </w:p>
        </w:tc>
        <w:tc>
          <w:tcPr>
            <w:tcW w:w="6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项目年度目标</w:t>
            </w:r>
          </w:p>
        </w:tc>
        <w:tc>
          <w:tcPr>
            <w:tcW w:w="3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6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按照《中共阿坝州委关于印发</w:t>
            </w:r>
            <w:r>
              <w:rPr>
                <w:rFonts w:hint="default" w:ascii="Times New Roman" w:hAnsi="Times New Roman" w:eastAsia="宋体" w:cs="Times New Roman"/>
                <w:i w:val="0"/>
                <w:iCs w:val="0"/>
                <w:color w:val="000000"/>
                <w:kern w:val="0"/>
                <w:sz w:val="10"/>
                <w:szCs w:val="10"/>
                <w:u w:val="none"/>
                <w:lang w:val="en-US" w:eastAsia="zh-CN" w:bidi="ar"/>
              </w:rPr>
              <w:t>&lt;</w:t>
            </w:r>
            <w:r>
              <w:rPr>
                <w:rFonts w:ascii="方正公文仿宋" w:hAnsi="方正公文仿宋" w:eastAsia="方正公文仿宋" w:cs="方正公文仿宋"/>
                <w:i w:val="0"/>
                <w:iCs w:val="0"/>
                <w:color w:val="000000"/>
                <w:kern w:val="0"/>
                <w:sz w:val="10"/>
                <w:szCs w:val="10"/>
                <w:u w:val="none"/>
                <w:lang w:val="en-US" w:eastAsia="zh-CN" w:bidi="ar"/>
              </w:rPr>
              <w:t>阿坝州政法系统</w:t>
            </w:r>
            <w:r>
              <w:rPr>
                <w:rFonts w:hint="default" w:ascii="Times New Roman" w:hAnsi="Times New Roman" w:eastAsia="宋体" w:cs="Times New Roman"/>
                <w:i w:val="0"/>
                <w:iCs w:val="0"/>
                <w:color w:val="000000"/>
                <w:kern w:val="0"/>
                <w:sz w:val="10"/>
                <w:szCs w:val="10"/>
                <w:u w:val="none"/>
                <w:lang w:val="en-US" w:eastAsia="zh-CN" w:bidi="ar"/>
              </w:rPr>
              <w:t>“</w:t>
            </w:r>
            <w:r>
              <w:rPr>
                <w:rFonts w:ascii="方正公文仿宋" w:hAnsi="方正公文仿宋" w:eastAsia="方正公文仿宋" w:cs="方正公文仿宋"/>
                <w:i w:val="0"/>
                <w:iCs w:val="0"/>
                <w:color w:val="000000"/>
                <w:kern w:val="0"/>
                <w:sz w:val="10"/>
                <w:szCs w:val="10"/>
                <w:u w:val="none"/>
                <w:lang w:val="en-US" w:eastAsia="zh-CN" w:bidi="ar"/>
              </w:rPr>
              <w:t>铸忠诚警魂</w:t>
            </w:r>
            <w:r>
              <w:rPr>
                <w:rFonts w:hint="default" w:ascii="Times New Roman" w:hAnsi="Times New Roman" w:eastAsia="宋体" w:cs="Times New Roman"/>
                <w:i w:val="0"/>
                <w:iCs w:val="0"/>
                <w:color w:val="000000"/>
                <w:kern w:val="0"/>
                <w:sz w:val="10"/>
                <w:szCs w:val="10"/>
                <w:u w:val="none"/>
                <w:lang w:val="en-US" w:eastAsia="zh-CN" w:bidi="ar"/>
              </w:rPr>
              <w:t xml:space="preserve"> </w:t>
            </w:r>
            <w:r>
              <w:rPr>
                <w:rFonts w:ascii="方正公文仿宋" w:hAnsi="方正公文仿宋" w:eastAsia="方正公文仿宋" w:cs="方正公文仿宋"/>
                <w:i w:val="0"/>
                <w:iCs w:val="0"/>
                <w:color w:val="000000"/>
                <w:kern w:val="0"/>
                <w:sz w:val="10"/>
                <w:szCs w:val="10"/>
                <w:u w:val="none"/>
                <w:lang w:val="en-US" w:eastAsia="zh-CN" w:bidi="ar"/>
              </w:rPr>
              <w:t>建高原铁军</w:t>
            </w:r>
            <w:r>
              <w:rPr>
                <w:rFonts w:hint="default" w:ascii="Times New Roman" w:hAnsi="Times New Roman" w:eastAsia="宋体" w:cs="Times New Roman"/>
                <w:i w:val="0"/>
                <w:iCs w:val="0"/>
                <w:color w:val="000000"/>
                <w:kern w:val="0"/>
                <w:sz w:val="10"/>
                <w:szCs w:val="10"/>
                <w:u w:val="none"/>
                <w:lang w:val="en-US" w:eastAsia="zh-CN" w:bidi="ar"/>
              </w:rPr>
              <w:t>”</w:t>
            </w:r>
            <w:r>
              <w:rPr>
                <w:rFonts w:ascii="方正公文仿宋" w:hAnsi="方正公文仿宋" w:eastAsia="方正公文仿宋" w:cs="方正公文仿宋"/>
                <w:i w:val="0"/>
                <w:iCs w:val="0"/>
                <w:color w:val="000000"/>
                <w:kern w:val="0"/>
                <w:sz w:val="10"/>
                <w:szCs w:val="10"/>
                <w:u w:val="none"/>
                <w:lang w:val="en-US" w:eastAsia="zh-CN" w:bidi="ar"/>
              </w:rPr>
              <w:t>教育活动实施方案</w:t>
            </w:r>
            <w:r>
              <w:rPr>
                <w:rFonts w:hint="default" w:ascii="Times New Roman" w:hAnsi="Times New Roman" w:eastAsia="宋体" w:cs="Times New Roman"/>
                <w:i w:val="0"/>
                <w:iCs w:val="0"/>
                <w:color w:val="000000"/>
                <w:kern w:val="0"/>
                <w:sz w:val="10"/>
                <w:szCs w:val="10"/>
                <w:u w:val="none"/>
                <w:lang w:val="en-US" w:eastAsia="zh-CN" w:bidi="ar"/>
              </w:rPr>
              <w:t>&gt;</w:t>
            </w:r>
            <w:r>
              <w:rPr>
                <w:rFonts w:ascii="方正公文仿宋" w:hAnsi="方正公文仿宋" w:eastAsia="方正公文仿宋" w:cs="方正公文仿宋"/>
                <w:i w:val="0"/>
                <w:iCs w:val="0"/>
                <w:color w:val="000000"/>
                <w:kern w:val="0"/>
                <w:sz w:val="10"/>
                <w:szCs w:val="10"/>
                <w:u w:val="none"/>
                <w:lang w:val="en-US" w:eastAsia="zh-CN" w:bidi="ar"/>
              </w:rPr>
              <w:t>的通知》（阿委</w:t>
            </w:r>
            <w:r>
              <w:rPr>
                <w:rFonts w:hint="default" w:ascii="Times New Roman" w:hAnsi="Times New Roman" w:eastAsia="宋体" w:cs="Times New Roman"/>
                <w:i w:val="0"/>
                <w:iCs w:val="0"/>
                <w:color w:val="000000"/>
                <w:kern w:val="0"/>
                <w:sz w:val="10"/>
                <w:szCs w:val="10"/>
                <w:u w:val="none"/>
                <w:lang w:val="en-US" w:eastAsia="zh-CN" w:bidi="ar"/>
              </w:rPr>
              <w:t>[2024]72</w:t>
            </w:r>
            <w:r>
              <w:rPr>
                <w:rFonts w:ascii="方正公文仿宋" w:hAnsi="方正公文仿宋" w:eastAsia="方正公文仿宋" w:cs="方正公文仿宋"/>
                <w:i w:val="0"/>
                <w:iCs w:val="0"/>
                <w:color w:val="000000"/>
                <w:kern w:val="0"/>
                <w:sz w:val="10"/>
                <w:szCs w:val="10"/>
                <w:u w:val="none"/>
                <w:lang w:val="en-US" w:eastAsia="zh-CN" w:bidi="ar"/>
              </w:rPr>
              <w:t>号）文件要求，州委政法委每年举办</w:t>
            </w:r>
            <w:r>
              <w:rPr>
                <w:rFonts w:hint="default" w:ascii="Times New Roman" w:hAnsi="Times New Roman" w:eastAsia="宋体" w:cs="Times New Roman"/>
                <w:i w:val="0"/>
                <w:iCs w:val="0"/>
                <w:color w:val="000000"/>
                <w:kern w:val="0"/>
                <w:sz w:val="10"/>
                <w:szCs w:val="10"/>
                <w:u w:val="none"/>
                <w:lang w:val="en-US" w:eastAsia="zh-CN" w:bidi="ar"/>
              </w:rPr>
              <w:t>3</w:t>
            </w:r>
            <w:r>
              <w:rPr>
                <w:rFonts w:ascii="方正公文仿宋" w:hAnsi="方正公文仿宋" w:eastAsia="方正公文仿宋" w:cs="方正公文仿宋"/>
                <w:i w:val="0"/>
                <w:iCs w:val="0"/>
                <w:color w:val="000000"/>
                <w:kern w:val="0"/>
                <w:sz w:val="10"/>
                <w:szCs w:val="10"/>
                <w:u w:val="none"/>
                <w:lang w:val="en-US" w:eastAsia="zh-CN" w:bidi="ar"/>
              </w:rPr>
              <w:t>至</w:t>
            </w:r>
            <w:r>
              <w:rPr>
                <w:rFonts w:hint="default" w:ascii="Times New Roman" w:hAnsi="Times New Roman" w:eastAsia="宋体" w:cs="Times New Roman"/>
                <w:i w:val="0"/>
                <w:iCs w:val="0"/>
                <w:color w:val="000000"/>
                <w:kern w:val="0"/>
                <w:sz w:val="10"/>
                <w:szCs w:val="10"/>
                <w:u w:val="none"/>
                <w:lang w:val="en-US" w:eastAsia="zh-CN" w:bidi="ar"/>
              </w:rPr>
              <w:t>4</w:t>
            </w:r>
            <w:r>
              <w:rPr>
                <w:rFonts w:ascii="方正公文仿宋" w:hAnsi="方正公文仿宋" w:eastAsia="方正公文仿宋" w:cs="方正公文仿宋"/>
                <w:i w:val="0"/>
                <w:iCs w:val="0"/>
                <w:color w:val="000000"/>
                <w:kern w:val="0"/>
                <w:sz w:val="10"/>
                <w:szCs w:val="10"/>
                <w:u w:val="none"/>
                <w:lang w:val="en-US" w:eastAsia="zh-CN" w:bidi="ar"/>
              </w:rPr>
              <w:t>期政治轮训班，以各种方式强化教育培训，不断提升全州政法干部的政治业务能力。</w:t>
            </w:r>
          </w:p>
        </w:tc>
        <w:tc>
          <w:tcPr>
            <w:tcW w:w="3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制定《</w:t>
            </w:r>
            <w:r>
              <w:rPr>
                <w:rFonts w:hint="default" w:ascii="Times New Roman" w:hAnsi="Times New Roman" w:eastAsia="宋体" w:cs="Times New Roman"/>
                <w:i w:val="0"/>
                <w:iCs w:val="0"/>
                <w:color w:val="000000"/>
                <w:kern w:val="0"/>
                <w:sz w:val="10"/>
                <w:szCs w:val="10"/>
                <w:u w:val="none"/>
                <w:lang w:val="en-US" w:eastAsia="zh-CN" w:bidi="ar"/>
              </w:rPr>
              <w:t>2024</w:t>
            </w:r>
            <w:r>
              <w:rPr>
                <w:rFonts w:ascii="方正公文仿宋" w:hAnsi="方正公文仿宋" w:eastAsia="方正公文仿宋" w:cs="方正公文仿宋"/>
                <w:i w:val="0"/>
                <w:iCs w:val="0"/>
                <w:color w:val="000000"/>
                <w:kern w:val="0"/>
                <w:sz w:val="10"/>
                <w:szCs w:val="10"/>
                <w:u w:val="none"/>
                <w:lang w:val="en-US" w:eastAsia="zh-CN" w:bidi="ar"/>
              </w:rPr>
              <w:t>年度政治轮训工作方案》，举办全州政法系统领导干部能力提升培训班</w:t>
            </w:r>
            <w:r>
              <w:rPr>
                <w:rFonts w:hint="default" w:ascii="Times New Roman" w:hAnsi="Times New Roman" w:eastAsia="宋体" w:cs="Times New Roman"/>
                <w:i w:val="0"/>
                <w:iCs w:val="0"/>
                <w:color w:val="000000"/>
                <w:kern w:val="0"/>
                <w:sz w:val="10"/>
                <w:szCs w:val="10"/>
                <w:u w:val="none"/>
                <w:lang w:val="en-US" w:eastAsia="zh-CN" w:bidi="ar"/>
              </w:rPr>
              <w:t>4</w:t>
            </w:r>
            <w:r>
              <w:rPr>
                <w:rFonts w:ascii="方正公文仿宋" w:hAnsi="方正公文仿宋" w:eastAsia="方正公文仿宋" w:cs="方正公文仿宋"/>
                <w:i w:val="0"/>
                <w:iCs w:val="0"/>
                <w:color w:val="000000"/>
                <w:kern w:val="0"/>
                <w:sz w:val="10"/>
                <w:szCs w:val="10"/>
                <w:u w:val="none"/>
                <w:lang w:val="en-US" w:eastAsia="zh-CN" w:bidi="ar"/>
              </w:rPr>
              <w:t>期。用好四川政法大讲堂、职工夜校等平台，广泛开展政治轮训、岗位练兵和技能比武，政法干警政治能力、业务能力和综合素质明显提升。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w:t>
            </w:r>
            <w:r>
              <w:rPr>
                <w:rFonts w:ascii="方正公文仿宋" w:hAnsi="方正公文仿宋" w:eastAsia="方正公文仿宋" w:cs="方正公文仿宋"/>
                <w:i w:val="0"/>
                <w:iCs w:val="0"/>
                <w:color w:val="000000"/>
                <w:kern w:val="0"/>
                <w:sz w:val="10"/>
                <w:szCs w:val="10"/>
                <w:u w:val="none"/>
                <w:lang w:val="en-US" w:eastAsia="zh-CN" w:bidi="ar"/>
              </w:rPr>
              <w:t>项目实施内容及过程概述</w:t>
            </w:r>
          </w:p>
        </w:tc>
        <w:tc>
          <w:tcPr>
            <w:tcW w:w="996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通过业务部门提供的具体实施方案，按照财政有关规定及财务管理制度规定制定的项目财务、会计和报帐管理制度，做到手续齐备、数字准确、账目清楚、处理及时。资金使用未超过委务会审定额度。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预算执行情况（</w:t>
            </w:r>
            <w:r>
              <w:rPr>
                <w:rFonts w:hint="default" w:ascii="Times New Roman" w:hAnsi="Times New Roman" w:eastAsia="宋体" w:cs="Times New Roman"/>
                <w:i w:val="0"/>
                <w:iCs w:val="0"/>
                <w:color w:val="000000"/>
                <w:kern w:val="0"/>
                <w:sz w:val="10"/>
                <w:szCs w:val="10"/>
                <w:u w:val="none"/>
                <w:lang w:val="en-US" w:eastAsia="zh-CN" w:bidi="ar"/>
              </w:rPr>
              <w:t>10</w:t>
            </w:r>
            <w:r>
              <w:rPr>
                <w:rFonts w:ascii="方正公文仿宋" w:hAnsi="方正公文仿宋" w:eastAsia="方正公文仿宋" w:cs="方正公文仿宋"/>
                <w:i w:val="0"/>
                <w:iCs w:val="0"/>
                <w:color w:val="000000"/>
                <w:kern w:val="0"/>
                <w:sz w:val="10"/>
                <w:szCs w:val="10"/>
                <w:u w:val="none"/>
                <w:lang w:val="en-US" w:eastAsia="zh-CN" w:bidi="ar"/>
              </w:rPr>
              <w:t>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年初预算</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调整后预算数</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预算执行数</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得分</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15.00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15.00</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15.00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iCs/>
                <w:color w:val="000000"/>
                <w:sz w:val="10"/>
                <w:szCs w:val="10"/>
                <w:u w:val="none"/>
              </w:rPr>
            </w:pPr>
            <w:r>
              <w:rPr>
                <w:rFonts w:hint="default" w:ascii="Times New Roman" w:hAnsi="Times New Roman" w:eastAsia="宋体" w:cs="Times New Roman"/>
                <w:i/>
                <w:iCs/>
                <w:color w:val="000000"/>
                <w:kern w:val="0"/>
                <w:sz w:val="10"/>
                <w:szCs w:val="1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15.00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15.00</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15.00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绩效指标（</w:t>
            </w:r>
            <w:r>
              <w:rPr>
                <w:rFonts w:hint="default" w:ascii="Times New Roman" w:hAnsi="Times New Roman" w:eastAsia="宋体" w:cs="Times New Roman"/>
                <w:i w:val="0"/>
                <w:iCs w:val="0"/>
                <w:color w:val="000000"/>
                <w:kern w:val="0"/>
                <w:sz w:val="10"/>
                <w:szCs w:val="10"/>
                <w:u w:val="none"/>
                <w:lang w:val="en-US" w:eastAsia="zh-CN" w:bidi="ar"/>
              </w:rPr>
              <w:t>90</w:t>
            </w:r>
            <w:r>
              <w:rPr>
                <w:rFonts w:ascii="方正公文仿宋" w:hAnsi="方正公文仿宋" w:eastAsia="方正公文仿宋" w:cs="方正公文仿宋"/>
                <w:i w:val="0"/>
                <w:iCs w:val="0"/>
                <w:color w:val="000000"/>
                <w:kern w:val="0"/>
                <w:sz w:val="10"/>
                <w:szCs w:val="10"/>
                <w:u w:val="none"/>
                <w:lang w:val="en-US" w:eastAsia="zh-CN" w:bidi="ar"/>
              </w:rPr>
              <w:t>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二级指标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三级指标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指标性质</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指标值</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度量单位</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得分</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产出指标</w:t>
            </w: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数量指标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开展政法系统培训次数</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6</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次</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6</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项目完成率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95</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质量指标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培训出勤率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95</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时效指标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项目完成时间</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定性</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2024</w:t>
            </w:r>
            <w:r>
              <w:rPr>
                <w:rFonts w:ascii="方正公文仿宋" w:hAnsi="方正公文仿宋" w:eastAsia="方正公文仿宋" w:cs="方正公文仿宋"/>
                <w:i w:val="0"/>
                <w:iCs w:val="0"/>
                <w:color w:val="000000"/>
                <w:kern w:val="0"/>
                <w:sz w:val="10"/>
                <w:szCs w:val="10"/>
                <w:u w:val="none"/>
                <w:lang w:val="en-US" w:eastAsia="zh-CN" w:bidi="ar"/>
              </w:rPr>
              <w:t>年</w:t>
            </w:r>
            <w:r>
              <w:rPr>
                <w:rFonts w:hint="default" w:ascii="Times New Roman" w:hAnsi="Times New Roman" w:eastAsia="宋体" w:cs="Times New Roman"/>
                <w:i w:val="0"/>
                <w:iCs w:val="0"/>
                <w:color w:val="000000"/>
                <w:kern w:val="0"/>
                <w:sz w:val="10"/>
                <w:szCs w:val="10"/>
                <w:u w:val="none"/>
                <w:lang w:val="en-US" w:eastAsia="zh-CN" w:bidi="ar"/>
              </w:rPr>
              <w:t>12</w:t>
            </w:r>
            <w:r>
              <w:rPr>
                <w:rFonts w:ascii="方正公文仿宋" w:hAnsi="方正公文仿宋" w:eastAsia="方正公文仿宋" w:cs="方正公文仿宋"/>
                <w:i w:val="0"/>
                <w:iCs w:val="0"/>
                <w:color w:val="000000"/>
                <w:kern w:val="0"/>
                <w:sz w:val="10"/>
                <w:szCs w:val="10"/>
                <w:u w:val="none"/>
                <w:lang w:val="en-US" w:eastAsia="zh-CN" w:bidi="ar"/>
              </w:rPr>
              <w:t>月底前完成</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2024</w:t>
            </w:r>
            <w:r>
              <w:rPr>
                <w:rFonts w:ascii="方正公文仿宋" w:hAnsi="方正公文仿宋" w:eastAsia="方正公文仿宋" w:cs="方正公文仿宋"/>
                <w:i w:val="0"/>
                <w:iCs w:val="0"/>
                <w:color w:val="000000"/>
                <w:kern w:val="0"/>
                <w:sz w:val="10"/>
                <w:szCs w:val="10"/>
                <w:u w:val="none"/>
                <w:lang w:val="en-US" w:eastAsia="zh-CN" w:bidi="ar"/>
              </w:rPr>
              <w:t>年</w:t>
            </w:r>
            <w:r>
              <w:rPr>
                <w:rFonts w:hint="default" w:ascii="Times New Roman" w:hAnsi="Times New Roman" w:eastAsia="宋体" w:cs="Times New Roman"/>
                <w:i w:val="0"/>
                <w:iCs w:val="0"/>
                <w:color w:val="000000"/>
                <w:kern w:val="0"/>
                <w:sz w:val="10"/>
                <w:szCs w:val="10"/>
                <w:u w:val="none"/>
                <w:lang w:val="en-US" w:eastAsia="zh-CN" w:bidi="ar"/>
              </w:rPr>
              <w:t>12</w:t>
            </w:r>
            <w:r>
              <w:rPr>
                <w:rFonts w:ascii="方正公文仿宋" w:hAnsi="方正公文仿宋" w:eastAsia="方正公文仿宋" w:cs="方正公文仿宋"/>
                <w:i w:val="0"/>
                <w:iCs w:val="0"/>
                <w:color w:val="000000"/>
                <w:kern w:val="0"/>
                <w:sz w:val="10"/>
                <w:szCs w:val="10"/>
                <w:u w:val="none"/>
                <w:lang w:val="en-US" w:eastAsia="zh-CN" w:bidi="ar"/>
              </w:rPr>
              <w:t>月底前完成</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每次培训时间</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天</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社会效益指标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培训考试优秀率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30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30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经济成本指标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成本控制率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056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评价结论</w:t>
            </w:r>
          </w:p>
        </w:tc>
        <w:tc>
          <w:tcPr>
            <w:tcW w:w="1201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根据项目执行情况和项目绩效情况，总得分</w:t>
            </w:r>
            <w:r>
              <w:rPr>
                <w:rFonts w:hint="default" w:ascii="Times New Roman" w:hAnsi="Times New Roman" w:eastAsia="宋体" w:cs="Times New Roman"/>
                <w:i w:val="0"/>
                <w:iCs w:val="0"/>
                <w:color w:val="000000"/>
                <w:kern w:val="0"/>
                <w:sz w:val="10"/>
                <w:szCs w:val="10"/>
                <w:u w:val="none"/>
                <w:lang w:val="en-US" w:eastAsia="zh-CN" w:bidi="ar"/>
              </w:rPr>
              <w:t>100</w:t>
            </w:r>
            <w:r>
              <w:rPr>
                <w:rFonts w:ascii="方正公文仿宋" w:hAnsi="方正公文仿宋" w:eastAsia="方正公文仿宋" w:cs="方正公文仿宋"/>
                <w:i w:val="0"/>
                <w:iCs w:val="0"/>
                <w:color w:val="000000"/>
                <w:kern w:val="0"/>
                <w:sz w:val="10"/>
                <w:szCs w:val="10"/>
                <w:u w:val="none"/>
                <w:lang w:val="en-US" w:eastAsia="zh-CN" w:bidi="ar"/>
              </w:rPr>
              <w:t>分，项目综合绩效评价为优秀。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存在问题</w:t>
            </w:r>
          </w:p>
        </w:tc>
        <w:tc>
          <w:tcPr>
            <w:tcW w:w="1201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绩效指标个数较少。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改进措施</w:t>
            </w:r>
          </w:p>
        </w:tc>
        <w:tc>
          <w:tcPr>
            <w:tcW w:w="1201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业务部门和财务部门共同合作，提升绩效指标数量和质量。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2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项目负责人：</w:t>
            </w:r>
            <w:r>
              <w:rPr>
                <w:rFonts w:hint="eastAsia" w:ascii="方正公文仿宋" w:hAnsi="方正公文仿宋" w:eastAsia="方正公文仿宋" w:cs="方正公文仿宋"/>
                <w:i w:val="0"/>
                <w:iCs w:val="0"/>
                <w:color w:val="000000"/>
                <w:kern w:val="0"/>
                <w:sz w:val="10"/>
                <w:szCs w:val="10"/>
                <w:u w:val="none"/>
                <w:lang w:val="en-US" w:eastAsia="zh-CN" w:bidi="ar"/>
              </w:rPr>
              <w:t>付坤鹏</w:t>
            </w:r>
          </w:p>
        </w:tc>
        <w:tc>
          <w:tcPr>
            <w:tcW w:w="541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财务负责人：</w:t>
            </w:r>
            <w:r>
              <w:rPr>
                <w:rFonts w:hint="eastAsia" w:ascii="方正公文仿宋" w:hAnsi="方正公文仿宋" w:eastAsia="方正公文仿宋" w:cs="方正公文仿宋"/>
                <w:i w:val="0"/>
                <w:iCs w:val="0"/>
                <w:color w:val="000000"/>
                <w:kern w:val="0"/>
                <w:sz w:val="10"/>
                <w:szCs w:val="10"/>
                <w:u w:val="none"/>
                <w:lang w:val="en-US" w:eastAsia="zh-CN" w:bidi="ar"/>
              </w:rPr>
              <w:t>李戎生</w:t>
            </w:r>
          </w:p>
        </w:tc>
      </w:tr>
    </w:tbl>
    <w:p>
      <w:pPr>
        <w:pStyle w:val="2"/>
        <w:keepNext w:val="0"/>
        <w:keepLines w:val="0"/>
        <w:pageBreakBefore w:val="0"/>
        <w:kinsoku/>
        <w:wordWrap/>
        <w:overflowPunct/>
        <w:topLinePunct w:val="0"/>
        <w:autoSpaceDE/>
        <w:autoSpaceDN/>
        <w:bidi w:val="0"/>
        <w:adjustRightInd/>
        <w:snapToGrid/>
        <w:spacing w:line="0" w:lineRule="atLeast"/>
        <w:rPr>
          <w:rFonts w:hint="eastAsia"/>
          <w:sz w:val="10"/>
          <w:szCs w:val="10"/>
        </w:rPr>
      </w:pPr>
    </w:p>
    <w:tbl>
      <w:tblPr>
        <w:tblStyle w:val="19"/>
        <w:tblW w:w="1269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4"/>
        <w:gridCol w:w="2046"/>
        <w:gridCol w:w="1770"/>
        <w:gridCol w:w="2257"/>
        <w:gridCol w:w="520"/>
        <w:gridCol w:w="1673"/>
        <w:gridCol w:w="520"/>
        <w:gridCol w:w="1090"/>
        <w:gridCol w:w="505"/>
        <w:gridCol w:w="486"/>
        <w:gridCol w:w="11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69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0"/>
                <w:szCs w:val="30"/>
                <w:u w:val="none"/>
              </w:rPr>
            </w:pPr>
            <w:r>
              <w:rPr>
                <w:rFonts w:ascii="方正公文小标宋" w:hAnsi="方正公文小标宋" w:eastAsia="方正公文小标宋" w:cs="方正公文小标宋"/>
                <w:b/>
                <w:bCs/>
                <w:i w:val="0"/>
                <w:iCs w:val="0"/>
                <w:color w:val="000000"/>
                <w:kern w:val="0"/>
                <w:sz w:val="30"/>
                <w:szCs w:val="30"/>
                <w:u w:val="none"/>
                <w:lang w:val="en-US" w:eastAsia="zh-CN" w:bidi="ar"/>
              </w:rPr>
              <w:t>部门预算项目支出绩效自评表（</w:t>
            </w:r>
            <w:r>
              <w:rPr>
                <w:rFonts w:hint="default" w:ascii="Times New Roman" w:hAnsi="Times New Roman" w:eastAsia="宋体" w:cs="Times New Roman"/>
                <w:b/>
                <w:bCs/>
                <w:i w:val="0"/>
                <w:iCs w:val="0"/>
                <w:color w:val="000000"/>
                <w:kern w:val="0"/>
                <w:sz w:val="30"/>
                <w:szCs w:val="30"/>
                <w:u w:val="none"/>
                <w:lang w:val="en-US" w:eastAsia="zh-CN" w:bidi="ar"/>
              </w:rPr>
              <w:t>2024</w:t>
            </w:r>
            <w:r>
              <w:rPr>
                <w:rFonts w:ascii="方正公文小标宋" w:hAnsi="方正公文小标宋" w:eastAsia="方正公文小标宋" w:cs="方正公文小标宋"/>
                <w:b/>
                <w:bCs/>
                <w:i w:val="0"/>
                <w:iCs w:val="0"/>
                <w:color w:val="000000"/>
                <w:kern w:val="0"/>
                <w:sz w:val="30"/>
                <w:szCs w:val="30"/>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项目名称</w:t>
            </w:r>
          </w:p>
        </w:tc>
        <w:tc>
          <w:tcPr>
            <w:tcW w:w="996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51320022T000000337672-</w:t>
            </w:r>
            <w:r>
              <w:rPr>
                <w:rFonts w:ascii="方正公文仿宋" w:hAnsi="方正公文仿宋" w:eastAsia="方正公文仿宋" w:cs="方正公文仿宋"/>
                <w:i w:val="0"/>
                <w:iCs w:val="0"/>
                <w:color w:val="000000"/>
                <w:kern w:val="0"/>
                <w:sz w:val="11"/>
                <w:szCs w:val="11"/>
                <w:u w:val="none"/>
                <w:lang w:val="en-US" w:eastAsia="zh-CN" w:bidi="ar"/>
              </w:rPr>
              <w:t>公务用车大修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主管部门</w:t>
            </w:r>
          </w:p>
        </w:tc>
        <w:tc>
          <w:tcPr>
            <w:tcW w:w="6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州委政法委部门</w:t>
            </w:r>
          </w:p>
        </w:tc>
        <w:tc>
          <w:tcPr>
            <w:tcW w:w="1090" w:type="dxa"/>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实施单位</w:t>
            </w:r>
            <w:r>
              <w:rPr>
                <w:rFonts w:hint="default" w:ascii="Times New Roman" w:hAnsi="Times New Roman" w:eastAsia="宋体" w:cs="Times New Roman"/>
                <w:i w:val="0"/>
                <w:iCs w:val="0"/>
                <w:color w:val="000000"/>
                <w:kern w:val="0"/>
                <w:sz w:val="11"/>
                <w:szCs w:val="11"/>
                <w:u w:val="none"/>
                <w:lang w:val="en-US" w:eastAsia="zh-CN" w:bidi="ar"/>
              </w:rPr>
              <w:t xml:space="preserve"> </w:t>
            </w:r>
            <w:r>
              <w:rPr>
                <w:rFonts w:ascii="方正公文仿宋" w:hAnsi="方正公文仿宋" w:eastAsia="方正公文仿宋" w:cs="方正公文仿宋"/>
                <w:i w:val="0"/>
                <w:iCs w:val="0"/>
                <w:color w:val="000000"/>
                <w:kern w:val="0"/>
                <w:sz w:val="11"/>
                <w:szCs w:val="11"/>
                <w:u w:val="none"/>
                <w:lang w:val="en-US" w:eastAsia="zh-CN" w:bidi="ar"/>
              </w:rPr>
              <w:t>（盖章）</w:t>
            </w:r>
          </w:p>
        </w:tc>
        <w:tc>
          <w:tcPr>
            <w:tcW w:w="21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州委政法委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项目基本情况</w:t>
            </w: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w:t>
            </w:r>
            <w:r>
              <w:rPr>
                <w:rFonts w:ascii="方正公文仿宋" w:hAnsi="方正公文仿宋" w:eastAsia="方正公文仿宋" w:cs="方正公文仿宋"/>
                <w:i w:val="0"/>
                <w:iCs w:val="0"/>
                <w:color w:val="000000"/>
                <w:kern w:val="0"/>
                <w:sz w:val="11"/>
                <w:szCs w:val="11"/>
                <w:u w:val="none"/>
                <w:lang w:val="en-US" w:eastAsia="zh-CN" w:bidi="ar"/>
              </w:rPr>
              <w:t>项目年度目标完成情况</w:t>
            </w:r>
          </w:p>
        </w:tc>
        <w:tc>
          <w:tcPr>
            <w:tcW w:w="6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项目年度目标</w:t>
            </w:r>
          </w:p>
        </w:tc>
        <w:tc>
          <w:tcPr>
            <w:tcW w:w="32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1"/>
                <w:szCs w:val="11"/>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1"/>
                <w:szCs w:val="11"/>
                <w:u w:val="none"/>
              </w:rPr>
            </w:pPr>
          </w:p>
        </w:tc>
        <w:tc>
          <w:tcPr>
            <w:tcW w:w="6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经过大修后，车辆能正常行驶并有一段时间保修期。</w:t>
            </w:r>
          </w:p>
        </w:tc>
        <w:tc>
          <w:tcPr>
            <w:tcW w:w="32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按照公务用车大修相关规定，完成了川</w:t>
            </w:r>
            <w:r>
              <w:rPr>
                <w:rFonts w:hint="default" w:ascii="Times New Roman" w:hAnsi="Times New Roman" w:eastAsia="宋体" w:cs="Times New Roman"/>
                <w:i w:val="0"/>
                <w:iCs w:val="0"/>
                <w:color w:val="000000"/>
                <w:kern w:val="0"/>
                <w:sz w:val="11"/>
                <w:szCs w:val="11"/>
                <w:u w:val="none"/>
                <w:lang w:val="en-US" w:eastAsia="zh-CN" w:bidi="ar"/>
              </w:rPr>
              <w:t>U06377</w:t>
            </w:r>
            <w:r>
              <w:rPr>
                <w:rFonts w:ascii="方正公文仿宋" w:hAnsi="方正公文仿宋" w:eastAsia="方正公文仿宋" w:cs="方正公文仿宋"/>
                <w:i w:val="0"/>
                <w:iCs w:val="0"/>
                <w:color w:val="000000"/>
                <w:kern w:val="0"/>
                <w:sz w:val="11"/>
                <w:szCs w:val="11"/>
                <w:u w:val="none"/>
                <w:lang w:val="en-US" w:eastAsia="zh-CN" w:bidi="ar"/>
              </w:rPr>
              <w:t>公务用车大修，保证了该车车况良好，确保行驶安全。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w:t>
            </w:r>
            <w:r>
              <w:rPr>
                <w:rFonts w:ascii="方正公文仿宋" w:hAnsi="方正公文仿宋" w:eastAsia="方正公文仿宋" w:cs="方正公文仿宋"/>
                <w:i w:val="0"/>
                <w:iCs w:val="0"/>
                <w:color w:val="000000"/>
                <w:kern w:val="0"/>
                <w:sz w:val="11"/>
                <w:szCs w:val="11"/>
                <w:u w:val="none"/>
                <w:lang w:val="en-US" w:eastAsia="zh-CN" w:bidi="ar"/>
              </w:rPr>
              <w:t>项目实施内容及过程概述</w:t>
            </w:r>
          </w:p>
        </w:tc>
        <w:tc>
          <w:tcPr>
            <w:tcW w:w="996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通过业务部门提供的具体实施方案，按照财政有关规定及财务管理制度规定制定的项目财务、会计和报帐管理制度，做到手续齐备、数字准确、账目清楚、处理及时。资金使用未超过委务会审定额度。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预算执行情况（</w:t>
            </w:r>
            <w:r>
              <w:rPr>
                <w:rFonts w:hint="default" w:ascii="Times New Roman" w:hAnsi="Times New Roman" w:eastAsia="宋体" w:cs="Times New Roman"/>
                <w:i w:val="0"/>
                <w:iCs w:val="0"/>
                <w:color w:val="000000"/>
                <w:kern w:val="0"/>
                <w:sz w:val="11"/>
                <w:szCs w:val="11"/>
                <w:u w:val="none"/>
                <w:lang w:val="en-US" w:eastAsia="zh-CN" w:bidi="ar"/>
              </w:rPr>
              <w:t>10</w:t>
            </w:r>
            <w:r>
              <w:rPr>
                <w:rFonts w:ascii="方正公文仿宋" w:hAnsi="方正公文仿宋" w:eastAsia="方正公文仿宋" w:cs="方正公文仿宋"/>
                <w:i w:val="0"/>
                <w:iCs w:val="0"/>
                <w:color w:val="000000"/>
                <w:kern w:val="0"/>
                <w:sz w:val="11"/>
                <w:szCs w:val="11"/>
                <w:u w:val="none"/>
                <w:lang w:val="en-US" w:eastAsia="zh-CN" w:bidi="ar"/>
              </w:rPr>
              <w:t>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年初预算</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调整后预算数</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预算执行数</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得分</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8.00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7.93</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7.93</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iCs/>
                <w:color w:val="000000"/>
                <w:sz w:val="11"/>
                <w:szCs w:val="11"/>
                <w:u w:val="none"/>
              </w:rPr>
            </w:pPr>
            <w:r>
              <w:rPr>
                <w:rFonts w:hint="default" w:ascii="Times New Roman" w:hAnsi="Times New Roman" w:eastAsia="宋体" w:cs="Times New Roman"/>
                <w:i/>
                <w:iCs/>
                <w:color w:val="000000"/>
                <w:kern w:val="0"/>
                <w:sz w:val="11"/>
                <w:szCs w:val="11"/>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8.00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7.93</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7.93</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绩效指标（</w:t>
            </w:r>
            <w:r>
              <w:rPr>
                <w:rFonts w:hint="default" w:ascii="Times New Roman" w:hAnsi="Times New Roman" w:eastAsia="宋体" w:cs="Times New Roman"/>
                <w:i w:val="0"/>
                <w:iCs w:val="0"/>
                <w:color w:val="000000"/>
                <w:kern w:val="0"/>
                <w:sz w:val="11"/>
                <w:szCs w:val="11"/>
                <w:u w:val="none"/>
                <w:lang w:val="en-US" w:eastAsia="zh-CN" w:bidi="ar"/>
              </w:rPr>
              <w:t>90</w:t>
            </w:r>
            <w:r>
              <w:rPr>
                <w:rFonts w:ascii="方正公文仿宋" w:hAnsi="方正公文仿宋" w:eastAsia="方正公文仿宋" w:cs="方正公文仿宋"/>
                <w:i w:val="0"/>
                <w:iCs w:val="0"/>
                <w:color w:val="000000"/>
                <w:kern w:val="0"/>
                <w:sz w:val="11"/>
                <w:szCs w:val="11"/>
                <w:u w:val="none"/>
                <w:lang w:val="en-US" w:eastAsia="zh-CN" w:bidi="ar"/>
              </w:rPr>
              <w:t>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二级指标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三级指标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指标性质</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指标值</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度量单位</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得分</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数量指标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维修数量</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辆</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质量指标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设备交付率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30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天</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设备完好达标率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定性</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高</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时效指标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项目完成时间</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定性</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2024</w:t>
            </w:r>
            <w:r>
              <w:rPr>
                <w:rFonts w:ascii="方正公文仿宋" w:hAnsi="方正公文仿宋" w:eastAsia="方正公文仿宋" w:cs="方正公文仿宋"/>
                <w:i w:val="0"/>
                <w:iCs w:val="0"/>
                <w:color w:val="000000"/>
                <w:kern w:val="0"/>
                <w:sz w:val="11"/>
                <w:szCs w:val="11"/>
                <w:u w:val="none"/>
                <w:lang w:val="en-US" w:eastAsia="zh-CN" w:bidi="ar"/>
              </w:rPr>
              <w:t>年</w:t>
            </w:r>
            <w:r>
              <w:rPr>
                <w:rFonts w:hint="default" w:ascii="Times New Roman" w:hAnsi="Times New Roman" w:eastAsia="宋体" w:cs="Times New Roman"/>
                <w:i w:val="0"/>
                <w:iCs w:val="0"/>
                <w:color w:val="000000"/>
                <w:kern w:val="0"/>
                <w:sz w:val="11"/>
                <w:szCs w:val="11"/>
                <w:u w:val="none"/>
                <w:lang w:val="en-US" w:eastAsia="zh-CN" w:bidi="ar"/>
              </w:rPr>
              <w:t>12</w:t>
            </w:r>
            <w:r>
              <w:rPr>
                <w:rFonts w:ascii="方正公文仿宋" w:hAnsi="方正公文仿宋" w:eastAsia="方正公文仿宋" w:cs="方正公文仿宋"/>
                <w:i w:val="0"/>
                <w:iCs w:val="0"/>
                <w:color w:val="000000"/>
                <w:kern w:val="0"/>
                <w:sz w:val="11"/>
                <w:szCs w:val="11"/>
                <w:u w:val="none"/>
                <w:lang w:val="en-US" w:eastAsia="zh-CN" w:bidi="ar"/>
              </w:rPr>
              <w:t>月底前完成</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经济效益指标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设备利用率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定性</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高</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满意度指标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使用人满意度</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95</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经济成本指标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车辆维修成本</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80000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元</w:t>
            </w:r>
            <w:r>
              <w:rPr>
                <w:rFonts w:hint="default" w:ascii="Times New Roman" w:hAnsi="Times New Roman" w:eastAsia="宋体" w:cs="Times New Roman"/>
                <w:i w:val="0"/>
                <w:iCs w:val="0"/>
                <w:color w:val="000000"/>
                <w:kern w:val="0"/>
                <w:sz w:val="11"/>
                <w:szCs w:val="11"/>
                <w:u w:val="none"/>
                <w:lang w:val="en-US" w:eastAsia="zh-CN" w:bidi="ar"/>
              </w:rPr>
              <w:t>/</w:t>
            </w:r>
            <w:r>
              <w:rPr>
                <w:rFonts w:ascii="方正公文仿宋" w:hAnsi="方正公文仿宋" w:eastAsia="方正公文仿宋" w:cs="方正公文仿宋"/>
                <w:i w:val="0"/>
                <w:iCs w:val="0"/>
                <w:color w:val="000000"/>
                <w:kern w:val="0"/>
                <w:sz w:val="11"/>
                <w:szCs w:val="11"/>
                <w:u w:val="none"/>
                <w:lang w:val="en-US" w:eastAsia="zh-CN" w:bidi="ar"/>
              </w:rPr>
              <w:t>台</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56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评价结论</w:t>
            </w:r>
          </w:p>
        </w:tc>
        <w:tc>
          <w:tcPr>
            <w:tcW w:w="1200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根据项目执行情况和项目绩效情况，总得分</w:t>
            </w:r>
            <w:r>
              <w:rPr>
                <w:rFonts w:hint="default" w:ascii="Times New Roman" w:hAnsi="Times New Roman" w:eastAsia="宋体" w:cs="Times New Roman"/>
                <w:i w:val="0"/>
                <w:iCs w:val="0"/>
                <w:color w:val="000000"/>
                <w:kern w:val="0"/>
                <w:sz w:val="11"/>
                <w:szCs w:val="11"/>
                <w:u w:val="none"/>
                <w:lang w:val="en-US" w:eastAsia="zh-CN" w:bidi="ar"/>
              </w:rPr>
              <w:t>100</w:t>
            </w:r>
            <w:r>
              <w:rPr>
                <w:rFonts w:ascii="方正公文仿宋" w:hAnsi="方正公文仿宋" w:eastAsia="方正公文仿宋" w:cs="方正公文仿宋"/>
                <w:i w:val="0"/>
                <w:iCs w:val="0"/>
                <w:color w:val="000000"/>
                <w:kern w:val="0"/>
                <w:sz w:val="11"/>
                <w:szCs w:val="11"/>
                <w:u w:val="none"/>
                <w:lang w:val="en-US" w:eastAsia="zh-CN" w:bidi="ar"/>
              </w:rPr>
              <w:t>分，项目综合绩效评价为优秀。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存在问题</w:t>
            </w:r>
          </w:p>
        </w:tc>
        <w:tc>
          <w:tcPr>
            <w:tcW w:w="1200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绩效指标个数较少。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改进措施</w:t>
            </w:r>
          </w:p>
        </w:tc>
        <w:tc>
          <w:tcPr>
            <w:tcW w:w="1200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业务部门和财务部门共同合作，提升绩效指标数量和质量。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2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项目负责人：</w:t>
            </w:r>
            <w:r>
              <w:rPr>
                <w:rFonts w:hint="eastAsia" w:ascii="方正公文仿宋" w:hAnsi="方正公文仿宋" w:eastAsia="方正公文仿宋" w:cs="方正公文仿宋"/>
                <w:i w:val="0"/>
                <w:iCs w:val="0"/>
                <w:color w:val="000000"/>
                <w:kern w:val="0"/>
                <w:sz w:val="11"/>
                <w:szCs w:val="11"/>
                <w:u w:val="none"/>
                <w:lang w:val="en-US" w:eastAsia="zh-CN" w:bidi="ar"/>
              </w:rPr>
              <w:t>靳福超</w:t>
            </w:r>
          </w:p>
        </w:tc>
        <w:tc>
          <w:tcPr>
            <w:tcW w:w="54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财务负责人：</w:t>
            </w:r>
            <w:r>
              <w:rPr>
                <w:rFonts w:hint="eastAsia" w:ascii="方正公文仿宋" w:hAnsi="方正公文仿宋" w:eastAsia="方正公文仿宋" w:cs="方正公文仿宋"/>
                <w:i w:val="0"/>
                <w:iCs w:val="0"/>
                <w:color w:val="000000"/>
                <w:kern w:val="0"/>
                <w:sz w:val="11"/>
                <w:szCs w:val="11"/>
                <w:u w:val="none"/>
                <w:lang w:val="en-US" w:eastAsia="zh-CN" w:bidi="ar"/>
              </w:rPr>
              <w:t>李戎生</w:t>
            </w:r>
          </w:p>
        </w:tc>
      </w:tr>
    </w:tbl>
    <w:p>
      <w:pPr>
        <w:keepNext w:val="0"/>
        <w:keepLines w:val="0"/>
        <w:pageBreakBefore w:val="0"/>
        <w:kinsoku/>
        <w:wordWrap/>
        <w:overflowPunct/>
        <w:topLinePunct w:val="0"/>
        <w:autoSpaceDE/>
        <w:autoSpaceDN/>
        <w:bidi w:val="0"/>
        <w:adjustRightInd/>
        <w:snapToGrid/>
        <w:spacing w:line="0" w:lineRule="atLeast"/>
        <w:rPr>
          <w:rFonts w:hint="eastAsia"/>
          <w:sz w:val="11"/>
          <w:szCs w:val="11"/>
        </w:rPr>
      </w:pPr>
    </w:p>
    <w:p>
      <w:pPr>
        <w:pStyle w:val="2"/>
        <w:rPr>
          <w:rFonts w:hint="eastAsia"/>
          <w:sz w:val="11"/>
          <w:szCs w:val="11"/>
        </w:rPr>
      </w:pPr>
    </w:p>
    <w:tbl>
      <w:tblPr>
        <w:tblStyle w:val="19"/>
        <w:tblW w:w="1270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0"/>
        <w:gridCol w:w="2002"/>
        <w:gridCol w:w="1739"/>
        <w:gridCol w:w="2211"/>
        <w:gridCol w:w="517"/>
        <w:gridCol w:w="1639"/>
        <w:gridCol w:w="756"/>
        <w:gridCol w:w="1083"/>
        <w:gridCol w:w="504"/>
        <w:gridCol w:w="486"/>
        <w:gridCol w:w="10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0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0"/>
                <w:szCs w:val="30"/>
                <w:u w:val="none"/>
              </w:rPr>
            </w:pPr>
            <w:r>
              <w:rPr>
                <w:rFonts w:ascii="方正公文小标宋" w:hAnsi="方正公文小标宋" w:eastAsia="方正公文小标宋" w:cs="方正公文小标宋"/>
                <w:b/>
                <w:bCs/>
                <w:i w:val="0"/>
                <w:iCs w:val="0"/>
                <w:color w:val="000000"/>
                <w:kern w:val="0"/>
                <w:sz w:val="30"/>
                <w:szCs w:val="30"/>
                <w:u w:val="none"/>
                <w:lang w:val="en-US" w:eastAsia="zh-CN" w:bidi="ar"/>
              </w:rPr>
              <w:t>部门预算项目支出绩效自评表（</w:t>
            </w:r>
            <w:r>
              <w:rPr>
                <w:rFonts w:hint="default" w:ascii="Times New Roman" w:hAnsi="Times New Roman" w:eastAsia="宋体" w:cs="Times New Roman"/>
                <w:b/>
                <w:bCs/>
                <w:i w:val="0"/>
                <w:iCs w:val="0"/>
                <w:color w:val="000000"/>
                <w:kern w:val="0"/>
                <w:sz w:val="30"/>
                <w:szCs w:val="30"/>
                <w:u w:val="none"/>
                <w:lang w:val="en-US" w:eastAsia="zh-CN" w:bidi="ar"/>
              </w:rPr>
              <w:t>2024</w:t>
            </w:r>
            <w:r>
              <w:rPr>
                <w:rFonts w:ascii="方正公文小标宋" w:hAnsi="方正公文小标宋" w:eastAsia="方正公文小标宋" w:cs="方正公文小标宋"/>
                <w:b/>
                <w:bCs/>
                <w:i w:val="0"/>
                <w:iCs w:val="0"/>
                <w:color w:val="000000"/>
                <w:kern w:val="0"/>
                <w:sz w:val="30"/>
                <w:szCs w:val="30"/>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项目名称</w:t>
            </w:r>
          </w:p>
        </w:tc>
        <w:tc>
          <w:tcPr>
            <w:tcW w:w="1002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51320022T000000337662-</w:t>
            </w:r>
            <w:r>
              <w:rPr>
                <w:rFonts w:ascii="方正公文仿宋" w:hAnsi="方正公文仿宋" w:eastAsia="方正公文仿宋" w:cs="方正公文仿宋"/>
                <w:i w:val="0"/>
                <w:iCs w:val="0"/>
                <w:color w:val="000000"/>
                <w:kern w:val="0"/>
                <w:sz w:val="10"/>
                <w:szCs w:val="10"/>
                <w:u w:val="none"/>
                <w:lang w:val="en-US" w:eastAsia="zh-CN" w:bidi="ar"/>
              </w:rPr>
              <w:t>政法三级网、阿坝长安网、大调解网络租赁及维护费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6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主管部门</w:t>
            </w:r>
          </w:p>
        </w:tc>
        <w:tc>
          <w:tcPr>
            <w:tcW w:w="686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州委政法委部门</w:t>
            </w:r>
          </w:p>
        </w:tc>
        <w:tc>
          <w:tcPr>
            <w:tcW w:w="1083" w:type="dxa"/>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实施单位</w:t>
            </w:r>
            <w:r>
              <w:rPr>
                <w:rFonts w:hint="default" w:ascii="Times New Roman" w:hAnsi="Times New Roman" w:eastAsia="宋体" w:cs="Times New Roman"/>
                <w:i w:val="0"/>
                <w:iCs w:val="0"/>
                <w:color w:val="000000"/>
                <w:kern w:val="0"/>
                <w:sz w:val="10"/>
                <w:szCs w:val="10"/>
                <w:u w:val="none"/>
                <w:lang w:val="en-US" w:eastAsia="zh-CN" w:bidi="ar"/>
              </w:rPr>
              <w:t xml:space="preserve"> </w:t>
            </w:r>
            <w:r>
              <w:rPr>
                <w:rFonts w:ascii="方正公文仿宋" w:hAnsi="方正公文仿宋" w:eastAsia="方正公文仿宋" w:cs="方正公文仿宋"/>
                <w:i w:val="0"/>
                <w:iCs w:val="0"/>
                <w:color w:val="000000"/>
                <w:kern w:val="0"/>
                <w:sz w:val="10"/>
                <w:szCs w:val="10"/>
                <w:u w:val="none"/>
                <w:lang w:val="en-US" w:eastAsia="zh-CN" w:bidi="ar"/>
              </w:rPr>
              <w:t>（盖章）</w:t>
            </w:r>
          </w:p>
        </w:tc>
        <w:tc>
          <w:tcPr>
            <w:tcW w:w="2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州委政法委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项目基本情况</w:t>
            </w:r>
          </w:p>
        </w:tc>
        <w:tc>
          <w:tcPr>
            <w:tcW w:w="20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w:t>
            </w:r>
            <w:r>
              <w:rPr>
                <w:rFonts w:ascii="方正公文仿宋" w:hAnsi="方正公文仿宋" w:eastAsia="方正公文仿宋" w:cs="方正公文仿宋"/>
                <w:i w:val="0"/>
                <w:iCs w:val="0"/>
                <w:color w:val="000000"/>
                <w:kern w:val="0"/>
                <w:sz w:val="10"/>
                <w:szCs w:val="10"/>
                <w:u w:val="none"/>
                <w:lang w:val="en-US" w:eastAsia="zh-CN" w:bidi="ar"/>
              </w:rPr>
              <w:t>项目年度目标完成情况</w:t>
            </w:r>
          </w:p>
        </w:tc>
        <w:tc>
          <w:tcPr>
            <w:tcW w:w="686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项目年度目标</w:t>
            </w:r>
          </w:p>
        </w:tc>
        <w:tc>
          <w:tcPr>
            <w:tcW w:w="315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20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686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网络及设备能稳定、可靠、安全、高效和不间断运行，进一步优化政法系统办公网络运行效率，提升案件处理及社会治理效能。</w:t>
            </w:r>
          </w:p>
        </w:tc>
        <w:tc>
          <w:tcPr>
            <w:tcW w:w="315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经过合同双方的努力，政法三级网、阿坝长安网、大调解网络运行正常。我委也按时支付了相关费用，项目完成良好，进一步优化了政法系统办公网络运行效率，提升案件处理及社会治理效能。。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w:t>
            </w:r>
            <w:r>
              <w:rPr>
                <w:rFonts w:ascii="方正公文仿宋" w:hAnsi="方正公文仿宋" w:eastAsia="方正公文仿宋" w:cs="方正公文仿宋"/>
                <w:i w:val="0"/>
                <w:iCs w:val="0"/>
                <w:color w:val="000000"/>
                <w:kern w:val="0"/>
                <w:sz w:val="10"/>
                <w:szCs w:val="10"/>
                <w:u w:val="none"/>
                <w:lang w:val="en-US" w:eastAsia="zh-CN" w:bidi="ar"/>
              </w:rPr>
              <w:t>项目实施内容及过程概述</w:t>
            </w:r>
          </w:p>
        </w:tc>
        <w:tc>
          <w:tcPr>
            <w:tcW w:w="1002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通过业务部门提供的具体实施方案，按照财政有关规定及财务管理制度规定制定的项目财务、会计和报帐管理制度，做到手续齐备、数字准确、账目清楚、处理及时。资金使用未超过委务会审定额度。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预算执行情况（</w:t>
            </w:r>
            <w:r>
              <w:rPr>
                <w:rFonts w:hint="default" w:ascii="Times New Roman" w:hAnsi="Times New Roman" w:eastAsia="宋体" w:cs="Times New Roman"/>
                <w:i w:val="0"/>
                <w:iCs w:val="0"/>
                <w:color w:val="000000"/>
                <w:kern w:val="0"/>
                <w:sz w:val="10"/>
                <w:szCs w:val="10"/>
                <w:u w:val="none"/>
                <w:lang w:val="en-US" w:eastAsia="zh-CN" w:bidi="ar"/>
              </w:rPr>
              <w:t>10</w:t>
            </w:r>
            <w:r>
              <w:rPr>
                <w:rFonts w:ascii="方正公文仿宋" w:hAnsi="方正公文仿宋" w:eastAsia="方正公文仿宋" w:cs="方正公文仿宋"/>
                <w:i w:val="0"/>
                <w:iCs w:val="0"/>
                <w:color w:val="000000"/>
                <w:kern w:val="0"/>
                <w:sz w:val="10"/>
                <w:szCs w:val="10"/>
                <w:u w:val="none"/>
                <w:lang w:val="en-US" w:eastAsia="zh-CN" w:bidi="ar"/>
              </w:rPr>
              <w:t>分）</w:t>
            </w: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年度预算数（万元）</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年初预算</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调整后预算数</w:t>
            </w:r>
          </w:p>
        </w:tc>
        <w:tc>
          <w:tcPr>
            <w:tcW w:w="29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预算执行数</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得分</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总额</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124.50</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121.98</w:t>
            </w:r>
          </w:p>
        </w:tc>
        <w:tc>
          <w:tcPr>
            <w:tcW w:w="29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121.98</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0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iCs/>
                <w:color w:val="000000"/>
                <w:sz w:val="10"/>
                <w:szCs w:val="10"/>
                <w:u w:val="none"/>
              </w:rPr>
            </w:pPr>
            <w:r>
              <w:rPr>
                <w:rFonts w:hint="default" w:ascii="Times New Roman" w:hAnsi="Times New Roman" w:eastAsia="宋体" w:cs="Times New Roman"/>
                <w:i/>
                <w:iCs/>
                <w:color w:val="000000"/>
                <w:kern w:val="0"/>
                <w:sz w:val="10"/>
                <w:szCs w:val="1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其中：财政资金</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124.50</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121.98</w:t>
            </w:r>
          </w:p>
        </w:tc>
        <w:tc>
          <w:tcPr>
            <w:tcW w:w="29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121.98</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财政专户管理资金</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9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单位资金</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9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其他资金</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29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绩效指标（</w:t>
            </w:r>
            <w:r>
              <w:rPr>
                <w:rFonts w:hint="default" w:ascii="Times New Roman" w:hAnsi="Times New Roman" w:eastAsia="宋体" w:cs="Times New Roman"/>
                <w:i w:val="0"/>
                <w:iCs w:val="0"/>
                <w:color w:val="000000"/>
                <w:kern w:val="0"/>
                <w:sz w:val="10"/>
                <w:szCs w:val="10"/>
                <w:u w:val="none"/>
                <w:lang w:val="en-US" w:eastAsia="zh-CN" w:bidi="ar"/>
              </w:rPr>
              <w:t>90</w:t>
            </w:r>
            <w:r>
              <w:rPr>
                <w:rFonts w:ascii="方正公文仿宋" w:hAnsi="方正公文仿宋" w:eastAsia="方正公文仿宋" w:cs="方正公文仿宋"/>
                <w:i w:val="0"/>
                <w:iCs w:val="0"/>
                <w:color w:val="000000"/>
                <w:kern w:val="0"/>
                <w:sz w:val="10"/>
                <w:szCs w:val="10"/>
                <w:u w:val="none"/>
                <w:lang w:val="en-US" w:eastAsia="zh-CN" w:bidi="ar"/>
              </w:rPr>
              <w:t>分）</w:t>
            </w: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一级指标</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二级指标</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三级指标</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指标性质</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指标值</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度量单位</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得分</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产出指标</w:t>
            </w:r>
          </w:p>
        </w:tc>
        <w:tc>
          <w:tcPr>
            <w:tcW w:w="17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数量指标</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完成专网维护</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个（台、套、件、辆）</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保障县市数</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13</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个（台、套、件、辆）</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13</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质量指标</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全部系统能正常运转</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95</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95</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运行质量</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定性</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确保</w:t>
            </w:r>
            <w:r>
              <w:rPr>
                <w:rFonts w:hint="default" w:ascii="Times New Roman" w:hAnsi="Times New Roman" w:eastAsia="宋体" w:cs="Times New Roman"/>
                <w:i w:val="0"/>
                <w:iCs w:val="0"/>
                <w:color w:val="000000"/>
                <w:kern w:val="0"/>
                <w:sz w:val="10"/>
                <w:szCs w:val="10"/>
                <w:u w:val="none"/>
                <w:lang w:val="en-US" w:eastAsia="zh-CN" w:bidi="ar"/>
              </w:rPr>
              <w:t>24</w:t>
            </w:r>
            <w:r>
              <w:rPr>
                <w:rFonts w:ascii="方正公文仿宋" w:hAnsi="方正公文仿宋" w:eastAsia="方正公文仿宋" w:cs="方正公文仿宋"/>
                <w:i w:val="0"/>
                <w:iCs w:val="0"/>
                <w:color w:val="000000"/>
                <w:kern w:val="0"/>
                <w:sz w:val="10"/>
                <w:szCs w:val="10"/>
                <w:u w:val="none"/>
                <w:lang w:val="en-US" w:eastAsia="zh-CN" w:bidi="ar"/>
              </w:rPr>
              <w:t>小时不间断运行</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确保</w:t>
            </w:r>
            <w:r>
              <w:rPr>
                <w:rFonts w:hint="default" w:ascii="Times New Roman" w:hAnsi="Times New Roman" w:eastAsia="宋体" w:cs="Times New Roman"/>
                <w:i w:val="0"/>
                <w:iCs w:val="0"/>
                <w:color w:val="000000"/>
                <w:kern w:val="0"/>
                <w:sz w:val="10"/>
                <w:szCs w:val="10"/>
                <w:u w:val="none"/>
                <w:lang w:val="en-US" w:eastAsia="zh-CN" w:bidi="ar"/>
              </w:rPr>
              <w:t>24</w:t>
            </w:r>
            <w:r>
              <w:rPr>
                <w:rFonts w:ascii="方正公文仿宋" w:hAnsi="方正公文仿宋" w:eastAsia="方正公文仿宋" w:cs="方正公文仿宋"/>
                <w:i w:val="0"/>
                <w:iCs w:val="0"/>
                <w:color w:val="000000"/>
                <w:kern w:val="0"/>
                <w:sz w:val="10"/>
                <w:szCs w:val="10"/>
                <w:u w:val="none"/>
                <w:lang w:val="en-US" w:eastAsia="zh-CN" w:bidi="ar"/>
              </w:rPr>
              <w:t>小时不间断运行</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时效指标</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本年度完成</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2024</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年</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2024</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效益指标</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可持续发展指标</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对工作的影响</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定性</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对政法系统办公网络不断优化，提高效率。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对政法系统办公网络不断优化，提高效率。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满意度指标</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服务对象满意度指标</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18</w:t>
            </w:r>
            <w:r>
              <w:rPr>
                <w:rFonts w:ascii="方正公文仿宋" w:hAnsi="方正公文仿宋" w:eastAsia="方正公文仿宋" w:cs="方正公文仿宋"/>
                <w:i w:val="0"/>
                <w:iCs w:val="0"/>
                <w:color w:val="000000"/>
                <w:kern w:val="0"/>
                <w:sz w:val="10"/>
                <w:szCs w:val="10"/>
                <w:u w:val="none"/>
                <w:lang w:val="en-US" w:eastAsia="zh-CN" w:bidi="ar"/>
              </w:rPr>
              <w:t>县市对维保的满意度</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62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评价结论</w:t>
            </w:r>
          </w:p>
        </w:tc>
        <w:tc>
          <w:tcPr>
            <w:tcW w:w="1202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根据项目执行情况和项目绩效情况，总得分</w:t>
            </w:r>
            <w:r>
              <w:rPr>
                <w:rFonts w:hint="default" w:ascii="Times New Roman" w:hAnsi="Times New Roman" w:eastAsia="宋体" w:cs="Times New Roman"/>
                <w:i w:val="0"/>
                <w:iCs w:val="0"/>
                <w:color w:val="000000"/>
                <w:kern w:val="0"/>
                <w:sz w:val="10"/>
                <w:szCs w:val="10"/>
                <w:u w:val="none"/>
                <w:lang w:val="en-US" w:eastAsia="zh-CN" w:bidi="ar"/>
              </w:rPr>
              <w:t>100</w:t>
            </w:r>
            <w:r>
              <w:rPr>
                <w:rFonts w:ascii="方正公文仿宋" w:hAnsi="方正公文仿宋" w:eastAsia="方正公文仿宋" w:cs="方正公文仿宋"/>
                <w:i w:val="0"/>
                <w:iCs w:val="0"/>
                <w:color w:val="000000"/>
                <w:kern w:val="0"/>
                <w:sz w:val="10"/>
                <w:szCs w:val="10"/>
                <w:u w:val="none"/>
                <w:lang w:val="en-US" w:eastAsia="zh-CN" w:bidi="ar"/>
              </w:rPr>
              <w:t>分，项目综合绩效评价为优秀。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存在问题</w:t>
            </w:r>
          </w:p>
        </w:tc>
        <w:tc>
          <w:tcPr>
            <w:tcW w:w="1202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绩效指标个数较少。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改进措施</w:t>
            </w:r>
          </w:p>
        </w:tc>
        <w:tc>
          <w:tcPr>
            <w:tcW w:w="1202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业务部门和财务部门共同合作，提升绩效指标数量和质量。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1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项目负责人：</w:t>
            </w:r>
            <w:r>
              <w:rPr>
                <w:rFonts w:hint="eastAsia" w:ascii="方正公文仿宋" w:hAnsi="方正公文仿宋" w:eastAsia="方正公文仿宋" w:cs="方正公文仿宋"/>
                <w:i w:val="0"/>
                <w:iCs w:val="0"/>
                <w:color w:val="000000"/>
                <w:kern w:val="0"/>
                <w:sz w:val="10"/>
                <w:szCs w:val="10"/>
                <w:u w:val="none"/>
                <w:lang w:val="en-US" w:eastAsia="zh-CN" w:bidi="ar"/>
              </w:rPr>
              <w:t>靳福超</w:t>
            </w:r>
          </w:p>
        </w:tc>
        <w:tc>
          <w:tcPr>
            <w:tcW w:w="555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财务负责人：</w:t>
            </w:r>
            <w:r>
              <w:rPr>
                <w:rFonts w:hint="eastAsia" w:ascii="方正公文仿宋" w:hAnsi="方正公文仿宋" w:eastAsia="方正公文仿宋" w:cs="方正公文仿宋"/>
                <w:i w:val="0"/>
                <w:iCs w:val="0"/>
                <w:color w:val="000000"/>
                <w:kern w:val="0"/>
                <w:sz w:val="10"/>
                <w:szCs w:val="10"/>
                <w:u w:val="none"/>
                <w:lang w:val="en-US" w:eastAsia="zh-CN" w:bidi="ar"/>
              </w:rPr>
              <w:t>李戎生</w:t>
            </w:r>
          </w:p>
        </w:tc>
      </w:tr>
    </w:tbl>
    <w:p>
      <w:pPr>
        <w:rPr>
          <w:rFonts w:hint="eastAsia"/>
        </w:rPr>
      </w:pPr>
    </w:p>
    <w:tbl>
      <w:tblPr>
        <w:tblStyle w:val="19"/>
        <w:tblW w:w="1273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4"/>
        <w:gridCol w:w="2046"/>
        <w:gridCol w:w="1770"/>
        <w:gridCol w:w="2257"/>
        <w:gridCol w:w="521"/>
        <w:gridCol w:w="1672"/>
        <w:gridCol w:w="521"/>
        <w:gridCol w:w="1090"/>
        <w:gridCol w:w="505"/>
        <w:gridCol w:w="486"/>
        <w:gridCol w:w="11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3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0"/>
                <w:szCs w:val="30"/>
                <w:u w:val="none"/>
              </w:rPr>
            </w:pPr>
            <w:r>
              <w:rPr>
                <w:rFonts w:ascii="方正公文小标宋" w:hAnsi="方正公文小标宋" w:eastAsia="方正公文小标宋" w:cs="方正公文小标宋"/>
                <w:b/>
                <w:bCs/>
                <w:i w:val="0"/>
                <w:iCs w:val="0"/>
                <w:color w:val="000000"/>
                <w:kern w:val="0"/>
                <w:sz w:val="30"/>
                <w:szCs w:val="30"/>
                <w:u w:val="none"/>
                <w:lang w:val="en-US" w:eastAsia="zh-CN" w:bidi="ar"/>
              </w:rPr>
              <w:t>部门预算项目支出绩效自评表（</w:t>
            </w:r>
            <w:r>
              <w:rPr>
                <w:rFonts w:hint="default" w:ascii="Times New Roman" w:hAnsi="Times New Roman" w:eastAsia="宋体" w:cs="Times New Roman"/>
                <w:b/>
                <w:bCs/>
                <w:i w:val="0"/>
                <w:iCs w:val="0"/>
                <w:color w:val="000000"/>
                <w:kern w:val="0"/>
                <w:sz w:val="30"/>
                <w:szCs w:val="30"/>
                <w:u w:val="none"/>
                <w:lang w:val="en-US" w:eastAsia="zh-CN" w:bidi="ar"/>
              </w:rPr>
              <w:t>2024</w:t>
            </w:r>
            <w:r>
              <w:rPr>
                <w:rFonts w:ascii="方正公文小标宋" w:hAnsi="方正公文小标宋" w:eastAsia="方正公文小标宋" w:cs="方正公文小标宋"/>
                <w:b/>
                <w:bCs/>
                <w:i w:val="0"/>
                <w:iCs w:val="0"/>
                <w:color w:val="000000"/>
                <w:kern w:val="0"/>
                <w:sz w:val="30"/>
                <w:szCs w:val="30"/>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项目名称</w:t>
            </w:r>
          </w:p>
        </w:tc>
        <w:tc>
          <w:tcPr>
            <w:tcW w:w="1000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Style w:val="38"/>
                <w:rFonts w:eastAsia="宋体"/>
                <w:sz w:val="10"/>
                <w:szCs w:val="10"/>
                <w:lang w:val="en-US" w:eastAsia="zh-CN" w:bidi="ar"/>
              </w:rPr>
              <w:t>51320022T000000337655-</w:t>
            </w:r>
            <w:r>
              <w:rPr>
                <w:rFonts w:ascii="方正公文仿宋" w:hAnsi="方正公文仿宋" w:eastAsia="方正公文仿宋" w:cs="方正公文仿宋"/>
                <w:i w:val="0"/>
                <w:iCs w:val="0"/>
                <w:color w:val="000000"/>
                <w:kern w:val="0"/>
                <w:sz w:val="10"/>
                <w:szCs w:val="10"/>
                <w:u w:val="none"/>
                <w:lang w:val="en-US" w:eastAsia="zh-CN" w:bidi="ar"/>
              </w:rPr>
              <w:t>大调解工作经费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主管部门</w:t>
            </w: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州委政法委部门</w:t>
            </w:r>
          </w:p>
        </w:tc>
        <w:tc>
          <w:tcPr>
            <w:tcW w:w="1090" w:type="dxa"/>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实施单位</w:t>
            </w:r>
            <w:r>
              <w:rPr>
                <w:rStyle w:val="38"/>
                <w:rFonts w:eastAsia="宋体"/>
                <w:sz w:val="10"/>
                <w:szCs w:val="10"/>
                <w:lang w:val="en-US" w:eastAsia="zh-CN" w:bidi="ar"/>
              </w:rPr>
              <w:t xml:space="preserve"> </w:t>
            </w:r>
            <w:r>
              <w:rPr>
                <w:rFonts w:ascii="方正公文仿宋" w:hAnsi="方正公文仿宋" w:eastAsia="方正公文仿宋" w:cs="方正公文仿宋"/>
                <w:i w:val="0"/>
                <w:iCs w:val="0"/>
                <w:color w:val="000000"/>
                <w:kern w:val="0"/>
                <w:sz w:val="10"/>
                <w:szCs w:val="10"/>
                <w:u w:val="none"/>
                <w:lang w:val="en-US" w:eastAsia="zh-CN" w:bidi="ar"/>
              </w:rPr>
              <w:t>（盖章）</w:t>
            </w:r>
          </w:p>
        </w:tc>
        <w:tc>
          <w:tcPr>
            <w:tcW w:w="21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州委政法委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项目基本情况</w:t>
            </w: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Style w:val="38"/>
                <w:rFonts w:eastAsia="宋体"/>
                <w:sz w:val="10"/>
                <w:szCs w:val="10"/>
                <w:lang w:val="en-US" w:eastAsia="zh-CN" w:bidi="ar"/>
              </w:rPr>
              <w:t>1.</w:t>
            </w:r>
            <w:r>
              <w:rPr>
                <w:rFonts w:ascii="方正公文仿宋" w:hAnsi="方正公文仿宋" w:eastAsia="方正公文仿宋" w:cs="方正公文仿宋"/>
                <w:i w:val="0"/>
                <w:iCs w:val="0"/>
                <w:color w:val="000000"/>
                <w:kern w:val="0"/>
                <w:sz w:val="10"/>
                <w:szCs w:val="10"/>
                <w:u w:val="none"/>
                <w:lang w:val="en-US" w:eastAsia="zh-CN" w:bidi="ar"/>
              </w:rPr>
              <w:t>项目年度目标完成情况</w:t>
            </w: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项目年度目标</w:t>
            </w:r>
          </w:p>
        </w:tc>
        <w:tc>
          <w:tcPr>
            <w:tcW w:w="326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构建矛盾纠纷多元化解新格局，开展矛盾纠纷调解培训，推动矛盾纠纷多元化升级发展。</w:t>
            </w:r>
          </w:p>
        </w:tc>
        <w:tc>
          <w:tcPr>
            <w:tcW w:w="326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坚持和发展新时代</w:t>
            </w:r>
            <w:r>
              <w:rPr>
                <w:rStyle w:val="38"/>
                <w:rFonts w:eastAsia="宋体"/>
                <w:sz w:val="10"/>
                <w:szCs w:val="10"/>
                <w:lang w:val="en-US" w:eastAsia="zh-CN" w:bidi="ar"/>
              </w:rPr>
              <w:t>“</w:t>
            </w:r>
            <w:r>
              <w:rPr>
                <w:rFonts w:ascii="方正公文仿宋" w:hAnsi="方正公文仿宋" w:eastAsia="方正公文仿宋" w:cs="方正公文仿宋"/>
                <w:i w:val="0"/>
                <w:iCs w:val="0"/>
                <w:color w:val="000000"/>
                <w:kern w:val="0"/>
                <w:sz w:val="10"/>
                <w:szCs w:val="10"/>
                <w:u w:val="none"/>
                <w:lang w:val="en-US" w:eastAsia="zh-CN" w:bidi="ar"/>
              </w:rPr>
              <w:t>枫桥经验，加强矛盾纠纷调处化解工作，扎实推进矛盾纠纷大起底大排查大化解专项活动，积极构建新时代</w:t>
            </w:r>
            <w:r>
              <w:rPr>
                <w:rStyle w:val="38"/>
                <w:rFonts w:eastAsia="宋体"/>
                <w:sz w:val="10"/>
                <w:szCs w:val="10"/>
                <w:lang w:val="en-US" w:eastAsia="zh-CN" w:bidi="ar"/>
              </w:rPr>
              <w:t>“</w:t>
            </w:r>
            <w:r>
              <w:rPr>
                <w:rFonts w:ascii="方正公文仿宋" w:hAnsi="方正公文仿宋" w:eastAsia="方正公文仿宋" w:cs="方正公文仿宋"/>
                <w:i w:val="0"/>
                <w:iCs w:val="0"/>
                <w:color w:val="000000"/>
                <w:kern w:val="0"/>
                <w:sz w:val="10"/>
                <w:szCs w:val="10"/>
                <w:u w:val="none"/>
                <w:lang w:val="en-US" w:eastAsia="zh-CN" w:bidi="ar"/>
              </w:rPr>
              <w:t>大调解</w:t>
            </w:r>
            <w:r>
              <w:rPr>
                <w:rStyle w:val="38"/>
                <w:rFonts w:eastAsia="宋体"/>
                <w:sz w:val="10"/>
                <w:szCs w:val="10"/>
                <w:lang w:val="en-US" w:eastAsia="zh-CN" w:bidi="ar"/>
              </w:rPr>
              <w:t>”</w:t>
            </w:r>
            <w:r>
              <w:rPr>
                <w:rFonts w:ascii="方正公文仿宋" w:hAnsi="方正公文仿宋" w:eastAsia="方正公文仿宋" w:cs="方正公文仿宋"/>
                <w:i w:val="0"/>
                <w:iCs w:val="0"/>
                <w:color w:val="000000"/>
                <w:kern w:val="0"/>
                <w:sz w:val="10"/>
                <w:szCs w:val="10"/>
                <w:u w:val="none"/>
                <w:lang w:val="en-US" w:eastAsia="zh-CN" w:bidi="ar"/>
              </w:rPr>
              <w:t>格局，不断优化矛盾纠纷调解机制多元化模式，解决人民群众对纠纷化解的多样需求，有力提升了基层治理效能。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Style w:val="38"/>
                <w:rFonts w:eastAsia="宋体"/>
                <w:sz w:val="10"/>
                <w:szCs w:val="10"/>
                <w:lang w:val="en-US" w:eastAsia="zh-CN" w:bidi="ar"/>
              </w:rPr>
              <w:t>2.</w:t>
            </w:r>
            <w:r>
              <w:rPr>
                <w:rFonts w:ascii="方正公文仿宋" w:hAnsi="方正公文仿宋" w:eastAsia="方正公文仿宋" w:cs="方正公文仿宋"/>
                <w:i w:val="0"/>
                <w:iCs w:val="0"/>
                <w:color w:val="000000"/>
                <w:kern w:val="0"/>
                <w:sz w:val="10"/>
                <w:szCs w:val="10"/>
                <w:u w:val="none"/>
                <w:lang w:val="en-US" w:eastAsia="zh-CN" w:bidi="ar"/>
              </w:rPr>
              <w:t>项目实施内容及过程概述</w:t>
            </w:r>
          </w:p>
        </w:tc>
        <w:tc>
          <w:tcPr>
            <w:tcW w:w="1000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通过业务部门提供的具体实施方案，按照财政有关规定及财务管理制度规定制定的项目财务、会计和报帐管理制度，做到手续齐备、数字准确、账目清楚、处理及时。资金使用未超过委务会审定额度。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预算执行情况（</w:t>
            </w:r>
            <w:r>
              <w:rPr>
                <w:rStyle w:val="38"/>
                <w:rFonts w:eastAsia="宋体"/>
                <w:sz w:val="10"/>
                <w:szCs w:val="10"/>
                <w:lang w:val="en-US" w:eastAsia="zh-CN" w:bidi="ar"/>
              </w:rPr>
              <w:t>10</w:t>
            </w:r>
            <w:r>
              <w:rPr>
                <w:rFonts w:ascii="方正公文仿宋" w:hAnsi="方正公文仿宋" w:eastAsia="方正公文仿宋" w:cs="方正公文仿宋"/>
                <w:i w:val="0"/>
                <w:iCs w:val="0"/>
                <w:color w:val="000000"/>
                <w:kern w:val="0"/>
                <w:sz w:val="10"/>
                <w:szCs w:val="10"/>
                <w:u w:val="none"/>
                <w:lang w:val="en-US" w:eastAsia="zh-CN" w:bidi="ar"/>
              </w:rPr>
              <w:t>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年初预算</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调整后预算数</w:t>
            </w:r>
          </w:p>
        </w:tc>
        <w:tc>
          <w:tcPr>
            <w:tcW w:w="2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预算执行数</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得分</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16.10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16.10</w:t>
            </w:r>
          </w:p>
        </w:tc>
        <w:tc>
          <w:tcPr>
            <w:tcW w:w="2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16.10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iCs/>
                <w:color w:val="000000"/>
                <w:sz w:val="10"/>
                <w:szCs w:val="10"/>
                <w:u w:val="none"/>
              </w:rPr>
            </w:pPr>
            <w:r>
              <w:rPr>
                <w:rFonts w:hint="default" w:ascii="Times New Roman" w:hAnsi="Times New Roman" w:eastAsia="宋体" w:cs="Times New Roman"/>
                <w:i/>
                <w:iCs/>
                <w:color w:val="000000"/>
                <w:kern w:val="0"/>
                <w:sz w:val="10"/>
                <w:szCs w:val="1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16.10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16.10</w:t>
            </w:r>
          </w:p>
        </w:tc>
        <w:tc>
          <w:tcPr>
            <w:tcW w:w="2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16.10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2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绩效指标（</w:t>
            </w:r>
            <w:r>
              <w:rPr>
                <w:rStyle w:val="38"/>
                <w:rFonts w:eastAsia="宋体"/>
                <w:sz w:val="10"/>
                <w:szCs w:val="10"/>
                <w:lang w:val="en-US" w:eastAsia="zh-CN" w:bidi="ar"/>
              </w:rPr>
              <w:t>90</w:t>
            </w:r>
            <w:r>
              <w:rPr>
                <w:rFonts w:ascii="方正公文仿宋" w:hAnsi="方正公文仿宋" w:eastAsia="方正公文仿宋" w:cs="方正公文仿宋"/>
                <w:i w:val="0"/>
                <w:iCs w:val="0"/>
                <w:color w:val="000000"/>
                <w:kern w:val="0"/>
                <w:sz w:val="10"/>
                <w:szCs w:val="10"/>
                <w:u w:val="none"/>
                <w:lang w:val="en-US" w:eastAsia="zh-CN" w:bidi="ar"/>
              </w:rPr>
              <w:t>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二级指标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指标性质</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度量单位</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得分</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数量指标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调解矛盾件数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70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件</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70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质量指标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会议培训人数达标率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调解工作覆盖率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时效指标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调解及时性</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定性</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及时</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及时</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社会效益指标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维护社会稳定</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定性</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良好</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良好</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服务对象满意度指标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调解对象满意度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经济成本指标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成本控制率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5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评价结论</w:t>
            </w:r>
          </w:p>
        </w:tc>
        <w:tc>
          <w:tcPr>
            <w:tcW w:w="1204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根据项目执行情况和项目绩效情况，总得分</w:t>
            </w:r>
            <w:r>
              <w:rPr>
                <w:rStyle w:val="38"/>
                <w:rFonts w:eastAsia="宋体"/>
                <w:sz w:val="10"/>
                <w:szCs w:val="10"/>
                <w:lang w:val="en-US" w:eastAsia="zh-CN" w:bidi="ar"/>
              </w:rPr>
              <w:t>100</w:t>
            </w:r>
            <w:r>
              <w:rPr>
                <w:rFonts w:ascii="方正公文仿宋" w:hAnsi="方正公文仿宋" w:eastAsia="方正公文仿宋" w:cs="方正公文仿宋"/>
                <w:i w:val="0"/>
                <w:iCs w:val="0"/>
                <w:color w:val="000000"/>
                <w:kern w:val="0"/>
                <w:sz w:val="10"/>
                <w:szCs w:val="10"/>
                <w:u w:val="none"/>
                <w:lang w:val="en-US" w:eastAsia="zh-CN" w:bidi="ar"/>
              </w:rPr>
              <w:t>分，项目综合绩效评价为优秀。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存在问题</w:t>
            </w:r>
          </w:p>
        </w:tc>
        <w:tc>
          <w:tcPr>
            <w:tcW w:w="1204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绩效指标个数较少。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改进措施</w:t>
            </w:r>
          </w:p>
        </w:tc>
        <w:tc>
          <w:tcPr>
            <w:tcW w:w="1204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业务部门和财务部门共同合作，提升绩效指标数量和质量。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27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项目负责人：</w:t>
            </w:r>
            <w:r>
              <w:rPr>
                <w:rFonts w:hint="eastAsia" w:ascii="方正公文仿宋" w:hAnsi="方正公文仿宋" w:eastAsia="方正公文仿宋" w:cs="方正公文仿宋"/>
                <w:i w:val="0"/>
                <w:iCs w:val="0"/>
                <w:color w:val="000000"/>
                <w:kern w:val="0"/>
                <w:sz w:val="10"/>
                <w:szCs w:val="10"/>
                <w:u w:val="none"/>
                <w:lang w:val="en-US" w:eastAsia="zh-CN" w:bidi="ar"/>
              </w:rPr>
              <w:t>邓涛</w:t>
            </w:r>
          </w:p>
        </w:tc>
        <w:tc>
          <w:tcPr>
            <w:tcW w:w="54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财务负责人：</w:t>
            </w:r>
            <w:r>
              <w:rPr>
                <w:rFonts w:hint="eastAsia" w:ascii="方正公文仿宋" w:hAnsi="方正公文仿宋" w:eastAsia="方正公文仿宋" w:cs="方正公文仿宋"/>
                <w:i w:val="0"/>
                <w:iCs w:val="0"/>
                <w:color w:val="000000"/>
                <w:kern w:val="0"/>
                <w:sz w:val="10"/>
                <w:szCs w:val="10"/>
                <w:u w:val="none"/>
                <w:lang w:val="en-US" w:eastAsia="zh-CN" w:bidi="ar"/>
              </w:rPr>
              <w:t>李戎生</w:t>
            </w:r>
          </w:p>
        </w:tc>
      </w:tr>
    </w:tbl>
    <w:p>
      <w:pPr>
        <w:pStyle w:val="2"/>
        <w:rPr>
          <w:rFonts w:hint="eastAsia"/>
        </w:rPr>
      </w:pPr>
    </w:p>
    <w:tbl>
      <w:tblPr>
        <w:tblStyle w:val="19"/>
        <w:tblW w:w="1272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3"/>
        <w:gridCol w:w="2046"/>
        <w:gridCol w:w="1770"/>
        <w:gridCol w:w="2257"/>
        <w:gridCol w:w="521"/>
        <w:gridCol w:w="1673"/>
        <w:gridCol w:w="521"/>
        <w:gridCol w:w="1090"/>
        <w:gridCol w:w="505"/>
        <w:gridCol w:w="486"/>
        <w:gridCol w:w="11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0"/>
                <w:szCs w:val="30"/>
                <w:u w:val="none"/>
              </w:rPr>
            </w:pPr>
            <w:r>
              <w:rPr>
                <w:rFonts w:ascii="方正公文小标宋" w:hAnsi="方正公文小标宋" w:eastAsia="方正公文小标宋" w:cs="方正公文小标宋"/>
                <w:b/>
                <w:bCs/>
                <w:i w:val="0"/>
                <w:iCs w:val="0"/>
                <w:color w:val="000000"/>
                <w:kern w:val="0"/>
                <w:sz w:val="30"/>
                <w:szCs w:val="30"/>
                <w:u w:val="none"/>
                <w:lang w:val="en-US" w:eastAsia="zh-CN" w:bidi="ar"/>
              </w:rPr>
              <w:t>部门预算项目支出绩效自评表（</w:t>
            </w:r>
            <w:r>
              <w:rPr>
                <w:rFonts w:hint="default" w:ascii="Times New Roman" w:hAnsi="Times New Roman" w:eastAsia="宋体" w:cs="Times New Roman"/>
                <w:b/>
                <w:bCs/>
                <w:i w:val="0"/>
                <w:iCs w:val="0"/>
                <w:color w:val="000000"/>
                <w:kern w:val="0"/>
                <w:sz w:val="30"/>
                <w:szCs w:val="30"/>
                <w:u w:val="none"/>
                <w:lang w:val="en-US" w:eastAsia="zh-CN" w:bidi="ar"/>
              </w:rPr>
              <w:t>2024</w:t>
            </w:r>
            <w:r>
              <w:rPr>
                <w:rFonts w:ascii="方正公文小标宋" w:hAnsi="方正公文小标宋" w:eastAsia="方正公文小标宋" w:cs="方正公文小标宋"/>
                <w:b/>
                <w:bCs/>
                <w:i w:val="0"/>
                <w:iCs w:val="0"/>
                <w:color w:val="000000"/>
                <w:kern w:val="0"/>
                <w:sz w:val="30"/>
                <w:szCs w:val="30"/>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项目名称</w:t>
            </w:r>
          </w:p>
        </w:tc>
        <w:tc>
          <w:tcPr>
            <w:tcW w:w="999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51320022T000000337651-</w:t>
            </w:r>
            <w:r>
              <w:rPr>
                <w:rFonts w:ascii="方正公文仿宋" w:hAnsi="方正公文仿宋" w:eastAsia="方正公文仿宋" w:cs="方正公文仿宋"/>
                <w:i w:val="0"/>
                <w:iCs w:val="0"/>
                <w:color w:val="000000"/>
                <w:kern w:val="0"/>
                <w:sz w:val="10"/>
                <w:szCs w:val="10"/>
                <w:u w:val="none"/>
                <w:lang w:val="en-US" w:eastAsia="zh-CN" w:bidi="ar"/>
              </w:rPr>
              <w:t>法学会工作经费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主管部门</w:t>
            </w:r>
          </w:p>
        </w:tc>
        <w:tc>
          <w:tcPr>
            <w:tcW w:w="6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州委政法委部门</w:t>
            </w:r>
          </w:p>
        </w:tc>
        <w:tc>
          <w:tcPr>
            <w:tcW w:w="1090" w:type="dxa"/>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实施单位</w:t>
            </w:r>
            <w:r>
              <w:rPr>
                <w:rFonts w:hint="default" w:ascii="Times New Roman" w:hAnsi="Times New Roman" w:eastAsia="宋体" w:cs="Times New Roman"/>
                <w:i w:val="0"/>
                <w:iCs w:val="0"/>
                <w:color w:val="000000"/>
                <w:kern w:val="0"/>
                <w:sz w:val="10"/>
                <w:szCs w:val="10"/>
                <w:u w:val="none"/>
                <w:lang w:val="en-US" w:eastAsia="zh-CN" w:bidi="ar"/>
              </w:rPr>
              <w:t xml:space="preserve"> </w:t>
            </w:r>
            <w:r>
              <w:rPr>
                <w:rFonts w:ascii="方正公文仿宋" w:hAnsi="方正公文仿宋" w:eastAsia="方正公文仿宋" w:cs="方正公文仿宋"/>
                <w:i w:val="0"/>
                <w:iCs w:val="0"/>
                <w:color w:val="000000"/>
                <w:kern w:val="0"/>
                <w:sz w:val="10"/>
                <w:szCs w:val="10"/>
                <w:u w:val="none"/>
                <w:lang w:val="en-US" w:eastAsia="zh-CN" w:bidi="ar"/>
              </w:rPr>
              <w:t>（盖章）</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州委政法委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项目基本情况</w:t>
            </w: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w:t>
            </w:r>
            <w:r>
              <w:rPr>
                <w:rFonts w:ascii="方正公文仿宋" w:hAnsi="方正公文仿宋" w:eastAsia="方正公文仿宋" w:cs="方正公文仿宋"/>
                <w:i w:val="0"/>
                <w:iCs w:val="0"/>
                <w:color w:val="000000"/>
                <w:kern w:val="0"/>
                <w:sz w:val="10"/>
                <w:szCs w:val="10"/>
                <w:u w:val="none"/>
                <w:lang w:val="en-US" w:eastAsia="zh-CN" w:bidi="ar"/>
              </w:rPr>
              <w:t>项目年度目标完成情况</w:t>
            </w:r>
          </w:p>
        </w:tc>
        <w:tc>
          <w:tcPr>
            <w:tcW w:w="6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项目年度目标</w:t>
            </w:r>
          </w:p>
        </w:tc>
        <w:tc>
          <w:tcPr>
            <w:tcW w:w="32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6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针对全州群众开展习近平法治思想、反邪教警示教育、禁毒、民法典等法治宣传，进一步提升群众的法律知识和法律意识水平，利用法律武器来维护自身合法权益。</w:t>
            </w:r>
          </w:p>
        </w:tc>
        <w:tc>
          <w:tcPr>
            <w:tcW w:w="32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组织广大法学法律工作者深入开展</w:t>
            </w:r>
            <w:r>
              <w:rPr>
                <w:rFonts w:hint="default" w:ascii="Times New Roman" w:hAnsi="Times New Roman" w:eastAsia="宋体" w:cs="Times New Roman"/>
                <w:i w:val="0"/>
                <w:iCs w:val="0"/>
                <w:color w:val="000000"/>
                <w:kern w:val="0"/>
                <w:sz w:val="10"/>
                <w:szCs w:val="10"/>
                <w:u w:val="none"/>
                <w:lang w:val="en-US" w:eastAsia="zh-CN" w:bidi="ar"/>
              </w:rPr>
              <w:t>“</w:t>
            </w:r>
            <w:r>
              <w:rPr>
                <w:rFonts w:ascii="方正公文仿宋" w:hAnsi="方正公文仿宋" w:eastAsia="方正公文仿宋" w:cs="方正公文仿宋"/>
                <w:i w:val="0"/>
                <w:iCs w:val="0"/>
                <w:color w:val="000000"/>
                <w:kern w:val="0"/>
                <w:sz w:val="10"/>
                <w:szCs w:val="10"/>
                <w:u w:val="none"/>
                <w:lang w:val="en-US" w:eastAsia="zh-CN" w:bidi="ar"/>
              </w:rPr>
              <w:t>法治阿坝</w:t>
            </w:r>
            <w:r>
              <w:rPr>
                <w:rFonts w:hint="default" w:ascii="Times New Roman" w:hAnsi="Times New Roman" w:eastAsia="宋体" w:cs="Times New Roman"/>
                <w:i w:val="0"/>
                <w:iCs w:val="0"/>
                <w:color w:val="000000"/>
                <w:kern w:val="0"/>
                <w:sz w:val="10"/>
                <w:szCs w:val="10"/>
                <w:u w:val="none"/>
                <w:lang w:val="en-US" w:eastAsia="zh-CN" w:bidi="ar"/>
              </w:rPr>
              <w:t>”</w:t>
            </w:r>
            <w:r>
              <w:rPr>
                <w:rFonts w:ascii="方正公文仿宋" w:hAnsi="方正公文仿宋" w:eastAsia="方正公文仿宋" w:cs="方正公文仿宋"/>
                <w:i w:val="0"/>
                <w:iCs w:val="0"/>
                <w:color w:val="000000"/>
                <w:kern w:val="0"/>
                <w:sz w:val="10"/>
                <w:szCs w:val="10"/>
                <w:u w:val="none"/>
                <w:lang w:val="en-US" w:eastAsia="zh-CN" w:bidi="ar"/>
              </w:rPr>
              <w:t>法学研究，坚持问题导向、目标导向、结果导向，结合基层法治建设，全州公开征集</w:t>
            </w:r>
            <w:r>
              <w:rPr>
                <w:rFonts w:hint="default" w:ascii="Times New Roman" w:hAnsi="Times New Roman" w:eastAsia="宋体" w:cs="Times New Roman"/>
                <w:i w:val="0"/>
                <w:iCs w:val="0"/>
                <w:color w:val="000000"/>
                <w:kern w:val="0"/>
                <w:sz w:val="10"/>
                <w:szCs w:val="10"/>
                <w:u w:val="none"/>
                <w:lang w:val="en-US" w:eastAsia="zh-CN" w:bidi="ar"/>
              </w:rPr>
              <w:t>2024</w:t>
            </w:r>
            <w:r>
              <w:rPr>
                <w:rFonts w:ascii="方正公文仿宋" w:hAnsi="方正公文仿宋" w:eastAsia="方正公文仿宋" w:cs="方正公文仿宋"/>
                <w:i w:val="0"/>
                <w:iCs w:val="0"/>
                <w:color w:val="000000"/>
                <w:kern w:val="0"/>
                <w:sz w:val="10"/>
                <w:szCs w:val="10"/>
                <w:u w:val="none"/>
                <w:lang w:val="en-US" w:eastAsia="zh-CN" w:bidi="ar"/>
              </w:rPr>
              <w:t>年法治实践创新课题</w:t>
            </w:r>
            <w:r>
              <w:rPr>
                <w:rFonts w:hint="default" w:ascii="Times New Roman" w:hAnsi="Times New Roman" w:eastAsia="宋体" w:cs="Times New Roman"/>
                <w:i w:val="0"/>
                <w:iCs w:val="0"/>
                <w:color w:val="000000"/>
                <w:kern w:val="0"/>
                <w:sz w:val="10"/>
                <w:szCs w:val="10"/>
                <w:u w:val="none"/>
                <w:lang w:val="en-US" w:eastAsia="zh-CN" w:bidi="ar"/>
              </w:rPr>
              <w:t>28</w:t>
            </w:r>
            <w:r>
              <w:rPr>
                <w:rFonts w:ascii="方正公文仿宋" w:hAnsi="方正公文仿宋" w:eastAsia="方正公文仿宋" w:cs="方正公文仿宋"/>
                <w:i w:val="0"/>
                <w:iCs w:val="0"/>
                <w:color w:val="000000"/>
                <w:kern w:val="0"/>
                <w:sz w:val="10"/>
                <w:szCs w:val="10"/>
                <w:u w:val="none"/>
                <w:lang w:val="en-US" w:eastAsia="zh-CN" w:bidi="ar"/>
              </w:rPr>
              <w:t>个，推荐上报</w:t>
            </w:r>
            <w:r>
              <w:rPr>
                <w:rFonts w:hint="default" w:ascii="Times New Roman" w:hAnsi="Times New Roman" w:eastAsia="宋体" w:cs="Times New Roman"/>
                <w:i w:val="0"/>
                <w:iCs w:val="0"/>
                <w:color w:val="000000"/>
                <w:kern w:val="0"/>
                <w:sz w:val="10"/>
                <w:szCs w:val="10"/>
                <w:u w:val="none"/>
                <w:lang w:val="en-US" w:eastAsia="zh-CN" w:bidi="ar"/>
              </w:rPr>
              <w:t>8</w:t>
            </w:r>
            <w:r>
              <w:rPr>
                <w:rFonts w:ascii="方正公文仿宋" w:hAnsi="方正公文仿宋" w:eastAsia="方正公文仿宋" w:cs="方正公文仿宋"/>
                <w:i w:val="0"/>
                <w:iCs w:val="0"/>
                <w:color w:val="000000"/>
                <w:kern w:val="0"/>
                <w:sz w:val="10"/>
                <w:szCs w:val="10"/>
                <w:u w:val="none"/>
                <w:lang w:val="en-US" w:eastAsia="zh-CN" w:bidi="ar"/>
              </w:rPr>
              <w:t>个，法治四川课题</w:t>
            </w:r>
            <w:r>
              <w:rPr>
                <w:rFonts w:hint="default" w:ascii="Times New Roman" w:hAnsi="Times New Roman" w:eastAsia="宋体" w:cs="Times New Roman"/>
                <w:i w:val="0"/>
                <w:iCs w:val="0"/>
                <w:color w:val="000000"/>
                <w:kern w:val="0"/>
                <w:sz w:val="10"/>
                <w:szCs w:val="10"/>
                <w:u w:val="none"/>
                <w:lang w:val="en-US" w:eastAsia="zh-CN" w:bidi="ar"/>
              </w:rPr>
              <w:t>34</w:t>
            </w:r>
            <w:r>
              <w:rPr>
                <w:rFonts w:ascii="方正公文仿宋" w:hAnsi="方正公文仿宋" w:eastAsia="方正公文仿宋" w:cs="方正公文仿宋"/>
                <w:i w:val="0"/>
                <w:iCs w:val="0"/>
                <w:color w:val="000000"/>
                <w:kern w:val="0"/>
                <w:sz w:val="10"/>
                <w:szCs w:val="10"/>
                <w:u w:val="none"/>
                <w:lang w:val="en-US" w:eastAsia="zh-CN" w:bidi="ar"/>
              </w:rPr>
              <w:t>个，推荐上报</w:t>
            </w:r>
            <w:r>
              <w:rPr>
                <w:rFonts w:hint="default" w:ascii="Times New Roman" w:hAnsi="Times New Roman" w:eastAsia="宋体" w:cs="Times New Roman"/>
                <w:i w:val="0"/>
                <w:iCs w:val="0"/>
                <w:color w:val="000000"/>
                <w:kern w:val="0"/>
                <w:sz w:val="10"/>
                <w:szCs w:val="10"/>
                <w:u w:val="none"/>
                <w:lang w:val="en-US" w:eastAsia="zh-CN" w:bidi="ar"/>
              </w:rPr>
              <w:t>4</w:t>
            </w:r>
            <w:r>
              <w:rPr>
                <w:rFonts w:ascii="方正公文仿宋" w:hAnsi="方正公文仿宋" w:eastAsia="方正公文仿宋" w:cs="方正公文仿宋"/>
                <w:i w:val="0"/>
                <w:iCs w:val="0"/>
                <w:color w:val="000000"/>
                <w:kern w:val="0"/>
                <w:sz w:val="10"/>
                <w:szCs w:val="10"/>
                <w:u w:val="none"/>
                <w:lang w:val="en-US" w:eastAsia="zh-CN" w:bidi="ar"/>
              </w:rPr>
              <w:t>个，</w:t>
            </w:r>
            <w:r>
              <w:rPr>
                <w:rFonts w:hint="default" w:ascii="Times New Roman" w:hAnsi="Times New Roman" w:eastAsia="宋体" w:cs="Times New Roman"/>
                <w:i w:val="0"/>
                <w:iCs w:val="0"/>
                <w:color w:val="000000"/>
                <w:kern w:val="0"/>
                <w:sz w:val="10"/>
                <w:szCs w:val="10"/>
                <w:u w:val="none"/>
                <w:lang w:val="en-US" w:eastAsia="zh-CN" w:bidi="ar"/>
              </w:rPr>
              <w:t>“</w:t>
            </w:r>
            <w:r>
              <w:rPr>
                <w:rFonts w:ascii="方正公文仿宋" w:hAnsi="方正公文仿宋" w:eastAsia="方正公文仿宋" w:cs="方正公文仿宋"/>
                <w:i w:val="0"/>
                <w:iCs w:val="0"/>
                <w:color w:val="000000"/>
                <w:kern w:val="0"/>
                <w:sz w:val="10"/>
                <w:szCs w:val="10"/>
                <w:u w:val="none"/>
                <w:lang w:val="en-US" w:eastAsia="zh-CN" w:bidi="ar"/>
              </w:rPr>
              <w:t>法治四川</w:t>
            </w:r>
            <w:r>
              <w:rPr>
                <w:rFonts w:hint="default" w:ascii="Times New Roman" w:hAnsi="Times New Roman" w:eastAsia="宋体" w:cs="Times New Roman"/>
                <w:i w:val="0"/>
                <w:iCs w:val="0"/>
                <w:color w:val="000000"/>
                <w:kern w:val="0"/>
                <w:sz w:val="10"/>
                <w:szCs w:val="10"/>
                <w:u w:val="none"/>
                <w:lang w:val="en-US" w:eastAsia="zh-CN" w:bidi="ar"/>
              </w:rPr>
              <w:t>”</w:t>
            </w:r>
            <w:r>
              <w:rPr>
                <w:rFonts w:ascii="方正公文仿宋" w:hAnsi="方正公文仿宋" w:eastAsia="方正公文仿宋" w:cs="方正公文仿宋"/>
                <w:i w:val="0"/>
                <w:iCs w:val="0"/>
                <w:color w:val="000000"/>
                <w:kern w:val="0"/>
                <w:sz w:val="10"/>
                <w:szCs w:val="10"/>
                <w:u w:val="none"/>
                <w:lang w:val="en-US" w:eastAsia="zh-CN" w:bidi="ar"/>
              </w:rPr>
              <w:t>法学研究课题选题建议</w:t>
            </w:r>
            <w:r>
              <w:rPr>
                <w:rFonts w:hint="default" w:ascii="Times New Roman" w:hAnsi="Times New Roman" w:eastAsia="宋体" w:cs="Times New Roman"/>
                <w:i w:val="0"/>
                <w:iCs w:val="0"/>
                <w:color w:val="000000"/>
                <w:kern w:val="0"/>
                <w:sz w:val="10"/>
                <w:szCs w:val="10"/>
                <w:u w:val="none"/>
                <w:lang w:val="en-US" w:eastAsia="zh-CN" w:bidi="ar"/>
              </w:rPr>
              <w:t>10</w:t>
            </w:r>
            <w:r>
              <w:rPr>
                <w:rFonts w:ascii="方正公文仿宋" w:hAnsi="方正公文仿宋" w:eastAsia="方正公文仿宋" w:cs="方正公文仿宋"/>
                <w:i w:val="0"/>
                <w:iCs w:val="0"/>
                <w:color w:val="000000"/>
                <w:kern w:val="0"/>
                <w:sz w:val="10"/>
                <w:szCs w:val="10"/>
                <w:u w:val="none"/>
                <w:lang w:val="en-US" w:eastAsia="zh-CN" w:bidi="ar"/>
              </w:rPr>
              <w:t>个，上报</w:t>
            </w:r>
            <w:r>
              <w:rPr>
                <w:rFonts w:hint="default" w:ascii="Times New Roman" w:hAnsi="Times New Roman" w:eastAsia="宋体" w:cs="Times New Roman"/>
                <w:i w:val="0"/>
                <w:iCs w:val="0"/>
                <w:color w:val="000000"/>
                <w:kern w:val="0"/>
                <w:sz w:val="10"/>
                <w:szCs w:val="10"/>
                <w:u w:val="none"/>
                <w:lang w:val="en-US" w:eastAsia="zh-CN" w:bidi="ar"/>
              </w:rPr>
              <w:t>“</w:t>
            </w:r>
            <w:r>
              <w:rPr>
                <w:rFonts w:ascii="方正公文仿宋" w:hAnsi="方正公文仿宋" w:eastAsia="方正公文仿宋" w:cs="方正公文仿宋"/>
                <w:i w:val="0"/>
                <w:iCs w:val="0"/>
                <w:color w:val="000000"/>
                <w:kern w:val="0"/>
                <w:sz w:val="10"/>
                <w:szCs w:val="10"/>
                <w:u w:val="none"/>
                <w:lang w:val="en-US" w:eastAsia="zh-CN" w:bidi="ar"/>
              </w:rPr>
              <w:t>法治四川</w:t>
            </w:r>
            <w:r>
              <w:rPr>
                <w:rFonts w:hint="default" w:ascii="Times New Roman" w:hAnsi="Times New Roman" w:eastAsia="宋体" w:cs="Times New Roman"/>
                <w:i w:val="0"/>
                <w:iCs w:val="0"/>
                <w:color w:val="000000"/>
                <w:kern w:val="0"/>
                <w:sz w:val="10"/>
                <w:szCs w:val="10"/>
                <w:u w:val="none"/>
                <w:lang w:val="en-US" w:eastAsia="zh-CN" w:bidi="ar"/>
              </w:rPr>
              <w:t>”</w:t>
            </w:r>
            <w:r>
              <w:rPr>
                <w:rFonts w:ascii="方正公文仿宋" w:hAnsi="方正公文仿宋" w:eastAsia="方正公文仿宋" w:cs="方正公文仿宋"/>
                <w:i w:val="0"/>
                <w:iCs w:val="0"/>
                <w:color w:val="000000"/>
                <w:kern w:val="0"/>
                <w:sz w:val="10"/>
                <w:szCs w:val="10"/>
                <w:u w:val="none"/>
                <w:lang w:val="en-US" w:eastAsia="zh-CN" w:bidi="ar"/>
              </w:rPr>
              <w:t>专项课题</w:t>
            </w:r>
            <w:r>
              <w:rPr>
                <w:rFonts w:hint="default" w:ascii="Times New Roman" w:hAnsi="Times New Roman" w:eastAsia="宋体" w:cs="Times New Roman"/>
                <w:i w:val="0"/>
                <w:iCs w:val="0"/>
                <w:color w:val="000000"/>
                <w:kern w:val="0"/>
                <w:sz w:val="10"/>
                <w:szCs w:val="10"/>
                <w:u w:val="none"/>
                <w:lang w:val="en-US" w:eastAsia="zh-CN" w:bidi="ar"/>
              </w:rPr>
              <w:t>4</w:t>
            </w:r>
            <w:r>
              <w:rPr>
                <w:rFonts w:ascii="方正公文仿宋" w:hAnsi="方正公文仿宋" w:eastAsia="方正公文仿宋" w:cs="方正公文仿宋"/>
                <w:i w:val="0"/>
                <w:iCs w:val="0"/>
                <w:color w:val="000000"/>
                <w:kern w:val="0"/>
                <w:sz w:val="10"/>
                <w:szCs w:val="1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w:t>
            </w:r>
            <w:r>
              <w:rPr>
                <w:rFonts w:ascii="方正公文仿宋" w:hAnsi="方正公文仿宋" w:eastAsia="方正公文仿宋" w:cs="方正公文仿宋"/>
                <w:i w:val="0"/>
                <w:iCs w:val="0"/>
                <w:color w:val="000000"/>
                <w:kern w:val="0"/>
                <w:sz w:val="10"/>
                <w:szCs w:val="10"/>
                <w:u w:val="none"/>
                <w:lang w:val="en-US" w:eastAsia="zh-CN" w:bidi="ar"/>
              </w:rPr>
              <w:t>项目实施内容及过程概述</w:t>
            </w:r>
          </w:p>
        </w:tc>
        <w:tc>
          <w:tcPr>
            <w:tcW w:w="999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通过业务部门提供的具体实施方案，按照财政有关规定及财务管理制度规定制定的项目财务、会计和报帐管理制度，做到手续齐备、数字准确、账目清楚、处理及时。资金使用未超过委务会审定额度。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预算执行情况（</w:t>
            </w:r>
            <w:r>
              <w:rPr>
                <w:rFonts w:hint="default" w:ascii="Times New Roman" w:hAnsi="Times New Roman" w:eastAsia="宋体" w:cs="Times New Roman"/>
                <w:i w:val="0"/>
                <w:iCs w:val="0"/>
                <w:color w:val="000000"/>
                <w:kern w:val="0"/>
                <w:sz w:val="10"/>
                <w:szCs w:val="10"/>
                <w:u w:val="none"/>
                <w:lang w:val="en-US" w:eastAsia="zh-CN" w:bidi="ar"/>
              </w:rPr>
              <w:t>10</w:t>
            </w:r>
            <w:r>
              <w:rPr>
                <w:rFonts w:ascii="方正公文仿宋" w:hAnsi="方正公文仿宋" w:eastAsia="方正公文仿宋" w:cs="方正公文仿宋"/>
                <w:i w:val="0"/>
                <w:iCs w:val="0"/>
                <w:color w:val="000000"/>
                <w:kern w:val="0"/>
                <w:sz w:val="10"/>
                <w:szCs w:val="10"/>
                <w:u w:val="none"/>
                <w:lang w:val="en-US" w:eastAsia="zh-CN" w:bidi="ar"/>
              </w:rPr>
              <w:t>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年初预算</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调整后预算数</w:t>
            </w:r>
          </w:p>
        </w:tc>
        <w:tc>
          <w:tcPr>
            <w:tcW w:w="27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预算执行数</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得分</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2.10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2.10</w:t>
            </w:r>
          </w:p>
        </w:tc>
        <w:tc>
          <w:tcPr>
            <w:tcW w:w="27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2.10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iCs/>
                <w:color w:val="000000"/>
                <w:sz w:val="10"/>
                <w:szCs w:val="10"/>
                <w:u w:val="none"/>
              </w:rPr>
            </w:pPr>
            <w:r>
              <w:rPr>
                <w:rFonts w:hint="default" w:ascii="Times New Roman" w:hAnsi="Times New Roman" w:eastAsia="宋体" w:cs="Times New Roman"/>
                <w:i/>
                <w:iCs/>
                <w:color w:val="000000"/>
                <w:kern w:val="0"/>
                <w:sz w:val="10"/>
                <w:szCs w:val="1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2.10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2.10</w:t>
            </w:r>
          </w:p>
        </w:tc>
        <w:tc>
          <w:tcPr>
            <w:tcW w:w="27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2.10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7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7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27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绩效指标（</w:t>
            </w:r>
            <w:r>
              <w:rPr>
                <w:rFonts w:hint="default" w:ascii="Times New Roman" w:hAnsi="Times New Roman" w:eastAsia="宋体" w:cs="Times New Roman"/>
                <w:i w:val="0"/>
                <w:iCs w:val="0"/>
                <w:color w:val="000000"/>
                <w:kern w:val="0"/>
                <w:sz w:val="10"/>
                <w:szCs w:val="10"/>
                <w:u w:val="none"/>
                <w:lang w:val="en-US" w:eastAsia="zh-CN" w:bidi="ar"/>
              </w:rPr>
              <w:t>90</w:t>
            </w:r>
            <w:r>
              <w:rPr>
                <w:rFonts w:ascii="方正公文仿宋" w:hAnsi="方正公文仿宋" w:eastAsia="方正公文仿宋" w:cs="方正公文仿宋"/>
                <w:i w:val="0"/>
                <w:iCs w:val="0"/>
                <w:color w:val="000000"/>
                <w:kern w:val="0"/>
                <w:sz w:val="10"/>
                <w:szCs w:val="10"/>
                <w:u w:val="none"/>
                <w:lang w:val="en-US" w:eastAsia="zh-CN" w:bidi="ar"/>
              </w:rPr>
              <w:t>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二级指标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指标性质</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度量单位</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得分</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产出指标</w:t>
            </w: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数量指标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开展法治教育等宣传活动</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6</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次</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6</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项目完成率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质量指标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会议培训人数达标率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预算编制准确率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时效指标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项目完成时间</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定性</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2024</w:t>
            </w:r>
            <w:r>
              <w:rPr>
                <w:rFonts w:ascii="方正公文仿宋" w:hAnsi="方正公文仿宋" w:eastAsia="方正公文仿宋" w:cs="方正公文仿宋"/>
                <w:i w:val="0"/>
                <w:iCs w:val="0"/>
                <w:color w:val="000000"/>
                <w:kern w:val="0"/>
                <w:sz w:val="10"/>
                <w:szCs w:val="10"/>
                <w:u w:val="none"/>
                <w:lang w:val="en-US" w:eastAsia="zh-CN" w:bidi="ar"/>
              </w:rPr>
              <w:t>年</w:t>
            </w:r>
            <w:r>
              <w:rPr>
                <w:rFonts w:hint="default" w:ascii="Times New Roman" w:hAnsi="Times New Roman" w:eastAsia="宋体" w:cs="Times New Roman"/>
                <w:i w:val="0"/>
                <w:iCs w:val="0"/>
                <w:color w:val="000000"/>
                <w:kern w:val="0"/>
                <w:sz w:val="10"/>
                <w:szCs w:val="10"/>
                <w:u w:val="none"/>
                <w:lang w:val="en-US" w:eastAsia="zh-CN" w:bidi="ar"/>
              </w:rPr>
              <w:t>12</w:t>
            </w:r>
            <w:r>
              <w:rPr>
                <w:rFonts w:ascii="方正公文仿宋" w:hAnsi="方正公文仿宋" w:eastAsia="方正公文仿宋" w:cs="方正公文仿宋"/>
                <w:i w:val="0"/>
                <w:iCs w:val="0"/>
                <w:color w:val="000000"/>
                <w:kern w:val="0"/>
                <w:sz w:val="10"/>
                <w:szCs w:val="10"/>
                <w:u w:val="none"/>
                <w:lang w:val="en-US" w:eastAsia="zh-CN" w:bidi="ar"/>
              </w:rPr>
              <w:t>月底前完成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2024</w:t>
            </w:r>
            <w:r>
              <w:rPr>
                <w:rFonts w:ascii="方正公文仿宋" w:hAnsi="方正公文仿宋" w:eastAsia="方正公文仿宋" w:cs="方正公文仿宋"/>
                <w:i w:val="0"/>
                <w:iCs w:val="0"/>
                <w:color w:val="000000"/>
                <w:kern w:val="0"/>
                <w:sz w:val="10"/>
                <w:szCs w:val="10"/>
                <w:u w:val="none"/>
                <w:lang w:val="en-US" w:eastAsia="zh-CN" w:bidi="ar"/>
              </w:rPr>
              <w:t>年</w:t>
            </w:r>
            <w:r>
              <w:rPr>
                <w:rFonts w:hint="default" w:ascii="Times New Roman" w:hAnsi="Times New Roman" w:eastAsia="宋体" w:cs="Times New Roman"/>
                <w:i w:val="0"/>
                <w:iCs w:val="0"/>
                <w:color w:val="000000"/>
                <w:kern w:val="0"/>
                <w:sz w:val="10"/>
                <w:szCs w:val="10"/>
                <w:u w:val="none"/>
                <w:lang w:val="en-US" w:eastAsia="zh-CN" w:bidi="ar"/>
              </w:rPr>
              <w:t>12</w:t>
            </w:r>
            <w:r>
              <w:rPr>
                <w:rFonts w:ascii="方正公文仿宋" w:hAnsi="方正公文仿宋" w:eastAsia="方正公文仿宋" w:cs="方正公文仿宋"/>
                <w:i w:val="0"/>
                <w:iCs w:val="0"/>
                <w:color w:val="000000"/>
                <w:kern w:val="0"/>
                <w:sz w:val="10"/>
                <w:szCs w:val="10"/>
                <w:u w:val="none"/>
                <w:lang w:val="en-US" w:eastAsia="zh-CN" w:bidi="ar"/>
              </w:rPr>
              <w:t>月底前完成</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社会效益指标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提升人员法制知识储备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定性</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有效提升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有效提升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经济成本指标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成本控制率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5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评价结论</w:t>
            </w:r>
          </w:p>
        </w:tc>
        <w:tc>
          <w:tcPr>
            <w:tcW w:w="1203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根据项目执行情况和项目绩效情况，总得分</w:t>
            </w:r>
            <w:r>
              <w:rPr>
                <w:rFonts w:hint="default" w:ascii="Times New Roman" w:hAnsi="Times New Roman" w:eastAsia="宋体" w:cs="Times New Roman"/>
                <w:i w:val="0"/>
                <w:iCs w:val="0"/>
                <w:color w:val="000000"/>
                <w:kern w:val="0"/>
                <w:sz w:val="10"/>
                <w:szCs w:val="10"/>
                <w:u w:val="none"/>
                <w:lang w:val="en-US" w:eastAsia="zh-CN" w:bidi="ar"/>
              </w:rPr>
              <w:t>100</w:t>
            </w:r>
            <w:r>
              <w:rPr>
                <w:rFonts w:ascii="方正公文仿宋" w:hAnsi="方正公文仿宋" w:eastAsia="方正公文仿宋" w:cs="方正公文仿宋"/>
                <w:i w:val="0"/>
                <w:iCs w:val="0"/>
                <w:color w:val="000000"/>
                <w:kern w:val="0"/>
                <w:sz w:val="10"/>
                <w:szCs w:val="10"/>
                <w:u w:val="none"/>
                <w:lang w:val="en-US" w:eastAsia="zh-CN" w:bidi="ar"/>
              </w:rPr>
              <w:t>分，项目综合绩效评价为优秀。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存在问题</w:t>
            </w:r>
          </w:p>
        </w:tc>
        <w:tc>
          <w:tcPr>
            <w:tcW w:w="1203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绩效指标个数较少。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改进措施</w:t>
            </w:r>
          </w:p>
        </w:tc>
        <w:tc>
          <w:tcPr>
            <w:tcW w:w="1203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业务部门和财务部门共同合作，提升绩效指标数量和质量。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2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ascii="simhei" w:hAnsi="simhei" w:eastAsia="simhei" w:cs="simhei"/>
                <w:i w:val="0"/>
                <w:iCs w:val="0"/>
                <w:color w:val="000000"/>
                <w:sz w:val="10"/>
                <w:szCs w:val="10"/>
                <w:u w:val="none"/>
              </w:rPr>
            </w:pPr>
            <w:r>
              <w:rPr>
                <w:rFonts w:hint="default" w:ascii="simhei" w:hAnsi="simhei" w:eastAsia="simhei" w:cs="simhei"/>
                <w:i w:val="0"/>
                <w:iCs w:val="0"/>
                <w:color w:val="000000"/>
                <w:kern w:val="0"/>
                <w:sz w:val="10"/>
                <w:szCs w:val="10"/>
                <w:u w:val="none"/>
                <w:lang w:val="en-US" w:eastAsia="zh-CN" w:bidi="ar"/>
              </w:rPr>
              <w:t>项目负责人：</w:t>
            </w:r>
            <w:r>
              <w:rPr>
                <w:rFonts w:hint="eastAsia" w:ascii="simhei" w:hAnsi="simhei" w:eastAsia="simhei" w:cs="simhei"/>
                <w:i w:val="0"/>
                <w:iCs w:val="0"/>
                <w:color w:val="000000"/>
                <w:kern w:val="0"/>
                <w:sz w:val="10"/>
                <w:szCs w:val="10"/>
                <w:u w:val="none"/>
                <w:lang w:val="en-US" w:eastAsia="zh-CN" w:bidi="ar"/>
              </w:rPr>
              <w:t>靳福超</w:t>
            </w:r>
          </w:p>
        </w:tc>
        <w:tc>
          <w:tcPr>
            <w:tcW w:w="544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simhei" w:hAnsi="simhei" w:eastAsia="simhei" w:cs="simhei"/>
                <w:i w:val="0"/>
                <w:iCs w:val="0"/>
                <w:color w:val="000000"/>
                <w:sz w:val="10"/>
                <w:szCs w:val="10"/>
                <w:u w:val="none"/>
              </w:rPr>
            </w:pPr>
            <w:r>
              <w:rPr>
                <w:rFonts w:hint="default" w:ascii="simhei" w:hAnsi="simhei" w:eastAsia="simhei" w:cs="simhei"/>
                <w:i w:val="0"/>
                <w:iCs w:val="0"/>
                <w:color w:val="000000"/>
                <w:kern w:val="0"/>
                <w:sz w:val="10"/>
                <w:szCs w:val="10"/>
                <w:u w:val="none"/>
                <w:lang w:val="en-US" w:eastAsia="zh-CN" w:bidi="ar"/>
              </w:rPr>
              <w:t>财务负责人：</w:t>
            </w:r>
            <w:r>
              <w:rPr>
                <w:rFonts w:hint="eastAsia" w:ascii="simhei" w:hAnsi="simhei" w:eastAsia="simhei" w:cs="simhei"/>
                <w:i w:val="0"/>
                <w:iCs w:val="0"/>
                <w:color w:val="000000"/>
                <w:kern w:val="0"/>
                <w:sz w:val="10"/>
                <w:szCs w:val="10"/>
                <w:u w:val="none"/>
                <w:lang w:val="en-US" w:eastAsia="zh-CN" w:bidi="ar"/>
              </w:rPr>
              <w:t>李戎生</w:t>
            </w:r>
          </w:p>
        </w:tc>
      </w:tr>
    </w:tbl>
    <w:p>
      <w:pPr>
        <w:rPr>
          <w:rFonts w:hint="eastAsia"/>
        </w:rPr>
      </w:pPr>
    </w:p>
    <w:tbl>
      <w:tblPr>
        <w:tblStyle w:val="19"/>
        <w:tblW w:w="1272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4"/>
        <w:gridCol w:w="2046"/>
        <w:gridCol w:w="1770"/>
        <w:gridCol w:w="2257"/>
        <w:gridCol w:w="520"/>
        <w:gridCol w:w="1673"/>
        <w:gridCol w:w="520"/>
        <w:gridCol w:w="1090"/>
        <w:gridCol w:w="505"/>
        <w:gridCol w:w="486"/>
        <w:gridCol w:w="11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0"/>
                <w:szCs w:val="30"/>
                <w:u w:val="none"/>
              </w:rPr>
            </w:pPr>
            <w:r>
              <w:rPr>
                <w:rFonts w:ascii="方正公文小标宋" w:hAnsi="方正公文小标宋" w:eastAsia="方正公文小标宋" w:cs="方正公文小标宋"/>
                <w:b/>
                <w:bCs/>
                <w:i w:val="0"/>
                <w:iCs w:val="0"/>
                <w:color w:val="000000"/>
                <w:kern w:val="0"/>
                <w:sz w:val="30"/>
                <w:szCs w:val="30"/>
                <w:u w:val="none"/>
                <w:lang w:val="en-US" w:eastAsia="zh-CN" w:bidi="ar"/>
              </w:rPr>
              <w:t>部门预算项目支出绩效自评表（</w:t>
            </w:r>
            <w:r>
              <w:rPr>
                <w:rFonts w:hint="default" w:ascii="Times New Roman" w:hAnsi="Times New Roman" w:eastAsia="宋体" w:cs="Times New Roman"/>
                <w:b/>
                <w:bCs/>
                <w:i w:val="0"/>
                <w:iCs w:val="0"/>
                <w:color w:val="000000"/>
                <w:kern w:val="0"/>
                <w:sz w:val="30"/>
                <w:szCs w:val="30"/>
                <w:u w:val="none"/>
                <w:lang w:val="en-US" w:eastAsia="zh-CN" w:bidi="ar"/>
              </w:rPr>
              <w:t>2024</w:t>
            </w:r>
            <w:r>
              <w:rPr>
                <w:rFonts w:ascii="方正公文小标宋" w:hAnsi="方正公文小标宋" w:eastAsia="方正公文小标宋" w:cs="方正公文小标宋"/>
                <w:b/>
                <w:bCs/>
                <w:i w:val="0"/>
                <w:iCs w:val="0"/>
                <w:color w:val="000000"/>
                <w:kern w:val="0"/>
                <w:sz w:val="30"/>
                <w:szCs w:val="30"/>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项目名称</w:t>
            </w:r>
          </w:p>
        </w:tc>
        <w:tc>
          <w:tcPr>
            <w:tcW w:w="999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51320022T000000337639-</w:t>
            </w:r>
            <w:r>
              <w:rPr>
                <w:rFonts w:ascii="方正公文仿宋" w:hAnsi="方正公文仿宋" w:eastAsia="方正公文仿宋" w:cs="方正公文仿宋"/>
                <w:i w:val="0"/>
                <w:iCs w:val="0"/>
                <w:color w:val="000000"/>
                <w:kern w:val="0"/>
                <w:sz w:val="11"/>
                <w:szCs w:val="11"/>
                <w:u w:val="none"/>
                <w:lang w:val="en-US" w:eastAsia="zh-CN" w:bidi="ar"/>
              </w:rPr>
              <w:t>见义勇为专项经费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主管部门</w:t>
            </w:r>
          </w:p>
        </w:tc>
        <w:tc>
          <w:tcPr>
            <w:tcW w:w="6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州委政法委部门</w:t>
            </w:r>
          </w:p>
        </w:tc>
        <w:tc>
          <w:tcPr>
            <w:tcW w:w="1090" w:type="dxa"/>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实施单位</w:t>
            </w:r>
            <w:r>
              <w:rPr>
                <w:rFonts w:hint="default" w:ascii="Times New Roman" w:hAnsi="Times New Roman" w:eastAsia="宋体" w:cs="Times New Roman"/>
                <w:i w:val="0"/>
                <w:iCs w:val="0"/>
                <w:color w:val="000000"/>
                <w:kern w:val="0"/>
                <w:sz w:val="11"/>
                <w:szCs w:val="11"/>
                <w:u w:val="none"/>
                <w:lang w:val="en-US" w:eastAsia="zh-CN" w:bidi="ar"/>
              </w:rPr>
              <w:t xml:space="preserve"> </w:t>
            </w:r>
            <w:r>
              <w:rPr>
                <w:rFonts w:ascii="方正公文仿宋" w:hAnsi="方正公文仿宋" w:eastAsia="方正公文仿宋" w:cs="方正公文仿宋"/>
                <w:i w:val="0"/>
                <w:iCs w:val="0"/>
                <w:color w:val="000000"/>
                <w:kern w:val="0"/>
                <w:sz w:val="11"/>
                <w:szCs w:val="11"/>
                <w:u w:val="none"/>
                <w:lang w:val="en-US" w:eastAsia="zh-CN" w:bidi="ar"/>
              </w:rPr>
              <w:t>（盖章）</w:t>
            </w:r>
          </w:p>
        </w:tc>
        <w:tc>
          <w:tcPr>
            <w:tcW w:w="21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州委政法委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项目基本情况</w:t>
            </w: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w:t>
            </w:r>
            <w:r>
              <w:rPr>
                <w:rFonts w:ascii="方正公文仿宋" w:hAnsi="方正公文仿宋" w:eastAsia="方正公文仿宋" w:cs="方正公文仿宋"/>
                <w:i w:val="0"/>
                <w:iCs w:val="0"/>
                <w:color w:val="000000"/>
                <w:kern w:val="0"/>
                <w:sz w:val="11"/>
                <w:szCs w:val="11"/>
                <w:u w:val="none"/>
                <w:lang w:val="en-US" w:eastAsia="zh-CN" w:bidi="ar"/>
              </w:rPr>
              <w:t>项目年度目标完成情况</w:t>
            </w:r>
          </w:p>
        </w:tc>
        <w:tc>
          <w:tcPr>
            <w:tcW w:w="6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项目年度目标</w:t>
            </w:r>
          </w:p>
        </w:tc>
        <w:tc>
          <w:tcPr>
            <w:tcW w:w="325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1"/>
                <w:szCs w:val="11"/>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1"/>
                <w:szCs w:val="11"/>
                <w:u w:val="none"/>
              </w:rPr>
            </w:pPr>
          </w:p>
        </w:tc>
        <w:tc>
          <w:tcPr>
            <w:tcW w:w="6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按照《四川省保护和奖励见义勇为条例》和中央、省、州关于见义勇为工作的系列部署，一是表彰本年度见义勇为勇士；二是严格落实《见义勇为条例》相关规定和省州关爱保障政策，定期摸排核实见义勇为家庭情况，及时协调解决相关困难和问题。三是对见义勇为人员和家属开展常态化的走访慰问和即时慰问。通过表彰活动，进一步弘扬社会正气，营造良好社会风尚。</w:t>
            </w:r>
          </w:p>
        </w:tc>
        <w:tc>
          <w:tcPr>
            <w:tcW w:w="325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2024</w:t>
            </w:r>
            <w:r>
              <w:rPr>
                <w:rFonts w:ascii="方正公文仿宋" w:hAnsi="方正公文仿宋" w:eastAsia="方正公文仿宋" w:cs="方正公文仿宋"/>
                <w:i w:val="0"/>
                <w:iCs w:val="0"/>
                <w:color w:val="000000"/>
                <w:kern w:val="0"/>
                <w:sz w:val="11"/>
                <w:szCs w:val="11"/>
                <w:u w:val="none"/>
                <w:lang w:val="en-US" w:eastAsia="zh-CN" w:bidi="ar"/>
              </w:rPr>
              <w:t>年见义勇为支付</w:t>
            </w:r>
            <w:r>
              <w:rPr>
                <w:rFonts w:hint="default" w:ascii="Times New Roman" w:hAnsi="Times New Roman" w:eastAsia="宋体" w:cs="Times New Roman"/>
                <w:i w:val="0"/>
                <w:iCs w:val="0"/>
                <w:color w:val="000000"/>
                <w:kern w:val="0"/>
                <w:sz w:val="11"/>
                <w:szCs w:val="11"/>
                <w:u w:val="none"/>
                <w:lang w:val="en-US" w:eastAsia="zh-CN" w:bidi="ar"/>
              </w:rPr>
              <w:t>2</w:t>
            </w:r>
            <w:r>
              <w:rPr>
                <w:rFonts w:ascii="方正公文仿宋" w:hAnsi="方正公文仿宋" w:eastAsia="方正公文仿宋" w:cs="方正公文仿宋"/>
                <w:i w:val="0"/>
                <w:iCs w:val="0"/>
                <w:color w:val="000000"/>
                <w:kern w:val="0"/>
                <w:sz w:val="11"/>
                <w:szCs w:val="11"/>
                <w:u w:val="none"/>
                <w:lang w:val="en-US" w:eastAsia="zh-CN" w:bidi="ar"/>
              </w:rPr>
              <w:t>名州级</w:t>
            </w:r>
            <w:r>
              <w:rPr>
                <w:rFonts w:hint="default" w:ascii="Times New Roman" w:hAnsi="Times New Roman" w:eastAsia="宋体" w:cs="Times New Roman"/>
                <w:i w:val="0"/>
                <w:iCs w:val="0"/>
                <w:color w:val="000000"/>
                <w:kern w:val="0"/>
                <w:sz w:val="11"/>
                <w:szCs w:val="11"/>
                <w:u w:val="none"/>
                <w:lang w:val="en-US" w:eastAsia="zh-CN" w:bidi="ar"/>
              </w:rPr>
              <w:t>“</w:t>
            </w:r>
            <w:r>
              <w:rPr>
                <w:rFonts w:ascii="方正公文仿宋" w:hAnsi="方正公文仿宋" w:eastAsia="方正公文仿宋" w:cs="方正公文仿宋"/>
                <w:i w:val="0"/>
                <w:iCs w:val="0"/>
                <w:color w:val="000000"/>
                <w:kern w:val="0"/>
                <w:sz w:val="11"/>
                <w:szCs w:val="11"/>
                <w:u w:val="none"/>
                <w:lang w:val="en-US" w:eastAsia="zh-CN" w:bidi="ar"/>
              </w:rPr>
              <w:t>见义勇为勇士</w:t>
            </w:r>
            <w:r>
              <w:rPr>
                <w:rFonts w:hint="default" w:ascii="Times New Roman" w:hAnsi="Times New Roman" w:eastAsia="宋体" w:cs="Times New Roman"/>
                <w:i w:val="0"/>
                <w:iCs w:val="0"/>
                <w:color w:val="000000"/>
                <w:kern w:val="0"/>
                <w:sz w:val="11"/>
                <w:szCs w:val="11"/>
                <w:u w:val="none"/>
                <w:lang w:val="en-US" w:eastAsia="zh-CN" w:bidi="ar"/>
              </w:rPr>
              <w:t>”</w:t>
            </w:r>
            <w:r>
              <w:rPr>
                <w:rFonts w:ascii="方正公文仿宋" w:hAnsi="方正公文仿宋" w:eastAsia="方正公文仿宋" w:cs="方正公文仿宋"/>
                <w:i w:val="0"/>
                <w:iCs w:val="0"/>
                <w:color w:val="000000"/>
                <w:kern w:val="0"/>
                <w:sz w:val="11"/>
                <w:szCs w:val="11"/>
                <w:u w:val="none"/>
                <w:lang w:val="en-US" w:eastAsia="zh-CN" w:bidi="ar"/>
              </w:rPr>
              <w:t>每人</w:t>
            </w:r>
            <w:r>
              <w:rPr>
                <w:rFonts w:hint="default" w:ascii="Times New Roman" w:hAnsi="Times New Roman" w:eastAsia="宋体" w:cs="Times New Roman"/>
                <w:i w:val="0"/>
                <w:iCs w:val="0"/>
                <w:color w:val="000000"/>
                <w:kern w:val="0"/>
                <w:sz w:val="11"/>
                <w:szCs w:val="11"/>
                <w:u w:val="none"/>
                <w:lang w:val="en-US" w:eastAsia="zh-CN" w:bidi="ar"/>
              </w:rPr>
              <w:t>3</w:t>
            </w:r>
            <w:r>
              <w:rPr>
                <w:rFonts w:ascii="方正公文仿宋" w:hAnsi="方正公文仿宋" w:eastAsia="方正公文仿宋" w:cs="方正公文仿宋"/>
                <w:i w:val="0"/>
                <w:iCs w:val="0"/>
                <w:color w:val="000000"/>
                <w:kern w:val="0"/>
                <w:sz w:val="11"/>
                <w:szCs w:val="11"/>
                <w:u w:val="none"/>
                <w:lang w:val="en-US" w:eastAsia="zh-CN" w:bidi="ar"/>
              </w:rPr>
              <w:t>万元，共计</w:t>
            </w:r>
            <w:r>
              <w:rPr>
                <w:rFonts w:hint="default" w:ascii="Times New Roman" w:hAnsi="Times New Roman" w:eastAsia="宋体" w:cs="Times New Roman"/>
                <w:i w:val="0"/>
                <w:iCs w:val="0"/>
                <w:color w:val="000000"/>
                <w:kern w:val="0"/>
                <w:sz w:val="11"/>
                <w:szCs w:val="11"/>
                <w:u w:val="none"/>
                <w:lang w:val="en-US" w:eastAsia="zh-CN" w:bidi="ar"/>
              </w:rPr>
              <w:t>6</w:t>
            </w:r>
            <w:r>
              <w:rPr>
                <w:rFonts w:ascii="方正公文仿宋" w:hAnsi="方正公文仿宋" w:eastAsia="方正公文仿宋" w:cs="方正公文仿宋"/>
                <w:i w:val="0"/>
                <w:iCs w:val="0"/>
                <w:color w:val="000000"/>
                <w:kern w:val="0"/>
                <w:sz w:val="11"/>
                <w:szCs w:val="11"/>
                <w:u w:val="none"/>
                <w:lang w:val="en-US" w:eastAsia="zh-CN" w:bidi="ar"/>
              </w:rPr>
              <w:t>万元。通过表彰活动，进一步弘扬社会正气，营造良好社会风尚。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w:t>
            </w:r>
            <w:r>
              <w:rPr>
                <w:rFonts w:ascii="方正公文仿宋" w:hAnsi="方正公文仿宋" w:eastAsia="方正公文仿宋" w:cs="方正公文仿宋"/>
                <w:i w:val="0"/>
                <w:iCs w:val="0"/>
                <w:color w:val="000000"/>
                <w:kern w:val="0"/>
                <w:sz w:val="11"/>
                <w:szCs w:val="11"/>
                <w:u w:val="none"/>
                <w:lang w:val="en-US" w:eastAsia="zh-CN" w:bidi="ar"/>
              </w:rPr>
              <w:t>项目实施内容及过程概述</w:t>
            </w:r>
          </w:p>
        </w:tc>
        <w:tc>
          <w:tcPr>
            <w:tcW w:w="999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通过业务部门提供的具体实施方案，按照财政有关规定及财务管理制度规定制定的项目财务、会计和报帐管理制度，做到手续齐备、数字准确、账目清楚、处理及时。资金使用未超过委务会审定额度。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预算执行情况（</w:t>
            </w:r>
            <w:r>
              <w:rPr>
                <w:rFonts w:hint="default" w:ascii="Times New Roman" w:hAnsi="Times New Roman" w:eastAsia="宋体" w:cs="Times New Roman"/>
                <w:i w:val="0"/>
                <w:iCs w:val="0"/>
                <w:color w:val="000000"/>
                <w:kern w:val="0"/>
                <w:sz w:val="11"/>
                <w:szCs w:val="11"/>
                <w:u w:val="none"/>
                <w:lang w:val="en-US" w:eastAsia="zh-CN" w:bidi="ar"/>
              </w:rPr>
              <w:t>10</w:t>
            </w:r>
            <w:r>
              <w:rPr>
                <w:rFonts w:ascii="方正公文仿宋" w:hAnsi="方正公文仿宋" w:eastAsia="方正公文仿宋" w:cs="方正公文仿宋"/>
                <w:i w:val="0"/>
                <w:iCs w:val="0"/>
                <w:color w:val="000000"/>
                <w:kern w:val="0"/>
                <w:sz w:val="11"/>
                <w:szCs w:val="11"/>
                <w:u w:val="none"/>
                <w:lang w:val="en-US" w:eastAsia="zh-CN" w:bidi="ar"/>
              </w:rPr>
              <w:t>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年初预算</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调整后预算数</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预算执行数</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得分</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10.00</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iCs/>
                <w:color w:val="000000"/>
                <w:sz w:val="11"/>
                <w:szCs w:val="11"/>
                <w:u w:val="none"/>
              </w:rPr>
            </w:pPr>
            <w:r>
              <w:rPr>
                <w:rFonts w:hint="default" w:ascii="Times New Roman" w:hAnsi="Times New Roman" w:eastAsia="宋体" w:cs="Times New Roman"/>
                <w:i/>
                <w:iCs/>
                <w:color w:val="000000"/>
                <w:kern w:val="0"/>
                <w:sz w:val="11"/>
                <w:szCs w:val="11"/>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10.00</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绩效指标（</w:t>
            </w:r>
            <w:r>
              <w:rPr>
                <w:rFonts w:hint="default" w:ascii="Times New Roman" w:hAnsi="Times New Roman" w:eastAsia="宋体" w:cs="Times New Roman"/>
                <w:i w:val="0"/>
                <w:iCs w:val="0"/>
                <w:color w:val="000000"/>
                <w:kern w:val="0"/>
                <w:sz w:val="11"/>
                <w:szCs w:val="11"/>
                <w:u w:val="none"/>
                <w:lang w:val="en-US" w:eastAsia="zh-CN" w:bidi="ar"/>
              </w:rPr>
              <w:t>90</w:t>
            </w:r>
            <w:r>
              <w:rPr>
                <w:rFonts w:ascii="方正公文仿宋" w:hAnsi="方正公文仿宋" w:eastAsia="方正公文仿宋" w:cs="方正公文仿宋"/>
                <w:i w:val="0"/>
                <w:iCs w:val="0"/>
                <w:color w:val="000000"/>
                <w:kern w:val="0"/>
                <w:sz w:val="11"/>
                <w:szCs w:val="11"/>
                <w:u w:val="none"/>
                <w:lang w:val="en-US" w:eastAsia="zh-CN" w:bidi="ar"/>
              </w:rPr>
              <w:t>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二级指标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三级指标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指标性质</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指标值</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度量单位</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得分</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数量指标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项目完成率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90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90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质量指标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预算编制准确率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90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90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奖励准确率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时效指标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项目完成时间</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定性</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2024</w:t>
            </w:r>
            <w:r>
              <w:rPr>
                <w:rFonts w:ascii="方正公文仿宋" w:hAnsi="方正公文仿宋" w:eastAsia="方正公文仿宋" w:cs="方正公文仿宋"/>
                <w:i w:val="0"/>
                <w:iCs w:val="0"/>
                <w:color w:val="000000"/>
                <w:kern w:val="0"/>
                <w:sz w:val="11"/>
                <w:szCs w:val="11"/>
                <w:u w:val="none"/>
                <w:lang w:val="en-US" w:eastAsia="zh-CN" w:bidi="ar"/>
              </w:rPr>
              <w:t>年</w:t>
            </w:r>
            <w:r>
              <w:rPr>
                <w:rFonts w:hint="default" w:ascii="Times New Roman" w:hAnsi="Times New Roman" w:eastAsia="宋体" w:cs="Times New Roman"/>
                <w:i w:val="0"/>
                <w:iCs w:val="0"/>
                <w:color w:val="000000"/>
                <w:kern w:val="0"/>
                <w:sz w:val="11"/>
                <w:szCs w:val="11"/>
                <w:u w:val="none"/>
                <w:lang w:val="en-US" w:eastAsia="zh-CN" w:bidi="ar"/>
              </w:rPr>
              <w:t>12</w:t>
            </w:r>
            <w:r>
              <w:rPr>
                <w:rFonts w:ascii="方正公文仿宋" w:hAnsi="方正公文仿宋" w:eastAsia="方正公文仿宋" w:cs="方正公文仿宋"/>
                <w:i w:val="0"/>
                <w:iCs w:val="0"/>
                <w:color w:val="000000"/>
                <w:kern w:val="0"/>
                <w:sz w:val="11"/>
                <w:szCs w:val="11"/>
                <w:u w:val="none"/>
                <w:lang w:val="en-US" w:eastAsia="zh-CN" w:bidi="ar"/>
              </w:rPr>
              <w:t>月底前完成</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2024</w:t>
            </w:r>
            <w:r>
              <w:rPr>
                <w:rFonts w:ascii="方正公文仿宋" w:hAnsi="方正公文仿宋" w:eastAsia="方正公文仿宋" w:cs="方正公文仿宋"/>
                <w:i w:val="0"/>
                <w:iCs w:val="0"/>
                <w:color w:val="000000"/>
                <w:kern w:val="0"/>
                <w:sz w:val="11"/>
                <w:szCs w:val="11"/>
                <w:u w:val="none"/>
                <w:lang w:val="en-US" w:eastAsia="zh-CN" w:bidi="ar"/>
              </w:rPr>
              <w:t>年</w:t>
            </w:r>
            <w:r>
              <w:rPr>
                <w:rFonts w:hint="default" w:ascii="Times New Roman" w:hAnsi="Times New Roman" w:eastAsia="宋体" w:cs="Times New Roman"/>
                <w:i w:val="0"/>
                <w:iCs w:val="0"/>
                <w:color w:val="000000"/>
                <w:kern w:val="0"/>
                <w:sz w:val="11"/>
                <w:szCs w:val="11"/>
                <w:u w:val="none"/>
                <w:lang w:val="en-US" w:eastAsia="zh-CN" w:bidi="ar"/>
              </w:rPr>
              <w:t>12</w:t>
            </w:r>
            <w:r>
              <w:rPr>
                <w:rFonts w:ascii="方正公文仿宋" w:hAnsi="方正公文仿宋" w:eastAsia="方正公文仿宋" w:cs="方正公文仿宋"/>
                <w:i w:val="0"/>
                <w:iCs w:val="0"/>
                <w:color w:val="000000"/>
                <w:kern w:val="0"/>
                <w:sz w:val="11"/>
                <w:szCs w:val="11"/>
                <w:u w:val="none"/>
                <w:lang w:val="en-US" w:eastAsia="zh-CN" w:bidi="ar"/>
              </w:rPr>
              <w:t>月底前完成</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效益指标</w:t>
            </w: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社会效益指标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激发群众见义勇为的意识</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定性</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高</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高</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提升群众获得感</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定性</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有效提升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有效提升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经济成本指标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成本控制率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5</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56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评价结论</w:t>
            </w:r>
          </w:p>
        </w:tc>
        <w:tc>
          <w:tcPr>
            <w:tcW w:w="120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根据项目执行情况和项目绩效情况，总得分</w:t>
            </w:r>
            <w:r>
              <w:rPr>
                <w:rFonts w:hint="default" w:ascii="Times New Roman" w:hAnsi="Times New Roman" w:eastAsia="宋体" w:cs="Times New Roman"/>
                <w:i w:val="0"/>
                <w:iCs w:val="0"/>
                <w:color w:val="000000"/>
                <w:kern w:val="0"/>
                <w:sz w:val="11"/>
                <w:szCs w:val="11"/>
                <w:u w:val="none"/>
                <w:lang w:val="en-US" w:eastAsia="zh-CN" w:bidi="ar"/>
              </w:rPr>
              <w:t>100</w:t>
            </w:r>
            <w:r>
              <w:rPr>
                <w:rFonts w:ascii="方正公文仿宋" w:hAnsi="方正公文仿宋" w:eastAsia="方正公文仿宋" w:cs="方正公文仿宋"/>
                <w:i w:val="0"/>
                <w:iCs w:val="0"/>
                <w:color w:val="000000"/>
                <w:kern w:val="0"/>
                <w:sz w:val="11"/>
                <w:szCs w:val="11"/>
                <w:u w:val="none"/>
                <w:lang w:val="en-US" w:eastAsia="zh-CN" w:bidi="ar"/>
              </w:rPr>
              <w:t>分，项目综合绩效评价为优秀。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存在问题</w:t>
            </w:r>
          </w:p>
        </w:tc>
        <w:tc>
          <w:tcPr>
            <w:tcW w:w="120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绩效指标个数较少。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改进措施</w:t>
            </w:r>
          </w:p>
        </w:tc>
        <w:tc>
          <w:tcPr>
            <w:tcW w:w="120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业务部门和财务部门共同合作，提升绩效指标数量和质量。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2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项目负责人：</w:t>
            </w:r>
            <w:r>
              <w:rPr>
                <w:rFonts w:hint="eastAsia" w:ascii="方正公文仿宋" w:hAnsi="方正公文仿宋" w:eastAsia="方正公文仿宋" w:cs="方正公文仿宋"/>
                <w:i w:val="0"/>
                <w:iCs w:val="0"/>
                <w:color w:val="000000"/>
                <w:kern w:val="0"/>
                <w:sz w:val="11"/>
                <w:szCs w:val="11"/>
                <w:u w:val="none"/>
                <w:lang w:val="en-US" w:eastAsia="zh-CN" w:bidi="ar"/>
              </w:rPr>
              <w:t>邓涛</w:t>
            </w:r>
          </w:p>
        </w:tc>
        <w:tc>
          <w:tcPr>
            <w:tcW w:w="544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财务负责人：</w:t>
            </w:r>
            <w:r>
              <w:rPr>
                <w:rFonts w:hint="eastAsia" w:ascii="方正公文仿宋" w:hAnsi="方正公文仿宋" w:eastAsia="方正公文仿宋" w:cs="方正公文仿宋"/>
                <w:i w:val="0"/>
                <w:iCs w:val="0"/>
                <w:color w:val="000000"/>
                <w:kern w:val="0"/>
                <w:sz w:val="11"/>
                <w:szCs w:val="11"/>
                <w:u w:val="none"/>
                <w:lang w:val="en-US" w:eastAsia="zh-CN" w:bidi="ar"/>
              </w:rPr>
              <w:t>李戎生</w:t>
            </w:r>
          </w:p>
        </w:tc>
      </w:tr>
    </w:tbl>
    <w:p>
      <w:pPr>
        <w:pStyle w:val="2"/>
        <w:rPr>
          <w:rFonts w:hint="eastAsia"/>
        </w:rPr>
      </w:pPr>
    </w:p>
    <w:tbl>
      <w:tblPr>
        <w:tblStyle w:val="19"/>
        <w:tblW w:w="1273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4"/>
        <w:gridCol w:w="2046"/>
        <w:gridCol w:w="1770"/>
        <w:gridCol w:w="2258"/>
        <w:gridCol w:w="520"/>
        <w:gridCol w:w="1672"/>
        <w:gridCol w:w="520"/>
        <w:gridCol w:w="1090"/>
        <w:gridCol w:w="505"/>
        <w:gridCol w:w="486"/>
        <w:gridCol w:w="11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3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0"/>
                <w:szCs w:val="30"/>
                <w:u w:val="none"/>
              </w:rPr>
            </w:pPr>
            <w:r>
              <w:rPr>
                <w:rFonts w:ascii="方正公文小标宋" w:hAnsi="方正公文小标宋" w:eastAsia="方正公文小标宋" w:cs="方正公文小标宋"/>
                <w:b/>
                <w:bCs/>
                <w:i w:val="0"/>
                <w:iCs w:val="0"/>
                <w:color w:val="000000"/>
                <w:kern w:val="0"/>
                <w:sz w:val="30"/>
                <w:szCs w:val="30"/>
                <w:u w:val="none"/>
                <w:lang w:val="en-US" w:eastAsia="zh-CN" w:bidi="ar"/>
              </w:rPr>
              <w:t>部门预算项目支出绩效自评表（</w:t>
            </w:r>
            <w:r>
              <w:rPr>
                <w:rFonts w:hint="default" w:ascii="Times New Roman" w:hAnsi="Times New Roman" w:eastAsia="宋体" w:cs="Times New Roman"/>
                <w:b/>
                <w:bCs/>
                <w:i w:val="0"/>
                <w:iCs w:val="0"/>
                <w:color w:val="000000"/>
                <w:kern w:val="0"/>
                <w:sz w:val="30"/>
                <w:szCs w:val="30"/>
                <w:u w:val="none"/>
                <w:lang w:val="en-US" w:eastAsia="zh-CN" w:bidi="ar"/>
              </w:rPr>
              <w:t>2024</w:t>
            </w:r>
            <w:r>
              <w:rPr>
                <w:rFonts w:ascii="方正公文小标宋" w:hAnsi="方正公文小标宋" w:eastAsia="方正公文小标宋" w:cs="方正公文小标宋"/>
                <w:b/>
                <w:bCs/>
                <w:i w:val="0"/>
                <w:iCs w:val="0"/>
                <w:color w:val="000000"/>
                <w:kern w:val="0"/>
                <w:sz w:val="30"/>
                <w:szCs w:val="30"/>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项目名称</w:t>
            </w:r>
          </w:p>
        </w:tc>
        <w:tc>
          <w:tcPr>
            <w:tcW w:w="1000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51320022T000000337543-</w:t>
            </w:r>
            <w:r>
              <w:rPr>
                <w:rFonts w:ascii="方正公文仿宋" w:hAnsi="方正公文仿宋" w:eastAsia="方正公文仿宋" w:cs="方正公文仿宋"/>
                <w:i w:val="0"/>
                <w:iCs w:val="0"/>
                <w:color w:val="000000"/>
                <w:kern w:val="0"/>
                <w:sz w:val="11"/>
                <w:szCs w:val="11"/>
                <w:u w:val="none"/>
                <w:lang w:val="en-US" w:eastAsia="zh-CN" w:bidi="ar"/>
              </w:rPr>
              <w:t>平安创建、群防群治、网格化管理工作经费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主管部门</w:t>
            </w:r>
          </w:p>
        </w:tc>
        <w:tc>
          <w:tcPr>
            <w:tcW w:w="6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州委政法委部门</w:t>
            </w:r>
          </w:p>
        </w:tc>
        <w:tc>
          <w:tcPr>
            <w:tcW w:w="1090" w:type="dxa"/>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实施单位</w:t>
            </w:r>
            <w:r>
              <w:rPr>
                <w:rFonts w:hint="default" w:ascii="Times New Roman" w:hAnsi="Times New Roman" w:eastAsia="宋体" w:cs="Times New Roman"/>
                <w:i w:val="0"/>
                <w:iCs w:val="0"/>
                <w:color w:val="000000"/>
                <w:kern w:val="0"/>
                <w:sz w:val="11"/>
                <w:szCs w:val="11"/>
                <w:u w:val="none"/>
                <w:lang w:val="en-US" w:eastAsia="zh-CN" w:bidi="ar"/>
              </w:rPr>
              <w:t xml:space="preserve"> </w:t>
            </w:r>
            <w:r>
              <w:rPr>
                <w:rFonts w:ascii="方正公文仿宋" w:hAnsi="方正公文仿宋" w:eastAsia="方正公文仿宋" w:cs="方正公文仿宋"/>
                <w:i w:val="0"/>
                <w:iCs w:val="0"/>
                <w:color w:val="000000"/>
                <w:kern w:val="0"/>
                <w:sz w:val="11"/>
                <w:szCs w:val="11"/>
                <w:u w:val="none"/>
                <w:lang w:val="en-US" w:eastAsia="zh-CN" w:bidi="ar"/>
              </w:rPr>
              <w:t>（盖章）</w:t>
            </w:r>
          </w:p>
        </w:tc>
        <w:tc>
          <w:tcPr>
            <w:tcW w:w="21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州委政法委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项目基本情况</w:t>
            </w: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w:t>
            </w:r>
            <w:r>
              <w:rPr>
                <w:rFonts w:ascii="方正公文仿宋" w:hAnsi="方正公文仿宋" w:eastAsia="方正公文仿宋" w:cs="方正公文仿宋"/>
                <w:i w:val="0"/>
                <w:iCs w:val="0"/>
                <w:color w:val="000000"/>
                <w:kern w:val="0"/>
                <w:sz w:val="11"/>
                <w:szCs w:val="11"/>
                <w:u w:val="none"/>
                <w:lang w:val="en-US" w:eastAsia="zh-CN" w:bidi="ar"/>
              </w:rPr>
              <w:t>项目年度目标完成情况</w:t>
            </w:r>
          </w:p>
        </w:tc>
        <w:tc>
          <w:tcPr>
            <w:tcW w:w="6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项目年度目标</w:t>
            </w:r>
          </w:p>
        </w:tc>
        <w:tc>
          <w:tcPr>
            <w:tcW w:w="32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1"/>
                <w:szCs w:val="11"/>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1"/>
                <w:szCs w:val="11"/>
                <w:u w:val="none"/>
              </w:rPr>
            </w:pPr>
          </w:p>
        </w:tc>
        <w:tc>
          <w:tcPr>
            <w:tcW w:w="6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完善群防群治组织建设，提升基层群众自治水平；按照省、州平安创建工作要求，开展全州平安创建工作；巩固提升全州网络化服务管理质效。</w:t>
            </w:r>
          </w:p>
        </w:tc>
        <w:tc>
          <w:tcPr>
            <w:tcW w:w="32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贯彻中央、省委、州委对平安建设工作的安排部署，落实以平安建设为抓手，充分发挥各专项小组和各成员单位职能作用，切实组织群防群治力量，综合全科网络，通过</w:t>
            </w:r>
            <w:r>
              <w:rPr>
                <w:rFonts w:hint="default" w:ascii="Times New Roman" w:hAnsi="Times New Roman" w:eastAsia="宋体" w:cs="Times New Roman"/>
                <w:i w:val="0"/>
                <w:iCs w:val="0"/>
                <w:color w:val="000000"/>
                <w:kern w:val="0"/>
                <w:sz w:val="11"/>
                <w:szCs w:val="11"/>
                <w:u w:val="none"/>
                <w:lang w:val="en-US" w:eastAsia="zh-CN" w:bidi="ar"/>
              </w:rPr>
              <w:t>“</w:t>
            </w:r>
            <w:r>
              <w:rPr>
                <w:rFonts w:ascii="方正公文仿宋" w:hAnsi="方正公文仿宋" w:eastAsia="方正公文仿宋" w:cs="方正公文仿宋"/>
                <w:i w:val="0"/>
                <w:iCs w:val="0"/>
                <w:color w:val="000000"/>
                <w:kern w:val="0"/>
                <w:sz w:val="11"/>
                <w:szCs w:val="11"/>
                <w:u w:val="none"/>
                <w:lang w:val="en-US" w:eastAsia="zh-CN" w:bidi="ar"/>
              </w:rPr>
              <w:t>五治融合</w:t>
            </w:r>
            <w:r>
              <w:rPr>
                <w:rFonts w:hint="default" w:ascii="Times New Roman" w:hAnsi="Times New Roman" w:eastAsia="宋体" w:cs="Times New Roman"/>
                <w:i w:val="0"/>
                <w:iCs w:val="0"/>
                <w:color w:val="000000"/>
                <w:kern w:val="0"/>
                <w:sz w:val="11"/>
                <w:szCs w:val="11"/>
                <w:u w:val="none"/>
                <w:lang w:val="en-US" w:eastAsia="zh-CN" w:bidi="ar"/>
              </w:rPr>
              <w:t>”</w:t>
            </w:r>
            <w:r>
              <w:rPr>
                <w:rFonts w:ascii="方正公文仿宋" w:hAnsi="方正公文仿宋" w:eastAsia="方正公文仿宋" w:cs="方正公文仿宋"/>
                <w:i w:val="0"/>
                <w:iCs w:val="0"/>
                <w:color w:val="000000"/>
                <w:kern w:val="0"/>
                <w:sz w:val="11"/>
                <w:szCs w:val="11"/>
                <w:u w:val="none"/>
                <w:lang w:val="en-US" w:eastAsia="zh-CN" w:bidi="ar"/>
              </w:rPr>
              <w:t>防范</w:t>
            </w:r>
            <w:r>
              <w:rPr>
                <w:rFonts w:hint="default" w:ascii="Times New Roman" w:hAnsi="Times New Roman" w:eastAsia="宋体" w:cs="Times New Roman"/>
                <w:i w:val="0"/>
                <w:iCs w:val="0"/>
                <w:color w:val="000000"/>
                <w:kern w:val="0"/>
                <w:sz w:val="11"/>
                <w:szCs w:val="11"/>
                <w:u w:val="none"/>
                <w:lang w:val="en-US" w:eastAsia="zh-CN" w:bidi="ar"/>
              </w:rPr>
              <w:t>“</w:t>
            </w:r>
            <w:r>
              <w:rPr>
                <w:rFonts w:ascii="方正公文仿宋" w:hAnsi="方正公文仿宋" w:eastAsia="方正公文仿宋" w:cs="方正公文仿宋"/>
                <w:i w:val="0"/>
                <w:iCs w:val="0"/>
                <w:color w:val="000000"/>
                <w:kern w:val="0"/>
                <w:sz w:val="11"/>
                <w:szCs w:val="11"/>
                <w:u w:val="none"/>
                <w:lang w:val="en-US" w:eastAsia="zh-CN" w:bidi="ar"/>
              </w:rPr>
              <w:t>五大风险</w:t>
            </w:r>
            <w:r>
              <w:rPr>
                <w:rFonts w:hint="default" w:ascii="Times New Roman" w:hAnsi="Times New Roman" w:eastAsia="宋体" w:cs="Times New Roman"/>
                <w:i w:val="0"/>
                <w:iCs w:val="0"/>
                <w:color w:val="000000"/>
                <w:kern w:val="0"/>
                <w:sz w:val="11"/>
                <w:szCs w:val="11"/>
                <w:u w:val="none"/>
                <w:lang w:val="en-US" w:eastAsia="zh-CN" w:bidi="ar"/>
              </w:rPr>
              <w:t>”</w:t>
            </w:r>
            <w:r>
              <w:rPr>
                <w:rFonts w:ascii="方正公文仿宋" w:hAnsi="方正公文仿宋" w:eastAsia="方正公文仿宋" w:cs="方正公文仿宋"/>
                <w:i w:val="0"/>
                <w:iCs w:val="0"/>
                <w:color w:val="000000"/>
                <w:kern w:val="0"/>
                <w:sz w:val="11"/>
                <w:szCs w:val="11"/>
                <w:u w:val="none"/>
                <w:lang w:val="en-US" w:eastAsia="zh-CN" w:bidi="ar"/>
              </w:rPr>
              <w:t>，守牢政治安全底线，夯实社会稳定基石，提升社会治理效能。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w:t>
            </w:r>
            <w:r>
              <w:rPr>
                <w:rFonts w:ascii="方正公文仿宋" w:hAnsi="方正公文仿宋" w:eastAsia="方正公文仿宋" w:cs="方正公文仿宋"/>
                <w:i w:val="0"/>
                <w:iCs w:val="0"/>
                <w:color w:val="000000"/>
                <w:kern w:val="0"/>
                <w:sz w:val="11"/>
                <w:szCs w:val="11"/>
                <w:u w:val="none"/>
                <w:lang w:val="en-US" w:eastAsia="zh-CN" w:bidi="ar"/>
              </w:rPr>
              <w:t>项目实施内容及过程概述</w:t>
            </w:r>
          </w:p>
        </w:tc>
        <w:tc>
          <w:tcPr>
            <w:tcW w:w="1000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通过业务部门提供的具体实施方案，按照财政有关规定及财务管理制度规定制定的项目财务、会计和报帐管理制度，做到手续齐备、数字准确、账目清楚、处理及时。资金使用未超过委务会审定额度。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预算执行情况（</w:t>
            </w:r>
            <w:r>
              <w:rPr>
                <w:rFonts w:hint="default" w:ascii="Times New Roman" w:hAnsi="Times New Roman" w:eastAsia="宋体" w:cs="Times New Roman"/>
                <w:i w:val="0"/>
                <w:iCs w:val="0"/>
                <w:color w:val="000000"/>
                <w:kern w:val="0"/>
                <w:sz w:val="11"/>
                <w:szCs w:val="11"/>
                <w:u w:val="none"/>
                <w:lang w:val="en-US" w:eastAsia="zh-CN" w:bidi="ar"/>
              </w:rPr>
              <w:t>10</w:t>
            </w:r>
            <w:r>
              <w:rPr>
                <w:rFonts w:ascii="方正公文仿宋" w:hAnsi="方正公文仿宋" w:eastAsia="方正公文仿宋" w:cs="方正公文仿宋"/>
                <w:i w:val="0"/>
                <w:iCs w:val="0"/>
                <w:color w:val="000000"/>
                <w:kern w:val="0"/>
                <w:sz w:val="11"/>
                <w:szCs w:val="11"/>
                <w:u w:val="none"/>
                <w:lang w:val="en-US" w:eastAsia="zh-CN" w:bidi="ar"/>
              </w:rPr>
              <w:t>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调整后预算数</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预算执行数</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得分</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24.15</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24.15</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24.15</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iCs/>
                <w:color w:val="000000"/>
                <w:sz w:val="11"/>
                <w:szCs w:val="11"/>
                <w:u w:val="none"/>
              </w:rPr>
            </w:pPr>
            <w:r>
              <w:rPr>
                <w:rFonts w:hint="default" w:ascii="Times New Roman" w:hAnsi="Times New Roman" w:eastAsia="宋体" w:cs="Times New Roman"/>
                <w:i/>
                <w:iCs/>
                <w:color w:val="000000"/>
                <w:kern w:val="0"/>
                <w:sz w:val="11"/>
                <w:szCs w:val="11"/>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24.15</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24.15</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24.15</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绩效指标（</w:t>
            </w:r>
            <w:r>
              <w:rPr>
                <w:rFonts w:hint="default" w:ascii="Times New Roman" w:hAnsi="Times New Roman" w:eastAsia="宋体" w:cs="Times New Roman"/>
                <w:i w:val="0"/>
                <w:iCs w:val="0"/>
                <w:color w:val="000000"/>
                <w:kern w:val="0"/>
                <w:sz w:val="11"/>
                <w:szCs w:val="11"/>
                <w:u w:val="none"/>
                <w:lang w:val="en-US" w:eastAsia="zh-CN" w:bidi="ar"/>
              </w:rPr>
              <w:t>90</w:t>
            </w:r>
            <w:r>
              <w:rPr>
                <w:rFonts w:ascii="方正公文仿宋" w:hAnsi="方正公文仿宋" w:eastAsia="方正公文仿宋" w:cs="方正公文仿宋"/>
                <w:i w:val="0"/>
                <w:iCs w:val="0"/>
                <w:color w:val="000000"/>
                <w:kern w:val="0"/>
                <w:sz w:val="11"/>
                <w:szCs w:val="11"/>
                <w:u w:val="none"/>
                <w:lang w:val="en-US" w:eastAsia="zh-CN" w:bidi="ar"/>
              </w:rPr>
              <w:t>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三级指标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指标性质</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指标值</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度量单位</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得分</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产出指标</w:t>
            </w: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对县（市）督导工作次数</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3</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次</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3</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项目完成率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90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90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预算编制准确率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90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90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项目完成时间</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定性</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2024</w:t>
            </w:r>
            <w:r>
              <w:rPr>
                <w:rFonts w:ascii="方正公文仿宋" w:hAnsi="方正公文仿宋" w:eastAsia="方正公文仿宋" w:cs="方正公文仿宋"/>
                <w:i w:val="0"/>
                <w:iCs w:val="0"/>
                <w:color w:val="000000"/>
                <w:kern w:val="0"/>
                <w:sz w:val="11"/>
                <w:szCs w:val="11"/>
                <w:u w:val="none"/>
                <w:lang w:val="en-US" w:eastAsia="zh-CN" w:bidi="ar"/>
              </w:rPr>
              <w:t>年</w:t>
            </w:r>
            <w:r>
              <w:rPr>
                <w:rFonts w:hint="default" w:ascii="Times New Roman" w:hAnsi="Times New Roman" w:eastAsia="宋体" w:cs="Times New Roman"/>
                <w:i w:val="0"/>
                <w:iCs w:val="0"/>
                <w:color w:val="000000"/>
                <w:kern w:val="0"/>
                <w:sz w:val="11"/>
                <w:szCs w:val="11"/>
                <w:u w:val="none"/>
                <w:lang w:val="en-US" w:eastAsia="zh-CN" w:bidi="ar"/>
              </w:rPr>
              <w:t>12</w:t>
            </w:r>
            <w:r>
              <w:rPr>
                <w:rFonts w:ascii="方正公文仿宋" w:hAnsi="方正公文仿宋" w:eastAsia="方正公文仿宋" w:cs="方正公文仿宋"/>
                <w:i w:val="0"/>
                <w:iCs w:val="0"/>
                <w:color w:val="000000"/>
                <w:kern w:val="0"/>
                <w:sz w:val="11"/>
                <w:szCs w:val="11"/>
                <w:u w:val="none"/>
                <w:lang w:val="en-US" w:eastAsia="zh-CN" w:bidi="ar"/>
              </w:rPr>
              <w:t>月底前完成</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2024</w:t>
            </w:r>
            <w:r>
              <w:rPr>
                <w:rFonts w:ascii="方正公文仿宋" w:hAnsi="方正公文仿宋" w:eastAsia="方正公文仿宋" w:cs="方正公文仿宋"/>
                <w:i w:val="0"/>
                <w:iCs w:val="0"/>
                <w:color w:val="000000"/>
                <w:kern w:val="0"/>
                <w:sz w:val="11"/>
                <w:szCs w:val="11"/>
                <w:u w:val="none"/>
                <w:lang w:val="en-US" w:eastAsia="zh-CN" w:bidi="ar"/>
              </w:rPr>
              <w:t>年</w:t>
            </w:r>
            <w:r>
              <w:rPr>
                <w:rFonts w:hint="default" w:ascii="Times New Roman" w:hAnsi="Times New Roman" w:eastAsia="宋体" w:cs="Times New Roman"/>
                <w:i w:val="0"/>
                <w:iCs w:val="0"/>
                <w:color w:val="000000"/>
                <w:kern w:val="0"/>
                <w:sz w:val="11"/>
                <w:szCs w:val="11"/>
                <w:u w:val="none"/>
                <w:lang w:val="en-US" w:eastAsia="zh-CN" w:bidi="ar"/>
              </w:rPr>
              <w:t>12</w:t>
            </w:r>
            <w:r>
              <w:rPr>
                <w:rFonts w:ascii="方正公文仿宋" w:hAnsi="方正公文仿宋" w:eastAsia="方正公文仿宋" w:cs="方正公文仿宋"/>
                <w:i w:val="0"/>
                <w:iCs w:val="0"/>
                <w:color w:val="000000"/>
                <w:kern w:val="0"/>
                <w:sz w:val="11"/>
                <w:szCs w:val="11"/>
                <w:u w:val="none"/>
                <w:lang w:val="en-US" w:eastAsia="zh-CN" w:bidi="ar"/>
              </w:rPr>
              <w:t>月底前完成</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提升基层群众自治水平</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定性</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有效提升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有效提升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受惠群众满意度</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定性</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高</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高</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成本控制率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5</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56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评价结论</w:t>
            </w:r>
          </w:p>
        </w:tc>
        <w:tc>
          <w:tcPr>
            <w:tcW w:w="1204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根据项目执行情况和项目绩效情况，总得分</w:t>
            </w:r>
            <w:r>
              <w:rPr>
                <w:rFonts w:hint="default" w:ascii="Times New Roman" w:hAnsi="Times New Roman" w:eastAsia="宋体" w:cs="Times New Roman"/>
                <w:i w:val="0"/>
                <w:iCs w:val="0"/>
                <w:color w:val="000000"/>
                <w:kern w:val="0"/>
                <w:sz w:val="11"/>
                <w:szCs w:val="11"/>
                <w:u w:val="none"/>
                <w:lang w:val="en-US" w:eastAsia="zh-CN" w:bidi="ar"/>
              </w:rPr>
              <w:t>100</w:t>
            </w:r>
            <w:r>
              <w:rPr>
                <w:rFonts w:ascii="方正公文仿宋" w:hAnsi="方正公文仿宋" w:eastAsia="方正公文仿宋" w:cs="方正公文仿宋"/>
                <w:i w:val="0"/>
                <w:iCs w:val="0"/>
                <w:color w:val="000000"/>
                <w:kern w:val="0"/>
                <w:sz w:val="11"/>
                <w:szCs w:val="11"/>
                <w:u w:val="none"/>
                <w:lang w:val="en-US" w:eastAsia="zh-CN" w:bidi="ar"/>
              </w:rPr>
              <w:t>分，项目综合绩效评价为优秀。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存在问题</w:t>
            </w:r>
          </w:p>
        </w:tc>
        <w:tc>
          <w:tcPr>
            <w:tcW w:w="1204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绩效指标个数较少。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改进措施</w:t>
            </w:r>
          </w:p>
        </w:tc>
        <w:tc>
          <w:tcPr>
            <w:tcW w:w="1204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业务部门和财务部门共同合作，提升绩效指标数量和质量。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27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项目负责人：</w:t>
            </w:r>
            <w:r>
              <w:rPr>
                <w:rFonts w:hint="eastAsia" w:ascii="方正公文仿宋" w:hAnsi="方正公文仿宋" w:eastAsia="方正公文仿宋" w:cs="方正公文仿宋"/>
                <w:i w:val="0"/>
                <w:iCs w:val="0"/>
                <w:color w:val="000000"/>
                <w:kern w:val="0"/>
                <w:sz w:val="11"/>
                <w:szCs w:val="11"/>
                <w:u w:val="none"/>
                <w:lang w:val="en-US" w:eastAsia="zh-CN" w:bidi="ar"/>
              </w:rPr>
              <w:t>邓涛</w:t>
            </w:r>
          </w:p>
        </w:tc>
        <w:tc>
          <w:tcPr>
            <w:tcW w:w="54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财务负责人：</w:t>
            </w:r>
            <w:r>
              <w:rPr>
                <w:rFonts w:hint="eastAsia" w:ascii="方正公文仿宋" w:hAnsi="方正公文仿宋" w:eastAsia="方正公文仿宋" w:cs="方正公文仿宋"/>
                <w:i w:val="0"/>
                <w:iCs w:val="0"/>
                <w:color w:val="000000"/>
                <w:kern w:val="0"/>
                <w:sz w:val="11"/>
                <w:szCs w:val="11"/>
                <w:u w:val="none"/>
                <w:lang w:val="en-US" w:eastAsia="zh-CN" w:bidi="ar"/>
              </w:rPr>
              <w:t>李戎生</w:t>
            </w:r>
          </w:p>
        </w:tc>
      </w:tr>
    </w:tbl>
    <w:p>
      <w:pPr>
        <w:rPr>
          <w:rFonts w:hint="eastAsia"/>
        </w:rPr>
      </w:pPr>
    </w:p>
    <w:tbl>
      <w:tblPr>
        <w:tblStyle w:val="19"/>
        <w:tblW w:w="1272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3"/>
        <w:gridCol w:w="2046"/>
        <w:gridCol w:w="1770"/>
        <w:gridCol w:w="2257"/>
        <w:gridCol w:w="521"/>
        <w:gridCol w:w="1673"/>
        <w:gridCol w:w="521"/>
        <w:gridCol w:w="1090"/>
        <w:gridCol w:w="505"/>
        <w:gridCol w:w="486"/>
        <w:gridCol w:w="11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0"/>
                <w:szCs w:val="30"/>
                <w:u w:val="none"/>
              </w:rPr>
            </w:pPr>
            <w:r>
              <w:rPr>
                <w:rFonts w:ascii="方正小标宋_GBK" w:hAnsi="方正小标宋_GBK" w:eastAsia="方正小标宋_GBK" w:cs="方正小标宋_GBK"/>
                <w:b/>
                <w:bCs/>
                <w:i w:val="0"/>
                <w:iCs w:val="0"/>
                <w:color w:val="000000"/>
                <w:kern w:val="0"/>
                <w:sz w:val="30"/>
                <w:szCs w:val="30"/>
                <w:u w:val="none"/>
                <w:lang w:val="en-US" w:eastAsia="zh-CN" w:bidi="ar"/>
              </w:rPr>
              <w:t>部门预算项目支出绩效自评表（</w:t>
            </w:r>
            <w:r>
              <w:rPr>
                <w:rFonts w:hint="default" w:ascii="Times New Roman" w:hAnsi="Times New Roman" w:eastAsia="宋体" w:cs="Times New Roman"/>
                <w:b/>
                <w:bCs/>
                <w:i w:val="0"/>
                <w:iCs w:val="0"/>
                <w:color w:val="000000"/>
                <w:kern w:val="0"/>
                <w:sz w:val="30"/>
                <w:szCs w:val="30"/>
                <w:u w:val="none"/>
                <w:lang w:val="en-US" w:eastAsia="zh-CN" w:bidi="ar"/>
              </w:rPr>
              <w:t>2024</w:t>
            </w:r>
            <w:r>
              <w:rPr>
                <w:rFonts w:ascii="方正小标宋_GBK" w:hAnsi="方正小标宋_GBK" w:eastAsia="方正小标宋_GBK" w:cs="方正小标宋_GBK"/>
                <w:b/>
                <w:bCs/>
                <w:i w:val="0"/>
                <w:iCs w:val="0"/>
                <w:color w:val="000000"/>
                <w:kern w:val="0"/>
                <w:sz w:val="30"/>
                <w:szCs w:val="30"/>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项目名称</w:t>
            </w:r>
          </w:p>
        </w:tc>
        <w:tc>
          <w:tcPr>
            <w:tcW w:w="999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51320024T000011664954-</w:t>
            </w:r>
            <w:r>
              <w:rPr>
                <w:rFonts w:ascii="方正公文仿宋" w:hAnsi="方正公文仿宋" w:eastAsia="方正公文仿宋" w:cs="方正公文仿宋"/>
                <w:i w:val="0"/>
                <w:iCs w:val="0"/>
                <w:color w:val="000000"/>
                <w:kern w:val="0"/>
                <w:sz w:val="11"/>
                <w:szCs w:val="11"/>
                <w:u w:val="none"/>
                <w:lang w:val="en-US" w:eastAsia="zh-CN" w:bidi="ar"/>
              </w:rPr>
              <w:t>全域旅游工作先进个人奖励资金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主管部门</w:t>
            </w:r>
          </w:p>
        </w:tc>
        <w:tc>
          <w:tcPr>
            <w:tcW w:w="6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州委政法委部门</w:t>
            </w:r>
          </w:p>
        </w:tc>
        <w:tc>
          <w:tcPr>
            <w:tcW w:w="1090" w:type="dxa"/>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实施单位</w:t>
            </w:r>
            <w:r>
              <w:rPr>
                <w:rFonts w:hint="default" w:ascii="Times New Roman" w:hAnsi="Times New Roman" w:eastAsia="宋体" w:cs="Times New Roman"/>
                <w:i w:val="0"/>
                <w:iCs w:val="0"/>
                <w:color w:val="000000"/>
                <w:kern w:val="0"/>
                <w:sz w:val="11"/>
                <w:szCs w:val="11"/>
                <w:u w:val="none"/>
                <w:lang w:val="en-US" w:eastAsia="zh-CN" w:bidi="ar"/>
              </w:rPr>
              <w:t xml:space="preserve"> </w:t>
            </w:r>
            <w:r>
              <w:rPr>
                <w:rFonts w:ascii="方正公文仿宋" w:hAnsi="方正公文仿宋" w:eastAsia="方正公文仿宋" w:cs="方正公文仿宋"/>
                <w:i w:val="0"/>
                <w:iCs w:val="0"/>
                <w:color w:val="000000"/>
                <w:kern w:val="0"/>
                <w:sz w:val="11"/>
                <w:szCs w:val="11"/>
                <w:u w:val="none"/>
                <w:lang w:val="en-US" w:eastAsia="zh-CN" w:bidi="ar"/>
              </w:rPr>
              <w:t>（盖章）</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州委政法委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项目基本情况</w:t>
            </w: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w:t>
            </w:r>
            <w:r>
              <w:rPr>
                <w:rFonts w:ascii="方正公文仿宋" w:hAnsi="方正公文仿宋" w:eastAsia="方正公文仿宋" w:cs="方正公文仿宋"/>
                <w:i w:val="0"/>
                <w:iCs w:val="0"/>
                <w:color w:val="000000"/>
                <w:kern w:val="0"/>
                <w:sz w:val="11"/>
                <w:szCs w:val="11"/>
                <w:u w:val="none"/>
                <w:lang w:val="en-US" w:eastAsia="zh-CN" w:bidi="ar"/>
              </w:rPr>
              <w:t>项目年度目标完成情况</w:t>
            </w:r>
          </w:p>
        </w:tc>
        <w:tc>
          <w:tcPr>
            <w:tcW w:w="6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项目年度目标</w:t>
            </w:r>
          </w:p>
        </w:tc>
        <w:tc>
          <w:tcPr>
            <w:tcW w:w="32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1"/>
                <w:szCs w:val="11"/>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1"/>
                <w:szCs w:val="11"/>
                <w:u w:val="none"/>
              </w:rPr>
            </w:pPr>
          </w:p>
        </w:tc>
        <w:tc>
          <w:tcPr>
            <w:tcW w:w="6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相关单位表彰的全域旅游工作先进个人奖励资金。</w:t>
            </w:r>
          </w:p>
        </w:tc>
        <w:tc>
          <w:tcPr>
            <w:tcW w:w="32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按时支付了该笔奖励金，达到了表彰先进的示范引领作用，推动全域旅游工作向好发展。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w:t>
            </w:r>
            <w:r>
              <w:rPr>
                <w:rFonts w:ascii="方正公文仿宋" w:hAnsi="方正公文仿宋" w:eastAsia="方正公文仿宋" w:cs="方正公文仿宋"/>
                <w:i w:val="0"/>
                <w:iCs w:val="0"/>
                <w:color w:val="000000"/>
                <w:kern w:val="0"/>
                <w:sz w:val="11"/>
                <w:szCs w:val="11"/>
                <w:u w:val="none"/>
                <w:lang w:val="en-US" w:eastAsia="zh-CN" w:bidi="ar"/>
              </w:rPr>
              <w:t>项目实施内容及过程概述</w:t>
            </w:r>
          </w:p>
        </w:tc>
        <w:tc>
          <w:tcPr>
            <w:tcW w:w="999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通过业务部门提供的具体实施方案，按照财政有关规定及财务管理制度规定制定的项目财务、会计和报帐管理制度，做到手续齐备、数字准确、账目清楚、处理及时。资金使用未超过委务会审定额度。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预算执行情况（</w:t>
            </w:r>
            <w:r>
              <w:rPr>
                <w:rFonts w:hint="default" w:ascii="Times New Roman" w:hAnsi="Times New Roman" w:eastAsia="宋体" w:cs="Times New Roman"/>
                <w:i w:val="0"/>
                <w:iCs w:val="0"/>
                <w:color w:val="000000"/>
                <w:kern w:val="0"/>
                <w:sz w:val="11"/>
                <w:szCs w:val="11"/>
                <w:u w:val="none"/>
                <w:lang w:val="en-US" w:eastAsia="zh-CN" w:bidi="ar"/>
              </w:rPr>
              <w:t>10</w:t>
            </w:r>
            <w:r>
              <w:rPr>
                <w:rFonts w:ascii="方正公文仿宋" w:hAnsi="方正公文仿宋" w:eastAsia="方正公文仿宋" w:cs="方正公文仿宋"/>
                <w:i w:val="0"/>
                <w:iCs w:val="0"/>
                <w:color w:val="000000"/>
                <w:kern w:val="0"/>
                <w:sz w:val="11"/>
                <w:szCs w:val="11"/>
                <w:u w:val="none"/>
                <w:lang w:val="en-US" w:eastAsia="zh-CN" w:bidi="ar"/>
              </w:rPr>
              <w:t>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年初预算</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调整后预算数</w:t>
            </w:r>
          </w:p>
        </w:tc>
        <w:tc>
          <w:tcPr>
            <w:tcW w:w="27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预算执行数</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得分</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0.50</w:t>
            </w:r>
          </w:p>
        </w:tc>
        <w:tc>
          <w:tcPr>
            <w:tcW w:w="27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0.50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iCs/>
                <w:color w:val="000000"/>
                <w:sz w:val="11"/>
                <w:szCs w:val="11"/>
                <w:u w:val="none"/>
              </w:rPr>
            </w:pPr>
            <w:r>
              <w:rPr>
                <w:rFonts w:hint="default" w:ascii="Times New Roman" w:hAnsi="Times New Roman" w:eastAsia="宋体" w:cs="Times New Roman"/>
                <w:i/>
                <w:iCs/>
                <w:color w:val="000000"/>
                <w:kern w:val="0"/>
                <w:sz w:val="11"/>
                <w:szCs w:val="11"/>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0.50</w:t>
            </w:r>
          </w:p>
        </w:tc>
        <w:tc>
          <w:tcPr>
            <w:tcW w:w="27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0.50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7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7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27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绩效指标（</w:t>
            </w:r>
            <w:r>
              <w:rPr>
                <w:rFonts w:hint="default" w:ascii="Times New Roman" w:hAnsi="Times New Roman" w:eastAsia="宋体" w:cs="Times New Roman"/>
                <w:i w:val="0"/>
                <w:iCs w:val="0"/>
                <w:color w:val="000000"/>
                <w:kern w:val="0"/>
                <w:sz w:val="11"/>
                <w:szCs w:val="11"/>
                <w:u w:val="none"/>
                <w:lang w:val="en-US" w:eastAsia="zh-CN" w:bidi="ar"/>
              </w:rPr>
              <w:t>90</w:t>
            </w:r>
            <w:r>
              <w:rPr>
                <w:rFonts w:ascii="方正公文仿宋" w:hAnsi="方正公文仿宋" w:eastAsia="方正公文仿宋" w:cs="方正公文仿宋"/>
                <w:i w:val="0"/>
                <w:iCs w:val="0"/>
                <w:color w:val="000000"/>
                <w:kern w:val="0"/>
                <w:sz w:val="11"/>
                <w:szCs w:val="11"/>
                <w:u w:val="none"/>
                <w:lang w:val="en-US" w:eastAsia="zh-CN" w:bidi="ar"/>
              </w:rPr>
              <w:t>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二级指标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指标性质</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度量单位</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得分</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数量指标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预算编制准确率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90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90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质量指标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项目完成质量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定性</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高</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高</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科目调整次数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次</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时效指标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工作完成时效</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2024</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年</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2024</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可持续发展指标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推进全域旅游工作</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定性</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有效推进</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有效推进</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满意度指标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社会公众满意度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90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90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5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评价结论</w:t>
            </w:r>
          </w:p>
        </w:tc>
        <w:tc>
          <w:tcPr>
            <w:tcW w:w="1203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根据项目执行情况和项目绩效情况，总得分</w:t>
            </w:r>
            <w:r>
              <w:rPr>
                <w:rFonts w:hint="default" w:ascii="Times New Roman" w:hAnsi="Times New Roman" w:eastAsia="宋体" w:cs="Times New Roman"/>
                <w:i w:val="0"/>
                <w:iCs w:val="0"/>
                <w:color w:val="000000"/>
                <w:kern w:val="0"/>
                <w:sz w:val="11"/>
                <w:szCs w:val="11"/>
                <w:u w:val="none"/>
                <w:lang w:val="en-US" w:eastAsia="zh-CN" w:bidi="ar"/>
              </w:rPr>
              <w:t>100</w:t>
            </w:r>
            <w:r>
              <w:rPr>
                <w:rFonts w:ascii="方正公文仿宋" w:hAnsi="方正公文仿宋" w:eastAsia="方正公文仿宋" w:cs="方正公文仿宋"/>
                <w:i w:val="0"/>
                <w:iCs w:val="0"/>
                <w:color w:val="000000"/>
                <w:kern w:val="0"/>
                <w:sz w:val="11"/>
                <w:szCs w:val="11"/>
                <w:u w:val="none"/>
                <w:lang w:val="en-US" w:eastAsia="zh-CN" w:bidi="ar"/>
              </w:rPr>
              <w:t>分，项目综合绩效评价为优秀。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存在问题</w:t>
            </w:r>
          </w:p>
        </w:tc>
        <w:tc>
          <w:tcPr>
            <w:tcW w:w="1203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绩效指标个数较少。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改进措施</w:t>
            </w:r>
          </w:p>
        </w:tc>
        <w:tc>
          <w:tcPr>
            <w:tcW w:w="1203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业务部门和财务部门共同合作，提升绩效指标数量和质量。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2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lang w:val="en-US"/>
              </w:rPr>
            </w:pPr>
            <w:r>
              <w:rPr>
                <w:rFonts w:ascii="方正公文仿宋" w:hAnsi="方正公文仿宋" w:eastAsia="方正公文仿宋" w:cs="方正公文仿宋"/>
                <w:i w:val="0"/>
                <w:iCs w:val="0"/>
                <w:color w:val="000000"/>
                <w:kern w:val="0"/>
                <w:sz w:val="11"/>
                <w:szCs w:val="11"/>
                <w:u w:val="none"/>
                <w:lang w:val="en-US" w:eastAsia="zh-CN" w:bidi="ar"/>
              </w:rPr>
              <w:t>项目负责人：</w:t>
            </w:r>
            <w:r>
              <w:rPr>
                <w:rFonts w:hint="eastAsia" w:ascii="方正公文仿宋" w:hAnsi="方正公文仿宋" w:eastAsia="方正公文仿宋" w:cs="方正公文仿宋"/>
                <w:i w:val="0"/>
                <w:iCs w:val="0"/>
                <w:color w:val="000000"/>
                <w:kern w:val="0"/>
                <w:sz w:val="11"/>
                <w:szCs w:val="11"/>
                <w:u w:val="none"/>
                <w:lang w:val="en-US" w:eastAsia="zh-CN" w:bidi="ar"/>
              </w:rPr>
              <w:t>靳福超</w:t>
            </w:r>
          </w:p>
        </w:tc>
        <w:tc>
          <w:tcPr>
            <w:tcW w:w="544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财务负责人：</w:t>
            </w:r>
            <w:r>
              <w:rPr>
                <w:rFonts w:hint="eastAsia" w:ascii="方正公文仿宋" w:hAnsi="方正公文仿宋" w:eastAsia="方正公文仿宋" w:cs="方正公文仿宋"/>
                <w:i w:val="0"/>
                <w:iCs w:val="0"/>
                <w:color w:val="000000"/>
                <w:kern w:val="0"/>
                <w:sz w:val="11"/>
                <w:szCs w:val="11"/>
                <w:u w:val="none"/>
                <w:lang w:val="en-US" w:eastAsia="zh-CN" w:bidi="ar"/>
              </w:rPr>
              <w:t>李戎生</w:t>
            </w:r>
          </w:p>
        </w:tc>
      </w:tr>
    </w:tbl>
    <w:p>
      <w:pPr>
        <w:pStyle w:val="2"/>
        <w:rPr>
          <w:rFonts w:hint="eastAsia"/>
        </w:rPr>
      </w:pPr>
    </w:p>
    <w:p>
      <w:pPr>
        <w:rPr>
          <w:rFonts w:hint="eastAsia"/>
        </w:rPr>
      </w:pPr>
    </w:p>
    <w:tbl>
      <w:tblPr>
        <w:tblStyle w:val="19"/>
        <w:tblW w:w="1273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0"/>
        <w:gridCol w:w="2005"/>
        <w:gridCol w:w="1735"/>
        <w:gridCol w:w="2212"/>
        <w:gridCol w:w="517"/>
        <w:gridCol w:w="1642"/>
        <w:gridCol w:w="756"/>
        <w:gridCol w:w="1082"/>
        <w:gridCol w:w="504"/>
        <w:gridCol w:w="479"/>
        <w:gridCol w:w="11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3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0"/>
                <w:szCs w:val="30"/>
                <w:u w:val="none"/>
              </w:rPr>
            </w:pPr>
            <w:r>
              <w:rPr>
                <w:rFonts w:ascii="方正小标宋_GBK" w:hAnsi="方正小标宋_GBK" w:eastAsia="方正小标宋_GBK" w:cs="方正小标宋_GBK"/>
                <w:b/>
                <w:bCs/>
                <w:i w:val="0"/>
                <w:iCs w:val="0"/>
                <w:color w:val="000000"/>
                <w:kern w:val="0"/>
                <w:sz w:val="30"/>
                <w:szCs w:val="30"/>
                <w:u w:val="none"/>
                <w:lang w:val="en-US" w:eastAsia="zh-CN" w:bidi="ar"/>
              </w:rPr>
              <w:t>部门预算项目支出绩效自评表（</w:t>
            </w:r>
            <w:r>
              <w:rPr>
                <w:rFonts w:hint="default" w:ascii="Times New Roman" w:hAnsi="Times New Roman" w:eastAsia="宋体" w:cs="Times New Roman"/>
                <w:b/>
                <w:bCs/>
                <w:i w:val="0"/>
                <w:iCs w:val="0"/>
                <w:color w:val="000000"/>
                <w:kern w:val="0"/>
                <w:sz w:val="30"/>
                <w:szCs w:val="30"/>
                <w:u w:val="none"/>
                <w:lang w:val="en-US" w:eastAsia="zh-CN" w:bidi="ar"/>
              </w:rPr>
              <w:t>2024</w:t>
            </w:r>
            <w:r>
              <w:rPr>
                <w:rFonts w:ascii="方正小标宋_GBK" w:hAnsi="方正小标宋_GBK" w:eastAsia="方正小标宋_GBK" w:cs="方正小标宋_GBK"/>
                <w:b/>
                <w:bCs/>
                <w:i w:val="0"/>
                <w:iCs w:val="0"/>
                <w:color w:val="000000"/>
                <w:kern w:val="0"/>
                <w:sz w:val="30"/>
                <w:szCs w:val="30"/>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项目名称</w:t>
            </w:r>
          </w:p>
        </w:tc>
        <w:tc>
          <w:tcPr>
            <w:tcW w:w="1004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51320022T000000356209-办公设备购置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主管部门</w:t>
            </w:r>
          </w:p>
        </w:tc>
        <w:tc>
          <w:tcPr>
            <w:tcW w:w="686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州委政法委部门</w:t>
            </w:r>
          </w:p>
        </w:tc>
        <w:tc>
          <w:tcPr>
            <w:tcW w:w="1082" w:type="dxa"/>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实施单位 （盖章）</w:t>
            </w:r>
          </w:p>
        </w:tc>
        <w:tc>
          <w:tcPr>
            <w:tcW w:w="21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州委政法委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项目基本情况</w:t>
            </w:r>
          </w:p>
        </w:tc>
        <w:tc>
          <w:tcPr>
            <w:tcW w:w="2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1.项目年度目标完成情况</w:t>
            </w:r>
          </w:p>
        </w:tc>
        <w:tc>
          <w:tcPr>
            <w:tcW w:w="686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项目年度目标</w:t>
            </w:r>
          </w:p>
        </w:tc>
        <w:tc>
          <w:tcPr>
            <w:tcW w:w="318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eastAsia" w:ascii="方正公文仿宋" w:hAnsi="方正公文仿宋" w:eastAsia="方正公文仿宋" w:cs="方正公文仿宋"/>
                <w:i w:val="0"/>
                <w:iCs w:val="0"/>
                <w:color w:val="000000"/>
                <w:sz w:val="11"/>
                <w:szCs w:val="11"/>
                <w:u w:val="none"/>
              </w:rPr>
            </w:pPr>
          </w:p>
        </w:tc>
        <w:tc>
          <w:tcPr>
            <w:tcW w:w="2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eastAsia" w:ascii="方正公文仿宋" w:hAnsi="方正公文仿宋" w:eastAsia="方正公文仿宋" w:cs="方正公文仿宋"/>
                <w:i w:val="0"/>
                <w:iCs w:val="0"/>
                <w:color w:val="000000"/>
                <w:sz w:val="11"/>
                <w:szCs w:val="11"/>
                <w:u w:val="none"/>
              </w:rPr>
            </w:pPr>
          </w:p>
        </w:tc>
        <w:tc>
          <w:tcPr>
            <w:tcW w:w="686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根据单位实际，需按照采购相关规定，采购11组保密柜、25套办公桌椅、10组3人沙发。</w:t>
            </w:r>
          </w:p>
        </w:tc>
        <w:tc>
          <w:tcPr>
            <w:tcW w:w="318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根据单位实际，经单位委务会审定后，调整预算，按照采购相关规定购买了办公设备，该批办公设备符合采购需求。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eastAsia" w:ascii="方正公文仿宋" w:hAnsi="方正公文仿宋" w:eastAsia="方正公文仿宋" w:cs="方正公文仿宋"/>
                <w:i w:val="0"/>
                <w:iCs w:val="0"/>
                <w:color w:val="000000"/>
                <w:sz w:val="11"/>
                <w:szCs w:val="11"/>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2.项目实施内容及过程概述</w:t>
            </w:r>
          </w:p>
        </w:tc>
        <w:tc>
          <w:tcPr>
            <w:tcW w:w="1004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通过业务部门提供的具体实施方案，按照财政有关规定及财务管理制度规定制定的项目财务、会计和报帐管理制度，做到手续齐备、数字准确、账目清楚、处理及时。资金使用未超过委务会审定额度。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预算执行情况（10分）</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年度预算数（万元）</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年初预算</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调整后预算数</w:t>
            </w:r>
          </w:p>
        </w:tc>
        <w:tc>
          <w:tcPr>
            <w:tcW w:w="29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预算执行数</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权重</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得分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val="0"/>
                <w:iCs w:val="0"/>
                <w:color w:val="000000"/>
                <w:sz w:val="11"/>
                <w:szCs w:val="11"/>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总额</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0.00</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10.07</w:t>
            </w:r>
          </w:p>
        </w:tc>
        <w:tc>
          <w:tcPr>
            <w:tcW w:w="29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10.07</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w:t>
            </w:r>
          </w:p>
        </w:tc>
        <w:tc>
          <w:tcPr>
            <w:tcW w:w="11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iCs/>
                <w:color w:val="000000"/>
                <w:sz w:val="11"/>
                <w:szCs w:val="11"/>
                <w:u w:val="none"/>
              </w:rPr>
            </w:pPr>
            <w:r>
              <w:rPr>
                <w:rFonts w:hint="eastAsia" w:ascii="方正公文仿宋" w:hAnsi="方正公文仿宋" w:eastAsia="方正公文仿宋" w:cs="方正公文仿宋"/>
                <w:i/>
                <w:iCs/>
                <w:color w:val="000000"/>
                <w:kern w:val="0"/>
                <w:sz w:val="11"/>
                <w:szCs w:val="11"/>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val="0"/>
                <w:iCs w:val="0"/>
                <w:color w:val="000000"/>
                <w:sz w:val="11"/>
                <w:szCs w:val="11"/>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其中：财政资金</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0.00</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10.07</w:t>
            </w:r>
          </w:p>
        </w:tc>
        <w:tc>
          <w:tcPr>
            <w:tcW w:w="29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10.07</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w:t>
            </w:r>
          </w:p>
        </w:tc>
        <w:tc>
          <w:tcPr>
            <w:tcW w:w="1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eastAsia" w:ascii="方正公文仿宋" w:hAnsi="方正公文仿宋" w:eastAsia="方正公文仿宋" w:cs="方正公文仿宋"/>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val="0"/>
                <w:iCs w:val="0"/>
                <w:color w:val="000000"/>
                <w:sz w:val="11"/>
                <w:szCs w:val="11"/>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财政专户管理资金</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0.00</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0.00</w:t>
            </w:r>
          </w:p>
        </w:tc>
        <w:tc>
          <w:tcPr>
            <w:tcW w:w="29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0.00</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w:t>
            </w:r>
          </w:p>
        </w:tc>
        <w:tc>
          <w:tcPr>
            <w:tcW w:w="1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eastAsia" w:ascii="方正公文仿宋" w:hAnsi="方正公文仿宋" w:eastAsia="方正公文仿宋" w:cs="方正公文仿宋"/>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val="0"/>
                <w:iCs w:val="0"/>
                <w:color w:val="000000"/>
                <w:sz w:val="11"/>
                <w:szCs w:val="11"/>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单位资金</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0.00</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0.00</w:t>
            </w:r>
          </w:p>
        </w:tc>
        <w:tc>
          <w:tcPr>
            <w:tcW w:w="29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0.00</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w:t>
            </w:r>
          </w:p>
        </w:tc>
        <w:tc>
          <w:tcPr>
            <w:tcW w:w="1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eastAsia" w:ascii="方正公文仿宋" w:hAnsi="方正公文仿宋" w:eastAsia="方正公文仿宋" w:cs="方正公文仿宋"/>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val="0"/>
                <w:iCs w:val="0"/>
                <w:color w:val="000000"/>
                <w:sz w:val="11"/>
                <w:szCs w:val="11"/>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其他资金</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iCs/>
                <w:color w:val="000000"/>
                <w:sz w:val="11"/>
                <w:szCs w:val="11"/>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iCs/>
                <w:color w:val="000000"/>
                <w:sz w:val="11"/>
                <w:szCs w:val="11"/>
                <w:u w:val="none"/>
              </w:rPr>
            </w:pPr>
          </w:p>
        </w:tc>
        <w:tc>
          <w:tcPr>
            <w:tcW w:w="29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iCs/>
                <w:color w:val="000000"/>
                <w:sz w:val="11"/>
                <w:szCs w:val="11"/>
                <w:u w:val="none"/>
              </w:rPr>
            </w:pP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iCs/>
                <w:color w:val="000000"/>
                <w:sz w:val="11"/>
                <w:szCs w:val="11"/>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w:t>
            </w:r>
          </w:p>
        </w:tc>
        <w:tc>
          <w:tcPr>
            <w:tcW w:w="1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eastAsia" w:ascii="方正公文仿宋" w:hAnsi="方正公文仿宋" w:eastAsia="方正公文仿宋" w:cs="方正公文仿宋"/>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绩效指标（90分）</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一级指标</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二级指标</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三级指标</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指标性质</w:t>
            </w:r>
          </w:p>
        </w:tc>
        <w:tc>
          <w:tcPr>
            <w:tcW w:w="1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指标值</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度量单位</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权重</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得分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val="0"/>
                <w:iCs w:val="0"/>
                <w:color w:val="000000"/>
                <w:sz w:val="11"/>
                <w:szCs w:val="11"/>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产出指标</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数量指标</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采购办公家具数量</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w:t>
            </w:r>
          </w:p>
        </w:tc>
        <w:tc>
          <w:tcPr>
            <w:tcW w:w="1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5</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个（套）</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5</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val="0"/>
                <w:iCs w:val="0"/>
                <w:color w:val="000000"/>
                <w:sz w:val="11"/>
                <w:szCs w:val="11"/>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产出指标</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质量指标</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办公家具使用年限</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定性</w:t>
            </w:r>
          </w:p>
        </w:tc>
        <w:tc>
          <w:tcPr>
            <w:tcW w:w="1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使用年限符合办公家具使用年限相关要求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val="0"/>
                <w:iCs w:val="0"/>
                <w:color w:val="000000"/>
                <w:sz w:val="11"/>
                <w:szCs w:val="11"/>
                <w:u w:val="none"/>
              </w:rPr>
            </w:pP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使用年限符合办公家具使用年限相关要求</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20</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val="0"/>
                <w:iCs w:val="0"/>
                <w:color w:val="000000"/>
                <w:sz w:val="11"/>
                <w:szCs w:val="11"/>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产出指标</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时效指标</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采购完成时间</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定性</w:t>
            </w:r>
          </w:p>
        </w:tc>
        <w:tc>
          <w:tcPr>
            <w:tcW w:w="1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2024年12月前完成采购</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val="0"/>
                <w:iCs w:val="0"/>
                <w:color w:val="000000"/>
                <w:sz w:val="11"/>
                <w:szCs w:val="11"/>
                <w:u w:val="none"/>
              </w:rPr>
            </w:pP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2024年12月前完成采购</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val="0"/>
                <w:iCs w:val="0"/>
                <w:color w:val="000000"/>
                <w:sz w:val="11"/>
                <w:szCs w:val="11"/>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效益指标</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可持续影响指标</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家具使用年限符合预期</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定性</w:t>
            </w:r>
          </w:p>
        </w:tc>
        <w:tc>
          <w:tcPr>
            <w:tcW w:w="1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优良差</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val="0"/>
                <w:iCs w:val="0"/>
                <w:color w:val="000000"/>
                <w:sz w:val="11"/>
                <w:szCs w:val="11"/>
                <w:u w:val="none"/>
              </w:rPr>
            </w:pP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优</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20</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val="0"/>
                <w:iCs w:val="0"/>
                <w:color w:val="000000"/>
                <w:sz w:val="11"/>
                <w:szCs w:val="11"/>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满意度指标</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满意度指标</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职工满意度</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w:t>
            </w:r>
          </w:p>
        </w:tc>
        <w:tc>
          <w:tcPr>
            <w:tcW w:w="1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95</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95</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val="0"/>
                <w:iCs w:val="0"/>
                <w:color w:val="000000"/>
                <w:sz w:val="11"/>
                <w:szCs w:val="11"/>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成本指标</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经济成本指标</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预算控制金额</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w:t>
            </w:r>
          </w:p>
        </w:tc>
        <w:tc>
          <w:tcPr>
            <w:tcW w:w="1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11</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万元</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11</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val="0"/>
                <w:iCs w:val="0"/>
                <w:color w:val="000000"/>
                <w:sz w:val="11"/>
                <w:szCs w:val="11"/>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成本指标</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社会成本指标</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办公家具使用效率</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定性</w:t>
            </w:r>
          </w:p>
        </w:tc>
        <w:tc>
          <w:tcPr>
            <w:tcW w:w="1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合理安排办公家具，保障不闲置，不浪费</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val="0"/>
                <w:iCs w:val="0"/>
                <w:color w:val="000000"/>
                <w:sz w:val="11"/>
                <w:szCs w:val="11"/>
                <w:u w:val="none"/>
              </w:rPr>
            </w:pP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合理安排办公家具，保障不闲置，不浪费</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62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100</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eastAsia" w:ascii="方正公文仿宋" w:hAnsi="方正公文仿宋" w:eastAsia="方正公文仿宋" w:cs="方正公文仿宋"/>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评价结论</w:t>
            </w:r>
          </w:p>
        </w:tc>
        <w:tc>
          <w:tcPr>
            <w:tcW w:w="1205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根据项目执行情况和项目绩效情况，总得分100分，项目综合绩效评价为优秀。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存在问题</w:t>
            </w:r>
          </w:p>
        </w:tc>
        <w:tc>
          <w:tcPr>
            <w:tcW w:w="1205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绩效指标个数较少。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改进措施</w:t>
            </w:r>
          </w:p>
        </w:tc>
        <w:tc>
          <w:tcPr>
            <w:tcW w:w="1205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业务部门和财务部门共同合作，提升绩效指标数量和质量。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1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项目负责人：靳福超</w:t>
            </w:r>
          </w:p>
        </w:tc>
        <w:tc>
          <w:tcPr>
            <w:tcW w:w="558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财务负责人：李戎生</w:t>
            </w:r>
          </w:p>
        </w:tc>
      </w:tr>
    </w:tbl>
    <w:p>
      <w:pPr>
        <w:pStyle w:val="2"/>
        <w:rPr>
          <w:rFonts w:hint="eastAsia"/>
        </w:rPr>
      </w:pP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afterAutospacing="0" w:line="576" w:lineRule="exact"/>
        <w:ind w:firstLine="880" w:firstLineChars="200"/>
        <w:jc w:val="center"/>
        <w:textAlignment w:val="auto"/>
        <w:rPr>
          <w:rFonts w:hint="eastAsia" w:ascii="黑体" w:hAnsi="黑体" w:eastAsia="黑体" w:cs="黑体"/>
          <w:color w:val="000000"/>
          <w:sz w:val="44"/>
          <w:szCs w:val="44"/>
        </w:rPr>
        <w:sectPr>
          <w:footerReference r:id="rId9" w:type="first"/>
          <w:footerReference r:id="rId8" w:type="default"/>
          <w:pgSz w:w="16838" w:h="11906" w:orient="landscape"/>
          <w:pgMar w:top="1587" w:right="2098" w:bottom="1474" w:left="1984" w:header="851" w:footer="992" w:gutter="0"/>
          <w:pgNumType w:fmt="decimal" w:start="31"/>
          <w:cols w:space="0" w:num="1"/>
          <w:titlePg/>
          <w:rtlGutter w:val="0"/>
          <w:docGrid w:type="lines" w:linePitch="315" w:charSpace="0"/>
        </w:sectPr>
      </w:pP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afterAutospacing="0" w:line="576" w:lineRule="exact"/>
        <w:ind w:firstLine="880" w:firstLineChars="200"/>
        <w:jc w:val="center"/>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44"/>
          <w:szCs w:val="44"/>
        </w:rPr>
        <w:t>第五部分 附表</w:t>
      </w:r>
      <w:bookmarkEnd w:id="49"/>
      <w:bookmarkStart w:id="50" w:name="_Toc15396619"/>
    </w:p>
    <w:bookmarkEnd w:id="50"/>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afterAutospacing="0" w:line="576" w:lineRule="exact"/>
        <w:ind w:firstLine="640" w:firstLineChars="200"/>
        <w:textAlignment w:val="auto"/>
        <w:rPr>
          <w:rFonts w:hint="default" w:ascii="仿宋_GB2312" w:hAnsi="仿宋_GB2312" w:eastAsia="仿宋_GB2312" w:cs="仿宋_GB2312"/>
          <w:color w:val="000000"/>
          <w:sz w:val="32"/>
          <w:szCs w:val="32"/>
        </w:rPr>
      </w:pP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afterAutospacing="0" w:line="576"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一、收入支出决算总表</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afterAutospacing="0" w:line="576"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二、收入决算表</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afterAutospacing="0" w:line="576"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三、支出决算表</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afterAutospacing="0" w:line="576"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四、财政拨款收入支出决算总表</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afterAutospacing="0" w:line="576"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五、财政拨款支出决算明细表</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afterAutospacing="0" w:line="576"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六、一般公共预算财政拨款支出决算表</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afterAutospacing="0" w:line="576"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七、一般公共预算财政拨款支出决算明细表</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afterAutospacing="0" w:line="576"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八、一般公共预算财政拨款基本支出决算表</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afterAutospacing="0" w:line="576"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九、一般公共预算财政拨款项目支出决算表</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afterAutospacing="0" w:line="576"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十、政府性基金预算财政拨款收入支出决算表</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afterAutospacing="0" w:line="576"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十一、国有资本经营预算财政拨款收入支出决算表</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afterAutospacing="0" w:line="576"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十二、国有资本经营预算财政拨款支出决算表</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afterAutospacing="0" w:line="576"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十三、财政拨款“三公”经费支出决算表</w:t>
      </w:r>
    </w:p>
    <w:sectPr>
      <w:footerReference r:id="rId11" w:type="first"/>
      <w:footerReference r:id="rId10" w:type="default"/>
      <w:pgSz w:w="11906" w:h="16838"/>
      <w:pgMar w:top="2098" w:right="1474" w:bottom="1984" w:left="1587" w:header="851" w:footer="992" w:gutter="0"/>
      <w:pgNumType w:fmt="decimal" w:start="41"/>
      <w:cols w:space="0" w:num="1"/>
      <w:titlePg/>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DejaVu Sans"/>
    <w:panose1 w:val="02040503050406030204"/>
    <w:charset w:val="00"/>
    <w:family w:val="roman"/>
    <w:pitch w:val="default"/>
    <w:sig w:usb0="00000000" w:usb1="00000000" w:usb2="00000000" w:usb3="00000000" w:csb0="0000019F" w:csb1="00000000"/>
  </w:font>
  <w:font w:name="仿宋_GB2312">
    <w:panose1 w:val="02010609030101010101"/>
    <w:charset w:val="86"/>
    <w:family w:val="modern"/>
    <w:pitch w:val="default"/>
    <w:sig w:usb0="00000001" w:usb1="080E0000" w:usb2="00000000" w:usb3="00000000" w:csb0="00040000" w:csb1="00000000"/>
  </w:font>
  <w:font w:name="??">
    <w:altName w:val="仿宋_GB2312"/>
    <w:panose1 w:val="00000000000000000000"/>
    <w:charset w:val="00"/>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Calibri Light">
    <w:altName w:val="DejaVu Sans"/>
    <w:panose1 w:val="020F0302020204030204"/>
    <w:charset w:val="00"/>
    <w:family w:val="auto"/>
    <w:pitch w:val="default"/>
    <w:sig w:usb0="00000000" w:usb1="00000000" w:usb2="00000000" w:usb3="00000000" w:csb0="2000019F" w:csb1="00000000"/>
  </w:font>
  <w:font w:name="方正小标宋_GBK">
    <w:panose1 w:val="03000502000000000000"/>
    <w:charset w:val="86"/>
    <w:family w:val="auto"/>
    <w:pitch w:val="default"/>
    <w:sig w:usb0="00000001" w:usb1="080E0000" w:usb2="00000000" w:usb3="00000000" w:csb0="00040000" w:csb1="00000000"/>
  </w:font>
  <w:font w:name="方正公文仿宋">
    <w:panose1 w:val="02000000000000000000"/>
    <w:charset w:val="86"/>
    <w:family w:val="auto"/>
    <w:pitch w:val="default"/>
    <w:sig w:usb0="00000001" w:usb1="08000000" w:usb2="00000000" w:usb3="00000000" w:csb0="00040000" w:csb1="00000000"/>
  </w:font>
  <w:font w:name="方正公文小标宋">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Lucida Sans">
    <w:altName w:val="仿宋"/>
    <w:panose1 w:val="00000000000000000000"/>
    <w:charset w:val="01"/>
    <w:family w:val="auto"/>
    <w:pitch w:val="default"/>
    <w:sig w:usb0="00000000" w:usb1="00000000" w:usb2="00000000" w:usb3="00000000" w:csb0="00000000" w:csb1="00000000"/>
  </w:font>
  <w:font w:name="方正公文黑体">
    <w:panose1 w:val="02000000000000000000"/>
    <w:charset w:val="86"/>
    <w:family w:val="auto"/>
    <w:pitch w:val="default"/>
    <w:sig w:usb0="00000001" w:usb1="08000000" w:usb2="00000000" w:usb3="00000000" w:csb0="00040000" w:csb1="00000000"/>
  </w:font>
  <w:font w:name="方正公文楷体">
    <w:panose1 w:val="02000000000000000000"/>
    <w:charset w:val="86"/>
    <w:family w:val="auto"/>
    <w:pitch w:val="default"/>
    <w:sig w:usb0="00000001" w:usb1="08000000" w:usb2="00000000" w:usb3="00000000" w:csb0="00040000" w:csb1="00000000"/>
  </w:font>
  <w:font w:name="simhei">
    <w:altName w:val="仿宋"/>
    <w:panose1 w:val="00000000000000000000"/>
    <w:charset w:val="00"/>
    <w:family w:val="auto"/>
    <w:pitch w:val="default"/>
    <w:sig w:usb0="00000000" w:usb1="00000000" w:usb2="00000000" w:usb3="00000000" w:csb0="0000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jc w:val="center"/>
                          </w:pPr>
                          <w:r>
                            <w:fldChar w:fldCharType="begin"/>
                          </w:r>
                          <w:r>
                            <w:instrText xml:space="preserve">PAGE   \* MERGEFORMAT</w:instrText>
                          </w:r>
                          <w:r>
                            <w:fldChar w:fldCharType="separate"/>
                          </w:r>
                          <w:r>
                            <w:rPr>
                              <w:lang w:val="zh-CN"/>
                            </w:rP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q0RMgIAAGE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">
              <v:fill on="f" focussize="0,0"/>
              <v:stroke on="f" weight="0.5pt"/>
              <v:imagedata o:title=""/>
              <o:lock v:ext="edit" aspectratio="f"/>
              <v:textbox inset="0mm,0mm,0mm,0mm" style="mso-fit-shape-to-text:t;">
                <w:txbxContent>
                  <w:p>
                    <w:pPr>
                      <w:pStyle w:val="12"/>
                      <w:jc w:val="center"/>
                    </w:pPr>
                    <w:r>
                      <w:fldChar w:fldCharType="begin"/>
                    </w:r>
                    <w:r>
                      <w:instrText xml:space="preserve">PAGE   \* MERGEFORMAT</w:instrText>
                    </w:r>
                    <w:r>
                      <w:fldChar w:fldCharType="separate"/>
                    </w:r>
                    <w:r>
                      <w:rPr>
                        <w:lang w:val="zh-CN"/>
                      </w:rPr>
                      <w:t>27</w:t>
                    </w:r>
                    <w:r>
                      <w:fldChar w:fldCharType="end"/>
                    </w:r>
                  </w:p>
                </w:txbxContent>
              </v:textbox>
            </v:shape>
          </w:pict>
        </mc:Fallback>
      </mc:AlternateContent>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lear" w:pos="4153"/>
      </w:tabs>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AwiRJe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jc w:val="center"/>
                          </w:pPr>
                          <w:r>
                            <w:fldChar w:fldCharType="begin"/>
                          </w:r>
                          <w:r>
                            <w:instrText xml:space="preserve">PAGE   \* MERGEFORMAT</w:instrText>
                          </w:r>
                          <w:r>
                            <w:fldChar w:fldCharType="separate"/>
                          </w:r>
                          <w:r>
                            <w:rPr>
                              <w:lang w:val="zh-CN"/>
                            </w:rP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lSD0MgIAAGEEAAAOAAAAZHJz&#10;L2Uyb0RvYy54bWytVM2O0zAQviPxDpbvNGkRq27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">
              <v:fill on="f" focussize="0,0"/>
              <v:stroke on="f" weight="0.5pt"/>
              <v:imagedata o:title=""/>
              <o:lock v:ext="edit" aspectratio="f"/>
              <v:textbox inset="0mm,0mm,0mm,0mm" style="mso-fit-shape-to-text:t;">
                <w:txbxContent>
                  <w:p>
                    <w:pPr>
                      <w:pStyle w:val="12"/>
                      <w:jc w:val="center"/>
                    </w:pPr>
                    <w:r>
                      <w:fldChar w:fldCharType="begin"/>
                    </w:r>
                    <w:r>
                      <w:instrText xml:space="preserve">PAGE   \* MERGEFORMAT</w:instrText>
                    </w:r>
                    <w:r>
                      <w:fldChar w:fldCharType="separate"/>
                    </w:r>
                    <w:r>
                      <w:rPr>
                        <w:lang w:val="zh-CN"/>
                      </w:rPr>
                      <w:t>27</w:t>
                    </w:r>
                    <w:r>
                      <w:fldChar w:fldCharType="end"/>
                    </w:r>
                  </w:p>
                </w:txbxContent>
              </v:textbox>
            </v:shape>
          </w:pict>
        </mc:Fallback>
      </mc:AlternateContent>
    </w:r>
  </w:p>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lear" w:pos="4153"/>
      </w:tabs>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pqK+V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CpqK+VMQIAAGM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jc w:val="center"/>
                          </w:pPr>
                          <w:r>
                            <w:fldChar w:fldCharType="begin"/>
                          </w:r>
                          <w:r>
                            <w:instrText xml:space="preserve">PAGE   \* MERGEFORMAT</w:instrText>
                          </w:r>
                          <w:r>
                            <w:fldChar w:fldCharType="separate"/>
                          </w:r>
                          <w:r>
                            <w:rPr>
                              <w:lang w:val="zh-CN"/>
                            </w:rP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i4dkMgIAAGEEAAAOAAAAZHJz&#10;L2Uyb0RvYy54bWytVM2O0zAQviPxDpbvNGkRu1X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">
              <v:fill on="f" focussize="0,0"/>
              <v:stroke on="f" weight="0.5pt"/>
              <v:imagedata o:title=""/>
              <o:lock v:ext="edit" aspectratio="f"/>
              <v:textbox inset="0mm,0mm,0mm,0mm" style="mso-fit-shape-to-text:t;">
                <w:txbxContent>
                  <w:p>
                    <w:pPr>
                      <w:pStyle w:val="12"/>
                      <w:jc w:val="center"/>
                    </w:pPr>
                    <w:r>
                      <w:fldChar w:fldCharType="begin"/>
                    </w:r>
                    <w:r>
                      <w:instrText xml:space="preserve">PAGE   \* MERGEFORMAT</w:instrText>
                    </w:r>
                    <w:r>
                      <w:fldChar w:fldCharType="separate"/>
                    </w:r>
                    <w:r>
                      <w:rPr>
                        <w:lang w:val="zh-CN"/>
                      </w:rPr>
                      <w:t>27</w:t>
                    </w:r>
                    <w:r>
                      <w:fldChar w:fldCharType="end"/>
                    </w:r>
                  </w:p>
                </w:txbxContent>
              </v:textbox>
            </v:shape>
          </w:pict>
        </mc:Fallback>
      </mc:AlternateContent>
    </w:r>
  </w:p>
  <w:p>
    <w:pPr>
      <w:pStyle w:val="1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DHl7XO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jc w:val="center"/>
                          </w:pPr>
                          <w:r>
                            <w:fldChar w:fldCharType="begin"/>
                          </w:r>
                          <w:r>
                            <w:instrText xml:space="preserve">PAGE   \* MERGEFORMAT</w:instrText>
                          </w:r>
                          <w:r>
                            <w:fldChar w:fldCharType="separate"/>
                          </w:r>
                          <w:r>
                            <w:rPr>
                              <w:lang w:val="zh-CN"/>
                            </w:rP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DrADh6MQIAAGM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12"/>
                      <w:jc w:val="center"/>
                    </w:pPr>
                    <w:r>
                      <w:fldChar w:fldCharType="begin"/>
                    </w:r>
                    <w:r>
                      <w:instrText xml:space="preserve">PAGE   \* MERGEFORMAT</w:instrText>
                    </w:r>
                    <w:r>
                      <w:fldChar w:fldCharType="separate"/>
                    </w:r>
                    <w:r>
                      <w:rPr>
                        <w:lang w:val="zh-CN"/>
                      </w:rPr>
                      <w:t>27</w:t>
                    </w:r>
                    <w:r>
                      <w:fldChar w:fldCharType="end"/>
                    </w:r>
                  </w:p>
                </w:txbxContent>
              </v:textbox>
            </v:shape>
          </w:pict>
        </mc:Fallback>
      </mc:AlternateContent>
    </w:r>
  </w:p>
  <w:p>
    <w:pPr>
      <w:pStyle w:val="12"/>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30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dit="readOnly" w:enforcement="0"/>
  <w:defaultTabStop w:val="420"/>
  <w:drawingGridHorizontalSpacing w:val="105"/>
  <w:drawingGridVerticalSpacing w:val="158"/>
  <w:displayHorizontalDrawingGridEvery w:val="1"/>
  <w:displayVerticalDrawingGridEvery w:val="2"/>
  <w:noPunctuationKerning w:val="1"/>
  <w:characterSpacingControl w:val="compressPunctuation"/>
  <w:noLineBreaksAfter w:lang="zh-CN" w:val="$([{£¥·‘“〈《「『【〔〖〝﹙﹛﹝＄（．［｛￡￥"/>
  <w:noLineBreaksBefore w:lang="zh-CN" w:val="!%),.:;&gt;?]}¢¨°·ˇˉ―‖’”…‰′″›℃∶、。〃〉》」』】〕〗〞︶︺︾﹀﹄﹚﹜﹞！＂％＇），．：；？］｀｜｝～￠"/>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CBAC3B"/>
    <w:rsid w:val="0DF16E51"/>
    <w:rsid w:val="0F0F7E72"/>
    <w:rsid w:val="0FFF410A"/>
    <w:rsid w:val="1D6FF929"/>
    <w:rsid w:val="1EDFE0B9"/>
    <w:rsid w:val="1FF6DAAA"/>
    <w:rsid w:val="1FFF7759"/>
    <w:rsid w:val="27FB0990"/>
    <w:rsid w:val="297FF61D"/>
    <w:rsid w:val="2EF703EE"/>
    <w:rsid w:val="2FF50864"/>
    <w:rsid w:val="2FFF2724"/>
    <w:rsid w:val="33FF20B2"/>
    <w:rsid w:val="35877992"/>
    <w:rsid w:val="35FE0B02"/>
    <w:rsid w:val="39D36B56"/>
    <w:rsid w:val="39EFA5A2"/>
    <w:rsid w:val="39FDF4A2"/>
    <w:rsid w:val="3AF9B953"/>
    <w:rsid w:val="3DDFA9BD"/>
    <w:rsid w:val="3EE376C5"/>
    <w:rsid w:val="3EEFD572"/>
    <w:rsid w:val="3EFABA70"/>
    <w:rsid w:val="3F13FA48"/>
    <w:rsid w:val="3F308DC2"/>
    <w:rsid w:val="3F9C69AA"/>
    <w:rsid w:val="3FD9B66D"/>
    <w:rsid w:val="49736254"/>
    <w:rsid w:val="4B7FE096"/>
    <w:rsid w:val="4FAF50BE"/>
    <w:rsid w:val="53FF3588"/>
    <w:rsid w:val="56DB1824"/>
    <w:rsid w:val="57777F5C"/>
    <w:rsid w:val="57BFBC4E"/>
    <w:rsid w:val="5AED3A42"/>
    <w:rsid w:val="5B7F0A7D"/>
    <w:rsid w:val="5BB74121"/>
    <w:rsid w:val="5BD9BB6F"/>
    <w:rsid w:val="5BE64B22"/>
    <w:rsid w:val="5BFB670E"/>
    <w:rsid w:val="5BFF53EA"/>
    <w:rsid w:val="5CF12A96"/>
    <w:rsid w:val="5D75B13F"/>
    <w:rsid w:val="5E06FF84"/>
    <w:rsid w:val="5E340B47"/>
    <w:rsid w:val="5E5A6538"/>
    <w:rsid w:val="5E7A3E67"/>
    <w:rsid w:val="5E7F7A91"/>
    <w:rsid w:val="5EB46D6A"/>
    <w:rsid w:val="5ECE9BB9"/>
    <w:rsid w:val="5EFCAD3C"/>
    <w:rsid w:val="5EFFBF6A"/>
    <w:rsid w:val="5F7F6D57"/>
    <w:rsid w:val="5F9F51C3"/>
    <w:rsid w:val="5FC69028"/>
    <w:rsid w:val="5FCAB4DF"/>
    <w:rsid w:val="5FCE44C0"/>
    <w:rsid w:val="5FFF34D8"/>
    <w:rsid w:val="61DB4851"/>
    <w:rsid w:val="6477048A"/>
    <w:rsid w:val="66B6732F"/>
    <w:rsid w:val="67770C2E"/>
    <w:rsid w:val="67CF0DF6"/>
    <w:rsid w:val="67FFA6C0"/>
    <w:rsid w:val="69FF8A78"/>
    <w:rsid w:val="6BFFDCD9"/>
    <w:rsid w:val="6C47519B"/>
    <w:rsid w:val="6DB3B7E1"/>
    <w:rsid w:val="6F3F7BF1"/>
    <w:rsid w:val="6F9FFDC1"/>
    <w:rsid w:val="6FE2CE45"/>
    <w:rsid w:val="6FF965BE"/>
    <w:rsid w:val="6FFF0404"/>
    <w:rsid w:val="715EDF45"/>
    <w:rsid w:val="727FB87B"/>
    <w:rsid w:val="736DB8EF"/>
    <w:rsid w:val="73DF3BA2"/>
    <w:rsid w:val="73F6322E"/>
    <w:rsid w:val="73FC3C08"/>
    <w:rsid w:val="74F22729"/>
    <w:rsid w:val="74FA6BFF"/>
    <w:rsid w:val="75B9F113"/>
    <w:rsid w:val="769E081B"/>
    <w:rsid w:val="771D2537"/>
    <w:rsid w:val="775F59FA"/>
    <w:rsid w:val="777D9F21"/>
    <w:rsid w:val="77B43FBA"/>
    <w:rsid w:val="77B71A0D"/>
    <w:rsid w:val="77DD47FC"/>
    <w:rsid w:val="77DF57C5"/>
    <w:rsid w:val="77EF20FD"/>
    <w:rsid w:val="77FFBE9E"/>
    <w:rsid w:val="77FFD715"/>
    <w:rsid w:val="7AFE43D3"/>
    <w:rsid w:val="7B794F78"/>
    <w:rsid w:val="7B7E382A"/>
    <w:rsid w:val="7BB7C05B"/>
    <w:rsid w:val="7BBB2FBB"/>
    <w:rsid w:val="7BBB768A"/>
    <w:rsid w:val="7BFFCF58"/>
    <w:rsid w:val="7C6B2DB6"/>
    <w:rsid w:val="7CAF2ECE"/>
    <w:rsid w:val="7D2F6FD0"/>
    <w:rsid w:val="7D7FD6C0"/>
    <w:rsid w:val="7DB7BBC8"/>
    <w:rsid w:val="7DFEF52D"/>
    <w:rsid w:val="7E631E5E"/>
    <w:rsid w:val="7E7A601E"/>
    <w:rsid w:val="7EBD73D7"/>
    <w:rsid w:val="7ED7CD26"/>
    <w:rsid w:val="7EFFDA60"/>
    <w:rsid w:val="7F6F1829"/>
    <w:rsid w:val="7F7D57E1"/>
    <w:rsid w:val="7F9FB1EB"/>
    <w:rsid w:val="7FA747DA"/>
    <w:rsid w:val="7FAFFDA3"/>
    <w:rsid w:val="7FB53635"/>
    <w:rsid w:val="7FBA866F"/>
    <w:rsid w:val="7FBB0CC3"/>
    <w:rsid w:val="7FBF3813"/>
    <w:rsid w:val="7FD7E0B9"/>
    <w:rsid w:val="7FD7E8BF"/>
    <w:rsid w:val="7FD7FECD"/>
    <w:rsid w:val="7FD84972"/>
    <w:rsid w:val="7FDB7E36"/>
    <w:rsid w:val="7FDD587E"/>
    <w:rsid w:val="7FE9B614"/>
    <w:rsid w:val="7FEC56F1"/>
    <w:rsid w:val="7FEE282D"/>
    <w:rsid w:val="7FEFECBF"/>
    <w:rsid w:val="7FF555F6"/>
    <w:rsid w:val="7FF71865"/>
    <w:rsid w:val="7FF7A9B1"/>
    <w:rsid w:val="7FF7AFC2"/>
    <w:rsid w:val="7FFD3691"/>
    <w:rsid w:val="7FFD71F2"/>
    <w:rsid w:val="7FFDBBF6"/>
    <w:rsid w:val="7FFDE83D"/>
    <w:rsid w:val="7FFE9C57"/>
    <w:rsid w:val="7FFFCE9A"/>
    <w:rsid w:val="898E778D"/>
    <w:rsid w:val="8B7FAA71"/>
    <w:rsid w:val="94E6A478"/>
    <w:rsid w:val="98B510AE"/>
    <w:rsid w:val="98FB735C"/>
    <w:rsid w:val="9B5F15F4"/>
    <w:rsid w:val="9BF76FC2"/>
    <w:rsid w:val="9EFF01A0"/>
    <w:rsid w:val="9FEF0B54"/>
    <w:rsid w:val="9FF7C979"/>
    <w:rsid w:val="A655EE13"/>
    <w:rsid w:val="A7196BF0"/>
    <w:rsid w:val="A9EFD409"/>
    <w:rsid w:val="AA7E22F2"/>
    <w:rsid w:val="AA7FE4E0"/>
    <w:rsid w:val="AB9E64B4"/>
    <w:rsid w:val="AEB5F1AB"/>
    <w:rsid w:val="AF8FFE6D"/>
    <w:rsid w:val="B0DD0511"/>
    <w:rsid w:val="B1FF136C"/>
    <w:rsid w:val="B3FD89C9"/>
    <w:rsid w:val="B3FF2AA6"/>
    <w:rsid w:val="B46FFB44"/>
    <w:rsid w:val="B5EEC036"/>
    <w:rsid w:val="B7FFD812"/>
    <w:rsid w:val="B8BF48AC"/>
    <w:rsid w:val="B8EB7DEB"/>
    <w:rsid w:val="BCAF5EF2"/>
    <w:rsid w:val="BCED427D"/>
    <w:rsid w:val="BDD97C83"/>
    <w:rsid w:val="BED3F5AA"/>
    <w:rsid w:val="BEEFE7C4"/>
    <w:rsid w:val="BF3EA4E3"/>
    <w:rsid w:val="BF5F882B"/>
    <w:rsid w:val="BF7BA066"/>
    <w:rsid w:val="BF7CF39F"/>
    <w:rsid w:val="BF7F82B4"/>
    <w:rsid w:val="BFACDA84"/>
    <w:rsid w:val="BFBCEB1C"/>
    <w:rsid w:val="BFFB3700"/>
    <w:rsid w:val="BFFF8B02"/>
    <w:rsid w:val="C5FBC013"/>
    <w:rsid w:val="C7DFF375"/>
    <w:rsid w:val="CBAF6C47"/>
    <w:rsid w:val="CF3E863B"/>
    <w:rsid w:val="CFF78FD8"/>
    <w:rsid w:val="D4FB1AF3"/>
    <w:rsid w:val="D76E075E"/>
    <w:rsid w:val="D7E3EB27"/>
    <w:rsid w:val="D7F8A031"/>
    <w:rsid w:val="D9F3AA7D"/>
    <w:rsid w:val="DAF76E8B"/>
    <w:rsid w:val="DB2F1843"/>
    <w:rsid w:val="DBF64098"/>
    <w:rsid w:val="DCFF3B47"/>
    <w:rsid w:val="DDF40EA8"/>
    <w:rsid w:val="DDFB5F3B"/>
    <w:rsid w:val="DEF54476"/>
    <w:rsid w:val="DF7B292C"/>
    <w:rsid w:val="DF9306EA"/>
    <w:rsid w:val="DF9F0C2A"/>
    <w:rsid w:val="DF9F8F71"/>
    <w:rsid w:val="DFB76FD6"/>
    <w:rsid w:val="DFC79989"/>
    <w:rsid w:val="DFDF38C9"/>
    <w:rsid w:val="DFE173E3"/>
    <w:rsid w:val="DFE72EC7"/>
    <w:rsid w:val="DFF314E0"/>
    <w:rsid w:val="DFFB9419"/>
    <w:rsid w:val="DFFE4D0C"/>
    <w:rsid w:val="E689B88E"/>
    <w:rsid w:val="E7BD7FF8"/>
    <w:rsid w:val="EA721425"/>
    <w:rsid w:val="EBB7E43F"/>
    <w:rsid w:val="EBEFA8F6"/>
    <w:rsid w:val="EDB7EBA6"/>
    <w:rsid w:val="EDEB265D"/>
    <w:rsid w:val="EDF2F84C"/>
    <w:rsid w:val="EEEE23EF"/>
    <w:rsid w:val="EEF50678"/>
    <w:rsid w:val="EF376C07"/>
    <w:rsid w:val="EF5C104D"/>
    <w:rsid w:val="EF6C0F7E"/>
    <w:rsid w:val="EF7D03B5"/>
    <w:rsid w:val="EFBF9714"/>
    <w:rsid w:val="EFFFE183"/>
    <w:rsid w:val="F347FC10"/>
    <w:rsid w:val="F3ADFACA"/>
    <w:rsid w:val="F3E2236E"/>
    <w:rsid w:val="F3FBF3A0"/>
    <w:rsid w:val="F4B49787"/>
    <w:rsid w:val="F55F1B3B"/>
    <w:rsid w:val="F5B73878"/>
    <w:rsid w:val="F5E6DB98"/>
    <w:rsid w:val="F5F5A803"/>
    <w:rsid w:val="F63D357C"/>
    <w:rsid w:val="F6D51849"/>
    <w:rsid w:val="F6DF417E"/>
    <w:rsid w:val="F6F548A8"/>
    <w:rsid w:val="F6FA757A"/>
    <w:rsid w:val="F6FE2DDD"/>
    <w:rsid w:val="F7763685"/>
    <w:rsid w:val="F776500A"/>
    <w:rsid w:val="F779C4FB"/>
    <w:rsid w:val="F7BE21FF"/>
    <w:rsid w:val="F7BF2AD2"/>
    <w:rsid w:val="F7BFFC27"/>
    <w:rsid w:val="F7CB6EF0"/>
    <w:rsid w:val="F7D76F38"/>
    <w:rsid w:val="F7F15569"/>
    <w:rsid w:val="F7F61311"/>
    <w:rsid w:val="F7F71E57"/>
    <w:rsid w:val="F7FFED58"/>
    <w:rsid w:val="F9F5157F"/>
    <w:rsid w:val="FA4D0140"/>
    <w:rsid w:val="FB7BE2D0"/>
    <w:rsid w:val="FB91753A"/>
    <w:rsid w:val="FBCF8F84"/>
    <w:rsid w:val="FBE8F7BB"/>
    <w:rsid w:val="FBEF61EA"/>
    <w:rsid w:val="FBEF7FF2"/>
    <w:rsid w:val="FBF3FCE9"/>
    <w:rsid w:val="FBF85B96"/>
    <w:rsid w:val="FBFB5A6E"/>
    <w:rsid w:val="FBFF8C87"/>
    <w:rsid w:val="FBFFF873"/>
    <w:rsid w:val="FC7DE244"/>
    <w:rsid w:val="FCBFADBB"/>
    <w:rsid w:val="FD7B804C"/>
    <w:rsid w:val="FD7E528A"/>
    <w:rsid w:val="FDDF3643"/>
    <w:rsid w:val="FDEF8B59"/>
    <w:rsid w:val="FDF7C2B7"/>
    <w:rsid w:val="FDFBAAA9"/>
    <w:rsid w:val="FDFD4EA0"/>
    <w:rsid w:val="FDFFDEAC"/>
    <w:rsid w:val="FE5D1742"/>
    <w:rsid w:val="FE7D04AB"/>
    <w:rsid w:val="FEBF6858"/>
    <w:rsid w:val="FEBFFC81"/>
    <w:rsid w:val="FEFEC435"/>
    <w:rsid w:val="FEFEE80E"/>
    <w:rsid w:val="FEFFC065"/>
    <w:rsid w:val="FF7E1F8C"/>
    <w:rsid w:val="FF7F0038"/>
    <w:rsid w:val="FFBEEC44"/>
    <w:rsid w:val="FFBFD50D"/>
    <w:rsid w:val="FFCF9246"/>
    <w:rsid w:val="FFDFFC5B"/>
    <w:rsid w:val="FFEFD951"/>
    <w:rsid w:val="FFF5272E"/>
    <w:rsid w:val="FFF559E5"/>
    <w:rsid w:val="FFF9D5BF"/>
    <w:rsid w:val="FFF9E837"/>
    <w:rsid w:val="FFFA80A5"/>
    <w:rsid w:val="FFFB6F87"/>
    <w:rsid w:val="FFFFA04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3"/>
    <w:qFormat/>
    <w:uiPriority w:val="0"/>
    <w:pPr>
      <w:keepNext/>
      <w:keepLines/>
      <w:widowControl w:val="0"/>
      <w:spacing w:before="340" w:after="330" w:line="578" w:lineRule="auto"/>
      <w:outlineLvl w:val="0"/>
    </w:pPr>
    <w:rPr>
      <w:b/>
      <w:bCs/>
      <w:kern w:val="44"/>
      <w:sz w:val="44"/>
      <w:szCs w:val="44"/>
    </w:rPr>
  </w:style>
  <w:style w:type="paragraph" w:styleId="5">
    <w:name w:val="heading 2"/>
    <w:basedOn w:val="1"/>
    <w:link w:val="24"/>
    <w:qFormat/>
    <w:uiPriority w:val="0"/>
    <w:pPr>
      <w:keepNext/>
      <w:keepLines/>
      <w:widowControl w:val="0"/>
      <w:spacing w:before="260" w:after="260" w:line="415" w:lineRule="auto"/>
      <w:outlineLvl w:val="1"/>
    </w:pPr>
    <w:rPr>
      <w:rFonts w:ascii="Cambria" w:hAnsi="Cambria"/>
      <w:b/>
      <w:bCs/>
      <w:sz w:val="32"/>
      <w:szCs w:val="32"/>
    </w:rPr>
  </w:style>
  <w:style w:type="paragraph" w:styleId="6">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0">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2"/>
    <w:qFormat/>
    <w:uiPriority w:val="0"/>
    <w:pPr>
      <w:spacing w:after="120"/>
      <w:ind w:leftChars="200"/>
    </w:pPr>
    <w:rPr>
      <w:rFonts w:ascii="仿宋_GB2312"/>
      <w:szCs w:val="32"/>
    </w:rPr>
  </w:style>
  <w:style w:type="paragraph" w:styleId="7">
    <w:name w:val="Body Text"/>
    <w:basedOn w:val="1"/>
    <w:qFormat/>
    <w:uiPriority w:val="0"/>
    <w:pPr>
      <w:spacing w:before="30" w:beforeLines="30"/>
    </w:pPr>
    <w:rPr>
      <w:rFonts w:ascii="仿宋_GB2312" w:eastAsia="仿宋_GB2312"/>
      <w:kern w:val="0"/>
      <w:sz w:val="24"/>
      <w:szCs w:val="20"/>
    </w:rPr>
  </w:style>
  <w:style w:type="paragraph" w:styleId="8">
    <w:name w:val="toc 3"/>
    <w:basedOn w:val="1"/>
    <w:next w:val="1"/>
    <w:qFormat/>
    <w:uiPriority w:val="0"/>
    <w:pPr>
      <w:tabs>
        <w:tab w:val="right" w:leader="dot" w:pos="8296"/>
      </w:tabs>
      <w:ind w:left="400" w:leftChars="400"/>
    </w:pPr>
  </w:style>
  <w:style w:type="paragraph" w:styleId="9">
    <w:name w:val="Plain Text"/>
    <w:basedOn w:val="1"/>
    <w:next w:val="10"/>
    <w:qFormat/>
    <w:uiPriority w:val="0"/>
    <w:pPr>
      <w:widowControl w:val="0"/>
      <w:jc w:val="both"/>
    </w:pPr>
    <w:rPr>
      <w:rFonts w:ascii="宋体" w:eastAsia="宋体" w:cs="Courier New"/>
      <w:kern w:val="2"/>
      <w:sz w:val="32"/>
      <w:szCs w:val="21"/>
      <w:lang w:val="en-US" w:eastAsia="zh-CN" w:bidi="ar-SA"/>
    </w:rPr>
  </w:style>
  <w:style w:type="paragraph" w:customStyle="1" w:styleId="10">
    <w:name w:val="四号正文"/>
    <w:basedOn w:val="1"/>
    <w:qFormat/>
    <w:uiPriority w:val="0"/>
    <w:pPr>
      <w:spacing w:line="360" w:lineRule="auto"/>
    </w:pPr>
    <w:rPr>
      <w:rFonts w:ascii="??" w:hAnsi="??" w:eastAsia="宋体"/>
      <w:color w:val="000000"/>
      <w:kern w:val="0"/>
      <w:sz w:val="28"/>
      <w:szCs w:val="21"/>
      <w:lang w:val="zh-CN" w:eastAsia="zh-CN"/>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4">
    <w:name w:val="toc 1"/>
    <w:basedOn w:val="1"/>
    <w:next w:val="1"/>
    <w:qFormat/>
    <w:uiPriority w:val="0"/>
    <w:pPr>
      <w:tabs>
        <w:tab w:val="right" w:leader="dot" w:pos="8296"/>
      </w:tabs>
      <w:spacing w:before="93"/>
      <w:jc w:val="center"/>
    </w:pPr>
    <w:rPr>
      <w:rFonts w:ascii="仿宋" w:eastAsia="仿宋"/>
      <w:sz w:val="28"/>
      <w:szCs w:val="28"/>
    </w:rPr>
  </w:style>
  <w:style w:type="paragraph" w:styleId="15">
    <w:name w:val="Subtitle"/>
    <w:basedOn w:val="1"/>
    <w:next w:val="1"/>
    <w:qFormat/>
    <w:uiPriority w:val="0"/>
    <w:pPr>
      <w:spacing w:before="240" w:after="60" w:line="312" w:lineRule="auto"/>
      <w:jc w:val="center"/>
      <w:outlineLvl w:val="1"/>
    </w:pPr>
    <w:rPr>
      <w:rFonts w:ascii="Calibri Light" w:hAnsi="Calibri Light"/>
      <w:b/>
      <w:bCs/>
      <w:kern w:val="28"/>
      <w:sz w:val="32"/>
      <w:szCs w:val="32"/>
    </w:rPr>
  </w:style>
  <w:style w:type="paragraph" w:styleId="16">
    <w:name w:val="footnote text"/>
    <w:basedOn w:val="1"/>
    <w:next w:val="2"/>
    <w:semiHidden/>
    <w:qFormat/>
    <w:uiPriority w:val="0"/>
    <w:pPr>
      <w:snapToGrid w:val="0"/>
      <w:jc w:val="left"/>
    </w:pPr>
    <w:rPr>
      <w:sz w:val="18"/>
      <w:szCs w:val="18"/>
    </w:rPr>
  </w:style>
  <w:style w:type="paragraph" w:styleId="17">
    <w:name w:val="toc 2"/>
    <w:basedOn w:val="1"/>
    <w:next w:val="1"/>
    <w:qFormat/>
    <w:uiPriority w:val="0"/>
    <w:pPr>
      <w:tabs>
        <w:tab w:val="right" w:leader="dot" w:pos="8296"/>
      </w:tabs>
      <w:ind w:left="200" w:leftChars="200"/>
    </w:pPr>
  </w:style>
  <w:style w:type="paragraph" w:styleId="18">
    <w:name w:val="Normal (Web)"/>
    <w:basedOn w:val="1"/>
    <w:qFormat/>
    <w:uiPriority w:val="0"/>
    <w:pPr>
      <w:widowControl/>
      <w:spacing w:before="100" w:beforeAutospacing="1" w:after="100" w:afterAutospacing="1"/>
      <w:jc w:val="left"/>
    </w:pPr>
    <w:rPr>
      <w:rFonts w:ascii="宋体" w:cs="宋体"/>
      <w:kern w:val="0"/>
      <w:sz w:val="24"/>
    </w:rPr>
  </w:style>
  <w:style w:type="character" w:styleId="21">
    <w:name w:val="Strong"/>
    <w:basedOn w:val="20"/>
    <w:qFormat/>
    <w:uiPriority w:val="0"/>
    <w:rPr>
      <w:rFonts w:cs="Times New Roman"/>
      <w:b/>
    </w:rPr>
  </w:style>
  <w:style w:type="character" w:styleId="22">
    <w:name w:val="Hyperlink"/>
    <w:basedOn w:val="20"/>
    <w:qFormat/>
    <w:uiPriority w:val="0"/>
    <w:rPr>
      <w:rFonts w:cs="Times New Roman"/>
      <w:color w:val="0000FF"/>
      <w:u w:val="single"/>
    </w:rPr>
  </w:style>
  <w:style w:type="character" w:customStyle="1" w:styleId="23">
    <w:name w:val="heading 1 Char"/>
    <w:basedOn w:val="20"/>
    <w:link w:val="4"/>
    <w:qFormat/>
    <w:uiPriority w:val="0"/>
    <w:rPr>
      <w:rFonts w:ascii="Times New Roman" w:hAnsi="Times New Roman" w:eastAsia="宋体" w:cs="Times New Roman"/>
      <w:b/>
      <w:bCs/>
      <w:kern w:val="44"/>
      <w:sz w:val="44"/>
      <w:szCs w:val="44"/>
      <w:lang w:val="en-US" w:eastAsia="zh-CN" w:bidi="ar-SA"/>
    </w:rPr>
  </w:style>
  <w:style w:type="character" w:customStyle="1" w:styleId="24">
    <w:name w:val="heading 2 Char"/>
    <w:basedOn w:val="20"/>
    <w:link w:val="5"/>
    <w:qFormat/>
    <w:uiPriority w:val="0"/>
    <w:rPr>
      <w:rFonts w:ascii="Cambria" w:hAnsi="Cambria" w:eastAsia="宋体" w:cs="Times New Roman"/>
      <w:b/>
      <w:bCs/>
      <w:kern w:val="2"/>
      <w:sz w:val="32"/>
      <w:szCs w:val="32"/>
      <w:lang w:val="en-US" w:eastAsia="zh-CN" w:bidi="ar-SA"/>
    </w:r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kern w:val="0"/>
      <w:sz w:val="24"/>
      <w:szCs w:val="24"/>
      <w:lang w:val="en-US" w:eastAsia="zh-CN" w:bidi="ar-SA"/>
    </w:rPr>
  </w:style>
  <w:style w:type="paragraph" w:styleId="26">
    <w:name w:val="List Paragraph"/>
    <w:basedOn w:val="1"/>
    <w:qFormat/>
    <w:uiPriority w:val="0"/>
    <w:pPr>
      <w:ind w:firstLine="200" w:firstLineChars="200"/>
    </w:pPr>
  </w:style>
  <w:style w:type="paragraph" w:customStyle="1" w:styleId="27">
    <w:name w:val="TOC 标题1"/>
    <w:basedOn w:val="4"/>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28">
    <w:name w:val="TOC Heading"/>
    <w:basedOn w:val="4"/>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character" w:customStyle="1" w:styleId="29">
    <w:name w:val="font01"/>
    <w:basedOn w:val="20"/>
    <w:qFormat/>
    <w:uiPriority w:val="0"/>
    <w:rPr>
      <w:rFonts w:ascii="方正小标宋_GBK" w:hAnsi="方正小标宋_GBK" w:eastAsia="方正小标宋_GBK" w:cs="方正小标宋_GBK"/>
      <w:b/>
      <w:bCs/>
      <w:color w:val="000000"/>
      <w:sz w:val="30"/>
      <w:szCs w:val="30"/>
      <w:u w:val="none"/>
    </w:rPr>
  </w:style>
  <w:style w:type="character" w:customStyle="1" w:styleId="30">
    <w:name w:val="font11"/>
    <w:basedOn w:val="20"/>
    <w:qFormat/>
    <w:uiPriority w:val="0"/>
    <w:rPr>
      <w:rFonts w:ascii="方正小标宋_GBK" w:hAnsi="方正小标宋_GBK" w:eastAsia="方正小标宋_GBK" w:cs="方正小标宋_GBK"/>
      <w:b/>
      <w:bCs/>
      <w:color w:val="000000"/>
      <w:sz w:val="30"/>
      <w:szCs w:val="30"/>
      <w:u w:val="none"/>
    </w:rPr>
  </w:style>
  <w:style w:type="character" w:customStyle="1" w:styleId="31">
    <w:name w:val="font81"/>
    <w:basedOn w:val="20"/>
    <w:qFormat/>
    <w:uiPriority w:val="0"/>
    <w:rPr>
      <w:rFonts w:hint="default" w:ascii="Times New Roman" w:hAnsi="Times New Roman" w:cs="Times New Roman"/>
      <w:color w:val="000000"/>
      <w:sz w:val="18"/>
      <w:szCs w:val="18"/>
      <w:u w:val="none"/>
    </w:rPr>
  </w:style>
  <w:style w:type="character" w:customStyle="1" w:styleId="32">
    <w:name w:val="font91"/>
    <w:basedOn w:val="20"/>
    <w:qFormat/>
    <w:uiPriority w:val="0"/>
    <w:rPr>
      <w:rFonts w:hint="default" w:ascii="Times New Roman" w:hAnsi="Times New Roman" w:cs="Times New Roman"/>
      <w:color w:val="000000"/>
      <w:sz w:val="18"/>
      <w:szCs w:val="18"/>
      <w:u w:val="none"/>
    </w:rPr>
  </w:style>
  <w:style w:type="character" w:customStyle="1" w:styleId="33">
    <w:name w:val="font41"/>
    <w:basedOn w:val="20"/>
    <w:qFormat/>
    <w:uiPriority w:val="0"/>
    <w:rPr>
      <w:rFonts w:hint="default" w:ascii="Times New Roman" w:hAnsi="Times New Roman" w:cs="Times New Roman"/>
      <w:color w:val="000000"/>
      <w:sz w:val="18"/>
      <w:szCs w:val="18"/>
      <w:u w:val="none"/>
    </w:rPr>
  </w:style>
  <w:style w:type="character" w:customStyle="1" w:styleId="34">
    <w:name w:val="font31"/>
    <w:basedOn w:val="20"/>
    <w:qFormat/>
    <w:uiPriority w:val="0"/>
    <w:rPr>
      <w:rFonts w:hint="default" w:ascii="Times New Roman" w:hAnsi="Times New Roman" w:cs="Times New Roman"/>
      <w:color w:val="000000"/>
      <w:sz w:val="18"/>
      <w:szCs w:val="18"/>
      <w:u w:val="none"/>
    </w:rPr>
  </w:style>
  <w:style w:type="character" w:customStyle="1" w:styleId="35">
    <w:name w:val="font51"/>
    <w:basedOn w:val="20"/>
    <w:qFormat/>
    <w:uiPriority w:val="0"/>
    <w:rPr>
      <w:rFonts w:ascii="方正公文仿宋" w:hAnsi="方正公文仿宋" w:eastAsia="方正公文仿宋" w:cs="方正公文仿宋"/>
      <w:color w:val="000000"/>
      <w:sz w:val="18"/>
      <w:szCs w:val="18"/>
      <w:u w:val="none"/>
    </w:rPr>
  </w:style>
  <w:style w:type="character" w:customStyle="1" w:styleId="36">
    <w:name w:val="font21"/>
    <w:basedOn w:val="20"/>
    <w:qFormat/>
    <w:uiPriority w:val="0"/>
    <w:rPr>
      <w:rFonts w:hint="default" w:ascii="Times New Roman" w:hAnsi="Times New Roman" w:cs="Times New Roman"/>
      <w:color w:val="000000"/>
      <w:sz w:val="18"/>
      <w:szCs w:val="18"/>
      <w:u w:val="none"/>
    </w:rPr>
  </w:style>
  <w:style w:type="character" w:customStyle="1" w:styleId="37">
    <w:name w:val="font61"/>
    <w:basedOn w:val="20"/>
    <w:qFormat/>
    <w:uiPriority w:val="0"/>
    <w:rPr>
      <w:rFonts w:ascii="方正小标宋_GBK" w:hAnsi="方正小标宋_GBK" w:eastAsia="方正小标宋_GBK" w:cs="方正小标宋_GBK"/>
      <w:b/>
      <w:bCs/>
      <w:color w:val="000000"/>
      <w:sz w:val="30"/>
      <w:szCs w:val="30"/>
      <w:u w:val="none"/>
    </w:rPr>
  </w:style>
  <w:style w:type="character" w:customStyle="1" w:styleId="38">
    <w:name w:val="font71"/>
    <w:basedOn w:val="20"/>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chart" Target="charts/chart8.xml"/><Relationship Id="rId27" Type="http://schemas.openxmlformats.org/officeDocument/2006/relationships/chart" Target="charts/chart7.xml"/><Relationship Id="rId26" Type="http://schemas.openxmlformats.org/officeDocument/2006/relationships/chart" Target="charts/chart6.xml"/><Relationship Id="rId25" Type="http://schemas.openxmlformats.org/officeDocument/2006/relationships/chart" Target="charts/chart5.xml"/><Relationship Id="rId24" Type="http://schemas.openxmlformats.org/officeDocument/2006/relationships/chart" Target="charts/chart4.xml"/><Relationship Id="rId23" Type="http://schemas.openxmlformats.org/officeDocument/2006/relationships/oleObject" Target="embeddings/oleObject7.bin"/><Relationship Id="rId22" Type="http://schemas.openxmlformats.org/officeDocument/2006/relationships/oleObject" Target="embeddings/oleObject6.bin"/><Relationship Id="rId21" Type="http://schemas.openxmlformats.org/officeDocument/2006/relationships/oleObject" Target="embeddings/oleObject5.bin"/><Relationship Id="rId20" Type="http://schemas.openxmlformats.org/officeDocument/2006/relationships/oleObject" Target="embeddings/oleObject4.bin"/><Relationship Id="rId2" Type="http://schemas.openxmlformats.org/officeDocument/2006/relationships/settings" Target="settings.xml"/><Relationship Id="rId19" Type="http://schemas.openxmlformats.org/officeDocument/2006/relationships/oleObject" Target="embeddings/oleObject3.bin"/><Relationship Id="rId18" Type="http://schemas.openxmlformats.org/officeDocument/2006/relationships/oleObject" Target="embeddings/oleObject2.bin"/><Relationship Id="rId17" Type="http://schemas.openxmlformats.org/officeDocument/2006/relationships/image" Target="media/image1.emf"/><Relationship Id="rId16" Type="http://schemas.openxmlformats.org/officeDocument/2006/relationships/oleObject" Target="embeddings/oleObject1.bin"/><Relationship Id="rId15" Type="http://schemas.openxmlformats.org/officeDocument/2006/relationships/chart" Target="charts/chart3.xml"/><Relationship Id="rId14" Type="http://schemas.openxmlformats.org/officeDocument/2006/relationships/chart" Target="charts/chart2.xml"/><Relationship Id="rId13" Type="http://schemas.openxmlformats.org/officeDocument/2006/relationships/chart" Target="charts/chart1.xml"/><Relationship Id="rId12" Type="http://schemas.openxmlformats.org/officeDocument/2006/relationships/theme" Target="theme/theme1.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8.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061612"/>
          <c:y val="0.15328467"/>
          <c:w val="0.70616114"/>
          <c:h val="0.52554744"/>
        </c:manualLayout>
      </c:layout>
      <c:barChart>
        <c:barDir val="col"/>
        <c:grouping val="clustered"/>
        <c:varyColors val="0"/>
        <c:ser>
          <c:idx val="0"/>
          <c:order val="0"/>
          <c:tx>
            <c:strRef>
              <c:f>工作表465537!$A$2</c:f>
              <c:strCache>
                <c:ptCount val="1"/>
                <c:pt idx="0">
                  <c:v>金额(万元)</c:v>
                </c:pt>
              </c:strCache>
            </c:strRef>
          </c:tx>
          <c:spPr>
            <a:solidFill>
              <a:srgbClr val="4F81BD"/>
            </a:solidFill>
          </c:spPr>
          <c:invertIfNegative val="0"/>
          <c:dLbls>
            <c:dLbl>
              <c:idx val="0"/>
              <c:delete val="1"/>
            </c:dLbl>
            <c:dLbl>
              <c:idx val="1"/>
              <c:delete val="1"/>
            </c:dLbl>
            <c:numFmt formatCode="#,##0.00" sourceLinked="1"/>
            <c:spPr>
              <a:noFill/>
              <a:ln>
                <a:noFill/>
              </a:ln>
              <a:effectLst/>
            </c:spPr>
            <c:txPr>
              <a:bodyPr rot="0" spcFirstLastPara="0" vertOverflow="ellipsis" vert="horz" wrap="square" lIns="38100" tIns="19050" rIns="38100" bIns="19050"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工作表465537!$B$1:$C$1</c:f>
              <c:strCache>
                <c:ptCount val="2"/>
                <c:pt idx="0">
                  <c:v>2023年收支总额</c:v>
                </c:pt>
                <c:pt idx="1">
                  <c:v>2024年收支总额</c:v>
                </c:pt>
              </c:strCache>
            </c:strRef>
          </c:cat>
          <c:val>
            <c:numRef>
              <c:f>工作表465537!$B$2:$C$2</c:f>
              <c:numCache>
                <c:formatCode>#,##0.00</c:formatCode>
                <c:ptCount val="2"/>
                <c:pt idx="0">
                  <c:v>1743.63</c:v>
                </c:pt>
                <c:pt idx="1">
                  <c:v>2369.05</c:v>
                </c:pt>
              </c:numCache>
            </c:numRef>
          </c:val>
        </c:ser>
        <c:dLbls>
          <c:showLegendKey val="0"/>
          <c:showVal val="0"/>
          <c:showCatName val="0"/>
          <c:showSerName val="0"/>
          <c:showPercent val="0"/>
          <c:showBubbleSize val="0"/>
        </c:dLbls>
        <c:gapWidth val="150"/>
        <c:axId val="0"/>
        <c:axId val="1"/>
      </c:barChart>
      <c:catAx>
        <c:axId val="0"/>
        <c:scaling>
          <c:orientation val="minMax"/>
        </c:scaling>
        <c:delete val="0"/>
        <c:axPos val="b"/>
        <c:numFmt formatCode="General" sourceLinked="0"/>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000000"/>
              </a:solidFill>
              <a:prstDash val="solid"/>
              <a:round/>
            </a:ln>
          </c:spPr>
        </c:majorGridlines>
        <c:title>
          <c:tx>
            <c:rich>
              <a:bodyPr rot="-5400000" spcFirstLastPara="0" vertOverflow="ellipsis" vert="horz" wrap="square"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r>
                  <a:rPr lang="zh-CN"/>
                  <a:t>单位：万元</a:t>
                </a:r>
                <a:endParaRPr lang="zh-CN"/>
              </a:p>
            </c:rich>
          </c:tx>
          <c:layout>
            <c:manualLayout>
              <c:xMode val="edge"/>
              <c:yMode val="edge"/>
              <c:x val="0.02594331"/>
              <c:y val="0.22077933"/>
            </c:manualLayout>
          </c:layout>
          <c:overlay val="0"/>
          <c:spPr>
            <a:noFill/>
            <a:ln>
              <a:noFill/>
            </a:ln>
          </c:spPr>
        </c:title>
        <c:numFmt formatCode="#,##0.00" sourceLinked="1"/>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crossAx val="0"/>
        <c:crossesAt val="1"/>
        <c:crossBetween val="between"/>
      </c:valAx>
      <c:dTable>
        <c:showHorzBorder val="1"/>
        <c:showVertBorder val="1"/>
        <c:showOutline val="1"/>
        <c:showKeys val="1"/>
        <c:spPr>
          <a:ln w="6350" cap="flat" cmpd="sng" algn="ctr">
            <a:solidFill>
              <a:srgbClr val="000000"/>
            </a:solidFill>
            <a:prstDash val="solid"/>
            <a:round/>
          </a:ln>
        </c:spPr>
        <c:txPr>
          <a:bodyPr rot="0" spcFirstLastPara="0" vertOverflow="ellipsis" vert="horz" wrap="square"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dTable>
      <c:spPr>
        <a:solidFill>
          <a:srgbClr val="C0C0C0"/>
        </a:solidFill>
        <a:ln w="6350">
          <a:solidFill>
            <a:srgbClr val="808080"/>
          </a:solidFill>
          <a:prstDash val="solid"/>
        </a:ln>
      </c:spPr>
    </c:plotArea>
    <c:legend>
      <c:legendPos val="r"/>
      <c:layout>
        <c:manualLayout>
          <c:xMode val="edge"/>
          <c:yMode val="edge"/>
          <c:x val="0.89573467"/>
          <c:y val="0.3357662"/>
          <c:w val="0.094786614"/>
          <c:h val="0.12408742"/>
        </c:manualLayout>
      </c:layout>
      <c:overlay val="0"/>
      <c:spPr>
        <a:noFill/>
        <a:ln w="6350">
          <a:solidFill>
            <a:srgbClr val="000000"/>
          </a:solidFill>
          <a:prstDash val="solid"/>
        </a:ln>
      </c:spPr>
      <c:txPr>
        <a:bodyPr rot="0" spcFirstLastPara="0" vertOverflow="ellipsis" vert="horz" wrap="square"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gap"/>
    <c:showDLblsOverMax val="0"/>
  </c:chart>
  <c:spPr>
    <a:noFill/>
    <a:ln w="9525" cap="flat" cmpd="sng" algn="ctr">
      <a:noFill/>
      <a:prstDash val="solid"/>
      <a:round/>
    </a:ln>
  </c:spPr>
  <c:txPr>
    <a:bodyPr/>
    <a:lstStyle/>
    <a:p>
      <a:pPr>
        <a:defRPr lang="zh-CN" sz="35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depthPercent val="100"/>
      <c:rAngAx val="0"/>
      <c:hPercent val="100"/>
      <c:perspective val="0"/>
    </c:view3D>
    <c:floor>
      <c:thickness val="0"/>
      <c:spPr>
        <a:ln>
          <a:noFill/>
        </a:ln>
      </c:spPr>
    </c:floor>
    <c:sideWall>
      <c:thickness val="0"/>
      <c:spPr>
        <a:ln>
          <a:noFill/>
        </a:ln>
      </c:spPr>
    </c:sideWall>
    <c:backWall>
      <c:thickness val="0"/>
      <c:spPr>
        <a:solidFill>
          <a:srgbClr val="C0C0C0"/>
        </a:solidFill>
        <a:ln w="6350">
          <a:solidFill>
            <a:srgbClr val="808080"/>
          </a:solidFill>
          <a:prstDash val="solid"/>
        </a:ln>
      </c:spPr>
    </c:backWall>
    <c:plotArea>
      <c:layout>
        <c:manualLayout>
          <c:layoutTarget val="inner"/>
          <c:xMode val="edge"/>
          <c:yMode val="edge"/>
          <c:x val="0.0026990497"/>
          <c:y val="0.41349956"/>
          <c:w val="0.6386871"/>
          <c:h val="0.48234645"/>
        </c:manualLayout>
      </c:layout>
      <c:pie3DChart>
        <c:varyColors val="1"/>
        <c:ser>
          <c:idx val="0"/>
          <c:order val="0"/>
          <c:tx>
            <c:strRef>
              <c:f>工作表465538!$A$2</c:f>
              <c:strCache>
                <c:ptCount val="1"/>
                <c:pt idx="0">
                  <c:v>比例</c:v>
                </c:pt>
              </c:strCache>
            </c:strRef>
          </c:tx>
          <c:spPr>
            <a:solidFill>
              <a:srgbClr val="4F81BD"/>
            </a:solidFill>
          </c:spPr>
          <c:explosion val="0"/>
          <c:dPt>
            <c:idx val="0"/>
            <c:bubble3D val="0"/>
            <c:spPr>
              <a:solidFill>
                <a:srgbClr val="4F81BD"/>
              </a:solidFill>
            </c:spPr>
          </c:dPt>
          <c:dPt>
            <c:idx val="1"/>
            <c:bubble3D val="0"/>
            <c:spPr>
              <a:solidFill>
                <a:srgbClr val="C0504D"/>
              </a:solidFill>
            </c:spPr>
          </c:dPt>
          <c:dLbls>
            <c:dLbl>
              <c:idx val="0"/>
              <c:delete val="1"/>
            </c:dLbl>
            <c:dLbl>
              <c:idx val="1"/>
              <c:delete val="1"/>
            </c:dLbl>
            <c:numFmt formatCode="0%" sourceLinked="1"/>
            <c:spPr>
              <a:noFill/>
              <a:ln>
                <a:noFill/>
              </a:ln>
              <a:effectLst/>
            </c:spPr>
            <c:txPr>
              <a:bodyPr rot="0" spcFirstLastPara="0" vertOverflow="ellipsis" vert="horz" wrap="square" lIns="38100" tIns="19050" rIns="38100" bIns="19050" anchor="ctr" anchorCtr="1"/>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工作表465538!$B$1:$C$1</c:f>
              <c:strCache>
                <c:ptCount val="2"/>
                <c:pt idx="0">
                  <c:v>财政拨款收入</c:v>
                </c:pt>
                <c:pt idx="1">
                  <c:v>其他收入</c:v>
                </c:pt>
              </c:strCache>
            </c:strRef>
          </c:cat>
          <c:val>
            <c:numRef>
              <c:f>工作表465538!$B$2:$C$2</c:f>
              <c:numCache>
                <c:formatCode>0%</c:formatCode>
                <c:ptCount val="2"/>
                <c:pt idx="0">
                  <c:v>1</c:v>
                </c:pt>
                <c:pt idx="1">
                  <c:v>0</c:v>
                </c:pt>
              </c:numCache>
            </c:numRef>
          </c:val>
        </c:ser>
        <c:dLbls>
          <c:showLegendKey val="0"/>
          <c:showVal val="0"/>
          <c:showCatName val="0"/>
          <c:showSerName val="0"/>
          <c:showPercent val="0"/>
          <c:showBubbleSize val="0"/>
        </c:dLbls>
      </c:pie3DChart>
      <c:spPr>
        <a:solidFill>
          <a:srgbClr val="C0C0C0"/>
        </a:solidFill>
        <a:ln w="6350">
          <a:solidFill>
            <a:srgbClr val="808080"/>
          </a:solidFill>
          <a:prstDash val="solid"/>
        </a:ln>
      </c:spPr>
    </c:plotArea>
    <c:legend>
      <c:legendPos val="r"/>
      <c:layout>
        <c:manualLayout>
          <c:xMode val="edge"/>
          <c:yMode val="edge"/>
          <c:x val="0.6670126"/>
          <c:y val="0.5463132"/>
          <c:w val="0.29484022"/>
          <c:h val="0.20560771"/>
        </c:manualLayout>
      </c:layout>
      <c:overlay val="0"/>
      <c:spPr>
        <a:noFill/>
        <a:ln w="6350">
          <a:solidFill>
            <a:srgbClr val="000000"/>
          </a:solidFill>
          <a:prstDash val="solid"/>
        </a:ln>
      </c:spPr>
      <c:txPr>
        <a:bodyPr rot="0" spcFirstLastPara="0" vertOverflow="ellipsis" vert="horz" wrap="square"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zero"/>
    <c:showDLblsOverMax val="0"/>
  </c:chart>
  <c:spPr>
    <a:noFill/>
    <a:ln w="9525" cap="flat" cmpd="sng" algn="ctr">
      <a:noFill/>
      <a:prstDash val="solid"/>
      <a:round/>
    </a:ln>
  </c:spPr>
  <c:txPr>
    <a:bodyPr/>
    <a:lstStyle/>
    <a:p>
      <a:pPr>
        <a:defRPr lang="zh-CN" sz="40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depthPercent val="100"/>
      <c:rAngAx val="0"/>
      <c:hPercent val="100"/>
      <c:perspective val="0"/>
    </c:view3D>
    <c:floor>
      <c:thickness val="0"/>
      <c:spPr>
        <a:ln>
          <a:noFill/>
        </a:ln>
      </c:spPr>
    </c:floor>
    <c:sideWall>
      <c:thickness val="0"/>
      <c:spPr>
        <a:ln>
          <a:noFill/>
        </a:ln>
      </c:spPr>
    </c:sideWall>
    <c:backWall>
      <c:thickness val="0"/>
      <c:spPr>
        <a:solidFill>
          <a:srgbClr val="C0C0C0"/>
        </a:solidFill>
        <a:ln w="6350">
          <a:solidFill>
            <a:srgbClr val="808080"/>
          </a:solidFill>
          <a:prstDash val="solid"/>
        </a:ln>
      </c:spPr>
    </c:backWall>
    <c:plotArea>
      <c:layout>
        <c:manualLayout>
          <c:layoutTarget val="inner"/>
          <c:xMode val="edge"/>
          <c:yMode val="edge"/>
          <c:x val="0.08043711"/>
          <c:y val="0.45794392"/>
          <c:w val="0.50193185"/>
          <c:h val="0.38166764"/>
        </c:manualLayout>
      </c:layout>
      <c:pie3DChart>
        <c:varyColors val="1"/>
        <c:ser>
          <c:idx val="0"/>
          <c:order val="0"/>
          <c:tx>
            <c:strRef>
              <c:f>工作表465539!$A$2</c:f>
              <c:strCache>
                <c:ptCount val="1"/>
                <c:pt idx="0">
                  <c:v>比例</c:v>
                </c:pt>
              </c:strCache>
            </c:strRef>
          </c:tx>
          <c:spPr>
            <a:solidFill>
              <a:srgbClr val="4F81BD"/>
            </a:solidFill>
          </c:spPr>
          <c:explosion val="0"/>
          <c:dPt>
            <c:idx val="0"/>
            <c:bubble3D val="0"/>
            <c:spPr>
              <a:solidFill>
                <a:srgbClr val="4F81BD"/>
              </a:solidFill>
            </c:spPr>
          </c:dPt>
          <c:dPt>
            <c:idx val="1"/>
            <c:bubble3D val="0"/>
            <c:spPr>
              <a:solidFill>
                <a:srgbClr val="C0504D"/>
              </a:solidFill>
            </c:spPr>
          </c:dPt>
          <c:dLbls>
            <c:dLbl>
              <c:idx val="1"/>
              <c:layout>
                <c:manualLayout>
                  <c:x val="0.056877954903356"/>
                  <c:y val="-0.11082937545253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0.00%" sourceLinked="1"/>
            <c:spPr>
              <a:noFill/>
              <a:ln>
                <a:noFill/>
              </a:ln>
              <a:effectLst/>
            </c:spPr>
            <c:txPr>
              <a:bodyPr rot="0" spcFirstLastPara="0" vertOverflow="ellipsis" vert="horz" wrap="square" lIns="38100" tIns="19050" rIns="38100" bIns="19050"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工作表465539!$B$1:$C$1</c:f>
              <c:strCache>
                <c:ptCount val="2"/>
                <c:pt idx="0">
                  <c:v>基本支出</c:v>
                </c:pt>
                <c:pt idx="1">
                  <c:v>项目支出</c:v>
                </c:pt>
              </c:strCache>
            </c:strRef>
          </c:cat>
          <c:val>
            <c:numRef>
              <c:f>工作表465539!$B$2:$C$2</c:f>
              <c:numCache>
                <c:formatCode>0.00%</c:formatCode>
                <c:ptCount val="2"/>
                <c:pt idx="0">
                  <c:v>0.473</c:v>
                </c:pt>
                <c:pt idx="1">
                  <c:v>0.527</c:v>
                </c:pt>
              </c:numCache>
            </c:numRef>
          </c:val>
        </c:ser>
        <c:dLbls>
          <c:showLegendKey val="0"/>
          <c:showVal val="1"/>
          <c:showCatName val="0"/>
          <c:showSerName val="0"/>
          <c:showPercent val="0"/>
          <c:showBubbleSize val="0"/>
        </c:dLbls>
      </c:pie3DChart>
      <c:spPr>
        <a:solidFill>
          <a:srgbClr val="C0C0C0"/>
        </a:solidFill>
        <a:ln w="6350">
          <a:solidFill>
            <a:srgbClr val="808080"/>
          </a:solidFill>
          <a:prstDash val="solid"/>
        </a:ln>
      </c:spPr>
    </c:plotArea>
    <c:legend>
      <c:legendPos val="r"/>
      <c:layout>
        <c:manualLayout>
          <c:xMode val="edge"/>
          <c:yMode val="edge"/>
          <c:x val="0.6224711"/>
          <c:y val="0.497939"/>
          <c:w val="0.29484022"/>
          <c:h val="0.20560771"/>
        </c:manualLayout>
      </c:layout>
      <c:overlay val="0"/>
      <c:spPr>
        <a:noFill/>
        <a:ln w="6350">
          <a:solidFill>
            <a:srgbClr val="000000"/>
          </a:solidFill>
          <a:prstDash val="solid"/>
        </a:ln>
      </c:spPr>
      <c:txPr>
        <a:bodyPr rot="0" spcFirstLastPara="0" vertOverflow="ellipsis" vert="horz" wrap="square" anchor="ctr" anchorCtr="1"/>
        <a:lstStyle/>
        <a:p>
          <a:pPr>
            <a:defRPr lang="zh-CN" sz="30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zero"/>
    <c:showDLblsOverMax val="0"/>
  </c:chart>
  <c:spPr>
    <a:noFill/>
    <a:ln w="9525" cap="flat" cmpd="sng" algn="ctr">
      <a:noFill/>
      <a:prstDash val="solid"/>
      <a:round/>
    </a:ln>
  </c:spPr>
  <c:txPr>
    <a:bodyPr/>
    <a:lstStyle/>
    <a:p>
      <a:pPr>
        <a:defRPr lang="zh-CN" sz="35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480" b="0" i="0" u="none" strike="noStrike" kern="1200" baseline="0">
              <a:solidFill>
                <a:srgbClr val="000000"/>
              </a:solidFill>
              <a:latin typeface="宋体" panose="02010600030101010101" charset="-122"/>
              <a:ea typeface="宋体" panose="02010600030101010101" charset="-122"/>
              <a:cs typeface="Lucida Sans"/>
            </a:defRPr>
          </a:pPr>
        </a:p>
      </c:txPr>
    </c:title>
    <c:autoTitleDeleted val="0"/>
    <c:plotArea>
      <c:layout>
        <c:manualLayout>
          <c:layoutTarget val="inner"/>
          <c:xMode val="edge"/>
          <c:yMode val="edge"/>
          <c:x val="0.14693877"/>
          <c:y val="0.13725491"/>
          <c:w val="0.74489796"/>
          <c:h val="0.5751634"/>
        </c:manualLayout>
      </c:layout>
      <c:barChart>
        <c:barDir val="col"/>
        <c:grouping val="clustered"/>
        <c:varyColors val="0"/>
        <c:ser>
          <c:idx val="0"/>
          <c:order val="0"/>
          <c:tx>
            <c:strRef>
              <c:f>工作表465540!$A$2</c:f>
              <c:strCache>
                <c:ptCount val="1"/>
                <c:pt idx="0">
                  <c:v>金额(万元)</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工作表465540!$B$1:$C$1</c:f>
              <c:strCache>
                <c:ptCount val="2"/>
                <c:pt idx="0">
                  <c:v>2023年财政拨款收支</c:v>
                </c:pt>
                <c:pt idx="1">
                  <c:v>2024年财政拨款收支</c:v>
                </c:pt>
              </c:strCache>
            </c:strRef>
          </c:cat>
          <c:val>
            <c:numRef>
              <c:f>工作表465540!$B$2:$C$2</c:f>
              <c:numCache>
                <c:formatCode>General</c:formatCode>
                <c:ptCount val="2"/>
                <c:pt idx="0">
                  <c:v>1917.84</c:v>
                </c:pt>
                <c:pt idx="1" c:formatCode="#,##0.00">
                  <c:v>2369.05</c:v>
                </c:pt>
              </c:numCache>
            </c:numRef>
          </c:val>
        </c:ser>
        <c:dLbls>
          <c:showLegendKey val="0"/>
          <c:showVal val="1"/>
          <c:showCatName val="0"/>
          <c:showSerName val="0"/>
          <c:showPercent val="0"/>
          <c:showBubbleSize val="0"/>
        </c:dLbls>
        <c:gapWidth val="150"/>
        <c:axId val="0"/>
        <c:axId val="1"/>
      </c:barChart>
      <c:catAx>
        <c:axId val="0"/>
        <c:scaling>
          <c:orientation val="minMax"/>
        </c:scaling>
        <c:delete val="0"/>
        <c:axPos val="b"/>
        <c:numFmt formatCode="General" sourceLinked="0"/>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000000"/>
              </a:solidFill>
              <a:prstDash val="solid"/>
              <a:round/>
            </a:ln>
          </c:spPr>
        </c:majorGridlines>
        <c:title>
          <c:tx>
            <c:rich>
              <a:bodyPr rot="-5400000" spcFirstLastPara="0" vertOverflow="ellipsis" vert="horz" wrap="square" anchor="ctr" anchorCtr="1"/>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r>
                  <a:rPr lang="zh-CN"/>
                  <a:t>单位：万元</a:t>
                </a:r>
                <a:endParaRPr lang="zh-CN"/>
              </a:p>
            </c:rich>
          </c:tx>
          <c:layout>
            <c:manualLayout>
              <c:xMode val="edge"/>
              <c:yMode val="edge"/>
              <c:x val="0.022449017"/>
              <c:y val="0.24852055"/>
            </c:manualLayout>
          </c:layout>
          <c:overlay val="0"/>
          <c:spPr>
            <a:noFill/>
            <a:ln>
              <a:noFill/>
            </a:ln>
          </c:spPr>
        </c:title>
        <c:numFmt formatCode="General" sourceLinked="1"/>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crossAx val="0"/>
        <c:crossesAt val="1"/>
        <c:crossBetween val="between"/>
      </c:valAx>
      <c:dTable>
        <c:showHorzBorder val="1"/>
        <c:showVertBorder val="1"/>
        <c:showOutline val="1"/>
        <c:showKeys val="1"/>
        <c:spPr>
          <a:ln w="6350" cap="flat" cmpd="sng" algn="ctr">
            <a:solidFill>
              <a:srgbClr val="000000"/>
            </a:solidFill>
            <a:prstDash val="solid"/>
            <a:round/>
          </a:ln>
        </c:spPr>
        <c:txPr>
          <a:bodyPr rot="0" spcFirstLastPara="0" vertOverflow="ellipsis" vert="horz" wrap="square" anchor="ctr" anchorCtr="1"/>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dTable>
      <c:spPr>
        <a:solidFill>
          <a:srgbClr val="C0C0C0"/>
        </a:solidFill>
        <a:ln w="6350">
          <a:solidFill>
            <a:srgbClr val="808080"/>
          </a:solidFill>
          <a:prstDash val="solid"/>
        </a:ln>
      </c:spPr>
    </c:plotArea>
    <c:legend>
      <c:legendPos val="r"/>
      <c:layout>
        <c:manualLayout>
          <c:xMode val="edge"/>
          <c:yMode val="edge"/>
          <c:x val="0.9102041"/>
          <c:y val="0.3594768"/>
          <c:w val="0.08163268"/>
          <c:h val="0.11111111"/>
        </c:manualLayout>
      </c:layout>
      <c:overlay val="0"/>
      <c:spPr>
        <a:noFill/>
        <a:ln w="6350">
          <a:solidFill>
            <a:srgbClr val="000000"/>
          </a:solidFill>
          <a:prstDash val="solid"/>
        </a:ln>
      </c:spPr>
      <c:txPr>
        <a:bodyPr rot="0" spcFirstLastPara="0" vertOverflow="ellipsis" vert="horz" wrap="square"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gap"/>
    <c:showDLblsOverMax val="0"/>
  </c:chart>
  <c:spPr>
    <a:noFill/>
    <a:ln w="9525" cap="flat" cmpd="sng" algn="ctr">
      <a:noFill/>
      <a:prstDash val="solid"/>
      <a:round/>
    </a:ln>
  </c:spPr>
  <c:txPr>
    <a:bodyPr/>
    <a:lstStyle/>
    <a:p>
      <a:pPr>
        <a:defRPr lang="zh-CN" sz="40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3913"/>
          <c:y val="0.090361446"/>
          <c:w val="0.70869565"/>
          <c:h val="0.60240966"/>
        </c:manualLayout>
      </c:layout>
      <c:barChart>
        <c:barDir val="col"/>
        <c:grouping val="clustered"/>
        <c:varyColors val="0"/>
        <c:ser>
          <c:idx val="0"/>
          <c:order val="0"/>
          <c:tx>
            <c:strRef>
              <c:f>工作表465541!$A$2</c:f>
              <c:strCache>
                <c:ptCount val="1"/>
                <c:pt idx="0">
                  <c:v>金额(万元)</c:v>
                </c:pt>
              </c:strCache>
            </c:strRef>
          </c:tx>
          <c:spPr>
            <a:solidFill>
              <a:srgbClr val="4F81BD"/>
            </a:solidFill>
          </c:spPr>
          <c:invertIfNegative val="0"/>
          <c:dLbls>
            <c:dLbl>
              <c:idx val="0"/>
              <c:delete val="1"/>
            </c:dLbl>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550" b="0" i="0" u="none" strike="noStrike" kern="1200" baseline="0">
                    <a:solidFill>
                      <a:srgbClr val="000000"/>
                    </a:solidFill>
                    <a:latin typeface="宋体" panose="02010600030101010101" charset="-122"/>
                    <a:ea typeface="宋体" panose="02010600030101010101"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工作表465541!$B$1:$C$1</c:f>
              <c:strCache>
                <c:ptCount val="2"/>
                <c:pt idx="0">
                  <c:v>2023年财政拨款支出</c:v>
                </c:pt>
                <c:pt idx="1">
                  <c:v>2024年财政拨款支出</c:v>
                </c:pt>
              </c:strCache>
            </c:strRef>
          </c:cat>
          <c:val>
            <c:numRef>
              <c:f>工作表465541!$B$2:$C$2</c:f>
              <c:numCache>
                <c:formatCode>General</c:formatCode>
                <c:ptCount val="2"/>
                <c:pt idx="0">
                  <c:v>1917.84</c:v>
                </c:pt>
                <c:pt idx="1" c:formatCode="#,##0.00">
                  <c:v>2369.05</c:v>
                </c:pt>
              </c:numCache>
            </c:numRef>
          </c:val>
        </c:ser>
        <c:dLbls>
          <c:showLegendKey val="0"/>
          <c:showVal val="0"/>
          <c:showCatName val="0"/>
          <c:showSerName val="0"/>
          <c:showPercent val="0"/>
          <c:showBubbleSize val="0"/>
        </c:dLbls>
        <c:gapWidth val="150"/>
        <c:axId val="0"/>
        <c:axId val="1"/>
      </c:barChart>
      <c:catAx>
        <c:axId val="0"/>
        <c:scaling>
          <c:orientation val="minMax"/>
        </c:scaling>
        <c:delete val="0"/>
        <c:axPos val="b"/>
        <c:numFmt formatCode="General" sourceLinked="0"/>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550" b="0" i="0" u="none" strike="noStrike" kern="1200" baseline="0">
                <a:solidFill>
                  <a:srgbClr val="000000"/>
                </a:solidFill>
                <a:latin typeface="宋体" panose="02010600030101010101" charset="-122"/>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title>
          <c:tx>
            <c:rich>
              <a:bodyPr rot="-5400000" spcFirstLastPara="0" vertOverflow="ellipsis" vert="horz" wrap="square" anchor="ctr" anchorCtr="1"/>
              <a:lstStyle/>
              <a:p>
                <a:pPr>
                  <a:defRPr lang="zh-CN" sz="550" b="0" i="0" u="none" strike="noStrike" kern="1200" baseline="0">
                    <a:solidFill>
                      <a:srgbClr val="000000"/>
                    </a:solidFill>
                    <a:latin typeface="宋体" panose="02010600030101010101" charset="-122"/>
                    <a:ea typeface="宋体" panose="02010600030101010101" charset="-122"/>
                    <a:cs typeface="Lucida Sans"/>
                  </a:defRPr>
                </a:pPr>
                <a:r>
                  <a:rPr lang="zh-CN"/>
                  <a:t>单位：万元</a:t>
                </a:r>
                <a:endParaRPr lang="zh-CN"/>
              </a:p>
            </c:rich>
          </c:tx>
          <c:layout>
            <c:manualLayout>
              <c:xMode val="edge"/>
              <c:yMode val="edge"/>
              <c:x val="0.023912981"/>
              <c:y val="0.24175835"/>
            </c:manualLayout>
          </c:layout>
          <c:overlay val="0"/>
          <c:spPr>
            <a:noFill/>
            <a:ln>
              <a:noFill/>
            </a:ln>
          </c:spPr>
        </c:title>
        <c:numFmt formatCode="General" sourceLinked="1"/>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550" b="0" i="0" u="none" strike="noStrike" kern="1200" baseline="0">
                <a:solidFill>
                  <a:srgbClr val="000000"/>
                </a:solidFill>
                <a:latin typeface="宋体" panose="02010600030101010101" charset="-122"/>
                <a:ea typeface="宋体" panose="02010600030101010101" charset="-122"/>
                <a:cs typeface="Lucida Sans"/>
              </a:defRPr>
            </a:pPr>
          </a:p>
        </c:txPr>
        <c:crossAx val="0"/>
        <c:crossesAt val="1"/>
        <c:crossBetween val="between"/>
      </c:valAx>
      <c:dTable>
        <c:showHorzBorder val="1"/>
        <c:showVertBorder val="1"/>
        <c:showOutline val="1"/>
        <c:showKeys val="1"/>
        <c:spPr>
          <a:ln w="6350" cap="flat" cmpd="sng" algn="ctr">
            <a:solidFill>
              <a:srgbClr val="000000"/>
            </a:solidFill>
            <a:prstDash val="solid"/>
            <a:round/>
          </a:ln>
        </c:spPr>
        <c:txPr>
          <a:bodyPr rot="0" spcFirstLastPara="0" vertOverflow="ellipsis" vert="horz" wrap="square" anchor="ctr" anchorCtr="1"/>
          <a:lstStyle/>
          <a:p>
            <a:pPr>
              <a:defRPr lang="zh-CN" sz="550" b="0" i="0" u="none" strike="noStrike" kern="1200" baseline="0">
                <a:solidFill>
                  <a:srgbClr val="000000"/>
                </a:solidFill>
                <a:latin typeface="宋体" panose="02010600030101010101" charset="-122"/>
                <a:ea typeface="宋体" panose="02010600030101010101" charset="-122"/>
                <a:cs typeface="Lucida Sans"/>
              </a:defRPr>
            </a:pPr>
          </a:p>
        </c:txPr>
      </c:dTable>
      <c:spPr>
        <a:solidFill>
          <a:srgbClr val="C0C0C0"/>
        </a:solidFill>
        <a:ln w="6350">
          <a:solidFill>
            <a:srgbClr val="808080"/>
          </a:solidFill>
          <a:prstDash val="solid"/>
        </a:ln>
      </c:spPr>
    </c:plotArea>
    <c:legend>
      <c:legendPos val="r"/>
      <c:layout>
        <c:manualLayout>
          <c:xMode val="edge"/>
          <c:yMode val="edge"/>
          <c:x val="0.8956522"/>
          <c:y val="0.36144555"/>
          <c:w val="0.09565217"/>
          <c:h val="0.10843359"/>
        </c:manualLayout>
      </c:layout>
      <c:overlay val="0"/>
      <c:spPr>
        <a:noFill/>
        <a:ln w="6350">
          <a:solidFill>
            <a:srgbClr val="000000"/>
          </a:solidFill>
          <a:prstDash val="solid"/>
        </a:ln>
      </c:spPr>
      <c:txPr>
        <a:bodyPr rot="0" spcFirstLastPara="0" vertOverflow="ellipsis" vert="horz" wrap="square" anchor="ctr" anchorCtr="1"/>
        <a:lstStyle/>
        <a:p>
          <a:pPr>
            <a:defRPr lang="zh-CN" sz="50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gap"/>
    <c:showDLblsOverMax val="0"/>
  </c:chart>
  <c:spPr>
    <a:noFill/>
    <a:ln w="9525" cap="flat" cmpd="sng" algn="ctr">
      <a:noFill/>
      <a:prstDash val="solid"/>
      <a:round/>
    </a:ln>
  </c:spPr>
  <c:txPr>
    <a:bodyPr/>
    <a:lstStyle/>
    <a:p>
      <a:pPr>
        <a:defRPr lang="zh-CN" sz="55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436699"/>
          <c:y val="0.055670105"/>
          <c:w val="0.44482654"/>
          <c:h val="0.7617191"/>
        </c:manualLayout>
      </c:layout>
      <c:pieChart>
        <c:varyColors val="1"/>
        <c:ser>
          <c:idx val="0"/>
          <c:order val="0"/>
          <c:tx>
            <c:strRef>
              <c:f>工作表465542!$A$2</c:f>
              <c:strCache>
                <c:ptCount val="1"/>
                <c:pt idx="0">
                  <c:v>比例</c:v>
                </c:pt>
              </c:strCache>
            </c:strRef>
          </c:tx>
          <c:spPr>
            <a:solidFill>
              <a:srgbClr val="4F81BD"/>
            </a:solidFill>
          </c:spPr>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Pt>
            <c:idx val="4"/>
            <c:bubble3D val="0"/>
            <c:spPr>
              <a:solidFill>
                <a:srgbClr val="4F81BD"/>
              </a:solidFill>
            </c:spPr>
          </c:dPt>
          <c:dPt>
            <c:idx val="5"/>
            <c:bubble3D val="0"/>
            <c:spPr>
              <a:solidFill>
                <a:srgbClr val="4F81BD"/>
              </a:solidFill>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工作表465542!$B$1:$G$1</c:f>
              <c:strCache>
                <c:ptCount val="6"/>
                <c:pt idx="0">
                  <c:v>公共安全支出</c:v>
                </c:pt>
                <c:pt idx="1">
                  <c:v>教育支出</c:v>
                </c:pt>
                <c:pt idx="2">
                  <c:v>社会保障和就业支出</c:v>
                </c:pt>
                <c:pt idx="3">
                  <c:v>卫生健康支出</c:v>
                </c:pt>
                <c:pt idx="4">
                  <c:v>住房保障支出</c:v>
                </c:pt>
                <c:pt idx="5">
                  <c:v>文化旅游体育与传媒</c:v>
                </c:pt>
              </c:strCache>
            </c:strRef>
          </c:cat>
          <c:val>
            <c:numRef>
              <c:f>工作表465542!$B$2:$G$2</c:f>
              <c:numCache>
                <c:formatCode>0.00%</c:formatCode>
                <c:ptCount val="6"/>
                <c:pt idx="0">
                  <c:v>0.9063</c:v>
                </c:pt>
                <c:pt idx="1">
                  <c:v>0.0002</c:v>
                </c:pt>
                <c:pt idx="2">
                  <c:v>0.0481</c:v>
                </c:pt>
                <c:pt idx="3">
                  <c:v>0.0192</c:v>
                </c:pt>
                <c:pt idx="4">
                  <c:v>0.026</c:v>
                </c:pt>
                <c:pt idx="5">
                  <c:v>0.0002</c:v>
                </c:pt>
              </c:numCache>
            </c:numRef>
          </c:val>
        </c:ser>
        <c:dLbls>
          <c:showLegendKey val="0"/>
          <c:showVal val="1"/>
          <c:showCatName val="0"/>
          <c:showSerName val="0"/>
          <c:showPercent val="0"/>
          <c:showBubbleSize val="0"/>
          <c:showLeaderLines val="1"/>
        </c:dLbls>
        <c:firstSliceAng val="0"/>
      </c:pieChart>
      <c:spPr>
        <a:solidFill>
          <a:srgbClr val="C0C0C0"/>
        </a:solidFill>
        <a:ln w="6350">
          <a:solidFill>
            <a:srgbClr val="808080"/>
          </a:solidFill>
          <a:prstDash val="solid"/>
        </a:ln>
      </c:spPr>
    </c:plotArea>
    <c:legend>
      <c:legendPos val="r"/>
      <c:layout>
        <c:manualLayout>
          <c:xMode val="edge"/>
          <c:yMode val="edge"/>
          <c:x val="0.72708035"/>
          <c:y val="0.09347641"/>
          <c:w val="0.18652043"/>
          <c:h val="0.5158019"/>
        </c:manualLayout>
      </c:layout>
      <c:overlay val="0"/>
      <c:spPr>
        <a:noFill/>
        <a:ln w="6350">
          <a:solidFill>
            <a:srgbClr val="000000"/>
          </a:solidFill>
          <a:prstDash val="solid"/>
        </a:ln>
      </c:spPr>
      <c:txPr>
        <a:bodyPr rot="0" spcFirstLastPara="0" vertOverflow="ellipsis" vert="horz" wrap="square"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zero"/>
    <c:showDLblsOverMax val="0"/>
  </c:chart>
  <c:spPr>
    <a:noFill/>
    <a:ln w="9525" cap="flat" cmpd="sng" algn="ctr">
      <a:noFill/>
      <a:prstDash val="solid"/>
      <a:round/>
    </a:ln>
  </c:spPr>
  <c:txPr>
    <a:bodyPr/>
    <a:lstStyle/>
    <a:p>
      <a:pPr>
        <a:defRPr lang="zh-CN" sz="40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520501"/>
          <c:y val="0.3996646"/>
          <c:w val="0.37179455"/>
          <c:h val="0.594657"/>
        </c:manualLayout>
      </c:layout>
      <c:pieChart>
        <c:varyColors val="1"/>
        <c:dLbls>
          <c:showLegendKey val="0"/>
          <c:showVal val="1"/>
          <c:showCatName val="0"/>
          <c:showSerName val="0"/>
          <c:showPercent val="0"/>
          <c:showBubbleSize val="0"/>
          <c:showLeaderLines val="1"/>
        </c:dLbls>
        <c:firstSliceAng val="0"/>
      </c:pieChart>
      <c:spPr>
        <a:solidFill>
          <a:srgbClr val="C0C0C0"/>
        </a:solidFill>
        <a:ln w="6350">
          <a:solidFill>
            <a:srgbClr val="808080"/>
          </a:solidFill>
          <a:prstDash val="solid"/>
        </a:ln>
      </c:spPr>
    </c:plotArea>
    <c:legend>
      <c:legendPos val="r"/>
      <c:layout>
        <c:manualLayout>
          <c:xMode val="edge"/>
          <c:yMode val="edge"/>
          <c:x val="0.60973203"/>
          <c:y val="0.50911844"/>
          <c:w val="0.10563356"/>
          <c:h val="0.4428587"/>
        </c:manualLayout>
      </c:layout>
      <c:overlay val="0"/>
      <c:spPr>
        <a:noFill/>
        <a:ln w="6350">
          <a:solidFill>
            <a:srgbClr val="000000"/>
          </a:solidFill>
          <a:prstDash val="solid"/>
        </a:ln>
      </c:spPr>
      <c:txPr>
        <a:bodyPr rot="0" spcFirstLastPara="0" vertOverflow="ellipsis" vert="horz" wrap="square" anchor="ctr" anchorCtr="1"/>
        <a:lstStyle/>
        <a:p>
          <a:pPr>
            <a:defRPr lang="zh-CN" sz="25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zero"/>
    <c:showDLblsOverMax val="0"/>
  </c:chart>
  <c:spPr>
    <a:noFill/>
    <a:ln w="9525" cap="flat" cmpd="sng" algn="ctr">
      <a:noFill/>
      <a:prstDash val="solid"/>
      <a:round/>
    </a:ln>
  </c:spPr>
  <c:txPr>
    <a:bodyPr/>
    <a:lstStyle/>
    <a:p>
      <a:pPr>
        <a:defRPr lang="zh-CN" sz="30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520501"/>
          <c:y val="0.3996646"/>
          <c:w val="0.37179455"/>
          <c:h val="0.594657"/>
        </c:manualLayout>
      </c:layout>
      <c:pieChart>
        <c:varyColors val="1"/>
        <c:ser>
          <c:idx val="0"/>
          <c:order val="0"/>
          <c:tx>
            <c:strRef>
              <c:f>工作表465543!$A$2</c:f>
              <c:strCache>
                <c:ptCount val="1"/>
                <c:pt idx="0">
                  <c:v>比例</c:v>
                </c:pt>
              </c:strCache>
            </c:strRef>
          </c:tx>
          <c:spPr>
            <a:solidFill>
              <a:srgbClr val="4F81BD"/>
            </a:solidFill>
          </c:spPr>
          <c:explosion val="0"/>
          <c:dPt>
            <c:idx val="0"/>
            <c:bubble3D val="0"/>
            <c:spPr>
              <a:solidFill>
                <a:srgbClr val="4F81BD"/>
              </a:solidFill>
            </c:spPr>
          </c:dPt>
          <c:dPt>
            <c:idx val="1"/>
            <c:bubble3D val="0"/>
            <c:spPr>
              <a:solidFill>
                <a:srgbClr val="C0504D"/>
              </a:solidFill>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300" b="0" i="0" u="none" strike="noStrike" kern="1200" baseline="0">
                    <a:solidFill>
                      <a:srgbClr val="000000"/>
                    </a:solidFill>
                    <a:latin typeface="宋体" panose="02010600030101010101" charset="-122"/>
                    <a:ea typeface="宋体" panose="02010600030101010101"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工作表465543!$B$1:$C$1</c:f>
              <c:strCache>
                <c:ptCount val="2"/>
                <c:pt idx="0">
                  <c:v>公务用车购置及运行维护费</c:v>
                </c:pt>
                <c:pt idx="1">
                  <c:v>公务接待费</c:v>
                </c:pt>
              </c:strCache>
            </c:strRef>
          </c:cat>
          <c:val>
            <c:numRef>
              <c:f>工作表465543!$B$2:$C$2</c:f>
              <c:numCache>
                <c:formatCode>0.00%</c:formatCode>
                <c:ptCount val="2"/>
                <c:pt idx="0">
                  <c:v>0.9966</c:v>
                </c:pt>
                <c:pt idx="1">
                  <c:v>0.0034</c:v>
                </c:pt>
              </c:numCache>
            </c:numRef>
          </c:val>
        </c:ser>
        <c:dLbls>
          <c:showLegendKey val="0"/>
          <c:showVal val="1"/>
          <c:showCatName val="0"/>
          <c:showSerName val="0"/>
          <c:showPercent val="0"/>
          <c:showBubbleSize val="0"/>
          <c:showLeaderLines val="1"/>
        </c:dLbls>
        <c:firstSliceAng val="0"/>
      </c:pieChart>
      <c:spPr>
        <a:solidFill>
          <a:srgbClr val="C0C0C0"/>
        </a:solidFill>
        <a:ln w="6350">
          <a:solidFill>
            <a:srgbClr val="808080"/>
          </a:solidFill>
          <a:prstDash val="solid"/>
        </a:ln>
      </c:spPr>
    </c:plotArea>
    <c:legend>
      <c:legendPos val="r"/>
      <c:layout>
        <c:manualLayout>
          <c:xMode val="edge"/>
          <c:yMode val="edge"/>
          <c:x val="0.60973203"/>
          <c:y val="0.50911844"/>
          <c:w val="0.10563356"/>
          <c:h val="0.4428587"/>
        </c:manualLayout>
      </c:layout>
      <c:overlay val="0"/>
      <c:spPr>
        <a:noFill/>
        <a:ln w="6350">
          <a:solidFill>
            <a:srgbClr val="000000"/>
          </a:solidFill>
          <a:prstDash val="solid"/>
        </a:ln>
      </c:spPr>
      <c:txPr>
        <a:bodyPr rot="0" spcFirstLastPara="0" vertOverflow="ellipsis" vert="horz" wrap="square" anchor="ctr" anchorCtr="1"/>
        <a:lstStyle/>
        <a:p>
          <a:pPr>
            <a:defRPr lang="zh-CN" sz="25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zero"/>
    <c:showDLblsOverMax val="0"/>
  </c:chart>
  <c:spPr>
    <a:noFill/>
    <a:ln w="9525" cap="flat" cmpd="sng" algn="ctr">
      <a:noFill/>
      <a:prstDash val="solid"/>
      <a:round/>
    </a:ln>
  </c:spPr>
  <c:txPr>
    <a:bodyPr/>
    <a:lstStyle/>
    <a:p>
      <a:pPr>
        <a:defRPr lang="zh-CN" sz="30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28</Pages>
  <Words>9104</Words>
  <Characters>10022</Characters>
  <Lines>683</Lines>
  <Paragraphs>271</Paragraphs>
  <TotalTime>2</TotalTime>
  <ScaleCrop>false</ScaleCrop>
  <LinksUpToDate>false</LinksUpToDate>
  <CharactersWithSpaces>10516</CharactersWithSpaces>
  <Application>WPS Office_11.8.2.1117_F1E327BC-269C-435d-A152-05C5408002CA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2021-10-09T13:42:00Z</dcterms:created>
  <dc:creator>曹颖</dc:creator>
  <cp:lastModifiedBy>user</cp:lastModifiedBy>
  <cp:lastPrinted>2023-10-03T12:41:00Z</cp:lastPrinted>
  <dcterms:modified xsi:type="dcterms:W3CDTF">2025-09-19T10:38:45Z</dcterms:modified>
  <dc:title>四川省***</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2052-11.8.2.1117</vt:lpwstr>
  </property>
  <property fmtid="{D5CDD505-2E9C-101B-9397-08002B2CF9AE}" pid="3" name="ICV">
    <vt:lpwstr>3EF4B2064F2F4A92BCEFB868873E3C9C</vt:lpwstr>
  </property>
</Properties>
</file>