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hint="eastAsia" w:ascii="方正公文小标宋" w:hAnsi="方正公文小标宋" w:eastAsia="方正公文小标宋" w:cs="方正公文小标宋"/>
          <w:color w:val="000000"/>
          <w:sz w:val="52"/>
          <w:szCs w:val="52"/>
        </w:rPr>
      </w:pPr>
      <w:bookmarkStart w:id="0" w:name="_Toc15378441"/>
      <w:bookmarkStart w:id="1" w:name="_Toc15396475"/>
      <w:bookmarkStart w:id="2" w:name="_Toc15396597"/>
      <w:bookmarkStart w:id="3" w:name="_Toc15377193"/>
      <w:bookmarkStart w:id="4" w:name="_Toc15377425"/>
      <w:bookmarkStart w:id="5" w:name="_Toc15306267"/>
      <w:r>
        <w:rPr>
          <w:rFonts w:hint="eastAsia" w:ascii="方正公文小标宋" w:hAnsi="方正公文小标宋" w:eastAsia="方正公文小标宋" w:cs="方正公文小标宋"/>
          <w:color w:val="000000"/>
          <w:sz w:val="52"/>
          <w:szCs w:val="52"/>
        </w:rPr>
        <w:t>202</w:t>
      </w:r>
      <w:r>
        <w:rPr>
          <w:rFonts w:hint="eastAsia" w:ascii="方正公文小标宋" w:hAnsi="方正公文小标宋" w:eastAsia="方正公文小标宋" w:cs="方正公文小标宋"/>
          <w:color w:val="000000"/>
          <w:sz w:val="52"/>
          <w:szCs w:val="52"/>
          <w:lang w:val="en-US" w:eastAsia="zh-CN"/>
        </w:rPr>
        <w:t>3</w:t>
      </w:r>
      <w:r>
        <w:rPr>
          <w:rFonts w:hint="eastAsia" w:ascii="方正公文小标宋" w:hAnsi="方正公文小标宋" w:eastAsia="方正公文小标宋" w:cs="方正公文小标宋"/>
          <w:color w:val="000000"/>
          <w:sz w:val="52"/>
          <w:szCs w:val="52"/>
        </w:rPr>
        <w:t>年度</w:t>
      </w:r>
      <w:bookmarkEnd w:id="0"/>
      <w:bookmarkEnd w:id="1"/>
      <w:bookmarkEnd w:id="2"/>
      <w:bookmarkEnd w:id="3"/>
      <w:bookmarkEnd w:id="4"/>
    </w:p>
    <w:p>
      <w:pPr>
        <w:adjustRightInd w:val="0"/>
        <w:snapToGrid w:val="0"/>
        <w:spacing w:line="360" w:lineRule="auto"/>
        <w:jc w:val="center"/>
        <w:outlineLvl w:val="0"/>
        <w:rPr>
          <w:rFonts w:hint="eastAsia" w:ascii="Times New Roman" w:hAnsi="Times New Roman" w:eastAsia="宋体" w:cs="Times New Roman"/>
          <w:color w:val="000000"/>
          <w:sz w:val="52"/>
          <w:szCs w:val="52"/>
          <w:lang w:eastAsia="zh-CN"/>
        </w:rPr>
      </w:pPr>
      <w:bookmarkStart w:id="6" w:name="_Toc15378442"/>
      <w:bookmarkStart w:id="7" w:name="_Toc15396598"/>
      <w:bookmarkStart w:id="8" w:name="_Toc15377426"/>
      <w:bookmarkStart w:id="9" w:name="_Toc15377194"/>
      <w:bookmarkStart w:id="10" w:name="_Toc15396476"/>
      <w:r>
        <w:rPr>
          <w:rFonts w:hint="eastAsia" w:ascii="方正公文小标宋" w:hAnsi="方正公文小标宋" w:eastAsia="方正公文小标宋" w:cs="方正公文小标宋"/>
          <w:color w:val="000000"/>
          <w:sz w:val="52"/>
          <w:szCs w:val="52"/>
        </w:rPr>
        <w:t>阿坝州</w:t>
      </w:r>
      <w:bookmarkEnd w:id="5"/>
      <w:bookmarkStart w:id="11" w:name="_Toc15306268"/>
      <w:r>
        <w:rPr>
          <w:rFonts w:hint="eastAsia" w:ascii="方正公文小标宋" w:hAnsi="方正公文小标宋" w:eastAsia="方正公文小标宋" w:cs="方正公文小标宋"/>
          <w:color w:val="000000"/>
          <w:sz w:val="52"/>
          <w:szCs w:val="52"/>
        </w:rPr>
        <w:t>委政法委</w:t>
      </w:r>
      <w:r>
        <w:rPr>
          <w:rFonts w:hint="eastAsia" w:ascii="方正公文小标宋" w:hAnsi="方正公文小标宋" w:eastAsia="方正公文小标宋" w:cs="方正公文小标宋"/>
          <w:color w:val="000000"/>
          <w:sz w:val="52"/>
          <w:szCs w:val="52"/>
          <w:lang w:eastAsia="zh-CN"/>
        </w:rPr>
        <w:t>单位</w:t>
      </w:r>
      <w:r>
        <w:rPr>
          <w:rFonts w:hint="eastAsia" w:ascii="方正公文小标宋" w:hAnsi="方正公文小标宋" w:eastAsia="方正公文小标宋" w:cs="方正公文小标宋"/>
          <w:color w:val="000000"/>
          <w:sz w:val="52"/>
          <w:szCs w:val="52"/>
        </w:rPr>
        <w:t>决算</w:t>
      </w:r>
      <w:bookmarkEnd w:id="6"/>
      <w:bookmarkEnd w:id="7"/>
      <w:bookmarkEnd w:id="8"/>
      <w:bookmarkEnd w:id="9"/>
      <w:bookmarkEnd w:id="10"/>
      <w:bookmarkEnd w:id="11"/>
      <w:r>
        <w:rPr>
          <w:rFonts w:hint="eastAsia" w:ascii="方正公文小标宋" w:hAnsi="方正公文小标宋" w:eastAsia="方正公文小标宋" w:cs="方正公文小标宋"/>
          <w:color w:val="000000"/>
          <w:sz w:val="52"/>
          <w:szCs w:val="52"/>
          <w:lang w:eastAsia="zh-CN"/>
        </w:rPr>
        <w:t>公开</w:t>
      </w:r>
    </w:p>
    <w:p>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p>
    <w:p>
      <w:pPr>
        <w:widowControl/>
        <w:jc w:val="cente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5"/>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5"/>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5"/>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5"/>
        <w:rPr>
          <w:rFonts w:hint="default" w:ascii="Times New Roman" w:hAnsi="Times New Roman" w:eastAsia="方正小标宋简体" w:cs="Times New Roman"/>
          <w:color w:val="000000"/>
          <w:sz w:val="36"/>
          <w:szCs w:val="36"/>
        </w:rPr>
      </w:pPr>
    </w:p>
    <w:p>
      <w:pPr>
        <w:rPr>
          <w:rFonts w:hint="default" w:ascii="Times New Roman" w:hAnsi="Times New Roman" w:cs="Times New Roman"/>
        </w:rPr>
      </w:pPr>
    </w:p>
    <w:p>
      <w:pPr>
        <w:rPr>
          <w:rFonts w:hint="default" w:ascii="Times New Roman" w:hAnsi="Times New Roman" w:eastAsia="方正小标宋简体" w:cs="Times New Roman"/>
          <w:color w:val="000000"/>
          <w:sz w:val="36"/>
          <w:szCs w:val="36"/>
        </w:rPr>
      </w:pPr>
    </w:p>
    <w:p>
      <w:pPr>
        <w:pStyle w:val="5"/>
        <w:spacing w:before="93" w:beforeLines="0"/>
        <w:jc w:val="center"/>
        <w:rPr>
          <w:rFonts w:hint="default" w:ascii="Times New Roman" w:hAnsi="Times New Roman" w:cs="Times New Roman"/>
        </w:rPr>
      </w:pPr>
      <w:r>
        <w:rPr>
          <w:rFonts w:hint="eastAsia" w:ascii="仿宋_GB2312" w:hAnsi="仿宋_GB2312" w:eastAsia="仿宋_GB2312" w:cs="仿宋_GB2312"/>
          <w:sz w:val="32"/>
          <w:szCs w:val="32"/>
        </w:rPr>
        <w:t>已经保密审查、内容审定，同意对外公开</w:t>
      </w:r>
    </w:p>
    <w:p>
      <w:pPr>
        <w:widowControl/>
        <w:jc w:val="center"/>
        <w:rPr>
          <w:rFonts w:hint="eastAsia" w:ascii="黑体" w:hAnsi="黑体" w:eastAsia="黑体" w:cs="黑体"/>
          <w:sz w:val="48"/>
          <w:szCs w:val="48"/>
        </w:rPr>
      </w:pPr>
      <w:bookmarkStart w:id="12" w:name="_Toc15396599"/>
      <w:bookmarkStart w:id="13" w:name="_Toc15377196"/>
      <w:r>
        <w:rPr>
          <w:rFonts w:hint="eastAsia" w:ascii="黑体" w:hAnsi="黑体" w:eastAsia="黑体" w:cs="黑体"/>
          <w:sz w:val="48"/>
          <w:szCs w:val="48"/>
        </w:rPr>
        <w:t>目录</w:t>
      </w:r>
    </w:p>
    <w:p>
      <w:pPr>
        <w:widowControl/>
        <w:jc w:val="center"/>
        <w:rPr>
          <w:rFonts w:hint="default" w:ascii="Times New Roman" w:hAnsi="Times New Roman" w:eastAsia="宋体" w:cs="Times New Roman"/>
          <w:sz w:val="24"/>
          <w:szCs w:val="24"/>
        </w:rPr>
      </w:pPr>
    </w:p>
    <w:p>
      <w:pPr>
        <w:pStyle w:val="14"/>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w:t>
      </w:r>
      <w:r>
        <w:rPr>
          <w:rFonts w:hint="eastAsia" w:ascii="Times New Roman" w:eastAsia="宋体" w:cs="Times New Roman"/>
          <w:sz w:val="24"/>
          <w:szCs w:val="24"/>
          <w:lang w:val="en-US" w:eastAsia="zh-CN"/>
        </w:rPr>
        <w:t>4</w:t>
      </w:r>
      <w:r>
        <w:rPr>
          <w:rFonts w:hint="default" w:ascii="Times New Roman" w:hAnsi="Times New Roman" w:eastAsia="宋体" w:cs="Times New Roman"/>
          <w:sz w:val="24"/>
          <w:szCs w:val="24"/>
        </w:rPr>
        <w:t>年9月</w:t>
      </w:r>
      <w:r>
        <w:rPr>
          <w:rFonts w:hint="eastAsia" w:ascii="Times New Roman" w:eastAsia="宋体" w:cs="Times New Roman"/>
          <w:sz w:val="24"/>
          <w:szCs w:val="24"/>
          <w:lang w:val="en-US" w:eastAsia="zh-CN"/>
        </w:rPr>
        <w:t>19</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4"/>
        <w:adjustRightInd w:val="0"/>
        <w:snapToGrid w:val="0"/>
        <w:spacing w:before="0"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第一部分 单位概况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6"/>
        <w:adjustRightInd w:val="0"/>
        <w:snapToGrid w:val="0"/>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一、主要职责</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二、机构设置</w:t>
      </w:r>
      <w:r>
        <w:rPr>
          <w:rFonts w:hint="default" w:ascii="Times New Roman" w:hAnsi="Times New Roman" w:eastAsia="宋体" w:cs="Times New Roman"/>
          <w:sz w:val="24"/>
          <w:szCs w:val="24"/>
        </w:rPr>
        <w:tab/>
      </w:r>
      <w:r>
        <w:rPr>
          <w:rFonts w:hint="eastAsia" w:cs="Times New Roman"/>
          <w:sz w:val="24"/>
          <w:szCs w:val="24"/>
          <w:lang w:val="en-US" w:eastAsia="zh-CN"/>
        </w:rPr>
        <w:t>5</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第二部分 202</w:t>
      </w:r>
      <w:r>
        <w:rPr>
          <w:rFonts w:hint="eastAsia" w:ascii="Times New Roman" w:eastAsia="宋体" w:cs="Times New Roman"/>
          <w:sz w:val="24"/>
          <w:szCs w:val="24"/>
          <w:lang w:val="en-US" w:eastAsia="zh-CN"/>
        </w:rPr>
        <w:t>3</w:t>
      </w:r>
      <w:r>
        <w:rPr>
          <w:rFonts w:hint="default" w:ascii="Times New Roman" w:hAnsi="Times New Roman" w:eastAsia="宋体" w:cs="Times New Roman"/>
          <w:sz w:val="24"/>
          <w:szCs w:val="24"/>
        </w:rPr>
        <w:t>年度单位决算情况说明</w:t>
      </w:r>
      <w:r>
        <w:rPr>
          <w:rFonts w:hint="default" w:ascii="Times New Roman" w:hAnsi="Times New Roman" w:eastAsia="宋体" w:cs="Times New Roman"/>
          <w:sz w:val="24"/>
          <w:szCs w:val="24"/>
        </w:rPr>
        <w:tab/>
      </w:r>
      <w:r>
        <w:rPr>
          <w:rFonts w:hint="eastAsia" w:ascii="Times New Roman" w:eastAsia="宋体" w:cs="Times New Roman"/>
          <w:sz w:val="24"/>
          <w:szCs w:val="24"/>
          <w:lang w:val="en-US" w:eastAsia="zh-CN"/>
        </w:rPr>
        <w:t>6</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四、财政拨款收入支出决算总体情况说明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五、一般公共预算财政拨款支出决算情况说明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8</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六、一般公共预算财政拨款基本支出决算情况说明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0</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七、财政拨款“三公”经费支出决算情况说明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0</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八、政府性基金预算支出决算情况说明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九、国有资本经营预算支出决算情况说明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十、其他重要事项的情况说明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第三部分 名词解释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ascii="Times New Roman" w:eastAsia="宋体" w:cs="Times New Roman"/>
          <w:sz w:val="24"/>
          <w:szCs w:val="24"/>
          <w:lang w:val="en-US" w:eastAsia="zh-CN"/>
        </w:rPr>
        <w:t>3</w:t>
      </w:r>
    </w:p>
    <w:p>
      <w:pPr>
        <w:pStyle w:val="14"/>
        <w:adjustRightInd w:val="0"/>
        <w:snapToGrid w:val="0"/>
        <w:spacing w:before="0"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第四部分 附件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ascii="Times New Roman" w:eastAsia="宋体" w:cs="Times New Roman"/>
          <w:sz w:val="24"/>
          <w:szCs w:val="24"/>
          <w:lang w:val="en-US" w:eastAsia="zh-CN"/>
        </w:rPr>
        <w:t>5</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第五部分 附表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ascii="Times New Roman" w:eastAsia="宋体"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四、财政拨款收入支出决算总表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五、财政拨款支出决算明细表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七、一般公共预算财政拨款支出决算明细表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八、一般公共预算财政拨款基本支出决算明细表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九、一般公共预算财政拨款项目支出决算表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十、政府性基金预算财政拨款收入支出决算表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十一、国有资本经营预算财政拨款收入支出决算表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十二、国有资本经营预算财政拨款支出决算表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6"/>
        <w:pageBreakBefore w:val="0"/>
        <w:widowControl w:val="0"/>
        <w:kinsoku/>
        <w:wordWrap/>
        <w:overflowPunct/>
        <w:topLinePunct w:val="0"/>
        <w:autoSpaceDE/>
        <w:autoSpaceDN/>
        <w:bidi w:val="0"/>
        <w:adjustRightInd w:val="0"/>
        <w:snapToGrid w:val="0"/>
        <w:spacing w:line="440" w:lineRule="exact"/>
        <w:jc w:val="left"/>
        <w:textAlignment w:val="auto"/>
        <w:rPr>
          <w:rFonts w:hint="eastAsia" w:cs="Times New Roman"/>
          <w:sz w:val="24"/>
          <w:szCs w:val="24"/>
          <w:lang w:val="en-US" w:eastAsia="zh-CN"/>
        </w:rPr>
      </w:pPr>
      <w:r>
        <w:rPr>
          <w:rFonts w:hint="default" w:ascii="Times New Roman" w:hAnsi="Times New Roman" w:eastAsia="宋体" w:cs="Times New Roman"/>
          <w:sz w:val="24"/>
          <w:szCs w:val="24"/>
        </w:rPr>
        <w:t>十三、财政拨款“三公”经费支出决算表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5"/>
        <w:rPr>
          <w:rFonts w:hint="eastAsia" w:cs="Times New Roman"/>
          <w:sz w:val="24"/>
          <w:szCs w:val="24"/>
          <w:lang w:val="en-US" w:eastAsia="zh-CN"/>
        </w:rPr>
      </w:pPr>
    </w:p>
    <w:p>
      <w:pPr>
        <w:pStyle w:val="15"/>
        <w:rPr>
          <w:rFonts w:hint="eastAsia" w:cs="Times New Roman"/>
          <w:sz w:val="24"/>
          <w:szCs w:val="24"/>
          <w:lang w:val="en-US" w:eastAsia="zh-CN"/>
        </w:rPr>
      </w:pPr>
    </w:p>
    <w:p>
      <w:pPr>
        <w:rPr>
          <w:rFonts w:hint="eastAsia" w:cs="Times New Roman"/>
          <w:sz w:val="24"/>
          <w:szCs w:val="24"/>
          <w:lang w:val="en-US" w:eastAsia="zh-CN"/>
        </w:rPr>
      </w:pPr>
    </w:p>
    <w:p>
      <w:pPr>
        <w:pStyle w:val="2"/>
        <w:pageBreakBefore w:val="0"/>
        <w:widowControl w:val="0"/>
        <w:kinsoku/>
        <w:wordWrap/>
        <w:overflowPunct/>
        <w:topLinePunct w:val="0"/>
        <w:autoSpaceDE/>
        <w:autoSpaceDN/>
        <w:bidi w:val="0"/>
        <w:adjustRightInd/>
        <w:snapToGrid/>
        <w:spacing w:before="0" w:after="0"/>
        <w:jc w:val="center"/>
        <w:textAlignment w:val="auto"/>
        <w:rPr>
          <w:rStyle w:val="22"/>
          <w:rFonts w:hint="default" w:ascii="Times New Roman" w:hAnsi="Times New Roman" w:eastAsia="宋体" w:cs="Times New Roman"/>
          <w:b/>
          <w:bCs w:val="0"/>
          <w:color w:val="000000"/>
          <w:sz w:val="48"/>
          <w:szCs w:val="48"/>
        </w:rPr>
      </w:pPr>
      <w:r>
        <w:rPr>
          <w:rFonts w:hint="eastAsia" w:ascii="黑体" w:hAnsi="黑体" w:eastAsia="黑体" w:cs="黑体"/>
          <w:b/>
          <w:bCs w:val="0"/>
          <w:color w:val="000000"/>
          <w:sz w:val="44"/>
          <w:szCs w:val="44"/>
        </w:rPr>
        <w:t xml:space="preserve">第一部分 </w:t>
      </w:r>
      <w:r>
        <w:rPr>
          <w:rStyle w:val="22"/>
          <w:rFonts w:hint="eastAsia" w:ascii="黑体" w:hAnsi="黑体" w:eastAsia="黑体" w:cs="黑体"/>
          <w:b/>
          <w:bCs w:val="0"/>
          <w:color w:val="000000"/>
          <w:sz w:val="44"/>
          <w:szCs w:val="44"/>
        </w:rPr>
        <w:t>单位概况</w:t>
      </w:r>
      <w:bookmarkEnd w:id="12"/>
      <w:bookmarkEnd w:id="13"/>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eastAsia" w:ascii="黑体" w:hAnsi="黑体" w:eastAsia="黑体" w:cs="黑体"/>
          <w:b/>
          <w:bCs w:val="0"/>
          <w:color w:val="000000"/>
          <w:sz w:val="32"/>
          <w:szCs w:val="32"/>
        </w:rPr>
      </w:pPr>
      <w:bookmarkStart w:id="14" w:name="_Toc15396600"/>
      <w:bookmarkStart w:id="15" w:name="_Toc15377197"/>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Style w:val="23"/>
          <w:rFonts w:hint="eastAsia" w:ascii="黑体" w:hAnsi="黑体" w:eastAsia="黑体" w:cs="黑体"/>
          <w:b w:val="0"/>
          <w:bCs w:val="0"/>
          <w:color w:val="000000"/>
          <w:sz w:val="32"/>
          <w:szCs w:val="32"/>
          <w:lang w:eastAsia="zh-CN"/>
        </w:rPr>
      </w:pPr>
      <w:r>
        <w:rPr>
          <w:rFonts w:hint="eastAsia" w:ascii="黑体" w:hAnsi="黑体" w:eastAsia="黑体" w:cs="黑体"/>
          <w:b/>
          <w:bCs w:val="0"/>
          <w:color w:val="000000"/>
          <w:sz w:val="32"/>
          <w:szCs w:val="32"/>
        </w:rPr>
        <w:t>一、</w:t>
      </w:r>
      <w:bookmarkEnd w:id="14"/>
      <w:bookmarkEnd w:id="15"/>
      <w:r>
        <w:rPr>
          <w:rFonts w:hint="eastAsia" w:ascii="黑体" w:hAnsi="黑体" w:eastAsia="黑体" w:cs="黑体"/>
          <w:b/>
          <w:bCs w:val="0"/>
          <w:color w:val="000000"/>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6" w:name="_Toc15396601"/>
      <w:bookmarkStart w:id="17" w:name="_Toc15377200"/>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贯彻习近平新时代中国特色社会主义思想，坚持党对政法工作的绝对领导，坚决执行党的路线方针政策和党中央</w:t>
      </w:r>
      <w:r>
        <w:rPr>
          <w:rFonts w:hint="eastAsia" w:ascii="仿宋_GB2312" w:hAnsi="仿宋_GB2312" w:eastAsia="仿宋_GB2312" w:cs="仿宋_GB2312"/>
          <w:color w:val="000000"/>
          <w:sz w:val="32"/>
          <w:szCs w:val="32"/>
          <w:lang w:eastAsia="zh-CN"/>
        </w:rPr>
        <w:t>、省委及州委</w:t>
      </w:r>
      <w:r>
        <w:rPr>
          <w:rFonts w:hint="eastAsia" w:ascii="仿宋_GB2312" w:hAnsi="仿宋_GB2312" w:eastAsia="仿宋_GB2312" w:cs="仿宋_GB2312"/>
          <w:color w:val="000000"/>
          <w:sz w:val="32"/>
          <w:szCs w:val="32"/>
        </w:rPr>
        <w:t>重大决策部署，推动完善和落实政治轮训和政治督察制度</w:t>
      </w:r>
      <w:r>
        <w:rPr>
          <w:rFonts w:hint="eastAsia" w:ascii="仿宋_GB2312" w:hAnsi="仿宋_GB2312" w:eastAsia="仿宋_GB2312" w:cs="仿宋_GB2312"/>
          <w:color w:val="000000"/>
          <w:sz w:val="32"/>
          <w:szCs w:val="32"/>
          <w:lang w:eastAsia="zh-CN"/>
        </w:rPr>
        <w:t>，推进平安阿坝、法治阿坝建设，加强过硬队伍建设，深化智能化建设，确保社会大局稳定、促进社会公平正义、保障人民安居乐业</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贯彻党中央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以及上级党组织决定，研究协调政法单位之间</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政法单位和有关部门、地方之间有关重大事项，统一政法单位思想和行动。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（三）组织开展</w:t>
      </w:r>
      <w:r>
        <w:rPr>
          <w:rFonts w:hint="eastAsia" w:ascii="仿宋_GB2312" w:hAnsi="仿宋_GB2312" w:eastAsia="仿宋_GB2312" w:cs="仿宋_GB2312"/>
          <w:color w:val="000000"/>
          <w:sz w:val="32"/>
          <w:szCs w:val="32"/>
        </w:rPr>
        <w:t>政法领域重大实践和理论问题</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调查研究，</w:t>
      </w:r>
      <w:r>
        <w:rPr>
          <w:rFonts w:hint="eastAsia" w:ascii="仿宋_GB2312" w:hAnsi="仿宋_GB2312" w:eastAsia="仿宋_GB2312" w:cs="仿宋_GB2312"/>
          <w:color w:val="000000"/>
          <w:sz w:val="32"/>
          <w:szCs w:val="32"/>
          <w:lang w:eastAsia="zh-CN"/>
        </w:rPr>
        <w:t>研究拟订全州政法工作的政策措施，及时向州委</w:t>
      </w:r>
      <w:r>
        <w:rPr>
          <w:rFonts w:hint="eastAsia" w:ascii="仿宋_GB2312" w:hAnsi="仿宋_GB2312" w:eastAsia="仿宋_GB2312" w:cs="仿宋_GB2312"/>
          <w:color w:val="000000"/>
          <w:sz w:val="32"/>
          <w:szCs w:val="32"/>
        </w:rPr>
        <w:t>提出重大决策部署和改革措施的意见和建议，协助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委决策和统筹推进政法</w:t>
      </w:r>
      <w:r>
        <w:rPr>
          <w:rFonts w:hint="eastAsia" w:ascii="仿宋_GB2312" w:hAnsi="仿宋_GB2312" w:eastAsia="仿宋_GB2312" w:cs="仿宋_GB2312"/>
          <w:color w:val="000000"/>
          <w:sz w:val="32"/>
          <w:szCs w:val="32"/>
          <w:lang w:eastAsia="zh-CN"/>
        </w:rPr>
        <w:t>领域</w:t>
      </w:r>
      <w:r>
        <w:rPr>
          <w:rFonts w:hint="eastAsia" w:ascii="仿宋_GB2312" w:hAnsi="仿宋_GB2312" w:eastAsia="仿宋_GB2312" w:cs="仿宋_GB2312"/>
          <w:color w:val="000000"/>
          <w:sz w:val="32"/>
          <w:szCs w:val="32"/>
        </w:rPr>
        <w:t>改革等各项工作。</w:t>
      </w:r>
      <w:r>
        <w:rPr>
          <w:rFonts w:hint="eastAsia" w:ascii="仿宋_GB2312" w:hAnsi="仿宋_GB2312" w:eastAsia="仿宋_GB2312" w:cs="仿宋_GB2312"/>
          <w:color w:val="000000"/>
          <w:sz w:val="32"/>
          <w:szCs w:val="32"/>
          <w:lang w:eastAsia="zh-CN"/>
        </w:rPr>
        <w:t>参与有关民族自治法规、地方性法规和规章的起草、修改工作，及时提出立法建议。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了解掌握和分析研判社会稳定形势、政法工作情况动态，创新完善多部门参与的</w:t>
      </w:r>
      <w:r>
        <w:rPr>
          <w:rFonts w:hint="eastAsia" w:ascii="仿宋_GB2312" w:hAnsi="仿宋_GB2312" w:eastAsia="仿宋_GB2312" w:cs="仿宋_GB2312"/>
          <w:color w:val="000000"/>
          <w:sz w:val="32"/>
          <w:szCs w:val="32"/>
          <w:lang w:eastAsia="zh-CN"/>
        </w:rPr>
        <w:t>综治维稳机制</w:t>
      </w:r>
      <w:r>
        <w:rPr>
          <w:rFonts w:hint="eastAsia" w:ascii="仿宋_GB2312" w:hAnsi="仿宋_GB2312" w:eastAsia="仿宋_GB2312" w:cs="仿宋_GB2312"/>
          <w:color w:val="000000"/>
          <w:sz w:val="32"/>
          <w:szCs w:val="32"/>
        </w:rPr>
        <w:t>，协调推动预防、化解影响稳定的社会矛盾和风险，协调应对和妥善处置重大突发事件。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加强对政法工作的督查，统筹协调维护社会稳定、社会治安综合治理等有关法律法规和政策的实施工作。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支持和监督政法单位依法行使职权，检查政法单位执行党的路线方针政策、党中央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重大决策部署</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法律法规的情况，指导和协调政法单位密切配合，完善与纪检监察机关工作衔接和协作配合机制，推进严格执法、公正司法。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指导推动</w:t>
      </w:r>
      <w:r>
        <w:rPr>
          <w:rFonts w:hint="eastAsia" w:ascii="仿宋_GB2312" w:hAnsi="仿宋_GB2312" w:eastAsia="仿宋_GB2312" w:cs="仿宋_GB2312"/>
          <w:color w:val="000000"/>
          <w:sz w:val="32"/>
          <w:szCs w:val="32"/>
          <w:lang w:eastAsia="zh-CN"/>
        </w:rPr>
        <w:t>政法系统</w:t>
      </w:r>
      <w:r>
        <w:rPr>
          <w:rFonts w:hint="eastAsia" w:ascii="仿宋_GB2312" w:hAnsi="仿宋_GB2312" w:eastAsia="仿宋_GB2312" w:cs="仿宋_GB2312"/>
          <w:color w:val="000000"/>
          <w:sz w:val="32"/>
          <w:szCs w:val="32"/>
        </w:rPr>
        <w:t>党的建设和政法队伍建设，协助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委及</w:t>
      </w:r>
      <w:r>
        <w:rPr>
          <w:rFonts w:hint="eastAsia" w:ascii="仿宋_GB2312" w:hAnsi="仿宋_GB2312" w:eastAsia="仿宋_GB2312" w:cs="仿宋_GB2312"/>
          <w:color w:val="000000"/>
          <w:sz w:val="32"/>
          <w:szCs w:val="32"/>
          <w:lang w:eastAsia="zh-CN"/>
        </w:rPr>
        <w:t>州委</w:t>
      </w:r>
      <w:r>
        <w:rPr>
          <w:rFonts w:hint="eastAsia" w:ascii="仿宋_GB2312" w:hAnsi="仿宋_GB2312" w:eastAsia="仿宋_GB2312" w:cs="仿宋_GB2312"/>
          <w:color w:val="000000"/>
          <w:sz w:val="32"/>
          <w:szCs w:val="32"/>
        </w:rPr>
        <w:t>组织部加强政法单位领导班子和干部队伍建设，协助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委和</w:t>
      </w:r>
      <w:r>
        <w:rPr>
          <w:rFonts w:hint="eastAsia" w:ascii="仿宋_GB2312" w:hAnsi="仿宋_GB2312" w:eastAsia="仿宋_GB2312" w:cs="仿宋_GB2312"/>
          <w:color w:val="000000"/>
          <w:sz w:val="32"/>
          <w:szCs w:val="32"/>
          <w:lang w:eastAsia="zh-CN"/>
        </w:rPr>
        <w:t>州纪委监委</w:t>
      </w:r>
      <w:r>
        <w:rPr>
          <w:rFonts w:hint="eastAsia" w:ascii="仿宋_GB2312" w:hAnsi="仿宋_GB2312" w:eastAsia="仿宋_GB2312" w:cs="仿宋_GB2312"/>
          <w:color w:val="000000"/>
          <w:sz w:val="32"/>
          <w:szCs w:val="32"/>
        </w:rPr>
        <w:t>做好监督检查、审查调查工作。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落实全面依法治国领导机构</w:t>
      </w:r>
      <w:r>
        <w:rPr>
          <w:rFonts w:hint="eastAsia" w:ascii="仿宋_GB2312" w:hAnsi="仿宋_GB2312" w:eastAsia="仿宋_GB2312" w:cs="仿宋_GB2312"/>
          <w:color w:val="000000"/>
          <w:sz w:val="32"/>
          <w:szCs w:val="32"/>
          <w:lang w:eastAsia="zh-CN"/>
        </w:rPr>
        <w:t>、城乡基层治理领导机构</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eastAsia="zh-CN"/>
        </w:rPr>
        <w:t>各项</w:t>
      </w:r>
      <w:r>
        <w:rPr>
          <w:rFonts w:hint="eastAsia" w:ascii="仿宋_GB2312" w:hAnsi="仿宋_GB2312" w:eastAsia="仿宋_GB2312" w:cs="仿宋_GB2312"/>
          <w:color w:val="000000"/>
          <w:sz w:val="32"/>
          <w:szCs w:val="32"/>
        </w:rPr>
        <w:t>部署，支持配合其办事机构工作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指导政法单位加强</w:t>
      </w:r>
      <w:r>
        <w:rPr>
          <w:rFonts w:hint="eastAsia" w:ascii="仿宋_GB2312" w:hAnsi="仿宋_GB2312" w:eastAsia="仿宋_GB2312" w:cs="仿宋_GB2312"/>
          <w:color w:val="000000"/>
          <w:sz w:val="32"/>
          <w:szCs w:val="32"/>
          <w:lang w:eastAsia="zh-CN"/>
        </w:rPr>
        <w:t>社会稳定、平安建设、法治建设等重大问题</w:t>
      </w:r>
      <w:r>
        <w:rPr>
          <w:rFonts w:hint="eastAsia" w:ascii="仿宋_GB2312" w:hAnsi="仿宋_GB2312" w:eastAsia="仿宋_GB2312" w:cs="仿宋_GB2312"/>
          <w:color w:val="000000"/>
          <w:sz w:val="32"/>
          <w:szCs w:val="32"/>
        </w:rPr>
        <w:t>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提出建议和工作意见，指导和协调政法单位</w:t>
      </w:r>
      <w:r>
        <w:rPr>
          <w:rFonts w:hint="eastAsia" w:ascii="仿宋_GB2312" w:hAnsi="仿宋_GB2312" w:eastAsia="仿宋_GB2312" w:cs="仿宋_GB2312"/>
          <w:color w:val="000000"/>
          <w:sz w:val="32"/>
          <w:szCs w:val="32"/>
          <w:lang w:eastAsia="zh-CN"/>
        </w:rPr>
        <w:t>开展维护社会稳定、执法司法、创新社会治理等有关</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指导见义勇为表彰奖励工作。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（九）</w:t>
      </w:r>
      <w:r>
        <w:rPr>
          <w:rFonts w:hint="eastAsia" w:ascii="仿宋_GB2312" w:hAnsi="仿宋_GB2312" w:eastAsia="仿宋_GB2312" w:cs="仿宋_GB2312"/>
          <w:color w:val="000000"/>
          <w:sz w:val="32"/>
          <w:szCs w:val="32"/>
        </w:rPr>
        <w:t>掌握分析政法舆情动态，指导和协调政法单位和有关部门做好依法办理、宣传报道和舆论引导等相关工作</w:t>
      </w:r>
      <w:r>
        <w:rPr>
          <w:rFonts w:hint="eastAsia" w:ascii="仿宋_GB2312" w:hAnsi="仿宋_GB2312" w:eastAsia="仿宋_GB2312" w:cs="仿宋_GB2312"/>
          <w:color w:val="000000"/>
          <w:sz w:val="32"/>
          <w:szCs w:val="32"/>
          <w:lang w:val="en-US" w:eastAsia="zh-CN"/>
        </w:rPr>
        <w:t>,推动政法网络新媒体发展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统筹指导并推动智能化建设。</w:t>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w:t>
      </w:r>
      <w:r>
        <w:rPr>
          <w:rFonts w:hint="eastAsia" w:ascii="仿宋_GB2312" w:hAnsi="仿宋_GB2312" w:eastAsia="仿宋_GB2312" w:cs="仿宋_GB2312"/>
          <w:color w:val="000000"/>
          <w:sz w:val="32"/>
          <w:szCs w:val="32"/>
        </w:rPr>
        <w:t>完成州委</w:t>
      </w:r>
      <w:r>
        <w:rPr>
          <w:rFonts w:hint="eastAsia" w:ascii="仿宋_GB2312" w:hAnsi="仿宋_GB2312" w:eastAsia="仿宋_GB2312" w:cs="仿宋_GB2312"/>
          <w:color w:val="000000"/>
          <w:sz w:val="32"/>
          <w:szCs w:val="32"/>
          <w:lang w:eastAsia="zh-CN"/>
        </w:rPr>
        <w:t>和上级党委政法委员会</w:t>
      </w:r>
      <w:r>
        <w:rPr>
          <w:rFonts w:hint="eastAsia" w:ascii="仿宋_GB2312" w:hAnsi="仿宋_GB2312" w:eastAsia="仿宋_GB2312" w:cs="仿宋_GB2312"/>
          <w:color w:val="000000"/>
          <w:sz w:val="32"/>
          <w:szCs w:val="32"/>
        </w:rPr>
        <w:t>交办的其他任务。</w:t>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r>
        <w:rPr>
          <w:rFonts w:hint="default" w:ascii="黑体" w:hAnsi="黑体" w:eastAsia="黑体" w:cs="黑体"/>
          <w:b/>
          <w:bCs w:val="0"/>
          <w:color w:val="000000"/>
          <w:sz w:val="32"/>
          <w:szCs w:val="32"/>
          <w:lang w:eastAsia="zh-CN"/>
        </w:rPr>
        <w:t>二、机构设置</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州委政法委属二级预算单位。内设办公室、基层治理</w:t>
      </w:r>
      <w:r>
        <w:rPr>
          <w:rFonts w:hint="eastAsia" w:ascii="仿宋_GB2312" w:hAnsi="仿宋_GB2312" w:eastAsia="仿宋_GB2312" w:cs="仿宋_GB2312"/>
          <w:color w:val="000000"/>
          <w:sz w:val="32"/>
          <w:szCs w:val="32"/>
          <w:lang w:eastAsia="zh-CN"/>
        </w:rPr>
        <w:t>与平安创建</w:t>
      </w:r>
      <w:r>
        <w:rPr>
          <w:rFonts w:hint="default" w:ascii="仿宋_GB2312" w:hAnsi="仿宋_GB2312" w:eastAsia="仿宋_GB2312" w:cs="仿宋_GB2312"/>
          <w:color w:val="000000"/>
          <w:sz w:val="32"/>
          <w:szCs w:val="32"/>
        </w:rPr>
        <w:t>科、法治与执法监督科、宣传科、政治部</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lang w:val="en-US" w:eastAsia="zh-CN"/>
        </w:rPr>
        <w:t>7个科室</w:t>
      </w:r>
      <w:r>
        <w:rPr>
          <w:rFonts w:hint="default" w:ascii="仿宋_GB2312" w:hAnsi="仿宋_GB2312" w:eastAsia="仿宋_GB2312" w:cs="仿宋_GB2312"/>
          <w:color w:val="000000"/>
          <w:sz w:val="32"/>
          <w:szCs w:val="32"/>
        </w:rPr>
        <w:t>。行政编制22名，工勤编制8名；在职人员总数</w:t>
      </w:r>
      <w:r>
        <w:rPr>
          <w:rFonts w:hint="eastAsia" w:ascii="仿宋_GB2312" w:hAnsi="仿宋_GB2312" w:eastAsia="仿宋_GB2312" w:cs="仿宋_GB2312"/>
          <w:color w:val="000000"/>
          <w:sz w:val="32"/>
          <w:szCs w:val="32"/>
          <w:lang w:val="en-US" w:eastAsia="zh-CN"/>
        </w:rPr>
        <w:t>31</w:t>
      </w:r>
      <w:r>
        <w:rPr>
          <w:rFonts w:hint="default" w:ascii="仿宋_GB2312" w:hAnsi="仿宋_GB2312" w:eastAsia="仿宋_GB2312" w:cs="仿宋_GB2312"/>
          <w:color w:val="000000"/>
          <w:sz w:val="32"/>
          <w:szCs w:val="32"/>
        </w:rPr>
        <w:t>人，其中行政人员2</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rPr>
        <w:t>人，机关工勤人员8人</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color w:val="000000"/>
          <w:sz w:val="32"/>
          <w:szCs w:val="32"/>
        </w:rPr>
        <w:t>编外长聘人员3人</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rPr>
        <w:t>退休职工10人已纳入社保。</w:t>
      </w:r>
    </w:p>
    <w:p>
      <w:pPr>
        <w:widowControl/>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sz w:val="24"/>
          <w:szCs w:val="24"/>
        </w:rPr>
        <w:br w:type="page"/>
      </w:r>
    </w:p>
    <w:p>
      <w:pPr>
        <w:pStyle w:val="2"/>
        <w:keepNext/>
        <w:keepLines/>
        <w:pageBreakBefore w:val="0"/>
        <w:widowControl w:val="0"/>
        <w:kinsoku/>
        <w:wordWrap/>
        <w:overflowPunct/>
        <w:topLinePunct w:val="0"/>
        <w:autoSpaceDE/>
        <w:autoSpaceDN/>
        <w:bidi w:val="0"/>
        <w:adjustRightInd/>
        <w:snapToGrid/>
        <w:spacing w:before="0" w:after="0"/>
        <w:ind w:right="440"/>
        <w:jc w:val="center"/>
        <w:textAlignment w:val="auto"/>
        <w:rPr>
          <w:rStyle w:val="22"/>
          <w:rFonts w:hint="default" w:ascii="Times New Roman" w:hAnsi="Times New Roman" w:eastAsia="宋体" w:cs="Times New Roman"/>
          <w:b/>
          <w:bCs w:val="0"/>
          <w:color w:val="000000"/>
          <w:sz w:val="48"/>
          <w:szCs w:val="48"/>
        </w:rPr>
      </w:pPr>
      <w:bookmarkStart w:id="18" w:name="_Toc15396602"/>
      <w:bookmarkStart w:id="19" w:name="_Toc15377204"/>
      <w:r>
        <w:rPr>
          <w:rFonts w:hint="default" w:ascii="Times New Roman" w:hAnsi="Times New Roman" w:eastAsia="宋体" w:cs="Times New Roman"/>
          <w:b/>
          <w:bCs w:val="0"/>
          <w:color w:val="000000"/>
          <w:sz w:val="48"/>
          <w:szCs w:val="48"/>
        </w:rPr>
        <w:t xml:space="preserve">第二部分 </w:t>
      </w:r>
      <w:r>
        <w:rPr>
          <w:rStyle w:val="22"/>
          <w:rFonts w:hint="default" w:ascii="Times New Roman" w:hAnsi="Times New Roman" w:eastAsia="宋体" w:cs="Times New Roman"/>
          <w:b/>
          <w:bCs w:val="0"/>
          <w:color w:val="000000"/>
          <w:sz w:val="48"/>
          <w:szCs w:val="48"/>
        </w:rPr>
        <w:t>202</w:t>
      </w:r>
      <w:r>
        <w:rPr>
          <w:rStyle w:val="22"/>
          <w:rFonts w:hint="eastAsia" w:cs="Times New Roman"/>
          <w:b/>
          <w:bCs w:val="0"/>
          <w:color w:val="000000"/>
          <w:sz w:val="48"/>
          <w:szCs w:val="48"/>
          <w:lang w:val="en-US"/>
        </w:rPr>
        <w:t>3</w:t>
      </w:r>
      <w:r>
        <w:rPr>
          <w:rStyle w:val="22"/>
          <w:rFonts w:hint="default" w:ascii="Times New Roman" w:hAnsi="Times New Roman" w:eastAsia="宋体" w:cs="Times New Roman"/>
          <w:b/>
          <w:bCs w:val="0"/>
          <w:color w:val="000000"/>
          <w:sz w:val="48"/>
          <w:szCs w:val="48"/>
        </w:rPr>
        <w:t>年度</w:t>
      </w:r>
      <w:r>
        <w:rPr>
          <w:rStyle w:val="22"/>
          <w:rFonts w:hint="eastAsia" w:cs="Times New Roman"/>
          <w:b/>
          <w:bCs w:val="0"/>
          <w:color w:val="000000"/>
          <w:sz w:val="48"/>
          <w:szCs w:val="48"/>
        </w:rPr>
        <w:t>单位</w:t>
      </w:r>
      <w:r>
        <w:rPr>
          <w:rStyle w:val="22"/>
          <w:rFonts w:hint="default" w:ascii="Times New Roman" w:hAnsi="Times New Roman" w:eastAsia="宋体" w:cs="Times New Roman"/>
          <w:b/>
          <w:bCs w:val="0"/>
          <w:color w:val="000000"/>
          <w:sz w:val="48"/>
          <w:szCs w:val="48"/>
        </w:rPr>
        <w:t>决算情况说明</w:t>
      </w:r>
      <w:bookmarkEnd w:id="18"/>
      <w:bookmarkEnd w:id="19"/>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bookmarkStart w:id="20" w:name="_Toc15396603"/>
      <w:bookmarkStart w:id="21" w:name="_Toc15377205"/>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r>
        <w:rPr>
          <w:rFonts w:hint="default" w:ascii="黑体" w:hAnsi="黑体" w:eastAsia="黑体" w:cs="黑体"/>
          <w:b/>
          <w:bCs w:val="0"/>
          <w:color w:val="000000"/>
          <w:sz w:val="32"/>
          <w:szCs w:val="32"/>
          <w:lang w:eastAsia="zh-CN"/>
        </w:rPr>
        <w:t>一、收入支出决算总体情况说明</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年度收、支总计1743.63万元。与2022年相比，收、支总计减少</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66</w:t>
      </w:r>
      <w:r>
        <w:rPr>
          <w:rFonts w:hint="default" w:ascii="仿宋_GB2312" w:hAnsi="仿宋_GB2312" w:eastAsia="仿宋_GB2312" w:cs="仿宋_GB2312"/>
          <w:color w:val="000000"/>
          <w:sz w:val="32"/>
          <w:szCs w:val="32"/>
          <w:lang w:val="en-US" w:eastAsia="zh-CN"/>
        </w:rPr>
        <w:t>万元，</w:t>
      </w:r>
      <w:r>
        <w:rPr>
          <w:rFonts w:hint="default"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32</w:t>
      </w:r>
      <w:r>
        <w:rPr>
          <w:rFonts w:hint="default"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在职职工减少</w:t>
      </w:r>
      <w:r>
        <w:rPr>
          <w:rFonts w:hint="eastAsia" w:ascii="仿宋_GB2312" w:hAnsi="仿宋_GB2312" w:eastAsia="仿宋_GB2312" w:cs="仿宋_GB2312"/>
          <w:color w:val="000000"/>
          <w:sz w:val="32"/>
          <w:szCs w:val="32"/>
          <w:lang w:val="en-US" w:eastAsia="zh-CN"/>
        </w:rPr>
        <w:t>1人</w:t>
      </w:r>
      <w:r>
        <w:rPr>
          <w:rFonts w:hint="default"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（图1：收、支决算总计变动情况图）（柱状图）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drawing>
          <wp:anchor distT="316865" distB="339725" distL="369570" distR="293370" simplePos="0" relativeHeight="251659264" behindDoc="1" locked="0" layoutInCell="1" allowOverlap="1">
            <wp:simplePos x="0" y="0"/>
            <wp:positionH relativeFrom="column">
              <wp:posOffset>36830</wp:posOffset>
            </wp:positionH>
            <wp:positionV relativeFrom="paragraph">
              <wp:posOffset>106680</wp:posOffset>
            </wp:positionV>
            <wp:extent cx="5033645" cy="1732915"/>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jc w:val="left"/>
        <w:rPr>
          <w:rFonts w:hint="default" w:ascii="Times New Roman" w:hAnsi="Times New Roman" w:eastAsia="宋体" w:cs="Times New Roman"/>
          <w:color w:val="000000"/>
          <w:sz w:val="24"/>
          <w:szCs w:val="24"/>
        </w:rPr>
      </w:pP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bookmarkStart w:id="22" w:name="_Toc15396604"/>
      <w:bookmarkStart w:id="23" w:name="_Toc15377206"/>
      <w:r>
        <w:rPr>
          <w:rFonts w:hint="default" w:ascii="黑体" w:hAnsi="黑体" w:eastAsia="黑体" w:cs="黑体"/>
          <w:b/>
          <w:bCs w:val="0"/>
          <w:color w:val="000000"/>
          <w:sz w:val="32"/>
          <w:szCs w:val="32"/>
          <w:lang w:eastAsia="zh-CN"/>
        </w:rPr>
        <w:t>二、收入决算情况说明</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年收入合计</w:t>
      </w:r>
      <w:r>
        <w:rPr>
          <w:rFonts w:hint="default" w:ascii="仿宋_GB2312" w:hAnsi="仿宋_GB2312" w:eastAsia="仿宋_GB2312" w:cs="仿宋_GB2312"/>
          <w:color w:val="000000"/>
          <w:sz w:val="32"/>
          <w:szCs w:val="32"/>
          <w:lang w:val="en-US" w:eastAsia="zh-CN"/>
        </w:rPr>
        <w:t>1743.63</w:t>
      </w:r>
      <w:r>
        <w:rPr>
          <w:rFonts w:hint="default" w:ascii="仿宋_GB2312" w:hAnsi="仿宋_GB2312" w:eastAsia="仿宋_GB2312" w:cs="仿宋_GB2312"/>
          <w:color w:val="000000"/>
          <w:sz w:val="32"/>
          <w:szCs w:val="32"/>
        </w:rPr>
        <w:t>万元，其中：一般公共预算财政拨款收入</w:t>
      </w:r>
      <w:r>
        <w:rPr>
          <w:rFonts w:hint="default" w:ascii="仿宋_GB2312" w:hAnsi="仿宋_GB2312" w:eastAsia="仿宋_GB2312" w:cs="仿宋_GB2312"/>
          <w:color w:val="000000"/>
          <w:sz w:val="32"/>
          <w:szCs w:val="32"/>
          <w:lang w:val="en-US" w:eastAsia="zh-CN"/>
        </w:rPr>
        <w:t>1743.63</w:t>
      </w:r>
      <w:r>
        <w:rPr>
          <w:rFonts w:hint="default" w:ascii="仿宋_GB2312" w:hAnsi="仿宋_GB2312" w:eastAsia="仿宋_GB2312" w:cs="仿宋_GB2312"/>
          <w:color w:val="000000"/>
          <w:sz w:val="32"/>
          <w:szCs w:val="32"/>
        </w:rPr>
        <w:t>万元，占 100.00%；政府性基金预算财政拨款收入0.00万元，占 0.00%；上级补助收入0.00万元，占 0.00%；事业收入0.00万元，占 0.00%；经营收入0.00万元，占 0.00%；附属单位上缴收入0.00万元，占 0.00%；其他收入0.00万元，占 0.00%。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（图2：收入决算结构图）（饼状图）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02080" distB="1383665" distL="2863215" distR="118745" simplePos="0" relativeHeight="251659264" behindDoc="0" locked="0" layoutInCell="1" allowOverlap="1">
            <wp:simplePos x="0" y="0"/>
            <wp:positionH relativeFrom="column">
              <wp:posOffset>522605</wp:posOffset>
            </wp:positionH>
            <wp:positionV relativeFrom="paragraph">
              <wp:posOffset>-478155</wp:posOffset>
            </wp:positionV>
            <wp:extent cx="4660900" cy="114300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tabs>
          <w:tab w:val="left" w:pos="5220"/>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ab/>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r>
        <w:rPr>
          <w:rFonts w:hint="default" w:ascii="黑体" w:hAnsi="黑体" w:eastAsia="黑体" w:cs="黑体"/>
          <w:b/>
          <w:bCs w:val="0"/>
          <w:color w:val="000000"/>
          <w:sz w:val="32"/>
          <w:szCs w:val="32"/>
          <w:lang w:eastAsia="zh-CN"/>
        </w:rPr>
        <w:t>三、支出决算情况说明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年支出合计1743.63万元，其中：基本支出1101.48万元，占63.17%；项目支出642.15万元，占36.82%；上缴上级支出0万元，占0%；经营支出0万元，占0%；对附属单位补助支出0万元，占0%。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38275" distB="1439545" distL="2448560" distR="118745" simplePos="0" relativeHeight="251659264" behindDoc="0" locked="0" layoutInCell="1" allowOverlap="1">
            <wp:simplePos x="0" y="0"/>
            <wp:positionH relativeFrom="column">
              <wp:posOffset>115570</wp:posOffset>
            </wp:positionH>
            <wp:positionV relativeFrom="paragraph">
              <wp:posOffset>279400</wp:posOffset>
            </wp:positionV>
            <wp:extent cx="4761230" cy="222504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6" o:spid="_x0000_s1026"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6" DrawAspect="Content" ObjectID="_1468075725" r:id="rId9">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7" o:spid="_x0000_s1027"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7" DrawAspect="Content" ObjectID="_1468075726" r:id="rId11">
            <o:LockedField>false</o:LockedField>
          </o:OLEObject>
        </w:pict>
      </w:r>
      <w:r>
        <w:rPr>
          <w:rFonts w:hint="default" w:ascii="Times New Roman" w:hAnsi="Times New Roman" w:eastAsia="宋体" w:cs="Times New Roman"/>
          <w:color w:val="000000"/>
          <w:sz w:val="24"/>
          <w:szCs w:val="24"/>
        </w:rPr>
        <w:pict>
          <v:shape id="_x0000_s1028" o:spid="_x0000_s1028"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8" DrawAspect="Content" ObjectID="_1468075727" r:id="rId12">
            <o:LockedField>false</o:LockedField>
          </o:OLEObject>
        </w:pict>
      </w:r>
      <w:r>
        <w:rPr>
          <w:rFonts w:hint="default" w:ascii="Times New Roman" w:hAnsi="Times New Roman" w:eastAsia="宋体" w:cs="Times New Roman"/>
          <w:color w:val="000000"/>
          <w:sz w:val="24"/>
          <w:szCs w:val="24"/>
        </w:rPr>
        <w:pict>
          <v:shape id="_x0000_s1029" o:spid="_x0000_s1029"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9" DrawAspect="Content" ObjectID="_1468075728" r:id="rId13">
            <o:LockedField>false</o:LockedField>
          </o:OLEObject>
        </w:pict>
      </w:r>
      <w:r>
        <w:rPr>
          <w:rFonts w:hint="default" w:ascii="Times New Roman" w:hAnsi="Times New Roman" w:eastAsia="宋体" w:cs="Times New Roman"/>
          <w:color w:val="000000"/>
          <w:sz w:val="24"/>
          <w:szCs w:val="24"/>
        </w:rPr>
        <w:pict>
          <v:shape id="_x0000_s1030" o:spid="_x0000_s1030"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0" DrawAspect="Content" ObjectID="_1468075729" r:id="rId14">
            <o:LockedField>false</o:LockedField>
          </o:OLEObject>
        </w:pict>
      </w:r>
      <w:r>
        <w:rPr>
          <w:rFonts w:hint="default" w:ascii="Times New Roman" w:hAnsi="Times New Roman" w:eastAsia="宋体" w:cs="Times New Roman"/>
          <w:color w:val="000000"/>
          <w:sz w:val="24"/>
          <w:szCs w:val="24"/>
        </w:rPr>
        <w:pict>
          <v:shape id="_x0000_s1031" o:spid="_x0000_s1031"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1" DrawAspect="Content" ObjectID="_1468075730" r:id="rId15">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32" o:spid="_x0000_s1032"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2" DrawAspect="Content" ObjectID="_1468075731" r:id="rId16">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bookmarkStart w:id="24" w:name="_Toc15396606"/>
      <w:bookmarkStart w:id="25" w:name="_Toc15377208"/>
      <w:r>
        <w:rPr>
          <w:rFonts w:hint="default" w:ascii="黑体" w:hAnsi="黑体" w:eastAsia="黑体" w:cs="黑体"/>
          <w:b/>
          <w:bCs w:val="0"/>
          <w:color w:val="000000"/>
          <w:sz w:val="32"/>
          <w:szCs w:val="32"/>
          <w:lang w:eastAsia="zh-CN"/>
        </w:rPr>
        <w:t>四、财政拨款收入支出决算总体情况说明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年财政拨款收、支总计占</w:t>
      </w:r>
      <w:r>
        <w:rPr>
          <w:rFonts w:hint="default" w:ascii="仿宋_GB2312" w:hAnsi="仿宋_GB2312" w:eastAsia="仿宋_GB2312" w:cs="仿宋_GB2312"/>
          <w:color w:val="000000"/>
          <w:sz w:val="32"/>
          <w:szCs w:val="32"/>
          <w:lang w:val="en-US" w:eastAsia="zh-CN"/>
        </w:rPr>
        <w:t>1743.63</w:t>
      </w:r>
      <w:r>
        <w:rPr>
          <w:rFonts w:hint="default" w:ascii="仿宋_GB2312" w:hAnsi="仿宋_GB2312" w:eastAsia="仿宋_GB2312" w:cs="仿宋_GB2312"/>
          <w:color w:val="000000"/>
          <w:sz w:val="32"/>
          <w:szCs w:val="32"/>
        </w:rPr>
        <w:t>。与2022年相比，收、支总计各减少5.66万元，减少0.32%。主要变动原因是在职职工减少1人。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p>
    <w:p>
      <w:pPr>
        <w:tabs>
          <w:tab w:val="center" w:pos="4393"/>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27660" distL="369570" distR="285750" simplePos="0" relativeHeight="251659264" behindDoc="1" locked="0" layoutInCell="1" allowOverlap="1">
            <wp:simplePos x="0" y="0"/>
            <wp:positionH relativeFrom="column">
              <wp:posOffset>434340</wp:posOffset>
            </wp:positionH>
            <wp:positionV relativeFrom="paragraph">
              <wp:posOffset>184150</wp:posOffset>
            </wp:positionV>
            <wp:extent cx="4334510" cy="938530"/>
            <wp:effectExtent l="0" t="0" r="0" b="0"/>
            <wp:wrapNone/>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default" w:ascii="Times New Roman" w:hAnsi="Times New Roman" w:eastAsia="宋体" w:cs="Times New Roman"/>
          <w:color w:val="000000"/>
          <w:sz w:val="24"/>
          <w:szCs w:val="24"/>
        </w:rPr>
        <w:tab/>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bookmarkStart w:id="26" w:name="_Toc15377210"/>
      <w:r>
        <w:rPr>
          <w:rFonts w:hint="default" w:ascii="黑体" w:hAnsi="黑体" w:eastAsia="黑体" w:cs="黑体"/>
          <w:b/>
          <w:bCs w:val="0"/>
          <w:color w:val="000000"/>
          <w:sz w:val="32"/>
          <w:szCs w:val="32"/>
          <w:lang w:eastAsia="zh-CN"/>
        </w:rPr>
        <w:t>五、一般公共预算财政拨款支出决算情况说明</w:t>
      </w:r>
    </w:p>
    <w:bookmarkEnd w:id="26"/>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年一般公共预算财政拨款支出</w:t>
      </w:r>
      <w:r>
        <w:rPr>
          <w:rFonts w:hint="default" w:ascii="仿宋_GB2312" w:hAnsi="仿宋_GB2312" w:eastAsia="仿宋_GB2312" w:cs="仿宋_GB2312"/>
          <w:color w:val="000000"/>
          <w:sz w:val="32"/>
          <w:szCs w:val="32"/>
          <w:lang w:val="en-US" w:eastAsia="zh-CN"/>
        </w:rPr>
        <w:t>1743.63</w:t>
      </w:r>
      <w:r>
        <w:rPr>
          <w:rFonts w:hint="default" w:ascii="仿宋_GB2312" w:hAnsi="仿宋_GB2312" w:eastAsia="仿宋_GB2312" w:cs="仿宋_GB2312"/>
          <w:color w:val="000000"/>
          <w:sz w:val="32"/>
          <w:szCs w:val="32"/>
        </w:rPr>
        <w:t>万元，占本年支出合计的 100.00%。与20</w:t>
      </w:r>
      <w:r>
        <w:rPr>
          <w:rFonts w:hint="default" w:ascii="仿宋_GB2312" w:hAnsi="仿宋_GB2312" w:eastAsia="仿宋_GB2312" w:cs="仿宋_GB2312"/>
          <w:color w:val="000000"/>
          <w:sz w:val="32"/>
          <w:szCs w:val="32"/>
          <w:lang w:val="en-US" w:eastAsia="zh-CN"/>
        </w:rPr>
        <w:t>22</w:t>
      </w:r>
      <w:r>
        <w:rPr>
          <w:rFonts w:hint="default" w:ascii="仿宋_GB2312" w:hAnsi="仿宋_GB2312" w:eastAsia="仿宋_GB2312" w:cs="仿宋_GB2312"/>
          <w:color w:val="000000"/>
          <w:sz w:val="32"/>
          <w:szCs w:val="32"/>
        </w:rPr>
        <w:t>年相比，收、支总计减少5.66万元，减少0.32%。主要变动原因是在职职工减少1人。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drawing>
          <wp:anchor distT="255270" distB="150495" distL="375920" distR="302895" simplePos="0" relativeHeight="251659264" behindDoc="1" locked="0" layoutInCell="1" allowOverlap="1">
            <wp:simplePos x="0" y="0"/>
            <wp:positionH relativeFrom="column">
              <wp:posOffset>906780</wp:posOffset>
            </wp:positionH>
            <wp:positionV relativeFrom="paragraph">
              <wp:posOffset>702310</wp:posOffset>
            </wp:positionV>
            <wp:extent cx="4023360" cy="1286510"/>
            <wp:effectExtent l="0" t="0" r="0" b="0"/>
            <wp:wrapNone/>
            <wp:docPr id="13"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default" w:ascii="仿宋_GB2312" w:hAnsi="仿宋_GB2312" w:eastAsia="仿宋_GB2312" w:cs="仿宋_GB2312"/>
          <w:color w:val="000000"/>
          <w:sz w:val="32"/>
          <w:szCs w:val="32"/>
        </w:rPr>
        <w:t>（图5：一般公共预算财政拨款支出决算变动情况）（柱状图）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7"/>
        <w:shd w:val="clear" w:color="auto" w:fill="FFFFFF"/>
        <w:spacing w:before="0" w:beforeAutospacing="0"/>
        <w:ind w:left="0"/>
        <w:jc w:val="left"/>
        <w:rPr>
          <w:rStyle w:val="20"/>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年一般公共预算财政拨款支出</w:t>
      </w:r>
      <w:r>
        <w:rPr>
          <w:rFonts w:hint="default" w:ascii="仿宋_GB2312" w:hAnsi="仿宋_GB2312" w:eastAsia="仿宋_GB2312" w:cs="仿宋_GB2312"/>
          <w:color w:val="000000"/>
          <w:sz w:val="32"/>
          <w:szCs w:val="32"/>
          <w:lang w:val="en-US" w:eastAsia="zh-CN"/>
        </w:rPr>
        <w:t>1743.63</w:t>
      </w:r>
      <w:r>
        <w:rPr>
          <w:rFonts w:hint="default" w:ascii="仿宋_GB2312" w:hAnsi="仿宋_GB2312" w:eastAsia="仿宋_GB2312" w:cs="仿宋_GB2312"/>
          <w:color w:val="000000"/>
          <w:sz w:val="32"/>
          <w:szCs w:val="32"/>
        </w:rPr>
        <w:t>万元，主要用于以下方面:公共安全支出为1520.71万元，占比86.44%；教育支出</w:t>
      </w:r>
      <w:r>
        <w:rPr>
          <w:rFonts w:hint="default" w:ascii="仿宋_GB2312" w:hAnsi="仿宋_GB2312" w:eastAsia="仿宋_GB2312" w:cs="仿宋_GB2312"/>
          <w:color w:val="000000"/>
          <w:sz w:val="32"/>
          <w:szCs w:val="32"/>
          <w:lang w:val="en-US"/>
        </w:rPr>
        <w:t>0</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rPr>
        <w:t>万元，占</w:t>
      </w:r>
      <w:r>
        <w:rPr>
          <w:rFonts w:hint="default" w:ascii="仿宋_GB2312" w:hAnsi="仿宋_GB2312" w:eastAsia="仿宋_GB2312" w:cs="仿宋_GB2312"/>
          <w:color w:val="000000"/>
          <w:sz w:val="32"/>
          <w:szCs w:val="32"/>
          <w:lang w:val="en-US"/>
        </w:rPr>
        <w:t>0.02</w:t>
      </w:r>
      <w:r>
        <w:rPr>
          <w:rFonts w:hint="default" w:ascii="仿宋_GB2312" w:hAnsi="仿宋_GB2312" w:eastAsia="仿宋_GB2312" w:cs="仿宋_GB2312"/>
          <w:color w:val="000000"/>
          <w:sz w:val="32"/>
          <w:szCs w:val="32"/>
        </w:rPr>
        <w:t>%；社会保障和就业支出为112.24万元，占比6.44%；卫生健康支出为51.11万元，占比2.93%；住房保障支出为59.17万元，占比3.39%。</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（图6：一般公共预算财政拨款支出决算结构）（饼状图）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725170" distB="803275" distL="1546860" distR="419735" simplePos="0" relativeHeight="251659264" behindDoc="0" locked="0" layoutInCell="1" allowOverlap="1">
            <wp:simplePos x="0" y="0"/>
            <wp:positionH relativeFrom="column">
              <wp:posOffset>-67945</wp:posOffset>
            </wp:positionH>
            <wp:positionV relativeFrom="paragraph">
              <wp:posOffset>13335</wp:posOffset>
            </wp:positionV>
            <wp:extent cx="5695950" cy="3079750"/>
            <wp:effectExtent l="0" t="0" r="0" b="0"/>
            <wp:wrapNone/>
            <wp:docPr id="14" name="对象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年一般公共预算支出决算数为1743.63万元，完成预算</w:t>
      </w:r>
      <w:r>
        <w:rPr>
          <w:rFonts w:hint="default" w:ascii="仿宋_GB2312" w:hAnsi="仿宋_GB2312" w:eastAsia="仿宋_GB2312" w:cs="仿宋_GB2312"/>
          <w:color w:val="000000"/>
          <w:sz w:val="32"/>
          <w:szCs w:val="32"/>
          <w:lang w:val="en-US" w:eastAsia="zh-CN"/>
        </w:rPr>
        <w:t>100</w:t>
      </w:r>
      <w:r>
        <w:rPr>
          <w:rFonts w:hint="default" w:ascii="仿宋_GB2312" w:hAnsi="仿宋_GB2312" w:eastAsia="仿宋_GB2312" w:cs="仿宋_GB2312"/>
          <w:color w:val="000000"/>
          <w:sz w:val="32"/>
          <w:szCs w:val="32"/>
        </w:rPr>
        <w:t>%。其中：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bookmarkStart w:id="27" w:name="_Toc15377214"/>
      <w:bookmarkStart w:id="28" w:name="_Toc15396608"/>
      <w:r>
        <w:rPr>
          <w:rFonts w:hint="default" w:ascii="仿宋_GB2312" w:hAnsi="仿宋_GB2312" w:eastAsia="仿宋_GB2312" w:cs="仿宋_GB2312"/>
          <w:color w:val="000000"/>
          <w:sz w:val="32"/>
          <w:szCs w:val="32"/>
          <w:lang w:val="en-US" w:eastAsia="zh-CN"/>
        </w:rPr>
        <w:t>（1）公共安全支出2040201：2023年决算数为878.96万元，完成预算100%，决算数等于预算数。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 公共安全支出2040202：2023年决算数为591.75万元，完成预算100%，决算数等于预算数。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（3）其他公共安全支出2049999：2023年决算数为50万元，完成预算100%，决算数等于预算数。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（4） 其他教育支出2040202：2023年决算数为0.4万元，完成预算100%，决算数等于预算数。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（5）社会保障和就业2080505：2023年决算数为74.82万元，完成预算100%，决算数等于预算数。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（6）社会保障和就业2080506：2023年决算数为37.41万元，完成预算100%，决算数等于预算数。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（7）医疗卫生和计划生育2101101：2023年决算数为41.05万元，完成预算100%，决算数等于预算数。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（8）医疗卫生和计划生育2101103：2023年决算数为10.06万元，完成预算100%，决算数等于预算数。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（9）住房保障2210201：2023年决算数为59.17万元，完成预算100%，决算数等于预算数。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宋体" w:cs="Times New Roman"/>
          <w:color w:val="000000"/>
          <w:sz w:val="24"/>
          <w:szCs w:val="24"/>
        </w:rPr>
      </w:pPr>
      <w:r>
        <w:rPr>
          <w:rFonts w:hint="default" w:ascii="黑体" w:hAnsi="黑体" w:eastAsia="黑体" w:cs="黑体"/>
          <w:b/>
          <w:bCs w:val="0"/>
          <w:color w:val="000000"/>
          <w:kern w:val="2"/>
          <w:sz w:val="32"/>
          <w:szCs w:val="32"/>
          <w:lang w:val="en-US" w:eastAsia="zh-CN" w:bidi="ar-SA"/>
        </w:rPr>
        <w:t>六、一般公共预算财政拨款基本支出决算情况说明</w:t>
      </w:r>
      <w:bookmarkEnd w:id="27"/>
      <w:bookmarkEnd w:id="28"/>
      <w:r>
        <w:rPr>
          <w:rStyle w:val="23"/>
          <w:rFonts w:hint="default" w:ascii="Times New Roman" w:hAnsi="Times New Roman" w:eastAsia="宋体" w:cs="Times New Roman"/>
          <w:b w:val="0"/>
          <w:color w:val="000000"/>
          <w:sz w:val="24"/>
          <w:szCs w:val="24"/>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29" w:name="_Toc15396609"/>
      <w:bookmarkStart w:id="30" w:name="_Toc15377215"/>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年一般公共预算财政拨款基本支出</w:t>
      </w:r>
      <w:r>
        <w:rPr>
          <w:rFonts w:hint="default" w:ascii="仿宋_GB2312" w:hAnsi="仿宋_GB2312" w:eastAsia="仿宋_GB2312" w:cs="仿宋_GB2312"/>
          <w:color w:val="000000"/>
          <w:sz w:val="32"/>
          <w:szCs w:val="32"/>
          <w:lang w:val="en-US" w:eastAsia="zh-CN"/>
        </w:rPr>
        <w:t>1101.48</w:t>
      </w:r>
      <w:r>
        <w:rPr>
          <w:rFonts w:hint="default"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人员经费</w:t>
      </w:r>
      <w:r>
        <w:rPr>
          <w:rFonts w:hint="default" w:ascii="仿宋_GB2312" w:hAnsi="仿宋_GB2312" w:eastAsia="仿宋_GB2312" w:cs="仿宋_GB2312"/>
          <w:color w:val="000000"/>
          <w:sz w:val="32"/>
          <w:szCs w:val="32"/>
          <w:lang w:val="en-US" w:eastAsia="zh-CN"/>
        </w:rPr>
        <w:t>922.98</w:t>
      </w:r>
      <w:r>
        <w:rPr>
          <w:rFonts w:hint="default"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日常公用经费</w:t>
      </w:r>
      <w:r>
        <w:rPr>
          <w:rFonts w:hint="default" w:ascii="仿宋_GB2312" w:hAnsi="仿宋_GB2312" w:eastAsia="仿宋_GB2312" w:cs="仿宋_GB2312"/>
          <w:color w:val="000000"/>
          <w:sz w:val="32"/>
          <w:szCs w:val="32"/>
          <w:lang w:val="en-US" w:eastAsia="zh-CN"/>
        </w:rPr>
        <w:t>178.5</w:t>
      </w:r>
      <w:r>
        <w:rPr>
          <w:rFonts w:hint="default"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r>
        <w:rPr>
          <w:rFonts w:hint="default" w:ascii="黑体" w:hAnsi="黑体" w:eastAsia="黑体" w:cs="黑体"/>
          <w:b/>
          <w:bCs w:val="0"/>
          <w:color w:val="000000"/>
          <w:sz w:val="32"/>
          <w:szCs w:val="32"/>
          <w:lang w:eastAsia="zh-CN"/>
        </w:rPr>
        <w:t>七、财政拨款“三公”经费支出决算情况说明</w:t>
      </w:r>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31" w:name="_Toc15377216"/>
      <w:r>
        <w:rPr>
          <w:rFonts w:hint="default" w:ascii="仿宋_GB2312" w:hAnsi="仿宋_GB2312" w:eastAsia="仿宋_GB2312" w:cs="仿宋_GB2312"/>
          <w:color w:val="000000"/>
          <w:sz w:val="32"/>
          <w:szCs w:val="32"/>
        </w:rPr>
        <w:t>（一）“三公”经费财政拨款支出决算总体情况说明</w:t>
      </w:r>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 “三公”经费财政拨款支出决算为</w:t>
      </w:r>
      <w:r>
        <w:rPr>
          <w:rFonts w:hint="default" w:ascii="仿宋_GB2312" w:hAnsi="仿宋_GB2312" w:eastAsia="仿宋_GB2312" w:cs="仿宋_GB2312"/>
          <w:color w:val="000000"/>
          <w:sz w:val="32"/>
          <w:szCs w:val="32"/>
          <w:lang w:val="en-US" w:eastAsia="zh-CN"/>
        </w:rPr>
        <w:t>84.84</w:t>
      </w:r>
      <w:r>
        <w:rPr>
          <w:rFonts w:hint="default" w:ascii="仿宋_GB2312" w:hAnsi="仿宋_GB2312" w:eastAsia="仿宋_GB2312" w:cs="仿宋_GB2312"/>
          <w:color w:val="000000"/>
          <w:sz w:val="32"/>
          <w:szCs w:val="32"/>
        </w:rPr>
        <w:t>万元，完成预算95.41%，较上年度增加</w:t>
      </w:r>
      <w:r>
        <w:rPr>
          <w:rFonts w:hint="eastAsia" w:ascii="仿宋_GB2312" w:hAnsi="仿宋_GB2312" w:eastAsia="仿宋_GB2312" w:cs="仿宋_GB2312"/>
          <w:color w:val="000000"/>
          <w:sz w:val="32"/>
          <w:szCs w:val="32"/>
          <w:lang w:val="en-US" w:eastAsia="zh-CN"/>
        </w:rPr>
        <w:t>15</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49</w:t>
      </w:r>
      <w:r>
        <w:rPr>
          <w:rFonts w:hint="default" w:ascii="仿宋_GB2312" w:hAnsi="仿宋_GB2312" w:eastAsia="仿宋_GB2312" w:cs="仿宋_GB2312"/>
          <w:color w:val="000000"/>
          <w:sz w:val="32"/>
          <w:szCs w:val="32"/>
        </w:rPr>
        <w:t>万元，增长</w:t>
      </w:r>
      <w:r>
        <w:rPr>
          <w:rFonts w:hint="default" w:ascii="仿宋_GB2312" w:hAnsi="仿宋_GB2312" w:eastAsia="仿宋_GB2312" w:cs="仿宋_GB2312"/>
          <w:color w:val="000000"/>
          <w:sz w:val="32"/>
          <w:szCs w:val="32"/>
          <w:lang w:val="en-US"/>
        </w:rPr>
        <w:t>15.49</w:t>
      </w:r>
      <w:r>
        <w:rPr>
          <w:rFonts w:hint="default"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sz w:val="32"/>
          <w:szCs w:val="32"/>
          <w:lang w:eastAsia="zh-CN"/>
        </w:rPr>
        <w:t>单位坚持过紧日子，进一步压减“三公”经费。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32" w:name="_Toc15377217"/>
      <w:r>
        <w:rPr>
          <w:rFonts w:hint="default" w:ascii="仿宋_GB2312" w:hAnsi="仿宋_GB2312" w:eastAsia="仿宋_GB2312" w:cs="仿宋_GB2312"/>
          <w:color w:val="000000"/>
          <w:sz w:val="32"/>
          <w:szCs w:val="32"/>
        </w:rPr>
        <w:t>（二）“三公”经费财政拨款支出决算具体情况说明</w:t>
      </w:r>
      <w:bookmarkEnd w:id="3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33" w:name="_Toc15377218"/>
      <w:bookmarkStart w:id="34" w:name="_Toc15396610"/>
      <w:r>
        <w:rPr>
          <w:rFonts w:hint="default" w:ascii="仿宋_GB2312" w:hAnsi="仿宋_GB2312" w:eastAsia="仿宋_GB2312" w:cs="仿宋_GB2312"/>
          <w:color w:val="000000"/>
          <w:sz w:val="32"/>
          <w:szCs w:val="32"/>
        </w:rPr>
        <w:t>2023年度“三公”经费财政拨款支出决算中，因公出国（境）费支出决算0万元，占0%；公务用车购置及运行维护费支出决算84.52万元，占99.61%；公务接待费支出决算0.32万元，占0.38%。具体情况如下：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drawing>
          <wp:anchor distT="718185" distB="1114425" distL="2618740" distR="761365" simplePos="0" relativeHeight="251659264" behindDoc="0" locked="0" layoutInCell="1" allowOverlap="1">
            <wp:simplePos x="0" y="0"/>
            <wp:positionH relativeFrom="column">
              <wp:posOffset>595630</wp:posOffset>
            </wp:positionH>
            <wp:positionV relativeFrom="paragraph">
              <wp:posOffset>415290</wp:posOffset>
            </wp:positionV>
            <wp:extent cx="4533900" cy="2203450"/>
            <wp:effectExtent l="0" t="0" r="0" b="0"/>
            <wp:wrapNone/>
            <wp:docPr id="15"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hint="default" w:ascii="仿宋_GB2312" w:hAnsi="仿宋_GB2312" w:eastAsia="仿宋_GB2312" w:cs="仿宋_GB2312"/>
          <w:color w:val="000000"/>
          <w:sz w:val="32"/>
          <w:szCs w:val="32"/>
        </w:rPr>
        <w:t>（图7：“三公”经费财政拨款支出结构）（饼状图）</w:t>
      </w: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pStyle w:val="5"/>
        <w:rPr>
          <w:rFonts w:hint="default" w:ascii="Times New Roman" w:hAnsi="Times New Roman" w:eastAsia="宋体" w:cs="Times New Roman"/>
          <w:color w:val="000000"/>
          <w:kern w:val="0"/>
          <w:sz w:val="24"/>
          <w:szCs w:val="24"/>
        </w:rPr>
      </w:pPr>
    </w:p>
    <w:p>
      <w:pPr>
        <w:pStyle w:val="15"/>
        <w:rPr>
          <w:rFonts w:hint="default" w:ascii="Times New Roman" w:hAnsi="Times New Roman" w:eastAsia="宋体" w:cs="Times New Roman"/>
          <w:color w:val="000000"/>
          <w:kern w:val="0"/>
          <w:sz w:val="24"/>
          <w:szCs w:val="24"/>
        </w:rPr>
      </w:pPr>
    </w:p>
    <w:p>
      <w:pP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drawing>
          <wp:anchor distT="718185" distB="1114425" distL="2618740" distR="761365" simplePos="0" relativeHeight="251660288" behindDoc="0" locked="0" layoutInCell="1" allowOverlap="1">
            <wp:simplePos x="0" y="0"/>
            <wp:positionH relativeFrom="column">
              <wp:posOffset>582295</wp:posOffset>
            </wp:positionH>
            <wp:positionV relativeFrom="paragraph">
              <wp:posOffset>63500</wp:posOffset>
            </wp:positionV>
            <wp:extent cx="4533900" cy="2203450"/>
            <wp:effectExtent l="0" t="0" r="0" b="0"/>
            <wp:wrapNone/>
            <wp:docPr id="4"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pPr>
        <w:pStyle w:val="5"/>
        <w:rPr>
          <w:rFonts w:hint="default"/>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1. 202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年、20</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rPr>
        <w:t>年无因公出国（境）费预算和支出。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2.公务用车购置及运行维护费支出</w:t>
      </w:r>
      <w:r>
        <w:rPr>
          <w:rFonts w:hint="default" w:ascii="仿宋_GB2312" w:hAnsi="仿宋_GB2312" w:eastAsia="仿宋_GB2312" w:cs="仿宋_GB2312"/>
          <w:color w:val="000000"/>
          <w:sz w:val="32"/>
          <w:szCs w:val="32"/>
          <w:lang w:val="en-US" w:eastAsia="zh-CN"/>
        </w:rPr>
        <w:t>84.52</w:t>
      </w:r>
      <w:r>
        <w:rPr>
          <w:rFonts w:hint="default" w:ascii="仿宋_GB2312" w:hAnsi="仿宋_GB2312" w:eastAsia="仿宋_GB2312" w:cs="仿宋_GB2312"/>
          <w:color w:val="000000"/>
          <w:sz w:val="32"/>
          <w:szCs w:val="32"/>
        </w:rPr>
        <w:t>万元,完成预算98.1%。公务用车购置及运行维护费支出决算比20</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15</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53</w:t>
      </w:r>
      <w:r>
        <w:rPr>
          <w:rFonts w:hint="default"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default" w:ascii="仿宋_GB2312" w:hAnsi="仿宋_GB2312" w:eastAsia="仿宋_GB2312" w:cs="仿宋_GB2312"/>
          <w:color w:val="000000"/>
          <w:sz w:val="32"/>
          <w:szCs w:val="32"/>
          <w:lang w:val="en-US" w:eastAsia="zh-CN"/>
        </w:rPr>
        <w:t>44.30</w:t>
      </w:r>
      <w:r>
        <w:rPr>
          <w:rFonts w:hint="default" w:ascii="仿宋_GB2312" w:hAnsi="仿宋_GB2312" w:eastAsia="仿宋_GB2312" w:cs="仿宋_GB2312"/>
          <w:color w:val="000000"/>
          <w:sz w:val="32"/>
          <w:szCs w:val="32"/>
        </w:rPr>
        <w:t>%。主要原因是</w:t>
      </w:r>
      <w:r>
        <w:rPr>
          <w:rFonts w:hint="default" w:ascii="仿宋_GB2312" w:hAnsi="仿宋_GB2312" w:eastAsia="仿宋_GB2312" w:cs="仿宋_GB2312"/>
          <w:color w:val="000000"/>
          <w:sz w:val="32"/>
          <w:szCs w:val="32"/>
          <w:lang w:val="en-US" w:eastAsia="zh-CN"/>
        </w:rPr>
        <w:t>主要原因</w:t>
      </w:r>
      <w:r>
        <w:rPr>
          <w:rFonts w:hint="eastAsia" w:ascii="仿宋_GB2312" w:hAnsi="仿宋_GB2312" w:eastAsia="仿宋_GB2312" w:cs="仿宋_GB2312"/>
          <w:color w:val="000000"/>
          <w:sz w:val="32"/>
          <w:szCs w:val="32"/>
          <w:lang w:val="en-US" w:eastAsia="zh-CN"/>
        </w:rPr>
        <w:t>是单位工作任务较重，到县上检查督导工作同比有所增加。</w:t>
      </w:r>
      <w:r>
        <w:rPr>
          <w:rFonts w:hint="default" w:ascii="仿宋_GB2312" w:hAnsi="仿宋_GB2312" w:eastAsia="仿宋_GB2312" w:cs="仿宋_GB2312"/>
          <w:color w:val="000000"/>
          <w:sz w:val="32"/>
          <w:szCs w:val="32"/>
        </w:rPr>
        <w:t>其中：公务用车购置支出0万元。截至2023年12月31日，单位共有公务用车</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rPr>
        <w:t>辆。公务用车运行维护费支出84.52万元。主要用于</w:t>
      </w:r>
      <w:r>
        <w:rPr>
          <w:rFonts w:hint="eastAsia" w:ascii="仿宋_GB2312" w:hAnsi="仿宋_GB2312" w:eastAsia="仿宋_GB2312" w:cs="仿宋_GB2312"/>
          <w:color w:val="000000"/>
          <w:sz w:val="32"/>
          <w:szCs w:val="32"/>
          <w:lang w:eastAsia="zh-CN"/>
        </w:rPr>
        <w:t>综治维稳工作</w:t>
      </w:r>
      <w:r>
        <w:rPr>
          <w:rFonts w:hint="default" w:ascii="仿宋_GB2312" w:hAnsi="仿宋_GB2312" w:eastAsia="仿宋_GB2312" w:cs="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3.公务接待费支出0.32万元，完成预算11.69%。公务接待费支出决算比2022年度减少</w:t>
      </w:r>
      <w:r>
        <w:rPr>
          <w:rFonts w:hint="default" w:ascii="仿宋_GB2312" w:hAnsi="仿宋_GB2312" w:eastAsia="仿宋_GB2312" w:cs="仿宋_GB2312"/>
          <w:color w:val="000000"/>
          <w:sz w:val="32"/>
          <w:szCs w:val="32"/>
          <w:lang w:val="en-US"/>
        </w:rPr>
        <w:t>0.05</w:t>
      </w:r>
      <w:r>
        <w:rPr>
          <w:rFonts w:hint="default" w:ascii="仿宋_GB2312" w:hAnsi="仿宋_GB2312" w:eastAsia="仿宋_GB2312" w:cs="仿宋_GB2312"/>
          <w:color w:val="000000"/>
          <w:sz w:val="32"/>
          <w:szCs w:val="32"/>
        </w:rPr>
        <w:t>万元，下降</w:t>
      </w:r>
      <w:r>
        <w:rPr>
          <w:rFonts w:hint="default" w:ascii="仿宋_GB2312" w:hAnsi="仿宋_GB2312" w:eastAsia="仿宋_GB2312" w:cs="仿宋_GB2312"/>
          <w:color w:val="000000"/>
          <w:sz w:val="32"/>
          <w:szCs w:val="32"/>
          <w:lang w:val="en-US"/>
        </w:rPr>
        <w:t>12.5</w:t>
      </w:r>
      <w:r>
        <w:rPr>
          <w:rFonts w:hint="default" w:ascii="仿宋_GB2312" w:hAnsi="仿宋_GB2312" w:eastAsia="仿宋_GB2312" w:cs="仿宋_GB2312"/>
          <w:color w:val="000000"/>
          <w:sz w:val="32"/>
          <w:szCs w:val="32"/>
        </w:rPr>
        <w:t>%。主要原因是公务接待次数和人次有所减少。其中：国内公务接待支出0.32万元，主要用于</w:t>
      </w:r>
      <w:r>
        <w:rPr>
          <w:rFonts w:hint="eastAsia" w:ascii="仿宋_GB2312" w:hAnsi="仿宋_GB2312" w:eastAsia="仿宋_GB2312" w:cs="仿宋_GB2312"/>
          <w:color w:val="000000"/>
          <w:sz w:val="32"/>
          <w:szCs w:val="32"/>
          <w:lang w:eastAsia="zh-CN"/>
        </w:rPr>
        <w:t>上级单位检查指导工作人员的</w:t>
      </w:r>
      <w:r>
        <w:rPr>
          <w:rFonts w:hint="default" w:ascii="仿宋_GB2312" w:hAnsi="仿宋_GB2312" w:eastAsia="仿宋_GB2312" w:cs="仿宋_GB2312"/>
          <w:color w:val="000000"/>
          <w:sz w:val="32"/>
          <w:szCs w:val="32"/>
        </w:rPr>
        <w:t>用餐费等。国内公务接待</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25</w:t>
      </w:r>
      <w:r>
        <w:rPr>
          <w:rFonts w:hint="default" w:ascii="仿宋_GB2312" w:hAnsi="仿宋_GB2312" w:eastAsia="仿宋_GB2312" w:cs="仿宋_GB2312"/>
          <w:color w:val="000000"/>
          <w:sz w:val="32"/>
          <w:szCs w:val="32"/>
        </w:rPr>
        <w:t>人次（不包括陪同人员），共计支出0.32万元。</w:t>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r>
        <w:rPr>
          <w:rFonts w:hint="default" w:ascii="黑体" w:hAnsi="黑体" w:eastAsia="黑体" w:cs="黑体"/>
          <w:b/>
          <w:bCs w:val="0"/>
          <w:color w:val="000000"/>
          <w:sz w:val="32"/>
          <w:szCs w:val="32"/>
          <w:lang w:eastAsia="zh-CN"/>
        </w:rPr>
        <w:t>八、政府性基金预算支出决算情况说明</w:t>
      </w:r>
      <w:bookmarkEnd w:id="33"/>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年政府性基金预算拨款支出0.00万元。</w:t>
      </w:r>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eastAsia="zh-CN"/>
        </w:rPr>
      </w:pPr>
      <w:bookmarkStart w:id="35" w:name="_Toc15396611"/>
      <w:bookmarkStart w:id="36" w:name="_Toc15377219"/>
      <w:r>
        <w:rPr>
          <w:rFonts w:hint="default" w:ascii="黑体" w:hAnsi="黑体" w:eastAsia="黑体" w:cs="黑体"/>
          <w:b/>
          <w:bCs w:val="0"/>
          <w:color w:val="000000"/>
          <w:sz w:val="32"/>
          <w:szCs w:val="32"/>
          <w:lang w:eastAsia="zh-CN"/>
        </w:rPr>
        <w:t>九、国有资本经营预算支出决算情况说明</w:t>
      </w:r>
      <w:bookmarkEnd w:id="35"/>
      <w:bookmarkEnd w:id="3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年国有资本经营预算拨款支出0.00万元。</w:t>
      </w:r>
      <w:bookmarkStart w:id="37" w:name="_Toc15396612"/>
      <w:bookmarkStart w:id="38" w:name="_Toc15377221"/>
    </w:p>
    <w:p>
      <w:pPr>
        <w:pStyle w:val="3"/>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黑体" w:hAnsi="黑体" w:eastAsia="黑体" w:cs="黑体"/>
          <w:b/>
          <w:bCs w:val="0"/>
          <w:color w:val="000000"/>
          <w:sz w:val="32"/>
          <w:szCs w:val="32"/>
          <w:lang w:val="en-US" w:eastAsia="zh-CN"/>
        </w:rPr>
      </w:pPr>
      <w:r>
        <w:rPr>
          <w:rFonts w:hint="default" w:ascii="黑体" w:hAnsi="黑体" w:eastAsia="黑体" w:cs="黑体"/>
          <w:b/>
          <w:bCs w:val="0"/>
          <w:color w:val="000000"/>
          <w:sz w:val="32"/>
          <w:szCs w:val="32"/>
          <w:lang w:eastAsia="zh-CN"/>
        </w:rPr>
        <w:t>十</w:t>
      </w:r>
      <w:r>
        <w:rPr>
          <w:rFonts w:hint="default" w:ascii="黑体" w:hAnsi="黑体" w:eastAsia="黑体" w:cs="黑体"/>
          <w:b/>
          <w:bCs w:val="0"/>
          <w:color w:val="000000"/>
          <w:sz w:val="32"/>
          <w:szCs w:val="32"/>
          <w:lang w:val="en-US" w:eastAsia="zh-CN"/>
        </w:rPr>
        <w:t>、其他重要事项的情况说明</w:t>
      </w:r>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39" w:name="_Toc15377222"/>
      <w:r>
        <w:rPr>
          <w:rFonts w:hint="default" w:ascii="仿宋_GB2312" w:hAnsi="仿宋_GB2312" w:eastAsia="仿宋_GB2312" w:cs="仿宋_GB2312"/>
          <w:color w:val="000000"/>
          <w:sz w:val="32"/>
          <w:szCs w:val="32"/>
        </w:rPr>
        <w:t>（一）机关运行经费支出情况</w:t>
      </w:r>
      <w:bookmarkEnd w:id="39"/>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年，中共四川省阿坝州委政法委员会（本级）机关运行经费支出</w:t>
      </w:r>
      <w:r>
        <w:rPr>
          <w:rFonts w:hint="default" w:ascii="仿宋_GB2312" w:hAnsi="仿宋_GB2312" w:eastAsia="仿宋_GB2312" w:cs="仿宋_GB2312"/>
          <w:color w:val="000000"/>
          <w:sz w:val="32"/>
          <w:szCs w:val="32"/>
          <w:lang w:val="en-US" w:eastAsia="zh-CN"/>
        </w:rPr>
        <w:t>178.5</w:t>
      </w:r>
      <w:r>
        <w:rPr>
          <w:rFonts w:hint="default" w:ascii="仿宋_GB2312" w:hAnsi="仿宋_GB2312" w:eastAsia="仿宋_GB2312" w:cs="仿宋_GB2312"/>
          <w:color w:val="000000"/>
          <w:sz w:val="32"/>
          <w:szCs w:val="32"/>
        </w:rPr>
        <w:t>万元，比20</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rPr>
        <w:t>年</w:t>
      </w:r>
      <w:r>
        <w:rPr>
          <w:rFonts w:hint="default" w:ascii="仿宋_GB2312" w:hAnsi="仿宋_GB2312" w:eastAsia="仿宋_GB2312" w:cs="仿宋_GB2312"/>
          <w:color w:val="000000"/>
          <w:sz w:val="32"/>
          <w:szCs w:val="32"/>
          <w:lang w:eastAsia="zh-CN"/>
        </w:rPr>
        <w:t>有所减</w:t>
      </w:r>
      <w:r>
        <w:rPr>
          <w:rFonts w:hint="eastAsia" w:ascii="仿宋_GB2312" w:hAnsi="仿宋_GB2312" w:eastAsia="仿宋_GB2312" w:cs="仿宋_GB2312"/>
          <w:color w:val="000000"/>
          <w:sz w:val="32"/>
          <w:szCs w:val="32"/>
          <w:lang w:eastAsia="zh-CN"/>
        </w:rPr>
        <w:t>少</w:t>
      </w:r>
      <w:r>
        <w:rPr>
          <w:rFonts w:hint="default" w:ascii="仿宋_GB2312" w:hAnsi="仿宋_GB2312" w:eastAsia="仿宋_GB2312" w:cs="仿宋_GB2312"/>
          <w:color w:val="000000"/>
          <w:sz w:val="32"/>
          <w:szCs w:val="32"/>
        </w:rPr>
        <w:t>，主要原因是</w:t>
      </w:r>
      <w:bookmarkStart w:id="40" w:name="_Toc15377223"/>
      <w:r>
        <w:rPr>
          <w:rFonts w:hint="eastAsia" w:ascii="仿宋_GB2312" w:hAnsi="仿宋_GB2312" w:eastAsia="仿宋_GB2312" w:cs="仿宋_GB2312"/>
          <w:color w:val="000000"/>
          <w:sz w:val="32"/>
          <w:szCs w:val="32"/>
          <w:lang w:eastAsia="zh-CN"/>
        </w:rPr>
        <w:t>单位坚持过紧日子，进一步压减“三公”经费。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（二）政府采购支出情况</w:t>
      </w:r>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2023年度，中共阿坝州委政法委员会（本级）政府采购支出总额203.44万元，其中：政府采购货物支出7.72万元、政府采购工程支出0万元、政府采购服务支出195.72万元。主要用于综治中心信息化建设购买服务、政法三级网线路租赁等。授予中小企业合同金额85.96万元，占政府采购支出总额的0.42%，其中：授予小微企业合同金额15.61万元，占政府采购支出总额的7.67%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41" w:name="_Toc15377224"/>
      <w:r>
        <w:rPr>
          <w:rFonts w:hint="default" w:ascii="仿宋_GB2312" w:hAnsi="仿宋_GB2312" w:eastAsia="仿宋_GB2312" w:cs="仿宋_GB2312"/>
          <w:color w:val="000000"/>
          <w:sz w:val="32"/>
          <w:szCs w:val="32"/>
        </w:rPr>
        <w:t>（三）国有资产占有使用情况</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rPr>
        <w:t>年12月31日，中共四川省阿坝州委政法委员会（本级）共有车辆</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rPr>
        <w:t>辆，其中：主要领导干部用车0辆、机要通信用车0辆、应急保障用车</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rPr>
        <w:t>辆、执法执勤用车0 辆、特种专业技术用车0辆、离退休干部用车0辆、其他用车 0辆。无单价50万元以上通用设备和单价100万元以上专用设备。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bookmarkStart w:id="42" w:name="_Toc15396613"/>
      <w:bookmarkStart w:id="43" w:name="_Toc15377225"/>
      <w:r>
        <w:rPr>
          <w:rFonts w:hint="default" w:ascii="仿宋_GB2312" w:hAnsi="仿宋_GB2312" w:eastAsia="仿宋_GB2312" w:cs="仿宋_GB2312"/>
          <w:color w:val="000000" w:themeColor="text1"/>
          <w:sz w:val="32"/>
          <w:szCs w:val="32"/>
          <w14:textFill>
            <w14:solidFill>
              <w14:schemeClr w14:val="tx1"/>
            </w14:solidFill>
          </w14:textFill>
        </w:rPr>
        <w:t>根据预算绩效管理要求，本部门在年初预算编制阶段，组织对10 个项目开展了预算事前绩效评估，对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default" w:ascii="仿宋_GB2312" w:hAnsi="仿宋_GB2312" w:eastAsia="仿宋_GB2312" w:cs="仿宋_GB2312"/>
          <w:color w:val="000000" w:themeColor="text1"/>
          <w:sz w:val="32"/>
          <w:szCs w:val="32"/>
          <w14:textFill>
            <w14:solidFill>
              <w14:schemeClr w14:val="tx1"/>
            </w14:solidFill>
          </w14:textFill>
        </w:rPr>
        <w:t>个项目编制了绩效目标，预算执行过程中，</w:t>
      </w:r>
      <w:bookmarkStart w:id="49" w:name="_GoBack"/>
      <w:bookmarkEnd w:id="49"/>
      <w:r>
        <w:rPr>
          <w:rFonts w:hint="default" w:ascii="仿宋_GB2312" w:hAnsi="仿宋_GB2312" w:eastAsia="仿宋_GB2312" w:cs="仿宋_GB2312"/>
          <w:color w:val="000000" w:themeColor="text1"/>
          <w:sz w:val="32"/>
          <w:szCs w:val="32"/>
          <w14:textFill>
            <w14:solidFill>
              <w14:schemeClr w14:val="tx1"/>
            </w14:solidFill>
          </w14:textFill>
        </w:rPr>
        <w:t>选取</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default" w:ascii="仿宋_GB2312" w:hAnsi="仿宋_GB2312" w:eastAsia="仿宋_GB2312" w:cs="仿宋_GB2312"/>
          <w:color w:val="000000" w:themeColor="text1"/>
          <w:sz w:val="32"/>
          <w:szCs w:val="32"/>
          <w14:textFill>
            <w14:solidFill>
              <w14:schemeClr w14:val="tx1"/>
            </w14:solidFill>
          </w14:textFill>
        </w:rPr>
        <w:t xml:space="preserve"> 个项目开展绩效监控，年终执行完毕后，对</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default" w:ascii="仿宋_GB2312" w:hAnsi="仿宋_GB2312" w:eastAsia="仿宋_GB2312" w:cs="仿宋_GB2312"/>
          <w:color w:val="000000" w:themeColor="text1"/>
          <w:sz w:val="32"/>
          <w:szCs w:val="32"/>
          <w14:textFill>
            <w14:solidFill>
              <w14:schemeClr w14:val="tx1"/>
            </w14:solidFill>
          </w14:textFill>
        </w:rPr>
        <w:t>个项目开展了绩效自评。</w:t>
      </w:r>
    </w:p>
    <w:p>
      <w:pPr>
        <w:spacing w:line="58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p>
    <w:bookmarkEnd w:id="42"/>
    <w:bookmarkEnd w:id="43"/>
    <w:p>
      <w:pPr>
        <w:pStyle w:val="17"/>
        <w:shd w:val="clear" w:color="auto" w:fill="FFFFFF"/>
        <w:spacing w:before="0" w:beforeAutospacing="0"/>
        <w:ind w:left="0"/>
        <w:jc w:val="center"/>
        <w:rPr>
          <w:rFonts w:hint="eastAsia" w:ascii="黑体" w:hAnsi="黑体" w:eastAsia="黑体" w:cs="黑体"/>
          <w:sz w:val="44"/>
          <w:szCs w:val="44"/>
        </w:rPr>
      </w:pPr>
      <w:r>
        <w:rPr>
          <w:rStyle w:val="20"/>
          <w:rFonts w:hint="eastAsia" w:ascii="黑体" w:hAnsi="黑体" w:eastAsia="黑体" w:cs="黑体"/>
          <w:sz w:val="44"/>
          <w:szCs w:val="44"/>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bookmarkStart w:id="44" w:name="_Toc15396614"/>
      <w:bookmarkStart w:id="45" w:name="_Toc15377226"/>
      <w:r>
        <w:rPr>
          <w:rFonts w:hint="default" w:ascii="仿宋_GB2312" w:hAnsi="仿宋_GB2312" w:eastAsia="仿宋_GB2312" w:cs="仿宋_GB2312"/>
          <w:color w:val="000000" w:themeColor="text1"/>
          <w:sz w:val="32"/>
          <w:szCs w:val="32"/>
          <w14:textFill>
            <w14:solidFill>
              <w14:schemeClr w14:val="tx1"/>
            </w14:solidFill>
          </w14:textFill>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default" w:ascii="Times New Roman" w:hAnsi="Times New Roman" w:eastAsia="宋体" w:cs="Times New Roman"/>
          <w:color w:val="000000"/>
          <w:sz w:val="24"/>
          <w:szCs w:val="24"/>
        </w:rPr>
      </w:pPr>
    </w:p>
    <w:bookmarkEnd w:id="44"/>
    <w:p>
      <w:pPr>
        <w:spacing w:line="580" w:lineRule="exact"/>
        <w:jc w:val="center"/>
        <w:rPr>
          <w:rFonts w:hint="eastAsia" w:ascii="黑体" w:hAnsi="黑体" w:eastAsia="黑体" w:cs="黑体"/>
          <w:color w:val="000000"/>
          <w:sz w:val="44"/>
          <w:szCs w:val="44"/>
        </w:rPr>
      </w:pPr>
      <w:bookmarkStart w:id="46" w:name="_Toc15396617"/>
      <w:r>
        <w:rPr>
          <w:rStyle w:val="20"/>
          <w:rFonts w:hint="eastAsia" w:ascii="黑体" w:hAnsi="黑体" w:eastAsia="黑体" w:cs="黑体"/>
          <w:sz w:val="44"/>
          <w:szCs w:val="44"/>
          <w:highlight w:val="none"/>
        </w:rPr>
        <w:t>第四部分 附件</w:t>
      </w:r>
    </w:p>
    <w:p>
      <w:pPr>
        <w:spacing w:line="600" w:lineRule="exact"/>
        <w:jc w:val="center"/>
        <w:outlineLvl w:val="0"/>
        <w:rPr>
          <w:rStyle w:val="22"/>
          <w:rFonts w:hint="default" w:ascii="Times New Roman" w:hAnsi="Times New Roman" w:eastAsia="宋体" w:cs="Times New Roman"/>
          <w:b w:val="0"/>
          <w:color w:val="000000"/>
          <w:sz w:val="24"/>
          <w:szCs w:val="24"/>
          <w:lang w:eastAsia="zh-CN"/>
        </w:rPr>
      </w:pP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 xml:space="preserve">中共阿坝州委政法委员会               </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关于2023年整体支出绩效评价报告</w:t>
      </w:r>
    </w:p>
    <w:p>
      <w:pPr>
        <w:keepNext w:val="0"/>
        <w:keepLines w:val="0"/>
        <w:pageBreakBefore w:val="0"/>
        <w:widowControl w:val="0"/>
        <w:kinsoku/>
        <w:wordWrap/>
        <w:overflowPunct/>
        <w:topLinePunct w:val="0"/>
        <w:autoSpaceDE/>
        <w:autoSpaceDN/>
        <w:bidi w:val="0"/>
        <w:adjustRightInd/>
        <w:snapToGrid/>
        <w:spacing w:line="520" w:lineRule="exact"/>
        <w:ind w:right="99" w:firstLine="584"/>
        <w:textAlignment w:val="auto"/>
        <w:rPr>
          <w:rFonts w:hint="default" w:ascii="Times New Roman" w:hAnsi="Times New Roman" w:eastAsia="方正小标宋_GBK" w:cs="Times New Roman"/>
          <w:b w:val="0"/>
          <w:bCs w:val="0"/>
          <w:color w:val="000000"/>
          <w:sz w:val="36"/>
          <w:szCs w:val="36"/>
        </w:rPr>
      </w:pPr>
    </w:p>
    <w:p>
      <w:pPr>
        <w:keepNext w:val="0"/>
        <w:keepLines w:val="0"/>
        <w:pageBreakBefore w:val="0"/>
        <w:widowControl w:val="0"/>
        <w:kinsoku/>
        <w:wordWrap/>
        <w:overflowPunct/>
        <w:topLinePunct w:val="0"/>
        <w:autoSpaceDE/>
        <w:autoSpaceDN/>
        <w:bidi w:val="0"/>
        <w:adjustRightInd/>
        <w:snapToGrid/>
        <w:spacing w:line="576" w:lineRule="exact"/>
        <w:ind w:right="99"/>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州财政局：</w:t>
      </w:r>
    </w:p>
    <w:p>
      <w:pPr>
        <w:keepNext w:val="0"/>
        <w:keepLines w:val="0"/>
        <w:pageBreakBefore w:val="0"/>
        <w:widowControl w:val="0"/>
        <w:kinsoku/>
        <w:wordWrap/>
        <w:overflowPunct/>
        <w:topLinePunct w:val="0"/>
        <w:autoSpaceDE/>
        <w:autoSpaceDN/>
        <w:bidi w:val="0"/>
        <w:adjustRightInd/>
        <w:snapToGrid/>
        <w:spacing w:line="576" w:lineRule="exact"/>
        <w:ind w:right="96"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按照阿坝州财政局《关于开展2024年州级部门绩效自评工作的通知》（阿州财监绩〔2024〕19号）要求，我委及时对2023年度</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整体支出绩效情况开展自评，现将自评情况报告如下：</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一、单位概况</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州委政法委属</w:t>
      </w:r>
      <w:r>
        <w:rPr>
          <w:rFonts w:hint="eastAsia" w:ascii="仿宋_GB2312" w:hAnsi="仿宋_GB2312" w:eastAsia="仿宋_GB2312" w:cs="仿宋_GB2312"/>
          <w:b w:val="0"/>
          <w:bCs w:val="0"/>
          <w:color w:val="000000"/>
          <w:sz w:val="32"/>
          <w:szCs w:val="32"/>
          <w:lang w:eastAsia="zh-CN"/>
        </w:rPr>
        <w:t>二</w:t>
      </w:r>
      <w:r>
        <w:rPr>
          <w:rFonts w:hint="eastAsia" w:ascii="仿宋_GB2312" w:hAnsi="仿宋_GB2312" w:eastAsia="仿宋_GB2312" w:cs="仿宋_GB2312"/>
          <w:b w:val="0"/>
          <w:bCs w:val="0"/>
          <w:color w:val="000000"/>
          <w:sz w:val="32"/>
          <w:szCs w:val="32"/>
        </w:rPr>
        <w:t>级预算单位。内设办公室、基层治理与平安创建科、法治与执法监督科、宣传科、政治部等7个科室。</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州委政法委职能简介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贯彻习近平新时代中国特色社会主义思想，坚持党对政法工作的绝对领导，坚决执行党的路线方针政策和党中央</w:t>
      </w:r>
      <w:r>
        <w:rPr>
          <w:rFonts w:hint="eastAsia" w:ascii="仿宋_GB2312" w:hAnsi="仿宋_GB2312" w:eastAsia="仿宋_GB2312" w:cs="仿宋_GB2312"/>
          <w:color w:val="000000"/>
          <w:sz w:val="32"/>
          <w:szCs w:val="32"/>
          <w:lang w:eastAsia="zh-CN"/>
        </w:rPr>
        <w:t>、省委及州委</w:t>
      </w:r>
      <w:r>
        <w:rPr>
          <w:rFonts w:hint="eastAsia" w:ascii="仿宋_GB2312" w:hAnsi="仿宋_GB2312" w:eastAsia="仿宋_GB2312" w:cs="仿宋_GB2312"/>
          <w:color w:val="000000"/>
          <w:sz w:val="32"/>
          <w:szCs w:val="32"/>
        </w:rPr>
        <w:t>重大决策部署，推动完善和落实政治轮训和政治督察制度</w:t>
      </w:r>
      <w:r>
        <w:rPr>
          <w:rFonts w:hint="eastAsia" w:ascii="仿宋_GB2312" w:hAnsi="仿宋_GB2312" w:eastAsia="仿宋_GB2312" w:cs="仿宋_GB2312"/>
          <w:color w:val="000000"/>
          <w:sz w:val="32"/>
          <w:szCs w:val="32"/>
          <w:lang w:eastAsia="zh-CN"/>
        </w:rPr>
        <w:t>，推进平安阿坝、法治阿坝建设，加强过硬队伍建设，深化智能化建设，确保社会大局稳定、促进社会公平正义、保障人民安居乐业</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贯彻党中央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以及上级党组织决定，研究协调政法单位之间</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政法单位和有关部门、地方之间有关重大事项，统一政法单位思想和行动。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组织开展</w:t>
      </w:r>
      <w:r>
        <w:rPr>
          <w:rFonts w:hint="eastAsia" w:ascii="仿宋_GB2312" w:hAnsi="仿宋_GB2312" w:eastAsia="仿宋_GB2312" w:cs="仿宋_GB2312"/>
          <w:color w:val="000000"/>
          <w:sz w:val="32"/>
          <w:szCs w:val="32"/>
        </w:rPr>
        <w:t>政法领域重大实践和理论问题</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调查研究，</w:t>
      </w:r>
      <w:r>
        <w:rPr>
          <w:rFonts w:hint="eastAsia" w:ascii="仿宋_GB2312" w:hAnsi="仿宋_GB2312" w:eastAsia="仿宋_GB2312" w:cs="仿宋_GB2312"/>
          <w:color w:val="000000"/>
          <w:sz w:val="32"/>
          <w:szCs w:val="32"/>
          <w:lang w:eastAsia="zh-CN"/>
        </w:rPr>
        <w:t>研究拟订全州政法工作的政策措施，及时向州委</w:t>
      </w:r>
      <w:r>
        <w:rPr>
          <w:rFonts w:hint="eastAsia" w:ascii="仿宋_GB2312" w:hAnsi="仿宋_GB2312" w:eastAsia="仿宋_GB2312" w:cs="仿宋_GB2312"/>
          <w:color w:val="000000"/>
          <w:sz w:val="32"/>
          <w:szCs w:val="32"/>
        </w:rPr>
        <w:t>提出重大决策部署和改革措施的意见和建议，协助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委决策和统筹推进政法</w:t>
      </w:r>
      <w:r>
        <w:rPr>
          <w:rFonts w:hint="eastAsia" w:ascii="仿宋_GB2312" w:hAnsi="仿宋_GB2312" w:eastAsia="仿宋_GB2312" w:cs="仿宋_GB2312"/>
          <w:color w:val="000000"/>
          <w:sz w:val="32"/>
          <w:szCs w:val="32"/>
          <w:lang w:eastAsia="zh-CN"/>
        </w:rPr>
        <w:t>领域</w:t>
      </w:r>
      <w:r>
        <w:rPr>
          <w:rFonts w:hint="eastAsia" w:ascii="仿宋_GB2312" w:hAnsi="仿宋_GB2312" w:eastAsia="仿宋_GB2312" w:cs="仿宋_GB2312"/>
          <w:color w:val="000000"/>
          <w:sz w:val="32"/>
          <w:szCs w:val="32"/>
        </w:rPr>
        <w:t>改革等各项工作。</w:t>
      </w:r>
      <w:r>
        <w:rPr>
          <w:rFonts w:hint="eastAsia" w:ascii="仿宋_GB2312" w:hAnsi="仿宋_GB2312" w:eastAsia="仿宋_GB2312" w:cs="仿宋_GB2312"/>
          <w:color w:val="000000"/>
          <w:sz w:val="32"/>
          <w:szCs w:val="32"/>
          <w:lang w:eastAsia="zh-CN"/>
        </w:rPr>
        <w:t>参与有关民族自治法规、地方性法规和规章的起草、修改工作，及时提出立法建议。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了解掌握和分析研判社会稳定形势、政法工作情况动态，创新完善多部门参与的</w:t>
      </w:r>
      <w:r>
        <w:rPr>
          <w:rFonts w:hint="eastAsia" w:ascii="仿宋_GB2312" w:hAnsi="仿宋_GB2312" w:eastAsia="仿宋_GB2312" w:cs="仿宋_GB2312"/>
          <w:color w:val="000000"/>
          <w:sz w:val="32"/>
          <w:szCs w:val="32"/>
          <w:lang w:eastAsia="zh-CN"/>
        </w:rPr>
        <w:t>综治维稳机制</w:t>
      </w:r>
      <w:r>
        <w:rPr>
          <w:rFonts w:hint="eastAsia" w:ascii="仿宋_GB2312" w:hAnsi="仿宋_GB2312" w:eastAsia="仿宋_GB2312" w:cs="仿宋_GB2312"/>
          <w:color w:val="000000"/>
          <w:sz w:val="32"/>
          <w:szCs w:val="32"/>
        </w:rPr>
        <w:t>，协调推动预防、化解影响稳定的社会矛盾和风险，协调应对和妥善处置重大突发事件。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加强对政法工作的督查，统筹协调维护社会稳定、社会治安综合治理等有关法律法规和政策的实施工作。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支持和监督政法单位依法行使职权，检查政法单位执行党的路线方针政策、党中央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重大决策部署</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法律法规的情况，指导和协调政法单位密切配合，完善与纪检监察机关工作衔接和协作配合机制，推进严格执法、公正司法。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指导推动</w:t>
      </w:r>
      <w:r>
        <w:rPr>
          <w:rFonts w:hint="eastAsia" w:ascii="仿宋_GB2312" w:hAnsi="仿宋_GB2312" w:eastAsia="仿宋_GB2312" w:cs="仿宋_GB2312"/>
          <w:color w:val="000000"/>
          <w:sz w:val="32"/>
          <w:szCs w:val="32"/>
          <w:lang w:eastAsia="zh-CN"/>
        </w:rPr>
        <w:t>政法系统</w:t>
      </w:r>
      <w:r>
        <w:rPr>
          <w:rFonts w:hint="eastAsia" w:ascii="仿宋_GB2312" w:hAnsi="仿宋_GB2312" w:eastAsia="仿宋_GB2312" w:cs="仿宋_GB2312"/>
          <w:color w:val="000000"/>
          <w:sz w:val="32"/>
          <w:szCs w:val="32"/>
        </w:rPr>
        <w:t>党的建设和政法队伍建设，协助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委及</w:t>
      </w:r>
      <w:r>
        <w:rPr>
          <w:rFonts w:hint="eastAsia" w:ascii="仿宋_GB2312" w:hAnsi="仿宋_GB2312" w:eastAsia="仿宋_GB2312" w:cs="仿宋_GB2312"/>
          <w:color w:val="000000"/>
          <w:sz w:val="32"/>
          <w:szCs w:val="32"/>
          <w:lang w:eastAsia="zh-CN"/>
        </w:rPr>
        <w:t>州委</w:t>
      </w:r>
      <w:r>
        <w:rPr>
          <w:rFonts w:hint="eastAsia" w:ascii="仿宋_GB2312" w:hAnsi="仿宋_GB2312" w:eastAsia="仿宋_GB2312" w:cs="仿宋_GB2312"/>
          <w:color w:val="000000"/>
          <w:sz w:val="32"/>
          <w:szCs w:val="32"/>
        </w:rPr>
        <w:t>组织部加强政法单位领导班子和干部队伍建设，协助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委和</w:t>
      </w:r>
      <w:r>
        <w:rPr>
          <w:rFonts w:hint="eastAsia" w:ascii="仿宋_GB2312" w:hAnsi="仿宋_GB2312" w:eastAsia="仿宋_GB2312" w:cs="仿宋_GB2312"/>
          <w:color w:val="000000"/>
          <w:sz w:val="32"/>
          <w:szCs w:val="32"/>
          <w:lang w:eastAsia="zh-CN"/>
        </w:rPr>
        <w:t>州纪委监委</w:t>
      </w:r>
      <w:r>
        <w:rPr>
          <w:rFonts w:hint="eastAsia" w:ascii="仿宋_GB2312" w:hAnsi="仿宋_GB2312" w:eastAsia="仿宋_GB2312" w:cs="仿宋_GB2312"/>
          <w:color w:val="000000"/>
          <w:sz w:val="32"/>
          <w:szCs w:val="32"/>
        </w:rPr>
        <w:t>做好监督检查、审查调查工作。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落实全面依法治国领导机构</w:t>
      </w:r>
      <w:r>
        <w:rPr>
          <w:rFonts w:hint="eastAsia" w:ascii="仿宋_GB2312" w:hAnsi="仿宋_GB2312" w:eastAsia="仿宋_GB2312" w:cs="仿宋_GB2312"/>
          <w:color w:val="000000"/>
          <w:sz w:val="32"/>
          <w:szCs w:val="32"/>
          <w:lang w:eastAsia="zh-CN"/>
        </w:rPr>
        <w:t>、城乡基层治理领导机构</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eastAsia="zh-CN"/>
        </w:rPr>
        <w:t>各项</w:t>
      </w:r>
      <w:r>
        <w:rPr>
          <w:rFonts w:hint="eastAsia" w:ascii="仿宋_GB2312" w:hAnsi="仿宋_GB2312" w:eastAsia="仿宋_GB2312" w:cs="仿宋_GB2312"/>
          <w:color w:val="000000"/>
          <w:sz w:val="32"/>
          <w:szCs w:val="32"/>
        </w:rPr>
        <w:t>部署，支持配合其办事机构工作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指导政法单位加强</w:t>
      </w:r>
      <w:r>
        <w:rPr>
          <w:rFonts w:hint="eastAsia" w:ascii="仿宋_GB2312" w:hAnsi="仿宋_GB2312" w:eastAsia="仿宋_GB2312" w:cs="仿宋_GB2312"/>
          <w:color w:val="000000"/>
          <w:sz w:val="32"/>
          <w:szCs w:val="32"/>
          <w:lang w:eastAsia="zh-CN"/>
        </w:rPr>
        <w:t>社会稳定、平安建设、法治建设等重大问题</w:t>
      </w:r>
      <w:r>
        <w:rPr>
          <w:rFonts w:hint="eastAsia" w:ascii="仿宋_GB2312" w:hAnsi="仿宋_GB2312" w:eastAsia="仿宋_GB2312" w:cs="仿宋_GB2312"/>
          <w:color w:val="000000"/>
          <w:sz w:val="32"/>
          <w:szCs w:val="32"/>
        </w:rPr>
        <w:t>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提出建议和工作意见，指导和协调政法单位</w:t>
      </w:r>
      <w:r>
        <w:rPr>
          <w:rFonts w:hint="eastAsia" w:ascii="仿宋_GB2312" w:hAnsi="仿宋_GB2312" w:eastAsia="仿宋_GB2312" w:cs="仿宋_GB2312"/>
          <w:color w:val="000000"/>
          <w:sz w:val="32"/>
          <w:szCs w:val="32"/>
          <w:lang w:eastAsia="zh-CN"/>
        </w:rPr>
        <w:t>开展维护社会稳定、执法司法、创新社会治理等有关</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指导见义勇为表彰奖励工作。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掌握分析政法舆情动态，指导和协调政法单位和有关部门做好依法办理、宣传报道和舆论引导等相关工作</w:t>
      </w:r>
      <w:r>
        <w:rPr>
          <w:rFonts w:hint="eastAsia" w:ascii="仿宋_GB2312" w:hAnsi="仿宋_GB2312" w:eastAsia="仿宋_GB2312" w:cs="仿宋_GB2312"/>
          <w:color w:val="000000"/>
          <w:sz w:val="32"/>
          <w:szCs w:val="32"/>
          <w:lang w:val="en-US" w:eastAsia="zh-CN"/>
        </w:rPr>
        <w:t>,推动政法网络新媒体发展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统筹指导并推动智能化建设。</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完成州委</w:t>
      </w:r>
      <w:r>
        <w:rPr>
          <w:rFonts w:hint="eastAsia" w:ascii="仿宋_GB2312" w:hAnsi="仿宋_GB2312" w:eastAsia="仿宋_GB2312" w:cs="仿宋_GB2312"/>
          <w:color w:val="000000"/>
          <w:sz w:val="32"/>
          <w:szCs w:val="32"/>
          <w:lang w:eastAsia="zh-CN"/>
        </w:rPr>
        <w:t>和上级党委政法委员会</w:t>
      </w:r>
      <w:r>
        <w:rPr>
          <w:rFonts w:hint="eastAsia" w:ascii="仿宋_GB2312" w:hAnsi="仿宋_GB2312" w:eastAsia="仿宋_GB2312" w:cs="仿宋_GB2312"/>
          <w:color w:val="000000"/>
          <w:sz w:val="32"/>
          <w:szCs w:val="32"/>
        </w:rPr>
        <w:t>交办的其他任务。</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州编委核定州委政法委人员编制30名，其中：公务员编制22名，工勤编制8名。2023年底在职职工28人，</w:t>
      </w:r>
      <w:r>
        <w:rPr>
          <w:rFonts w:hint="eastAsia" w:ascii="仿宋_GB2312" w:hAnsi="仿宋_GB2312" w:eastAsia="仿宋_GB2312" w:cs="仿宋_GB2312"/>
          <w:b w:val="0"/>
          <w:bCs w:val="0"/>
          <w:color w:val="000000"/>
          <w:sz w:val="32"/>
          <w:szCs w:val="32"/>
          <w:lang w:eastAsia="zh-CN"/>
        </w:rPr>
        <w:t>编外长聘人员</w:t>
      </w:r>
      <w:r>
        <w:rPr>
          <w:rFonts w:hint="eastAsia" w:ascii="仿宋_GB2312" w:hAnsi="仿宋_GB2312" w:eastAsia="仿宋_GB2312" w:cs="仿宋_GB2312"/>
          <w:b w:val="0"/>
          <w:bCs w:val="0"/>
          <w:color w:val="000000"/>
          <w:sz w:val="32"/>
          <w:szCs w:val="32"/>
          <w:lang w:val="en-US" w:eastAsia="zh-CN"/>
        </w:rPr>
        <w:t>3人，</w:t>
      </w:r>
      <w:r>
        <w:rPr>
          <w:rFonts w:hint="eastAsia" w:ascii="仿宋_GB2312" w:hAnsi="仿宋_GB2312" w:eastAsia="仿宋_GB2312" w:cs="仿宋_GB2312"/>
          <w:b w:val="0"/>
          <w:bCs w:val="0"/>
          <w:color w:val="000000"/>
          <w:sz w:val="32"/>
          <w:szCs w:val="32"/>
        </w:rPr>
        <w:t>退休职工10人已纳入社保。</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二、单位资金收支情况</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2023年年初预算收入为14269283.42元，决算报表收入为17436284.60元。</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（二）支出情况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2023年年初预算支出为14269283.42元，决算报表支出为17436284.60元，其中：公共安全支出为15207099.42元，占比87.22%；教育支出4000元，占比0.02%；社会保障和就业支出为1122367.44元，占比6.44%；卫生健康支出为511107.74元，占比2.93%；住房保障支出为591710.00元，占比3.39%。</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（三）结余分配和结转结余情况。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三、单位预算绩效分析</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（一）</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预算总体绩效分析（65分）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1.履职效能（15分）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（1）坚持政治引领，强化政治建设实现新提升。</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坚持以习近平新时代中国特色社会主义思想为指引，始终把政治建设摆在首位,坚决把贯彻落实习近平法治思想、总体国家安全观和习近平总书记系列指示批示精神作为捍卫“两个确立”，践行“两个维护”的具体行动，切实把党的绝对领导落实到政法工作各方面全过程。特别是学习贯彻习近平新时代中国特色社会主义思想主题教育开展以来，州委政法委牢牢把握“学思想、强党性、重实践、建新功”的总要求，一体推动理论学习、调查研究、推动发展、检视整改、建章立制等重点措施，着力深化“学习型”“服务型”“战斗型”机关建设。聚焦政法工作重难点问题，组成5个调研组，赴13个县（市）、52个村组（社区）深入调研。</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（2）坚持综合施策，平安阿坝建设迈出新步伐。</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着力深化“三安全两治理一能力”建设。纵深推进常态化打黑除恶斗争。坚持和发展新时代“枫桥经验”。</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（3）坚持以人为本，法治阿坝建设取得新进展。</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坚持以人民为中心，始终高举法治大旗，牢牢扭住法治化建设重心，推动严格执法、公正司法、全面守法，构建法治良序。法治宣传纵深推进“法治四川行”一月一主题活动，开展各类宣讲3000余场次，受教育48.2万余人次。阵地建设扎实推进政法公共服务体系建设，推动优化诉讼服务、检察服务、公安政务服务及法律服务，畅通网上立案渠道，全州建立公共法律服务中心、工作站1347个。</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（4）坚持能力提升，政法队伍建设呈现新气象</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持续推进政法队伍教育整顿、“忠诚铸魂、铁纪担当”专项行动常态化，纵深推进全面从严管党治警，严格按照“五个过硬”要求，大力推进政法队伍“四化”建设，着力锻造忠诚干净担当的新时代阿坝政法铁军。</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自评得分：1</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2.预算管理（25分）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（1）预算编制质量（8分）。严格按要求编制年初</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预算，年初预算编制的科学性和准确性较高，财政拨款预算偏离度为22.19%，资产配置预算偏离度为1.38%，政府采购预算偏离度为0.83%。自评得分：</w:t>
      </w:r>
      <w:r>
        <w:rPr>
          <w:rFonts w:hint="eastAsia" w:ascii="仿宋_GB2312" w:hAnsi="仿宋_GB2312" w:eastAsia="仿宋_GB2312" w:cs="仿宋_GB2312"/>
          <w:b w:val="0"/>
          <w:bCs w:val="0"/>
          <w:color w:val="000000"/>
          <w:sz w:val="32"/>
          <w:szCs w:val="32"/>
          <w:lang w:val="en-US" w:eastAsia="zh-CN"/>
        </w:rPr>
        <w:t>7.5</w:t>
      </w:r>
      <w:r>
        <w:rPr>
          <w:rFonts w:hint="eastAsia" w:ascii="仿宋_GB2312" w:hAnsi="仿宋_GB2312" w:eastAsia="仿宋_GB2312" w:cs="仿宋_GB2312"/>
          <w:b w:val="0"/>
          <w:bCs w:val="0"/>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（2）单位收入统筹（4分）。无自有收入、无财政核定的综合补助比例。自评得分：4分。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（3）支出执行进度（6分）。1至6月、1至10月预算执行支付进度分别为38.5%、66%</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无支出预警金额，无支出违规金额。自评得分：</w:t>
      </w:r>
      <w:r>
        <w:rPr>
          <w:rFonts w:hint="eastAsia" w:ascii="仿宋_GB2312" w:hAnsi="仿宋_GB2312" w:eastAsia="仿宋_GB2312" w:cs="仿宋_GB2312"/>
          <w:b w:val="0"/>
          <w:bCs w:val="0"/>
          <w:color w:val="000000"/>
          <w:sz w:val="32"/>
          <w:szCs w:val="32"/>
          <w:lang w:val="en-US"/>
        </w:rPr>
        <w:t>5.5</w:t>
      </w:r>
      <w:r>
        <w:rPr>
          <w:rFonts w:hint="eastAsia" w:ascii="仿宋_GB2312" w:hAnsi="仿宋_GB2312" w:eastAsia="仿宋_GB2312" w:cs="仿宋_GB2312"/>
          <w:b w:val="0"/>
          <w:bCs w:val="0"/>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（4）算年终结余（2分）。预算注销金额和结转金额为359,675元，</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预算总金额17,795,959.60元，整体预算结余率为2.02%。自评得分：2分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（5）严控一般性支出（5分）。严控“三公”经费、会议、培训、差旅、办节办展、办公设备购置、信息网络及软件购置更新、课题经费等。自评得分：</w:t>
      </w:r>
      <w:r>
        <w:rPr>
          <w:rFonts w:hint="eastAsia" w:ascii="仿宋_GB2312" w:hAnsi="仿宋_GB2312" w:eastAsia="仿宋_GB2312" w:cs="仿宋_GB2312"/>
          <w:b w:val="0"/>
          <w:bCs w:val="0"/>
          <w:color w:val="000000"/>
          <w:sz w:val="32"/>
          <w:szCs w:val="32"/>
          <w:lang w:val="en-US"/>
        </w:rPr>
        <w:t>4.5</w:t>
      </w:r>
      <w:r>
        <w:rPr>
          <w:rFonts w:hint="eastAsia" w:ascii="仿宋_GB2312" w:hAnsi="仿宋_GB2312" w:eastAsia="仿宋_GB2312" w:cs="仿宋_GB2312"/>
          <w:b w:val="0"/>
          <w:bCs w:val="0"/>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3.财务管理（10分）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财务管理制度（4分）。根据本单位工作实际，在建立并实施内部监督和控制制度过程中，制定了内部财务管理制度。建立和完善各项制度的同时，相关人员在工作过程中严格遵守这些规章制度，有效地实施了内部监督和控制。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财务岗位设置（2分）。明确了记账人员和审批人员、经办人员的职责权限，使其相互分离、相互制约，以明确责任，防止舞弊，各项业务事项得以有序进行；明确了财务收支审批程序和审批人员的权限的责任，规范了各项资金的使用，提高了资金使用效益。自评得分：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（3）资金使用规范（4分）。明确了经费支出的范围和开支标准，采取各种有效措施控制经费开支，杜绝了浪费现象的发生。自评得分：4分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4.资产管理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人均资产变化率（3分）。截至2023年12月31日，资产总额（账面净值，下同）206.35万元，较上年减少25.55%。负债总额20.69万元，较上年减少51.29%。净资产185.66万元,较上年减少20.89%。截至2023年12月31日，编制人数39人，较上年度增加0人，年末实有人数39人（其中事业人员8人，</w:t>
      </w:r>
      <w:r>
        <w:rPr>
          <w:rFonts w:hint="eastAsia" w:ascii="仿宋_GB2312" w:hAnsi="仿宋_GB2312" w:eastAsia="仿宋_GB2312" w:cs="仿宋_GB2312"/>
          <w:b w:val="0"/>
          <w:bCs w:val="0"/>
          <w:color w:val="000000"/>
          <w:sz w:val="32"/>
          <w:szCs w:val="32"/>
          <w:lang w:eastAsia="zh-CN"/>
        </w:rPr>
        <w:t>编外长聘</w:t>
      </w:r>
      <w:r>
        <w:rPr>
          <w:rFonts w:hint="eastAsia" w:ascii="仿宋_GB2312" w:hAnsi="仿宋_GB2312" w:eastAsia="仿宋_GB2312" w:cs="仿宋_GB2312"/>
          <w:b w:val="0"/>
          <w:bCs w:val="0"/>
          <w:color w:val="000000"/>
          <w:sz w:val="32"/>
          <w:szCs w:val="32"/>
        </w:rPr>
        <w:t>人员3人），较上年度增加4人。人均资产变化率较小。自评得分：3分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（2）资产利用率（3分）办公家具超最低使用年限资产利用率为0；办公设备超最低使用年限资产2705751.5元，办公设备的账面价值为6363874.5元，办公设备超最低使用年限资产利用率为42.52%。自评得分：3分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（3）资产利用率（3分）。2022年和2023年均无闲置资产。自评得分：3分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5.采购管理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（1）支持中小企业发展（3分）。采购中严格执行政府采购促进中小企业发展相关管理办法，2023年采购金额共计861125元，其中涉及中小企业的采购金额为861125元。自评得分：3分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（2）采购执行率（3分）。2023年采购金额共计861125元，当年政府采购总预算数868300元，当年已完成采购项目节约金额为7175元。自评得分：3分</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(二)项目绩效（35分）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1.项目决策（12分）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（1）决策程序（4分）。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预算项目设立按规定履行评估论证、申报程序，无未履行事前评估程序的</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预算项目。2023年共有20个特定目标类预算项目，决策程序合规。自评得分：4分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目标设置（4分）。预算项目绩效目标与计划期内的任务量、预算安排的资金量匹配较好，绩效目标设置科学合理、规范完整、量化细化、预算匹配。特定目标类项目目标设置都是经业务科室和财务部门共同合作完成，并经过相关专家指导，目标设置符合规定。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（3）项目入库（4分）。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预算项目能在规定时间</w:t>
      </w:r>
      <w:r>
        <w:rPr>
          <w:rFonts w:hint="eastAsia" w:ascii="仿宋_GB2312" w:hAnsi="仿宋_GB2312" w:eastAsia="仿宋_GB2312" w:cs="仿宋_GB2312"/>
          <w:b w:val="0"/>
          <w:bCs w:val="0"/>
          <w:color w:val="000000"/>
          <w:sz w:val="32"/>
          <w:szCs w:val="32"/>
          <w:lang w:eastAsia="zh-CN"/>
        </w:rPr>
        <w:t>内</w:t>
      </w:r>
      <w:r>
        <w:rPr>
          <w:rFonts w:hint="eastAsia" w:ascii="仿宋_GB2312" w:hAnsi="仿宋_GB2312" w:eastAsia="仿宋_GB2312" w:cs="仿宋_GB2312"/>
          <w:b w:val="0"/>
          <w:bCs w:val="0"/>
          <w:color w:val="000000"/>
          <w:sz w:val="32"/>
          <w:szCs w:val="32"/>
        </w:rPr>
        <w:t>完成项目入库。2023年共有20个特定目标类预算项目能在州财政局规定的时间内按时入库。自评得分：4分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2.项目执行（12分）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（1）执行同向（4分）。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预算项目实际列支内容是与绩效目标设置方向相符，无实际列支内容与绩效目标设置方向不相符的</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（2）项目调整（4分）。2023年</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预算项目中无应采取未采取收回预算、调整目标等处置措施的</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执行结果（4分）。宣传教育转化工作经费项目支付率为100%，平安创建、群防群治、网格化管理工作经费项目支付率为99.79%,见义勇为专项经费项目支付率为100%，法学会工作经费项目支付率为100%，大调解工作经费项目支付率为99.75%</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政法三级网、阿坝长安网、大调解网络租赁及维护费项目支付率为97.97%</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公务用车大修项目支付率为98.63%</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全州政法干部培训费项目支付率为96.51%</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综治工作经费项目支付率为99.99%,办公设备购置项目支付率98.62%</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2023年春节走访慰问高层次人才慰问经费项目支付率为100%。自评得分：4分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3.目标实现（11分）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（1）目标完成（4分）。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绩效目标数量指标完成情况：依托主题教育读书班、全体会议、委务会议、职工会议、党支部“三会一课”等集中学习21次，“每月”一主题专题学习研讨4次，并及时将习近平总书记最新讲话和重要指示批示纳入“第一议题”跟进学习。创新推行“净土阿坝・平安微治理随手拍”微信小程序，运用“网格化+”模式建强1584个全要素网格，配备专兼职网格员2089名。常态化推动矛盾纠纷“大起底、大排查、大化解”，共排查突出问题2987件，化解2928件，化解率98%。全州创建2022年度“六无”平安村（社区）196个，其中省级26个、州级170个。重点结合主题教育，举办4期政治轮训示范班，分系统开办夜校，全覆盖政治轮训275余场次，培训1.06万余人次。做实见义勇为评选表彰，表彰见义勇为勇士6名。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（2）目标偏离（4分）。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预算项目绩效目标数量指标实现程度与预期目标的偏离较小。自评得分：4分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（3）实现效果（3分）。</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项目绩效目标效益指标实施效果：主题教育成效初显，忠诚底色更加纯净。维护稳定坚决有力，社会大局稳定向好。社会治理创新推动，平安建设再上台阶，人民群众的安全感、幸福感和满意度稳步提升。补齐补强短板弱项，法制建设深入推进，群众法治意识显著提高，民族团结进步根基更加牢固。聚焦能力素质提升，加速锻造政法铁军。自评得分：3分</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（三）绩效结果应用</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1.内部应用</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将内设机构绩效目标管理纳入内部考核体系；建立对内设机构预算绩效挂钩。</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2.信息公开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 （1）预算公开。经保密审查，按要求在财政部门批复后</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日内向社会公开本</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预算（含所有财政资金安排的“三公”经费、机关运行经费的安排、使用情况等）在州政府门户网站上进行了公开。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（2）决算公开。经保密审查，按要求在财政部门批复</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日内向社会公开本</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决算（含所有财政资金安排的“三公”经费、机关运行经费的安排、使用情况等）在州政府门户网站上进行了公开。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3.整改反馈</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阿坝州财政局《关于开展2021、2022年预决算公开情况专项检查情况的通报》，对公开不及时、公开内容不完整、细化程度不够、其它方面存在的问题进行了通报，均无我单位。</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我单位无债务资金、无非税收入；编制政府采购实施计划与政府采购预算的一致；按规定完成资产清查任务，并及时上报行政事业单位资产报表；设立了完整的内控制度，未发生廉政或重大责任事故，并按要求上报了内控报表、分析材料。</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我单位2023年度整体支出绩效评价自评合格，并按规定将自评情况及时报送财政部门备案，对于自评过程中发现的不足及问题，我单位</w:t>
      </w:r>
      <w:r>
        <w:rPr>
          <w:rFonts w:hint="eastAsia" w:ascii="仿宋_GB2312" w:hAnsi="仿宋_GB2312" w:eastAsia="仿宋_GB2312" w:cs="仿宋_GB2312"/>
          <w:b w:val="0"/>
          <w:bCs w:val="0"/>
          <w:color w:val="000000"/>
          <w:sz w:val="32"/>
          <w:szCs w:val="32"/>
          <w:lang w:eastAsia="zh-CN"/>
        </w:rPr>
        <w:t>将</w:t>
      </w:r>
      <w:r>
        <w:rPr>
          <w:rFonts w:hint="eastAsia" w:ascii="仿宋_GB2312" w:hAnsi="仿宋_GB2312" w:eastAsia="仿宋_GB2312" w:cs="仿宋_GB2312"/>
          <w:b w:val="0"/>
          <w:bCs w:val="0"/>
          <w:color w:val="000000"/>
          <w:sz w:val="32"/>
          <w:szCs w:val="32"/>
        </w:rPr>
        <w:t>积极整改，力求下一年度通过完善相关政策制度，建立更加切合实际的绩效评价体系。</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四、评价结论及建议</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通过</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整体支出绩效评价</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自评满分为</w:t>
      </w:r>
      <w:r>
        <w:rPr>
          <w:rFonts w:hint="eastAsia" w:ascii="仿宋_GB2312" w:hAnsi="仿宋_GB2312" w:eastAsia="仿宋_GB2312" w:cs="仿宋_GB2312"/>
          <w:b w:val="0"/>
          <w:bCs w:val="0"/>
          <w:color w:val="000000"/>
          <w:sz w:val="32"/>
          <w:szCs w:val="32"/>
          <w:lang w:val="en-US"/>
        </w:rPr>
        <w:t>100</w:t>
      </w:r>
      <w:r>
        <w:rPr>
          <w:rFonts w:hint="eastAsia" w:ascii="仿宋_GB2312" w:hAnsi="仿宋_GB2312" w:eastAsia="仿宋_GB2312" w:cs="仿宋_GB2312"/>
          <w:b w:val="0"/>
          <w:bCs w:val="0"/>
          <w:color w:val="000000"/>
          <w:sz w:val="32"/>
          <w:szCs w:val="32"/>
        </w:rPr>
        <w:t>分，通过自评得分</w:t>
      </w:r>
      <w:r>
        <w:rPr>
          <w:rFonts w:hint="eastAsia" w:ascii="仿宋_GB2312" w:hAnsi="仿宋_GB2312" w:eastAsia="仿宋_GB2312" w:cs="仿宋_GB2312"/>
          <w:b w:val="0"/>
          <w:bCs w:val="0"/>
          <w:color w:val="000000"/>
          <w:sz w:val="32"/>
          <w:szCs w:val="32"/>
          <w:lang w:val="en-US"/>
        </w:rPr>
        <w:t>9</w:t>
      </w:r>
      <w:r>
        <w:rPr>
          <w:rFonts w:hint="eastAsia" w:ascii="仿宋_GB2312" w:hAnsi="仿宋_GB2312" w:eastAsia="仿宋_GB2312" w:cs="仿宋_GB2312"/>
          <w:b w:val="0"/>
          <w:bCs w:val="0"/>
          <w:color w:val="000000"/>
          <w:sz w:val="32"/>
          <w:szCs w:val="32"/>
          <w:lang w:val="en-US" w:eastAsia="zh-CN"/>
        </w:rPr>
        <w:t>8.5</w:t>
      </w:r>
      <w:r>
        <w:rPr>
          <w:rFonts w:hint="eastAsia" w:ascii="仿宋_GB2312" w:hAnsi="仿宋_GB2312" w:eastAsia="仿宋_GB2312" w:cs="仿宋_GB2312"/>
          <w:b w:val="0"/>
          <w:bCs w:val="0"/>
          <w:color w:val="000000"/>
          <w:sz w:val="32"/>
          <w:szCs w:val="32"/>
        </w:rPr>
        <w:t>分。</w:t>
      </w:r>
    </w:p>
    <w:p>
      <w:pPr>
        <w:pStyle w:val="5"/>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一是预算编制准确度有待提高，</w:t>
      </w:r>
      <w:r>
        <w:rPr>
          <w:rFonts w:hint="eastAsia" w:ascii="仿宋_GB2312" w:hAnsi="仿宋_GB2312" w:eastAsia="仿宋_GB2312" w:cs="仿宋_GB2312"/>
          <w:b w:val="0"/>
          <w:bCs w:val="0"/>
          <w:color w:val="000000"/>
          <w:sz w:val="32"/>
          <w:szCs w:val="32"/>
          <w:lang w:eastAsia="zh-CN"/>
        </w:rPr>
        <w:t>由于维稳工作的不确定性，</w:t>
      </w:r>
      <w:r>
        <w:rPr>
          <w:rFonts w:hint="eastAsia" w:ascii="仿宋_GB2312" w:hAnsi="仿宋_GB2312" w:eastAsia="仿宋_GB2312" w:cs="仿宋_GB2312"/>
          <w:b w:val="0"/>
          <w:bCs w:val="0"/>
          <w:color w:val="000000"/>
          <w:sz w:val="32"/>
          <w:szCs w:val="32"/>
        </w:rPr>
        <w:t>存在中期追加、期末追减情况；二是固定资产卡片有未及时更新情况，管理有待完善。</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一是加强每月预算执行监控，及时督促相关科室推进项目执行。二是通过近年预决算数据对比，科学编制预算，未雨绸缪尽量做好年度规划，降低经费追加减比例。三是进一步健全完善内部控制制度，加强资产管理，及时更新固定资产卡片，提高单位成本费用准确度，提升</w:t>
      </w:r>
      <w:r>
        <w:rPr>
          <w:rFonts w:hint="eastAsia" w:ascii="仿宋_GB2312" w:hAnsi="仿宋_GB2312" w:eastAsia="仿宋_GB2312" w:cs="仿宋_GB2312"/>
          <w:b w:val="0"/>
          <w:bCs w:val="0"/>
          <w:color w:val="000000"/>
          <w:sz w:val="32"/>
          <w:szCs w:val="32"/>
          <w:lang w:eastAsia="zh-CN"/>
        </w:rPr>
        <w:t>单位</w:t>
      </w:r>
      <w:r>
        <w:rPr>
          <w:rFonts w:hint="eastAsia" w:ascii="仿宋_GB2312" w:hAnsi="仿宋_GB2312" w:eastAsia="仿宋_GB2312" w:cs="仿宋_GB2312"/>
          <w:b w:val="0"/>
          <w:bCs w:val="0"/>
          <w:color w:val="000000"/>
          <w:sz w:val="32"/>
          <w:szCs w:val="32"/>
        </w:rPr>
        <w:t>整体支出绩效评价。</w:t>
      </w:r>
    </w:p>
    <w:p>
      <w:pPr>
        <w:spacing w:line="580" w:lineRule="exact"/>
        <w:rPr>
          <w:rStyle w:val="22"/>
          <w:rFonts w:hint="default" w:ascii="Times New Roman" w:hAnsi="Times New Roman" w:eastAsia="宋体" w:cs="Times New Roman"/>
          <w:color w:val="000000"/>
          <w:sz w:val="24"/>
          <w:szCs w:val="24"/>
        </w:rPr>
      </w:pPr>
    </w:p>
    <w:p>
      <w:pPr>
        <w:keepNext w:val="0"/>
        <w:keepLines w:val="0"/>
        <w:widowControl/>
        <w:suppressLineNumbers w:val="0"/>
        <w:jc w:val="center"/>
        <w:textAlignment w:val="center"/>
        <w:rPr>
          <w:rStyle w:val="28"/>
          <w:rFonts w:hint="eastAsia" w:ascii="方正公文小标宋" w:hAnsi="方正公文小标宋" w:eastAsia="方正公文小标宋" w:cs="方正公文小标宋"/>
          <w:lang w:val="en-US" w:eastAsia="zh-CN" w:bidi="ar"/>
        </w:rPr>
      </w:pPr>
      <w:r>
        <w:rPr>
          <w:rFonts w:hint="eastAsia" w:cs="Times New Roman"/>
          <w:color w:val="auto"/>
          <w:sz w:val="32"/>
          <w:szCs w:val="32"/>
          <w:highlight w:val="none"/>
          <w:lang w:val="zh-CN" w:eastAsia="zh-CN" w:bidi="ar-SA"/>
        </w:rPr>
        <w:t>附表：</w:t>
      </w:r>
      <w:r>
        <w:rPr>
          <w:rFonts w:hint="eastAsia" w:cs="Times New Roman"/>
          <w:color w:val="auto"/>
          <w:sz w:val="32"/>
          <w:szCs w:val="32"/>
          <w:highlight w:val="none"/>
          <w:lang w:val="en-US" w:eastAsia="zh-CN" w:bidi="ar-SA"/>
        </w:rPr>
        <w:t>部门预算项目支出绩效自评表（2023年度）</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6"/>
        <w:gridCol w:w="57"/>
        <w:gridCol w:w="1171"/>
        <w:gridCol w:w="28"/>
        <w:gridCol w:w="1020"/>
        <w:gridCol w:w="4"/>
        <w:gridCol w:w="1336"/>
        <w:gridCol w:w="24"/>
        <w:gridCol w:w="368"/>
        <w:gridCol w:w="9"/>
        <w:gridCol w:w="959"/>
        <w:gridCol w:w="18"/>
        <w:gridCol w:w="366"/>
        <w:gridCol w:w="14"/>
        <w:gridCol w:w="730"/>
        <w:gridCol w:w="33"/>
        <w:gridCol w:w="408"/>
        <w:gridCol w:w="78"/>
        <w:gridCol w:w="363"/>
        <w:gridCol w:w="31"/>
        <w:gridCol w:w="1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5"/>
                <w:szCs w:val="15"/>
                <w:u w:val="none"/>
              </w:rPr>
            </w:pPr>
            <w:r>
              <w:rPr>
                <w:rStyle w:val="29"/>
                <w:rFonts w:hint="eastAsia" w:ascii="仿宋_GB2312" w:hAnsi="仿宋_GB2312" w:eastAsia="仿宋_GB2312" w:cs="仿宋_GB2312"/>
                <w:sz w:val="30"/>
                <w:szCs w:val="30"/>
                <w:lang w:val="en-US" w:eastAsia="zh-CN" w:bidi="ar"/>
              </w:rPr>
              <w:t>部门预算项目支出绩效自评表（</w:t>
            </w:r>
            <w:r>
              <w:rPr>
                <w:rFonts w:hint="eastAsia" w:ascii="仿宋_GB2312" w:hAnsi="仿宋_GB2312" w:eastAsia="仿宋_GB2312" w:cs="仿宋_GB2312"/>
                <w:b/>
                <w:bCs/>
                <w:i w:val="0"/>
                <w:iCs w:val="0"/>
                <w:color w:val="000000"/>
                <w:kern w:val="0"/>
                <w:sz w:val="30"/>
                <w:szCs w:val="30"/>
                <w:u w:val="none"/>
                <w:lang w:val="en-US" w:eastAsia="zh-CN" w:bidi="ar"/>
              </w:rPr>
              <w:t>2023</w:t>
            </w:r>
            <w:r>
              <w:rPr>
                <w:rStyle w:val="29"/>
                <w:rFonts w:hint="eastAsia" w:ascii="仿宋_GB2312" w:hAnsi="仿宋_GB2312" w:eastAsia="仿宋_GB2312" w:cs="仿宋_GB2312"/>
                <w:sz w:val="30"/>
                <w:szCs w:val="30"/>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项目名称</w:t>
            </w:r>
          </w:p>
        </w:tc>
        <w:tc>
          <w:tcPr>
            <w:tcW w:w="4036"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Style w:val="30"/>
                <w:rFonts w:hint="eastAsia" w:ascii="仿宋_GB2312" w:hAnsi="仿宋_GB2312" w:eastAsia="仿宋_GB2312" w:cs="仿宋_GB2312"/>
                <w:sz w:val="15"/>
                <w:szCs w:val="15"/>
                <w:lang w:val="en-US" w:eastAsia="zh-CN" w:bidi="ar"/>
              </w:rPr>
              <w:t>51320023T000009184924-2023</w:t>
            </w:r>
            <w:r>
              <w:rPr>
                <w:rFonts w:hint="eastAsia" w:ascii="仿宋_GB2312" w:hAnsi="仿宋_GB2312" w:eastAsia="仿宋_GB2312" w:cs="仿宋_GB2312"/>
                <w:i w:val="0"/>
                <w:iCs w:val="0"/>
                <w:color w:val="000000"/>
                <w:kern w:val="0"/>
                <w:sz w:val="15"/>
                <w:szCs w:val="15"/>
                <w:u w:val="none"/>
                <w:lang w:val="en-US" w:eastAsia="zh-CN" w:bidi="ar"/>
              </w:rPr>
              <w:t>年春节走访慰问高层次人才慰问经费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主管部门</w:t>
            </w:r>
          </w:p>
        </w:tc>
        <w:tc>
          <w:tcPr>
            <w:tcW w:w="228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州委政法委部门</w:t>
            </w:r>
          </w:p>
        </w:tc>
        <w:tc>
          <w:tcPr>
            <w:tcW w:w="40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实施单位</w:t>
            </w:r>
            <w:r>
              <w:rPr>
                <w:rStyle w:val="30"/>
                <w:rFonts w:hint="eastAsia" w:ascii="仿宋_GB2312" w:hAnsi="仿宋_GB2312" w:eastAsia="仿宋_GB2312" w:cs="仿宋_GB2312"/>
                <w:sz w:val="15"/>
                <w:szCs w:val="15"/>
                <w:lang w:val="en-US" w:eastAsia="zh-CN" w:bidi="ar"/>
              </w:rPr>
              <w:t xml:space="preserve"> </w:t>
            </w:r>
            <w:r>
              <w:rPr>
                <w:rFonts w:hint="eastAsia" w:ascii="仿宋_GB2312" w:hAnsi="仿宋_GB2312" w:eastAsia="仿宋_GB2312" w:cs="仿宋_GB2312"/>
                <w:i w:val="0"/>
                <w:iCs w:val="0"/>
                <w:color w:val="000000"/>
                <w:kern w:val="0"/>
                <w:sz w:val="15"/>
                <w:szCs w:val="15"/>
                <w:u w:val="none"/>
                <w:lang w:val="en-US" w:eastAsia="zh-CN" w:bidi="ar"/>
              </w:rPr>
              <w:t>（盖章）</w:t>
            </w:r>
          </w:p>
        </w:tc>
        <w:tc>
          <w:tcPr>
            <w:tcW w:w="13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项目基本情况</w:t>
            </w:r>
          </w:p>
        </w:tc>
        <w:tc>
          <w:tcPr>
            <w:tcW w:w="6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Style w:val="30"/>
                <w:rFonts w:hint="eastAsia" w:ascii="仿宋_GB2312" w:hAnsi="仿宋_GB2312" w:eastAsia="仿宋_GB2312" w:cs="仿宋_GB2312"/>
                <w:sz w:val="15"/>
                <w:szCs w:val="15"/>
                <w:lang w:val="en-US" w:eastAsia="zh-CN" w:bidi="ar"/>
              </w:rPr>
              <w:t>1.</w:t>
            </w:r>
            <w:r>
              <w:rPr>
                <w:rFonts w:hint="eastAsia" w:ascii="仿宋_GB2312" w:hAnsi="仿宋_GB2312" w:eastAsia="仿宋_GB2312" w:cs="仿宋_GB2312"/>
                <w:i w:val="0"/>
                <w:iCs w:val="0"/>
                <w:color w:val="000000"/>
                <w:kern w:val="0"/>
                <w:sz w:val="15"/>
                <w:szCs w:val="15"/>
                <w:u w:val="none"/>
                <w:lang w:val="en-US" w:eastAsia="zh-CN" w:bidi="ar"/>
              </w:rPr>
              <w:t>项目年度目标完成情况</w:t>
            </w:r>
          </w:p>
        </w:tc>
        <w:tc>
          <w:tcPr>
            <w:tcW w:w="228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项目年度目标</w:t>
            </w:r>
          </w:p>
        </w:tc>
        <w:tc>
          <w:tcPr>
            <w:tcW w:w="175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6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228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春节期间慰问高层次人才。</w:t>
            </w:r>
          </w:p>
        </w:tc>
        <w:tc>
          <w:tcPr>
            <w:tcW w:w="175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按照相关文件要求，完成了慰问工作。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Style w:val="30"/>
                <w:rFonts w:hint="eastAsia" w:ascii="仿宋_GB2312" w:hAnsi="仿宋_GB2312" w:eastAsia="仿宋_GB2312" w:cs="仿宋_GB2312"/>
                <w:sz w:val="15"/>
                <w:szCs w:val="15"/>
                <w:lang w:val="en-US" w:eastAsia="zh-CN" w:bidi="ar"/>
              </w:rPr>
              <w:t>2.</w:t>
            </w:r>
            <w:r>
              <w:rPr>
                <w:rFonts w:hint="eastAsia" w:ascii="仿宋_GB2312" w:hAnsi="仿宋_GB2312" w:eastAsia="仿宋_GB2312" w:cs="仿宋_GB2312"/>
                <w:i w:val="0"/>
                <w:iCs w:val="0"/>
                <w:color w:val="000000"/>
                <w:kern w:val="0"/>
                <w:sz w:val="15"/>
                <w:szCs w:val="15"/>
                <w:u w:val="none"/>
                <w:lang w:val="en-US" w:eastAsia="zh-CN" w:bidi="ar"/>
              </w:rPr>
              <w:t>项目实施内容及过程概述</w:t>
            </w:r>
          </w:p>
        </w:tc>
        <w:tc>
          <w:tcPr>
            <w:tcW w:w="4036"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按照文件要求，按时慰问了高层次人才。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预算执行情况（</w:t>
            </w:r>
            <w:r>
              <w:rPr>
                <w:rStyle w:val="30"/>
                <w:rFonts w:hint="eastAsia" w:ascii="仿宋_GB2312" w:hAnsi="仿宋_GB2312" w:eastAsia="仿宋_GB2312" w:cs="仿宋_GB2312"/>
                <w:sz w:val="15"/>
                <w:szCs w:val="15"/>
                <w:lang w:val="en-US" w:eastAsia="zh-CN" w:bidi="ar"/>
              </w:rPr>
              <w:t>10</w:t>
            </w:r>
            <w:r>
              <w:rPr>
                <w:rFonts w:hint="eastAsia" w:ascii="仿宋_GB2312" w:hAnsi="仿宋_GB2312" w:eastAsia="仿宋_GB2312" w:cs="仿宋_GB2312"/>
                <w:i w:val="0"/>
                <w:iCs w:val="0"/>
                <w:color w:val="000000"/>
                <w:kern w:val="0"/>
                <w:sz w:val="15"/>
                <w:szCs w:val="15"/>
                <w:u w:val="none"/>
                <w:lang w:val="en-US" w:eastAsia="zh-CN" w:bidi="ar"/>
              </w:rPr>
              <w:t>分）</w:t>
            </w: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年度预算数（万元）</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年初预算</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调整后预算数</w:t>
            </w: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预算执行数</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预算执行率</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权重</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得分</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总额</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0.40</w:t>
            </w: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0.40</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8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其中：财政资金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0.40</w:t>
            </w: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0.40</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财政专户管理资金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单位资金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其他资金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9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绩效指标（</w:t>
            </w:r>
            <w:r>
              <w:rPr>
                <w:rStyle w:val="30"/>
                <w:rFonts w:hint="eastAsia" w:ascii="仿宋_GB2312" w:hAnsi="仿宋_GB2312" w:eastAsia="仿宋_GB2312" w:cs="仿宋_GB2312"/>
                <w:sz w:val="15"/>
                <w:szCs w:val="15"/>
                <w:lang w:val="en-US" w:eastAsia="zh-CN" w:bidi="ar"/>
              </w:rPr>
              <w:t>90</w:t>
            </w:r>
            <w:r>
              <w:rPr>
                <w:rFonts w:hint="eastAsia" w:ascii="仿宋_GB2312" w:hAnsi="仿宋_GB2312" w:eastAsia="仿宋_GB2312" w:cs="仿宋_GB2312"/>
                <w:i w:val="0"/>
                <w:iCs w:val="0"/>
                <w:color w:val="000000"/>
                <w:kern w:val="0"/>
                <w:sz w:val="15"/>
                <w:szCs w:val="15"/>
                <w:u w:val="none"/>
                <w:lang w:val="en-US" w:eastAsia="zh-CN" w:bidi="ar"/>
              </w:rPr>
              <w:t>分）</w:t>
            </w: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一级指标</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二级指标</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三级指标</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指标性质</w:t>
            </w:r>
          </w:p>
        </w:tc>
        <w:tc>
          <w:tcPr>
            <w:tcW w:w="5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指标值</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度量单位</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完成值</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权重</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得分</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产出指标</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质量指标</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项目完成率</w:t>
            </w:r>
            <w:r>
              <w:rPr>
                <w:rStyle w:val="30"/>
                <w:rFonts w:hint="eastAsia" w:ascii="仿宋_GB2312" w:hAnsi="仿宋_GB2312" w:eastAsia="仿宋_GB2312" w:cs="仿宋_GB2312"/>
                <w:sz w:val="15"/>
                <w:szCs w:val="15"/>
                <w:lang w:val="en-US" w:eastAsia="zh-CN" w:bidi="ar"/>
              </w:rPr>
              <w:t>(%)</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100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效益指标</w:t>
            </w:r>
          </w:p>
        </w:tc>
        <w:tc>
          <w:tcPr>
            <w:tcW w:w="57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社会效益指标</w:t>
            </w: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社会公众满意度</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90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57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受惠群众满意度</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90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5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合计</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w:t>
            </w:r>
          </w:p>
        </w:tc>
        <w:tc>
          <w:tcPr>
            <w:tcW w:w="8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评价结论</w:t>
            </w:r>
          </w:p>
        </w:tc>
        <w:tc>
          <w:tcPr>
            <w:tcW w:w="47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根据项目执行情况和项目绩效情况，总得分</w:t>
            </w:r>
            <w:r>
              <w:rPr>
                <w:rStyle w:val="30"/>
                <w:rFonts w:hint="eastAsia" w:ascii="仿宋_GB2312" w:hAnsi="仿宋_GB2312" w:eastAsia="仿宋_GB2312" w:cs="仿宋_GB2312"/>
                <w:sz w:val="15"/>
                <w:szCs w:val="15"/>
                <w:lang w:val="en-US" w:eastAsia="zh-CN" w:bidi="ar"/>
              </w:rPr>
              <w:t>100</w:t>
            </w:r>
            <w:r>
              <w:rPr>
                <w:rFonts w:hint="eastAsia" w:ascii="仿宋_GB2312" w:hAnsi="仿宋_GB2312" w:eastAsia="仿宋_GB2312" w:cs="仿宋_GB2312"/>
                <w:i w:val="0"/>
                <w:iCs w:val="0"/>
                <w:color w:val="000000"/>
                <w:kern w:val="0"/>
                <w:sz w:val="15"/>
                <w:szCs w:val="15"/>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存在问题</w:t>
            </w:r>
          </w:p>
        </w:tc>
        <w:tc>
          <w:tcPr>
            <w:tcW w:w="47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改进措施</w:t>
            </w:r>
          </w:p>
        </w:tc>
        <w:tc>
          <w:tcPr>
            <w:tcW w:w="47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9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项目负责人：马晓波</w:t>
            </w:r>
          </w:p>
        </w:tc>
        <w:tc>
          <w:tcPr>
            <w:tcW w:w="2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财务负责人：李戎生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项目名称</w:t>
            </w:r>
          </w:p>
        </w:tc>
        <w:tc>
          <w:tcPr>
            <w:tcW w:w="402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51320022T000000356533-州综治中心信息系统运行服务、视频会议系统提升建设经费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主管部门</w:t>
            </w:r>
          </w:p>
        </w:tc>
        <w:tc>
          <w:tcPr>
            <w:tcW w:w="226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州委政法委部门</w:t>
            </w:r>
          </w:p>
        </w:tc>
        <w:tc>
          <w:tcPr>
            <w:tcW w:w="41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实施单位 （盖章）</w:t>
            </w:r>
          </w:p>
        </w:tc>
        <w:tc>
          <w:tcPr>
            <w:tcW w:w="13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项目基本情况</w:t>
            </w:r>
          </w:p>
        </w:tc>
        <w:tc>
          <w:tcPr>
            <w:tcW w:w="6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1.项目年度目标完成情况</w:t>
            </w:r>
          </w:p>
        </w:tc>
        <w:tc>
          <w:tcPr>
            <w:tcW w:w="226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项目年度目标</w:t>
            </w:r>
          </w:p>
        </w:tc>
        <w:tc>
          <w:tcPr>
            <w:tcW w:w="17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226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通过第三方维护综治中心信息系统，确保系统正常运行；政法委视频会议系统在运行过程中系统、设备出现故障时，确保系统、设备正常。</w:t>
            </w:r>
          </w:p>
        </w:tc>
        <w:tc>
          <w:tcPr>
            <w:tcW w:w="17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四川中移通信技术工程有限公司负责对我委综治中心系统维护和修理服务、工程师驻场服务、网络安全等级保护测评服务、公安网视频监控专线网络接入服务，2023年已按项目合同和投标文件的相关技术要求和标的完成项目所有工作，我委验收合格后按合同支付柒拾万贰仟元运维经费。政法委视频会议系统运行正常，发生维护费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2.项目实施内容及过程概述</w:t>
            </w:r>
          </w:p>
        </w:tc>
        <w:tc>
          <w:tcPr>
            <w:tcW w:w="402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预算执行情况（10分）</w:t>
            </w: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年度预算数（万元）</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年初预算</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调整后预算数</w:t>
            </w: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预算执行数</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总额</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113.80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113.10</w:t>
            </w: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77.35</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68.39%</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政法委视频会议系统该年内运行正常，设备维护费用较少。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其中：财政资金</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113.80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113.10</w:t>
            </w: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77.35</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68.39%</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财政专户管理资金</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单位资金</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其他资金</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9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绩效指标（90分）</w:t>
            </w: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一级指标</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二级指标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三级指标</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指标性质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指标值</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度量单位</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产出指标</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数量指标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验收合格率(%)</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质量指标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系统故障修复响应时间</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效益指标</w:t>
            </w:r>
          </w:p>
        </w:tc>
        <w:tc>
          <w:tcPr>
            <w:tcW w:w="5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社会效益指标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设备利用率</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评价结论</w:t>
            </w:r>
          </w:p>
        </w:tc>
        <w:tc>
          <w:tcPr>
            <w:tcW w:w="4683"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根据项目执行情况和项目绩效情况，总得分96分，项目综合绩效评价为优秀。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存在问题</w:t>
            </w:r>
          </w:p>
        </w:tc>
        <w:tc>
          <w:tcPr>
            <w:tcW w:w="4683"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改进措施</w:t>
            </w:r>
          </w:p>
        </w:tc>
        <w:tc>
          <w:tcPr>
            <w:tcW w:w="4683"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项目负责人：邓涛</w:t>
            </w:r>
          </w:p>
        </w:tc>
        <w:tc>
          <w:tcPr>
            <w:tcW w:w="24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财务负责人：李戎生</w:t>
            </w:r>
          </w:p>
        </w:tc>
      </w:tr>
    </w:tbl>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66"/>
        <w:gridCol w:w="33"/>
        <w:gridCol w:w="950"/>
        <w:gridCol w:w="71"/>
        <w:gridCol w:w="1229"/>
        <w:gridCol w:w="105"/>
        <w:gridCol w:w="294"/>
        <w:gridCol w:w="107"/>
        <w:gridCol w:w="815"/>
        <w:gridCol w:w="143"/>
        <w:gridCol w:w="254"/>
        <w:gridCol w:w="145"/>
        <w:gridCol w:w="705"/>
        <w:gridCol w:w="58"/>
        <w:gridCol w:w="428"/>
        <w:gridCol w:w="58"/>
        <w:gridCol w:w="396"/>
        <w:gridCol w:w="33"/>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8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项目名称</w:t>
            </w:r>
          </w:p>
        </w:tc>
        <w:tc>
          <w:tcPr>
            <w:tcW w:w="401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1"/>
                <w:rFonts w:hint="eastAsia" w:ascii="仿宋_GB2312" w:hAnsi="仿宋_GB2312" w:eastAsia="仿宋_GB2312" w:cs="仿宋_GB2312"/>
                <w:lang w:val="en-US" w:eastAsia="zh-CN" w:bidi="ar"/>
              </w:rPr>
              <w:t>51320022T000000356209-</w:t>
            </w:r>
            <w:r>
              <w:rPr>
                <w:rFonts w:hint="eastAsia" w:ascii="仿宋_GB2312" w:hAnsi="仿宋_GB2312" w:eastAsia="仿宋_GB2312" w:cs="仿宋_GB2312"/>
                <w:i w:val="0"/>
                <w:iCs w:val="0"/>
                <w:color w:val="000000"/>
                <w:kern w:val="0"/>
                <w:sz w:val="18"/>
                <w:szCs w:val="18"/>
                <w:u w:val="none"/>
                <w:lang w:val="en-US" w:eastAsia="zh-CN" w:bidi="ar"/>
              </w:rPr>
              <w:t>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8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主管部门</w:t>
            </w:r>
          </w:p>
        </w:tc>
        <w:tc>
          <w:tcPr>
            <w:tcW w:w="226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州委政法委部门</w:t>
            </w:r>
          </w:p>
        </w:tc>
        <w:tc>
          <w:tcPr>
            <w:tcW w:w="41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实施单位</w:t>
            </w:r>
            <w:r>
              <w:rPr>
                <w:rStyle w:val="31"/>
                <w:rFonts w:hint="eastAsia" w:ascii="仿宋_GB2312" w:hAnsi="仿宋_GB2312" w:eastAsia="仿宋_GB2312" w:cs="仿宋_GB2312"/>
                <w:lang w:val="en-US" w:eastAsia="zh-CN" w:bidi="ar"/>
              </w:rPr>
              <w:t xml:space="preserve"> </w:t>
            </w:r>
            <w:r>
              <w:rPr>
                <w:rFonts w:hint="eastAsia" w:ascii="仿宋_GB2312" w:hAnsi="仿宋_GB2312" w:eastAsia="仿宋_GB2312" w:cs="仿宋_GB2312"/>
                <w:i w:val="0"/>
                <w:iCs w:val="0"/>
                <w:color w:val="000000"/>
                <w:kern w:val="0"/>
                <w:sz w:val="18"/>
                <w:szCs w:val="18"/>
                <w:u w:val="none"/>
                <w:lang w:val="en-US" w:eastAsia="zh-CN" w:bidi="ar"/>
              </w:rPr>
              <w:t>（盖章）</w:t>
            </w:r>
          </w:p>
        </w:tc>
        <w:tc>
          <w:tcPr>
            <w:tcW w:w="13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项目基本情况</w:t>
            </w:r>
          </w:p>
        </w:tc>
        <w:tc>
          <w:tcPr>
            <w:tcW w:w="6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1"/>
                <w:rFonts w:hint="eastAsia" w:ascii="仿宋_GB2312" w:hAnsi="仿宋_GB2312" w:eastAsia="仿宋_GB2312" w:cs="仿宋_GB2312"/>
                <w:lang w:val="en-US" w:eastAsia="zh-CN" w:bidi="ar"/>
              </w:rPr>
              <w:t>1.</w:t>
            </w:r>
            <w:r>
              <w:rPr>
                <w:rFonts w:hint="eastAsia" w:ascii="仿宋_GB2312" w:hAnsi="仿宋_GB2312" w:eastAsia="仿宋_GB2312" w:cs="仿宋_GB2312"/>
                <w:i w:val="0"/>
                <w:iCs w:val="0"/>
                <w:color w:val="000000"/>
                <w:kern w:val="0"/>
                <w:sz w:val="18"/>
                <w:szCs w:val="18"/>
                <w:u w:val="none"/>
                <w:lang w:val="en-US" w:eastAsia="zh-CN" w:bidi="ar"/>
              </w:rPr>
              <w:t>项目年度目标完成情况</w:t>
            </w:r>
          </w:p>
        </w:tc>
        <w:tc>
          <w:tcPr>
            <w:tcW w:w="226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项目年度目标</w:t>
            </w:r>
          </w:p>
        </w:tc>
        <w:tc>
          <w:tcPr>
            <w:tcW w:w="1751"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226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根据单位实际，需按照采购相关规定，采购</w:t>
            </w:r>
            <w:r>
              <w:rPr>
                <w:rStyle w:val="31"/>
                <w:rFonts w:hint="eastAsia" w:ascii="仿宋_GB2312" w:hAnsi="仿宋_GB2312" w:eastAsia="仿宋_GB2312" w:cs="仿宋_GB2312"/>
                <w:lang w:val="en-US" w:eastAsia="zh-CN" w:bidi="ar"/>
              </w:rPr>
              <w:t>27</w:t>
            </w:r>
            <w:r>
              <w:rPr>
                <w:rFonts w:hint="eastAsia" w:ascii="仿宋_GB2312" w:hAnsi="仿宋_GB2312" w:eastAsia="仿宋_GB2312" w:cs="仿宋_GB2312"/>
                <w:i w:val="0"/>
                <w:iCs w:val="0"/>
                <w:color w:val="000000"/>
                <w:kern w:val="0"/>
                <w:sz w:val="18"/>
                <w:szCs w:val="18"/>
                <w:u w:val="none"/>
                <w:lang w:val="en-US" w:eastAsia="zh-CN" w:bidi="ar"/>
              </w:rPr>
              <w:t>组保密柜。</w:t>
            </w:r>
          </w:p>
        </w:tc>
        <w:tc>
          <w:tcPr>
            <w:tcW w:w="1751"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根据单位实际，经单位委务会审定后，调整预算，按照采购相关规定购买了保密柜，该批保密柜符合采购需求。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1"/>
                <w:rFonts w:hint="eastAsia" w:ascii="仿宋_GB2312" w:hAnsi="仿宋_GB2312" w:eastAsia="仿宋_GB2312" w:cs="仿宋_GB2312"/>
                <w:lang w:val="en-US" w:eastAsia="zh-CN" w:bidi="ar"/>
              </w:rPr>
              <w:t>2.</w:t>
            </w:r>
            <w:r>
              <w:rPr>
                <w:rFonts w:hint="eastAsia" w:ascii="仿宋_GB2312" w:hAnsi="仿宋_GB2312" w:eastAsia="仿宋_GB2312" w:cs="仿宋_GB2312"/>
                <w:i w:val="0"/>
                <w:iCs w:val="0"/>
                <w:color w:val="000000"/>
                <w:kern w:val="0"/>
                <w:sz w:val="18"/>
                <w:szCs w:val="18"/>
                <w:u w:val="none"/>
                <w:lang w:val="en-US" w:eastAsia="zh-CN" w:bidi="ar"/>
              </w:rPr>
              <w:t>项目实施内容及过程概述</w:t>
            </w:r>
          </w:p>
        </w:tc>
        <w:tc>
          <w:tcPr>
            <w:tcW w:w="401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预算执行情况（</w:t>
            </w:r>
            <w:r>
              <w:rPr>
                <w:rStyle w:val="31"/>
                <w:rFonts w:hint="eastAsia" w:ascii="仿宋_GB2312" w:hAnsi="仿宋_GB2312" w:eastAsia="仿宋_GB2312" w:cs="仿宋_GB2312"/>
                <w:lang w:val="en-US" w:eastAsia="zh-CN" w:bidi="ar"/>
              </w:rPr>
              <w:t>10</w:t>
            </w:r>
            <w:r>
              <w:rPr>
                <w:rFonts w:hint="eastAsia" w:ascii="仿宋_GB2312" w:hAnsi="仿宋_GB2312" w:eastAsia="仿宋_GB2312" w:cs="仿宋_GB2312"/>
                <w:i w:val="0"/>
                <w:iCs w:val="0"/>
                <w:color w:val="000000"/>
                <w:kern w:val="0"/>
                <w:sz w:val="18"/>
                <w:szCs w:val="18"/>
                <w:u w:val="none"/>
                <w:lang w:val="en-US" w:eastAsia="zh-CN" w:bidi="ar"/>
              </w:rPr>
              <w:t>分）</w:t>
            </w: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年度预算数（万元）</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年初预算</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调整后预算数</w:t>
            </w: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预算执行数</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总额</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5.00</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7.83</w:t>
            </w: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7.72</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98.62%</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84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8"/>
                <w:szCs w:val="18"/>
                <w:u w:val="none"/>
              </w:rPr>
            </w:pPr>
            <w:r>
              <w:rPr>
                <w:rFonts w:hint="eastAsia" w:ascii="仿宋_GB2312" w:hAnsi="仿宋_GB2312" w:eastAsia="仿宋_GB2312" w:cs="仿宋_GB2312"/>
                <w:i/>
                <w:iCs/>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其中：财政资金</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5.00</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7.83</w:t>
            </w: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7.72</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98.62%</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财政专户管理资金</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单位资金</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其他资金</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96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w:t>
            </w:r>
            <w:r>
              <w:rPr>
                <w:rStyle w:val="31"/>
                <w:rFonts w:hint="eastAsia" w:ascii="仿宋_GB2312" w:hAnsi="仿宋_GB2312" w:eastAsia="仿宋_GB2312" w:cs="仿宋_GB2312"/>
                <w:lang w:val="en-US" w:eastAsia="zh-CN" w:bidi="ar"/>
              </w:rPr>
              <w:t>90</w:t>
            </w:r>
            <w:r>
              <w:rPr>
                <w:rFonts w:hint="eastAsia" w:ascii="仿宋_GB2312" w:hAnsi="仿宋_GB2312" w:eastAsia="仿宋_GB2312" w:cs="仿宋_GB2312"/>
                <w:i w:val="0"/>
                <w:iCs w:val="0"/>
                <w:color w:val="000000"/>
                <w:kern w:val="0"/>
                <w:sz w:val="18"/>
                <w:szCs w:val="18"/>
                <w:u w:val="none"/>
                <w:lang w:val="en-US" w:eastAsia="zh-CN" w:bidi="ar"/>
              </w:rPr>
              <w:t>分）</w:t>
            </w: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一级指标</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二级指标</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三级指标</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指标性质</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指标值</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度量单位</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产出指标</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质量指标</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项目完成率</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定性</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高</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高</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效益指标</w:t>
            </w:r>
          </w:p>
        </w:tc>
        <w:tc>
          <w:tcPr>
            <w:tcW w:w="5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可持续影响指标</w:t>
            </w:r>
          </w:p>
        </w:tc>
        <w:tc>
          <w:tcPr>
            <w:tcW w:w="7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使用年限</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2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6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99</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评价结论</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根据项目执行情况和项目绩效情况，总得分</w:t>
            </w:r>
            <w:r>
              <w:rPr>
                <w:rStyle w:val="31"/>
                <w:rFonts w:hint="eastAsia" w:ascii="仿宋_GB2312" w:hAnsi="仿宋_GB2312" w:eastAsia="仿宋_GB2312" w:cs="仿宋_GB2312"/>
                <w:lang w:val="en-US" w:eastAsia="zh-CN" w:bidi="ar"/>
              </w:rPr>
              <w:t>99</w:t>
            </w:r>
            <w:r>
              <w:rPr>
                <w:rFonts w:hint="eastAsia" w:ascii="仿宋_GB2312" w:hAnsi="仿宋_GB2312" w:eastAsia="仿宋_GB2312" w:cs="仿宋_GB2312"/>
                <w:i w:val="0"/>
                <w:iCs w:val="0"/>
                <w:color w:val="000000"/>
                <w:kern w:val="0"/>
                <w:sz w:val="18"/>
                <w:szCs w:val="18"/>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存在问题</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改进措施</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项目负责人：马晓波</w:t>
            </w:r>
          </w:p>
        </w:tc>
        <w:tc>
          <w:tcPr>
            <w:tcW w:w="24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财务负责人：李戎生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项目名称</w:t>
            </w:r>
          </w:p>
        </w:tc>
        <w:tc>
          <w:tcPr>
            <w:tcW w:w="40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51320022T000000337684-综治工作经费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主管部门</w:t>
            </w: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州委政法委部门</w:t>
            </w:r>
          </w:p>
        </w:tc>
        <w:tc>
          <w:tcPr>
            <w:tcW w:w="466"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实施单位 （盖章）</w:t>
            </w:r>
          </w:p>
        </w:tc>
        <w:tc>
          <w:tcPr>
            <w:tcW w:w="136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项目基本情况</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1.项目年度目标完成情况</w:t>
            </w: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项目年度目标</w:t>
            </w:r>
          </w:p>
        </w:tc>
        <w:tc>
          <w:tcPr>
            <w:tcW w:w="182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按照省、州工作要求，指导、督导全州综治工作，提升人民群众的安全感。</w:t>
            </w:r>
          </w:p>
        </w:tc>
        <w:tc>
          <w:tcPr>
            <w:tcW w:w="182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组织和依靠各部门、各单位和人民群众的力量，综合运用政治、经济、行政、法律、文化、教育等多种手段，通过加强打击、防范、教育、管理、建设、改造等方面的工作，重点开展打击整治侵害未成年人违法犯罪专项行动、电信诈骗、养老诈骗、禁毒等工作，实现从根本上预防和治理违法犯罪，化解不安定因素，维护社会治安持续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2.项目实施内容及过程概述</w:t>
            </w:r>
          </w:p>
        </w:tc>
        <w:tc>
          <w:tcPr>
            <w:tcW w:w="40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预算执行情况（10分）</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年度预算数（万元）</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年初预算</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调整后预算数</w:t>
            </w: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预算执行数</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总额</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其中：财政资金</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8.05</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财政专户管理资金</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单位资金</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其他资金</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94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绩效指标（90分）</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一级指标</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二级指标</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三级指标</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指标性质</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指标值</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度量单位</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产出指标</w:t>
            </w:r>
          </w:p>
        </w:tc>
        <w:tc>
          <w:tcPr>
            <w:tcW w:w="5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质量指标</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项目完成率(%)</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效益指标</w:t>
            </w:r>
          </w:p>
        </w:tc>
        <w:tc>
          <w:tcPr>
            <w:tcW w:w="54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社会效益指标</w:t>
            </w: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受惠群众满意度</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54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7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社会公众满意度</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评价结论</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存在问题</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改进措施</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项目负责人：邓涛</w:t>
            </w:r>
          </w:p>
        </w:tc>
        <w:tc>
          <w:tcPr>
            <w:tcW w:w="2557"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财务负责人：李戎生</w:t>
            </w:r>
          </w:p>
        </w:tc>
      </w:tr>
    </w:tbl>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rPr>
      </w:pP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4"/>
        <w:gridCol w:w="1169"/>
        <w:gridCol w:w="988"/>
        <w:gridCol w:w="1301"/>
        <w:gridCol w:w="397"/>
        <w:gridCol w:w="924"/>
        <w:gridCol w:w="397"/>
        <w:gridCol w:w="848"/>
        <w:gridCol w:w="486"/>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51320022T000000337681-全州政法干部培训费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州委政法委部门</w:t>
            </w:r>
          </w:p>
        </w:tc>
        <w:tc>
          <w:tcPr>
            <w:tcW w:w="46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项目年度目标</w:t>
            </w:r>
          </w:p>
        </w:tc>
        <w:tc>
          <w:tcPr>
            <w:tcW w:w="182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0"/>
                <w:szCs w:val="10"/>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0"/>
                <w:szCs w:val="10"/>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通过举办培训班等形式，组织政法干部培训，不断提升全州政法干部政治业务水平。</w:t>
            </w:r>
          </w:p>
        </w:tc>
        <w:tc>
          <w:tcPr>
            <w:tcW w:w="182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重点结合主题教育，举办4期政治轮训示范班，分系统开办夜校，全覆盖政治轮训275余场次，培训1.06万余人次，通过培训提升了培训人员的政治业务水平。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预算执行情况（10分）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年度预算数（万元）</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年初预算</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预算执行数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预算执行率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得分</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总额</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15.00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14.48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14.48</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w:t>
            </w:r>
          </w:p>
        </w:tc>
        <w:tc>
          <w:tcPr>
            <w:tcW w:w="8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0"/>
                <w:szCs w:val="10"/>
                <w:u w:val="none"/>
              </w:rPr>
            </w:pPr>
            <w:r>
              <w:rPr>
                <w:rFonts w:hint="eastAsia" w:ascii="仿宋_GB2312" w:hAnsi="仿宋_GB2312" w:eastAsia="仿宋_GB2312" w:cs="仿宋_GB2312"/>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其中：财政资金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15.00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14.48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14.48</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财政专户管理资金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单位资金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其他资金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绩效指标（90分）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一级指标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二级指标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三级指标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指标性质</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指标值</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度量单位</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完成值</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得分</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产出指标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数量指标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培训出勤率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95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0"/>
                <w:szCs w:val="10"/>
                <w:u w:val="none"/>
              </w:rPr>
            </w:pPr>
            <w:r>
              <w:rPr>
                <w:rFonts w:hint="eastAsia" w:ascii="仿宋_GB2312" w:hAnsi="仿宋_GB2312" w:eastAsia="仿宋_GB2312" w:cs="仿宋_GB2312"/>
                <w:i/>
                <w:iCs/>
                <w:color w:val="000000"/>
                <w:kern w:val="0"/>
                <w:sz w:val="10"/>
                <w:szCs w:val="10"/>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60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效益指标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社会效益指标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培训考试优秀率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0"/>
                <w:szCs w:val="10"/>
                <w:u w:val="none"/>
              </w:rPr>
            </w:pPr>
            <w:r>
              <w:rPr>
                <w:rFonts w:hint="eastAsia" w:ascii="仿宋_GB2312" w:hAnsi="仿宋_GB2312" w:eastAsia="仿宋_GB2312" w:cs="仿宋_GB2312"/>
                <w:i/>
                <w:iCs/>
                <w:color w:val="000000"/>
                <w:kern w:val="0"/>
                <w:sz w:val="10"/>
                <w:szCs w:val="10"/>
                <w:u w:val="none"/>
                <w:lang w:val="en-US" w:eastAsia="zh-CN" w:bidi="ar"/>
              </w:rPr>
              <w:t>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20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20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0"/>
                <w:szCs w:val="10"/>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满意度指标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服务对象满意度指标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受惠群众满意度</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90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0"/>
                <w:szCs w:val="10"/>
                <w:u w:val="none"/>
              </w:rPr>
            </w:pPr>
            <w:r>
              <w:rPr>
                <w:rFonts w:hint="eastAsia" w:ascii="仿宋_GB2312" w:hAnsi="仿宋_GB2312" w:eastAsia="仿宋_GB2312" w:cs="仿宋_GB2312"/>
                <w:i/>
                <w:iCs/>
                <w:color w:val="000000"/>
                <w:kern w:val="0"/>
                <w:sz w:val="10"/>
                <w:szCs w:val="10"/>
                <w:u w:val="none"/>
                <w:lang w:val="en-US" w:eastAsia="zh-CN" w:bidi="ar"/>
              </w:rPr>
              <w:t>90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合计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100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评价结论</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存在问题</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改进措施</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项目负责人：马晓波</w:t>
            </w:r>
          </w:p>
        </w:tc>
        <w:tc>
          <w:tcPr>
            <w:tcW w:w="255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0"/>
                <w:szCs w:val="10"/>
                <w:u w:val="none"/>
              </w:rPr>
            </w:pPr>
            <w:r>
              <w:rPr>
                <w:rFonts w:hint="eastAsia" w:ascii="仿宋_GB2312" w:hAnsi="仿宋_GB2312" w:eastAsia="仿宋_GB2312" w:cs="仿宋_GB2312"/>
                <w:i w:val="0"/>
                <w:iCs w:val="0"/>
                <w:color w:val="000000"/>
                <w:kern w:val="0"/>
                <w:sz w:val="10"/>
                <w:szCs w:val="10"/>
                <w:u w:val="none"/>
                <w:lang w:val="en-US" w:eastAsia="zh-CN" w:bidi="ar"/>
              </w:rPr>
              <w:t>财务负责人：李戎生</w:t>
            </w:r>
          </w:p>
        </w:tc>
      </w:tr>
    </w:tbl>
    <w:p/>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68"/>
        <w:gridCol w:w="987"/>
        <w:gridCol w:w="1301"/>
        <w:gridCol w:w="397"/>
        <w:gridCol w:w="924"/>
        <w:gridCol w:w="397"/>
        <w:gridCol w:w="844"/>
        <w:gridCol w:w="2"/>
        <w:gridCol w:w="484"/>
        <w:gridCol w:w="2"/>
        <w:gridCol w:w="484"/>
        <w:gridCol w:w="2"/>
        <w:gridCol w:w="14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项目名称</w:t>
            </w:r>
          </w:p>
        </w:tc>
        <w:tc>
          <w:tcPr>
            <w:tcW w:w="4037"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51320022T000000337672-公务用车大修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主管部门</w:t>
            </w: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州委政法委部门</w:t>
            </w:r>
          </w:p>
        </w:tc>
        <w:tc>
          <w:tcPr>
            <w:tcW w:w="467"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实施单位 （盖章）</w:t>
            </w:r>
          </w:p>
        </w:tc>
        <w:tc>
          <w:tcPr>
            <w:tcW w:w="135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1.项目年度目标完成情况</w:t>
            </w: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项目年度目标</w:t>
            </w:r>
          </w:p>
        </w:tc>
        <w:tc>
          <w:tcPr>
            <w:tcW w:w="182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公务用车经常发生故障，经相关技术人员检测后需要大修。</w:t>
            </w:r>
          </w:p>
        </w:tc>
        <w:tc>
          <w:tcPr>
            <w:tcW w:w="182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按照公务用车大修相关规定，完成了川U1971A公务用车大修，保证了该车安全行驶。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2.项目实施内容及过程概述</w:t>
            </w:r>
          </w:p>
        </w:tc>
        <w:tc>
          <w:tcPr>
            <w:tcW w:w="4037"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预算执行情况（10分）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年度预算数（万元）</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年初预算</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调整后预算数</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预算执行数</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总额</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7.89</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98.63%</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8"/>
                <w:szCs w:val="18"/>
                <w:u w:val="none"/>
              </w:rPr>
            </w:pPr>
            <w:r>
              <w:rPr>
                <w:rFonts w:hint="eastAsia" w:ascii="仿宋_GB2312" w:hAnsi="仿宋_GB2312" w:eastAsia="仿宋_GB2312" w:cs="仿宋_GB2312"/>
                <w:i/>
                <w:iCs/>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其中：财政资金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7.89</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98.63%</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财政专户管理资金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其他资金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绩效指标（90分）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一级指标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二级指标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三级指标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指标性质</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指标值</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度量单位</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产出指标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质量指标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设备交付率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效益指标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经济效益指标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设备利用率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4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95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99</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评价结论</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根据项目执行情况和项目绩效情况，总得分99分，项目综合绩效评价为优秀。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存在问题</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改进措施</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项目负责人：马晓波</w:t>
            </w:r>
          </w:p>
        </w:tc>
        <w:tc>
          <w:tcPr>
            <w:tcW w:w="25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财务负责人：李戎生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项目名称</w:t>
            </w:r>
          </w:p>
        </w:tc>
        <w:tc>
          <w:tcPr>
            <w:tcW w:w="40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51320022T000000337662-政法三级网、阿坝长安网、大调解网络租赁及维护费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州委政法委部门</w:t>
            </w:r>
          </w:p>
        </w:tc>
        <w:tc>
          <w:tcPr>
            <w:tcW w:w="46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实施单位 （盖章）</w:t>
            </w:r>
          </w:p>
        </w:tc>
        <w:tc>
          <w:tcPr>
            <w:tcW w:w="136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项目基本情况</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项目年度目标</w:t>
            </w:r>
          </w:p>
        </w:tc>
        <w:tc>
          <w:tcPr>
            <w:tcW w:w="182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租用电信线路，聘请第三方对网络硬件、软件维护，使网络正常运行。</w:t>
            </w:r>
          </w:p>
        </w:tc>
        <w:tc>
          <w:tcPr>
            <w:tcW w:w="182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经过合同双方的努力，政法三级网、阿坝长安网、大调解网络运行正常。我委也按时支付了相关费用，项目完成良好。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2.项目实施内容及过程概述</w:t>
            </w:r>
          </w:p>
        </w:tc>
        <w:tc>
          <w:tcPr>
            <w:tcW w:w="40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预算执行情况（10分）</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年度预算数（万元）</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年初预算</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权重</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得分</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总额</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124.50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121.98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121.98</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8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其中：财政资金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124.50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121.98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121.98</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财政专户管理资金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单位资金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其他资金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绩效指标（90分）</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一级指标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二级指标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三级指标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指标性质</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指标值</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度量单位</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权重</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得分</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产出指标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质量指标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项目完成率(%)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时效指标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系统故障修复响应时间</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95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5"/>
                <w:szCs w:val="15"/>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效益指标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社会效益指标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设施功能运转无故障率(%)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5"/>
                <w:szCs w:val="15"/>
                <w:u w:val="none"/>
              </w:rPr>
            </w:pPr>
            <w:r>
              <w:rPr>
                <w:rFonts w:hint="eastAsia" w:ascii="仿宋_GB2312" w:hAnsi="仿宋_GB2312" w:eastAsia="仿宋_GB2312" w:cs="仿宋_GB2312"/>
                <w:i/>
                <w:iCs/>
                <w:color w:val="000000"/>
                <w:kern w:val="0"/>
                <w:sz w:val="15"/>
                <w:szCs w:val="15"/>
                <w:u w:val="none"/>
                <w:lang w:val="en-US" w:eastAsia="zh-CN" w:bidi="ar"/>
              </w:rPr>
              <w:t>95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评价结论</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存在问题</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改进措施</w:t>
            </w:r>
          </w:p>
        </w:tc>
        <w:tc>
          <w:tcPr>
            <w:tcW w:w="4682"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项目负责人：马晓波</w:t>
            </w:r>
          </w:p>
        </w:tc>
        <w:tc>
          <w:tcPr>
            <w:tcW w:w="25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财务负责人：李戎生</w:t>
            </w:r>
          </w:p>
        </w:tc>
      </w:tr>
    </w:tbl>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rPr>
      </w:pP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4"/>
        <w:gridCol w:w="1169"/>
        <w:gridCol w:w="988"/>
        <w:gridCol w:w="1301"/>
        <w:gridCol w:w="397"/>
        <w:gridCol w:w="924"/>
        <w:gridCol w:w="397"/>
        <w:gridCol w:w="848"/>
        <w:gridCol w:w="486"/>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51320022T000000337655-大调解工作经费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州委政法委部门</w:t>
            </w:r>
          </w:p>
        </w:tc>
        <w:tc>
          <w:tcPr>
            <w:tcW w:w="46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项目年度目标</w:t>
            </w:r>
          </w:p>
        </w:tc>
        <w:tc>
          <w:tcPr>
            <w:tcW w:w="182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构建矛盾纠纷多元化解新格局，推动矛盾纠纷多元化升级发展。</w:t>
            </w:r>
          </w:p>
        </w:tc>
        <w:tc>
          <w:tcPr>
            <w:tcW w:w="182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坚持和发展新时代“枫桥经验，加强矛盾纠纷调处化解工作，扎实推进矛盾纠纷大起底大排查大化解专项活动，积极构建新时代“大调解”格局，不断优化矛盾纠纷调解机制多元化模式，解决人民群众对纠纷化解的多样需求，有力提升了基层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预算执行情况（10分）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年度预算数（万元）</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年初预算</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总额</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16.10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16.06</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16.06</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其中：财政资金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16.10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16.06</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16.06</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财政专户管理资金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单位资金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其他资金</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绩效指标（90分）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一级指标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二级指标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三级指标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指标性质</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指标值</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度量单位</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完成值</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产出指标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数量指标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会议培训人数达标率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效益指标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社会效益指标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社会公众满意度</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满意度指标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服务对象满意度指标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公众满意度(%)</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合计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评价结论</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存在问题</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改进措施</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项目负责人：邓涛</w:t>
            </w:r>
          </w:p>
        </w:tc>
        <w:tc>
          <w:tcPr>
            <w:tcW w:w="255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财务负责人：李戎生</w:t>
            </w:r>
          </w:p>
        </w:tc>
      </w:tr>
    </w:tbl>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4"/>
        <w:gridCol w:w="1169"/>
        <w:gridCol w:w="986"/>
        <w:gridCol w:w="1299"/>
        <w:gridCol w:w="399"/>
        <w:gridCol w:w="922"/>
        <w:gridCol w:w="399"/>
        <w:gridCol w:w="850"/>
        <w:gridCol w:w="486"/>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51320022T000000337651-法学会工作经费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主管部门</w:t>
            </w: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州委政法委部门</w:t>
            </w:r>
          </w:p>
        </w:tc>
        <w:tc>
          <w:tcPr>
            <w:tcW w:w="46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1.项目年度目标完成情况</w:t>
            </w: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项目年度目标</w:t>
            </w:r>
          </w:p>
        </w:tc>
        <w:tc>
          <w:tcPr>
            <w:tcW w:w="18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22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州法学会组织、调动法学工作者开展法学研究。</w:t>
            </w:r>
          </w:p>
        </w:tc>
        <w:tc>
          <w:tcPr>
            <w:tcW w:w="18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组织广大法学法律工作者深入开展“法治阿坝”法学研究，坚持问题导向、目标导向、结果导向，结合基层法治建设，全州公开征集“法治阿坝”法学研究课题选题建议49个，上报“法治四川”专项课题3个。先后组织广大会员参加了中国法学会、省法学会组织的各类论坛，形成理论研讨文章60余篇，其中2篇论文获“治蜀兴川法治论坛”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预算执行情况（10分）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年度预算数（万元）</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年初预算</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调整后预算数</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预算执行数</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总额</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其中：财政资金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2.10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财政专户管理资金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单位资金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其他资金</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9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绩效指标（90分）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一级指标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二级指标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三级指标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指标性质</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指标值</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度量单位</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完成值</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产出指标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数量指标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会议培训人数达标率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效益指标</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社会效益指标</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社会公众满意度</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30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合计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评价结论</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存在问题</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改进措施</w:t>
            </w:r>
          </w:p>
        </w:tc>
        <w:tc>
          <w:tcPr>
            <w:tcW w:w="468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项目负责人：马晓波</w:t>
            </w:r>
          </w:p>
        </w:tc>
        <w:tc>
          <w:tcPr>
            <w:tcW w:w="25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财务负责人：李戎生</w:t>
            </w:r>
          </w:p>
        </w:tc>
      </w:tr>
    </w:tbl>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69"/>
        <w:gridCol w:w="14"/>
        <w:gridCol w:w="970"/>
        <w:gridCol w:w="36"/>
        <w:gridCol w:w="1261"/>
        <w:gridCol w:w="56"/>
        <w:gridCol w:w="344"/>
        <w:gridCol w:w="54"/>
        <w:gridCol w:w="868"/>
        <w:gridCol w:w="72"/>
        <w:gridCol w:w="326"/>
        <w:gridCol w:w="69"/>
        <w:gridCol w:w="781"/>
        <w:gridCol w:w="67"/>
        <w:gridCol w:w="422"/>
        <w:gridCol w:w="63"/>
        <w:gridCol w:w="397"/>
        <w:gridCol w:w="26"/>
        <w:gridCol w:w="1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项目名称</w:t>
            </w:r>
          </w:p>
        </w:tc>
        <w:tc>
          <w:tcPr>
            <w:tcW w:w="403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2"/>
                <w:rFonts w:hint="eastAsia" w:ascii="仿宋_GB2312" w:hAnsi="仿宋_GB2312" w:eastAsia="仿宋_GB2312" w:cs="仿宋_GB2312"/>
                <w:lang w:val="en-US" w:eastAsia="zh-CN" w:bidi="ar"/>
              </w:rPr>
              <w:t>51320022T000000337639-</w:t>
            </w:r>
            <w:r>
              <w:rPr>
                <w:rFonts w:hint="eastAsia" w:ascii="仿宋_GB2312" w:hAnsi="仿宋_GB2312" w:eastAsia="仿宋_GB2312" w:cs="仿宋_GB2312"/>
                <w:i w:val="0"/>
                <w:iCs w:val="0"/>
                <w:color w:val="000000"/>
                <w:kern w:val="0"/>
                <w:sz w:val="18"/>
                <w:szCs w:val="18"/>
                <w:u w:val="none"/>
                <w:lang w:val="en-US" w:eastAsia="zh-CN" w:bidi="ar"/>
              </w:rPr>
              <w:t>见义勇为专项经费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主管部门</w:t>
            </w: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州委政法委部门</w:t>
            </w:r>
          </w:p>
        </w:tc>
        <w:tc>
          <w:tcPr>
            <w:tcW w:w="469"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实施单位</w:t>
            </w:r>
            <w:r>
              <w:rPr>
                <w:rStyle w:val="32"/>
                <w:rFonts w:hint="eastAsia" w:ascii="仿宋_GB2312" w:hAnsi="仿宋_GB2312" w:eastAsia="仿宋_GB2312" w:cs="仿宋_GB2312"/>
                <w:lang w:val="en-US" w:eastAsia="zh-CN" w:bidi="ar"/>
              </w:rPr>
              <w:t xml:space="preserve"> </w:t>
            </w:r>
            <w:r>
              <w:rPr>
                <w:rFonts w:hint="eastAsia" w:ascii="仿宋_GB2312" w:hAnsi="仿宋_GB2312" w:eastAsia="仿宋_GB2312" w:cs="仿宋_GB2312"/>
                <w:i w:val="0"/>
                <w:iCs w:val="0"/>
                <w:color w:val="000000"/>
                <w:kern w:val="0"/>
                <w:sz w:val="18"/>
                <w:szCs w:val="18"/>
                <w:u w:val="none"/>
                <w:lang w:val="en-US" w:eastAsia="zh-CN" w:bidi="ar"/>
              </w:rPr>
              <w:t>（盖章）</w:t>
            </w:r>
          </w:p>
        </w:tc>
        <w:tc>
          <w:tcPr>
            <w:tcW w:w="135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2"/>
                <w:rFonts w:hint="eastAsia" w:ascii="仿宋_GB2312" w:hAnsi="仿宋_GB2312" w:eastAsia="仿宋_GB2312" w:cs="仿宋_GB2312"/>
                <w:lang w:val="en-US" w:eastAsia="zh-CN" w:bidi="ar"/>
              </w:rPr>
              <w:t>1.</w:t>
            </w:r>
            <w:r>
              <w:rPr>
                <w:rFonts w:hint="eastAsia" w:ascii="仿宋_GB2312" w:hAnsi="仿宋_GB2312" w:eastAsia="仿宋_GB2312" w:cs="仿宋_GB2312"/>
                <w:i w:val="0"/>
                <w:iCs w:val="0"/>
                <w:color w:val="000000"/>
                <w:kern w:val="0"/>
                <w:sz w:val="18"/>
                <w:szCs w:val="18"/>
                <w:u w:val="none"/>
                <w:lang w:val="en-US" w:eastAsia="zh-CN" w:bidi="ar"/>
              </w:rPr>
              <w:t>项目年度目标完成情况</w:t>
            </w: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项目年度目标</w:t>
            </w:r>
          </w:p>
        </w:tc>
        <w:tc>
          <w:tcPr>
            <w:tcW w:w="182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22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表彰见义勇为先进个人，慰问见义勇为家属。</w:t>
            </w:r>
          </w:p>
        </w:tc>
        <w:tc>
          <w:tcPr>
            <w:tcW w:w="182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2"/>
                <w:rFonts w:hint="eastAsia" w:ascii="仿宋_GB2312" w:hAnsi="仿宋_GB2312" w:eastAsia="仿宋_GB2312" w:cs="仿宋_GB2312"/>
                <w:lang w:val="en-US" w:eastAsia="zh-CN" w:bidi="ar"/>
              </w:rPr>
              <w:t>2023</w:t>
            </w:r>
            <w:r>
              <w:rPr>
                <w:rFonts w:hint="eastAsia" w:ascii="仿宋_GB2312" w:hAnsi="仿宋_GB2312" w:eastAsia="仿宋_GB2312" w:cs="仿宋_GB2312"/>
                <w:i w:val="0"/>
                <w:iCs w:val="0"/>
                <w:color w:val="000000"/>
                <w:kern w:val="0"/>
                <w:sz w:val="18"/>
                <w:szCs w:val="18"/>
                <w:u w:val="none"/>
                <w:lang w:val="en-US" w:eastAsia="zh-CN" w:bidi="ar"/>
              </w:rPr>
              <w:t>年见义勇为支付如学、陈辉、杜文涛、王欣、王耀、刘冬平</w:t>
            </w:r>
            <w:r>
              <w:rPr>
                <w:rStyle w:val="32"/>
                <w:rFonts w:hint="eastAsia" w:ascii="仿宋_GB2312" w:hAnsi="仿宋_GB2312" w:eastAsia="仿宋_GB2312" w:cs="仿宋_GB2312"/>
                <w:lang w:val="en-US" w:eastAsia="zh-CN" w:bidi="ar"/>
              </w:rPr>
              <w:t>6</w:t>
            </w:r>
            <w:r>
              <w:rPr>
                <w:rFonts w:hint="eastAsia" w:ascii="仿宋_GB2312" w:hAnsi="仿宋_GB2312" w:eastAsia="仿宋_GB2312" w:cs="仿宋_GB2312"/>
                <w:i w:val="0"/>
                <w:iCs w:val="0"/>
                <w:color w:val="000000"/>
                <w:kern w:val="0"/>
                <w:sz w:val="18"/>
                <w:szCs w:val="18"/>
                <w:u w:val="none"/>
                <w:lang w:val="en-US" w:eastAsia="zh-CN" w:bidi="ar"/>
              </w:rPr>
              <w:t>名州级</w:t>
            </w:r>
            <w:r>
              <w:rPr>
                <w:rStyle w:val="32"/>
                <w:rFonts w:hint="eastAsia" w:ascii="仿宋_GB2312" w:hAnsi="仿宋_GB2312" w:eastAsia="仿宋_GB2312" w:cs="仿宋_GB2312"/>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见义勇为勇士</w:t>
            </w:r>
            <w:r>
              <w:rPr>
                <w:rStyle w:val="32"/>
                <w:rFonts w:hint="eastAsia" w:ascii="仿宋_GB2312" w:hAnsi="仿宋_GB2312" w:eastAsia="仿宋_GB2312" w:cs="仿宋_GB2312"/>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每人</w:t>
            </w:r>
            <w:r>
              <w:rPr>
                <w:rStyle w:val="32"/>
                <w:rFonts w:hint="eastAsia" w:ascii="仿宋_GB2312" w:hAnsi="仿宋_GB2312" w:eastAsia="仿宋_GB2312" w:cs="仿宋_GB2312"/>
                <w:lang w:val="en-US" w:eastAsia="zh-CN" w:bidi="ar"/>
              </w:rPr>
              <w:t>3</w:t>
            </w:r>
            <w:r>
              <w:rPr>
                <w:rFonts w:hint="eastAsia" w:ascii="仿宋_GB2312" w:hAnsi="仿宋_GB2312" w:eastAsia="仿宋_GB2312" w:cs="仿宋_GB2312"/>
                <w:i w:val="0"/>
                <w:iCs w:val="0"/>
                <w:color w:val="000000"/>
                <w:kern w:val="0"/>
                <w:sz w:val="18"/>
                <w:szCs w:val="18"/>
                <w:u w:val="none"/>
                <w:lang w:val="en-US" w:eastAsia="zh-CN" w:bidi="ar"/>
              </w:rPr>
              <w:t>万元，共计</w:t>
            </w:r>
            <w:r>
              <w:rPr>
                <w:rStyle w:val="32"/>
                <w:rFonts w:hint="eastAsia" w:ascii="仿宋_GB2312" w:hAnsi="仿宋_GB2312" w:eastAsia="仿宋_GB2312" w:cs="仿宋_GB2312"/>
                <w:lang w:val="en-US" w:eastAsia="zh-CN" w:bidi="ar"/>
              </w:rPr>
              <w:t>18</w:t>
            </w:r>
            <w:r>
              <w:rPr>
                <w:rFonts w:hint="eastAsia" w:ascii="仿宋_GB2312" w:hAnsi="仿宋_GB2312" w:eastAsia="仿宋_GB2312" w:cs="仿宋_GB2312"/>
                <w:i w:val="0"/>
                <w:iCs w:val="0"/>
                <w:color w:val="000000"/>
                <w:kern w:val="0"/>
                <w:sz w:val="18"/>
                <w:szCs w:val="18"/>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Style w:val="32"/>
                <w:rFonts w:hint="eastAsia" w:ascii="仿宋_GB2312" w:hAnsi="仿宋_GB2312" w:eastAsia="仿宋_GB2312" w:cs="仿宋_GB2312"/>
                <w:lang w:val="en-US" w:eastAsia="zh-CN" w:bidi="ar"/>
              </w:rPr>
              <w:t>2.</w:t>
            </w:r>
            <w:r>
              <w:rPr>
                <w:rFonts w:hint="eastAsia" w:ascii="仿宋_GB2312" w:hAnsi="仿宋_GB2312" w:eastAsia="仿宋_GB2312" w:cs="仿宋_GB2312"/>
                <w:i w:val="0"/>
                <w:iCs w:val="0"/>
                <w:color w:val="000000"/>
                <w:kern w:val="0"/>
                <w:sz w:val="18"/>
                <w:szCs w:val="18"/>
                <w:u w:val="none"/>
                <w:lang w:val="en-US" w:eastAsia="zh-CN" w:bidi="ar"/>
              </w:rPr>
              <w:t>项目实施内容及过程概述</w:t>
            </w:r>
          </w:p>
        </w:tc>
        <w:tc>
          <w:tcPr>
            <w:tcW w:w="403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预算执行情况（</w:t>
            </w:r>
            <w:r>
              <w:rPr>
                <w:rStyle w:val="32"/>
                <w:rFonts w:hint="eastAsia" w:ascii="仿宋_GB2312" w:hAnsi="仿宋_GB2312" w:eastAsia="仿宋_GB2312" w:cs="仿宋_GB2312"/>
                <w:lang w:val="en-US" w:eastAsia="zh-CN" w:bidi="ar"/>
              </w:rPr>
              <w:t>10</w:t>
            </w:r>
            <w:r>
              <w:rPr>
                <w:rFonts w:hint="eastAsia" w:ascii="仿宋_GB2312" w:hAnsi="仿宋_GB2312" w:eastAsia="仿宋_GB2312" w:cs="仿宋_GB2312"/>
                <w:i w:val="0"/>
                <w:iCs w:val="0"/>
                <w:color w:val="000000"/>
                <w:kern w:val="0"/>
                <w:sz w:val="18"/>
                <w:szCs w:val="18"/>
                <w:u w:val="none"/>
                <w:lang w:val="en-US" w:eastAsia="zh-CN" w:bidi="ar"/>
              </w:rPr>
              <w:t>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年度预算数（万元）</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年初预算</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调整后预算数</w:t>
            </w: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预算执行数</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总额</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8"/>
                <w:szCs w:val="18"/>
                <w:u w:val="none"/>
              </w:rPr>
            </w:pPr>
            <w:r>
              <w:rPr>
                <w:rFonts w:hint="eastAsia" w:ascii="仿宋_GB2312" w:hAnsi="仿宋_GB2312" w:eastAsia="仿宋_GB2312" w:cs="仿宋_GB2312"/>
                <w:i/>
                <w:iCs/>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其中：财政资金</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财政专户管理资金</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单位资金</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其他资金</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9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w:t>
            </w:r>
            <w:r>
              <w:rPr>
                <w:rStyle w:val="32"/>
                <w:rFonts w:hint="eastAsia" w:ascii="仿宋_GB2312" w:hAnsi="仿宋_GB2312" w:eastAsia="仿宋_GB2312" w:cs="仿宋_GB2312"/>
                <w:lang w:val="en-US" w:eastAsia="zh-CN" w:bidi="ar"/>
              </w:rPr>
              <w:t>90</w:t>
            </w:r>
            <w:r>
              <w:rPr>
                <w:rFonts w:hint="eastAsia" w:ascii="仿宋_GB2312" w:hAnsi="仿宋_GB2312" w:eastAsia="仿宋_GB2312" w:cs="仿宋_GB2312"/>
                <w:i w:val="0"/>
                <w:iCs w:val="0"/>
                <w:color w:val="000000"/>
                <w:kern w:val="0"/>
                <w:sz w:val="18"/>
                <w:szCs w:val="18"/>
                <w:u w:val="none"/>
                <w:lang w:val="en-US" w:eastAsia="zh-CN" w:bidi="ar"/>
              </w:rPr>
              <w:t>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一级指标</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二级指标</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三级指标</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指标性质</w:t>
            </w: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指标值</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度量单位</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权重</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得分</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产出指标</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质量指标</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项目完成率</w:t>
            </w:r>
            <w:r>
              <w:rPr>
                <w:rStyle w:val="32"/>
                <w:rFonts w:hint="eastAsia" w:ascii="仿宋_GB2312" w:hAnsi="仿宋_GB2312" w:eastAsia="仿宋_GB2312" w:cs="仿宋_GB2312"/>
                <w:lang w:val="en-US" w:eastAsia="zh-CN" w:bidi="ar"/>
              </w:rPr>
              <w:t>(%)</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效益指标</w:t>
            </w:r>
          </w:p>
        </w:tc>
        <w:tc>
          <w:tcPr>
            <w:tcW w:w="5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社会效益指标</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社会公众满意度</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4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6"/>
                <w:szCs w:val="16"/>
                <w:u w:val="none"/>
              </w:rPr>
            </w:pPr>
            <w:r>
              <w:rPr>
                <w:rFonts w:hint="eastAsia" w:ascii="仿宋_GB2312" w:hAnsi="仿宋_GB2312" w:eastAsia="仿宋_GB2312" w:cs="仿宋_GB2312"/>
                <w:i/>
                <w:iCs/>
                <w:color w:val="000000"/>
                <w:kern w:val="0"/>
                <w:sz w:val="16"/>
                <w:szCs w:val="16"/>
                <w:u w:val="none"/>
                <w:lang w:val="en-US" w:eastAsia="zh-CN" w:bidi="ar"/>
              </w:rPr>
              <w:t>95</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评价结论</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根据项目执行情况和项目绩效情况，总得分</w:t>
            </w:r>
            <w:r>
              <w:rPr>
                <w:rStyle w:val="32"/>
                <w:rFonts w:hint="eastAsia" w:ascii="仿宋_GB2312" w:hAnsi="仿宋_GB2312" w:eastAsia="仿宋_GB2312" w:cs="仿宋_GB2312"/>
                <w:lang w:val="en-US" w:eastAsia="zh-CN" w:bidi="ar"/>
              </w:rPr>
              <w:t>100</w:t>
            </w:r>
            <w:r>
              <w:rPr>
                <w:rFonts w:hint="eastAsia" w:ascii="仿宋_GB2312" w:hAnsi="仿宋_GB2312" w:eastAsia="仿宋_GB2312" w:cs="仿宋_GB2312"/>
                <w:i w:val="0"/>
                <w:iCs w:val="0"/>
                <w:color w:val="000000"/>
                <w:kern w:val="0"/>
                <w:sz w:val="18"/>
                <w:szCs w:val="18"/>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存在问题</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改进措施</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项目负责人：邓涛</w:t>
            </w:r>
          </w:p>
        </w:tc>
        <w:tc>
          <w:tcPr>
            <w:tcW w:w="2557"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财务负责人：李戎生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1"/>
                <w:szCs w:val="11"/>
                <w:u w:val="none"/>
              </w:rPr>
            </w:pPr>
            <w:r>
              <w:rPr>
                <w:rFonts w:hint="eastAsia" w:ascii="仿宋_GB2312" w:hAnsi="仿宋_GB2312" w:eastAsia="仿宋_GB2312" w:cs="仿宋_GB2312"/>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项目名称</w:t>
            </w:r>
          </w:p>
        </w:tc>
        <w:tc>
          <w:tcPr>
            <w:tcW w:w="402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51320022T000000337543-平安创建、群防群治、网格化管理工作经费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主管部门</w:t>
            </w:r>
          </w:p>
        </w:tc>
        <w:tc>
          <w:tcPr>
            <w:tcW w:w="223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州委政法委部门</w:t>
            </w:r>
          </w:p>
        </w:tc>
        <w:tc>
          <w:tcPr>
            <w:tcW w:w="466"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实施单位 （盖章）</w:t>
            </w:r>
          </w:p>
        </w:tc>
        <w:tc>
          <w:tcPr>
            <w:tcW w:w="132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项目基本情况</w:t>
            </w:r>
          </w:p>
        </w:tc>
        <w:tc>
          <w:tcPr>
            <w:tcW w:w="6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1.项目年度目标完成情况</w:t>
            </w:r>
          </w:p>
        </w:tc>
        <w:tc>
          <w:tcPr>
            <w:tcW w:w="223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项目年度目标</w:t>
            </w:r>
          </w:p>
        </w:tc>
        <w:tc>
          <w:tcPr>
            <w:tcW w:w="1789"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223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完善群防群治组织建设，提升基层群众自治水平；按照省、州平安创建工作要求，开展全州平安创建工作；巩固提升全州网络化服务管理质效。</w:t>
            </w:r>
          </w:p>
        </w:tc>
        <w:tc>
          <w:tcPr>
            <w:tcW w:w="1789"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贯彻中央、省委、州委对平安建设工作的安排部署，落实以平安建设为抓手，充分发挥各专项小组和各成员单位职能作用，切实组织群防群治力量，综合全科网络，通过“五治融合”防范“五大风险”，守牢政治安全底线，夯实社会稳定基石，提升社会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2.项目实施内容及过程概述</w:t>
            </w:r>
          </w:p>
        </w:tc>
        <w:tc>
          <w:tcPr>
            <w:tcW w:w="402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预算执行情况（10分）</w:t>
            </w: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年度预算数（万元）</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年初预算</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调整后预算数</w:t>
            </w: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预算执行数</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预算执行率</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总额</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24.15</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24.10</w:t>
            </w: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其中：财政资金</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24.15</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24.10</w:t>
            </w: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24.10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财政专户管理资金</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单位资金</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0.00%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其他资金</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9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8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绩效指标（90分）</w:t>
            </w: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一级指标</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二级指标</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三级指标</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指标性质</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指标值</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度量单位</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完成值</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权重</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得分</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产出指标</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数量指标</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项目完成率(%</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95</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100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60</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效益指标</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社会效益指标</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社会公众满意度</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20</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1"/>
                <w:szCs w:val="11"/>
                <w:u w:val="none"/>
              </w:rPr>
            </w:pP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满意度指标</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服务对象满意度指标</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受惠群众满意度</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90</w:t>
            </w:r>
          </w:p>
        </w:tc>
        <w:tc>
          <w:tcPr>
            <w:tcW w:w="2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w:t>
            </w:r>
          </w:p>
        </w:tc>
        <w:tc>
          <w:tcPr>
            <w:tcW w:w="4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iCs/>
                <w:color w:val="000000"/>
                <w:sz w:val="11"/>
                <w:szCs w:val="11"/>
                <w:u w:val="none"/>
              </w:rPr>
            </w:pPr>
            <w:r>
              <w:rPr>
                <w:rFonts w:hint="eastAsia" w:ascii="仿宋_GB2312" w:hAnsi="仿宋_GB2312" w:eastAsia="仿宋_GB2312" w:cs="仿宋_GB2312"/>
                <w:i/>
                <w:iCs/>
                <w:color w:val="000000"/>
                <w:kern w:val="0"/>
                <w:sz w:val="11"/>
                <w:szCs w:val="11"/>
                <w:u w:val="none"/>
                <w:lang w:val="en-US" w:eastAsia="zh-CN" w:bidi="ar"/>
              </w:rPr>
              <w:t>90</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7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合计</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10</w:t>
            </w:r>
          </w:p>
        </w:tc>
        <w:tc>
          <w:tcPr>
            <w:tcW w:w="8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评价结论</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存在问题</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改进措施</w:t>
            </w:r>
          </w:p>
        </w:tc>
        <w:tc>
          <w:tcPr>
            <w:tcW w:w="468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项目负责人：邓涛</w:t>
            </w:r>
          </w:p>
        </w:tc>
        <w:tc>
          <w:tcPr>
            <w:tcW w:w="2527"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1"/>
                <w:szCs w:val="11"/>
                <w:u w:val="none"/>
              </w:rPr>
            </w:pPr>
            <w:r>
              <w:rPr>
                <w:rFonts w:hint="eastAsia" w:ascii="仿宋_GB2312" w:hAnsi="仿宋_GB2312" w:eastAsia="仿宋_GB2312" w:cs="仿宋_GB2312"/>
                <w:i w:val="0"/>
                <w:iCs w:val="0"/>
                <w:color w:val="000000"/>
                <w:kern w:val="0"/>
                <w:sz w:val="11"/>
                <w:szCs w:val="11"/>
                <w:u w:val="none"/>
                <w:lang w:val="en-US" w:eastAsia="zh-CN" w:bidi="ar"/>
              </w:rPr>
              <w:t>财务负责人：李戎生</w:t>
            </w:r>
          </w:p>
        </w:tc>
      </w:tr>
    </w:tbl>
    <w:p>
      <w:pPr>
        <w:pStyle w:val="7"/>
        <w:rPr>
          <w:rFonts w:hint="default"/>
        </w:rPr>
      </w:pPr>
    </w:p>
    <w:bookmarkEnd w:id="45"/>
    <w:bookmarkEnd w:id="46"/>
    <w:p>
      <w:pPr>
        <w:spacing w:line="600" w:lineRule="exact"/>
        <w:jc w:val="center"/>
        <w:outlineLvl w:val="0"/>
        <w:rPr>
          <w:rFonts w:hint="default" w:ascii="Times New Roman" w:hAnsi="Times New Roman" w:eastAsia="宋体" w:cs="Times New Roman"/>
          <w:b/>
          <w:bCs/>
          <w:color w:val="000000"/>
          <w:sz w:val="48"/>
          <w:szCs w:val="48"/>
        </w:rPr>
      </w:pPr>
      <w:bookmarkStart w:id="47" w:name="_Toc15396618"/>
      <w:r>
        <w:rPr>
          <w:rFonts w:hint="eastAsia" w:ascii="黑体" w:hAnsi="黑体" w:eastAsia="黑体" w:cs="黑体"/>
          <w:b/>
          <w:bCs/>
          <w:color w:val="000000"/>
          <w:sz w:val="44"/>
          <w:szCs w:val="44"/>
        </w:rPr>
        <w:t>第</w:t>
      </w:r>
      <w:r>
        <w:rPr>
          <w:rStyle w:val="22"/>
          <w:rFonts w:hint="eastAsia" w:ascii="黑体" w:hAnsi="黑体" w:eastAsia="黑体" w:cs="黑体"/>
          <w:b/>
          <w:bCs/>
          <w:sz w:val="44"/>
          <w:szCs w:val="44"/>
        </w:rPr>
        <w:t>五部分 附表</w:t>
      </w:r>
      <w:bookmarkEnd w:id="47"/>
      <w:bookmarkStart w:id="48" w:name="_Toc15396619"/>
    </w:p>
    <w:bookmarkEnd w:id="48"/>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一、收入支出决算总表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二、收入决算表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四、财政拨款收入支出决算总表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六、一般公共预算财政拨款支出决算表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七、一般公共预算财政拨款支出决算明细表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八、一般公共预算财政拨款基本支出决算表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九、一般公共预算财政拨款项目支出决算表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十一、国有资本经营预算财政拨款收入支出决算表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十二、国有资本经营预算财政拨款支出决算表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十三、财政拨款“三公”经费支出决算表</w:t>
      </w:r>
    </w:p>
    <w:sectPr>
      <w:headerReference r:id="rId3" w:type="default"/>
      <w:footerReference r:id="rId4" w:type="default"/>
      <w:pgSz w:w="11906" w:h="16838"/>
      <w:pgMar w:top="2098" w:right="1474" w:bottom="1984" w:left="158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0" w:usb3="00000000" w:csb0="2000019F" w:csb1="00000000"/>
  </w:font>
  <w:font w:name="方正小标宋_GBK">
    <w:panose1 w:val="03000502000000000000"/>
    <w:charset w:val="86"/>
    <w:family w:val="auto"/>
    <w:pitch w:val="default"/>
    <w:sig w:usb0="00000001" w:usb1="080E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27</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BAC3B"/>
    <w:rsid w:val="0DF16E51"/>
    <w:rsid w:val="0FFF410A"/>
    <w:rsid w:val="12FF9BA1"/>
    <w:rsid w:val="1EDFE0B9"/>
    <w:rsid w:val="1FFF7759"/>
    <w:rsid w:val="27F7AE90"/>
    <w:rsid w:val="2EF703EE"/>
    <w:rsid w:val="33FF20B2"/>
    <w:rsid w:val="35877992"/>
    <w:rsid w:val="36DF10ED"/>
    <w:rsid w:val="39D36B56"/>
    <w:rsid w:val="3D73B57C"/>
    <w:rsid w:val="3DDFA9BD"/>
    <w:rsid w:val="3EE376C5"/>
    <w:rsid w:val="3EEF7A56"/>
    <w:rsid w:val="3F13FA48"/>
    <w:rsid w:val="3F6E8188"/>
    <w:rsid w:val="3FFBCF68"/>
    <w:rsid w:val="4A7E4D59"/>
    <w:rsid w:val="4FAF50BE"/>
    <w:rsid w:val="4FFDA535"/>
    <w:rsid w:val="53DFDB38"/>
    <w:rsid w:val="57BFBC4E"/>
    <w:rsid w:val="5BFB670E"/>
    <w:rsid w:val="5CF12A96"/>
    <w:rsid w:val="5D75B13F"/>
    <w:rsid w:val="5E4F24E5"/>
    <w:rsid w:val="5E5A6538"/>
    <w:rsid w:val="5E7A3E67"/>
    <w:rsid w:val="5E7F7A91"/>
    <w:rsid w:val="5ECE9BB9"/>
    <w:rsid w:val="5EFCAD3C"/>
    <w:rsid w:val="5EFFBF6A"/>
    <w:rsid w:val="5F7F6D57"/>
    <w:rsid w:val="5FC69028"/>
    <w:rsid w:val="5FCAB4DF"/>
    <w:rsid w:val="5FCE44C0"/>
    <w:rsid w:val="5FFF34D8"/>
    <w:rsid w:val="63DF3AB8"/>
    <w:rsid w:val="6477048A"/>
    <w:rsid w:val="67770C2E"/>
    <w:rsid w:val="67FFA6C0"/>
    <w:rsid w:val="69E5CDEE"/>
    <w:rsid w:val="69FF8A78"/>
    <w:rsid w:val="6EFB00BF"/>
    <w:rsid w:val="6F3F7BF1"/>
    <w:rsid w:val="6F9FFDC1"/>
    <w:rsid w:val="6FF965BE"/>
    <w:rsid w:val="6FFF0404"/>
    <w:rsid w:val="715EDF45"/>
    <w:rsid w:val="727FB87B"/>
    <w:rsid w:val="736DB8EF"/>
    <w:rsid w:val="73DF3BA2"/>
    <w:rsid w:val="73F6322E"/>
    <w:rsid w:val="73FC3C08"/>
    <w:rsid w:val="74F22729"/>
    <w:rsid w:val="75B9F113"/>
    <w:rsid w:val="75FFA7C2"/>
    <w:rsid w:val="775F59FA"/>
    <w:rsid w:val="77A718AE"/>
    <w:rsid w:val="77B43FBA"/>
    <w:rsid w:val="77B71A0D"/>
    <w:rsid w:val="77DF57C5"/>
    <w:rsid w:val="77FFBE9E"/>
    <w:rsid w:val="77FFD715"/>
    <w:rsid w:val="7AFE43D3"/>
    <w:rsid w:val="7B7E382A"/>
    <w:rsid w:val="7BB7C05B"/>
    <w:rsid w:val="7BBB2FBB"/>
    <w:rsid w:val="7BBB768A"/>
    <w:rsid w:val="7BEB09C0"/>
    <w:rsid w:val="7C6B2DB6"/>
    <w:rsid w:val="7D7FD6C0"/>
    <w:rsid w:val="7D9733A6"/>
    <w:rsid w:val="7DFEF52D"/>
    <w:rsid w:val="7E5365E6"/>
    <w:rsid w:val="7E7A601E"/>
    <w:rsid w:val="7ED7CD26"/>
    <w:rsid w:val="7EFFDA60"/>
    <w:rsid w:val="7F3FC9F8"/>
    <w:rsid w:val="7F6F1829"/>
    <w:rsid w:val="7F769855"/>
    <w:rsid w:val="7F7D57E1"/>
    <w:rsid w:val="7FAFFDA3"/>
    <w:rsid w:val="7FB53635"/>
    <w:rsid w:val="7FBB0CC3"/>
    <w:rsid w:val="7FBF03BF"/>
    <w:rsid w:val="7FBF3813"/>
    <w:rsid w:val="7FD7E0B9"/>
    <w:rsid w:val="7FD7E8BF"/>
    <w:rsid w:val="7FD7FECD"/>
    <w:rsid w:val="7FD84972"/>
    <w:rsid w:val="7FDD587E"/>
    <w:rsid w:val="7FE9B614"/>
    <w:rsid w:val="7FEC56F1"/>
    <w:rsid w:val="7FF71865"/>
    <w:rsid w:val="7FF7AFC2"/>
    <w:rsid w:val="7FFD3691"/>
    <w:rsid w:val="7FFDBBF6"/>
    <w:rsid w:val="7FFDE83D"/>
    <w:rsid w:val="898E778D"/>
    <w:rsid w:val="8B7FAA71"/>
    <w:rsid w:val="8EF7739F"/>
    <w:rsid w:val="8FF6F1C9"/>
    <w:rsid w:val="98FB735C"/>
    <w:rsid w:val="9E5B6AFB"/>
    <w:rsid w:val="9EFF01A0"/>
    <w:rsid w:val="9FEF0B54"/>
    <w:rsid w:val="9FF7C979"/>
    <w:rsid w:val="A7196BF0"/>
    <w:rsid w:val="A75FED63"/>
    <w:rsid w:val="AA7E22F2"/>
    <w:rsid w:val="AB9E64B4"/>
    <w:rsid w:val="ABFF73BE"/>
    <w:rsid w:val="AF8FFE6D"/>
    <w:rsid w:val="B1FF136C"/>
    <w:rsid w:val="B3FD89C9"/>
    <w:rsid w:val="B46FFB44"/>
    <w:rsid w:val="B8BF48AC"/>
    <w:rsid w:val="BDD97C83"/>
    <w:rsid w:val="BED3F5AA"/>
    <w:rsid w:val="BF7CF39F"/>
    <w:rsid w:val="BF7F82B4"/>
    <w:rsid w:val="BFB20865"/>
    <w:rsid w:val="BFCF62AA"/>
    <w:rsid w:val="BFD7D065"/>
    <w:rsid w:val="BFFF8B02"/>
    <w:rsid w:val="C5FBC013"/>
    <w:rsid w:val="C7DFF375"/>
    <w:rsid w:val="CFF78FD8"/>
    <w:rsid w:val="D4FB1AF3"/>
    <w:rsid w:val="D76E075E"/>
    <w:rsid w:val="D7E3EB27"/>
    <w:rsid w:val="D7F8A031"/>
    <w:rsid w:val="DAF76E8B"/>
    <w:rsid w:val="DB2F1843"/>
    <w:rsid w:val="DCFF3B47"/>
    <w:rsid w:val="DF1F89BC"/>
    <w:rsid w:val="DF611D45"/>
    <w:rsid w:val="DF9306EA"/>
    <w:rsid w:val="DFB76FD6"/>
    <w:rsid w:val="DFBD9381"/>
    <w:rsid w:val="DFC79989"/>
    <w:rsid w:val="DFDF38C9"/>
    <w:rsid w:val="DFE173E3"/>
    <w:rsid w:val="DFE72EC7"/>
    <w:rsid w:val="DFEF76E4"/>
    <w:rsid w:val="DFF314E0"/>
    <w:rsid w:val="E5DF6FBD"/>
    <w:rsid w:val="E689B88E"/>
    <w:rsid w:val="E7BD7FF8"/>
    <w:rsid w:val="EDB7EBA6"/>
    <w:rsid w:val="EDF2F84C"/>
    <w:rsid w:val="EF376C07"/>
    <w:rsid w:val="EF5C104D"/>
    <w:rsid w:val="EF6C0F7E"/>
    <w:rsid w:val="EFBF9714"/>
    <w:rsid w:val="EFFFE183"/>
    <w:rsid w:val="F1CE6CF4"/>
    <w:rsid w:val="F347FC10"/>
    <w:rsid w:val="F3ADFACA"/>
    <w:rsid w:val="F3FBF3A0"/>
    <w:rsid w:val="F4B49787"/>
    <w:rsid w:val="F5F5A803"/>
    <w:rsid w:val="F64A5E01"/>
    <w:rsid w:val="F6D51849"/>
    <w:rsid w:val="F6FE2DDD"/>
    <w:rsid w:val="F7763685"/>
    <w:rsid w:val="F776500A"/>
    <w:rsid w:val="F7BE21FF"/>
    <w:rsid w:val="F7CB6EF0"/>
    <w:rsid w:val="F7CCF4BE"/>
    <w:rsid w:val="F7D76F38"/>
    <w:rsid w:val="F7F15569"/>
    <w:rsid w:val="F7F71E57"/>
    <w:rsid w:val="F7FFED58"/>
    <w:rsid w:val="F9FF6143"/>
    <w:rsid w:val="FAFFA171"/>
    <w:rsid w:val="FB7BE2D0"/>
    <w:rsid w:val="FB91753A"/>
    <w:rsid w:val="FBCF8F84"/>
    <w:rsid w:val="FBE42E54"/>
    <w:rsid w:val="FBEF61EA"/>
    <w:rsid w:val="FBEF7FF2"/>
    <w:rsid w:val="FBF3FCE9"/>
    <w:rsid w:val="FBF85B96"/>
    <w:rsid w:val="FC7DE244"/>
    <w:rsid w:val="FD7B804C"/>
    <w:rsid w:val="FD7E528A"/>
    <w:rsid w:val="FDDF3643"/>
    <w:rsid w:val="FDEF8B59"/>
    <w:rsid w:val="FDF7C2B7"/>
    <w:rsid w:val="FDFD4EA0"/>
    <w:rsid w:val="FDFEB90B"/>
    <w:rsid w:val="FDFFDEAC"/>
    <w:rsid w:val="FE3E745C"/>
    <w:rsid w:val="FE5D1742"/>
    <w:rsid w:val="FEBF6858"/>
    <w:rsid w:val="FEFEE80E"/>
    <w:rsid w:val="FEFFC065"/>
    <w:rsid w:val="FF7C4D67"/>
    <w:rsid w:val="FF7E1F8C"/>
    <w:rsid w:val="FFBEEC44"/>
    <w:rsid w:val="FFBFD50D"/>
    <w:rsid w:val="FFCF9246"/>
    <w:rsid w:val="FFEFD951"/>
    <w:rsid w:val="FFF559E5"/>
    <w:rsid w:val="FFF726D4"/>
    <w:rsid w:val="FFF9D5BF"/>
    <w:rsid w:val="FFFB6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24"/>
      <w:szCs w:val="20"/>
    </w:rPr>
  </w:style>
  <w:style w:type="paragraph" w:styleId="6">
    <w:name w:val="Body Text Indent"/>
    <w:basedOn w:val="1"/>
    <w:next w:val="7"/>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7">
    <w:name w:val="Body Text First Indent 2"/>
    <w:basedOn w:val="6"/>
    <w:next w:val="1"/>
    <w:qFormat/>
    <w:uiPriority w:val="99"/>
    <w:rPr>
      <w:rFonts w:eastAsia="宋体"/>
    </w:rPr>
  </w:style>
  <w:style w:type="paragraph" w:styleId="8">
    <w:name w:val="toc 3"/>
    <w:basedOn w:val="1"/>
    <w:next w:val="1"/>
    <w:qFormat/>
    <w:uiPriority w:val="0"/>
    <w:pPr>
      <w:tabs>
        <w:tab w:val="right" w:leader="dot" w:pos="8296"/>
      </w:tabs>
      <w:ind w:left="400" w:leftChars="400"/>
    </w:pPr>
  </w:style>
  <w:style w:type="paragraph" w:styleId="9">
    <w:name w:val="Plain Text"/>
    <w:basedOn w:val="1"/>
    <w:next w:val="10"/>
    <w:qFormat/>
    <w:uiPriority w:val="0"/>
    <w:pPr>
      <w:widowControl w:val="0"/>
      <w:jc w:val="both"/>
    </w:pPr>
    <w:rPr>
      <w:rFonts w:ascii="宋体" w:eastAsia="宋体" w:cs="Courier New"/>
      <w:kern w:val="2"/>
      <w:sz w:val="32"/>
      <w:szCs w:val="21"/>
      <w:lang w:val="en-US" w:eastAsia="zh-CN" w:bidi="ar-SA"/>
    </w:rPr>
  </w:style>
  <w:style w:type="paragraph" w:customStyle="1" w:styleId="10">
    <w:name w:val="四号正文"/>
    <w:basedOn w:val="1"/>
    <w:qFormat/>
    <w:uiPriority w:val="0"/>
    <w:pPr>
      <w:spacing w:line="360" w:lineRule="auto"/>
    </w:pPr>
    <w:rPr>
      <w:rFonts w:ascii="??" w:hAnsi="??" w:eastAsia="宋体"/>
      <w:color w:val="000000"/>
      <w:kern w:val="0"/>
      <w:sz w:val="28"/>
      <w:szCs w:val="21"/>
      <w:lang w:val="zh-CN" w:eastAsia="zh-CN"/>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6">
    <w:name w:val="toc 2"/>
    <w:basedOn w:val="1"/>
    <w:next w:val="1"/>
    <w:qFormat/>
    <w:uiPriority w:val="0"/>
    <w:pPr>
      <w:tabs>
        <w:tab w:val="right" w:leader="dot" w:pos="8296"/>
      </w:tabs>
      <w:ind w:left="200" w:leftChars="200"/>
    </w:pPr>
  </w:style>
  <w:style w:type="paragraph" w:styleId="17">
    <w:name w:val="Normal (Web)"/>
    <w:basedOn w:val="1"/>
    <w:qFormat/>
    <w:uiPriority w:val="0"/>
    <w:pPr>
      <w:widowControl/>
      <w:spacing w:before="100" w:beforeAutospacing="1" w:after="100" w:afterAutospacing="1"/>
      <w:jc w:val="left"/>
    </w:pPr>
    <w:rPr>
      <w:rFonts w:ascii="宋体" w:cs="宋体"/>
      <w:kern w:val="0"/>
      <w:sz w:val="24"/>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7">
    <w:name w:val="TOC Heading"/>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character" w:customStyle="1" w:styleId="28">
    <w:name w:val="font01"/>
    <w:basedOn w:val="19"/>
    <w:qFormat/>
    <w:uiPriority w:val="0"/>
    <w:rPr>
      <w:rFonts w:ascii="方正小标宋_GBK" w:hAnsi="方正小标宋_GBK" w:eastAsia="方正小标宋_GBK" w:cs="方正小标宋_GBK"/>
      <w:b/>
      <w:bCs/>
      <w:color w:val="000000"/>
      <w:sz w:val="30"/>
      <w:szCs w:val="30"/>
      <w:u w:val="none"/>
    </w:rPr>
  </w:style>
  <w:style w:type="character" w:customStyle="1" w:styleId="29">
    <w:name w:val="font11"/>
    <w:basedOn w:val="19"/>
    <w:qFormat/>
    <w:uiPriority w:val="0"/>
    <w:rPr>
      <w:rFonts w:ascii="方正小标宋_GBK" w:hAnsi="方正小标宋_GBK" w:eastAsia="方正小标宋_GBK" w:cs="方正小标宋_GBK"/>
      <w:b/>
      <w:bCs/>
      <w:color w:val="000000"/>
      <w:sz w:val="30"/>
      <w:szCs w:val="30"/>
      <w:u w:val="none"/>
    </w:rPr>
  </w:style>
  <w:style w:type="character" w:customStyle="1" w:styleId="30">
    <w:name w:val="font81"/>
    <w:basedOn w:val="19"/>
    <w:qFormat/>
    <w:uiPriority w:val="0"/>
    <w:rPr>
      <w:rFonts w:hint="default" w:ascii="Times New Roman" w:hAnsi="Times New Roman" w:cs="Times New Roman"/>
      <w:color w:val="000000"/>
      <w:sz w:val="18"/>
      <w:szCs w:val="18"/>
      <w:u w:val="none"/>
    </w:rPr>
  </w:style>
  <w:style w:type="character" w:customStyle="1" w:styleId="31">
    <w:name w:val="font91"/>
    <w:basedOn w:val="19"/>
    <w:qFormat/>
    <w:uiPriority w:val="0"/>
    <w:rPr>
      <w:rFonts w:hint="default" w:ascii="Times New Roman" w:hAnsi="Times New Roman" w:cs="Times New Roman"/>
      <w:color w:val="000000"/>
      <w:sz w:val="18"/>
      <w:szCs w:val="18"/>
      <w:u w:val="none"/>
    </w:rPr>
  </w:style>
  <w:style w:type="character" w:customStyle="1" w:styleId="32">
    <w:name w:val="font41"/>
    <w:basedOn w:val="1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chart" Target="charts/chart8.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oleObject" Target="embeddings/oleObject5.bin"/><Relationship Id="rId13" Type="http://schemas.openxmlformats.org/officeDocument/2006/relationships/oleObject" Target="embeddings/oleObject4.bin"/><Relationship Id="rId12" Type="http://schemas.openxmlformats.org/officeDocument/2006/relationships/oleObject" Target="embeddings/oleObject3.bin"/><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1612"/>
          <c:y val="0.15328467"/>
          <c:w val="0.70616114"/>
          <c:h val="0.52554744"/>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2022年收支总额</c:v>
                </c:pt>
                <c:pt idx="1">
                  <c:v>2023年收支总额</c:v>
                </c:pt>
              </c:strCache>
            </c:strRef>
          </c:cat>
          <c:val>
            <c:numRef>
              <c:f>工作表465537!$B$2:$C$2</c:f>
              <c:numCache>
                <c:formatCode>#,##0.00</c:formatCode>
                <c:ptCount val="2"/>
                <c:pt idx="0">
                  <c:v>1749.29</c:v>
                </c:pt>
                <c:pt idx="1">
                  <c:v>1743.63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1"/>
              <c:y val="0.22077933"/>
            </c:manualLayout>
          </c:layout>
          <c:overlay val="0"/>
          <c:spPr>
            <a:noFill/>
            <a:ln>
              <a:noFill/>
            </a:ln>
          </c:spPr>
        </c:title>
        <c:numFmt formatCode="#,##0.00"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73467"/>
          <c:y val="0.3357662"/>
          <c:w val="0.094786614"/>
          <c:h val="0.12408742"/>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026990497"/>
          <c:y val="0.41349956"/>
          <c:w val="0.6386871"/>
          <c:h val="0.48234645"/>
        </c:manualLayout>
      </c:layout>
      <c:pie3D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工作表465538!$B$1:$C$1</c:f>
              <c:strCache>
                <c:ptCount val="2"/>
                <c:pt idx="0">
                  <c:v>财政拨款收入</c:v>
                </c:pt>
                <c:pt idx="1">
                  <c:v>其他收入</c:v>
                </c:pt>
              </c:strCache>
            </c:strRef>
          </c:cat>
          <c:val>
            <c:numRef>
              <c:f>工作表465538!$B$2:$C$2</c:f>
              <c:numCache>
                <c:formatCode>0%</c:formatCode>
                <c:ptCount val="2"/>
                <c:pt idx="0">
                  <c:v>1</c:v>
                </c:pt>
                <c:pt idx="1">
                  <c:v>0</c:v>
                </c:pt>
              </c:numCache>
            </c:numRef>
          </c:val>
        </c:ser>
        <c:dLbls>
          <c:showLegendKey val="0"/>
          <c:showVal val="0"/>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670126"/>
          <c:y val="0.5463132"/>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8043711"/>
          <c:y val="0.45794392"/>
          <c:w val="0.50193185"/>
          <c:h val="0.38166764"/>
        </c:manualLayout>
      </c:layout>
      <c:pie3D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0.00%</c:formatCode>
                <c:ptCount val="2"/>
                <c:pt idx="0">
                  <c:v>0.6317</c:v>
                </c:pt>
                <c:pt idx="1">
                  <c:v>0.3682</c:v>
                </c:pt>
              </c:numCache>
            </c:numRef>
          </c:val>
        </c:ser>
        <c:dLbls>
          <c:showLegendKey val="0"/>
          <c:showVal val="1"/>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224711"/>
          <c:y val="0.497939"/>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93877"/>
          <c:y val="0.13725491"/>
          <c:w val="0.74489796"/>
          <c:h val="0.5751634"/>
        </c:manualLayout>
      </c:layout>
      <c:barChart>
        <c:barDir val="col"/>
        <c:grouping val="clustered"/>
        <c:varyColors val="0"/>
        <c:ser>
          <c:idx val="0"/>
          <c:order val="0"/>
          <c:tx>
            <c:strRef>
              <c:f>工作表465540!$A$2</c:f>
              <c:strCache>
                <c:ptCount val="1"/>
                <c:pt idx="0">
                  <c:v>金额(万元)</c:v>
                </c:pt>
              </c:strCache>
            </c:strRef>
          </c:tx>
          <c:invertIfNegative val="0"/>
          <c:dLbls>
            <c:delete val="1"/>
          </c:dLbls>
          <c:cat>
            <c:strRef>
              <c:f>工作表465540!$B$1:$C$1</c:f>
              <c:strCache>
                <c:ptCount val="2"/>
                <c:pt idx="0">
                  <c:v>2022年财政拨款收支</c:v>
                </c:pt>
                <c:pt idx="1">
                  <c:v>2023年财政拨款收支</c:v>
                </c:pt>
              </c:strCache>
            </c:strRef>
          </c:cat>
          <c:val>
            <c:numRef>
              <c:f>工作表465540!$B$2:$C$2</c:f>
              <c:numCache>
                <c:formatCode>General</c:formatCode>
                <c:ptCount val="2"/>
                <c:pt idx="0">
                  <c:v>1749.29</c:v>
                </c:pt>
                <c:pt idx="1" c:formatCode="#,##0.00">
                  <c:v>1743.63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2449017"/>
              <c:y val="0.2485205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9102041"/>
          <c:y val="0.3594768"/>
          <c:w val="0.08163268"/>
          <c:h val="0.1111111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913"/>
          <c:y val="0.090361446"/>
          <c:w val="0.70869565"/>
          <c:h val="0.60240966"/>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2022年财政拨款支出</c:v>
                </c:pt>
                <c:pt idx="1">
                  <c:v>2023年财政拨款支出</c:v>
                </c:pt>
              </c:strCache>
            </c:strRef>
          </c:cat>
          <c:val>
            <c:numRef>
              <c:f>工作表465541!$B$2:$C$2</c:f>
              <c:numCache>
                <c:formatCode>General</c:formatCode>
                <c:ptCount val="2"/>
                <c:pt idx="0">
                  <c:v>1749.29</c:v>
                </c:pt>
                <c:pt idx="1" c:formatCode="#,##0.00">
                  <c:v>1743.63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title>
          <c:tx>
            <c:rich>
              <a:bodyPr rot="-540000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3912981"/>
              <c:y val="0.2417583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6522"/>
          <c:y val="0.36144555"/>
          <c:w val="0.09565217"/>
          <c:h val="0.10843359"/>
        </c:manualLayout>
      </c:layout>
      <c:overlay val="0"/>
      <c:spPr>
        <a:noFill/>
        <a:ln w="6350">
          <a:solidFill>
            <a:srgbClr val="000000"/>
          </a:solidFill>
          <a:prstDash val="solid"/>
        </a:ln>
      </c:spPr>
      <c:txPr>
        <a:bodyPr rot="0" spcFirstLastPara="0" vertOverflow="ellipsis" vert="horz" wrap="square" anchor="ctr" anchorCtr="1"/>
        <a:lstStyle/>
        <a:p>
          <a:pPr>
            <a:defRPr lang="zh-CN" sz="5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5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699"/>
          <c:y val="0.055670105"/>
          <c:w val="0.44482654"/>
          <c:h val="0.7617191"/>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F81B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工作表465542!$B$1:$F$1</c:f>
              <c:strCache>
                <c:ptCount val="5"/>
                <c:pt idx="0">
                  <c:v>公共安全支出</c:v>
                </c:pt>
                <c:pt idx="1">
                  <c:v>教育支出</c:v>
                </c:pt>
                <c:pt idx="2">
                  <c:v>社会保障和就业支出</c:v>
                </c:pt>
                <c:pt idx="3">
                  <c:v>卫生健康支出</c:v>
                </c:pt>
                <c:pt idx="4">
                  <c:v>住房保障支出</c:v>
                </c:pt>
              </c:strCache>
            </c:strRef>
          </c:cat>
          <c:val>
            <c:numRef>
              <c:f>工作表465542!$B$2:$F$2</c:f>
              <c:numCache>
                <c:formatCode>0.00%</c:formatCode>
                <c:ptCount val="5"/>
                <c:pt idx="0">
                  <c:v>0.8644</c:v>
                </c:pt>
                <c:pt idx="1">
                  <c:v>0.0002</c:v>
                </c:pt>
                <c:pt idx="2">
                  <c:v>0.0644</c:v>
                </c:pt>
                <c:pt idx="3">
                  <c:v>0.0293</c:v>
                </c:pt>
                <c:pt idx="4">
                  <c:v>0.0339</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72708035"/>
          <c:y val="0.09347641"/>
          <c:w val="0.18652043"/>
          <c:h val="0.5158019"/>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ser>
          <c:idx val="0"/>
          <c:order val="0"/>
          <c:tx>
            <c:strRef>
              <c:f>工作表465543!$A$2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工作表465543!$B$1:$C$1</c:f>
              <c:strCache>
                <c:ptCount val="2"/>
                <c:pt idx="0">
                  <c:v>公务用车购置及运行维护费</c:v>
                </c:pt>
                <c:pt idx="1">
                  <c:v>公务接待费</c:v>
                </c:pt>
              </c:strCache>
            </c:strRef>
          </c:cat>
          <c:val>
            <c:numRef>
              <c:f>工作表465543!$B$2:$C$2</c:f>
              <c:numCache>
                <c:formatCode>0.00%</c:formatCode>
                <c:ptCount val="2"/>
                <c:pt idx="0">
                  <c:v>0.9961</c:v>
                </c:pt>
                <c:pt idx="1">
                  <c:v>0.0038</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9104</Words>
  <Characters>10022</Characters>
  <Lines>683</Lines>
  <Paragraphs>271</Paragraphs>
  <TotalTime>2</TotalTime>
  <ScaleCrop>false</ScaleCrop>
  <LinksUpToDate>false</LinksUpToDate>
  <CharactersWithSpaces>10516</CharactersWithSpaces>
  <Application>WPS Office_11.8.2.1117_F1E327BC-269C-435d-A152-05C5408002CA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2021-10-06T05:42:00Z</dcterms:created>
  <dc:creator>曹颖</dc:creator>
  <cp:lastModifiedBy>user</cp:lastModifiedBy>
  <cp:lastPrinted>2023-09-30T04:41:00Z</cp:lastPrinted>
  <dcterms:modified xsi:type="dcterms:W3CDTF">2024-09-15T19:27:35Z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7A580E3DF25B77CF57B40E658A655056</vt:lpwstr>
  </property>
</Properties>
</file>