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</w:pPr>
      <w:bookmarkStart w:id="0" w:name="_Toc15396475"/>
      <w:bookmarkStart w:id="1" w:name="_Toc15396597"/>
      <w:bookmarkStart w:id="2" w:name="_Toc15377425"/>
      <w:bookmarkStart w:id="3" w:name="_Toc15377193"/>
      <w:bookmarkStart w:id="4" w:name="_Toc15378441"/>
      <w:bookmarkStart w:id="5" w:name="_Toc15306267"/>
      <w:r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  <w:t>20</w:t>
      </w:r>
      <w:r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  <w:t>2</w:t>
      </w:r>
      <w:r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  <w:lang w:val="en-US" w:eastAsia="zh-CN"/>
        </w:rPr>
        <w:t>2</w:t>
      </w:r>
      <w:r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  <w:t>年度</w:t>
      </w:r>
      <w:bookmarkEnd w:id="0"/>
      <w:bookmarkEnd w:id="1"/>
      <w:bookmarkEnd w:id="2"/>
      <w:bookmarkEnd w:id="3"/>
      <w:bookmarkEnd w:id="4"/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  <w:lang w:eastAsia="zh-CN"/>
        </w:rPr>
      </w:pPr>
      <w:bookmarkStart w:id="6" w:name="_Toc15377194"/>
      <w:bookmarkStart w:id="7" w:name="_Toc15377426"/>
      <w:bookmarkStart w:id="8" w:name="_Toc15396598"/>
      <w:bookmarkStart w:id="9" w:name="_Toc15396476"/>
      <w:bookmarkStart w:id="10" w:name="_Toc15378442"/>
      <w:r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  <w:t>阿坝州</w:t>
      </w:r>
      <w:bookmarkEnd w:id="5"/>
      <w:bookmarkStart w:id="11" w:name="_Toc15306268"/>
      <w:r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  <w:t>法学会</w:t>
      </w:r>
      <w:r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  <w:lang w:eastAsia="zh-CN"/>
        </w:rPr>
        <w:t>单位</w:t>
      </w:r>
      <w:r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  <w:t>决算</w:t>
      </w:r>
      <w:bookmarkEnd w:id="6"/>
      <w:bookmarkEnd w:id="7"/>
      <w:bookmarkEnd w:id="8"/>
      <w:bookmarkEnd w:id="9"/>
      <w:bookmarkEnd w:id="10"/>
      <w:bookmarkEnd w:id="11"/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24"/>
          <w:szCs w:val="24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24"/>
          <w:szCs w:val="24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24"/>
          <w:szCs w:val="24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24"/>
          <w:szCs w:val="24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24"/>
          <w:szCs w:val="24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24"/>
          <w:szCs w:val="24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24"/>
          <w:szCs w:val="24"/>
          <w:u w:val="none" w:color="auto"/>
          <w:vertAlign w:val="baseline"/>
        </w:rPr>
      </w:pPr>
    </w:p>
    <w:p>
      <w:pPr>
        <w:pStyle w:val="13"/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42"/>
          <w:szCs w:val="42"/>
          <w:u w:val="none" w:color="auto"/>
          <w:vertAlign w:val="baseline"/>
        </w:rPr>
      </w:pPr>
      <w:r>
        <w:rPr>
          <w:rFonts w:hint="default" w:ascii="Times New Roman" w:hAnsi="Times New Roman" w:cs="Times New Roman"/>
          <w:snapToGrid/>
          <w:color w:val="auto"/>
          <w:spacing w:val="0"/>
          <w:w w:val="100"/>
          <w:position w:val="0"/>
          <w:sz w:val="24"/>
          <w:szCs w:val="24"/>
          <w:u w:val="none" w:color="auto"/>
          <w:vertAlign w:val="baseline"/>
        </w:rPr>
        <w:t>已经保密审查、内容审定，同意对外公开</w:t>
      </w:r>
    </w:p>
    <w:p>
      <w:pPr>
        <w:widowControl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bookmarkStart w:id="12" w:name="_Toc15377196"/>
      <w:bookmarkStart w:id="13" w:name="_Toc15396599"/>
      <w:r>
        <w:rPr>
          <w:rFonts w:hint="default" w:ascii="Times New Roman" w:hAnsi="Times New Roman" w:eastAsia="宋体" w:cs="Times New Roman"/>
          <w:sz w:val="24"/>
          <w:szCs w:val="24"/>
        </w:rPr>
        <w:t>目录</w:t>
      </w:r>
    </w:p>
    <w:p>
      <w:pPr>
        <w:widowControl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pStyle w:val="11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公开时间：2023年9月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pStyle w:val="11"/>
        <w:adjustRightInd w:val="0"/>
        <w:snapToGrid w:val="0"/>
        <w:spacing w:before="0"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第一部分 单位概况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4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一、主要职责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4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二、机构设置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5</w:t>
      </w:r>
    </w:p>
    <w:p>
      <w:pPr>
        <w:pStyle w:val="11"/>
        <w:adjustRightInd w:val="0"/>
        <w:snapToGrid w:val="0"/>
        <w:spacing w:before="0"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第二部分 2022年度单位决算情况说明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ascii="Times New Roman" w:eastAsia="宋体" w:cs="Times New Roman"/>
          <w:sz w:val="24"/>
          <w:szCs w:val="24"/>
          <w:lang w:val="en-US" w:eastAsia="zh-CN"/>
        </w:rPr>
        <w:t>6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一、收入支出决算总体情况说明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6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二、收入决算情况说明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6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三、支出决算情况说明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7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四、财政拨款收入支出决算总体情况说明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7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五、一般公共预算财政拨款支出决算情况说明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8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六、一般公共预算财政拨款基本支出决算情况说明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cs="Times New Roman"/>
          <w:sz w:val="24"/>
          <w:szCs w:val="24"/>
          <w:lang w:val="en-US" w:eastAsia="zh-CN"/>
        </w:rPr>
        <w:t>0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七、财政拨款“三公”经费支出决算情况说明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cs="Times New Roman"/>
          <w:sz w:val="24"/>
          <w:szCs w:val="24"/>
          <w:lang w:val="en-US" w:eastAsia="zh-CN"/>
        </w:rPr>
        <w:t>0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八、政府性基金预算支出决算情况说明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cs="Times New Roman"/>
          <w:sz w:val="24"/>
          <w:szCs w:val="24"/>
          <w:lang w:val="en-US" w:eastAsia="zh-CN"/>
        </w:rPr>
        <w:t>0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九、国有资本经营预算支出决算情况说明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cs="Times New Roman"/>
          <w:sz w:val="24"/>
          <w:szCs w:val="24"/>
          <w:lang w:val="en-US" w:eastAsia="zh-CN"/>
        </w:rPr>
        <w:t>0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十、其他重要事项的情况说明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cs="Times New Roman"/>
          <w:sz w:val="24"/>
          <w:szCs w:val="24"/>
          <w:lang w:val="en-US" w:eastAsia="zh-CN"/>
        </w:rPr>
        <w:t>0</w:t>
      </w:r>
    </w:p>
    <w:p>
      <w:pPr>
        <w:pStyle w:val="11"/>
        <w:adjustRightInd w:val="0"/>
        <w:snapToGrid w:val="0"/>
        <w:spacing w:before="0" w:line="440" w:lineRule="exact"/>
        <w:jc w:val="left"/>
        <w:rPr>
          <w:rFonts w:hint="eastAsia" w:asci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第三部分 名词解释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eastAsia="宋体" w:cs="Times New Roman"/>
          <w:sz w:val="24"/>
          <w:szCs w:val="24"/>
          <w:lang w:val="en-US" w:eastAsia="zh-CN"/>
        </w:rPr>
        <w:t>1</w:t>
      </w:r>
    </w:p>
    <w:p>
      <w:pPr>
        <w:pStyle w:val="11"/>
        <w:adjustRightInd w:val="0"/>
        <w:snapToGrid w:val="0"/>
        <w:spacing w:before="0" w:line="440" w:lineRule="exact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第四部分 附件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eastAsia="宋体" w:cs="Times New Roman"/>
          <w:sz w:val="24"/>
          <w:szCs w:val="24"/>
          <w:lang w:val="en-US" w:eastAsia="zh-CN"/>
        </w:rPr>
        <w:t>3</w:t>
      </w:r>
    </w:p>
    <w:p>
      <w:pPr>
        <w:pStyle w:val="11"/>
        <w:adjustRightInd w:val="0"/>
        <w:snapToGrid w:val="0"/>
        <w:spacing w:before="0"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第五部分 附表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ascii="Times New Roman" w:eastAsia="宋体" w:cs="Times New Roman"/>
          <w:sz w:val="24"/>
          <w:szCs w:val="24"/>
          <w:lang w:val="en-US" w:eastAsia="zh-CN"/>
        </w:rPr>
        <w:t>15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一、收入支出决算总表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15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二、收入决算表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15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三、支出决算表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15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四、财政拨款收入支出决算总表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15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五、财政拨款支出决算明细表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15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六、一般公共预算财政拨款支出决算表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16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七、一般公共预算财政拨款支出决算明细表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16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八、一般公共预算财政拨款基本支出决算明细表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16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九、一般公共预算财政拨款项目支出决算表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16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十、政府性基金预算财政拨款收入支出决算表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16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十一、国有资本经营预算财政拨款收入支出决算表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16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十二、国有资本经营预算财政拨款支出决算表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16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十三、财政拨款“三公”经费支出决算表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eastAsia" w:cs="Times New Roman"/>
          <w:sz w:val="24"/>
          <w:szCs w:val="24"/>
          <w:lang w:val="en-US" w:eastAsia="zh-CN"/>
        </w:rPr>
        <w:t>16</w:t>
      </w: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Fonts w:hint="default" w:ascii="Times New Roman" w:hAnsi="Times New Roman" w:eastAsia="宋体" w:cs="Times New Roman"/>
          <w:b/>
          <w:bCs/>
          <w:caps/>
          <w:smallCaps w:val="0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widowControl/>
        <w:jc w:val="center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atLeast"/>
        <w:ind w:firstLine="1044" w:firstLineChars="200"/>
        <w:rPr>
          <w:rStyle w:val="18"/>
          <w:rFonts w:hint="default" w:ascii="Times New Roman" w:hAnsi="Times New Roman" w:eastAsia="宋体" w:cs="Times New Roman"/>
          <w:b/>
          <w:bCs/>
          <w:color w:val="000000"/>
          <w:sz w:val="52"/>
          <w:szCs w:val="52"/>
        </w:rPr>
      </w:pPr>
      <w:r>
        <w:rPr>
          <w:rStyle w:val="18"/>
          <w:rFonts w:hint="default" w:ascii="Times New Roman" w:hAnsi="Times New Roman" w:eastAsia="宋体" w:cs="Times New Roman"/>
          <w:b/>
          <w:bCs/>
          <w:color w:val="000000"/>
          <w:sz w:val="52"/>
          <w:szCs w:val="52"/>
        </w:rPr>
        <w:t>第一部分 单位概况</w:t>
      </w:r>
      <w:bookmarkEnd w:id="12"/>
      <w:bookmarkEnd w:id="13"/>
    </w:p>
    <w:p>
      <w:pPr>
        <w:widowControl/>
        <w:jc w:val="lef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ind w:firstLine="0" w:firstLineChars="0"/>
        <w:textAlignment w:val="auto"/>
        <w:rPr>
          <w:rStyle w:val="19"/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lang w:eastAsia="zh-CN"/>
        </w:rPr>
      </w:pPr>
      <w:bookmarkStart w:id="14" w:name="_Toc15377197"/>
      <w:bookmarkStart w:id="15" w:name="_Toc15396600"/>
      <w:r>
        <w:rPr>
          <w:rFonts w:hint="default" w:ascii="Times New Roman" w:hAnsi="Times New Roman" w:eastAsia="宋体" w:cs="Times New Roman"/>
          <w:b w:val="0"/>
          <w:color w:val="000000"/>
          <w:sz w:val="36"/>
          <w:szCs w:val="36"/>
        </w:rPr>
        <w:t>一、</w:t>
      </w:r>
      <w:bookmarkEnd w:id="14"/>
      <w:bookmarkEnd w:id="15"/>
      <w:r>
        <w:rPr>
          <w:rFonts w:hint="default" w:ascii="Times New Roman" w:hAnsi="Times New Roman" w:eastAsia="宋体" w:cs="Times New Roman"/>
          <w:b w:val="0"/>
          <w:color w:val="000000"/>
          <w:sz w:val="36"/>
          <w:szCs w:val="36"/>
          <w:lang w:eastAsia="zh-CN"/>
        </w:rPr>
        <w:t>主要职责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600" w:lineRule="exact"/>
        <w:ind w:firstLine="0" w:firstLineChars="0"/>
        <w:textAlignment w:val="auto"/>
        <w:outlineLvl w:val="2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bookmarkStart w:id="16" w:name="_Toc15378445"/>
      <w:bookmarkStart w:id="17" w:name="_Toc15377198"/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（一）主要职能</w:t>
      </w:r>
    </w:p>
    <w:bookmarkEnd w:id="16"/>
    <w:bookmarkEnd w:id="17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1.组织法学工作者、法律工作者学习和贯彻党的基本理论、基本路线、基本纲领、基本经验，提高政法素质和业务素质，坚持正确的政治方向；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2.引领、繁荣法学研究，推进法律理论创新、法律制度创新和法律文化创新，为社会主义民主法制建设提供理论支持；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3.参与政治协商、科学决策和民主监督，对社会主义民主法制建设中的重大理论问题和实践问题，进行学术研讨，提出对策和建议；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4.组织法学工作者、法律工作者深入实际进行调查研究，反映新情况，研究新问题，加强信息交流和传播；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5.参与地方立法总体规划的研究和法律、法规的起草、修改、咨询与论证工作；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6.组织评选和表彰本州法学届、优秀法学成果的活动，营造尊重人才、鼓励创新的良好环境；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7.参与本地法制宣传，主管主办本会法制、法学刊物，编辑出版《阿坝政法》和资料；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8.发挥人才、智力优势，开展形式多样的法律服务；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9.指导、协调本州团体会员的工作；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10.履行本州法学研究和法学交流社团的职责，做好监督和管理工作；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11.反映本州广大会员和法学界、法律界和意见与要求，维护会员的合法利益。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600" w:lineRule="exact"/>
        <w:ind w:firstLine="0" w:firstLineChars="0"/>
        <w:textAlignment w:val="auto"/>
        <w:outlineLvl w:val="2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bookmarkStart w:id="18" w:name="_Toc15377199"/>
      <w:bookmarkStart w:id="19" w:name="_Toc15378446"/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（二）202</w:t>
      </w: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年重点工作完成情况</w:t>
      </w:r>
      <w:bookmarkEnd w:id="18"/>
      <w:bookmarkEnd w:id="1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0" w:firstLineChars="0"/>
        <w:textAlignment w:val="auto"/>
        <w:rPr>
          <w:rStyle w:val="16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</w:pPr>
      <w:bookmarkStart w:id="20" w:name="_Toc15377200"/>
      <w:bookmarkStart w:id="21" w:name="_Toc15396601"/>
      <w:r>
        <w:rPr>
          <w:rStyle w:val="16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1.强化政治引领，确保法学意识形态领域政治安全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，州、县（市）两级法学会全面落实政治引领主体责任，严格落实意识形态工作责任制，主动应对法学意识形态领域新情况、新问题，加强对课题研究、法治宣传、法律服务等活动的政治引领、思想把关，确保意识形态领域政治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0" w:firstLineChars="0"/>
        <w:textAlignment w:val="auto"/>
        <w:rPr>
          <w:rStyle w:val="16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</w:pPr>
      <w:r>
        <w:rPr>
          <w:rStyle w:val="16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2.繁荣地方法学研究，积极推动成果转化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为推动新时代稳州兴州各项事业再上新台阶，充分发挥法治智库作用，服务州委、州政府工作大局，服务平安阿坝、法治阿坝建设。一是积极发挥研究平台作用。二是持续深入组织法学研究。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0" w:firstLineChars="0"/>
        <w:textAlignment w:val="auto"/>
        <w:rPr>
          <w:rStyle w:val="16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</w:pPr>
      <w:r>
        <w:rPr>
          <w:rStyle w:val="16"/>
          <w:rFonts w:hint="default" w:ascii="Times New Roman" w:hAnsi="Times New Roman" w:eastAsia="宋体" w:cs="Times New Roman"/>
          <w:b w:val="0"/>
          <w:color w:val="000000"/>
          <w:sz w:val="24"/>
          <w:szCs w:val="24"/>
          <w:lang w:val="en-US" w:eastAsia="zh-CN"/>
        </w:rPr>
        <w:t>3</w:t>
      </w:r>
      <w:r>
        <w:rPr>
          <w:rStyle w:val="16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.做实法治宣传教育，持续增强法学会影响力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全州广大法律、法学工作者以“贴近基层、贴近群众、贴近实际”为基本要求，以“爱祖国、学法律、创和谐”为主题，集中开展了“百名法学家百场报告会”法治宣讲和“青年普法志愿者法治文化基层行”等活动，加强党员干部及广大农牧民群众的法治宣传教育，引导他们深度认知、高度信仰法治，全面构建了“办事依法、遇事找法、解决问题用法、化解矛盾靠法”的良好法治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.加强</w:t>
      </w:r>
      <w:r>
        <w:rPr>
          <w:rFonts w:hint="default" w:ascii="Times New Roman" w:hAnsi="Times New Roman" w:eastAsia="宋体" w:cs="Times New Roman"/>
          <w:spacing w:val="6"/>
          <w:sz w:val="24"/>
          <w:szCs w:val="24"/>
        </w:rPr>
        <w:t>自身建设，奋力打造过硬队伍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今年以来，全州法学会系统坚持“立足当地、研究当地、服务当地”，精准聚焦，精准发力，全面强化自身建设，为法治阿坝、平安阿坝建设做出了积极贡献。一是努力壮大队伍聚力，将人才建设作为法学会发展的第一要素，充分利用平台纽带优势，广泛吸纳优秀法学法律人才。二是充分发挥 “会员之家”作用，全面搭建起会员交流学习、法治实践、法律宣传、法律服务的平台。三是提升会员素质献余热，积极定期选派会员参加中国法学会、省法学会举办的业务培训班，统一思想认识，坚定政治信念，提高业务水平，引导广大会员积极投身法治实践，切实提高履职能力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Style w:val="19"/>
          <w:rFonts w:hint="default" w:ascii="Times New Roman" w:hAnsi="Times New Roman" w:eastAsia="宋体" w:cs="Times New Roman"/>
          <w:b w:val="0"/>
          <w:bCs w:val="0"/>
          <w:color w:val="000000"/>
          <w:sz w:val="36"/>
          <w:szCs w:val="36"/>
        </w:rPr>
      </w:pPr>
      <w:r>
        <w:rPr>
          <w:rStyle w:val="19"/>
          <w:rFonts w:hint="default" w:ascii="Times New Roman" w:hAnsi="Times New Roman" w:eastAsia="宋体" w:cs="Times New Roman"/>
          <w:b w:val="0"/>
          <w:bCs w:val="0"/>
          <w:color w:val="000000"/>
          <w:sz w:val="36"/>
          <w:szCs w:val="36"/>
        </w:rPr>
        <w:t>二、机构设置</w:t>
      </w:r>
      <w:bookmarkEnd w:id="20"/>
      <w:bookmarkEnd w:id="21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本部门属一级预算单位，无下属二级预算单位。内设办公室、研究室。事业编制数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人，实有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人。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right="440"/>
        <w:jc w:val="right"/>
        <w:textAlignment w:val="auto"/>
        <w:rPr>
          <w:rFonts w:hint="default" w:ascii="Times New Roman" w:hAnsi="Times New Roman" w:eastAsia="宋体" w:cs="Times New Roman"/>
          <w:b w:val="0"/>
          <w:color w:val="000000"/>
          <w:sz w:val="48"/>
          <w:szCs w:val="48"/>
        </w:rPr>
      </w:pPr>
      <w:bookmarkStart w:id="22" w:name="_Toc15377204"/>
      <w:bookmarkStart w:id="23" w:name="_Toc15396602"/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right="440"/>
        <w:jc w:val="right"/>
        <w:textAlignment w:val="auto"/>
        <w:rPr>
          <w:rStyle w:val="18"/>
          <w:rFonts w:hint="default" w:ascii="Times New Roman" w:hAnsi="Times New Roman" w:eastAsia="宋体" w:cs="Times New Roman"/>
          <w:b w:val="0"/>
          <w:bCs w:val="0"/>
          <w:color w:val="000000"/>
          <w:sz w:val="48"/>
          <w:szCs w:val="48"/>
        </w:rPr>
      </w:pPr>
      <w:r>
        <w:rPr>
          <w:rFonts w:hint="default" w:ascii="Times New Roman" w:hAnsi="Times New Roman" w:eastAsia="宋体" w:cs="Times New Roman"/>
          <w:b w:val="0"/>
          <w:color w:val="000000"/>
          <w:sz w:val="48"/>
          <w:szCs w:val="48"/>
        </w:rPr>
        <w:t>第二部分</w:t>
      </w:r>
      <w:r>
        <w:rPr>
          <w:rFonts w:hint="default" w:ascii="Times New Roman" w:hAnsi="Times New Roman" w:eastAsia="宋体" w:cs="Times New Roman"/>
          <w:color w:val="000000"/>
          <w:sz w:val="48"/>
          <w:szCs w:val="48"/>
        </w:rPr>
        <w:t xml:space="preserve"> </w:t>
      </w:r>
      <w:r>
        <w:rPr>
          <w:rStyle w:val="18"/>
          <w:rFonts w:hint="default" w:ascii="Times New Roman" w:hAnsi="Times New Roman" w:eastAsia="宋体" w:cs="Times New Roman"/>
          <w:b w:val="0"/>
          <w:bCs w:val="0"/>
          <w:color w:val="000000"/>
          <w:sz w:val="48"/>
          <w:szCs w:val="48"/>
        </w:rPr>
        <w:t>202</w:t>
      </w:r>
      <w:r>
        <w:rPr>
          <w:rStyle w:val="18"/>
          <w:rFonts w:hint="default" w:ascii="Times New Roman" w:hAnsi="Times New Roman" w:eastAsia="宋体" w:cs="Times New Roman"/>
          <w:b w:val="0"/>
          <w:bCs w:val="0"/>
          <w:color w:val="000000"/>
          <w:sz w:val="48"/>
          <w:szCs w:val="48"/>
          <w:lang w:val="en-US"/>
        </w:rPr>
        <w:t>2</w:t>
      </w:r>
      <w:r>
        <w:rPr>
          <w:rStyle w:val="18"/>
          <w:rFonts w:hint="default" w:ascii="Times New Roman" w:hAnsi="Times New Roman" w:eastAsia="宋体" w:cs="Times New Roman"/>
          <w:b w:val="0"/>
          <w:bCs w:val="0"/>
          <w:color w:val="000000"/>
          <w:sz w:val="48"/>
          <w:szCs w:val="48"/>
        </w:rPr>
        <w:t>年度部门决算情况说</w:t>
      </w:r>
      <w:bookmarkEnd w:id="22"/>
      <w:bookmarkEnd w:id="23"/>
      <w:r>
        <w:rPr>
          <w:rStyle w:val="18"/>
          <w:rFonts w:hint="default" w:ascii="Times New Roman" w:hAnsi="Times New Roman" w:cs="Times New Roman"/>
          <w:b w:val="0"/>
          <w:bCs w:val="0"/>
          <w:color w:val="000000"/>
          <w:sz w:val="48"/>
          <w:szCs w:val="48"/>
        </w:rPr>
        <w:t>明</w:t>
      </w:r>
    </w:p>
    <w:p>
      <w:pPr>
        <w:pStyle w:val="21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1"/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</w:pPr>
      <w:bookmarkStart w:id="24" w:name="_Toc15396603"/>
      <w:bookmarkStart w:id="25" w:name="_Toc15377205"/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一、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收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入支出决算总体情况说明</w:t>
      </w:r>
      <w:bookmarkEnd w:id="24"/>
      <w:bookmarkEnd w:id="25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年度收、支总计127.44万元。与202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年相比，收、支总计各增加47.82万元，增长60.06%。主要变动原因是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  <w:t>增加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2名职工以及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职工基本养老保险、职工职业年金、职工绩效工资等有所变化。</w:t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（图1：收、支决算总计变动情况图）（柱状图）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drawing>
          <wp:anchor distT="328930" distB="370840" distL="388620" distR="319405" simplePos="0" relativeHeight="251659264" behindDoc="1" locked="0" layoutInCell="1" allowOverlap="1">
            <wp:simplePos x="0" y="0"/>
            <wp:positionH relativeFrom="column">
              <wp:posOffset>406400</wp:posOffset>
            </wp:positionH>
            <wp:positionV relativeFrom="paragraph">
              <wp:posOffset>-371475</wp:posOffset>
            </wp:positionV>
            <wp:extent cx="4395470" cy="2247900"/>
            <wp:effectExtent l="0" t="0" r="0" b="0"/>
            <wp:wrapNone/>
            <wp:docPr id="1" name="对象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tabs>
          <w:tab w:val="left" w:pos="7140"/>
        </w:tabs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ab/>
      </w:r>
    </w:p>
    <w:p>
      <w:pPr>
        <w:tabs>
          <w:tab w:val="left" w:pos="2115"/>
        </w:tabs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ab/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pStyle w:val="21"/>
        <w:numPr>
          <w:numId w:val="0"/>
        </w:numPr>
        <w:spacing w:line="600" w:lineRule="exact"/>
        <w:outlineLvl w:val="1"/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</w:pPr>
      <w:bookmarkStart w:id="26" w:name="_Toc15377206"/>
      <w:bookmarkStart w:id="27" w:name="_Toc15396604"/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二、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收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入决算情况说明</w:t>
      </w:r>
      <w:bookmarkEnd w:id="26"/>
      <w:bookmarkEnd w:id="27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年收入合计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万元，其中：一般公共预算财政拨款收入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万元，占 100.00%；政府性基金预算财政拨款收入0.00万元，占 0.00%；上级补助收入0.00万元，占 0.00%；事业收入0.00万元，占 0.00%；经营收入0.00万元，占 0.00%；附属单位上缴收入0.00万元，占 0.00%；其他收入0.00万元，占 0.00%。</w:t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（图2：收入决算结构图）（饼状图）</w:t>
      </w:r>
    </w:p>
    <w:p>
      <w:pPr>
        <w:pStyle w:val="2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pStyle w:val="3"/>
        <w:rPr>
          <w:rFonts w:hint="default"/>
        </w:rPr>
      </w:pPr>
      <w:bookmarkStart w:id="65" w:name="_GoBack"/>
      <w:bookmarkEnd w:id="65"/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drawing>
          <wp:anchor distT="322580" distB="542925" distL="1388110" distR="306070" simplePos="0" relativeHeight="25165926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266700</wp:posOffset>
            </wp:positionV>
            <wp:extent cx="5191125" cy="2343150"/>
            <wp:effectExtent l="0" t="0" r="0" b="0"/>
            <wp:wrapNone/>
            <wp:docPr id="2" name="对象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pStyle w:val="21"/>
        <w:numPr>
          <w:numId w:val="0"/>
        </w:numPr>
        <w:spacing w:line="600" w:lineRule="exact"/>
        <w:outlineLvl w:val="1"/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</w:pPr>
      <w:bookmarkStart w:id="28" w:name="_Toc15396605"/>
      <w:bookmarkStart w:id="29" w:name="_Toc15377207"/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三、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支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出决算情况说明</w:t>
      </w:r>
      <w:bookmarkEnd w:id="28"/>
      <w:bookmarkEnd w:id="29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年本年支出合计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万元，其中：基本支出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万元，占 100.00%；项目支出0.00万元，占 0.00%；上缴上级支出0.00万元，占 0.00%；经营支出0.00万元，占 0.00%；对附属单位补助支出0.00万元，占 0.00%。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（图3：支出决算结构图）（饼状图）</w:t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drawing>
          <wp:anchor distT="322580" distB="542925" distL="1510030" distR="263525" simplePos="0" relativeHeight="251659264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47625</wp:posOffset>
            </wp:positionV>
            <wp:extent cx="4953000" cy="1600200"/>
            <wp:effectExtent l="0" t="0" r="0" b="0"/>
            <wp:wrapNone/>
            <wp:docPr id="3" name="对象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outlineLvl w:val="1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bookmarkStart w:id="30" w:name="_Toc15377208"/>
      <w:bookmarkStart w:id="31" w:name="_Toc15396606"/>
    </w:p>
    <w:p>
      <w:pPr>
        <w:spacing w:line="600" w:lineRule="exact"/>
        <w:ind w:firstLine="480" w:firstLineChars="200"/>
        <w:outlineLvl w:val="1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outlineLvl w:val="1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outlineLvl w:val="1"/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四、财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政拨款收入支出决算总体情况说明</w:t>
      </w:r>
      <w:bookmarkEnd w:id="30"/>
      <w:bookmarkEnd w:id="31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年财政拨款收、支总计占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与20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年相比，财政拨款收、支总计各增加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47.82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万元，增长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60.06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%。主要变动原因是增加2名职工以及职工基本养老保险、职工职业年金、职工绩效工资等有所变化。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（图4：财政拨款收、支决算总计变动情况）（柱状图）</w:t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drawing>
          <wp:anchor distT="328930" distB="370840" distL="388620" distR="320040" simplePos="0" relativeHeight="251659264" behindDoc="1" locked="0" layoutInCell="1" allowOverlap="1">
            <wp:simplePos x="0" y="0"/>
            <wp:positionH relativeFrom="column">
              <wp:posOffset>406400</wp:posOffset>
            </wp:positionH>
            <wp:positionV relativeFrom="paragraph">
              <wp:posOffset>224155</wp:posOffset>
            </wp:positionV>
            <wp:extent cx="4395470" cy="1388745"/>
            <wp:effectExtent l="0" t="0" r="0" b="0"/>
            <wp:wrapNone/>
            <wp:docPr id="4" name="对象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640"/>
        <w:rPr>
          <w:rFonts w:hint="default" w:ascii="Times New Roman" w:hAnsi="Times New Roman" w:eastAsia="宋体" w:cs="Times New Roman"/>
          <w:b/>
          <w:color w:val="000000"/>
          <w:sz w:val="24"/>
          <w:szCs w:val="24"/>
        </w:rPr>
      </w:pPr>
    </w:p>
    <w:p>
      <w:pPr>
        <w:spacing w:line="600" w:lineRule="exact"/>
        <w:outlineLvl w:val="1"/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</w:pPr>
      <w:bookmarkStart w:id="32" w:name="_Toc15396607"/>
      <w:bookmarkStart w:id="33" w:name="_Toc15377209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五、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</w:rPr>
        <w:t>一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般公共预算财政拨款支出决算情况说明</w:t>
      </w:r>
      <w:bookmarkEnd w:id="32"/>
      <w:bookmarkEnd w:id="33"/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600" w:lineRule="exact"/>
        <w:textAlignment w:val="auto"/>
        <w:outlineLvl w:val="2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bookmarkStart w:id="34" w:name="_Toc15377210"/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（一）一般公共预算财政拨款支出决算总体情况</w:t>
      </w:r>
      <w:bookmarkEnd w:id="34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年一般公共预算财政拨款支出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万元，占本年支出合计的 100.00%。与20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年相比，一般公共预算财政拨款增加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47.82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万元，增长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60.06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%。主要变动原因是增加2名职工以及职工基本养老保险、职工职业年金、职工绩效工资等有所变化。</w:t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（图5：一般公共预算财政拨款支出决算变动情况）（柱状图）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drawing>
          <wp:anchor distT="328930" distB="370840" distL="388620" distR="320040" simplePos="0" relativeHeight="251659264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364490</wp:posOffset>
            </wp:positionV>
            <wp:extent cx="4395470" cy="951230"/>
            <wp:effectExtent l="0" t="0" r="0" b="0"/>
            <wp:wrapNone/>
            <wp:docPr id="5" name="对象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600" w:lineRule="exact"/>
        <w:textAlignment w:val="auto"/>
        <w:outlineLvl w:val="2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bookmarkStart w:id="35" w:name="_Toc15377211"/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（二）一般公共预算财政拨款支出决算结构情况</w:t>
      </w:r>
      <w:bookmarkEnd w:id="35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年一般公共预算财政拨款支出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万元，主要用于以下方面:一般公共服务（类）支出0.00万元，占0.00%；外交支出（类）0.00万元，占0.00%，国防支出（类）0.00万元，占0.00%；公共安全支出（类）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4万元，占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80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85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%；教育支出（类）0.00万元，占0.00%；科学技术（类）支出0.00万元，占0.00%；文化旅游体育与传媒（类）支出0.00万元，占0.00%；社会保障和就业（类）支出16.23万元，占12.74%；卫生健康支出（类）2.75万元，占2.16%；节能环保支出（类）0.00万元，占0.00%；城乡社区支出（类）0.00万元，占0.00%；农林水支出（类）0.00万元，占0.00%；交通运输支出（类）0.00万元，占0.00%；资源勘探信息等支出（类）0.00万元，占0.00%；商业服务业等支出（类）0.00万元，占0.00%；金融支出（类）0.00万元，占0.00%；援助其他地区支出（类）0.00万元，占0.00%；自然资源海洋气象等支出（类）0.00万元，占0.00%；住房保障支出（类）5.42万元，占4.25%；粮油物资储备支出（类）0.00万元，占0.00%；灾害防治及应急管理支出（类）0.00万元，占0.00%；其他支出（类）0.00万元，占0.00%；债务还本支出（类）0.00万元，占0.00%；债务付息支出（类）0.00万元，占0.00%。</w:t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（图6：一般公共预算财政拨款支出决算结构）（饼状图）</w:t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drawing>
          <wp:anchor distT="347345" distB="457200" distL="369570" distR="208915" simplePos="0" relativeHeight="251659264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123825</wp:posOffset>
            </wp:positionV>
            <wp:extent cx="4076700" cy="2524125"/>
            <wp:effectExtent l="0" t="0" r="0" b="0"/>
            <wp:wrapNone/>
            <wp:docPr id="6" name="对象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600" w:lineRule="exact"/>
        <w:textAlignment w:val="auto"/>
        <w:outlineLvl w:val="2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bookmarkStart w:id="36" w:name="_Toc15377212"/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（三）一般公共预算财政拨款支出决算具体情况</w:t>
      </w:r>
      <w:bookmarkEnd w:id="36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年一般公共预算支出决算数为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127.44万元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，完成预算100.00%。其中：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1.公共安全支出（类）公安（款）事业运行（项）2040250：202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年决算数为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103.04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万元，完成预算100%。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2.社会保障和就业（类）行政事业单位离退休（款）机关事业单位基本养老保险缴费支出★（项）2080505：202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年决算数为10.82万元，完成预算100%，决算数等于预算数。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3.社会保障和就业（类）行政事业单位离退休（款）机关事业单位职业年金缴费支出★（项）2080506：202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年决算数为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万元，完成预算100%，决算数等于预算数。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4.医疗卫生和计划生育（类）行政事业单位医疗★（款）事业单位医疗支出★（项）2101102：202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年决算数为2.7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万元，完成预算100%，决算数等于预算数。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.住房保障（类）住房改革支出（款）住房公积金（项）2210201：202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年决算数为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万元，完成预算100%，决算数等于预算数。</w:t>
      </w:r>
    </w:p>
    <w:p>
      <w:pPr>
        <w:tabs>
          <w:tab w:val="right" w:pos="8306"/>
        </w:tabs>
        <w:spacing w:line="600" w:lineRule="exact"/>
        <w:outlineLvl w:val="1"/>
        <w:rPr>
          <w:rStyle w:val="19"/>
          <w:rFonts w:hint="default" w:ascii="Times New Roman" w:hAnsi="Times New Roman" w:eastAsia="宋体" w:cs="Times New Roman"/>
          <w:color w:val="000000"/>
          <w:sz w:val="24"/>
          <w:szCs w:val="24"/>
        </w:rPr>
      </w:pPr>
      <w:bookmarkStart w:id="37" w:name="_Toc15377214"/>
      <w:bookmarkStart w:id="38" w:name="_Toc15396608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六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</w:rPr>
        <w:t>、一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般公共预算财政拨款基本支出决算情况说明</w:t>
      </w:r>
      <w:bookmarkEnd w:id="37"/>
      <w:bookmarkEnd w:id="38"/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ab/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年一般公共预算财政拨款基本支出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万元，其中：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人员经费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122.56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万元，主要包括：基本工资、津贴补贴、奖金、伙食补助费、绩效工资、机关事业单位基本养老保险缴费、职业年金缴费、 其他社会保障缴费、其他工资福利支出、离休费、退休费、抚恤金、生活补助、医疗费补助、奖励金、住房公积金、其他对个人和家庭的补助支出等。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日常公用经费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4.88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主要包括：办公费、印刷费、咨询费、手续费、水费、电费、邮电费、取暖费、物业管理费、差旅费、维修（护）费、租赁费、会议费、培训费、劳务费、委托业务费、工会经费、福利费、其他交通费、税金及附加费 用、其他商品和服务支出、办公设备购置、专用设备购置、信息网络及软件购置更新、其他资本性支出等。</w:t>
      </w:r>
    </w:p>
    <w:p>
      <w:pPr>
        <w:spacing w:line="600" w:lineRule="exact"/>
        <w:outlineLvl w:val="1"/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</w:pPr>
      <w:bookmarkStart w:id="39" w:name="_Toc15377215"/>
      <w:bookmarkStart w:id="40" w:name="_Toc15396609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七、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财政拨款</w:t>
      </w:r>
      <w:r>
        <w:rPr>
          <w:rStyle w:val="19"/>
          <w:rFonts w:hint="default" w:ascii="Times New Roman" w:hAnsi="Times New Roman" w:eastAsia="宋体" w:cs="Times New Roman"/>
          <w:color w:val="000000"/>
          <w:sz w:val="24"/>
          <w:szCs w:val="24"/>
        </w:rPr>
        <w:t>“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三公”经费支出决算情况说明</w:t>
      </w:r>
      <w:bookmarkEnd w:id="39"/>
      <w:bookmarkEnd w:id="40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bookmarkStart w:id="41" w:name="_Toc15396610"/>
      <w:bookmarkStart w:id="42" w:name="_Toc15377218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年无“三公”经费财政拨款支出。主要原因是无因公出国（境）费；州法学会无公务用车，公务用车由州委政法委提供；无公务接待。</w:t>
      </w:r>
    </w:p>
    <w:p>
      <w:pPr>
        <w:spacing w:line="600" w:lineRule="exact"/>
        <w:outlineLvl w:val="1"/>
        <w:rPr>
          <w:rStyle w:val="19"/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八、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政府性基金预算支出决算情况说明</w:t>
      </w:r>
      <w:bookmarkEnd w:id="41"/>
      <w:bookmarkEnd w:id="42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年政府性基金预算拨款支出0.00万元。</w:t>
      </w:r>
    </w:p>
    <w:p>
      <w:pPr>
        <w:numPr>
          <w:numId w:val="0"/>
        </w:numPr>
        <w:spacing w:line="600" w:lineRule="exact"/>
        <w:outlineLvl w:val="1"/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</w:pPr>
      <w:bookmarkStart w:id="43" w:name="_Toc15377219"/>
      <w:bookmarkStart w:id="44" w:name="_Toc15396611"/>
      <w:r>
        <w:rPr>
          <w:rStyle w:val="19"/>
          <w:rFonts w:hint="default" w:ascii="Times New Roman" w:hAnsi="Times New Roman" w:cs="Times New Roman"/>
          <w:b w:val="0"/>
          <w:color w:val="000000"/>
          <w:sz w:val="24"/>
          <w:szCs w:val="24"/>
        </w:rPr>
        <w:t>九、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国有资本经营预算支出决算情况说明</w:t>
      </w:r>
      <w:bookmarkEnd w:id="43"/>
      <w:bookmarkEnd w:id="44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年国有资本经营预算拨款支出0.00万元。</w:t>
      </w:r>
    </w:p>
    <w:p>
      <w:pPr>
        <w:spacing w:line="600" w:lineRule="exact"/>
        <w:outlineLvl w:val="1"/>
        <w:rPr>
          <w:rStyle w:val="19"/>
          <w:rFonts w:hint="default" w:ascii="Times New Roman" w:hAnsi="Times New Roman" w:eastAsia="宋体" w:cs="Times New Roman"/>
          <w:color w:val="000000"/>
          <w:sz w:val="24"/>
          <w:szCs w:val="24"/>
        </w:rPr>
      </w:pPr>
      <w:bookmarkStart w:id="45" w:name="_Toc15377221"/>
      <w:bookmarkStart w:id="46" w:name="_Toc15396612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十</w:t>
      </w:r>
      <w:r>
        <w:rPr>
          <w:rStyle w:val="19"/>
          <w:rFonts w:hint="default" w:ascii="Times New Roman" w:hAnsi="Times New Roman" w:eastAsia="宋体" w:cs="Times New Roman"/>
          <w:color w:val="000000"/>
          <w:sz w:val="24"/>
          <w:szCs w:val="24"/>
        </w:rPr>
        <w:t>、</w:t>
      </w:r>
      <w:r>
        <w:rPr>
          <w:rStyle w:val="19"/>
          <w:rFonts w:hint="default" w:ascii="Times New Roman" w:hAnsi="Times New Roman" w:eastAsia="宋体" w:cs="Times New Roman"/>
          <w:b w:val="0"/>
          <w:color w:val="000000"/>
          <w:sz w:val="24"/>
          <w:szCs w:val="24"/>
        </w:rPr>
        <w:t>其他重要事项的情况说明</w:t>
      </w:r>
      <w:bookmarkEnd w:id="45"/>
      <w:bookmarkEnd w:id="46"/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600" w:lineRule="exact"/>
        <w:textAlignment w:val="auto"/>
        <w:outlineLvl w:val="2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bookmarkStart w:id="47" w:name="_Toc15377222"/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（一）机关运行经费支出情况</w:t>
      </w:r>
      <w:bookmarkEnd w:id="47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2022年，四川省阿坝州法学会机关运行经费支出0.00万元，比2021年增加0.00万元，增长0.00%。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  <w:t>本单位为事业单位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，未使用机关运行经费相关科目，机关运行经费安排为零。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600" w:lineRule="exact"/>
        <w:textAlignment w:val="auto"/>
        <w:outlineLvl w:val="2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bookmarkStart w:id="48" w:name="_Toc15377223"/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（二）政府采购支出情况</w:t>
      </w:r>
      <w:bookmarkEnd w:id="48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bookmarkStart w:id="49" w:name="_Toc15377224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  <w:t>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政府采购支出。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600" w:lineRule="exact"/>
        <w:textAlignment w:val="auto"/>
        <w:outlineLvl w:val="2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（三）国有资产占有使用情况</w:t>
      </w:r>
      <w:bookmarkEnd w:id="49"/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截至202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年12月31日，无公务用车。无单价50万元以上通用设备和单价100万元以上专用设备。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600" w:lineRule="exact"/>
        <w:textAlignment w:val="auto"/>
        <w:outlineLvl w:val="2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（四）预算绩效管理情况。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根据预算绩效管理要求，本部门（单位）在年初预算编制阶段，组织对202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年一般公共预算支出开展了绩效目标管理，涉及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财政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资金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88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万元，覆盖率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达到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100%。</w:t>
      </w:r>
      <w:r>
        <w:rPr>
          <w:rFonts w:hint="default" w:ascii="Times New Roman" w:hAnsi="Times New Roman" w:eastAsia="宋体" w:cs="Times New Roman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无</w:t>
      </w:r>
      <w:r>
        <w:rPr>
          <w:rFonts w:hint="default" w:ascii="Times New Roman" w:hAnsi="Times New Roman" w:eastAsia="宋体" w:cs="Times New Roman"/>
          <w:sz w:val="24"/>
          <w:szCs w:val="24"/>
        </w:rPr>
        <w:t>特定目标类部门预算项目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。</w:t>
      </w:r>
    </w:p>
    <w:p>
      <w:pPr>
        <w:spacing w:line="600" w:lineRule="atLeast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Style w:val="16"/>
          <w:rFonts w:hint="default" w:ascii="Times New Roman" w:hAnsi="Times New Roman" w:cs="Times New Roman"/>
          <w:sz w:val="48"/>
          <w:szCs w:val="48"/>
        </w:rPr>
      </w:pPr>
      <w:bookmarkStart w:id="50" w:name="_Toc15396614"/>
      <w:bookmarkStart w:id="51" w:name="_Toc15377226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Style w:val="16"/>
          <w:rFonts w:hint="default"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Style w:val="18"/>
          <w:rFonts w:hint="default" w:ascii="Times New Roman" w:hAnsi="Times New Roman" w:eastAsia="宋体" w:cs="Times New Roman"/>
          <w:b w:val="0"/>
          <w:color w:val="000000"/>
          <w:sz w:val="48"/>
          <w:szCs w:val="48"/>
        </w:rPr>
      </w:pPr>
      <w:r>
        <w:rPr>
          <w:rStyle w:val="16"/>
          <w:rFonts w:hint="default" w:ascii="Times New Roman" w:hAnsi="Times New Roman" w:cs="Times New Roman"/>
          <w:sz w:val="48"/>
          <w:szCs w:val="48"/>
        </w:rPr>
        <w:t>第三部分 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宋体" w:cs="Times New Roman"/>
          <w:b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1．财政拨款收入：指省级财政当年拨付的资金。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2．其他收入：指除上述“财政拨款收入”、“事业收入”、“经营收入”等以外的收入。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3．公共安全支出（类）公安（款）行政运行（项）:指主要用于在职在编人员基本工资、津贴补贴，保障机关正常运转的日常公用支出。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4．公共安全支出（类）公安（款）一般行政管理事务（项）:指主要用于有序开展反恐维稳、社会治安综合治理、司法体制和社会体制改革、依法治省、政法队伍建设、政法部门服务保障经济发展、信息化建设以及见义勇为等重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5．社会保障和就业支出（类）行政事业单位离退休（款）未归口管理的行政单位离退休（项）:指主要用于离退休人员离退休费和津补贴。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6．社会保障和就业支出（类）行政事业单位离退休（款）机关事业单位基本养老保险缴费支出（项）:指主要用于离退休人员离退休费和津补贴。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7．社会保障和就业支出（类）其他社会保障和就业支出（款）其他社会保障和就业支出（项）:指其它用于社会保障和就业方面的支出。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8．医疗卫生与计划生育支出（类）医疗保障（款）行政单位医疗（项）：指财政部门集中安排的行政单位基本医疗保险缴费经费。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9．医疗卫生与计划生育支出（类）医疗保障（款）公务员医疗补助（项）:指财政部门集中安排的公务员医疗补助经费。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10．住房保障支出（类）住房改革支出（款）住房公积金（项）:指按照相关政策规定比例为个人缴纳的住房公积金。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11．住房保障支出（类）住房改革支出（款）购房补贴（项）:指按照相关政策规定，向符合条件的个人发放的用于购买住房的补贴。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12．年末结转和结余：指本年度或以前年度预算安排、因客观条件发生变化无法按原计划实施，需延迟到以后年度按有关规定继续使用的资金。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13．基本支出：是用于保障省委政法委机关、省法学会、省政法研究所正常运转的日常支出，包括基本工资、津贴补贴等人员经费以及办公费、印刷费、水电费等日常公用经费。  　　14．项目支出：是用于保障省委政法委机关、省法学会、省政法研究所，为完成特定的行政工作任务或事业发展目标，用于专项业务工作的经费支出。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15．“三公”经费：纳入省级财政预决算管理的“三公”经费，是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、安全奖励费用等支出；公务接待费反映单位按规定开支的各类公务接待（含外宾接待）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16．机关运行经费：为保障行政单位（含参照公务员法管理的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>
      <w:pPr>
        <w:spacing w:line="560" w:lineRule="exact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bookmarkEnd w:id="50"/>
    <w:p>
      <w:pPr>
        <w:spacing w:line="600" w:lineRule="exact"/>
        <w:jc w:val="center"/>
        <w:outlineLvl w:val="0"/>
        <w:rPr>
          <w:rStyle w:val="18"/>
          <w:rFonts w:hint="default" w:ascii="Times New Roman" w:hAnsi="Times New Roman" w:eastAsia="宋体" w:cs="Times New Roman"/>
          <w:b/>
          <w:bCs/>
          <w:color w:val="000000"/>
          <w:sz w:val="48"/>
          <w:szCs w:val="4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48"/>
          <w:szCs w:val="48"/>
        </w:rPr>
        <w:t>第</w:t>
      </w:r>
      <w:r>
        <w:rPr>
          <w:rStyle w:val="18"/>
          <w:rFonts w:hint="default" w:ascii="Times New Roman" w:hAnsi="Times New Roman" w:eastAsia="宋体" w:cs="Times New Roman"/>
          <w:b/>
          <w:bCs/>
          <w:color w:val="000000"/>
          <w:sz w:val="48"/>
          <w:szCs w:val="48"/>
        </w:rPr>
        <w:t>四部分 附件</w:t>
      </w:r>
    </w:p>
    <w:p>
      <w:pPr>
        <w:spacing w:line="600" w:lineRule="exact"/>
        <w:jc w:val="center"/>
        <w:outlineLvl w:val="0"/>
        <w:rPr>
          <w:rStyle w:val="18"/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600" w:lineRule="exact"/>
        <w:jc w:val="center"/>
        <w:outlineLvl w:val="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bookmarkStart w:id="52" w:name="_Toc15396616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阿坝州法学会202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年部门整体支出绩效评价报告</w:t>
      </w:r>
      <w:bookmarkEnd w:id="5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一、部门（单位）概况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（一）机构组成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本部门属一级预算单位，无下属二级预算单位。内设办公室、研究室。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（二）机构职能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1.组织法学工作者、法律工作者学习和贯彻党的基本理论、基本路线、基本纲领、基本经验，提高政法素质和业务素质，坚持正确的政治方向；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2.引领、繁荣法学研究，推进法律理论创新、法律制度创新和法律文化创新，为社会主义民主法制建设提供理论支持；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3.参与政治协商、科学决策和民主监督，对社会主义民主法制建设中的重大理论问题和实践问题，进行学术研讨，提出对策和建议；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4.组织法学工作者、法律工作者深入实际进行调查研究，反映新情况，研究新问题，加强信息交流和传播；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5.参与地方立法总体规划的研究和法律、法规的起草、修改、咨询与论证工作；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6.组织评选和表彰本州法学届、优秀法学成果的活动，营造尊重人才、鼓励创新的良好环境；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7.参与本地法制宣传，主管主办本会法制、法学刊物，编辑出版《阿坝政法》和资料；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8.发挥人才、智力优势，开展形式多样的法律服务；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9.指导、协调本州团体会员的工作；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10.履行本州法学研究和法学交流社团的职责，做好监督和管理工作；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11.反映本州广大会员和法学界、法律界和意见与要求，维护会员的合法利益。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（三）人员概况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事业编制数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人，实有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二、部门财政资金收支情况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（一）部门财政资金收入情况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年本年收入合计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万元，其中：一般公共预算财政拨款收入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万元，占100%；其他收入0万元。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（二）部门财政资金支出情况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年本年支出合计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万元，其中：基本支出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127.44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万元，占100%；项目支出0万元。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三、部门整体预算绩效管理情况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（一）部门预算管理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以预算编制为引领，以支出管理为核心，扎实做好202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预算工作。一是严格按照财政局预算编制要求，认真贯彻落实州委州政府关于“厉行节约”的要求，扎实做好预算工作，确保预算编制的科学性和准确性。二是加强支出进度管理，完善预算动态监控，主动作为，提前谋划，在完成一般性支出压减任务的情况下，确保了机关运行和重大项目的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（二）专项预算管理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严格按照专项资金预算使用管理执行，进一步规范“三公”经费管理，从严控制“三公”经费开支。无因公出国（境）费预算和支出，无公务接待费支出。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（三）结果应用情况。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年，州委政法委全面贯彻落实州委州政府重大决策部署，按照“规范、高效、廉洁”要求，围绕中心，服务大局，高效运转，改革创新，在完成一般性支出压减任务的情况下，确保了机关运行和重大项目的实施，工作质量和服务效能整体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四、评价结论及建议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（一）评价结论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从自评情况来看，预、决算编制合理，支出规范，财政支出既确保了机关正常运转，财政支出绩效良好。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（二）存在问题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整体支出绩效评价工作还存在个别项目绩效考核指标不准确、不完善，绩效管理信息支撑工作有待加强的情况。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（三）改进建议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建议进一步完善绩效考核指标和开发专业绩效管理软件。</w:t>
      </w:r>
    </w:p>
    <w:bookmarkEnd w:id="51"/>
    <w:p>
      <w:pPr>
        <w:spacing w:line="600" w:lineRule="exact"/>
        <w:jc w:val="center"/>
        <w:outlineLvl w:val="0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bookmarkStart w:id="53" w:name="_Toc15396618"/>
    </w:p>
    <w:p>
      <w:pPr>
        <w:spacing w:line="600" w:lineRule="exact"/>
        <w:jc w:val="center"/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48"/>
          <w:szCs w:val="4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48"/>
          <w:szCs w:val="48"/>
        </w:rPr>
        <w:t>第</w:t>
      </w:r>
      <w:r>
        <w:rPr>
          <w:rStyle w:val="18"/>
          <w:rFonts w:hint="default" w:ascii="Times New Roman" w:hAnsi="Times New Roman" w:eastAsia="宋体" w:cs="Times New Roman"/>
          <w:b/>
          <w:bCs/>
          <w:sz w:val="48"/>
          <w:szCs w:val="48"/>
        </w:rPr>
        <w:t>五部分 附表</w:t>
      </w:r>
      <w:bookmarkEnd w:id="53"/>
      <w:bookmarkStart w:id="54" w:name="_Toc15396619"/>
    </w:p>
    <w:bookmarkEnd w:id="54"/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一、收入支出决算总表</w:t>
      </w:r>
      <w:bookmarkStart w:id="55" w:name="_Toc15396620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二、收入决算表</w:t>
      </w:r>
      <w:bookmarkEnd w:id="55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bookmarkStart w:id="56" w:name="_Toc15396621"/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三、支出决算表</w:t>
      </w:r>
      <w:bookmarkEnd w:id="56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bookmarkStart w:id="57" w:name="_Toc15396622"/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四、财政拨款收入支出决算总表</w:t>
      </w:r>
      <w:bookmarkEnd w:id="57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bookmarkStart w:id="58" w:name="_Toc15396623"/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五、财政拨款支出决算明细表</w:t>
      </w:r>
      <w:bookmarkEnd w:id="58"/>
      <w:bookmarkStart w:id="59" w:name="_Toc15396624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六、一般公共预算财政拨款支出决算表</w:t>
      </w:r>
      <w:bookmarkEnd w:id="59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bookmarkStart w:id="60" w:name="_Toc15396625"/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七、一般公共预算财政拨款支出决算明细表</w:t>
      </w:r>
      <w:bookmarkEnd w:id="60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bookmarkStart w:id="61" w:name="_Toc15396626"/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八、一般公共预算财政拨款基本支出决算明细表</w:t>
      </w:r>
      <w:bookmarkEnd w:id="61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bookmarkStart w:id="62" w:name="_Toc15396627"/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九、一般公共预算财政拨款项目支出决算表</w:t>
      </w:r>
      <w:bookmarkEnd w:id="62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bookmarkStart w:id="63" w:name="_Toc15396629"/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十、政府性基金预算财政拨款收入支出决算表</w:t>
      </w:r>
      <w:bookmarkEnd w:id="63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bookmarkStart w:id="64" w:name="_Toc15396631"/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十一、国有资本经营预算财政拨款收入支出决算表</w:t>
      </w:r>
      <w:bookmarkEnd w:id="64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十二、国有资本经营预算财政拨款支出决算表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240" w:lineRule="auto"/>
        <w:ind w:left="0" w:right="0" w:firstLine="0"/>
        <w:jc w:val="left"/>
        <w:textAlignment w:val="auto"/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</w:pPr>
      <w:r>
        <w:rPr>
          <w:rFonts w:hint="default" w:ascii="Times New Roman" w:hAnsi="Times New Roman" w:cs="Times New Roman"/>
          <w:bCs w:val="0"/>
          <w:snapToGrid/>
          <w:color w:val="auto"/>
          <w:spacing w:val="0"/>
          <w:w w:val="100"/>
          <w:kern w:val="0"/>
          <w:position w:val="0"/>
          <w:sz w:val="36"/>
          <w:szCs w:val="21"/>
          <w:u w:val="none" w:color="auto"/>
          <w:vertAlign w:val="baseline"/>
        </w:rPr>
        <w:t>十三、财政拨款“三公”经费支出决算表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Times New Roman" w:hAnsi="Times New Roman" w:cs="Times New Roman"/>
          <w:color w:val="000000"/>
        </w:rPr>
      </w:pPr>
    </w:p>
    <w:sectPr>
      <w:headerReference r:id="rId3" w:type="default"/>
      <w:footerReference r:id="rId4" w:type="default"/>
      <w:pgSz w:w="11906" w:h="16838"/>
      <w:pgMar w:top="1440" w:right="1083" w:bottom="1440" w:left="1083" w:header="851" w:footer="992" w:gutter="0"/>
      <w:paperSrc/>
      <w:pgNumType w:start="1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DejaVu Sans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公文黑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楷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cida Sans">
    <w:altName w:val="仿宋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Unifont">
    <w:panose1 w:val="02000604000000000000"/>
    <w:charset w:val="86"/>
    <w:family w:val="auto"/>
    <w:pitch w:val="default"/>
    <w:sig w:usb0="FFFFFFFF" w:usb1="EBFFFFFF" w:usb2="E817FFFF" w:usb3="007F001F" w:csb0="603F01FF" w:csb1="F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23</w:t>
    </w:r>
    <w: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BFD3896"/>
    <w:rsid w:val="1CF55A83"/>
    <w:rsid w:val="24B74F5C"/>
    <w:rsid w:val="2B0F2B4B"/>
    <w:rsid w:val="3C2D0331"/>
    <w:rsid w:val="3DAFA806"/>
    <w:rsid w:val="3EDD9DF4"/>
    <w:rsid w:val="3F7908D7"/>
    <w:rsid w:val="3FFBE249"/>
    <w:rsid w:val="4FDFD029"/>
    <w:rsid w:val="527F78A8"/>
    <w:rsid w:val="5BFF8F48"/>
    <w:rsid w:val="5D735715"/>
    <w:rsid w:val="5DDBFC62"/>
    <w:rsid w:val="5E136363"/>
    <w:rsid w:val="5EEF2601"/>
    <w:rsid w:val="5F1B8A7F"/>
    <w:rsid w:val="5FFFD718"/>
    <w:rsid w:val="61F9BE81"/>
    <w:rsid w:val="67FAECA9"/>
    <w:rsid w:val="6B3D90E7"/>
    <w:rsid w:val="77342843"/>
    <w:rsid w:val="77D60B72"/>
    <w:rsid w:val="77DBBB50"/>
    <w:rsid w:val="79525843"/>
    <w:rsid w:val="7CF7100E"/>
    <w:rsid w:val="7EE20300"/>
    <w:rsid w:val="7F1FA0D7"/>
    <w:rsid w:val="7F7F43A1"/>
    <w:rsid w:val="7FBF894F"/>
    <w:rsid w:val="7FE9C0A6"/>
    <w:rsid w:val="7FF99F6A"/>
    <w:rsid w:val="7FFDBCAD"/>
    <w:rsid w:val="7FFF8641"/>
    <w:rsid w:val="7FFFC46F"/>
    <w:rsid w:val="95E7B3F6"/>
    <w:rsid w:val="9EFFA6BB"/>
    <w:rsid w:val="9FFF7B54"/>
    <w:rsid w:val="A7DD98E6"/>
    <w:rsid w:val="ABF926EE"/>
    <w:rsid w:val="B777DD1E"/>
    <w:rsid w:val="BBBD62D5"/>
    <w:rsid w:val="BC7FE745"/>
    <w:rsid w:val="BEFF68C5"/>
    <w:rsid w:val="BFEFE163"/>
    <w:rsid w:val="C8FBF9B2"/>
    <w:rsid w:val="D67A47EE"/>
    <w:rsid w:val="DB93406E"/>
    <w:rsid w:val="DDF708F5"/>
    <w:rsid w:val="DEBAFF52"/>
    <w:rsid w:val="DED54566"/>
    <w:rsid w:val="DF5EE5EF"/>
    <w:rsid w:val="DF77AEC2"/>
    <w:rsid w:val="E4FEA400"/>
    <w:rsid w:val="E6FFAE1B"/>
    <w:rsid w:val="EF7F0D39"/>
    <w:rsid w:val="F43FD444"/>
    <w:rsid w:val="F6DFF2CC"/>
    <w:rsid w:val="F7FF4B31"/>
    <w:rsid w:val="FAF7186B"/>
    <w:rsid w:val="FBAAAB4A"/>
    <w:rsid w:val="FBDF54E1"/>
    <w:rsid w:val="FBF451AD"/>
    <w:rsid w:val="FBFDEBA7"/>
    <w:rsid w:val="FCCABC9D"/>
    <w:rsid w:val="FDFE6329"/>
    <w:rsid w:val="FE9D0AB5"/>
    <w:rsid w:val="FF53FFF4"/>
    <w:rsid w:val="FFDBB507"/>
    <w:rsid w:val="FFFE9B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8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link w:val="19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30" w:beforeLines="30"/>
    </w:pPr>
    <w:rPr>
      <w:rFonts w:ascii="仿宋_GB2312" w:eastAsia="仿宋_GB2312"/>
      <w:kern w:val="0"/>
      <w:sz w:val="24"/>
      <w:szCs w:val="20"/>
    </w:r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7">
    <w:name w:val="toc 3"/>
    <w:basedOn w:val="1"/>
    <w:next w:val="1"/>
    <w:qFormat/>
    <w:uiPriority w:val="0"/>
    <w:pPr>
      <w:tabs>
        <w:tab w:val="right" w:leader="dot" w:pos="8296"/>
      </w:tabs>
      <w:ind w:left="400" w:leftChars="400"/>
    </w:p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</w:rPr>
  </w:style>
  <w:style w:type="paragraph" w:styleId="11">
    <w:name w:val="toc 1"/>
    <w:basedOn w:val="1"/>
    <w:next w:val="1"/>
    <w:qFormat/>
    <w:uiPriority w:val="0"/>
    <w:pPr>
      <w:tabs>
        <w:tab w:val="right" w:leader="dot" w:pos="8296"/>
      </w:tabs>
      <w:spacing w:before="93"/>
      <w:jc w:val="center"/>
    </w:pPr>
    <w:rPr>
      <w:rFonts w:ascii="仿宋" w:eastAsia="仿宋"/>
      <w:sz w:val="28"/>
      <w:szCs w:val="28"/>
    </w:rPr>
  </w:style>
  <w:style w:type="paragraph" w:styleId="12">
    <w:name w:val="toc 2"/>
    <w:basedOn w:val="1"/>
    <w:next w:val="1"/>
    <w:qFormat/>
    <w:uiPriority w:val="0"/>
    <w:pPr>
      <w:tabs>
        <w:tab w:val="right" w:leader="dot" w:pos="8296"/>
      </w:tabs>
      <w:ind w:left="200" w:leftChars="200"/>
    </w:p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Hyperlink"/>
    <w:basedOn w:val="15"/>
    <w:qFormat/>
    <w:uiPriority w:val="0"/>
    <w:rPr>
      <w:rFonts w:cs="Times New Roman"/>
      <w:color w:val="0000FF"/>
      <w:u w:val="single"/>
    </w:rPr>
  </w:style>
  <w:style w:type="character" w:customStyle="1" w:styleId="18">
    <w:name w:val="heading 1 Char"/>
    <w:basedOn w:val="15"/>
    <w:link w:val="4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9">
    <w:name w:val="heading 2 Char"/>
    <w:basedOn w:val="15"/>
    <w:link w:val="5"/>
    <w:qFormat/>
    <w:uiPriority w:val="0"/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styleId="21">
    <w:name w:val="List Paragraph"/>
    <w:basedOn w:val="1"/>
    <w:qFormat/>
    <w:uiPriority w:val="0"/>
    <w:pPr>
      <w:ind w:firstLine="200" w:firstLineChars="200"/>
    </w:pPr>
  </w:style>
  <w:style w:type="paragraph" w:customStyle="1" w:styleId="22">
    <w:name w:val="TOC 标题1"/>
    <w:basedOn w:val="4"/>
    <w:next w:val="1"/>
    <w:qFormat/>
    <w:uiPriority w:val="0"/>
    <w:pPr>
      <w:keepNext/>
      <w:keepLines/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3">
    <w:name w:val="TOC Heading"/>
    <w:basedOn w:val="4"/>
    <w:next w:val="1"/>
    <w:qFormat/>
    <w:uiPriority w:val="0"/>
    <w:pPr>
      <w:keepNext/>
      <w:keepLines/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4">
    <w:name w:val="Char Char Char Char Char Char Char Char Char Char Char Char Char Char Char Char"/>
    <w:basedOn w:val="1"/>
    <w:qFormat/>
    <w:uiPriority w:val="0"/>
    <w:pPr>
      <w:tabs>
        <w:tab w:val="left" w:pos="360"/>
      </w:tabs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hart" Target="charts/chart6.xml"/><Relationship Id="rId10" Type="http://schemas.openxmlformats.org/officeDocument/2006/relationships/chart" Target="charts/chart5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81132"/>
          <c:y val="0.14492753"/>
          <c:w val="0.7051887"/>
          <c:h val="0.53623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工作表465537!$A$2</c:f>
              <c:strCache>
                <c:ptCount val="1"/>
                <c:pt idx="0">
                  <c:v>金额(万元)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Lbls>
            <c:dLbl>
              <c:idx val="0"/>
              <c:delete val="1"/>
            </c:dLbl>
            <c:dLbl>
              <c:idx val="1"/>
              <c:delete val="1"/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45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工作表465537!$B$1:$C$1</c:f>
              <c:strCache>
                <c:ptCount val="2"/>
                <c:pt idx="0">
                  <c:v>2021年收支总额</c:v>
                </c:pt>
                <c:pt idx="1">
                  <c:v>2022年收支总额</c:v>
                </c:pt>
              </c:strCache>
            </c:strRef>
          </c:cat>
          <c:val>
            <c:numRef>
              <c:f>工作表465537!$B$2:$C$2</c:f>
              <c:numCache>
                <c:formatCode>General</c:formatCode>
                <c:ptCount val="2"/>
                <c:pt idx="0">
                  <c:v>79.62</c:v>
                </c:pt>
                <c:pt idx="1">
                  <c:v>127.44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0"/>
        <c:axId val="1"/>
      </c:barChart>
      <c:catAx>
        <c:axId val="0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4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rgbClr val="000000"/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45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  <a:r>
                  <a:rPr lang="zh-CN"/>
                  <a:t>单位：万元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025943354"/>
              <c:y val="0.22077908"/>
            </c:manualLayout>
          </c:layout>
          <c:overlay val="0"/>
          <c:spPr>
            <a:noFill/>
            <a:ln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4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0"/>
        <c:crossesAt val="1"/>
        <c:crossBetween val="between"/>
      </c:valAx>
      <c:dTable>
        <c:showHorzBorder val="1"/>
        <c:showVertBorder val="1"/>
        <c:showOutline val="1"/>
        <c:showKeys val="1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4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</c:dTable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62264"/>
          <c:y val="0.34057993"/>
          <c:w val="0.094339676"/>
          <c:h val="0.12318877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40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45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60733"/>
          <c:y val="0.23626374"/>
          <c:w val="0.2565445"/>
          <c:h val="0.53846157"/>
        </c:manualLayout>
      </c:layout>
      <c:pieChart>
        <c:varyColors val="1"/>
        <c:ser>
          <c:idx val="0"/>
          <c:order val="0"/>
          <c:tx>
            <c:strRef>
              <c:f>工作表465538!$A$2</c:f>
              <c:strCache>
                <c:ptCount val="1"/>
                <c:pt idx="0">
                  <c:v>比例</c:v>
                </c:pt>
              </c:strCache>
            </c:strRef>
          </c:tx>
          <c:spPr>
            <a:solidFill>
              <a:srgbClr val="4F81BD"/>
            </a:solidFill>
          </c:spPr>
          <c:explosion val="0"/>
          <c:dPt>
            <c:idx val="0"/>
            <c:bubble3D val="0"/>
            <c:spPr>
              <a:solidFill>
                <a:srgbClr val="4F81BD"/>
              </a:solidFill>
            </c:spPr>
          </c:dPt>
          <c:dPt>
            <c:idx val="1"/>
            <c:bubble3D val="0"/>
            <c:spPr>
              <a:solidFill>
                <a:srgbClr val="C0504D"/>
              </a:solidFill>
            </c:spPr>
          </c:dPt>
          <c:dLbls>
            <c:numFmt formatCode="0%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4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工作表465538!$B$1:$C$1</c:f>
              <c:strCache>
                <c:ptCount val="2"/>
                <c:pt idx="0">
                  <c:v>一般公共预算财政拨款收入</c:v>
                </c:pt>
                <c:pt idx="1">
                  <c:v>其他收入</c:v>
                </c:pt>
              </c:strCache>
            </c:strRef>
          </c:cat>
          <c:val>
            <c:numRef>
              <c:f>工作表465538!$B$2:$C$2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82636"/>
          <c:y val="0.21689136"/>
          <c:w val="0.23418334"/>
          <c:h val="0.5878251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35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zero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4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23258"/>
          <c:y val="0"/>
          <c:w val="0.3364892"/>
          <c:h val="1"/>
        </c:manualLayout>
      </c:layout>
      <c:pieChart>
        <c:varyColors val="1"/>
        <c:ser>
          <c:idx val="0"/>
          <c:order val="0"/>
          <c:tx>
            <c:strRef>
              <c:f>工作表465539!$A$2</c:f>
              <c:strCache>
                <c:ptCount val="1"/>
                <c:pt idx="0">
                  <c:v>比例</c:v>
                </c:pt>
              </c:strCache>
            </c:strRef>
          </c:tx>
          <c:spPr>
            <a:solidFill>
              <a:srgbClr val="4F81BD"/>
            </a:solidFill>
          </c:spPr>
          <c:explosion val="0"/>
          <c:dPt>
            <c:idx val="0"/>
            <c:bubble3D val="0"/>
            <c:spPr>
              <a:solidFill>
                <a:srgbClr val="4F81BD"/>
              </a:solidFill>
            </c:spPr>
          </c:dPt>
          <c:dPt>
            <c:idx val="1"/>
            <c:bubble3D val="0"/>
            <c:spPr>
              <a:solidFill>
                <a:srgbClr val="C0504D"/>
              </a:solidFill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4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工作表465539!$B$1:$C$1</c:f>
              <c:strCache>
                <c:ptCount val="2"/>
                <c:pt idx="0">
                  <c:v>基本支出</c:v>
                </c:pt>
                <c:pt idx="1">
                  <c:v>项目支出</c:v>
                </c:pt>
              </c:strCache>
            </c:strRef>
          </c:cat>
          <c:val>
            <c:numRef>
              <c:f>工作表465539!$B$2:$C$2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5510803"/>
          <c:y val="0.38278404"/>
          <c:w val="0.17801048"/>
          <c:h val="0.1923077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35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zero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4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81132"/>
          <c:y val="0.14492753"/>
          <c:w val="0.7051887"/>
          <c:h val="0.53623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工作表465540!$A$2</c:f>
              <c:strCache>
                <c:ptCount val="1"/>
                <c:pt idx="0">
                  <c:v>金额(万元)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Lbls>
            <c:dLbl>
              <c:idx val="0"/>
              <c:delete val="1"/>
            </c:dLbl>
            <c:dLbl>
              <c:idx val="1"/>
              <c:delete val="1"/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45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工作表465540!$B$1:$C$1</c:f>
              <c:strCache>
                <c:ptCount val="2"/>
                <c:pt idx="0">
                  <c:v>2021年财政拨款收支总计</c:v>
                </c:pt>
                <c:pt idx="1">
                  <c:v>2022年财政拨款收支总计</c:v>
                </c:pt>
              </c:strCache>
            </c:strRef>
          </c:cat>
          <c:val>
            <c:numRef>
              <c:f>工作表465540!$B$2:$C$2</c:f>
              <c:numCache>
                <c:formatCode>General</c:formatCode>
                <c:ptCount val="2"/>
                <c:pt idx="0">
                  <c:v>79.62</c:v>
                </c:pt>
                <c:pt idx="1">
                  <c:v>127.44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0"/>
        <c:axId val="1"/>
      </c:barChart>
      <c:catAx>
        <c:axId val="0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4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rgbClr val="000000"/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45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  <a:r>
                  <a:rPr lang="zh-CN"/>
                  <a:t>单位：万元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025943354"/>
              <c:y val="0.22077908"/>
            </c:manualLayout>
          </c:layout>
          <c:overlay val="0"/>
          <c:spPr>
            <a:noFill/>
            <a:ln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4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0"/>
        <c:crossesAt val="1"/>
        <c:crossBetween val="between"/>
      </c:valAx>
      <c:dTable>
        <c:showHorzBorder val="1"/>
        <c:showVertBorder val="1"/>
        <c:showOutline val="1"/>
        <c:showKeys val="1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4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</c:dTable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62264"/>
          <c:y val="0.34057993"/>
          <c:w val="0.094339676"/>
          <c:h val="0.12318877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40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45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81132"/>
          <c:y val="0.14492753"/>
          <c:w val="0.7051887"/>
          <c:h val="0.53623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工作表465541!$A$2</c:f>
              <c:strCache>
                <c:ptCount val="1"/>
                <c:pt idx="0">
                  <c:v>金额(万元)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Lbls>
            <c:dLbl>
              <c:idx val="0"/>
              <c:delete val="1"/>
            </c:dLbl>
            <c:dLbl>
              <c:idx val="1"/>
              <c:delete val="1"/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45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工作表465541!$B$1:$C$1</c:f>
              <c:strCache>
                <c:ptCount val="2"/>
                <c:pt idx="0">
                  <c:v>2021年财政拨款支出</c:v>
                </c:pt>
                <c:pt idx="1">
                  <c:v>2022年财政拨款支出</c:v>
                </c:pt>
              </c:strCache>
            </c:strRef>
          </c:cat>
          <c:val>
            <c:numRef>
              <c:f>工作表465541!$B$2:$C$2</c:f>
              <c:numCache>
                <c:formatCode>General</c:formatCode>
                <c:ptCount val="2"/>
                <c:pt idx="0">
                  <c:v>79.62</c:v>
                </c:pt>
                <c:pt idx="1">
                  <c:v>127.44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0"/>
        <c:axId val="1"/>
      </c:barChart>
      <c:catAx>
        <c:axId val="0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4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rgbClr val="000000"/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45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  <a:r>
                  <a:rPr lang="zh-CN"/>
                  <a:t>单位：万元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025943354"/>
              <c:y val="0.22077908"/>
            </c:manualLayout>
          </c:layout>
          <c:overlay val="0"/>
          <c:spPr>
            <a:noFill/>
            <a:ln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4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0"/>
        <c:crossesAt val="1"/>
        <c:crossBetween val="between"/>
      </c:valAx>
      <c:dTable>
        <c:showHorzBorder val="1"/>
        <c:showVertBorder val="1"/>
        <c:showOutline val="1"/>
        <c:showKeys val="1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4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</c:dTable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62264"/>
          <c:y val="0.34057993"/>
          <c:w val="0.094339676"/>
          <c:h val="0.12318877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40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45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208821"/>
          <c:y val="0.09226603"/>
          <c:w val="0.53351486"/>
          <c:h val="0.8616768"/>
        </c:manualLayout>
      </c:layout>
      <c:pieChart>
        <c:varyColors val="1"/>
        <c:ser>
          <c:idx val="0"/>
          <c:order val="0"/>
          <c:tx>
            <c:strRef>
              <c:f>工作表465542!$A$2</c:f>
              <c:strCache>
                <c:ptCount val="1"/>
                <c:pt idx="0">
                  <c:v>比例</c:v>
                </c:pt>
              </c:strCache>
            </c:strRef>
          </c:tx>
          <c:spPr>
            <a:solidFill>
              <a:srgbClr val="4F81BD"/>
            </a:solidFill>
          </c:spPr>
          <c:explosion val="0"/>
          <c:dPt>
            <c:idx val="0"/>
            <c:bubble3D val="0"/>
            <c:spPr>
              <a:solidFill>
                <a:srgbClr val="4F81BD"/>
              </a:solidFill>
            </c:spPr>
          </c:dPt>
          <c:dPt>
            <c:idx val="1"/>
            <c:bubble3D val="0"/>
            <c:spPr>
              <a:solidFill>
                <a:srgbClr val="C0504D"/>
              </a:solidFill>
            </c:spPr>
          </c:dPt>
          <c:dPt>
            <c:idx val="2"/>
            <c:bubble3D val="0"/>
            <c:spPr>
              <a:solidFill>
                <a:srgbClr val="9BBB59"/>
              </a:solidFill>
            </c:spPr>
          </c:dPt>
          <c:dPt>
            <c:idx val="3"/>
            <c:bubble3D val="0"/>
            <c:spPr>
              <a:solidFill>
                <a:srgbClr val="8064A2"/>
              </a:solidFill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4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工作表465542!$B$1:$E$1</c:f>
              <c:strCache>
                <c:ptCount val="4"/>
                <c:pt idx="0">
                  <c:v>公共安全支出</c:v>
                </c:pt>
                <c:pt idx="1">
                  <c:v>社会保障和就业支出</c:v>
                </c:pt>
                <c:pt idx="2">
                  <c:v>卫生健康支出</c:v>
                </c:pt>
                <c:pt idx="3">
                  <c:v>住房保障支出</c:v>
                </c:pt>
              </c:strCache>
            </c:strRef>
          </c:cat>
          <c:val>
            <c:numRef>
              <c:f>工作表465542!$B$2:$E$2</c:f>
              <c:numCache>
                <c:formatCode>0.00%</c:formatCode>
                <c:ptCount val="4"/>
                <c:pt idx="0">
                  <c:v>0.8085</c:v>
                </c:pt>
                <c:pt idx="1">
                  <c:v>0.1274</c:v>
                </c:pt>
                <c:pt idx="2">
                  <c:v>0.0216</c:v>
                </c:pt>
                <c:pt idx="3">
                  <c:v>0.0425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5591395"/>
          <c:y val="0.15384616"/>
          <c:w val="0.24875218"/>
          <c:h val="0.6868132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40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zero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4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四川省财政厅</Company>
  <Pages>22</Pages>
  <Words>8216</Words>
  <Characters>8873</Characters>
  <Lines>507</Lines>
  <Paragraphs>195</Paragraphs>
  <TotalTime>16</TotalTime>
  <ScaleCrop>false</ScaleCrop>
  <LinksUpToDate>false</LinksUpToDate>
  <CharactersWithSpaces>8961</CharactersWithSpaces>
  <Application>WPS Office_11.8.2.1127_F1E327BC-269C-435d-A152-05C5408002CA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2021-10-02T06:04:00Z</dcterms:created>
  <dc:creator>曹颖</dc:creator>
  <cp:lastModifiedBy>user</cp:lastModifiedBy>
  <cp:lastPrinted>2023-09-27T20:32:19Z</cp:lastPrinted>
  <dcterms:modified xsi:type="dcterms:W3CDTF">2023-09-27T20:39:59Z</dcterms:modified>
  <dc:title>四川省***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D9DE2B6826D0ED737F9A3763A46EAC32</vt:lpwstr>
  </property>
</Properties>
</file>