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0"/>
        <w:rPr>
          <w:rFonts w:ascii="方正小标宋简体" w:eastAsia="方正小标宋简体"/>
          <w:color w:val="000000"/>
          <w:sz w:val="72"/>
          <w:szCs w:val="72"/>
        </w:rPr>
      </w:pPr>
      <w:bookmarkStart w:id="0" w:name="_Toc15306267"/>
    </w:p>
    <w:p>
      <w:pPr>
        <w:spacing w:line="600" w:lineRule="exact"/>
        <w:jc w:val="center"/>
        <w:outlineLvl w:val="0"/>
        <w:rPr>
          <w:rFonts w:ascii="方正小标宋简体" w:eastAsia="方正小标宋简体"/>
          <w:color w:val="000000"/>
          <w:sz w:val="72"/>
          <w:szCs w:val="72"/>
        </w:rPr>
      </w:pPr>
    </w:p>
    <w:p>
      <w:pPr>
        <w:spacing w:line="600" w:lineRule="exact"/>
        <w:jc w:val="center"/>
        <w:outlineLvl w:val="0"/>
        <w:rPr>
          <w:rFonts w:ascii="方正小标宋简体" w:eastAsia="方正小标宋简体"/>
          <w:color w:val="000000"/>
          <w:sz w:val="72"/>
          <w:szCs w:val="72"/>
        </w:rPr>
      </w:pPr>
    </w:p>
    <w:p>
      <w:pPr>
        <w:spacing w:line="600" w:lineRule="exact"/>
        <w:jc w:val="center"/>
        <w:outlineLvl w:val="0"/>
        <w:rPr>
          <w:rFonts w:ascii="方正小标宋简体" w:eastAsia="方正小标宋简体"/>
          <w:color w:val="000000"/>
          <w:sz w:val="72"/>
          <w:szCs w:val="72"/>
        </w:rPr>
      </w:pPr>
    </w:p>
    <w:p>
      <w:pPr>
        <w:adjustRightInd w:val="0"/>
        <w:snapToGrid w:val="0"/>
        <w:spacing w:line="360" w:lineRule="auto"/>
        <w:jc w:val="center"/>
        <w:outlineLvl w:val="0"/>
        <w:rPr>
          <w:rFonts w:ascii="方正小标宋简体" w:eastAsia="方正小标宋简体"/>
          <w:color w:val="000000"/>
          <w:sz w:val="72"/>
          <w:szCs w:val="72"/>
        </w:rPr>
      </w:pPr>
      <w:bookmarkStart w:id="1" w:name="_Toc15377193"/>
      <w:bookmarkStart w:id="2" w:name="_Toc15377425"/>
      <w:bookmarkStart w:id="3" w:name="_Toc15378441"/>
      <w:bookmarkStart w:id="4" w:name="_Toc15396597"/>
      <w:bookmarkStart w:id="5" w:name="_Toc15396475"/>
      <w:r>
        <w:rPr>
          <w:rFonts w:ascii="黑体" w:eastAsia="黑体"/>
          <w:color w:val="000000"/>
          <w:sz w:val="72"/>
          <w:szCs w:val="72"/>
        </w:rPr>
        <w:t>20</w:t>
      </w:r>
      <w:r>
        <w:rPr>
          <w:rFonts w:hint="eastAsia" w:ascii="黑体" w:eastAsia="黑体"/>
          <w:color w:val="000000"/>
          <w:sz w:val="72"/>
          <w:szCs w:val="72"/>
        </w:rPr>
        <w:t>2</w:t>
      </w:r>
      <w:r>
        <w:rPr>
          <w:rFonts w:ascii="黑体" w:eastAsia="黑体"/>
          <w:color w:val="000000"/>
          <w:sz w:val="72"/>
          <w:szCs w:val="72"/>
        </w:rPr>
        <w:t>1</w:t>
      </w:r>
      <w:r>
        <w:rPr>
          <w:rFonts w:hint="eastAsia" w:ascii="方正小标宋简体" w:eastAsia="方正小标宋简体"/>
          <w:color w:val="000000"/>
          <w:sz w:val="72"/>
          <w:szCs w:val="72"/>
        </w:rPr>
        <w:t>年度</w:t>
      </w:r>
      <w:bookmarkEnd w:id="1"/>
      <w:bookmarkEnd w:id="2"/>
      <w:bookmarkEnd w:id="3"/>
      <w:bookmarkEnd w:id="4"/>
      <w:bookmarkEnd w:id="5"/>
    </w:p>
    <w:p>
      <w:pPr>
        <w:adjustRightInd w:val="0"/>
        <w:snapToGrid w:val="0"/>
        <w:spacing w:line="360" w:lineRule="auto"/>
        <w:jc w:val="center"/>
        <w:outlineLvl w:val="0"/>
        <w:rPr>
          <w:rFonts w:ascii="方正小标宋简体" w:eastAsia="方正小标宋简体"/>
          <w:color w:val="000000"/>
          <w:sz w:val="52"/>
          <w:szCs w:val="52"/>
        </w:rPr>
      </w:pPr>
      <w:bookmarkStart w:id="6" w:name="_Toc15377194"/>
      <w:bookmarkStart w:id="7" w:name="_Toc15396598"/>
      <w:bookmarkStart w:id="8" w:name="_Toc15378442"/>
      <w:bookmarkStart w:id="9" w:name="_Toc15377426"/>
      <w:bookmarkStart w:id="10" w:name="_Toc15396476"/>
      <w:r>
        <w:rPr>
          <w:rFonts w:hint="eastAsia" w:ascii="方正小标宋简体" w:eastAsia="方正小标宋简体"/>
          <w:color w:val="000000"/>
          <w:sz w:val="52"/>
          <w:szCs w:val="52"/>
        </w:rPr>
        <w:t>四川省阿坝州</w:t>
      </w:r>
      <w:bookmarkEnd w:id="0"/>
      <w:bookmarkStart w:id="11" w:name="_Toc15306268"/>
      <w:r>
        <w:rPr>
          <w:rFonts w:hint="eastAsia" w:ascii="方正小标宋简体" w:eastAsia="方正小标宋简体"/>
          <w:color w:val="000000"/>
          <w:sz w:val="52"/>
          <w:szCs w:val="52"/>
        </w:rPr>
        <w:t>委政法委部门决算</w:t>
      </w:r>
      <w:bookmarkEnd w:id="6"/>
      <w:bookmarkEnd w:id="7"/>
      <w:bookmarkEnd w:id="8"/>
      <w:bookmarkEnd w:id="9"/>
      <w:bookmarkEnd w:id="10"/>
      <w:bookmarkEnd w:id="11"/>
    </w:p>
    <w:p>
      <w:pPr>
        <w:adjustRightInd w:val="0"/>
        <w:snapToGrid w:val="0"/>
        <w:spacing w:line="360" w:lineRule="auto"/>
        <w:jc w:val="center"/>
        <w:outlineLvl w:val="0"/>
        <w:rPr>
          <w:rFonts w:ascii="方正小标宋简体" w:eastAsia="方正小标宋简体"/>
          <w:color w:val="000000"/>
          <w:sz w:val="52"/>
          <w:szCs w:val="52"/>
        </w:rPr>
      </w:pPr>
    </w:p>
    <w:p>
      <w:pPr>
        <w:widowControl/>
        <w:jc w:val="center"/>
        <w:rPr>
          <w:rFonts w:ascii="方正小标宋简体" w:eastAsia="方正小标宋简体"/>
          <w:color w:val="000000"/>
          <w:sz w:val="36"/>
          <w:szCs w:val="36"/>
        </w:rPr>
      </w:pPr>
    </w:p>
    <w:p>
      <w:pPr>
        <w:rPr>
          <w:rFonts w:ascii="方正小标宋简体" w:eastAsia="方正小标宋简体"/>
          <w:color w:val="000000"/>
          <w:sz w:val="36"/>
          <w:szCs w:val="36"/>
        </w:rPr>
      </w:pPr>
    </w:p>
    <w:p>
      <w:pPr>
        <w:rPr>
          <w:rFonts w:ascii="方正小标宋简体" w:eastAsia="方正小标宋简体"/>
          <w:color w:val="000000"/>
          <w:sz w:val="36"/>
          <w:szCs w:val="36"/>
        </w:rPr>
      </w:pPr>
    </w:p>
    <w:p>
      <w:pPr>
        <w:rPr>
          <w:rFonts w:ascii="方正小标宋简体" w:eastAsia="方正小标宋简体"/>
          <w:color w:val="000000"/>
          <w:sz w:val="36"/>
          <w:szCs w:val="36"/>
        </w:rPr>
      </w:pPr>
    </w:p>
    <w:p>
      <w:pPr>
        <w:rPr>
          <w:rFonts w:ascii="方正小标宋简体" w:eastAsia="方正小标宋简体"/>
          <w:color w:val="000000"/>
          <w:sz w:val="36"/>
          <w:szCs w:val="36"/>
        </w:rPr>
      </w:pPr>
    </w:p>
    <w:p>
      <w:pPr>
        <w:rPr>
          <w:rFonts w:ascii="方正小标宋简体" w:eastAsia="方正小标宋简体"/>
          <w:color w:val="000000"/>
          <w:sz w:val="36"/>
          <w:szCs w:val="36"/>
        </w:rPr>
      </w:pPr>
    </w:p>
    <w:p>
      <w:pPr>
        <w:autoSpaceDE w:val="0"/>
        <w:autoSpaceDN w:val="0"/>
        <w:adjustRightInd w:val="0"/>
        <w:ind w:firstLine="1276"/>
        <w:jc w:val="left"/>
        <w:rPr>
          <w:rFonts w:eastAsia="仿宋_GB2312"/>
          <w:color w:val="000000"/>
          <w:sz w:val="32"/>
          <w:szCs w:val="32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保密审查情况：已审查，内容审定</w:t>
      </w:r>
    </w:p>
    <w:p>
      <w:pPr>
        <w:autoSpaceDE w:val="0"/>
        <w:autoSpaceDN w:val="0"/>
        <w:adjustRightInd w:val="0"/>
        <w:ind w:firstLine="1276"/>
        <w:jc w:val="left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hint="eastAsia" w:ascii="仿宋_GB2312" w:eastAsia="仿宋_GB2312" w:cs="仿宋_GB2312"/>
          <w:color w:val="000000"/>
          <w:sz w:val="32"/>
          <w:szCs w:val="32"/>
        </w:rPr>
        <w:t>部门主要负责人审签情况：已审签，同意对外公开</w:t>
      </w:r>
    </w:p>
    <w:p>
      <w:pPr>
        <w:widowControl/>
        <w:jc w:val="center"/>
        <w:rPr>
          <w:rFonts w:ascii="仿宋" w:eastAsia="仿宋"/>
          <w:color w:val="000000"/>
          <w:sz w:val="24"/>
        </w:rPr>
      </w:pPr>
      <w:r>
        <w:rPr>
          <w:rFonts w:ascii="方正小标宋简体" w:eastAsia="方正小标宋简体"/>
          <w:color w:val="000000"/>
          <w:sz w:val="36"/>
          <w:szCs w:val="36"/>
        </w:rPr>
        <w:br w:type="page"/>
      </w:r>
    </w:p>
    <w:p>
      <w:pPr>
        <w:widowControl/>
        <w:spacing w:line="480" w:lineRule="auto"/>
        <w:jc w:val="center"/>
        <w:rPr>
          <w:rFonts w:ascii="黑体" w:eastAsia="黑体"/>
          <w:color w:val="000000"/>
          <w:sz w:val="48"/>
          <w:szCs w:val="48"/>
        </w:rPr>
      </w:pPr>
      <w:bookmarkStart w:id="12" w:name="_Toc15377196"/>
      <w:bookmarkStart w:id="13" w:name="_Toc15396599"/>
    </w:p>
    <w:p>
      <w:pPr>
        <w:widowControl/>
        <w:spacing w:line="480" w:lineRule="auto"/>
        <w:jc w:val="center"/>
        <w:rPr>
          <w:rFonts w:ascii="黑体" w:eastAsia="黑体"/>
          <w:color w:val="000000"/>
          <w:sz w:val="48"/>
          <w:szCs w:val="48"/>
        </w:rPr>
      </w:pPr>
    </w:p>
    <w:p>
      <w:pPr>
        <w:widowControl/>
        <w:spacing w:line="480" w:lineRule="auto"/>
        <w:jc w:val="center"/>
        <w:rPr>
          <w:rFonts w:ascii="黑体" w:eastAsia="黑体"/>
          <w:color w:val="000000"/>
          <w:sz w:val="48"/>
          <w:szCs w:val="48"/>
        </w:rPr>
      </w:pPr>
      <w:r>
        <w:rPr>
          <w:rFonts w:hint="eastAsia" w:ascii="黑体" w:eastAsia="黑体"/>
          <w:color w:val="000000"/>
          <w:sz w:val="48"/>
          <w:szCs w:val="48"/>
        </w:rPr>
        <w:t>目录</w:t>
      </w:r>
    </w:p>
    <w:p>
      <w:pPr>
        <w:pStyle w:val="10"/>
        <w:spacing w:line="480" w:lineRule="auto"/>
        <w:rPr>
          <w:b/>
          <w:bCs/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公开时间：202</w:t>
      </w: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 xml:space="preserve">年 </w:t>
      </w:r>
      <w:r>
        <w:rPr>
          <w:color w:val="000000"/>
          <w:sz w:val="24"/>
          <w:szCs w:val="24"/>
        </w:rPr>
        <w:t>9</w:t>
      </w:r>
      <w:r>
        <w:rPr>
          <w:rFonts w:hint="eastAsia"/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</w:rPr>
        <w:t>28</w:t>
      </w:r>
      <w:r>
        <w:rPr>
          <w:rFonts w:hint="eastAsia"/>
          <w:color w:val="000000"/>
          <w:sz w:val="24"/>
          <w:szCs w:val="24"/>
        </w:rPr>
        <w:t>日</w:t>
      </w:r>
    </w:p>
    <w:p>
      <w:pPr>
        <w:pStyle w:val="10"/>
        <w:spacing w:line="480" w:lineRule="auto"/>
        <w:rPr>
          <w:rFonts w:eastAsia="宋体" w:cs="Arial"/>
          <w:b/>
          <w:bCs/>
          <w:caps/>
          <w:smallCaps w:val="0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fldChar w:fldCharType="begin"/>
      </w:r>
      <w:r>
        <w:rPr>
          <w:color w:val="000000"/>
          <w:sz w:val="20"/>
          <w:szCs w:val="20"/>
        </w:rPr>
        <w:instrText xml:space="preserve"> TOC \o \u </w:instrText>
      </w:r>
      <w:r>
        <w:rPr>
          <w:color w:val="000000"/>
          <w:sz w:val="20"/>
          <w:szCs w:val="20"/>
        </w:rPr>
        <w:fldChar w:fldCharType="separate"/>
      </w:r>
      <w:r>
        <w:rPr>
          <w:rFonts w:ascii="黑体" w:eastAsia="黑体"/>
          <w:color w:val="000000"/>
          <w:sz w:val="20"/>
          <w:szCs w:val="20"/>
        </w:rPr>
        <w:t>第一部分 部门概况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5</w:t>
      </w:r>
    </w:p>
    <w:p>
      <w:pPr>
        <w:pStyle w:val="11"/>
        <w:spacing w:line="480" w:lineRule="auto"/>
        <w:rPr>
          <w:rFonts w:eastAsia="宋体" w:cs="Arial"/>
          <w:caps w:val="0"/>
          <w:smallCaps/>
          <w:color w:val="000000"/>
          <w:sz w:val="20"/>
          <w:szCs w:val="20"/>
        </w:rPr>
      </w:pPr>
      <w:r>
        <w:rPr>
          <w:rFonts w:ascii="黑体" w:eastAsia="黑体"/>
          <w:color w:val="000000"/>
          <w:sz w:val="20"/>
          <w:szCs w:val="20"/>
        </w:rPr>
        <w:t>一、基本职能及主要工作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5</w:t>
      </w:r>
    </w:p>
    <w:p>
      <w:pPr>
        <w:pStyle w:val="6"/>
        <w:spacing w:line="480" w:lineRule="auto"/>
        <w:rPr>
          <w:rFonts w:eastAsia="宋体" w:cs="Arial"/>
          <w:i/>
          <w:iCs/>
          <w:color w:val="000000"/>
          <w:sz w:val="20"/>
          <w:szCs w:val="20"/>
        </w:rPr>
      </w:pPr>
      <w:r>
        <w:rPr>
          <w:rFonts w:ascii="仿宋" w:eastAsia="仿宋"/>
          <w:bCs/>
          <w:color w:val="000000"/>
          <w:sz w:val="20"/>
          <w:szCs w:val="20"/>
        </w:rPr>
        <w:t>（一）主要职能。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5</w:t>
      </w:r>
    </w:p>
    <w:p>
      <w:pPr>
        <w:pStyle w:val="6"/>
        <w:spacing w:line="480" w:lineRule="auto"/>
        <w:rPr>
          <w:rFonts w:eastAsia="宋体" w:cs="Arial"/>
          <w:i/>
          <w:iCs/>
          <w:color w:val="000000"/>
          <w:sz w:val="20"/>
          <w:szCs w:val="20"/>
        </w:rPr>
      </w:pPr>
      <w:r>
        <w:rPr>
          <w:rFonts w:ascii="仿宋" w:eastAsia="仿宋"/>
          <w:bCs/>
          <w:color w:val="000000"/>
          <w:sz w:val="20"/>
          <w:szCs w:val="20"/>
        </w:rPr>
        <w:t>（二）2020年重点工作完成情况。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6</w:t>
      </w:r>
    </w:p>
    <w:p>
      <w:pPr>
        <w:pStyle w:val="11"/>
        <w:spacing w:line="480" w:lineRule="auto"/>
        <w:rPr>
          <w:rFonts w:eastAsia="宋体" w:cs="Arial"/>
          <w:caps w:val="0"/>
          <w:smallCaps/>
          <w:color w:val="000000"/>
          <w:sz w:val="20"/>
          <w:szCs w:val="20"/>
        </w:rPr>
      </w:pPr>
      <w:r>
        <w:rPr>
          <w:rFonts w:ascii="黑体" w:eastAsia="黑体"/>
          <w:color w:val="000000"/>
          <w:sz w:val="20"/>
          <w:szCs w:val="20"/>
        </w:rPr>
        <w:t>二、机构设置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7</w:t>
      </w:r>
    </w:p>
    <w:p>
      <w:pPr>
        <w:pStyle w:val="10"/>
        <w:spacing w:line="480" w:lineRule="auto"/>
        <w:rPr>
          <w:rFonts w:eastAsia="宋体" w:cs="Arial"/>
          <w:b/>
          <w:bCs/>
          <w:caps/>
          <w:smallCaps w:val="0"/>
          <w:color w:val="000000"/>
          <w:sz w:val="20"/>
          <w:szCs w:val="20"/>
        </w:rPr>
      </w:pPr>
      <w:r>
        <w:rPr>
          <w:rFonts w:ascii="黑体" w:eastAsia="黑体"/>
          <w:color w:val="000000"/>
          <w:sz w:val="20"/>
          <w:szCs w:val="20"/>
        </w:rPr>
        <w:t>第二部分 2020年度部门决算情况说明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8</w:t>
      </w:r>
    </w:p>
    <w:p>
      <w:pPr>
        <w:pStyle w:val="11"/>
        <w:tabs>
          <w:tab w:val="left" w:pos="840"/>
        </w:tabs>
        <w:spacing w:line="480" w:lineRule="auto"/>
        <w:rPr>
          <w:rFonts w:eastAsia="宋体" w:cs="Arial"/>
          <w:caps w:val="0"/>
          <w:smallCaps/>
          <w:color w:val="000000"/>
          <w:sz w:val="20"/>
          <w:szCs w:val="20"/>
        </w:rPr>
      </w:pPr>
      <w:r>
        <w:rPr>
          <w:rFonts w:ascii="黑体" w:eastAsia="黑体"/>
          <w:bCs/>
          <w:color w:val="000000"/>
          <w:sz w:val="20"/>
          <w:szCs w:val="20"/>
        </w:rPr>
        <w:t>一、</w:t>
      </w:r>
      <w:r>
        <w:rPr>
          <w:rFonts w:eastAsia="宋体" w:cs="Arial"/>
          <w:color w:val="000000"/>
          <w:sz w:val="20"/>
          <w:szCs w:val="20"/>
        </w:rPr>
        <w:tab/>
      </w:r>
      <w:r>
        <w:rPr>
          <w:rFonts w:ascii="黑体" w:eastAsia="黑体"/>
          <w:color w:val="000000"/>
          <w:sz w:val="20"/>
          <w:szCs w:val="20"/>
        </w:rPr>
        <w:t>收</w:t>
      </w:r>
      <w:r>
        <w:rPr>
          <w:rFonts w:ascii="黑体" w:eastAsia="黑体"/>
          <w:bCs/>
          <w:color w:val="000000"/>
          <w:sz w:val="20"/>
          <w:szCs w:val="20"/>
        </w:rPr>
        <w:t>入支出决算总体情况说明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8</w:t>
      </w:r>
    </w:p>
    <w:p>
      <w:pPr>
        <w:pStyle w:val="11"/>
        <w:tabs>
          <w:tab w:val="left" w:pos="840"/>
        </w:tabs>
        <w:spacing w:line="480" w:lineRule="auto"/>
        <w:rPr>
          <w:rFonts w:eastAsia="宋体" w:cs="Arial"/>
          <w:caps w:val="0"/>
          <w:smallCaps/>
          <w:color w:val="000000"/>
          <w:sz w:val="20"/>
          <w:szCs w:val="20"/>
        </w:rPr>
      </w:pPr>
      <w:r>
        <w:rPr>
          <w:rFonts w:ascii="黑体" w:eastAsia="黑体"/>
          <w:bCs/>
          <w:color w:val="000000"/>
          <w:sz w:val="20"/>
          <w:szCs w:val="20"/>
        </w:rPr>
        <w:t>二、</w:t>
      </w:r>
      <w:r>
        <w:rPr>
          <w:rFonts w:eastAsia="宋体" w:cs="Arial"/>
          <w:color w:val="000000"/>
          <w:sz w:val="20"/>
          <w:szCs w:val="20"/>
        </w:rPr>
        <w:tab/>
      </w:r>
      <w:r>
        <w:rPr>
          <w:rFonts w:ascii="黑体" w:eastAsia="黑体"/>
          <w:color w:val="000000"/>
          <w:sz w:val="20"/>
          <w:szCs w:val="20"/>
        </w:rPr>
        <w:t>收</w:t>
      </w:r>
      <w:r>
        <w:rPr>
          <w:rFonts w:ascii="黑体" w:eastAsia="黑体"/>
          <w:bCs/>
          <w:color w:val="000000"/>
          <w:sz w:val="20"/>
          <w:szCs w:val="20"/>
        </w:rPr>
        <w:t>入决算情况说明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8</w:t>
      </w:r>
    </w:p>
    <w:p>
      <w:pPr>
        <w:pStyle w:val="11"/>
        <w:tabs>
          <w:tab w:val="left" w:pos="840"/>
        </w:tabs>
        <w:spacing w:line="480" w:lineRule="auto"/>
        <w:rPr>
          <w:rFonts w:eastAsia="宋体" w:cs="Arial"/>
          <w:caps w:val="0"/>
          <w:smallCaps/>
          <w:color w:val="000000"/>
          <w:sz w:val="20"/>
          <w:szCs w:val="20"/>
        </w:rPr>
      </w:pPr>
      <w:r>
        <w:rPr>
          <w:rFonts w:ascii="黑体" w:eastAsia="黑体"/>
          <w:bCs/>
          <w:color w:val="000000"/>
          <w:sz w:val="20"/>
          <w:szCs w:val="20"/>
        </w:rPr>
        <w:t>三、</w:t>
      </w:r>
      <w:r>
        <w:rPr>
          <w:rFonts w:eastAsia="宋体" w:cs="Arial"/>
          <w:color w:val="000000"/>
          <w:sz w:val="20"/>
          <w:szCs w:val="20"/>
        </w:rPr>
        <w:tab/>
      </w:r>
      <w:r>
        <w:rPr>
          <w:rFonts w:ascii="黑体" w:eastAsia="黑体"/>
          <w:color w:val="000000"/>
          <w:sz w:val="20"/>
          <w:szCs w:val="20"/>
        </w:rPr>
        <w:t>支</w:t>
      </w:r>
      <w:r>
        <w:rPr>
          <w:rFonts w:ascii="黑体" w:eastAsia="黑体"/>
          <w:bCs/>
          <w:color w:val="000000"/>
          <w:sz w:val="20"/>
          <w:szCs w:val="20"/>
        </w:rPr>
        <w:t>出决算情况说明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9</w:t>
      </w:r>
    </w:p>
    <w:p>
      <w:pPr>
        <w:pStyle w:val="11"/>
        <w:spacing w:line="480" w:lineRule="auto"/>
        <w:rPr>
          <w:rFonts w:eastAsia="宋体" w:cs="Arial"/>
          <w:caps w:val="0"/>
          <w:smallCaps/>
          <w:color w:val="000000"/>
          <w:sz w:val="20"/>
          <w:szCs w:val="20"/>
        </w:rPr>
      </w:pPr>
      <w:r>
        <w:rPr>
          <w:rFonts w:ascii="黑体" w:eastAsia="黑体"/>
          <w:color w:val="000000"/>
          <w:sz w:val="20"/>
          <w:szCs w:val="20"/>
        </w:rPr>
        <w:t>四、财</w:t>
      </w:r>
      <w:r>
        <w:rPr>
          <w:rFonts w:ascii="黑体" w:eastAsia="黑体"/>
          <w:bCs/>
          <w:color w:val="000000"/>
          <w:sz w:val="20"/>
          <w:szCs w:val="20"/>
        </w:rPr>
        <w:t>政拨款收入支出决算总体情况说明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9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黑体" w:eastAsia="黑体"/>
          <w:color w:val="000000"/>
          <w:sz w:val="20"/>
          <w:szCs w:val="20"/>
        </w:rPr>
        <w:t>五、</w:t>
      </w:r>
      <w:r>
        <w:rPr>
          <w:rFonts w:ascii="黑体" w:eastAsia="黑体"/>
          <w:b/>
          <w:color w:val="000000"/>
          <w:sz w:val="20"/>
          <w:szCs w:val="20"/>
        </w:rPr>
        <w:t>一</w:t>
      </w:r>
      <w:r>
        <w:rPr>
          <w:rFonts w:ascii="黑体" w:eastAsia="黑体"/>
          <w:bCs/>
          <w:color w:val="000000"/>
          <w:sz w:val="20"/>
          <w:szCs w:val="20"/>
        </w:rPr>
        <w:t>般公共预算财政拨款支出决算情况说明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10</w:t>
      </w:r>
    </w:p>
    <w:p>
      <w:pPr>
        <w:pStyle w:val="6"/>
        <w:spacing w:line="480" w:lineRule="auto"/>
        <w:rPr>
          <w:rFonts w:hint="default" w:eastAsia="宋体" w:cs="Arial"/>
          <w:i/>
          <w:iCs/>
          <w:color w:val="000000"/>
          <w:sz w:val="20"/>
          <w:szCs w:val="20"/>
          <w:lang w:val="en-US"/>
        </w:rPr>
      </w:pPr>
      <w:r>
        <w:rPr>
          <w:rFonts w:ascii="仿宋" w:eastAsia="仿宋"/>
          <w:b/>
          <w:color w:val="000000"/>
          <w:sz w:val="20"/>
          <w:szCs w:val="20"/>
        </w:rPr>
        <w:t>（一）一般公共预算财政拨款支出决算总体情况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10</w:t>
      </w:r>
    </w:p>
    <w:p>
      <w:pPr>
        <w:pStyle w:val="6"/>
        <w:spacing w:line="480" w:lineRule="auto"/>
        <w:rPr>
          <w:rFonts w:hint="default" w:eastAsia="宋体" w:cs="Arial"/>
          <w:i/>
          <w:iCs/>
          <w:color w:val="000000"/>
          <w:sz w:val="20"/>
          <w:szCs w:val="20"/>
          <w:lang w:val="en-US"/>
        </w:rPr>
      </w:pPr>
      <w:r>
        <w:rPr>
          <w:rFonts w:ascii="仿宋" w:eastAsia="仿宋"/>
          <w:b/>
          <w:color w:val="000000"/>
          <w:sz w:val="20"/>
          <w:szCs w:val="20"/>
        </w:rPr>
        <w:t>（二）一般公共预算财政拨款支出决算结构情况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10</w:t>
      </w:r>
    </w:p>
    <w:p>
      <w:pPr>
        <w:pStyle w:val="6"/>
        <w:spacing w:line="480" w:lineRule="auto"/>
        <w:rPr>
          <w:rFonts w:hint="default" w:eastAsia="宋体" w:cs="Arial"/>
          <w:i/>
          <w:iCs/>
          <w:color w:val="000000"/>
          <w:sz w:val="20"/>
          <w:szCs w:val="20"/>
          <w:lang w:val="en-US"/>
        </w:rPr>
      </w:pPr>
      <w:r>
        <w:rPr>
          <w:rFonts w:ascii="仿宋" w:eastAsia="仿宋"/>
          <w:b/>
          <w:color w:val="000000"/>
          <w:sz w:val="20"/>
          <w:szCs w:val="20"/>
        </w:rPr>
        <w:t>（三）一般公共预算财政拨款支出决算具体情况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12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黑体" w:eastAsia="黑体"/>
          <w:color w:val="000000"/>
          <w:sz w:val="20"/>
          <w:szCs w:val="20"/>
        </w:rPr>
        <w:t>六</w:t>
      </w:r>
      <w:r>
        <w:rPr>
          <w:rFonts w:ascii="黑体" w:eastAsia="黑体"/>
          <w:b/>
          <w:color w:val="000000"/>
          <w:sz w:val="20"/>
          <w:szCs w:val="20"/>
        </w:rPr>
        <w:t>、一</w:t>
      </w:r>
      <w:r>
        <w:rPr>
          <w:rFonts w:ascii="黑体" w:eastAsia="黑体"/>
          <w:bCs/>
          <w:color w:val="000000"/>
          <w:sz w:val="20"/>
          <w:szCs w:val="20"/>
        </w:rPr>
        <w:t>般公共预算财政拨款基本支出决算情况说明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12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黑体" w:eastAsia="黑体"/>
          <w:color w:val="000000"/>
          <w:sz w:val="20"/>
          <w:szCs w:val="20"/>
        </w:rPr>
        <w:t>七、</w:t>
      </w:r>
      <w:r>
        <w:rPr>
          <w:rFonts w:ascii="黑体" w:eastAsia="黑体"/>
          <w:b/>
          <w:bCs/>
          <w:color w:val="000000"/>
          <w:sz w:val="20"/>
          <w:szCs w:val="20"/>
        </w:rPr>
        <w:t>“</w:t>
      </w:r>
      <w:r>
        <w:rPr>
          <w:rFonts w:ascii="黑体" w:eastAsia="黑体"/>
          <w:bCs/>
          <w:color w:val="000000"/>
          <w:sz w:val="20"/>
          <w:szCs w:val="20"/>
        </w:rPr>
        <w:t>三公”经费财政拨款支出决算情况说明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13</w:t>
      </w:r>
    </w:p>
    <w:p>
      <w:pPr>
        <w:pStyle w:val="6"/>
        <w:spacing w:line="480" w:lineRule="auto"/>
        <w:rPr>
          <w:rFonts w:hint="default" w:eastAsia="宋体" w:cs="Arial"/>
          <w:i/>
          <w:iCs/>
          <w:color w:val="000000"/>
          <w:sz w:val="20"/>
          <w:szCs w:val="20"/>
          <w:lang w:val="en-US"/>
        </w:rPr>
      </w:pPr>
      <w:r>
        <w:rPr>
          <w:rFonts w:ascii="仿宋" w:eastAsia="仿宋"/>
          <w:b/>
          <w:color w:val="000000"/>
          <w:sz w:val="20"/>
          <w:szCs w:val="20"/>
        </w:rPr>
        <w:t>（一）“三公”经费财政拨款支出决算总体情况说明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13</w:t>
      </w:r>
    </w:p>
    <w:p>
      <w:pPr>
        <w:pStyle w:val="6"/>
        <w:spacing w:line="480" w:lineRule="auto"/>
        <w:rPr>
          <w:rFonts w:hint="default" w:eastAsia="宋体" w:cs="Arial"/>
          <w:i/>
          <w:iCs/>
          <w:color w:val="000000"/>
          <w:sz w:val="20"/>
          <w:szCs w:val="20"/>
          <w:lang w:val="en-US"/>
        </w:rPr>
      </w:pPr>
      <w:r>
        <w:rPr>
          <w:rFonts w:ascii="仿宋" w:eastAsia="仿宋"/>
          <w:b/>
          <w:color w:val="000000"/>
          <w:sz w:val="20"/>
          <w:szCs w:val="20"/>
        </w:rPr>
        <w:t>（二）“三公”经费财政拨款支出决算具体情况说明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13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黑体" w:eastAsia="黑体"/>
          <w:color w:val="000000"/>
          <w:sz w:val="20"/>
          <w:szCs w:val="20"/>
        </w:rPr>
        <w:t>八、</w:t>
      </w:r>
      <w:r>
        <w:rPr>
          <w:rFonts w:ascii="黑体" w:eastAsia="黑体"/>
          <w:bCs/>
          <w:color w:val="000000"/>
          <w:sz w:val="20"/>
          <w:szCs w:val="20"/>
        </w:rPr>
        <w:t>政府性基金预算支出决算情况说明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15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黑体" w:eastAsia="黑体"/>
          <w:bCs/>
          <w:color w:val="000000"/>
          <w:sz w:val="20"/>
          <w:szCs w:val="20"/>
        </w:rPr>
        <w:t>九、 国有资本经营预算支出决算情况说明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15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黑体" w:eastAsia="黑体"/>
          <w:color w:val="000000"/>
          <w:sz w:val="20"/>
          <w:szCs w:val="20"/>
        </w:rPr>
        <w:t>十</w:t>
      </w:r>
      <w:r>
        <w:rPr>
          <w:rFonts w:ascii="黑体" w:eastAsia="黑体"/>
          <w:b/>
          <w:bCs/>
          <w:color w:val="000000"/>
          <w:sz w:val="20"/>
          <w:szCs w:val="20"/>
        </w:rPr>
        <w:t>、</w:t>
      </w:r>
      <w:r>
        <w:rPr>
          <w:rFonts w:ascii="黑体" w:eastAsia="黑体"/>
          <w:bCs/>
          <w:color w:val="000000"/>
          <w:sz w:val="20"/>
          <w:szCs w:val="20"/>
        </w:rPr>
        <w:t>其他重要事项的情况说明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15</w:t>
      </w:r>
    </w:p>
    <w:p>
      <w:pPr>
        <w:pStyle w:val="6"/>
        <w:spacing w:line="480" w:lineRule="auto"/>
        <w:rPr>
          <w:rFonts w:hint="default" w:eastAsia="宋体" w:cs="Arial"/>
          <w:i/>
          <w:iCs/>
          <w:color w:val="000000"/>
          <w:sz w:val="20"/>
          <w:szCs w:val="20"/>
          <w:lang w:val="en-US"/>
        </w:rPr>
      </w:pPr>
      <w:r>
        <w:rPr>
          <w:rFonts w:ascii="仿宋" w:eastAsia="仿宋"/>
          <w:b/>
          <w:color w:val="000000"/>
          <w:sz w:val="20"/>
          <w:szCs w:val="20"/>
        </w:rPr>
        <w:t>（一）机关运行经费支出情况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15</w:t>
      </w:r>
    </w:p>
    <w:p>
      <w:pPr>
        <w:pStyle w:val="6"/>
        <w:spacing w:line="480" w:lineRule="auto"/>
        <w:rPr>
          <w:rFonts w:hint="default" w:eastAsia="宋体" w:cs="Arial"/>
          <w:i/>
          <w:iCs/>
          <w:color w:val="000000"/>
          <w:sz w:val="20"/>
          <w:szCs w:val="20"/>
          <w:lang w:val="en-US"/>
        </w:rPr>
      </w:pPr>
      <w:r>
        <w:rPr>
          <w:rFonts w:ascii="仿宋" w:eastAsia="仿宋"/>
          <w:b/>
          <w:color w:val="000000"/>
          <w:sz w:val="20"/>
          <w:szCs w:val="20"/>
        </w:rPr>
        <w:t>（二）政府采购支出情况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15</w:t>
      </w:r>
    </w:p>
    <w:p>
      <w:pPr>
        <w:pStyle w:val="6"/>
        <w:spacing w:line="480" w:lineRule="auto"/>
        <w:rPr>
          <w:rFonts w:hint="default" w:eastAsia="宋体" w:cs="Arial"/>
          <w:i/>
          <w:iCs/>
          <w:color w:val="000000"/>
          <w:sz w:val="20"/>
          <w:szCs w:val="20"/>
          <w:lang w:val="en-US"/>
        </w:rPr>
      </w:pPr>
      <w:r>
        <w:rPr>
          <w:rFonts w:ascii="仿宋" w:eastAsia="仿宋"/>
          <w:b/>
          <w:color w:val="000000"/>
          <w:sz w:val="20"/>
          <w:szCs w:val="20"/>
        </w:rPr>
        <w:t>（三）国有资产占有使用情况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15</w:t>
      </w:r>
    </w:p>
    <w:p>
      <w:pPr>
        <w:pStyle w:val="6"/>
        <w:spacing w:line="480" w:lineRule="auto"/>
        <w:rPr>
          <w:rFonts w:hint="default" w:eastAsia="宋体" w:cs="Arial"/>
          <w:i/>
          <w:iCs/>
          <w:color w:val="000000"/>
          <w:sz w:val="20"/>
          <w:szCs w:val="20"/>
          <w:lang w:val="en-US"/>
        </w:rPr>
      </w:pPr>
      <w:r>
        <w:rPr>
          <w:rFonts w:ascii="仿宋" w:eastAsia="仿宋"/>
          <w:b/>
          <w:color w:val="000000"/>
          <w:sz w:val="20"/>
          <w:szCs w:val="20"/>
        </w:rPr>
        <w:t>（四）预算绩效管理情况。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15</w:t>
      </w:r>
    </w:p>
    <w:p>
      <w:pPr>
        <w:pStyle w:val="10"/>
        <w:spacing w:line="480" w:lineRule="auto"/>
        <w:rPr>
          <w:rFonts w:hint="default" w:eastAsia="宋体" w:cs="Arial"/>
          <w:b/>
          <w:bCs/>
          <w:caps/>
          <w:smallCaps w:val="0"/>
          <w:color w:val="000000"/>
          <w:sz w:val="20"/>
          <w:szCs w:val="20"/>
          <w:lang w:val="en-US"/>
        </w:rPr>
      </w:pPr>
      <w:r>
        <w:rPr>
          <w:rFonts w:ascii="黑体" w:eastAsia="黑体"/>
          <w:color w:val="000000"/>
          <w:kern w:val="44"/>
          <w:sz w:val="20"/>
          <w:szCs w:val="20"/>
        </w:rPr>
        <w:t>第三部分</w:t>
      </w:r>
      <w:r>
        <w:rPr>
          <w:rFonts w:ascii="黑体" w:eastAsia="黑体"/>
          <w:color w:val="000000"/>
          <w:sz w:val="20"/>
          <w:szCs w:val="20"/>
        </w:rPr>
        <w:t xml:space="preserve"> 名</w:t>
      </w:r>
      <w:r>
        <w:rPr>
          <w:rFonts w:ascii="黑体" w:eastAsia="黑体"/>
          <w:color w:val="000000"/>
          <w:kern w:val="44"/>
          <w:sz w:val="20"/>
          <w:szCs w:val="20"/>
        </w:rPr>
        <w:t>词解释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19</w:t>
      </w:r>
    </w:p>
    <w:p>
      <w:pPr>
        <w:pStyle w:val="10"/>
        <w:spacing w:line="480" w:lineRule="auto"/>
        <w:rPr>
          <w:rFonts w:hint="default" w:eastAsia="宋体" w:cs="Arial"/>
          <w:b/>
          <w:bCs/>
          <w:caps/>
          <w:smallCaps w:val="0"/>
          <w:color w:val="000000"/>
          <w:sz w:val="20"/>
          <w:szCs w:val="20"/>
          <w:lang w:val="en-US"/>
        </w:rPr>
      </w:pPr>
      <w:r>
        <w:rPr>
          <w:rFonts w:ascii="黑体" w:eastAsia="黑体"/>
          <w:color w:val="000000"/>
          <w:sz w:val="20"/>
          <w:szCs w:val="20"/>
        </w:rPr>
        <w:t>第</w:t>
      </w:r>
      <w:r>
        <w:rPr>
          <w:rFonts w:ascii="黑体" w:eastAsia="黑体"/>
          <w:color w:val="000000"/>
          <w:kern w:val="44"/>
          <w:sz w:val="20"/>
          <w:szCs w:val="20"/>
        </w:rPr>
        <w:t>四部分 附件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22</w:t>
      </w:r>
    </w:p>
    <w:p>
      <w:pPr>
        <w:pStyle w:val="10"/>
        <w:spacing w:line="480" w:lineRule="auto"/>
        <w:rPr>
          <w:rFonts w:hint="default" w:eastAsia="宋体" w:cs="Arial"/>
          <w:b/>
          <w:bCs/>
          <w:caps/>
          <w:smallCaps w:val="0"/>
          <w:color w:val="000000"/>
          <w:sz w:val="20"/>
          <w:szCs w:val="20"/>
          <w:lang w:val="en-US"/>
        </w:rPr>
      </w:pPr>
      <w:r>
        <w:rPr>
          <w:rFonts w:ascii="黑体" w:eastAsia="黑体" w:cs="黑体"/>
          <w:color w:val="000000"/>
          <w:sz w:val="20"/>
          <w:szCs w:val="20"/>
        </w:rPr>
        <w:t>附件1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22</w:t>
      </w:r>
    </w:p>
    <w:p>
      <w:pPr>
        <w:pStyle w:val="10"/>
        <w:spacing w:line="480" w:lineRule="auto"/>
        <w:rPr>
          <w:rFonts w:hint="default" w:eastAsia="宋体" w:cs="Arial"/>
          <w:b/>
          <w:bCs/>
          <w:caps/>
          <w:smallCaps w:val="0"/>
          <w:color w:val="000000"/>
          <w:sz w:val="20"/>
          <w:szCs w:val="20"/>
          <w:lang w:val="en-US"/>
        </w:rPr>
      </w:pPr>
      <w:r>
        <w:rPr>
          <w:rFonts w:hint="eastAsia" w:ascii="方正小标宋简体" w:eastAsia="方正小标宋简体" w:cs="黑体"/>
          <w:color w:val="000000"/>
          <w:sz w:val="20"/>
          <w:szCs w:val="20"/>
        </w:rPr>
        <w:t>州委政法委</w:t>
      </w:r>
      <w:r>
        <w:rPr>
          <w:rFonts w:ascii="方正小标宋简体" w:eastAsia="方正小标宋简体" w:cs="黑体"/>
          <w:color w:val="000000"/>
          <w:sz w:val="20"/>
          <w:szCs w:val="20"/>
        </w:rPr>
        <w:t>2020年部门整体支出绩效评价报告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22</w:t>
      </w:r>
    </w:p>
    <w:p>
      <w:pPr>
        <w:pStyle w:val="10"/>
        <w:spacing w:line="480" w:lineRule="auto"/>
        <w:rPr>
          <w:rFonts w:hint="default" w:eastAsia="宋体" w:cs="Arial"/>
          <w:b/>
          <w:bCs/>
          <w:caps/>
          <w:smallCaps w:val="0"/>
          <w:color w:val="000000"/>
          <w:sz w:val="20"/>
          <w:szCs w:val="20"/>
          <w:lang w:val="en-US"/>
        </w:rPr>
      </w:pPr>
      <w:r>
        <w:rPr>
          <w:rFonts w:ascii="黑体" w:eastAsia="黑体" w:cs="黑体"/>
          <w:color w:val="000000"/>
          <w:sz w:val="20"/>
          <w:szCs w:val="20"/>
        </w:rPr>
        <w:t>附件2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26</w:t>
      </w:r>
    </w:p>
    <w:p>
      <w:pPr>
        <w:pStyle w:val="10"/>
        <w:spacing w:line="480" w:lineRule="auto"/>
        <w:rPr>
          <w:rFonts w:hint="default" w:eastAsia="宋体" w:cs="Arial"/>
          <w:b/>
          <w:bCs/>
          <w:caps/>
          <w:smallCaps w:val="0"/>
          <w:color w:val="000000"/>
          <w:sz w:val="20"/>
          <w:szCs w:val="20"/>
          <w:lang w:val="en-US"/>
        </w:rPr>
      </w:pPr>
      <w:r>
        <w:rPr>
          <w:rFonts w:hint="eastAsia" w:ascii="方正小标宋简体" w:eastAsia="方正小标宋简体" w:cs="黑体"/>
          <w:color w:val="000000"/>
          <w:sz w:val="20"/>
          <w:szCs w:val="20"/>
        </w:rPr>
        <w:t>州委政法委</w:t>
      </w:r>
      <w:r>
        <w:rPr>
          <w:rFonts w:ascii="方正小标宋简体" w:eastAsia="方正小标宋简体" w:cs="黑体"/>
          <w:color w:val="000000"/>
          <w:sz w:val="20"/>
          <w:szCs w:val="20"/>
        </w:rPr>
        <w:t>2020年</w:t>
      </w:r>
      <w:r>
        <w:rPr>
          <w:rFonts w:hint="eastAsia" w:ascii="方正小标宋简体" w:eastAsia="方正小标宋简体" w:cs="黑体"/>
          <w:color w:val="000000"/>
          <w:sz w:val="20"/>
          <w:szCs w:val="20"/>
        </w:rPr>
        <w:t>项目支出</w:t>
      </w:r>
      <w:r>
        <w:rPr>
          <w:rFonts w:ascii="方正小标宋简体" w:eastAsia="方正小标宋简体" w:cs="黑体"/>
          <w:color w:val="000000"/>
          <w:sz w:val="20"/>
          <w:szCs w:val="20"/>
        </w:rPr>
        <w:t>绩效评价报告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0"/>
        <w:spacing w:line="480" w:lineRule="auto"/>
        <w:rPr>
          <w:rFonts w:hint="default" w:eastAsia="宋体" w:cs="Arial"/>
          <w:b/>
          <w:bCs/>
          <w:caps/>
          <w:smallCaps w:val="0"/>
          <w:color w:val="000000"/>
          <w:sz w:val="20"/>
          <w:szCs w:val="20"/>
          <w:lang w:val="en-US"/>
        </w:rPr>
      </w:pPr>
      <w:r>
        <w:rPr>
          <w:rFonts w:ascii="黑体" w:eastAsia="黑体"/>
          <w:color w:val="000000"/>
          <w:sz w:val="20"/>
          <w:szCs w:val="20"/>
        </w:rPr>
        <w:t>第</w:t>
      </w:r>
      <w:r>
        <w:rPr>
          <w:rFonts w:ascii="黑体" w:eastAsia="黑体"/>
          <w:color w:val="000000"/>
          <w:kern w:val="44"/>
          <w:sz w:val="20"/>
          <w:szCs w:val="20"/>
        </w:rPr>
        <w:t>五部分 附表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一、收入支出决算总表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二、收入决算表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三、支出决算表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四、财政拨款收入支出决算总表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五、财政拨款支出决算明细表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六、一般公共预算财政拨款支出决算表</w:t>
      </w:r>
      <w:r>
        <w:rPr>
          <w:color w:val="000000"/>
          <w:sz w:val="20"/>
          <w:szCs w:val="20"/>
        </w:rPr>
        <w:tab/>
      </w:r>
      <w:bookmarkStart w:id="73" w:name="_GoBack"/>
      <w:bookmarkEnd w:id="73"/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七、一般公共预算财政拨款支出决算明细表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八、一般公共预算财政拨款基本支出决算表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九、一般公共预算财政拨款项目支出决算表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十、一般公共预算财政拨款“三公”经费支出决算表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十一、政府性基金预算财政拨款收入支出决算表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十二、政府性基金预算财政拨款“三公”经费支出决算表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十三、国有资本经营预算财政拨款支出决算表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pStyle w:val="11"/>
        <w:spacing w:line="480" w:lineRule="auto"/>
        <w:rPr>
          <w:rFonts w:hint="default" w:eastAsia="宋体" w:cs="Arial"/>
          <w:caps w:val="0"/>
          <w:smallCaps/>
          <w:color w:val="000000"/>
          <w:sz w:val="20"/>
          <w:szCs w:val="20"/>
          <w:lang w:val="en-US"/>
        </w:rPr>
      </w:pPr>
      <w:r>
        <w:rPr>
          <w:rFonts w:ascii="仿宋" w:eastAsia="仿宋"/>
          <w:color w:val="000000"/>
          <w:sz w:val="20"/>
          <w:szCs w:val="20"/>
        </w:rPr>
        <w:t>十四、国有资本经营预算财政拨款支出决算表</w:t>
      </w:r>
      <w:r>
        <w:rPr>
          <w:color w:val="000000"/>
          <w:sz w:val="20"/>
          <w:szCs w:val="20"/>
        </w:rPr>
        <w:tab/>
      </w:r>
      <w:r>
        <w:rPr>
          <w:rFonts w:hint="default"/>
          <w:color w:val="000000"/>
          <w:sz w:val="20"/>
          <w:szCs w:val="20"/>
          <w:lang w:val="en-US"/>
        </w:rPr>
        <w:t>28</w:t>
      </w:r>
    </w:p>
    <w:p>
      <w:pPr>
        <w:widowControl/>
        <w:spacing w:line="480" w:lineRule="auto"/>
        <w:jc w:val="left"/>
        <w:rPr>
          <w:rFonts w:ascii="仿宋" w:eastAsia="仿宋"/>
          <w:bCs/>
          <w:color w:val="000000"/>
          <w:kern w:val="44"/>
          <w:sz w:val="20"/>
          <w:szCs w:val="20"/>
        </w:rPr>
      </w:pPr>
      <w:r>
        <w:rPr>
          <w:rFonts w:ascii="Calibri" w:hAnsi="Calibri" w:eastAsia="Calibri"/>
          <w:b/>
          <w:bCs/>
          <w:caps/>
          <w:smallCaps w:val="0"/>
          <w:color w:val="000000"/>
          <w:sz w:val="20"/>
          <w:szCs w:val="20"/>
        </w:rPr>
        <w:fldChar w:fldCharType="end"/>
      </w: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widowControl/>
        <w:spacing w:line="440" w:lineRule="exact"/>
        <w:jc w:val="left"/>
        <w:rPr>
          <w:rFonts w:ascii="仿宋" w:eastAsia="仿宋"/>
          <w:bCs/>
          <w:color w:val="000000"/>
          <w:kern w:val="44"/>
          <w:sz w:val="24"/>
        </w:rPr>
      </w:pPr>
    </w:p>
    <w:p>
      <w:pPr>
        <w:pStyle w:val="2"/>
        <w:jc w:val="center"/>
        <w:rPr>
          <w:rFonts w:ascii="黑体" w:eastAsia="黑体"/>
          <w:b w:val="0"/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rPr>
          <w:color w:val="000000"/>
        </w:rPr>
      </w:pPr>
    </w:p>
    <w:p>
      <w:pPr>
        <w:pStyle w:val="2"/>
        <w:jc w:val="center"/>
        <w:rPr>
          <w:rStyle w:val="17"/>
          <w:rFonts w:ascii="黑体" w:eastAsia="黑体"/>
          <w:b/>
          <w:bCs w:val="0"/>
          <w:color w:val="000000"/>
        </w:rPr>
      </w:pPr>
      <w:r>
        <w:rPr>
          <w:rFonts w:hint="eastAsia" w:ascii="黑体" w:eastAsia="黑体"/>
          <w:b w:val="0"/>
          <w:color w:val="000000"/>
        </w:rPr>
        <w:t>第一部分</w:t>
      </w:r>
      <w:r>
        <w:rPr>
          <w:rFonts w:ascii="黑体" w:eastAsia="黑体"/>
          <w:b w:val="0"/>
          <w:color w:val="000000"/>
        </w:rPr>
        <w:t xml:space="preserve"> </w:t>
      </w:r>
      <w:r>
        <w:rPr>
          <w:rStyle w:val="17"/>
          <w:rFonts w:hint="eastAsia" w:ascii="黑体" w:eastAsia="黑体"/>
          <w:b w:val="0"/>
          <w:bCs w:val="0"/>
          <w:color w:val="000000"/>
        </w:rPr>
        <w:t>部门概况</w:t>
      </w:r>
      <w:bookmarkEnd w:id="12"/>
      <w:bookmarkEnd w:id="13"/>
    </w:p>
    <w:p>
      <w:pPr>
        <w:pStyle w:val="3"/>
        <w:rPr>
          <w:rStyle w:val="18"/>
          <w:rFonts w:ascii="仿宋" w:eastAsia="仿宋"/>
          <w:b w:val="0"/>
          <w:bCs w:val="0"/>
          <w:color w:val="000000"/>
        </w:rPr>
      </w:pPr>
      <w:bookmarkStart w:id="14" w:name="_Toc15377197"/>
      <w:bookmarkStart w:id="15" w:name="_Toc15396600"/>
      <w:r>
        <w:rPr>
          <w:rFonts w:hint="eastAsia" w:ascii="黑体" w:eastAsia="黑体"/>
          <w:b w:val="0"/>
          <w:color w:val="000000"/>
        </w:rPr>
        <w:t>一、基</w:t>
      </w:r>
      <w:r>
        <w:rPr>
          <w:rStyle w:val="18"/>
          <w:rFonts w:hint="eastAsia" w:ascii="黑体" w:eastAsia="黑体"/>
          <w:b w:val="0"/>
          <w:bCs w:val="0"/>
          <w:color w:val="000000"/>
        </w:rPr>
        <w:t>本职能及主要工作</w:t>
      </w:r>
      <w:bookmarkEnd w:id="14"/>
      <w:bookmarkEnd w:id="15"/>
    </w:p>
    <w:p>
      <w:pPr>
        <w:pStyle w:val="5"/>
        <w:adjustRightInd w:val="0"/>
        <w:snapToGrid w:val="0"/>
        <w:spacing w:before="93" w:beforeLines="0" w:line="600" w:lineRule="exact"/>
        <w:ind w:firstLine="665" w:firstLineChars="208"/>
        <w:outlineLvl w:val="2"/>
        <w:rPr>
          <w:rFonts w:ascii="仿宋" w:eastAsia="仿宋"/>
          <w:bCs/>
          <w:color w:val="000000"/>
          <w:sz w:val="32"/>
          <w:szCs w:val="32"/>
        </w:rPr>
      </w:pPr>
      <w:bookmarkStart w:id="16" w:name="_Toc15378445"/>
      <w:bookmarkStart w:id="17" w:name="_Toc15377198"/>
      <w:r>
        <w:rPr>
          <w:rFonts w:hint="eastAsia" w:ascii="仿宋" w:eastAsia="仿宋"/>
          <w:bCs/>
          <w:color w:val="000000"/>
          <w:sz w:val="32"/>
          <w:szCs w:val="32"/>
        </w:rPr>
        <w:t>（一）主要职能</w:t>
      </w:r>
    </w:p>
    <w:bookmarkEnd w:id="16"/>
    <w:bookmarkEnd w:id="17"/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bookmarkStart w:id="18" w:name="_Toc15377199"/>
      <w:bookmarkStart w:id="19" w:name="_Toc15378446"/>
      <w:r>
        <w:rPr>
          <w:rFonts w:ascii="仿宋_GB2312" w:eastAsia="仿宋_GB2312"/>
          <w:color w:val="000000"/>
          <w:sz w:val="32"/>
          <w:szCs w:val="32"/>
        </w:rPr>
        <w:t>1.</w:t>
      </w:r>
      <w:r>
        <w:rPr>
          <w:rFonts w:hint="eastAsia" w:ascii="仿宋_GB2312" w:eastAsia="仿宋_GB2312"/>
          <w:color w:val="000000"/>
          <w:sz w:val="32"/>
          <w:szCs w:val="32"/>
        </w:rPr>
        <w:t>深入贯彻党的路线方针政策和决策部署，统一政法各部门思想和行动，坚持党对政法工作的绝对领导，坚决维护党中央权威和集中统一领导。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2.</w:t>
      </w:r>
      <w:r>
        <w:rPr>
          <w:rFonts w:hint="eastAsia" w:ascii="仿宋_GB2312" w:eastAsia="仿宋_GB2312"/>
          <w:color w:val="000000"/>
          <w:sz w:val="32"/>
          <w:szCs w:val="32"/>
        </w:rPr>
        <w:t>深入贯彻党中央决定和省委、州委决策，对政法工作提出全局性部署，推进平安阿坝建设、法治阿坝建设，加强过硬队伍建设，深化智能化建设。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3.</w:t>
      </w:r>
      <w:r>
        <w:rPr>
          <w:rFonts w:hint="eastAsia" w:ascii="仿宋_GB2312" w:eastAsia="仿宋_GB2312"/>
          <w:color w:val="000000"/>
          <w:sz w:val="32"/>
          <w:szCs w:val="32"/>
        </w:rPr>
        <w:t>组织开展政法领域的调查研究，研究拟订全州政法工作的政策措施，及时向州委提出建议。参与有关民族自治法规、地方性法规和规章的起草、修改工作，及时提出立法建议。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4.</w:t>
      </w:r>
      <w:r>
        <w:rPr>
          <w:rFonts w:hint="eastAsia" w:ascii="仿宋_GB2312" w:eastAsia="仿宋_GB2312"/>
          <w:color w:val="000000"/>
          <w:sz w:val="32"/>
          <w:szCs w:val="32"/>
        </w:rPr>
        <w:t>掌握分析政法舆情动态，指导协调政法部门媒体网络宣传工作，指导政法部门做好涉及政法工作的重大宣传和舆论引导工作。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5.</w:t>
      </w:r>
      <w:r>
        <w:rPr>
          <w:rFonts w:hint="eastAsia" w:ascii="仿宋_GB2312" w:eastAsia="仿宋_GB2312"/>
          <w:color w:val="000000"/>
          <w:sz w:val="32"/>
          <w:szCs w:val="32"/>
        </w:rPr>
        <w:t>监督和支持政法各部门依法行使职权，指导和协调政法各部门密切配合，研究和协调重大、疑难案件，推进严格执法、公正司法。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6.</w:t>
      </w:r>
      <w:r>
        <w:rPr>
          <w:rFonts w:hint="eastAsia" w:ascii="仿宋_GB2312" w:eastAsia="仿宋_GB2312"/>
          <w:color w:val="000000"/>
          <w:sz w:val="32"/>
          <w:szCs w:val="32"/>
        </w:rPr>
        <w:t>组织研究政法改革工作中带有方向性、倾向性和普遍性的重大问题，深化政法改革。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7.</w:t>
      </w:r>
      <w:r>
        <w:rPr>
          <w:rFonts w:hint="eastAsia" w:ascii="仿宋_GB2312" w:eastAsia="仿宋_GB2312"/>
          <w:color w:val="000000"/>
          <w:sz w:val="32"/>
          <w:szCs w:val="32"/>
        </w:rPr>
        <w:t>指导推动政法系统党的建设和政法队伍建设，协同州级有关部门管理监督政法领导干部，代管阿坝州法学会。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8.</w:t>
      </w:r>
      <w:r>
        <w:rPr>
          <w:rFonts w:hint="eastAsia" w:ascii="仿宋_GB2312" w:eastAsia="仿宋_GB2312"/>
          <w:color w:val="000000"/>
          <w:sz w:val="32"/>
          <w:szCs w:val="32"/>
        </w:rPr>
        <w:t>完成州委交办的其他任务。</w:t>
      </w:r>
    </w:p>
    <w:p>
      <w:pPr>
        <w:pStyle w:val="5"/>
        <w:adjustRightInd w:val="0"/>
        <w:snapToGrid w:val="0"/>
        <w:spacing w:before="93" w:beforeLines="0" w:line="600" w:lineRule="exact"/>
        <w:ind w:firstLine="665" w:firstLineChars="208"/>
        <w:outlineLvl w:val="2"/>
        <w:rPr>
          <w:rFonts w:ascii="仿宋" w:eastAsia="仿宋"/>
          <w:bCs/>
          <w:color w:val="000000"/>
          <w:sz w:val="32"/>
          <w:szCs w:val="32"/>
        </w:rPr>
      </w:pPr>
      <w:r>
        <w:rPr>
          <w:rFonts w:hint="eastAsia" w:ascii="仿宋" w:eastAsia="仿宋"/>
          <w:bCs/>
          <w:color w:val="000000"/>
          <w:sz w:val="32"/>
          <w:szCs w:val="32"/>
        </w:rPr>
        <w:t>（二）</w:t>
      </w:r>
      <w:r>
        <w:rPr>
          <w:rFonts w:ascii="仿宋" w:eastAsia="仿宋"/>
          <w:bCs/>
          <w:color w:val="000000"/>
          <w:sz w:val="32"/>
          <w:szCs w:val="32"/>
        </w:rPr>
        <w:t>20</w:t>
      </w:r>
      <w:r>
        <w:rPr>
          <w:rFonts w:hint="eastAsia" w:ascii="仿宋" w:eastAsia="仿宋"/>
          <w:bCs/>
          <w:color w:val="000000"/>
          <w:sz w:val="32"/>
          <w:szCs w:val="32"/>
        </w:rPr>
        <w:t>2</w:t>
      </w:r>
      <w:r>
        <w:rPr>
          <w:rFonts w:ascii="仿宋" w:eastAsia="仿宋"/>
          <w:bCs/>
          <w:color w:val="000000"/>
          <w:sz w:val="32"/>
          <w:szCs w:val="32"/>
        </w:rPr>
        <w:t>1</w:t>
      </w:r>
      <w:r>
        <w:rPr>
          <w:rFonts w:hint="eastAsia" w:ascii="仿宋" w:eastAsia="仿宋"/>
          <w:bCs/>
          <w:color w:val="000000"/>
          <w:sz w:val="32"/>
          <w:szCs w:val="32"/>
        </w:rPr>
        <w:t>年重点工作完成情况</w:t>
      </w:r>
    </w:p>
    <w:bookmarkEnd w:id="18"/>
    <w:bookmarkEnd w:id="19"/>
    <w:p>
      <w:pPr>
        <w:spacing w:line="576" w:lineRule="exact"/>
        <w:ind w:firstLine="640" w:firstLineChars="200"/>
        <w:rPr>
          <w:rFonts w:hint="eastAsia" w:ascii="仿宋_GB2312" w:eastAsia="仿宋_GB2312" w:cs="方正楷体_GBK"/>
          <w:kern w:val="0"/>
          <w:sz w:val="32"/>
          <w:szCs w:val="32"/>
        </w:rPr>
      </w:pPr>
      <w:bookmarkStart w:id="20" w:name="_Toc15377200"/>
      <w:bookmarkStart w:id="21" w:name="_Toc15396601"/>
      <w:r>
        <w:rPr>
          <w:rFonts w:hint="eastAsia" w:ascii="仿宋_GB2312" w:eastAsia="仿宋_GB2312" w:cs="方正黑体_GBK"/>
          <w:sz w:val="32"/>
          <w:szCs w:val="32"/>
        </w:rPr>
        <w:t>1.坚决维护政治安全，全力确保社会稳定。</w:t>
      </w:r>
    </w:p>
    <w:p>
      <w:pPr>
        <w:pBdr>
          <w:bottom w:val="single" w:color="FFFFFF" w:sz="4" w:space="31"/>
        </w:pBdr>
        <w:tabs>
          <w:tab w:val="left" w:pos="1440"/>
        </w:tabs>
        <w:spacing w:line="576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方正黑体_GBK"/>
          <w:kern w:val="0"/>
          <w:sz w:val="32"/>
          <w:szCs w:val="32"/>
        </w:rPr>
        <w:t>2.全力提升平安阿坝建设</w:t>
      </w:r>
      <w:r>
        <w:rPr>
          <w:rFonts w:hint="eastAsia" w:ascii="仿宋_GB2312" w:eastAsia="仿宋_GB2312" w:cs="方正黑体_GBK"/>
          <w:bCs/>
          <w:color w:val="000000"/>
          <w:sz w:val="32"/>
          <w:szCs w:val="32"/>
        </w:rPr>
        <w:t>。</w:t>
      </w:r>
    </w:p>
    <w:p>
      <w:pPr>
        <w:pBdr>
          <w:bottom w:val="single" w:color="FFFFFF" w:sz="4" w:space="31"/>
        </w:pBdr>
        <w:tabs>
          <w:tab w:val="left" w:pos="1440"/>
        </w:tabs>
        <w:spacing w:line="576" w:lineRule="exact"/>
        <w:ind w:firstLine="640" w:firstLineChars="200"/>
        <w:rPr>
          <w:rFonts w:hint="eastAsia" w:ascii="仿宋_GB2312" w:eastAsia="仿宋_GB2312" w:cs="方正楷体_GBK"/>
          <w:bCs/>
          <w:sz w:val="32"/>
          <w:szCs w:val="32"/>
        </w:rPr>
      </w:pPr>
      <w:r>
        <w:rPr>
          <w:rFonts w:hint="eastAsia" w:ascii="仿宋_GB2312" w:eastAsia="仿宋_GB2312" w:cs="方正楷体_GBK"/>
          <w:bCs/>
          <w:sz w:val="32"/>
          <w:szCs w:val="32"/>
        </w:rPr>
        <w:t>3.加强队伍建设执法监督体系建设。一是</w:t>
      </w:r>
      <w:r>
        <w:rPr>
          <w:rFonts w:hint="eastAsia" w:ascii="仿宋_GB2312" w:eastAsia="仿宋_GB2312"/>
          <w:sz w:val="32"/>
          <w:szCs w:val="32"/>
        </w:rPr>
        <w:t>加强执法监督力量建设。从全州政法单位遴选51名执法监督骨干，组建“阿坝州执法监督（案件评查）人才库”，提升执法监督能力水平。</w:t>
      </w:r>
      <w:r>
        <w:rPr>
          <w:rFonts w:hint="eastAsia" w:ascii="仿宋_GB2312" w:eastAsia="仿宋_GB2312" w:cs="方正楷体_GBK"/>
          <w:bCs/>
          <w:sz w:val="32"/>
          <w:szCs w:val="32"/>
        </w:rPr>
        <w:t>二是</w:t>
      </w:r>
      <w:r>
        <w:rPr>
          <w:rFonts w:hint="eastAsia" w:ascii="仿宋_GB2312" w:eastAsia="仿宋_GB2312" w:cs="仿宋_GB2312"/>
          <w:color w:val="000000"/>
          <w:kern w:val="0"/>
          <w:sz w:val="32"/>
          <w:szCs w:val="32"/>
        </w:rPr>
        <w:t>强化思想认识，加强组织领导。州委政法委结合实际，制定了《“万案大评查”活动方案》，建立评查-考核-监督-追责为一体的工作体系。</w:t>
      </w:r>
      <w:r>
        <w:rPr>
          <w:rFonts w:hint="eastAsia" w:ascii="仿宋_GB2312" w:eastAsia="仿宋_GB2312" w:cs="方正楷体_GBK"/>
          <w:bCs/>
          <w:color w:val="000000"/>
          <w:kern w:val="0"/>
          <w:sz w:val="32"/>
          <w:szCs w:val="32"/>
        </w:rPr>
        <w:t>三是</w:t>
      </w:r>
      <w:r>
        <w:rPr>
          <w:rFonts w:hint="eastAsia" w:ascii="仿宋_GB2312" w:eastAsia="仿宋_GB2312"/>
          <w:color w:val="000000"/>
          <w:spacing w:val="6"/>
          <w:sz w:val="32"/>
          <w:szCs w:val="32"/>
        </w:rPr>
        <w:t>主动发挥党委政法委协助党委管理政法部门领导干部的职能作用，积极协调州委组织部，选优配强政法领导班子。</w:t>
      </w:r>
    </w:p>
    <w:p>
      <w:pPr>
        <w:pBdr>
          <w:bottom w:val="single" w:color="FFFFFF" w:sz="4" w:space="31"/>
        </w:pBdr>
        <w:tabs>
          <w:tab w:val="left" w:pos="1440"/>
        </w:tabs>
        <w:spacing w:line="576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4.深入开展政法队伍教育整顿，巩固教育整顿成果。</w:t>
      </w:r>
      <w:r>
        <w:rPr>
          <w:rFonts w:hint="eastAsia" w:ascii="仿宋_GB2312" w:eastAsia="仿宋_GB2312"/>
          <w:sz w:val="32"/>
          <w:szCs w:val="32"/>
        </w:rPr>
        <w:t>一是</w:t>
      </w:r>
      <w:r>
        <w:rPr>
          <w:rFonts w:hint="eastAsia" w:ascii="仿宋_GB2312" w:eastAsia="仿宋_GB2312"/>
          <w:color w:val="000000"/>
          <w:spacing w:val="6"/>
          <w:sz w:val="32"/>
          <w:szCs w:val="32"/>
        </w:rPr>
        <w:t>举办习近平法治思想专题讲座，提升全州政法干警思想水平，为推动政法工作实践提供了有力的思想支撑。</w:t>
      </w:r>
      <w:r>
        <w:rPr>
          <w:rFonts w:hint="eastAsia" w:ascii="仿宋_GB2312" w:eastAsia="仿宋_GB2312" w:cs="方正楷体_GBK"/>
          <w:bCs/>
          <w:sz w:val="32"/>
          <w:szCs w:val="32"/>
        </w:rPr>
        <w:t>二是</w:t>
      </w:r>
      <w:r>
        <w:rPr>
          <w:rFonts w:hint="eastAsia" w:ascii="仿宋_GB2312" w:eastAsia="仿宋_GB2312"/>
          <w:color w:val="000000"/>
          <w:spacing w:val="6"/>
          <w:sz w:val="32"/>
          <w:szCs w:val="32"/>
        </w:rPr>
        <w:t>组织开展“一把手”讲党课。州委书记刘坪同志以“赓续精神血脉、践行初心使命，在社会主义现代化阿坝中彰显政法担当”为题，为全州政法干警讲授主题党课。州委常委、政法委书记张通荣同志围绕提高政法干警政治判断力、政治领悟力和政治执行力，以“初心与心智”为题，为全州政法干警讲专题党课。</w:t>
      </w:r>
      <w:r>
        <w:rPr>
          <w:rFonts w:hint="eastAsia" w:ascii="仿宋_GB2312" w:eastAsia="仿宋_GB2312" w:cs="方正楷体_GBK"/>
          <w:bCs/>
          <w:color w:val="000000"/>
          <w:spacing w:val="6"/>
          <w:sz w:val="32"/>
          <w:szCs w:val="32"/>
        </w:rPr>
        <w:t>三是</w:t>
      </w:r>
      <w:r>
        <w:rPr>
          <w:rFonts w:hint="eastAsia" w:ascii="仿宋_GB2312" w:eastAsia="仿宋_GB2312"/>
          <w:color w:val="000000"/>
          <w:spacing w:val="6"/>
          <w:sz w:val="32"/>
          <w:szCs w:val="32"/>
        </w:rPr>
        <w:t>教育引导干部职工真正做到学史明理、学史增信、学史崇德、学史力行。</w:t>
      </w:r>
      <w:r>
        <w:rPr>
          <w:rFonts w:hint="eastAsia" w:ascii="仿宋_GB2312" w:eastAsia="仿宋_GB2312" w:cs="方正楷体_GBK"/>
          <w:bCs/>
          <w:color w:val="000000"/>
          <w:spacing w:val="6"/>
          <w:sz w:val="32"/>
          <w:szCs w:val="32"/>
        </w:rPr>
        <w:t>四是</w:t>
      </w:r>
      <w:r>
        <w:rPr>
          <w:rFonts w:hint="eastAsia" w:ascii="仿宋_GB2312" w:eastAsia="仿宋_GB2312"/>
          <w:color w:val="000000"/>
          <w:spacing w:val="6"/>
          <w:sz w:val="32"/>
          <w:szCs w:val="32"/>
        </w:rPr>
        <w:t>大力弘扬先进典型感人事迹和崇高品质，发挥先进典型示范引领作用，树立学习英模、崇尚英模、争当英模的良好氛围。</w:t>
      </w:r>
      <w:r>
        <w:rPr>
          <w:rFonts w:hint="eastAsia" w:ascii="仿宋_GB2312" w:eastAsia="仿宋_GB2312" w:cs="方正楷体_GBK"/>
          <w:bCs/>
          <w:color w:val="000000"/>
          <w:spacing w:val="6"/>
          <w:sz w:val="32"/>
          <w:szCs w:val="32"/>
        </w:rPr>
        <w:t>五是</w:t>
      </w:r>
      <w:r>
        <w:rPr>
          <w:rFonts w:hint="eastAsia" w:ascii="仿宋_GB2312" w:eastAsia="仿宋_GB2312"/>
          <w:sz w:val="32"/>
          <w:szCs w:val="32"/>
        </w:rPr>
        <w:t>一是研建“三联机制”，推进教育整顿。</w:t>
      </w:r>
    </w:p>
    <w:p>
      <w:pPr>
        <w:pageBreakBefore w:val="0"/>
        <w:widowControl w:val="0"/>
        <w:pBdr>
          <w:bottom w:val="single" w:color="FFFFFF" w:sz="4" w:space="31"/>
        </w:pBdr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ascii="仿宋_GB2312" w:eastAsia="仿宋_GB2312" w:cs="黑体"/>
          <w:bCs/>
          <w:sz w:val="32"/>
          <w:szCs w:val="32"/>
        </w:rPr>
      </w:pPr>
      <w:r>
        <w:rPr>
          <w:rFonts w:hint="eastAsia" w:ascii="仿宋_GB2312" w:eastAsia="仿宋_GB2312" w:cs="方正楷体_GBK"/>
          <w:bCs/>
          <w:sz w:val="32"/>
          <w:szCs w:val="32"/>
        </w:rPr>
        <w:t>5.找准政法宣传工作着力点。</w:t>
      </w:r>
      <w:r>
        <w:rPr>
          <w:rFonts w:hint="eastAsia" w:ascii="仿宋_GB2312" w:eastAsia="仿宋_GB2312"/>
          <w:spacing w:val="6"/>
          <w:sz w:val="32"/>
          <w:szCs w:val="32"/>
        </w:rPr>
        <w:t>一年来，始终把宣传工作的着眼点和着力点放在围绕中心、服务大局上，站在讲政治、顾大局的高度开展宣传工作，利用</w:t>
      </w:r>
      <w:r>
        <w:rPr>
          <w:rFonts w:hint="eastAsia" w:ascii="仿宋_GB2312" w:eastAsia="仿宋_GB2312"/>
          <w:sz w:val="32"/>
          <w:szCs w:val="32"/>
        </w:rPr>
        <w:t>“一刊三平台”两微一端”和传统媒体平台，全方位、多渠道宣传报道政法队伍教育整顿和全州政法工作，大张旗鼓地开展宣传活动。</w:t>
      </w:r>
      <w:r>
        <w:rPr>
          <w:rFonts w:hint="eastAsia" w:ascii="仿宋_GB2312" w:eastAsia="仿宋_GB2312" w:cs="黑体"/>
          <w:bCs/>
          <w:sz w:val="32"/>
          <w:szCs w:val="32"/>
        </w:rPr>
        <w:t>推出专题新闻稿件92条，推介先进典型156个，社会公众对政法队伍教育整顿的知晓率和政法工作关注度不断提升。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textAlignment w:val="auto"/>
        <w:rPr>
          <w:rStyle w:val="18"/>
          <w:b w:val="0"/>
          <w:bCs w:val="0"/>
          <w:color w:val="000000"/>
        </w:rPr>
      </w:pPr>
      <w:r>
        <w:rPr>
          <w:rFonts w:hint="eastAsia" w:ascii="黑体" w:eastAsia="黑体"/>
          <w:b w:val="0"/>
          <w:color w:val="000000"/>
        </w:rPr>
        <w:t>二、机</w:t>
      </w:r>
      <w:r>
        <w:rPr>
          <w:rStyle w:val="18"/>
          <w:rFonts w:hint="eastAsia" w:ascii="黑体" w:eastAsia="黑体"/>
          <w:b w:val="0"/>
          <w:bCs w:val="0"/>
          <w:color w:val="000000"/>
        </w:rPr>
        <w:t>构设置</w:t>
      </w:r>
      <w:bookmarkEnd w:id="20"/>
      <w:bookmarkEnd w:id="21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州委政法委属一级预算单位，无下属二级预算单位。内设办公室、州委维护稳定指挥部办公室、维稳指导科、综治督导科、基层社会治理科、矛盾多元化解指导科、法治与执法监督科、宣传科、政治部、组织建设科、纪律作风建设科。行政编制</w:t>
      </w:r>
      <w:r>
        <w:rPr>
          <w:rFonts w:ascii="仿宋_GB2312" w:eastAsia="仿宋_GB2312"/>
          <w:color w:val="000000"/>
          <w:sz w:val="32"/>
          <w:szCs w:val="32"/>
        </w:rPr>
        <w:t>22</w:t>
      </w:r>
      <w:r>
        <w:rPr>
          <w:rFonts w:hint="eastAsia" w:ascii="仿宋_GB2312" w:eastAsia="仿宋_GB2312"/>
          <w:color w:val="000000"/>
          <w:sz w:val="32"/>
          <w:szCs w:val="32"/>
        </w:rPr>
        <w:t>名，工勤编制</w:t>
      </w:r>
      <w:r>
        <w:rPr>
          <w:rFonts w:ascii="仿宋_GB2312" w:eastAsia="仿宋_GB2312"/>
          <w:color w:val="000000"/>
          <w:sz w:val="32"/>
          <w:szCs w:val="32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名；在职人员总数</w:t>
      </w:r>
      <w:r>
        <w:rPr>
          <w:rFonts w:ascii="仿宋_GB2312" w:eastAsia="仿宋_GB2312"/>
          <w:color w:val="000000"/>
          <w:sz w:val="32"/>
          <w:szCs w:val="32"/>
        </w:rPr>
        <w:t>29</w:t>
      </w:r>
      <w:r>
        <w:rPr>
          <w:rFonts w:hint="eastAsia" w:ascii="仿宋_GB2312" w:eastAsia="仿宋_GB2312"/>
          <w:color w:val="000000"/>
          <w:sz w:val="32"/>
          <w:szCs w:val="32"/>
        </w:rPr>
        <w:t>人，其中行政人员</w:t>
      </w:r>
      <w:r>
        <w:rPr>
          <w:rFonts w:ascii="仿宋_GB2312" w:eastAsia="仿宋_GB2312"/>
          <w:color w:val="000000"/>
          <w:sz w:val="32"/>
          <w:szCs w:val="32"/>
        </w:rPr>
        <w:t>21</w:t>
      </w:r>
      <w:r>
        <w:rPr>
          <w:rFonts w:hint="eastAsia" w:ascii="仿宋_GB2312" w:eastAsia="仿宋_GB2312"/>
          <w:color w:val="000000"/>
          <w:sz w:val="32"/>
          <w:szCs w:val="32"/>
        </w:rPr>
        <w:t>人，机关工勤人员</w:t>
      </w:r>
      <w:r>
        <w:rPr>
          <w:rFonts w:ascii="仿宋_GB2312" w:eastAsia="仿宋_GB2312"/>
          <w:color w:val="000000"/>
          <w:sz w:val="32"/>
          <w:szCs w:val="32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人。</w:t>
      </w:r>
    </w:p>
    <w:p>
      <w:pPr>
        <w:widowControl/>
        <w:jc w:val="left"/>
        <w:rPr>
          <w:rFonts w:ascii="仿宋" w:eastAsia="仿宋"/>
          <w:color w:val="000000"/>
          <w:kern w:val="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br w:type="page"/>
      </w:r>
    </w:p>
    <w:p>
      <w:pPr>
        <w:pStyle w:val="2"/>
        <w:ind w:right="440"/>
        <w:jc w:val="right"/>
        <w:rPr>
          <w:rStyle w:val="17"/>
          <w:rFonts w:ascii="黑体" w:eastAsia="黑体"/>
          <w:b w:val="0"/>
          <w:bCs w:val="0"/>
          <w:color w:val="000000"/>
        </w:rPr>
      </w:pPr>
      <w:bookmarkStart w:id="22" w:name="_Toc15377204"/>
      <w:bookmarkStart w:id="23" w:name="_Toc15396602"/>
      <w:r>
        <w:rPr>
          <w:rFonts w:hint="eastAsia" w:ascii="黑体" w:eastAsia="黑体"/>
          <w:b w:val="0"/>
          <w:color w:val="000000"/>
        </w:rPr>
        <w:t>第二部分</w:t>
      </w:r>
      <w:r>
        <w:rPr>
          <w:rFonts w:ascii="黑体" w:eastAsia="黑体"/>
          <w:color w:val="000000"/>
        </w:rPr>
        <w:t xml:space="preserve"> </w:t>
      </w:r>
      <w:r>
        <w:rPr>
          <w:rStyle w:val="17"/>
          <w:rFonts w:ascii="黑体" w:eastAsia="黑体"/>
          <w:b w:val="0"/>
          <w:bCs w:val="0"/>
          <w:color w:val="000000"/>
        </w:rPr>
        <w:t>20</w:t>
      </w:r>
      <w:r>
        <w:rPr>
          <w:rStyle w:val="17"/>
          <w:rFonts w:hint="eastAsia" w:ascii="黑体" w:eastAsia="黑体"/>
          <w:b w:val="0"/>
          <w:bCs w:val="0"/>
          <w:color w:val="000000"/>
        </w:rPr>
        <w:t>20年度部门决算情况说明</w:t>
      </w:r>
      <w:bookmarkEnd w:id="22"/>
      <w:bookmarkEnd w:id="23"/>
    </w:p>
    <w:p>
      <w:pPr>
        <w:rPr>
          <w:color w:val="000000"/>
        </w:rPr>
      </w:pPr>
    </w:p>
    <w:p>
      <w:pPr>
        <w:pStyle w:val="20"/>
        <w:numPr>
          <w:ilvl w:val="0"/>
          <w:numId w:val="1"/>
        </w:numPr>
        <w:spacing w:line="600" w:lineRule="exact"/>
        <w:ind w:firstLineChars="0"/>
        <w:outlineLvl w:val="1"/>
        <w:rPr>
          <w:rStyle w:val="18"/>
          <w:rFonts w:ascii="黑体" w:eastAsia="黑体"/>
          <w:b w:val="0"/>
          <w:color w:val="000000"/>
        </w:rPr>
      </w:pPr>
      <w:bookmarkStart w:id="24" w:name="_Toc15396603"/>
      <w:bookmarkStart w:id="25" w:name="_Toc15377205"/>
      <w:r>
        <w:rPr>
          <w:rFonts w:hint="eastAsia" w:ascii="黑体" w:eastAsia="黑体"/>
          <w:color w:val="000000"/>
          <w:sz w:val="32"/>
          <w:szCs w:val="32"/>
        </w:rPr>
        <w:t>收</w:t>
      </w:r>
      <w:r>
        <w:rPr>
          <w:rStyle w:val="18"/>
          <w:rFonts w:hint="eastAsia" w:ascii="黑体" w:eastAsia="黑体"/>
          <w:b w:val="0"/>
          <w:color w:val="000000"/>
        </w:rPr>
        <w:t>入支出决算总体情况说明</w:t>
      </w:r>
      <w:bookmarkEnd w:id="24"/>
      <w:bookmarkEnd w:id="25"/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2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eastAsia="仿宋"/>
          <w:color w:val="000000"/>
          <w:sz w:val="32"/>
          <w:szCs w:val="32"/>
        </w:rPr>
        <w:t>年度收、支总计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1870.84</w:t>
      </w:r>
      <w:r>
        <w:rPr>
          <w:rFonts w:hint="eastAsia" w:ascii="仿宋" w:eastAsia="仿宋"/>
          <w:color w:val="000000"/>
          <w:sz w:val="32"/>
          <w:szCs w:val="32"/>
        </w:rPr>
        <w:t>万元。与</w:t>
      </w: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年相比，收、支总计各</w:t>
      </w:r>
      <w:r>
        <w:rPr>
          <w:rFonts w:hint="eastAsia" w:ascii="仿宋" w:eastAsia="仿宋"/>
          <w:color w:val="000000"/>
          <w:sz w:val="32"/>
          <w:szCs w:val="32"/>
          <w:lang w:eastAsia="zh-CN"/>
        </w:rPr>
        <w:t>减少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186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56</w:t>
      </w:r>
      <w:r>
        <w:rPr>
          <w:rFonts w:hint="eastAsia" w:ascii="仿宋" w:eastAsia="仿宋"/>
          <w:color w:val="000000"/>
          <w:sz w:val="32"/>
          <w:szCs w:val="32"/>
        </w:rPr>
        <w:t>万元，</w:t>
      </w:r>
      <w:r>
        <w:rPr>
          <w:rFonts w:hint="eastAsia" w:ascii="仿宋" w:eastAsia="仿宋"/>
          <w:color w:val="000000"/>
          <w:sz w:val="32"/>
          <w:szCs w:val="32"/>
          <w:lang w:eastAsia="zh-CN"/>
        </w:rPr>
        <w:t>减少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9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07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。主要变动原因</w:t>
      </w:r>
      <w:r>
        <w:rPr>
          <w:rFonts w:hint="eastAsia" w:ascii="仿宋_GB2312" w:eastAsia="仿宋_GB2312"/>
          <w:color w:val="000000"/>
          <w:sz w:val="32"/>
          <w:szCs w:val="32"/>
        </w:rPr>
        <w:t>是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  <w:r>
        <w:rPr>
          <w:rFonts w:hint="eastAsia" w:ascii="仿宋_GB2312" w:eastAsia="仿宋_GB2312"/>
          <w:color w:val="000000"/>
          <w:sz w:val="32"/>
          <w:szCs w:val="32"/>
        </w:rPr>
        <w:t>财政应返还额度。</w:t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  <w:r>
        <w:rPr>
          <w:rFonts w:hint="eastAsia" w:ascii="仿宋" w:eastAsia="仿宋"/>
          <w:color w:val="000000"/>
          <w:sz w:val="32"/>
          <w:szCs w:val="32"/>
        </w:rPr>
        <w:t>（图</w:t>
      </w:r>
      <w:r>
        <w:rPr>
          <w:rFonts w:ascii="仿宋" w:eastAsia="仿宋"/>
          <w:color w:val="000000"/>
          <w:sz w:val="32"/>
          <w:szCs w:val="32"/>
        </w:rPr>
        <w:t>1</w:t>
      </w:r>
      <w:r>
        <w:rPr>
          <w:rFonts w:hint="eastAsia" w:ascii="仿宋" w:eastAsia="仿宋"/>
          <w:color w:val="000000"/>
          <w:sz w:val="32"/>
          <w:szCs w:val="32"/>
        </w:rPr>
        <w:t>：收、支决算总计变动情况图）（柱状图）</w:t>
      </w:r>
    </w:p>
    <w:p>
      <w:pPr>
        <w:spacing w:line="600" w:lineRule="exact"/>
        <w:ind w:firstLine="420" w:firstLineChars="200"/>
        <w:rPr>
          <w:rFonts w:ascii="仿宋" w:eastAsia="仿宋"/>
          <w:color w:val="000000"/>
          <w:sz w:val="32"/>
          <w:szCs w:val="32"/>
        </w:rPr>
      </w:pPr>
      <w:r>
        <w:rPr>
          <w:color w:val="000000"/>
        </w:rPr>
        <w:drawing>
          <wp:anchor distT="316865" distB="340360" distL="370205" distR="293370" simplePos="0" relativeHeight="251659264" behindDoc="1" locked="0" layoutInCell="1" allowOverlap="1">
            <wp:simplePos x="0" y="0"/>
            <wp:positionH relativeFrom="column">
              <wp:posOffset>36830</wp:posOffset>
            </wp:positionH>
            <wp:positionV relativeFrom="paragraph">
              <wp:posOffset>106680</wp:posOffset>
            </wp:positionV>
            <wp:extent cx="5033645" cy="1732915"/>
            <wp:effectExtent l="0" t="0" r="0" b="0"/>
            <wp:wrapNone/>
            <wp:docPr id="1" name="对象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color w:val="000000"/>
          <w:sz w:val="32"/>
          <w:szCs w:val="32"/>
        </w:rPr>
      </w:pPr>
    </w:p>
    <w:p>
      <w:pPr>
        <w:pStyle w:val="20"/>
        <w:numPr>
          <w:ilvl w:val="0"/>
          <w:numId w:val="1"/>
        </w:numPr>
        <w:spacing w:line="600" w:lineRule="exact"/>
        <w:ind w:firstLineChars="0"/>
        <w:outlineLvl w:val="1"/>
        <w:rPr>
          <w:rStyle w:val="18"/>
          <w:rFonts w:ascii="黑体" w:eastAsia="黑体"/>
          <w:b w:val="0"/>
          <w:color w:val="000000"/>
        </w:rPr>
      </w:pPr>
      <w:bookmarkStart w:id="26" w:name="_Toc15377206"/>
      <w:bookmarkStart w:id="27" w:name="_Toc15396604"/>
      <w:r>
        <w:rPr>
          <w:rFonts w:hint="eastAsia" w:ascii="黑体" w:eastAsia="黑体"/>
          <w:color w:val="000000"/>
          <w:sz w:val="32"/>
          <w:szCs w:val="32"/>
        </w:rPr>
        <w:t>收</w:t>
      </w:r>
      <w:r>
        <w:rPr>
          <w:rStyle w:val="18"/>
          <w:rFonts w:hint="eastAsia" w:ascii="黑体" w:eastAsia="黑体"/>
          <w:b w:val="0"/>
          <w:color w:val="000000"/>
        </w:rPr>
        <w:t>入决算情况说明</w:t>
      </w:r>
      <w:bookmarkEnd w:id="26"/>
      <w:bookmarkEnd w:id="27"/>
    </w:p>
    <w:p>
      <w:pPr>
        <w:spacing w:line="600" w:lineRule="exact"/>
        <w:ind w:firstLine="640" w:firstLineChars="200"/>
        <w:outlineLvl w:val="1"/>
        <w:rPr>
          <w:rFonts w:ascii="仿宋" w:eastAsia="仿宋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2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eastAsia="仿宋"/>
          <w:color w:val="000000"/>
          <w:sz w:val="32"/>
          <w:szCs w:val="32"/>
        </w:rPr>
        <w:t>年收入合计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1870</w:t>
      </w:r>
      <w:r>
        <w:rPr>
          <w:rFonts w:ascii="仿宋" w:eastAsia="仿宋"/>
          <w:color w:val="000000"/>
          <w:sz w:val="32"/>
          <w:szCs w:val="32"/>
        </w:rPr>
        <w:t>.8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eastAsia="仿宋"/>
          <w:color w:val="000000"/>
          <w:sz w:val="32"/>
          <w:szCs w:val="32"/>
        </w:rPr>
        <w:t>万元，其中：一般公共预算财政拨款收入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1870</w:t>
      </w:r>
      <w:r>
        <w:rPr>
          <w:rFonts w:ascii="仿宋" w:eastAsia="仿宋"/>
          <w:color w:val="000000"/>
          <w:sz w:val="32"/>
          <w:szCs w:val="32"/>
        </w:rPr>
        <w:t>.8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 xml:space="preserve"> 100.00%</w:t>
      </w:r>
      <w:r>
        <w:rPr>
          <w:rFonts w:hint="eastAsia" w:ascii="仿宋" w:eastAsia="仿宋"/>
          <w:color w:val="000000"/>
          <w:sz w:val="32"/>
          <w:szCs w:val="32"/>
        </w:rPr>
        <w:t>；政府性基金预算财政拨款收入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 xml:space="preserve"> 0.00%</w:t>
      </w:r>
      <w:r>
        <w:rPr>
          <w:rFonts w:hint="eastAsia" w:ascii="仿宋" w:eastAsia="仿宋"/>
          <w:color w:val="000000"/>
          <w:sz w:val="32"/>
          <w:szCs w:val="32"/>
        </w:rPr>
        <w:t>；上级补助收入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 xml:space="preserve"> 0.00%</w:t>
      </w:r>
      <w:r>
        <w:rPr>
          <w:rFonts w:hint="eastAsia" w:ascii="仿宋" w:eastAsia="仿宋"/>
          <w:color w:val="000000"/>
          <w:sz w:val="32"/>
          <w:szCs w:val="32"/>
        </w:rPr>
        <w:t>；事业收入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 xml:space="preserve"> 0.00%</w:t>
      </w:r>
      <w:r>
        <w:rPr>
          <w:rFonts w:hint="eastAsia" w:ascii="仿宋" w:eastAsia="仿宋"/>
          <w:color w:val="000000"/>
          <w:sz w:val="32"/>
          <w:szCs w:val="32"/>
        </w:rPr>
        <w:t>；经营收入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 xml:space="preserve"> 0.00%</w:t>
      </w:r>
      <w:r>
        <w:rPr>
          <w:rFonts w:hint="eastAsia" w:ascii="仿宋" w:eastAsia="仿宋"/>
          <w:color w:val="000000"/>
          <w:sz w:val="32"/>
          <w:szCs w:val="32"/>
        </w:rPr>
        <w:t>；附属单位上缴收入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 xml:space="preserve"> 0.00%</w:t>
      </w:r>
      <w:r>
        <w:rPr>
          <w:rFonts w:hint="eastAsia" w:ascii="仿宋" w:eastAsia="仿宋"/>
          <w:color w:val="000000"/>
          <w:sz w:val="32"/>
          <w:szCs w:val="32"/>
        </w:rPr>
        <w:t>；其他收入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 xml:space="preserve"> 0.00%</w:t>
      </w:r>
      <w:r>
        <w:rPr>
          <w:rFonts w:hint="eastAsia" w:ascii="仿宋" w:eastAsia="仿宋"/>
          <w:color w:val="00000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  <w:r>
        <w:rPr>
          <w:rFonts w:hint="eastAsia" w:ascii="仿宋" w:eastAsia="仿宋"/>
          <w:color w:val="000000"/>
          <w:sz w:val="32"/>
          <w:szCs w:val="32"/>
        </w:rPr>
        <w:t>（图</w:t>
      </w:r>
      <w:r>
        <w:rPr>
          <w:rFonts w:ascii="仿宋" w:eastAsia="仿宋"/>
          <w:color w:val="000000"/>
          <w:sz w:val="32"/>
          <w:szCs w:val="32"/>
        </w:rPr>
        <w:t>2</w:t>
      </w:r>
      <w:r>
        <w:rPr>
          <w:rFonts w:hint="eastAsia" w:ascii="仿宋" w:eastAsia="仿宋"/>
          <w:color w:val="000000"/>
          <w:sz w:val="32"/>
          <w:szCs w:val="32"/>
        </w:rPr>
        <w:t>：收入决算结构图）（饼状图）</w:t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drawing>
          <wp:anchor distT="1402080" distB="1383665" distL="2863215" distR="118745" simplePos="0" relativeHeight="251659264" behindDoc="0" locked="0" layoutInCell="1" allowOverlap="1">
            <wp:simplePos x="0" y="0"/>
            <wp:positionH relativeFrom="column">
              <wp:posOffset>522605</wp:posOffset>
            </wp:positionH>
            <wp:positionV relativeFrom="paragraph">
              <wp:posOffset>-478155</wp:posOffset>
            </wp:positionV>
            <wp:extent cx="4660900" cy="1143000"/>
            <wp:effectExtent l="0" t="0" r="0" b="0"/>
            <wp:wrapNone/>
            <wp:docPr id="2" name="对象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tabs>
          <w:tab w:val="left" w:pos="5220"/>
        </w:tabs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tab/>
      </w:r>
    </w:p>
    <w:p>
      <w:pPr>
        <w:pStyle w:val="20"/>
        <w:numPr>
          <w:ilvl w:val="0"/>
          <w:numId w:val="1"/>
        </w:numPr>
        <w:spacing w:line="600" w:lineRule="exact"/>
        <w:ind w:firstLineChars="0"/>
        <w:outlineLvl w:val="1"/>
        <w:rPr>
          <w:rStyle w:val="18"/>
          <w:rFonts w:ascii="黑体" w:eastAsia="黑体"/>
          <w:b w:val="0"/>
          <w:color w:val="000000"/>
        </w:rPr>
      </w:pPr>
      <w:bookmarkStart w:id="28" w:name="_Toc15377207"/>
      <w:bookmarkStart w:id="29" w:name="_Toc15396605"/>
      <w:r>
        <w:rPr>
          <w:rFonts w:hint="eastAsia" w:ascii="黑体" w:eastAsia="黑体"/>
          <w:color w:val="000000"/>
          <w:sz w:val="32"/>
          <w:szCs w:val="32"/>
        </w:rPr>
        <w:t>支</w:t>
      </w:r>
      <w:r>
        <w:rPr>
          <w:rStyle w:val="18"/>
          <w:rFonts w:hint="eastAsia" w:ascii="黑体" w:eastAsia="黑体"/>
          <w:b w:val="0"/>
          <w:color w:val="000000"/>
        </w:rPr>
        <w:t>出决算情况说明</w:t>
      </w:r>
      <w:bookmarkEnd w:id="28"/>
      <w:bookmarkEnd w:id="29"/>
    </w:p>
    <w:p>
      <w:pPr>
        <w:spacing w:line="600" w:lineRule="exact"/>
        <w:ind w:firstLine="640" w:firstLineChars="200"/>
        <w:outlineLvl w:val="1"/>
        <w:rPr>
          <w:rFonts w:ascii="仿宋" w:eastAsia="仿宋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2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ascii="仿宋" w:eastAsia="仿宋"/>
          <w:color w:val="000000"/>
          <w:sz w:val="32"/>
          <w:szCs w:val="32"/>
        </w:rPr>
        <w:t xml:space="preserve"> </w:t>
      </w:r>
      <w:r>
        <w:rPr>
          <w:rFonts w:hint="eastAsia" w:ascii="仿宋" w:eastAsia="仿宋"/>
          <w:color w:val="000000"/>
          <w:sz w:val="32"/>
          <w:szCs w:val="32"/>
        </w:rPr>
        <w:t>年支出合计</w:t>
      </w:r>
      <w:r>
        <w:rPr>
          <w:rFonts w:ascii="仿宋" w:eastAsia="仿宋"/>
          <w:color w:val="000000"/>
          <w:sz w:val="32"/>
          <w:szCs w:val="32"/>
        </w:rPr>
        <w:t>18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70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84</w:t>
      </w:r>
      <w:r>
        <w:rPr>
          <w:rFonts w:hint="eastAsia" w:ascii="仿宋" w:eastAsia="仿宋"/>
          <w:color w:val="000000"/>
          <w:sz w:val="32"/>
          <w:szCs w:val="32"/>
        </w:rPr>
        <w:t>万元，其中：基本支出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1695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19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90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61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；项目支出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175.64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9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39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；上缴上级支出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 xml:space="preserve"> 0.00%</w:t>
      </w:r>
      <w:r>
        <w:rPr>
          <w:rFonts w:hint="eastAsia" w:ascii="仿宋" w:eastAsia="仿宋"/>
          <w:color w:val="000000"/>
          <w:sz w:val="32"/>
          <w:szCs w:val="32"/>
        </w:rPr>
        <w:t>；经营支出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 xml:space="preserve"> 0.00%</w:t>
      </w:r>
      <w:r>
        <w:rPr>
          <w:rFonts w:hint="eastAsia" w:ascii="仿宋" w:eastAsia="仿宋"/>
          <w:color w:val="000000"/>
          <w:sz w:val="32"/>
          <w:szCs w:val="32"/>
        </w:rPr>
        <w:t>；对附属单位补助支出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 xml:space="preserve"> 0.00%</w:t>
      </w:r>
      <w:r>
        <w:rPr>
          <w:rFonts w:hint="eastAsia" w:ascii="仿宋" w:eastAsia="仿宋"/>
          <w:color w:val="00000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  <w:r>
        <w:rPr>
          <w:rFonts w:hint="eastAsia" w:ascii="仿宋" w:eastAsia="仿宋"/>
          <w:color w:val="000000"/>
          <w:sz w:val="32"/>
          <w:szCs w:val="32"/>
        </w:rPr>
        <w:t>（图</w:t>
      </w:r>
      <w:r>
        <w:rPr>
          <w:rFonts w:ascii="仿宋" w:eastAsia="仿宋"/>
          <w:color w:val="000000"/>
          <w:sz w:val="32"/>
          <w:szCs w:val="32"/>
        </w:rPr>
        <w:t>3</w:t>
      </w:r>
      <w:r>
        <w:rPr>
          <w:rFonts w:hint="eastAsia" w:ascii="仿宋" w:eastAsia="仿宋"/>
          <w:color w:val="000000"/>
          <w:sz w:val="32"/>
          <w:szCs w:val="32"/>
        </w:rPr>
        <w:t>：支出决算结构图）（饼状图）</w:t>
      </w:r>
    </w:p>
    <w:p>
      <w:pPr>
        <w:spacing w:line="600" w:lineRule="exact"/>
        <w:ind w:firstLine="420" w:firstLineChars="200"/>
        <w:rPr>
          <w:rFonts w:ascii="仿宋" w:eastAsia="仿宋"/>
          <w:color w:val="000000"/>
          <w:sz w:val="32"/>
          <w:szCs w:val="32"/>
        </w:rPr>
      </w:pPr>
      <w:r>
        <w:rPr>
          <w:color w:val="000000"/>
        </w:rPr>
        <w:drawing>
          <wp:anchor distT="1438275" distB="1439545" distL="2448560" distR="118745" simplePos="0" relativeHeight="251659264" behindDoc="0" locked="0" layoutInCell="1" allowOverlap="1">
            <wp:simplePos x="0" y="0"/>
            <wp:positionH relativeFrom="column">
              <wp:posOffset>115570</wp:posOffset>
            </wp:positionH>
            <wp:positionV relativeFrom="paragraph">
              <wp:posOffset>280035</wp:posOffset>
            </wp:positionV>
            <wp:extent cx="4761230" cy="2225040"/>
            <wp:effectExtent l="0" t="0" r="0" b="0"/>
            <wp:wrapNone/>
            <wp:docPr id="3" name="对象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420" w:firstLineChars="200"/>
        <w:rPr>
          <w:rFonts w:ascii="仿宋" w:eastAsia="仿宋"/>
          <w:color w:val="000000"/>
          <w:sz w:val="32"/>
          <w:szCs w:val="32"/>
        </w:rPr>
      </w:pPr>
      <w:r>
        <w:rPr>
          <w:color w:val="000000"/>
        </w:rPr>
        <w:pict>
          <v:shape id="_x0000_s1026" o:spid="_x0000_s1026" o:spt="75" type="#_x0000_t75" style="position:absolute;left:0pt;margin-left:237.1pt;margin-top:740.05pt;height:14.4pt;width:107pt;z-index:251659264;mso-width-relative:page;mso-height-relative:page;" o:ole="t" filled="f" o:preferrelative="t" stroked="f" coordsize="21600,21600">
            <v:path/>
            <v:fill on="f" focussize="0,0"/>
            <v:stroke on="f" color="#000000"/>
            <v:imagedata r:id="rId10" o:title="5"/>
            <o:lock v:ext="edit" aspectratio="t"/>
          </v:shape>
          <o:OLEObject Type="Embed" ProgID="Package" ShapeID="_x0000_s1026" DrawAspect="Content" ObjectID="_1468075725" r:id="rId9">
            <o:LockedField>false</o:LockedField>
          </o:OLEObject>
        </w:pict>
      </w:r>
    </w:p>
    <w:p>
      <w:pPr>
        <w:spacing w:line="600" w:lineRule="exact"/>
        <w:ind w:firstLine="420" w:firstLineChars="200"/>
        <w:rPr>
          <w:rFonts w:ascii="仿宋" w:eastAsia="仿宋"/>
          <w:color w:val="000000"/>
          <w:sz w:val="32"/>
          <w:szCs w:val="32"/>
        </w:rPr>
      </w:pPr>
      <w:r>
        <w:rPr>
          <w:color w:val="000000"/>
        </w:rPr>
        <w:pict>
          <v:shape id="_x0000_s1027" o:spid="_x0000_s1027" o:spt="75" type="#_x0000_t75" style="position:absolute;left:0pt;margin-left:237.1pt;margin-top:740.05pt;height:14.4pt;width:107pt;z-index:251659264;mso-width-relative:page;mso-height-relative:page;" o:ole="t" filled="f" o:preferrelative="t" stroked="f" coordsize="21600,21600">
            <v:path/>
            <v:fill on="f" focussize="0,0"/>
            <v:stroke on="f" color="#000000"/>
            <v:imagedata r:id="rId10" o:title="5"/>
            <o:lock v:ext="edit" aspectratio="t"/>
          </v:shape>
          <o:OLEObject Type="Embed" ProgID="Package" ShapeID="_x0000_s1027" DrawAspect="Content" ObjectID="_1468075726" r:id="rId11">
            <o:LockedField>false</o:LockedField>
          </o:OLEObject>
        </w:pict>
      </w:r>
      <w:r>
        <w:rPr>
          <w:color w:val="000000"/>
        </w:rPr>
        <w:pict>
          <v:shape id="_x0000_s1028" o:spid="_x0000_s1028" o:spt="75" type="#_x0000_t75" style="position:absolute;left:0pt;margin-left:237.1pt;margin-top:740.05pt;height:14.4pt;width:107pt;z-index:251659264;mso-width-relative:page;mso-height-relative:page;" o:ole="t" filled="f" o:preferrelative="t" stroked="f" coordsize="21600,21600">
            <v:path/>
            <v:fill on="f" focussize="0,0"/>
            <v:stroke on="f" color="#000000"/>
            <v:imagedata r:id="rId10" o:title="5"/>
            <o:lock v:ext="edit" aspectratio="t"/>
          </v:shape>
          <o:OLEObject Type="Embed" ProgID="Package" ShapeID="_x0000_s1028" DrawAspect="Content" ObjectID="_1468075727" r:id="rId12">
            <o:LockedField>false</o:LockedField>
          </o:OLEObject>
        </w:pict>
      </w:r>
      <w:r>
        <w:rPr>
          <w:color w:val="000000"/>
        </w:rPr>
        <w:pict>
          <v:shape id="_x0000_s1029" o:spid="_x0000_s1029" o:spt="75" type="#_x0000_t75" style="position:absolute;left:0pt;margin-left:237.1pt;margin-top:740.05pt;height:14.4pt;width:107pt;z-index:251659264;mso-width-relative:page;mso-height-relative:page;" o:ole="t" filled="f" o:preferrelative="t" stroked="f" coordsize="21600,21600">
            <v:path/>
            <v:fill on="f" focussize="0,0"/>
            <v:stroke on="f" color="#000000"/>
            <v:imagedata r:id="rId10" o:title="5"/>
            <o:lock v:ext="edit" aspectratio="t"/>
          </v:shape>
          <o:OLEObject Type="Embed" ProgID="Package" ShapeID="_x0000_s1029" DrawAspect="Content" ObjectID="_1468075728" r:id="rId13">
            <o:LockedField>false</o:LockedField>
          </o:OLEObject>
        </w:pict>
      </w:r>
      <w:r>
        <w:rPr>
          <w:color w:val="000000"/>
        </w:rPr>
        <w:pict>
          <v:shape id="_x0000_s1030" o:spid="_x0000_s1030" o:spt="75" type="#_x0000_t75" style="position:absolute;left:0pt;margin-left:237.1pt;margin-top:740.05pt;height:14.4pt;width:107pt;z-index:251659264;mso-width-relative:page;mso-height-relative:page;" o:ole="t" filled="f" o:preferrelative="t" stroked="f" coordsize="21600,21600">
            <v:path/>
            <v:fill on="f" focussize="0,0"/>
            <v:stroke on="f" color="#000000"/>
            <v:imagedata r:id="rId10" o:title="5"/>
            <o:lock v:ext="edit" aspectratio="t"/>
          </v:shape>
          <o:OLEObject Type="Embed" ProgID="Package" ShapeID="_x0000_s1030" DrawAspect="Content" ObjectID="_1468075729" r:id="rId14">
            <o:LockedField>false</o:LockedField>
          </o:OLEObject>
        </w:pict>
      </w:r>
      <w:r>
        <w:rPr>
          <w:color w:val="000000"/>
        </w:rPr>
        <w:pict>
          <v:shape id="_x0000_s1031" o:spid="_x0000_s1031" o:spt="75" type="#_x0000_t75" style="position:absolute;left:0pt;margin-left:237.1pt;margin-top:740.05pt;height:14.4pt;width:107pt;z-index:251659264;mso-width-relative:page;mso-height-relative:page;" o:ole="t" filled="f" o:preferrelative="t" stroked="f" coordsize="21600,21600">
            <v:path/>
            <v:fill on="f" focussize="0,0"/>
            <v:stroke on="f" color="#000000"/>
            <v:imagedata r:id="rId10" o:title="5"/>
            <o:lock v:ext="edit" aspectratio="t"/>
          </v:shape>
          <o:OLEObject Type="Embed" ProgID="Package" ShapeID="_x0000_s1031" DrawAspect="Content" ObjectID="_1468075730" r:id="rId15">
            <o:LockedField>false</o:LockedField>
          </o:OLEObject>
        </w:pict>
      </w:r>
    </w:p>
    <w:p>
      <w:pPr>
        <w:spacing w:line="600" w:lineRule="exact"/>
        <w:ind w:firstLine="420" w:firstLineChars="200"/>
        <w:rPr>
          <w:rFonts w:ascii="仿宋" w:eastAsia="仿宋"/>
          <w:color w:val="000000"/>
          <w:sz w:val="32"/>
          <w:szCs w:val="32"/>
        </w:rPr>
      </w:pPr>
      <w:r>
        <w:rPr>
          <w:color w:val="000000"/>
        </w:rPr>
        <w:pict>
          <v:shape id="_x0000_s1032" o:spid="_x0000_s1032" o:spt="75" type="#_x0000_t75" style="position:absolute;left:0pt;margin-left:237.1pt;margin-top:740.05pt;height:14.4pt;width:107pt;z-index:251659264;mso-width-relative:page;mso-height-relative:page;" o:ole="t" filled="f" o:preferrelative="t" stroked="f" coordsize="21600,21600">
            <v:path/>
            <v:fill on="f" focussize="0,0"/>
            <v:stroke on="f" color="#000000"/>
            <v:imagedata r:id="rId10" o:title="5"/>
            <o:lock v:ext="edit" aspectratio="t"/>
          </v:shape>
          <o:OLEObject Type="Embed" ProgID="Package" ShapeID="_x0000_s1032" DrawAspect="Content" ObjectID="_1468075731" r:id="rId16">
            <o:LockedField>false</o:LockedField>
          </o:OLEObject>
        </w:pict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outlineLvl w:val="1"/>
        <w:rPr>
          <w:rStyle w:val="18"/>
          <w:rFonts w:ascii="黑体" w:eastAsia="黑体"/>
          <w:b w:val="0"/>
          <w:color w:val="000000"/>
        </w:rPr>
      </w:pPr>
      <w:bookmarkStart w:id="30" w:name="_Toc15377208"/>
      <w:bookmarkStart w:id="31" w:name="_Toc15396606"/>
      <w:r>
        <w:rPr>
          <w:rFonts w:hint="eastAsia" w:ascii="黑体" w:eastAsia="黑体"/>
          <w:color w:val="000000"/>
          <w:sz w:val="32"/>
          <w:szCs w:val="32"/>
        </w:rPr>
        <w:t>四、财</w:t>
      </w:r>
      <w:r>
        <w:rPr>
          <w:rStyle w:val="18"/>
          <w:rFonts w:hint="eastAsia" w:ascii="黑体" w:eastAsia="黑体"/>
          <w:b w:val="0"/>
          <w:color w:val="000000"/>
        </w:rPr>
        <w:t>政拨款收入支出决算总体情况说明</w:t>
      </w:r>
      <w:bookmarkEnd w:id="30"/>
      <w:bookmarkEnd w:id="31"/>
    </w:p>
    <w:p>
      <w:pPr>
        <w:spacing w:line="600" w:lineRule="exact"/>
        <w:ind w:firstLine="640" w:firstLineChars="200"/>
        <w:outlineLvl w:val="1"/>
        <w:rPr>
          <w:rFonts w:ascii="仿宋" w:eastAsia="仿宋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2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eastAsia="仿宋"/>
          <w:color w:val="000000"/>
          <w:sz w:val="32"/>
          <w:szCs w:val="32"/>
        </w:rPr>
        <w:t>年财政拨款收、支总计占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1870.84</w:t>
      </w:r>
      <w:r>
        <w:rPr>
          <w:rFonts w:hint="eastAsia" w:ascii="仿宋" w:eastAsia="仿宋"/>
          <w:color w:val="000000"/>
          <w:sz w:val="32"/>
          <w:szCs w:val="32"/>
        </w:rPr>
        <w:t>万元。与</w:t>
      </w: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年相比，财政拨款收、支总计各</w:t>
      </w:r>
      <w:r>
        <w:rPr>
          <w:rFonts w:hint="eastAsia" w:ascii="仿宋" w:eastAsia="仿宋"/>
          <w:color w:val="000000"/>
          <w:sz w:val="32"/>
          <w:szCs w:val="32"/>
          <w:lang w:eastAsia="zh-CN"/>
        </w:rPr>
        <w:t>减少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186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56</w:t>
      </w:r>
      <w:r>
        <w:rPr>
          <w:rFonts w:hint="eastAsia" w:ascii="仿宋" w:eastAsia="仿宋"/>
          <w:color w:val="000000"/>
          <w:sz w:val="32"/>
          <w:szCs w:val="32"/>
        </w:rPr>
        <w:t>万元，</w:t>
      </w:r>
      <w:r>
        <w:rPr>
          <w:rFonts w:hint="eastAsia" w:ascii="仿宋" w:eastAsia="仿宋"/>
          <w:color w:val="000000"/>
          <w:sz w:val="32"/>
          <w:szCs w:val="32"/>
          <w:lang w:eastAsia="zh-CN"/>
        </w:rPr>
        <w:t>减少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9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07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。主要变动原因是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  <w:r>
        <w:rPr>
          <w:rFonts w:hint="eastAsia" w:ascii="仿宋_GB2312" w:eastAsia="仿宋_GB2312"/>
          <w:color w:val="000000"/>
          <w:sz w:val="32"/>
          <w:szCs w:val="32"/>
        </w:rPr>
        <w:t>财政应返还额度。</w:t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  <w:r>
        <w:rPr>
          <w:rFonts w:hint="eastAsia" w:ascii="仿宋" w:eastAsia="仿宋"/>
          <w:color w:val="000000"/>
          <w:sz w:val="32"/>
          <w:szCs w:val="32"/>
        </w:rPr>
        <w:t>（图</w:t>
      </w:r>
      <w:r>
        <w:rPr>
          <w:rFonts w:ascii="仿宋" w:eastAsia="仿宋"/>
          <w:color w:val="000000"/>
          <w:sz w:val="32"/>
          <w:szCs w:val="32"/>
        </w:rPr>
        <w:t>4</w:t>
      </w:r>
      <w:r>
        <w:rPr>
          <w:rFonts w:hint="eastAsia" w:ascii="仿宋" w:eastAsia="仿宋"/>
          <w:color w:val="000000"/>
          <w:sz w:val="32"/>
          <w:szCs w:val="32"/>
        </w:rPr>
        <w:t>：财政拨款收、支决算总计变动情况）（柱状图）</w:t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tabs>
          <w:tab w:val="center" w:pos="4393"/>
        </w:tabs>
        <w:spacing w:line="600" w:lineRule="exact"/>
        <w:ind w:firstLine="420" w:firstLineChars="200"/>
        <w:rPr>
          <w:rFonts w:ascii="仿宋" w:eastAsia="仿宋"/>
          <w:color w:val="000000"/>
          <w:sz w:val="32"/>
          <w:szCs w:val="32"/>
        </w:rPr>
      </w:pPr>
      <w:r>
        <w:rPr>
          <w:color w:val="000000"/>
        </w:rPr>
        <w:drawing>
          <wp:anchor distT="316865" distB="327660" distL="370205" distR="285750" simplePos="0" relativeHeight="251659264" behindDoc="1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184150</wp:posOffset>
            </wp:positionV>
            <wp:extent cx="4334510" cy="938530"/>
            <wp:effectExtent l="0" t="0" r="0" b="0"/>
            <wp:wrapNone/>
            <wp:docPr id="12" name="对象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>
        <w:rPr>
          <w:rFonts w:ascii="仿宋" w:eastAsia="仿宋"/>
          <w:color w:val="000000"/>
          <w:sz w:val="32"/>
          <w:szCs w:val="32"/>
        </w:rPr>
        <w:tab/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outlineLvl w:val="1"/>
        <w:rPr>
          <w:rStyle w:val="18"/>
          <w:rFonts w:ascii="黑体" w:eastAsia="黑体"/>
          <w:b w:val="0"/>
          <w:color w:val="000000"/>
        </w:rPr>
      </w:pPr>
      <w:bookmarkStart w:id="32" w:name="_Toc15396607"/>
      <w:bookmarkStart w:id="33" w:name="_Toc15377209"/>
      <w:r>
        <w:rPr>
          <w:rFonts w:hint="eastAsia" w:ascii="黑体" w:eastAsia="黑体"/>
          <w:color w:val="000000"/>
          <w:sz w:val="32"/>
          <w:szCs w:val="32"/>
        </w:rPr>
        <w:t>五、</w:t>
      </w:r>
      <w:r>
        <w:rPr>
          <w:rFonts w:hint="eastAsia" w:ascii="黑体" w:eastAsia="黑体"/>
          <w:b/>
          <w:color w:val="000000"/>
          <w:sz w:val="32"/>
          <w:szCs w:val="32"/>
        </w:rPr>
        <w:t>一</w:t>
      </w:r>
      <w:r>
        <w:rPr>
          <w:rStyle w:val="18"/>
          <w:rFonts w:hint="eastAsia" w:ascii="黑体" w:eastAsia="黑体"/>
          <w:b w:val="0"/>
          <w:color w:val="000000"/>
        </w:rPr>
        <w:t>般公共预算财政拨款支出决算情况说明</w:t>
      </w:r>
      <w:bookmarkEnd w:id="32"/>
      <w:bookmarkEnd w:id="33"/>
    </w:p>
    <w:p>
      <w:pPr>
        <w:spacing w:line="600" w:lineRule="exact"/>
        <w:ind w:firstLine="642" w:firstLineChars="200"/>
        <w:outlineLvl w:val="2"/>
        <w:rPr>
          <w:rFonts w:ascii="仿宋" w:eastAsia="仿宋"/>
          <w:b/>
          <w:color w:val="000000"/>
          <w:sz w:val="32"/>
          <w:szCs w:val="32"/>
        </w:rPr>
      </w:pPr>
      <w:bookmarkStart w:id="34" w:name="_Toc15377210"/>
      <w:r>
        <w:rPr>
          <w:rFonts w:hint="eastAsia" w:ascii="仿宋" w:eastAsia="仿宋"/>
          <w:b/>
          <w:color w:val="000000"/>
          <w:sz w:val="32"/>
          <w:szCs w:val="32"/>
        </w:rPr>
        <w:t>（一）一般公共预算财政拨款支出决算总体情况</w:t>
      </w:r>
      <w:bookmarkEnd w:id="34"/>
    </w:p>
    <w:p>
      <w:pPr>
        <w:spacing w:line="600" w:lineRule="exact"/>
        <w:ind w:firstLine="640" w:firstLineChars="200"/>
        <w:outlineLvl w:val="1"/>
        <w:rPr>
          <w:rFonts w:ascii="仿宋" w:eastAsia="仿宋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2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eastAsia="仿宋"/>
          <w:color w:val="000000"/>
          <w:sz w:val="32"/>
          <w:szCs w:val="32"/>
        </w:rPr>
        <w:t>年一般公共预算财政拨款支出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1870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8</w:t>
      </w:r>
      <w:r>
        <w:rPr>
          <w:rFonts w:ascii="仿宋" w:eastAsia="仿宋"/>
          <w:color w:val="000000"/>
          <w:sz w:val="32"/>
          <w:szCs w:val="32"/>
        </w:rPr>
        <w:t>4</w:t>
      </w:r>
      <w:r>
        <w:rPr>
          <w:rFonts w:hint="eastAsia" w:ascii="仿宋" w:eastAsia="仿宋"/>
          <w:color w:val="000000"/>
          <w:sz w:val="32"/>
          <w:szCs w:val="32"/>
        </w:rPr>
        <w:t>万元，占本年支出合计的</w:t>
      </w:r>
      <w:r>
        <w:rPr>
          <w:rFonts w:ascii="仿宋" w:eastAsia="仿宋"/>
          <w:color w:val="000000"/>
          <w:sz w:val="32"/>
          <w:szCs w:val="32"/>
        </w:rPr>
        <w:t xml:space="preserve"> 100.00%</w:t>
      </w:r>
      <w:r>
        <w:rPr>
          <w:rFonts w:hint="eastAsia" w:ascii="仿宋" w:eastAsia="仿宋"/>
          <w:color w:val="000000"/>
          <w:sz w:val="32"/>
          <w:szCs w:val="32"/>
        </w:rPr>
        <w:t>。与</w:t>
      </w: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年相比，一般公共预算财政拨款</w:t>
      </w:r>
      <w:r>
        <w:rPr>
          <w:rFonts w:hint="eastAsia" w:ascii="仿宋" w:eastAsia="仿宋"/>
          <w:color w:val="000000"/>
          <w:sz w:val="32"/>
          <w:szCs w:val="32"/>
          <w:lang w:eastAsia="zh-CN"/>
        </w:rPr>
        <w:t>减少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186.56</w:t>
      </w:r>
      <w:r>
        <w:rPr>
          <w:rFonts w:hint="eastAsia" w:ascii="仿宋" w:eastAsia="仿宋"/>
          <w:color w:val="000000"/>
          <w:sz w:val="32"/>
          <w:szCs w:val="32"/>
        </w:rPr>
        <w:t>万元，</w:t>
      </w:r>
      <w:r>
        <w:rPr>
          <w:rFonts w:hint="eastAsia" w:ascii="仿宋" w:eastAsia="仿宋"/>
          <w:color w:val="000000"/>
          <w:sz w:val="32"/>
          <w:szCs w:val="32"/>
          <w:lang w:eastAsia="zh-CN"/>
        </w:rPr>
        <w:t>减少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9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07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。主要变动原因是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无</w:t>
      </w:r>
      <w:r>
        <w:rPr>
          <w:rFonts w:hint="eastAsia" w:ascii="仿宋_GB2312" w:eastAsia="仿宋_GB2312"/>
          <w:color w:val="000000"/>
          <w:sz w:val="32"/>
          <w:szCs w:val="32"/>
        </w:rPr>
        <w:t>财政应返还额度。</w:t>
      </w:r>
    </w:p>
    <w:p>
      <w:pPr>
        <w:spacing w:line="600" w:lineRule="exact"/>
        <w:ind w:firstLine="420" w:firstLineChars="200"/>
        <w:rPr>
          <w:rFonts w:ascii="仿宋" w:eastAsia="仿宋"/>
          <w:color w:val="000000"/>
          <w:sz w:val="32"/>
          <w:szCs w:val="32"/>
        </w:rPr>
      </w:pPr>
      <w:r>
        <w:rPr>
          <w:color w:val="000000"/>
        </w:rPr>
        <w:drawing>
          <wp:anchor distT="255905" distB="150495" distL="375920" distR="302895" simplePos="0" relativeHeight="251659264" behindDoc="1" locked="0" layoutInCell="1" allowOverlap="1">
            <wp:simplePos x="0" y="0"/>
            <wp:positionH relativeFrom="column">
              <wp:posOffset>906780</wp:posOffset>
            </wp:positionH>
            <wp:positionV relativeFrom="paragraph">
              <wp:posOffset>702310</wp:posOffset>
            </wp:positionV>
            <wp:extent cx="4023360" cy="1286510"/>
            <wp:effectExtent l="0" t="0" r="0" b="0"/>
            <wp:wrapNone/>
            <wp:docPr id="13" name="对象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>
        <w:rPr>
          <w:rFonts w:hint="eastAsia" w:ascii="仿宋" w:eastAsia="仿宋"/>
          <w:color w:val="000000"/>
          <w:sz w:val="32"/>
          <w:szCs w:val="32"/>
        </w:rPr>
        <w:t>（图</w:t>
      </w:r>
      <w:r>
        <w:rPr>
          <w:rFonts w:ascii="仿宋" w:eastAsia="仿宋"/>
          <w:color w:val="000000"/>
          <w:sz w:val="32"/>
          <w:szCs w:val="32"/>
        </w:rPr>
        <w:t>5</w:t>
      </w:r>
      <w:r>
        <w:rPr>
          <w:rFonts w:hint="eastAsia" w:ascii="仿宋" w:eastAsia="仿宋"/>
          <w:color w:val="000000"/>
          <w:sz w:val="32"/>
          <w:szCs w:val="32"/>
        </w:rPr>
        <w:t>：一般公共预算财政拨款支出决算变动情况）（柱状图）</w:t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2" w:firstLineChars="200"/>
        <w:outlineLvl w:val="2"/>
        <w:rPr>
          <w:rFonts w:ascii="仿宋" w:eastAsia="仿宋"/>
          <w:b/>
          <w:color w:val="000000"/>
          <w:sz w:val="32"/>
          <w:szCs w:val="32"/>
        </w:rPr>
      </w:pPr>
      <w:bookmarkStart w:id="35" w:name="_Toc15377211"/>
      <w:r>
        <w:rPr>
          <w:rFonts w:hint="eastAsia" w:ascii="仿宋" w:eastAsia="仿宋"/>
          <w:b/>
          <w:color w:val="000000"/>
          <w:sz w:val="32"/>
          <w:szCs w:val="32"/>
        </w:rPr>
        <w:t>（二）一般公共预算财政拨款支出决算结构情况</w:t>
      </w:r>
      <w:bookmarkEnd w:id="35"/>
    </w:p>
    <w:p>
      <w:pPr>
        <w:spacing w:line="600" w:lineRule="exact"/>
        <w:ind w:firstLine="640" w:firstLineChars="200"/>
        <w:outlineLvl w:val="1"/>
        <w:rPr>
          <w:rFonts w:ascii="仿宋" w:eastAsia="仿宋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2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eastAsia="仿宋"/>
          <w:color w:val="000000"/>
          <w:sz w:val="32"/>
          <w:szCs w:val="32"/>
        </w:rPr>
        <w:t>年一般公共预算财政拨款支出</w:t>
      </w:r>
      <w:r>
        <w:rPr>
          <w:rFonts w:ascii="仿宋" w:eastAsia="仿宋"/>
          <w:color w:val="000000"/>
          <w:sz w:val="32"/>
          <w:szCs w:val="32"/>
        </w:rPr>
        <w:t>18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70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84</w:t>
      </w:r>
      <w:r>
        <w:rPr>
          <w:rFonts w:hint="eastAsia" w:ascii="仿宋" w:eastAsia="仿宋"/>
          <w:color w:val="000000"/>
          <w:sz w:val="32"/>
          <w:szCs w:val="32"/>
        </w:rPr>
        <w:t>万元，主要用于以下方面</w:t>
      </w:r>
      <w:r>
        <w:rPr>
          <w:rFonts w:ascii="仿宋" w:eastAsia="仿宋"/>
          <w:color w:val="000000"/>
          <w:sz w:val="32"/>
          <w:szCs w:val="32"/>
        </w:rPr>
        <w:t>:</w:t>
      </w:r>
      <w:r>
        <w:rPr>
          <w:rFonts w:hint="eastAsia" w:ascii="仿宋" w:eastAsia="仿宋"/>
          <w:color w:val="000000"/>
          <w:sz w:val="32"/>
          <w:szCs w:val="32"/>
        </w:rPr>
        <w:t>一般公共服务（类）支出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；外交支出（类）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，国防支出（类）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；公共安全支出（类）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1717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19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91.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79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；科学技术（类）支出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；文化旅游体育与传媒（类）支出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；社会保障和就业（类）支出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68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93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3.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68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；卫生健康支出（类）</w:t>
      </w:r>
      <w:r>
        <w:rPr>
          <w:rFonts w:ascii="仿宋" w:eastAsia="仿宋"/>
          <w:color w:val="000000"/>
          <w:sz w:val="32"/>
          <w:szCs w:val="32"/>
        </w:rPr>
        <w:t>3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55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1.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74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；节能环保支出（类）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；城乡社区支出（类）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；农林水支出（类）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；交通运输支出（类）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；资源勘探信息等支出（类）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；商业服务业等支出（类）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；金融支出（类）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；援助其他地区支出（类）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；自然资源海洋气象等支出（类）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；住房保障支出（类）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52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18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2.7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9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；粮油物资储备支出（类）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；灾害防治及应急管理支出（类）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；其他支出（类）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；债务还本支出（类）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；债务付息支出（类）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0.00%</w:t>
      </w:r>
      <w:r>
        <w:rPr>
          <w:rFonts w:hint="eastAsia" w:ascii="仿宋" w:eastAsia="仿宋"/>
          <w:color w:val="00000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  <w:r>
        <w:rPr>
          <w:rFonts w:hint="eastAsia" w:ascii="仿宋" w:eastAsia="仿宋"/>
          <w:color w:val="000000"/>
          <w:sz w:val="32"/>
          <w:szCs w:val="32"/>
        </w:rPr>
        <w:t>（图</w:t>
      </w:r>
      <w:r>
        <w:rPr>
          <w:rFonts w:ascii="仿宋" w:eastAsia="仿宋"/>
          <w:color w:val="000000"/>
          <w:sz w:val="32"/>
          <w:szCs w:val="32"/>
        </w:rPr>
        <w:t>6</w:t>
      </w:r>
      <w:r>
        <w:rPr>
          <w:rFonts w:hint="eastAsia" w:ascii="仿宋" w:eastAsia="仿宋"/>
          <w:color w:val="000000"/>
          <w:sz w:val="32"/>
          <w:szCs w:val="32"/>
        </w:rPr>
        <w:t>：一般公共预算财政拨款支出决算结构）（饼状图）</w:t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drawing>
          <wp:anchor distT="725170" distB="803275" distL="1546860" distR="419735" simplePos="0" relativeHeight="251659264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13335</wp:posOffset>
            </wp:positionV>
            <wp:extent cx="5695950" cy="3079750"/>
            <wp:effectExtent l="0" t="0" r="0" b="0"/>
            <wp:wrapNone/>
            <wp:docPr id="14" name="对象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</w:p>
    <w:p>
      <w:pPr>
        <w:spacing w:line="600" w:lineRule="exact"/>
        <w:ind w:firstLine="642" w:firstLineChars="200"/>
        <w:outlineLvl w:val="2"/>
        <w:rPr>
          <w:rFonts w:ascii="仿宋" w:eastAsia="仿宋"/>
          <w:b/>
          <w:color w:val="000000"/>
          <w:sz w:val="32"/>
          <w:szCs w:val="32"/>
        </w:rPr>
      </w:pPr>
      <w:bookmarkStart w:id="36" w:name="_Toc15377212"/>
      <w:r>
        <w:rPr>
          <w:rFonts w:hint="eastAsia" w:ascii="仿宋" w:eastAsia="仿宋"/>
          <w:b/>
          <w:color w:val="000000"/>
          <w:sz w:val="32"/>
          <w:szCs w:val="32"/>
        </w:rPr>
        <w:t>（三）一般公共预算财政拨款支出决算具体情况</w:t>
      </w:r>
      <w:bookmarkEnd w:id="36"/>
    </w:p>
    <w:p>
      <w:pPr>
        <w:spacing w:line="600" w:lineRule="exact"/>
        <w:ind w:firstLine="640" w:firstLineChars="200"/>
        <w:rPr>
          <w:rFonts w:ascii="仿宋" w:eastAsia="仿宋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2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eastAsia="仿宋"/>
          <w:color w:val="000000"/>
          <w:sz w:val="32"/>
          <w:szCs w:val="32"/>
        </w:rPr>
        <w:t>年一般公共预算支出决算数为</w:t>
      </w:r>
      <w:r>
        <w:rPr>
          <w:rFonts w:ascii="仿宋" w:eastAsia="仿宋"/>
          <w:color w:val="000000"/>
          <w:sz w:val="32"/>
          <w:szCs w:val="32"/>
        </w:rPr>
        <w:t>18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70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84</w:t>
      </w:r>
      <w:r>
        <w:rPr>
          <w:rFonts w:hint="eastAsia" w:ascii="仿宋_GB2312" w:eastAsia="仿宋_GB2312"/>
          <w:color w:val="000000"/>
          <w:sz w:val="32"/>
          <w:szCs w:val="32"/>
        </w:rPr>
        <w:t>万元</w:t>
      </w:r>
      <w:r>
        <w:rPr>
          <w:rFonts w:hint="eastAsia" w:ascii="仿宋" w:eastAsia="仿宋"/>
          <w:color w:val="000000"/>
          <w:sz w:val="32"/>
          <w:szCs w:val="32"/>
        </w:rPr>
        <w:t>，完成预算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。其中：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公共安全支出（类）公安（款）行政运行（项）</w:t>
      </w:r>
      <w:r>
        <w:rPr>
          <w:rFonts w:ascii="仿宋_GB2312" w:eastAsia="仿宋_GB2312"/>
          <w:color w:val="000000"/>
          <w:sz w:val="32"/>
          <w:szCs w:val="32"/>
        </w:rPr>
        <w:t>2040201</w:t>
      </w:r>
      <w:r>
        <w:rPr>
          <w:rFonts w:hint="eastAsia" w:ascii="仿宋_GB2312" w:eastAsia="仿宋_GB2312"/>
          <w:color w:val="000000"/>
          <w:sz w:val="32"/>
          <w:szCs w:val="32"/>
        </w:rPr>
        <w:t>：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年决算数为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1541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54</w:t>
      </w:r>
      <w:r>
        <w:rPr>
          <w:rFonts w:hint="eastAsia" w:ascii="仿宋_GB2312" w:eastAsia="仿宋_GB2312"/>
          <w:color w:val="000000"/>
          <w:sz w:val="32"/>
          <w:szCs w:val="32"/>
        </w:rPr>
        <w:t>万元，完成预算</w:t>
      </w:r>
      <w:r>
        <w:rPr>
          <w:rFonts w:ascii="仿宋_GB2312" w:eastAsia="仿宋_GB2312"/>
          <w:color w:val="000000"/>
          <w:sz w:val="32"/>
          <w:szCs w:val="32"/>
        </w:rPr>
        <w:t>100%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公共安全支出（类）公安（款）一般行政管理事务（项）</w:t>
      </w:r>
      <w:r>
        <w:rPr>
          <w:rFonts w:ascii="仿宋_GB2312" w:eastAsia="仿宋_GB2312"/>
          <w:color w:val="000000"/>
          <w:sz w:val="32"/>
          <w:szCs w:val="32"/>
        </w:rPr>
        <w:t>2040202</w:t>
      </w:r>
      <w:r>
        <w:rPr>
          <w:rFonts w:hint="eastAsia" w:ascii="仿宋_GB2312" w:eastAsia="仿宋_GB2312"/>
          <w:color w:val="000000"/>
          <w:sz w:val="32"/>
          <w:szCs w:val="32"/>
        </w:rPr>
        <w:t>：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年决算数为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175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64</w:t>
      </w:r>
      <w:r>
        <w:rPr>
          <w:rFonts w:hint="eastAsia" w:ascii="仿宋_GB2312" w:eastAsia="仿宋_GB2312"/>
          <w:color w:val="000000"/>
          <w:sz w:val="32"/>
          <w:szCs w:val="32"/>
        </w:rPr>
        <w:t>万元，完成预算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100</w:t>
      </w:r>
      <w:r>
        <w:rPr>
          <w:rFonts w:ascii="仿宋_GB2312" w:eastAsia="仿宋_GB2312"/>
          <w:color w:val="000000"/>
          <w:sz w:val="32"/>
          <w:szCs w:val="32"/>
        </w:rPr>
        <w:t>%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3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社会保障和就业（类）行政事业单位离退休（款）机关事业单位基本养老保险缴费支出★（项）</w:t>
      </w:r>
      <w:r>
        <w:rPr>
          <w:rFonts w:ascii="仿宋_GB2312" w:eastAsia="仿宋_GB2312"/>
          <w:color w:val="000000"/>
          <w:sz w:val="32"/>
          <w:szCs w:val="32"/>
        </w:rPr>
        <w:t>2080505</w:t>
      </w:r>
      <w:r>
        <w:rPr>
          <w:rFonts w:hint="eastAsia" w:ascii="仿宋_GB2312" w:eastAsia="仿宋_GB2312"/>
          <w:color w:val="000000"/>
          <w:sz w:val="32"/>
          <w:szCs w:val="32"/>
        </w:rPr>
        <w:t>：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年决算数为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45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96</w:t>
      </w:r>
      <w:r>
        <w:rPr>
          <w:rFonts w:hint="eastAsia" w:ascii="仿宋_GB2312" w:eastAsia="仿宋_GB2312"/>
          <w:color w:val="000000"/>
          <w:sz w:val="32"/>
          <w:szCs w:val="32"/>
        </w:rPr>
        <w:t>万元，完成预算</w:t>
      </w:r>
      <w:r>
        <w:rPr>
          <w:rFonts w:ascii="仿宋_GB2312" w:eastAsia="仿宋_GB2312"/>
          <w:color w:val="000000"/>
          <w:sz w:val="32"/>
          <w:szCs w:val="32"/>
        </w:rPr>
        <w:t>100%</w:t>
      </w:r>
      <w:r>
        <w:rPr>
          <w:rFonts w:hint="eastAsia" w:ascii="仿宋_GB2312" w:eastAsia="仿宋_GB2312"/>
          <w:color w:val="000000"/>
          <w:sz w:val="32"/>
          <w:szCs w:val="32"/>
        </w:rPr>
        <w:t>，决算数等于预算数。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社会保障和就业（类）行政事业单位离退休（款）机关事业单位职业年金缴费支出★（项）</w:t>
      </w:r>
      <w:r>
        <w:rPr>
          <w:rFonts w:ascii="仿宋_GB2312" w:eastAsia="仿宋_GB2312"/>
          <w:color w:val="000000"/>
          <w:sz w:val="32"/>
          <w:szCs w:val="32"/>
        </w:rPr>
        <w:t>2080506</w:t>
      </w:r>
      <w:r>
        <w:rPr>
          <w:rFonts w:hint="eastAsia" w:ascii="仿宋_GB2312" w:eastAsia="仿宋_GB2312"/>
          <w:color w:val="000000"/>
          <w:sz w:val="32"/>
          <w:szCs w:val="32"/>
        </w:rPr>
        <w:t>：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年决算数为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22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96</w:t>
      </w:r>
      <w:r>
        <w:rPr>
          <w:rFonts w:hint="eastAsia" w:ascii="仿宋_GB2312" w:eastAsia="仿宋_GB2312"/>
          <w:color w:val="000000"/>
          <w:sz w:val="32"/>
          <w:szCs w:val="32"/>
        </w:rPr>
        <w:t>万元，完成预算</w:t>
      </w:r>
      <w:r>
        <w:rPr>
          <w:rFonts w:ascii="仿宋_GB2312" w:eastAsia="仿宋_GB2312"/>
          <w:color w:val="000000"/>
          <w:sz w:val="32"/>
          <w:szCs w:val="32"/>
        </w:rPr>
        <w:t>100%</w:t>
      </w:r>
      <w:r>
        <w:rPr>
          <w:rFonts w:hint="eastAsia" w:ascii="仿宋_GB2312" w:eastAsia="仿宋_GB2312"/>
          <w:color w:val="000000"/>
          <w:sz w:val="32"/>
          <w:szCs w:val="32"/>
        </w:rPr>
        <w:t>，决算数等于预算数。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医疗卫生和计划生育（类）行政事业单位医疗★（款）行政单位医疗★（项）</w:t>
      </w:r>
      <w:r>
        <w:rPr>
          <w:rFonts w:ascii="仿宋_GB2312" w:eastAsia="仿宋_GB2312"/>
          <w:color w:val="000000"/>
          <w:sz w:val="32"/>
          <w:szCs w:val="32"/>
        </w:rPr>
        <w:t>2101101</w:t>
      </w:r>
      <w:r>
        <w:rPr>
          <w:rFonts w:hint="eastAsia" w:ascii="仿宋_GB2312" w:eastAsia="仿宋_GB2312"/>
          <w:color w:val="000000"/>
          <w:sz w:val="32"/>
          <w:szCs w:val="32"/>
        </w:rPr>
        <w:t>：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年决算数为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26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eastAsia="仿宋_GB2312"/>
          <w:color w:val="000000"/>
          <w:sz w:val="32"/>
          <w:szCs w:val="32"/>
        </w:rPr>
        <w:t>万元，完成预算</w:t>
      </w:r>
      <w:r>
        <w:rPr>
          <w:rFonts w:ascii="仿宋_GB2312" w:eastAsia="仿宋_GB2312"/>
          <w:color w:val="000000"/>
          <w:sz w:val="32"/>
          <w:szCs w:val="32"/>
        </w:rPr>
        <w:t>100%</w:t>
      </w:r>
      <w:r>
        <w:rPr>
          <w:rFonts w:hint="eastAsia" w:ascii="仿宋_GB2312" w:eastAsia="仿宋_GB2312"/>
          <w:color w:val="000000"/>
          <w:sz w:val="32"/>
          <w:szCs w:val="32"/>
        </w:rPr>
        <w:t>，决算数等于预算数。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医疗卫生和计划生育（类）行政事业单位医疗★（款）公务员医疗补助★（项）</w:t>
      </w:r>
      <w:r>
        <w:rPr>
          <w:rFonts w:ascii="仿宋_GB2312" w:eastAsia="仿宋_GB2312"/>
          <w:color w:val="000000"/>
          <w:sz w:val="32"/>
          <w:szCs w:val="32"/>
        </w:rPr>
        <w:t>210110</w:t>
      </w:r>
      <w:r>
        <w:rPr>
          <w:rFonts w:hint="eastAsia" w:ascii="仿宋_GB2312" w:eastAsia="仿宋_GB2312"/>
          <w:color w:val="000000"/>
          <w:sz w:val="32"/>
          <w:szCs w:val="32"/>
        </w:rPr>
        <w:t>3：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年决算数为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000000"/>
          <w:sz w:val="32"/>
          <w:szCs w:val="32"/>
        </w:rPr>
        <w:t>万元，完成预算</w:t>
      </w:r>
      <w:r>
        <w:rPr>
          <w:rFonts w:ascii="仿宋_GB2312" w:eastAsia="仿宋_GB2312"/>
          <w:color w:val="000000"/>
          <w:sz w:val="32"/>
          <w:szCs w:val="32"/>
        </w:rPr>
        <w:t>100%</w:t>
      </w:r>
      <w:r>
        <w:rPr>
          <w:rFonts w:hint="eastAsia" w:ascii="仿宋_GB2312" w:eastAsia="仿宋_GB2312"/>
          <w:color w:val="000000"/>
          <w:sz w:val="32"/>
          <w:szCs w:val="32"/>
        </w:rPr>
        <w:t>，决算数等于预算数。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</w:rPr>
        <w:t>住房保障（类）住房改革支出（款）住房公积金（项）</w:t>
      </w:r>
      <w:r>
        <w:rPr>
          <w:rFonts w:ascii="仿宋_GB2312" w:eastAsia="仿宋_GB2312"/>
          <w:color w:val="000000"/>
          <w:sz w:val="32"/>
          <w:szCs w:val="32"/>
        </w:rPr>
        <w:t>2210201</w:t>
      </w:r>
      <w:r>
        <w:rPr>
          <w:rFonts w:hint="eastAsia" w:ascii="仿宋_GB2312" w:eastAsia="仿宋_GB2312"/>
          <w:color w:val="000000"/>
          <w:sz w:val="32"/>
          <w:szCs w:val="32"/>
        </w:rPr>
        <w:t>：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年决算数为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52</w:t>
      </w:r>
      <w:r>
        <w:rPr>
          <w:rFonts w:ascii="仿宋_GB2312" w:eastAsia="仿宋_GB2312"/>
          <w:color w:val="000000"/>
          <w:sz w:val="32"/>
          <w:szCs w:val="32"/>
        </w:rPr>
        <w:t>.1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万元，完成预算</w:t>
      </w:r>
      <w:r>
        <w:rPr>
          <w:rFonts w:ascii="仿宋_GB2312" w:eastAsia="仿宋_GB2312"/>
          <w:color w:val="000000"/>
          <w:sz w:val="32"/>
          <w:szCs w:val="32"/>
        </w:rPr>
        <w:t>100%</w:t>
      </w:r>
      <w:r>
        <w:rPr>
          <w:rFonts w:hint="eastAsia" w:ascii="仿宋_GB2312" w:eastAsia="仿宋_GB2312"/>
          <w:color w:val="000000"/>
          <w:sz w:val="32"/>
          <w:szCs w:val="32"/>
        </w:rPr>
        <w:t>，决算数等于预算数。</w:t>
      </w:r>
    </w:p>
    <w:p>
      <w:pPr>
        <w:tabs>
          <w:tab w:val="right" w:pos="8306"/>
        </w:tabs>
        <w:spacing w:line="600" w:lineRule="exact"/>
        <w:ind w:firstLine="640"/>
        <w:outlineLvl w:val="1"/>
        <w:rPr>
          <w:rStyle w:val="18"/>
          <w:color w:val="000000"/>
        </w:rPr>
      </w:pPr>
      <w:bookmarkStart w:id="37" w:name="_Toc15377214"/>
      <w:bookmarkStart w:id="38" w:name="_Toc15396608"/>
      <w:r>
        <w:rPr>
          <w:rFonts w:hint="eastAsia" w:ascii="黑体" w:eastAsia="黑体"/>
          <w:color w:val="000000"/>
          <w:sz w:val="32"/>
          <w:szCs w:val="32"/>
        </w:rPr>
        <w:t>六</w:t>
      </w:r>
      <w:r>
        <w:rPr>
          <w:rFonts w:hint="eastAsia" w:ascii="黑体" w:eastAsia="黑体"/>
          <w:b/>
          <w:color w:val="000000"/>
          <w:sz w:val="32"/>
          <w:szCs w:val="32"/>
        </w:rPr>
        <w:t>、一</w:t>
      </w:r>
      <w:r>
        <w:rPr>
          <w:rStyle w:val="18"/>
          <w:rFonts w:hint="eastAsia" w:ascii="黑体" w:eastAsia="黑体"/>
          <w:b w:val="0"/>
          <w:color w:val="000000"/>
        </w:rPr>
        <w:t>般公共预算财政拨款基本支出决算情况说明</w:t>
      </w:r>
      <w:bookmarkEnd w:id="37"/>
      <w:bookmarkEnd w:id="38"/>
      <w:r>
        <w:rPr>
          <w:rStyle w:val="18"/>
          <w:rFonts w:ascii="黑体" w:eastAsia="黑体"/>
          <w:b w:val="0"/>
          <w:color w:val="000000"/>
        </w:rPr>
        <w:tab/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39" w:name="_Toc15396609"/>
      <w:bookmarkStart w:id="40" w:name="_Toc15377215"/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年一般公共预算财政拨款基本支出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1695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19</w:t>
      </w:r>
      <w:r>
        <w:rPr>
          <w:rFonts w:hint="eastAsia" w:ascii="仿宋_GB2312" w:eastAsia="仿宋_GB2312"/>
          <w:color w:val="00000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人员经费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720.94</w:t>
      </w:r>
      <w:r>
        <w:rPr>
          <w:rFonts w:hint="eastAsia" w:ascii="仿宋_GB2312" w:eastAsia="仿宋_GB2312"/>
          <w:color w:val="000000"/>
          <w:sz w:val="32"/>
          <w:szCs w:val="32"/>
        </w:rPr>
        <w:t>万元，主要包括：基本工资、津贴补贴、奖金、伙食补助费、绩效工资、机关事业单位基本养老保险缴费、职业年金缴费、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其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他社会保障缴费、其他工资福利支出、离休费、退休费、抚恤金、生活补助、医疗费补助、奖励金、住房公积金、其他对个人和家庭的补助支出等。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日常公用经费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974</w:t>
      </w:r>
      <w:r>
        <w:rPr>
          <w:rFonts w:hint="eastAsia"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26</w:t>
      </w:r>
      <w:r>
        <w:rPr>
          <w:rFonts w:hint="eastAsia" w:ascii="仿宋_GB2312" w:eastAsia="仿宋_GB2312"/>
          <w:color w:val="000000"/>
          <w:sz w:val="32"/>
          <w:szCs w:val="32"/>
        </w:rPr>
        <w:t>万元，主要包括：办公费、印刷费、咨询费、手续费、水费、电费、邮电费、取暖费、物业管理费、差旅费、因公出国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（境）费用、维修（护）费、租赁费、会议费、培训费、公务接待费、劳务费、委托业务费、工会经费、福利费、公务用车运行维护费、其他交通费、税金及附加费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用、其他商品和服务支出、办公设备购置、专用设备购置、信息网络及软件购置更新、其他资本性支出等。</w:t>
      </w:r>
    </w:p>
    <w:p>
      <w:pPr>
        <w:spacing w:line="600" w:lineRule="exact"/>
        <w:ind w:firstLine="640"/>
        <w:outlineLvl w:val="1"/>
        <w:rPr>
          <w:rStyle w:val="18"/>
          <w:rFonts w:ascii="黑体" w:eastAsia="黑体"/>
          <w:b w:val="0"/>
          <w:color w:val="000000"/>
        </w:rPr>
      </w:pPr>
      <w:r>
        <w:rPr>
          <w:rFonts w:hint="eastAsia" w:ascii="黑体" w:eastAsia="黑体"/>
          <w:color w:val="000000"/>
          <w:sz w:val="32"/>
          <w:szCs w:val="32"/>
        </w:rPr>
        <w:t>七、</w:t>
      </w:r>
      <w:r>
        <w:rPr>
          <w:rStyle w:val="18"/>
          <w:rFonts w:hint="eastAsia" w:ascii="黑体" w:eastAsia="黑体"/>
          <w:color w:val="000000"/>
        </w:rPr>
        <w:t>“</w:t>
      </w:r>
      <w:r>
        <w:rPr>
          <w:rStyle w:val="18"/>
          <w:rFonts w:hint="eastAsia" w:ascii="黑体" w:eastAsia="黑体"/>
          <w:b w:val="0"/>
          <w:color w:val="000000"/>
        </w:rPr>
        <w:t>三公”经费财政拨款支出决算情况说明</w:t>
      </w:r>
      <w:bookmarkEnd w:id="39"/>
      <w:bookmarkEnd w:id="40"/>
    </w:p>
    <w:p>
      <w:pPr>
        <w:spacing w:line="600" w:lineRule="exact"/>
        <w:ind w:firstLine="640"/>
        <w:outlineLvl w:val="2"/>
        <w:rPr>
          <w:rFonts w:ascii="仿宋" w:eastAsia="仿宋"/>
          <w:b/>
          <w:color w:val="000000"/>
          <w:sz w:val="32"/>
          <w:szCs w:val="32"/>
        </w:rPr>
      </w:pPr>
      <w:bookmarkStart w:id="41" w:name="_Toc15377216"/>
      <w:r>
        <w:rPr>
          <w:rFonts w:hint="eastAsia" w:ascii="仿宋" w:eastAsia="仿宋"/>
          <w:b/>
          <w:color w:val="000000"/>
          <w:sz w:val="32"/>
          <w:szCs w:val="32"/>
        </w:rPr>
        <w:t>（一）“三公”经费财政拨款支出决算总体情况说明</w:t>
      </w:r>
      <w:bookmarkEnd w:id="41"/>
    </w:p>
    <w:p>
      <w:pPr>
        <w:widowControl/>
        <w:spacing w:line="560" w:lineRule="exact"/>
        <w:ind w:firstLine="640" w:firstLineChars="2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“三公”经费财政拨款支出决算为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124.39</w:t>
      </w:r>
      <w:r>
        <w:rPr>
          <w:rFonts w:hint="eastAsia" w:ascii="仿宋_GB2312" w:eastAsia="仿宋_GB2312"/>
          <w:color w:val="000000"/>
          <w:sz w:val="32"/>
          <w:szCs w:val="32"/>
        </w:rPr>
        <w:t>万元，完成预算</w:t>
      </w:r>
      <w:r>
        <w:rPr>
          <w:rFonts w:ascii="仿宋_GB2312" w:eastAsia="仿宋_GB2312"/>
          <w:color w:val="000000"/>
          <w:sz w:val="32"/>
          <w:szCs w:val="32"/>
        </w:rPr>
        <w:t>100%</w:t>
      </w:r>
      <w:r>
        <w:rPr>
          <w:rFonts w:hint="eastAsia" w:ascii="仿宋_GB2312" w:eastAsia="仿宋_GB2312"/>
          <w:color w:val="000000"/>
          <w:sz w:val="32"/>
          <w:szCs w:val="32"/>
        </w:rPr>
        <w:t>，其中：无因公出国（境）费支出；公务用车购置及运行维护费支出决算为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123</w:t>
      </w:r>
      <w:r>
        <w:rPr>
          <w:rFonts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85</w:t>
      </w:r>
      <w:r>
        <w:rPr>
          <w:rFonts w:hint="eastAsia" w:ascii="仿宋_GB2312" w:eastAsia="仿宋_GB2312"/>
          <w:color w:val="000000"/>
          <w:sz w:val="32"/>
          <w:szCs w:val="32"/>
        </w:rPr>
        <w:t>万元，完成预算</w:t>
      </w:r>
      <w:r>
        <w:rPr>
          <w:rFonts w:ascii="仿宋_GB2312" w:eastAsia="仿宋_GB2312"/>
          <w:color w:val="000000"/>
          <w:sz w:val="32"/>
          <w:szCs w:val="32"/>
        </w:rPr>
        <w:t>100%</w:t>
      </w:r>
      <w:r>
        <w:rPr>
          <w:rFonts w:hint="eastAsia" w:ascii="仿宋_GB2312" w:eastAsia="仿宋_GB2312"/>
          <w:color w:val="000000"/>
          <w:sz w:val="32"/>
          <w:szCs w:val="32"/>
        </w:rPr>
        <w:t>；公务接待费支出决算为</w:t>
      </w:r>
      <w:r>
        <w:rPr>
          <w:rFonts w:ascii="仿宋_GB2312" w:eastAsia="仿宋_GB2312"/>
          <w:color w:val="000000"/>
          <w:sz w:val="32"/>
          <w:szCs w:val="32"/>
        </w:rPr>
        <w:t>0.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54</w:t>
      </w:r>
      <w:r>
        <w:rPr>
          <w:rFonts w:hint="eastAsia" w:ascii="仿宋_GB2312" w:eastAsia="仿宋_GB2312"/>
          <w:color w:val="000000"/>
          <w:sz w:val="32"/>
          <w:szCs w:val="32"/>
        </w:rPr>
        <w:t>万元，完成预算</w:t>
      </w:r>
      <w:r>
        <w:rPr>
          <w:rFonts w:ascii="仿宋_GB2312" w:eastAsia="仿宋_GB2312"/>
          <w:color w:val="000000"/>
          <w:sz w:val="32"/>
          <w:szCs w:val="32"/>
        </w:rPr>
        <w:t>100%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600" w:lineRule="exact"/>
        <w:ind w:firstLine="640"/>
        <w:outlineLvl w:val="2"/>
        <w:rPr>
          <w:rFonts w:ascii="仿宋" w:eastAsia="仿宋"/>
          <w:b/>
          <w:color w:val="000000"/>
          <w:sz w:val="32"/>
          <w:szCs w:val="32"/>
        </w:rPr>
      </w:pPr>
      <w:bookmarkStart w:id="42" w:name="_Toc15377217"/>
      <w:r>
        <w:rPr>
          <w:rFonts w:hint="eastAsia" w:ascii="仿宋" w:eastAsia="仿宋"/>
          <w:b/>
          <w:color w:val="000000"/>
          <w:sz w:val="32"/>
          <w:szCs w:val="32"/>
        </w:rPr>
        <w:t>（二）“三公”经费财政拨款支出决算具体情况说明</w:t>
      </w:r>
      <w:bookmarkEnd w:id="42"/>
    </w:p>
    <w:p>
      <w:pPr>
        <w:spacing w:line="600" w:lineRule="exact"/>
        <w:ind w:firstLine="640"/>
        <w:rPr>
          <w:rFonts w:ascii="仿宋" w:eastAsia="仿宋"/>
          <w:color w:val="000000"/>
          <w:sz w:val="32"/>
          <w:szCs w:val="32"/>
        </w:rPr>
      </w:pPr>
      <w:bookmarkStart w:id="43" w:name="_Toc15377218"/>
      <w:bookmarkStart w:id="44" w:name="_Toc15396610"/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2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ascii="仿宋" w:eastAsia="仿宋"/>
          <w:color w:val="000000"/>
          <w:sz w:val="32"/>
          <w:szCs w:val="32"/>
        </w:rPr>
        <w:t xml:space="preserve"> </w:t>
      </w:r>
      <w:r>
        <w:rPr>
          <w:rFonts w:hint="eastAsia" w:ascii="仿宋" w:eastAsia="仿宋"/>
          <w:color w:val="000000"/>
          <w:sz w:val="32"/>
          <w:szCs w:val="32"/>
        </w:rPr>
        <w:t>年“三公”经费财政拨款支出决算中，因公出国（境）费支出决算</w:t>
      </w:r>
      <w:r>
        <w:rPr>
          <w:rFonts w:ascii="仿宋" w:eastAsia="仿宋"/>
          <w:color w:val="000000"/>
          <w:sz w:val="32"/>
          <w:szCs w:val="32"/>
        </w:rPr>
        <w:t>0.00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 xml:space="preserve"> 0.00%</w:t>
      </w:r>
      <w:r>
        <w:rPr>
          <w:rFonts w:hint="eastAsia" w:ascii="仿宋" w:eastAsia="仿宋"/>
          <w:color w:val="000000"/>
          <w:sz w:val="32"/>
          <w:szCs w:val="32"/>
        </w:rPr>
        <w:t>；公务用车购置及运行维护费支出决算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123</w:t>
      </w:r>
      <w:r>
        <w:rPr>
          <w:rFonts w:ascii="仿宋_GB2312" w:eastAsia="仿宋_GB2312"/>
          <w:color w:val="000000"/>
          <w:sz w:val="32"/>
          <w:szCs w:val="32"/>
        </w:rPr>
        <w:t>.8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ascii="仿宋" w:eastAsia="仿宋"/>
          <w:color w:val="000000"/>
          <w:sz w:val="32"/>
          <w:szCs w:val="32"/>
        </w:rPr>
        <w:t>99</w:t>
      </w:r>
      <w:r>
        <w:rPr>
          <w:rFonts w:hint="eastAsia"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57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；公务接待费支出决算</w:t>
      </w:r>
      <w:r>
        <w:rPr>
          <w:rFonts w:ascii="仿宋" w:eastAsia="仿宋"/>
          <w:color w:val="000000"/>
          <w:sz w:val="32"/>
          <w:szCs w:val="32"/>
        </w:rPr>
        <w:t>0.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54</w:t>
      </w:r>
      <w:r>
        <w:rPr>
          <w:rFonts w:hint="eastAsia" w:ascii="仿宋" w:eastAsia="仿宋"/>
          <w:color w:val="000000"/>
          <w:sz w:val="32"/>
          <w:szCs w:val="32"/>
        </w:rPr>
        <w:t>万元，占0.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43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。具体情况如下：</w:t>
      </w: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ascii="仿宋_GB2312" w:eastAsia="仿宋_GB2312" w:cs="宋体"/>
          <w:color w:val="000000"/>
          <w:kern w:val="0"/>
          <w:sz w:val="24"/>
        </w:rPr>
      </w:pPr>
      <w:r>
        <w:rPr>
          <w:rFonts w:ascii="仿宋_GB2312" w:eastAsia="仿宋_GB2312" w:cs="宋体"/>
          <w:color w:val="000000"/>
          <w:kern w:val="0"/>
          <w:sz w:val="24"/>
        </w:rPr>
        <w:drawing>
          <wp:anchor distT="718820" distB="1114425" distL="2619375" distR="761365" simplePos="0" relativeHeight="251659264" behindDoc="0" locked="0" layoutInCell="1" allowOverlap="1">
            <wp:simplePos x="0" y="0"/>
            <wp:positionH relativeFrom="column">
              <wp:posOffset>595630</wp:posOffset>
            </wp:positionH>
            <wp:positionV relativeFrom="paragraph">
              <wp:posOffset>422275</wp:posOffset>
            </wp:positionV>
            <wp:extent cx="4533900" cy="2203450"/>
            <wp:effectExtent l="0" t="0" r="0" b="0"/>
            <wp:wrapNone/>
            <wp:docPr id="15" name="对象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  <w:r>
        <w:rPr>
          <w:rFonts w:hint="eastAsia" w:ascii="仿宋_GB2312" w:eastAsia="仿宋_GB2312" w:cs="宋体"/>
          <w:color w:val="000000"/>
          <w:kern w:val="0"/>
          <w:sz w:val="24"/>
        </w:rPr>
        <w:t>（图</w:t>
      </w:r>
      <w:r>
        <w:rPr>
          <w:rFonts w:ascii="仿宋_GB2312" w:eastAsia="仿宋_GB2312" w:cs="宋体"/>
          <w:color w:val="000000"/>
          <w:kern w:val="0"/>
          <w:sz w:val="24"/>
        </w:rPr>
        <w:t>7</w:t>
      </w:r>
      <w:r>
        <w:rPr>
          <w:rFonts w:hint="eastAsia" w:ascii="仿宋_GB2312" w:eastAsia="仿宋_GB2312" w:cs="宋体"/>
          <w:color w:val="000000"/>
          <w:kern w:val="0"/>
          <w:sz w:val="24"/>
        </w:rPr>
        <w:t>：“三公”经费财政拨款支出结构）（饼状图）</w:t>
      </w: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ascii="仿宋_GB2312" w:eastAsia="仿宋_GB2312" w:cs="宋体"/>
          <w:color w:val="000000"/>
          <w:kern w:val="0"/>
          <w:sz w:val="24"/>
        </w:rPr>
      </w:pP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ascii="仿宋_GB2312" w:eastAsia="仿宋_GB2312" w:cs="宋体"/>
          <w:color w:val="000000"/>
          <w:kern w:val="0"/>
          <w:sz w:val="24"/>
        </w:rPr>
      </w:pP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ascii="仿宋_GB2312" w:eastAsia="仿宋_GB2312" w:cs="宋体"/>
          <w:color w:val="000000"/>
          <w:kern w:val="0"/>
          <w:sz w:val="24"/>
        </w:rPr>
      </w:pP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ascii="仿宋_GB2312" w:eastAsia="仿宋_GB2312" w:cs="宋体"/>
          <w:color w:val="000000"/>
          <w:kern w:val="0"/>
          <w:sz w:val="24"/>
        </w:rPr>
      </w:pP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ascii="仿宋_GB2312" w:eastAsia="仿宋_GB2312" w:cs="宋体"/>
          <w:color w:val="000000"/>
          <w:kern w:val="0"/>
          <w:sz w:val="24"/>
        </w:rPr>
      </w:pPr>
    </w:p>
    <w:p>
      <w:pPr>
        <w:widowControl/>
        <w:shd w:val="clear" w:color="auto" w:fill="FFFFFF"/>
        <w:spacing w:before="100" w:beforeAutospacing="1" w:after="100" w:afterAutospacing="1"/>
        <w:jc w:val="center"/>
        <w:rPr>
          <w:rFonts w:ascii="宋体" w:cs="宋体"/>
          <w:color w:val="000000"/>
          <w:kern w:val="0"/>
          <w:sz w:val="18"/>
          <w:szCs w:val="18"/>
        </w:rPr>
      </w:pPr>
    </w:p>
    <w:p>
      <w:pPr>
        <w:spacing w:line="560" w:lineRule="exact"/>
        <w:ind w:firstLine="640"/>
        <w:rPr>
          <w:rFonts w:ascii="仿宋" w:eastAsia="仿宋"/>
          <w:color w:val="000000"/>
          <w:sz w:val="32"/>
          <w:szCs w:val="32"/>
        </w:rPr>
      </w:pPr>
    </w:p>
    <w:p>
      <w:pPr>
        <w:spacing w:line="560" w:lineRule="exact"/>
        <w:ind w:firstLine="640"/>
        <w:rPr>
          <w:rFonts w:ascii="仿宋" w:eastAsia="仿宋"/>
          <w:color w:val="000000"/>
          <w:sz w:val="32"/>
          <w:szCs w:val="32"/>
        </w:rPr>
      </w:pPr>
    </w:p>
    <w:p>
      <w:pPr>
        <w:spacing w:line="56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t>1.</w:t>
      </w:r>
      <w:r>
        <w:rPr>
          <w:rFonts w:ascii="仿宋_GB2312" w:eastAsia="仿宋_GB2312"/>
          <w:color w:val="000000"/>
          <w:sz w:val="32"/>
          <w:szCs w:val="32"/>
        </w:rPr>
        <w:t xml:space="preserve"> 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年、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年无因公出国（境）费预算和支出。</w:t>
      </w:r>
    </w:p>
    <w:p>
      <w:pPr>
        <w:spacing w:line="600" w:lineRule="exact"/>
        <w:ind w:firstLine="640"/>
        <w:rPr>
          <w:rFonts w:ascii="仿宋" w:eastAsia="仿宋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t>2.</w:t>
      </w:r>
      <w:r>
        <w:rPr>
          <w:rFonts w:hint="eastAsia" w:ascii="仿宋" w:eastAsia="仿宋"/>
          <w:color w:val="000000"/>
          <w:sz w:val="32"/>
          <w:szCs w:val="32"/>
        </w:rPr>
        <w:t>公务用车购置及运行维护费支出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123</w:t>
      </w:r>
      <w:r>
        <w:rPr>
          <w:rFonts w:ascii="仿宋" w:eastAsia="仿宋"/>
          <w:color w:val="000000"/>
          <w:sz w:val="32"/>
          <w:szCs w:val="32"/>
        </w:rPr>
        <w:t>.8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" w:eastAsia="仿宋"/>
          <w:color w:val="000000"/>
          <w:sz w:val="32"/>
          <w:szCs w:val="32"/>
        </w:rPr>
        <w:t>万元</w:t>
      </w:r>
      <w:r>
        <w:rPr>
          <w:rFonts w:ascii="仿宋" w:eastAsia="仿宋"/>
          <w:color w:val="000000"/>
          <w:sz w:val="32"/>
          <w:szCs w:val="32"/>
        </w:rPr>
        <w:t>,</w:t>
      </w:r>
      <w:r>
        <w:rPr>
          <w:rFonts w:hint="eastAsia" w:ascii="仿宋" w:eastAsia="仿宋"/>
          <w:color w:val="000000"/>
          <w:sz w:val="32"/>
          <w:szCs w:val="32"/>
        </w:rPr>
        <w:t>完成预算</w:t>
      </w:r>
      <w:r>
        <w:rPr>
          <w:rFonts w:ascii="仿宋" w:eastAsia="仿宋"/>
          <w:color w:val="000000"/>
          <w:sz w:val="32"/>
          <w:szCs w:val="32"/>
        </w:rPr>
        <w:t>100%</w:t>
      </w:r>
      <w:r>
        <w:rPr>
          <w:rFonts w:hint="eastAsia" w:ascii="仿宋" w:eastAsia="仿宋"/>
          <w:color w:val="000000"/>
          <w:sz w:val="32"/>
          <w:szCs w:val="32"/>
        </w:rPr>
        <w:t>。公务用车购置及运行维护费支出决算比</w:t>
      </w: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年增加</w:t>
      </w:r>
      <w:r>
        <w:rPr>
          <w:rFonts w:ascii="仿宋" w:eastAsia="仿宋"/>
          <w:color w:val="000000"/>
          <w:sz w:val="32"/>
          <w:szCs w:val="32"/>
        </w:rPr>
        <w:t>1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4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79</w:t>
      </w:r>
      <w:r>
        <w:rPr>
          <w:rFonts w:hint="eastAsia" w:ascii="仿宋" w:eastAsia="仿宋"/>
          <w:color w:val="000000"/>
          <w:sz w:val="32"/>
          <w:szCs w:val="32"/>
        </w:rPr>
        <w:t>万元，增长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13</w:t>
      </w:r>
      <w:r>
        <w:rPr>
          <w:rFonts w:ascii="仿宋" w:eastAsia="仿宋"/>
          <w:color w:val="000000"/>
          <w:sz w:val="32"/>
          <w:szCs w:val="32"/>
        </w:rPr>
        <w:t>.7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5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。主要原因是业务工作相对开展得较多。其中：公务用车购置支出</w:t>
      </w:r>
      <w:r>
        <w:rPr>
          <w:rFonts w:ascii="仿宋" w:eastAsia="仿宋"/>
          <w:color w:val="000000"/>
          <w:sz w:val="32"/>
          <w:szCs w:val="32"/>
        </w:rPr>
        <w:t>5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7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" w:eastAsia="仿宋"/>
          <w:color w:val="000000"/>
          <w:sz w:val="32"/>
          <w:szCs w:val="32"/>
        </w:rPr>
        <w:t>万元，按规定更新购置公务用车</w:t>
      </w:r>
      <w:r>
        <w:rPr>
          <w:rFonts w:ascii="仿宋" w:eastAsia="仿宋"/>
          <w:color w:val="000000"/>
          <w:sz w:val="32"/>
          <w:szCs w:val="32"/>
        </w:rPr>
        <w:t>1</w:t>
      </w:r>
      <w:r>
        <w:rPr>
          <w:rFonts w:hint="eastAsia" w:ascii="仿宋" w:eastAsia="仿宋"/>
          <w:color w:val="000000"/>
          <w:sz w:val="32"/>
          <w:szCs w:val="32"/>
        </w:rPr>
        <w:t>辆，金额5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" w:eastAsia="仿宋"/>
          <w:color w:val="000000"/>
          <w:sz w:val="32"/>
          <w:szCs w:val="32"/>
        </w:rPr>
        <w:t>0万元。截至</w:t>
      </w: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2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eastAsia="仿宋"/>
          <w:color w:val="000000"/>
          <w:sz w:val="32"/>
          <w:szCs w:val="32"/>
        </w:rPr>
        <w:t>年</w:t>
      </w:r>
      <w:r>
        <w:rPr>
          <w:rFonts w:ascii="仿宋" w:eastAsia="仿宋"/>
          <w:color w:val="000000"/>
          <w:sz w:val="32"/>
          <w:szCs w:val="32"/>
        </w:rPr>
        <w:t>12</w:t>
      </w:r>
      <w:r>
        <w:rPr>
          <w:rFonts w:hint="eastAsia" w:ascii="仿宋" w:eastAsia="仿宋"/>
          <w:color w:val="000000"/>
          <w:sz w:val="32"/>
          <w:szCs w:val="32"/>
        </w:rPr>
        <w:t>月底，单位共有公务用车</w:t>
      </w:r>
      <w:r>
        <w:rPr>
          <w:rFonts w:ascii="仿宋" w:eastAsia="仿宋"/>
          <w:color w:val="000000"/>
          <w:sz w:val="32"/>
          <w:szCs w:val="32"/>
        </w:rPr>
        <w:t xml:space="preserve"> 7</w:t>
      </w:r>
      <w:r>
        <w:rPr>
          <w:rFonts w:hint="eastAsia" w:ascii="仿宋" w:eastAsia="仿宋"/>
          <w:color w:val="000000"/>
          <w:sz w:val="32"/>
          <w:szCs w:val="32"/>
        </w:rPr>
        <w:t>辆，其中：主要领导干部用车0辆、机要通信用车</w:t>
      </w:r>
      <w:r>
        <w:rPr>
          <w:rFonts w:ascii="仿宋" w:eastAsia="仿宋"/>
          <w:color w:val="000000"/>
          <w:sz w:val="32"/>
          <w:szCs w:val="32"/>
        </w:rPr>
        <w:t>0</w:t>
      </w:r>
      <w:r>
        <w:rPr>
          <w:rFonts w:hint="eastAsia" w:ascii="仿宋" w:eastAsia="仿宋"/>
          <w:color w:val="000000"/>
          <w:sz w:val="32"/>
          <w:szCs w:val="32"/>
        </w:rPr>
        <w:t>辆、应急保障用车7辆、执法执勤用车</w:t>
      </w:r>
      <w:r>
        <w:rPr>
          <w:rFonts w:ascii="仿宋" w:eastAsia="仿宋"/>
          <w:color w:val="000000"/>
          <w:sz w:val="32"/>
          <w:szCs w:val="32"/>
        </w:rPr>
        <w:t>0</w:t>
      </w:r>
      <w:r>
        <w:rPr>
          <w:rFonts w:hint="eastAsia" w:ascii="仿宋" w:eastAsia="仿宋"/>
          <w:color w:val="000000"/>
          <w:sz w:val="32"/>
          <w:szCs w:val="32"/>
        </w:rPr>
        <w:t>辆、特种专业技术用车</w:t>
      </w:r>
      <w:r>
        <w:rPr>
          <w:rFonts w:ascii="仿宋" w:eastAsia="仿宋"/>
          <w:color w:val="000000"/>
          <w:sz w:val="32"/>
          <w:szCs w:val="32"/>
        </w:rPr>
        <w:t xml:space="preserve">0 </w:t>
      </w:r>
      <w:r>
        <w:rPr>
          <w:rFonts w:hint="eastAsia" w:ascii="仿宋" w:eastAsia="仿宋"/>
          <w:color w:val="000000"/>
          <w:sz w:val="32"/>
          <w:szCs w:val="32"/>
        </w:rPr>
        <w:t>辆、离退休干部用车</w:t>
      </w:r>
      <w:r>
        <w:rPr>
          <w:rFonts w:ascii="仿宋" w:eastAsia="仿宋"/>
          <w:color w:val="000000"/>
          <w:sz w:val="32"/>
          <w:szCs w:val="32"/>
        </w:rPr>
        <w:t>0</w:t>
      </w:r>
      <w:r>
        <w:rPr>
          <w:rFonts w:hint="eastAsia" w:ascii="仿宋" w:eastAsia="仿宋"/>
          <w:color w:val="000000"/>
          <w:sz w:val="32"/>
          <w:szCs w:val="32"/>
        </w:rPr>
        <w:t>辆、其他用车</w:t>
      </w:r>
      <w:r>
        <w:rPr>
          <w:rFonts w:ascii="仿宋" w:eastAsia="仿宋"/>
          <w:color w:val="000000"/>
          <w:sz w:val="32"/>
          <w:szCs w:val="32"/>
        </w:rPr>
        <w:t>0</w:t>
      </w:r>
      <w:r>
        <w:rPr>
          <w:rFonts w:hint="eastAsia" w:ascii="仿宋" w:eastAsia="仿宋"/>
          <w:color w:val="000000"/>
          <w:sz w:val="32"/>
          <w:szCs w:val="32"/>
        </w:rPr>
        <w:t>辆。</w:t>
      </w:r>
    </w:p>
    <w:p>
      <w:pPr>
        <w:spacing w:line="600" w:lineRule="exact"/>
        <w:ind w:firstLine="640"/>
        <w:rPr>
          <w:rFonts w:ascii="仿宋" w:eastAsia="仿宋"/>
          <w:color w:val="000000"/>
          <w:sz w:val="32"/>
          <w:szCs w:val="32"/>
        </w:rPr>
      </w:pPr>
      <w:r>
        <w:rPr>
          <w:rFonts w:hint="eastAsia" w:ascii="仿宋" w:eastAsia="仿宋"/>
          <w:color w:val="000000"/>
          <w:sz w:val="32"/>
          <w:szCs w:val="32"/>
        </w:rPr>
        <w:t>公务用车运行维护费支出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66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05</w:t>
      </w:r>
      <w:r>
        <w:rPr>
          <w:rFonts w:hint="eastAsia" w:ascii="仿宋" w:eastAsia="仿宋"/>
          <w:color w:val="000000"/>
          <w:sz w:val="32"/>
          <w:szCs w:val="32"/>
        </w:rPr>
        <w:t>万元。主要用于开展维稳综治工作等所需的公务用车燃料费、维修费、过路过桥费、保险费等支出。</w:t>
      </w:r>
    </w:p>
    <w:p>
      <w:pPr>
        <w:spacing w:line="560" w:lineRule="exact"/>
        <w:ind w:firstLine="640"/>
        <w:rPr>
          <w:rFonts w:ascii="仿宋" w:eastAsia="仿宋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t>3.</w:t>
      </w:r>
      <w:r>
        <w:rPr>
          <w:rFonts w:hint="eastAsia" w:ascii="仿宋" w:eastAsia="仿宋"/>
          <w:color w:val="000000"/>
          <w:sz w:val="32"/>
          <w:szCs w:val="32"/>
        </w:rPr>
        <w:t>公务接待费支出</w:t>
      </w:r>
      <w:r>
        <w:rPr>
          <w:rFonts w:ascii="仿宋" w:eastAsia="仿宋"/>
          <w:color w:val="000000"/>
          <w:sz w:val="32"/>
          <w:szCs w:val="32"/>
        </w:rPr>
        <w:t>0.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54</w:t>
      </w:r>
      <w:r>
        <w:rPr>
          <w:rFonts w:hint="eastAsia" w:ascii="仿宋" w:eastAsia="仿宋"/>
          <w:color w:val="000000"/>
          <w:sz w:val="32"/>
          <w:szCs w:val="32"/>
        </w:rPr>
        <w:t>万元，</w:t>
      </w:r>
      <w:r>
        <w:rPr>
          <w:rFonts w:hint="eastAsia" w:ascii="仿宋_GB2312" w:eastAsia="仿宋_GB2312"/>
          <w:color w:val="000000"/>
          <w:sz w:val="32"/>
          <w:szCs w:val="32"/>
        </w:rPr>
        <w:t>主要用于执行公务、开展业务活动开支的交通费、住宿费、用餐费等。</w:t>
      </w:r>
      <w:r>
        <w:rPr>
          <w:rFonts w:hint="eastAsia" w:ascii="仿宋" w:eastAsia="仿宋"/>
          <w:color w:val="000000"/>
          <w:sz w:val="32"/>
          <w:szCs w:val="32"/>
        </w:rPr>
        <w:t>公务接待费支出决算比</w:t>
      </w: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年</w:t>
      </w:r>
      <w:r>
        <w:rPr>
          <w:rFonts w:hint="eastAsia" w:ascii="仿宋" w:eastAsia="仿宋"/>
          <w:color w:val="000000"/>
          <w:sz w:val="32"/>
          <w:szCs w:val="32"/>
          <w:lang w:eastAsia="zh-CN"/>
        </w:rPr>
        <w:t>减少</w:t>
      </w:r>
      <w:r>
        <w:rPr>
          <w:rFonts w:ascii="仿宋" w:eastAsia="仿宋"/>
          <w:color w:val="000000"/>
          <w:sz w:val="32"/>
          <w:szCs w:val="32"/>
        </w:rPr>
        <w:t>0.</w:t>
      </w:r>
      <w:r>
        <w:rPr>
          <w:rFonts w:hint="eastAsia" w:ascii="仿宋" w:eastAsia="仿宋"/>
          <w:color w:val="000000"/>
          <w:sz w:val="32"/>
          <w:szCs w:val="32"/>
        </w:rPr>
        <w:t>1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" w:eastAsia="仿宋"/>
          <w:color w:val="000000"/>
          <w:sz w:val="32"/>
          <w:szCs w:val="32"/>
        </w:rPr>
        <w:t>万元。主要原因是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是委机关严格执行八项规定和公务接待相关规定。</w:t>
      </w:r>
      <w:r>
        <w:rPr>
          <w:rFonts w:hint="eastAsia" w:ascii="仿宋" w:eastAsia="仿宋"/>
          <w:color w:val="000000"/>
          <w:sz w:val="32"/>
          <w:szCs w:val="32"/>
        </w:rPr>
        <w:t>其中：国内公务接待</w:t>
      </w:r>
      <w:r>
        <w:rPr>
          <w:rFonts w:hint="eastAsia" w:ascii="仿宋" w:eastAsia="仿宋"/>
          <w:color w:val="000000" w:themeColor="text1"/>
          <w:sz w:val="32"/>
          <w:szCs w:val="32"/>
        </w:rPr>
        <w:t>支出</w:t>
      </w:r>
      <w:r>
        <w:rPr>
          <w:rFonts w:ascii="仿宋" w:eastAsia="仿宋"/>
          <w:color w:val="000000" w:themeColor="text1"/>
          <w:sz w:val="32"/>
          <w:szCs w:val="32"/>
        </w:rPr>
        <w:t>0.</w:t>
      </w:r>
      <w:r>
        <w:rPr>
          <w:rFonts w:hint="eastAsia" w:ascii="仿宋" w:eastAsia="仿宋"/>
          <w:color w:val="000000" w:themeColor="text1"/>
          <w:sz w:val="32"/>
          <w:szCs w:val="32"/>
          <w:lang w:val="en-US" w:eastAsia="zh-CN"/>
        </w:rPr>
        <w:t>54</w:t>
      </w:r>
      <w:r>
        <w:rPr>
          <w:rFonts w:hint="eastAsia" w:ascii="仿宋" w:eastAsia="仿宋"/>
          <w:color w:val="000000" w:themeColor="text1"/>
          <w:sz w:val="32"/>
          <w:szCs w:val="32"/>
        </w:rPr>
        <w:t>万元，</w:t>
      </w:r>
      <w:r>
        <w:rPr>
          <w:rFonts w:hint="eastAsia" w:ascii="仿宋" w:eastAsia="仿宋"/>
          <w:color w:val="000000" w:themeColor="text1"/>
          <w:sz w:val="32"/>
          <w:szCs w:val="32"/>
          <w:lang w:val="en-US" w:eastAsia="zh-CN"/>
        </w:rPr>
        <w:t>3</w:t>
      </w:r>
      <w:r>
        <w:rPr>
          <w:rFonts w:hint="eastAsia" w:ascii="仿宋" w:eastAsia="仿宋"/>
          <w:color w:val="000000" w:themeColor="text1"/>
          <w:sz w:val="32"/>
          <w:szCs w:val="32"/>
        </w:rPr>
        <w:t>批次，共</w:t>
      </w:r>
      <w:r>
        <w:rPr>
          <w:rFonts w:hint="eastAsia" w:ascii="仿宋" w:eastAsia="仿宋"/>
          <w:color w:val="000000" w:themeColor="text1"/>
          <w:sz w:val="32"/>
          <w:szCs w:val="32"/>
          <w:lang w:val="en-US" w:eastAsia="zh-CN"/>
        </w:rPr>
        <w:t>45</w:t>
      </w:r>
      <w:r>
        <w:rPr>
          <w:rFonts w:hint="eastAsia" w:ascii="仿宋" w:eastAsia="仿宋"/>
          <w:color w:val="000000" w:themeColor="text1"/>
          <w:sz w:val="32"/>
          <w:szCs w:val="32"/>
        </w:rPr>
        <w:t>人次（不包括陪同人员）。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无</w:t>
      </w:r>
      <w:r>
        <w:rPr>
          <w:rFonts w:hint="eastAsia" w:ascii="仿宋_GB2312" w:eastAsia="仿宋_GB2312"/>
          <w:color w:val="000000"/>
          <w:sz w:val="32"/>
          <w:szCs w:val="32"/>
        </w:rPr>
        <w:t>外事接待费用支出。</w:t>
      </w:r>
    </w:p>
    <w:p>
      <w:pPr>
        <w:spacing w:line="600" w:lineRule="exact"/>
        <w:ind w:firstLine="640"/>
        <w:outlineLvl w:val="1"/>
        <w:rPr>
          <w:rStyle w:val="18"/>
          <w:rFonts w:ascii="黑体" w:eastAsia="黑体"/>
          <w:color w:val="000000"/>
        </w:rPr>
      </w:pPr>
      <w:r>
        <w:rPr>
          <w:rFonts w:hint="eastAsia" w:ascii="黑体" w:eastAsia="黑体"/>
          <w:color w:val="000000"/>
          <w:sz w:val="32"/>
          <w:szCs w:val="32"/>
        </w:rPr>
        <w:t>八、</w:t>
      </w:r>
      <w:r>
        <w:rPr>
          <w:rStyle w:val="18"/>
          <w:rFonts w:hint="eastAsia" w:ascii="黑体" w:eastAsia="黑体"/>
          <w:b w:val="0"/>
          <w:color w:val="000000"/>
        </w:rPr>
        <w:t>政府性基金预算支出决算情况说明</w:t>
      </w:r>
      <w:bookmarkEnd w:id="43"/>
      <w:bookmarkEnd w:id="44"/>
    </w:p>
    <w:p>
      <w:pPr>
        <w:spacing w:line="60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年政府性基金预算拨款支出</w:t>
      </w:r>
      <w:r>
        <w:rPr>
          <w:rFonts w:ascii="仿宋_GB2312" w:eastAsia="仿宋_GB2312"/>
          <w:color w:val="000000"/>
          <w:sz w:val="32"/>
          <w:szCs w:val="32"/>
        </w:rPr>
        <w:t>0.00</w:t>
      </w:r>
      <w:r>
        <w:rPr>
          <w:rFonts w:hint="eastAsia" w:ascii="仿宋_GB2312" w:eastAsia="仿宋_GB2312"/>
          <w:color w:val="000000"/>
          <w:sz w:val="32"/>
          <w:szCs w:val="32"/>
        </w:rPr>
        <w:t>万元。</w:t>
      </w:r>
    </w:p>
    <w:p>
      <w:pPr>
        <w:numPr>
          <w:ilvl w:val="0"/>
          <w:numId w:val="2"/>
        </w:numPr>
        <w:spacing w:line="600" w:lineRule="exact"/>
        <w:ind w:left="0" w:firstLine="640"/>
        <w:outlineLvl w:val="1"/>
        <w:rPr>
          <w:rStyle w:val="18"/>
          <w:rFonts w:ascii="黑体" w:eastAsia="黑体"/>
          <w:b w:val="0"/>
          <w:color w:val="000000"/>
        </w:rPr>
      </w:pPr>
      <w:bookmarkStart w:id="45" w:name="_Toc15377219"/>
      <w:bookmarkStart w:id="46" w:name="_Toc15396611"/>
      <w:r>
        <w:rPr>
          <w:rStyle w:val="18"/>
          <w:rFonts w:hint="eastAsia" w:ascii="黑体" w:eastAsia="黑体"/>
          <w:b w:val="0"/>
          <w:color w:val="000000"/>
        </w:rPr>
        <w:t>国有资本经营预算支出决算情况说明</w:t>
      </w:r>
      <w:bookmarkEnd w:id="45"/>
      <w:bookmarkEnd w:id="46"/>
    </w:p>
    <w:p>
      <w:pPr>
        <w:spacing w:line="60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年国有资本经营预算拨款支出</w:t>
      </w:r>
      <w:r>
        <w:rPr>
          <w:rFonts w:ascii="仿宋_GB2312" w:eastAsia="仿宋_GB2312"/>
          <w:color w:val="000000"/>
          <w:sz w:val="32"/>
          <w:szCs w:val="32"/>
        </w:rPr>
        <w:t>0.00</w:t>
      </w:r>
      <w:r>
        <w:rPr>
          <w:rFonts w:hint="eastAsia" w:ascii="仿宋_GB2312" w:eastAsia="仿宋_GB2312"/>
          <w:color w:val="000000"/>
          <w:sz w:val="32"/>
          <w:szCs w:val="32"/>
        </w:rPr>
        <w:t>万元。</w:t>
      </w:r>
      <w:bookmarkStart w:id="47" w:name="_Toc15377221"/>
      <w:bookmarkStart w:id="48" w:name="_Toc15396612"/>
    </w:p>
    <w:p>
      <w:pPr>
        <w:spacing w:line="600" w:lineRule="exact"/>
        <w:ind w:firstLine="640"/>
        <w:rPr>
          <w:rStyle w:val="18"/>
          <w:rFonts w:ascii="黑体" w:eastAsia="黑体"/>
          <w:color w:val="000000"/>
        </w:rPr>
      </w:pPr>
      <w:r>
        <w:rPr>
          <w:rFonts w:hint="eastAsia" w:ascii="黑体" w:eastAsia="黑体"/>
          <w:color w:val="000000"/>
          <w:sz w:val="32"/>
          <w:szCs w:val="32"/>
        </w:rPr>
        <w:t>十</w:t>
      </w:r>
      <w:r>
        <w:rPr>
          <w:rStyle w:val="18"/>
          <w:rFonts w:hint="eastAsia" w:ascii="黑体" w:eastAsia="黑体"/>
          <w:color w:val="000000"/>
        </w:rPr>
        <w:t>、</w:t>
      </w:r>
      <w:r>
        <w:rPr>
          <w:rStyle w:val="18"/>
          <w:rFonts w:hint="eastAsia" w:ascii="黑体" w:eastAsia="黑体"/>
          <w:b w:val="0"/>
          <w:color w:val="000000"/>
        </w:rPr>
        <w:t>其他重要事项的情况说明</w:t>
      </w:r>
      <w:bookmarkEnd w:id="47"/>
      <w:bookmarkEnd w:id="48"/>
    </w:p>
    <w:p>
      <w:pPr>
        <w:spacing w:line="600" w:lineRule="exact"/>
        <w:ind w:firstLine="642" w:firstLineChars="200"/>
        <w:outlineLvl w:val="2"/>
        <w:rPr>
          <w:rFonts w:ascii="仿宋" w:eastAsia="仿宋"/>
          <w:color w:val="000000"/>
          <w:sz w:val="32"/>
          <w:szCs w:val="32"/>
        </w:rPr>
      </w:pPr>
      <w:bookmarkStart w:id="49" w:name="_Toc15377222"/>
      <w:r>
        <w:rPr>
          <w:rFonts w:hint="eastAsia" w:ascii="仿宋" w:eastAsia="仿宋"/>
          <w:b/>
          <w:color w:val="000000"/>
          <w:sz w:val="32"/>
          <w:szCs w:val="32"/>
        </w:rPr>
        <w:t>（一）机关运行经费支出情况</w:t>
      </w:r>
      <w:bookmarkEnd w:id="49"/>
    </w:p>
    <w:p>
      <w:pPr>
        <w:spacing w:line="600" w:lineRule="exact"/>
        <w:ind w:firstLine="640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年，中共四川省阿坝州委政法委员会（本级）机关运行经费支出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868</w:t>
      </w:r>
      <w:r>
        <w:rPr>
          <w:rFonts w:hint="eastAsia" w:ascii="仿宋_GB2312" w:eastAsia="仿宋_GB2312"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44</w:t>
      </w:r>
      <w:r>
        <w:rPr>
          <w:rFonts w:hint="eastAsia" w:ascii="仿宋_GB2312" w:eastAsia="仿宋_GB2312"/>
          <w:color w:val="000000"/>
          <w:sz w:val="32"/>
          <w:szCs w:val="32"/>
        </w:rPr>
        <w:t>万元，比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有所增加</w:t>
      </w:r>
      <w:r>
        <w:rPr>
          <w:rFonts w:hint="eastAsia" w:ascii="仿宋_GB2312" w:eastAsia="仿宋_GB2312"/>
          <w:color w:val="000000"/>
          <w:sz w:val="32"/>
          <w:szCs w:val="32"/>
        </w:rPr>
        <w:t>，主要原因是维稳综治工作比上年开展得较多。</w:t>
      </w:r>
    </w:p>
    <w:p>
      <w:pPr>
        <w:autoSpaceDE w:val="0"/>
        <w:autoSpaceDN w:val="0"/>
        <w:adjustRightInd w:val="0"/>
        <w:spacing w:line="600" w:lineRule="exact"/>
        <w:ind w:firstLine="642" w:firstLineChars="200"/>
        <w:jc w:val="left"/>
        <w:outlineLvl w:val="2"/>
        <w:rPr>
          <w:rFonts w:ascii="仿宋" w:eastAsia="仿宋"/>
          <w:b/>
          <w:color w:val="000000"/>
          <w:sz w:val="32"/>
          <w:szCs w:val="32"/>
        </w:rPr>
      </w:pPr>
      <w:bookmarkStart w:id="50" w:name="_Toc15377223"/>
      <w:r>
        <w:rPr>
          <w:rFonts w:hint="eastAsia" w:ascii="仿宋" w:eastAsia="仿宋"/>
          <w:b/>
          <w:color w:val="000000"/>
          <w:sz w:val="32"/>
          <w:szCs w:val="32"/>
        </w:rPr>
        <w:t>（二）政府采购支出情况</w:t>
      </w:r>
      <w:bookmarkEnd w:id="50"/>
    </w:p>
    <w:p>
      <w:pPr>
        <w:spacing w:line="560" w:lineRule="exact"/>
        <w:ind w:firstLine="640" w:firstLineChars="200"/>
        <w:rPr>
          <w:rFonts w:ascii="仿宋" w:eastAsia="仿宋"/>
          <w:b/>
          <w:color w:val="000000" w:themeColor="text1"/>
          <w:sz w:val="32"/>
          <w:szCs w:val="32"/>
        </w:rPr>
      </w:pPr>
      <w:r>
        <w:rPr>
          <w:rFonts w:ascii="仿宋_GB2312" w:eastAsia="仿宋_GB2312"/>
          <w:color w:val="000000" w:themeColor="text1"/>
          <w:sz w:val="32"/>
          <w:szCs w:val="32"/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2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年，中共四川省阿坝州委政法委员会（本级）政府采购支出总额3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67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.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0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8万元，其中：政府采购货物支出</w:t>
      </w:r>
      <w:r>
        <w:rPr>
          <w:rFonts w:ascii="仿宋_GB2312" w:eastAsia="仿宋_GB2312"/>
          <w:color w:val="000000" w:themeColor="text1"/>
          <w:sz w:val="32"/>
          <w:szCs w:val="32"/>
        </w:rPr>
        <w:t xml:space="preserve"> 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105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.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81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万元、政府采购工程支出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32.97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万元、政府采购服务支出228.30万元。主要用于办公设备购置、综治中心信息化建设购买服务。授予中小企业合同金额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138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.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7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8万元，占政府采购支出总额的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37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.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81</w:t>
      </w:r>
      <w:r>
        <w:rPr>
          <w:rFonts w:ascii="仿宋_GB2312" w:eastAsia="仿宋_GB2312"/>
          <w:color w:val="000000" w:themeColor="text1"/>
          <w:sz w:val="32"/>
          <w:szCs w:val="32"/>
        </w:rPr>
        <w:t>%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，其中：授予小微企业合同金额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138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.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7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8万元，占政府采购支出总额的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37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.</w:t>
      </w:r>
      <w:r>
        <w:rPr>
          <w:rFonts w:hint="default" w:ascii="仿宋_GB2312" w:eastAsia="仿宋_GB2312"/>
          <w:color w:val="000000" w:themeColor="text1"/>
          <w:sz w:val="32"/>
          <w:szCs w:val="32"/>
          <w:lang w:val="en-US"/>
        </w:rPr>
        <w:t>81</w:t>
      </w:r>
      <w:r>
        <w:rPr>
          <w:rFonts w:ascii="仿宋_GB2312" w:eastAsia="仿宋_GB2312"/>
          <w:color w:val="000000" w:themeColor="text1"/>
          <w:sz w:val="32"/>
          <w:szCs w:val="32"/>
        </w:rPr>
        <w:t>%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。</w:t>
      </w:r>
    </w:p>
    <w:p>
      <w:pPr>
        <w:autoSpaceDE w:val="0"/>
        <w:autoSpaceDN w:val="0"/>
        <w:adjustRightInd w:val="0"/>
        <w:spacing w:line="600" w:lineRule="exact"/>
        <w:ind w:firstLine="642" w:firstLineChars="200"/>
        <w:jc w:val="left"/>
        <w:outlineLvl w:val="2"/>
        <w:rPr>
          <w:rFonts w:ascii="仿宋" w:eastAsia="仿宋"/>
          <w:b/>
          <w:color w:val="000000"/>
          <w:sz w:val="32"/>
          <w:szCs w:val="32"/>
        </w:rPr>
      </w:pPr>
      <w:bookmarkStart w:id="51" w:name="_Toc15377224"/>
      <w:r>
        <w:rPr>
          <w:rFonts w:hint="eastAsia" w:ascii="仿宋" w:eastAsia="仿宋"/>
          <w:b/>
          <w:color w:val="000000"/>
          <w:sz w:val="32"/>
          <w:szCs w:val="32"/>
        </w:rPr>
        <w:t>（三）国有资产占有使用情况</w:t>
      </w:r>
      <w:bookmarkEnd w:id="51"/>
    </w:p>
    <w:p>
      <w:pPr>
        <w:autoSpaceDE w:val="0"/>
        <w:autoSpaceDN w:val="0"/>
        <w:adjustRightInd w:val="0"/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截至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>12</w:t>
      </w:r>
      <w:r>
        <w:rPr>
          <w:rFonts w:hint="eastAsia" w:ascii="仿宋_GB2312" w:eastAsia="仿宋_GB2312"/>
          <w:color w:val="000000"/>
          <w:sz w:val="32"/>
          <w:szCs w:val="32"/>
        </w:rPr>
        <w:t>月</w:t>
      </w:r>
      <w:r>
        <w:rPr>
          <w:rFonts w:ascii="仿宋_GB2312" w:eastAsia="仿宋_GB2312"/>
          <w:color w:val="000000"/>
          <w:sz w:val="32"/>
          <w:szCs w:val="32"/>
        </w:rPr>
        <w:t>31</w:t>
      </w:r>
      <w:r>
        <w:rPr>
          <w:rFonts w:hint="eastAsia" w:ascii="仿宋_GB2312" w:eastAsia="仿宋_GB2312"/>
          <w:color w:val="000000"/>
          <w:sz w:val="32"/>
          <w:szCs w:val="32"/>
        </w:rPr>
        <w:t>日，中共四川省阿坝州委政法委员会（本级）共有车辆</w:t>
      </w:r>
      <w:r>
        <w:rPr>
          <w:rFonts w:ascii="仿宋_GB2312" w:eastAsia="仿宋_GB2312"/>
          <w:color w:val="000000"/>
          <w:sz w:val="32"/>
          <w:szCs w:val="32"/>
        </w:rPr>
        <w:t>7</w:t>
      </w:r>
      <w:r>
        <w:rPr>
          <w:rFonts w:hint="eastAsia" w:ascii="仿宋_GB2312" w:eastAsia="仿宋_GB2312"/>
          <w:color w:val="000000"/>
          <w:sz w:val="32"/>
          <w:szCs w:val="32"/>
        </w:rPr>
        <w:t>辆，其中：主要领导干部用车0辆、机要通信用车</w:t>
      </w:r>
      <w:r>
        <w:rPr>
          <w:rFonts w:ascii="仿宋_GB2312" w:eastAsia="仿宋_GB2312"/>
          <w:color w:val="000000"/>
          <w:sz w:val="32"/>
          <w:szCs w:val="32"/>
        </w:rPr>
        <w:t>0</w:t>
      </w:r>
      <w:r>
        <w:rPr>
          <w:rFonts w:hint="eastAsia" w:ascii="仿宋_GB2312" w:eastAsia="仿宋_GB2312"/>
          <w:color w:val="000000"/>
          <w:sz w:val="32"/>
          <w:szCs w:val="32"/>
        </w:rPr>
        <w:t>辆、应急保障用车7辆、执法执勤用车</w:t>
      </w:r>
      <w:r>
        <w:rPr>
          <w:rFonts w:ascii="仿宋_GB2312" w:eastAsia="仿宋_GB2312"/>
          <w:color w:val="000000"/>
          <w:sz w:val="32"/>
          <w:szCs w:val="32"/>
        </w:rPr>
        <w:t xml:space="preserve">0 </w:t>
      </w:r>
      <w:r>
        <w:rPr>
          <w:rFonts w:hint="eastAsia" w:ascii="仿宋_GB2312" w:eastAsia="仿宋_GB2312"/>
          <w:color w:val="000000"/>
          <w:sz w:val="32"/>
          <w:szCs w:val="32"/>
        </w:rPr>
        <w:t>辆、特种专业技术用车</w:t>
      </w:r>
      <w:r>
        <w:rPr>
          <w:rFonts w:ascii="仿宋_GB2312" w:eastAsia="仿宋_GB2312"/>
          <w:color w:val="000000"/>
          <w:sz w:val="32"/>
          <w:szCs w:val="32"/>
        </w:rPr>
        <w:t>0</w:t>
      </w:r>
      <w:r>
        <w:rPr>
          <w:rFonts w:hint="eastAsia" w:ascii="仿宋_GB2312" w:eastAsia="仿宋_GB2312"/>
          <w:color w:val="000000"/>
          <w:sz w:val="32"/>
          <w:szCs w:val="32"/>
        </w:rPr>
        <w:t>辆、离退休干部用车</w:t>
      </w:r>
      <w:r>
        <w:rPr>
          <w:rFonts w:ascii="仿宋_GB2312" w:eastAsia="仿宋_GB2312"/>
          <w:color w:val="000000"/>
          <w:sz w:val="32"/>
          <w:szCs w:val="32"/>
        </w:rPr>
        <w:t>0</w:t>
      </w:r>
      <w:r>
        <w:rPr>
          <w:rFonts w:hint="eastAsia" w:ascii="仿宋_GB2312" w:eastAsia="仿宋_GB2312"/>
          <w:color w:val="000000"/>
          <w:sz w:val="32"/>
          <w:szCs w:val="32"/>
        </w:rPr>
        <w:t>辆、其他用车</w:t>
      </w:r>
      <w:r>
        <w:rPr>
          <w:rFonts w:ascii="仿宋_GB2312" w:eastAsia="仿宋_GB2312"/>
          <w:color w:val="000000"/>
          <w:sz w:val="32"/>
          <w:szCs w:val="32"/>
        </w:rPr>
        <w:t xml:space="preserve"> 0</w:t>
      </w:r>
      <w:r>
        <w:rPr>
          <w:rFonts w:hint="eastAsia" w:ascii="仿宋_GB2312" w:eastAsia="仿宋_GB2312"/>
          <w:color w:val="000000"/>
          <w:sz w:val="32"/>
          <w:szCs w:val="32"/>
        </w:rPr>
        <w:t>辆。无单价</w:t>
      </w:r>
      <w:r>
        <w:rPr>
          <w:rFonts w:ascii="仿宋_GB2312" w:eastAsia="仿宋_GB2312"/>
          <w:color w:val="000000"/>
          <w:sz w:val="32"/>
          <w:szCs w:val="32"/>
        </w:rPr>
        <w:t>50</w:t>
      </w:r>
      <w:r>
        <w:rPr>
          <w:rFonts w:hint="eastAsia" w:ascii="仿宋_GB2312" w:eastAsia="仿宋_GB2312"/>
          <w:color w:val="000000"/>
          <w:sz w:val="32"/>
          <w:szCs w:val="32"/>
        </w:rPr>
        <w:t>万元以上通用设备和单价</w:t>
      </w:r>
      <w:r>
        <w:rPr>
          <w:rFonts w:ascii="仿宋_GB2312" w:eastAsia="仿宋_GB2312"/>
          <w:color w:val="000000"/>
          <w:sz w:val="32"/>
          <w:szCs w:val="32"/>
        </w:rPr>
        <w:t>100</w:t>
      </w:r>
      <w:r>
        <w:rPr>
          <w:rFonts w:hint="eastAsia" w:ascii="仿宋_GB2312" w:eastAsia="仿宋_GB2312"/>
          <w:color w:val="000000"/>
          <w:sz w:val="32"/>
          <w:szCs w:val="32"/>
        </w:rPr>
        <w:t>万元以上专用设备。</w:t>
      </w:r>
    </w:p>
    <w:p>
      <w:pPr>
        <w:autoSpaceDE w:val="0"/>
        <w:autoSpaceDN w:val="0"/>
        <w:adjustRightInd w:val="0"/>
        <w:spacing w:line="600" w:lineRule="exact"/>
        <w:ind w:firstLine="642" w:firstLineChars="200"/>
        <w:jc w:val="left"/>
        <w:outlineLvl w:val="2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（四）预算绩效管理情况。</w:t>
      </w:r>
    </w:p>
    <w:p>
      <w:pPr>
        <w:spacing w:line="600" w:lineRule="exact"/>
        <w:ind w:firstLine="640"/>
        <w:rPr>
          <w:rFonts w:ascii="仿宋_GB2312" w:eastAsia="仿宋_GB2312"/>
          <w:color w:val="000000"/>
          <w:sz w:val="32"/>
          <w:szCs w:val="32"/>
        </w:rPr>
      </w:pPr>
      <w:bookmarkStart w:id="52" w:name="_Toc15396613"/>
      <w:bookmarkStart w:id="53" w:name="_Toc15377225"/>
      <w:r>
        <w:rPr>
          <w:rFonts w:hint="eastAsia" w:ascii="仿宋_GB2312" w:eastAsia="仿宋_GB2312"/>
          <w:color w:val="000000"/>
          <w:sz w:val="32"/>
          <w:szCs w:val="32"/>
        </w:rPr>
        <w:t>根据预算绩效管理要求，本部门在年初预算编制阶段，组织对</w:t>
      </w:r>
      <w:r>
        <w:rPr>
          <w:rFonts w:ascii="仿宋_GB2312" w:eastAsia="仿宋_GB2312"/>
          <w:color w:val="000000"/>
          <w:sz w:val="32"/>
          <w:szCs w:val="32"/>
        </w:rPr>
        <w:t xml:space="preserve">10 </w:t>
      </w:r>
      <w:r>
        <w:rPr>
          <w:rFonts w:hint="eastAsia" w:ascii="仿宋_GB2312" w:eastAsia="仿宋_GB2312"/>
          <w:color w:val="000000"/>
          <w:sz w:val="32"/>
          <w:szCs w:val="32"/>
        </w:rPr>
        <w:t>个项目开展了预算事前绩效评估，对</w:t>
      </w:r>
      <w:r>
        <w:rPr>
          <w:rFonts w:ascii="仿宋_GB2312" w:eastAsia="仿宋_GB2312"/>
          <w:color w:val="000000"/>
          <w:sz w:val="32"/>
          <w:szCs w:val="32"/>
        </w:rPr>
        <w:t xml:space="preserve">10 </w:t>
      </w:r>
      <w:r>
        <w:rPr>
          <w:rFonts w:hint="eastAsia" w:ascii="仿宋_GB2312" w:eastAsia="仿宋_GB2312"/>
          <w:color w:val="000000"/>
          <w:sz w:val="32"/>
          <w:szCs w:val="32"/>
        </w:rPr>
        <w:t>个项目编制了绩效目标，预算执行过程中，选取</w:t>
      </w:r>
      <w:r>
        <w:rPr>
          <w:rFonts w:ascii="仿宋_GB2312" w:eastAsia="仿宋_GB2312"/>
          <w:color w:val="000000"/>
          <w:sz w:val="32"/>
          <w:szCs w:val="32"/>
        </w:rPr>
        <w:t xml:space="preserve">1 </w:t>
      </w:r>
      <w:r>
        <w:rPr>
          <w:rFonts w:hint="eastAsia" w:ascii="仿宋_GB2312" w:eastAsia="仿宋_GB2312"/>
          <w:color w:val="000000"/>
          <w:sz w:val="32"/>
          <w:szCs w:val="32"/>
        </w:rPr>
        <w:t>个项目开展绩效监控，年终执行完毕后，对</w:t>
      </w:r>
      <w:r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个项目开展了绩效目标完成情况梳理填报。本部门按要求对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年部门整体支出开展绩效自评，从自评情况看，预、决算编制合理，支出规范，财政支出既确保了机关正常运转，又保证了项目开支，财政支出绩效良好。</w:t>
      </w:r>
    </w:p>
    <w:p>
      <w:pPr>
        <w:autoSpaceDE w:val="0"/>
        <w:autoSpaceDN w:val="0"/>
        <w:adjustRightInd w:val="0"/>
        <w:ind w:firstLine="472" w:firstLineChars="147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bCs/>
          <w:color w:val="000000"/>
          <w:sz w:val="32"/>
          <w:szCs w:val="32"/>
        </w:rPr>
        <w:t>（二）项目绩效目标完成情况。</w:t>
      </w:r>
      <w:r>
        <w:rPr>
          <w:rFonts w:ascii="楷体_GB2312" w:eastAsia="楷体_GB2312" w:cs="KaiTi_GB2312"/>
          <w:b/>
          <w:bCs/>
          <w:color w:val="000000"/>
          <w:sz w:val="32"/>
          <w:szCs w:val="32"/>
        </w:rPr>
        <w:br w:type="textWrapping"/>
      </w:r>
      <w:r>
        <w:rPr>
          <w:rFonts w:ascii="仿宋_GB2312" w:hAnsi="仿宋_GB2312" w:cs="仿宋_GB2312"/>
          <w:color w:val="000000"/>
          <w:sz w:val="32"/>
          <w:szCs w:val="32"/>
        </w:rPr>
        <w:t xml:space="preserve">   </w:t>
      </w:r>
      <w:r>
        <w:rPr>
          <w:rFonts w:hint="eastAsia" w:ascii="仿宋_GB2312" w:eastAsia="仿宋_GB2312"/>
          <w:color w:val="000000"/>
          <w:sz w:val="32"/>
          <w:szCs w:val="32"/>
        </w:rPr>
        <w:t>全州政法三级网线路租赁项目综述。项目全年预算数</w:t>
      </w:r>
      <w:r>
        <w:rPr>
          <w:rFonts w:ascii="仿宋_GB2312" w:eastAsia="仿宋_GB2312"/>
          <w:color w:val="000000"/>
          <w:sz w:val="32"/>
          <w:szCs w:val="32"/>
        </w:rPr>
        <w:t xml:space="preserve">120 </w:t>
      </w:r>
      <w:r>
        <w:rPr>
          <w:rFonts w:hint="eastAsia" w:ascii="仿宋_GB2312" w:eastAsia="仿宋_GB2312"/>
          <w:color w:val="000000"/>
          <w:sz w:val="32"/>
          <w:szCs w:val="32"/>
        </w:rPr>
        <w:t>万元，执行数为</w:t>
      </w:r>
      <w:r>
        <w:rPr>
          <w:rFonts w:ascii="仿宋_GB2312" w:eastAsia="仿宋_GB2312"/>
          <w:color w:val="000000"/>
          <w:sz w:val="32"/>
          <w:szCs w:val="32"/>
        </w:rPr>
        <w:t>120</w:t>
      </w:r>
      <w:r>
        <w:rPr>
          <w:rFonts w:hint="eastAsia" w:ascii="仿宋_GB2312" w:eastAsia="仿宋_GB2312"/>
          <w:color w:val="000000"/>
          <w:sz w:val="32"/>
          <w:szCs w:val="32"/>
        </w:rPr>
        <w:t>万元，完成预算的</w:t>
      </w:r>
      <w:r>
        <w:rPr>
          <w:rFonts w:ascii="仿宋_GB2312" w:eastAsia="仿宋_GB2312"/>
          <w:color w:val="000000"/>
          <w:sz w:val="32"/>
          <w:szCs w:val="32"/>
        </w:rPr>
        <w:t>100%</w:t>
      </w:r>
      <w:r>
        <w:rPr>
          <w:rFonts w:hint="eastAsia" w:ascii="仿宋_GB2312" w:eastAsia="仿宋_GB2312"/>
          <w:color w:val="000000"/>
          <w:sz w:val="32"/>
          <w:szCs w:val="32"/>
        </w:rPr>
        <w:t>。主要用于州级政法部门、州到县、县级政法部门之间网络达到规定的带宽，并且全年正常运行。截至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20年底全年网络正常运行。</w:t>
      </w:r>
    </w:p>
    <w:p>
      <w:pPr>
        <w:tabs>
          <w:tab w:val="left" w:pos="312"/>
        </w:tabs>
        <w:spacing w:line="580" w:lineRule="exact"/>
        <w:rPr>
          <w:rFonts w:ascii="仿宋_GB2312" w:eastAsia="仿宋_GB2312" w:cs="仿宋_GB2312"/>
          <w:color w:val="000000"/>
          <w:sz w:val="32"/>
          <w:szCs w:val="32"/>
        </w:rPr>
      </w:pPr>
    </w:p>
    <w:p>
      <w:pPr>
        <w:tabs>
          <w:tab w:val="left" w:pos="312"/>
        </w:tabs>
        <w:spacing w:line="580" w:lineRule="exact"/>
        <w:rPr>
          <w:rFonts w:ascii="仿宋_GB2312" w:eastAsia="仿宋_GB2312" w:cs="仿宋_GB2312"/>
          <w:color w:val="000000"/>
          <w:sz w:val="32"/>
          <w:szCs w:val="32"/>
        </w:rPr>
      </w:pPr>
    </w:p>
    <w:tbl>
      <w:tblPr>
        <w:tblStyle w:val="13"/>
        <w:tblpPr w:leftFromText="180" w:rightFromText="180" w:vertAnchor="text" w:horzAnchor="page" w:tblpXSpec="center" w:tblpY="423"/>
        <w:tblOverlap w:val="never"/>
        <w:tblW w:w="99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0"/>
        <w:gridCol w:w="1367"/>
        <w:gridCol w:w="1025"/>
        <w:gridCol w:w="2392"/>
        <w:gridCol w:w="2394"/>
        <w:gridCol w:w="23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4" w:hRule="atLeast"/>
        </w:trPr>
        <w:tc>
          <w:tcPr>
            <w:tcW w:w="996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0"/>
              <w:widowControl/>
              <w:ind w:left="4173" w:leftChars="1310" w:hanging="1422" w:hangingChars="395"/>
              <w:textAlignment w:val="center"/>
              <w:rPr>
                <w:rFonts w:ascii="宋体" w:cs="宋体"/>
                <w:color w:val="000000"/>
                <w:sz w:val="36"/>
                <w:szCs w:val="36"/>
              </w:rPr>
            </w:pPr>
            <w:r>
              <w:rPr>
                <w:rFonts w:hint="eastAsia" w:ascii="黑体" w:eastAsia="黑体" w:cs="宋体"/>
                <w:bCs/>
                <w:color w:val="000000"/>
                <w:kern w:val="0"/>
                <w:sz w:val="36"/>
                <w:szCs w:val="36"/>
              </w:rPr>
              <w:t>项目支出绩效目标完成情况表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36"/>
                <w:szCs w:val="36"/>
              </w:rPr>
              <w:br w:type="textWrapping"/>
            </w:r>
            <w:r>
              <w:rPr>
                <w:rFonts w:ascii="宋体" w:cs="宋体"/>
                <w:color w:val="000000"/>
                <w:kern w:val="0"/>
                <w:sz w:val="36"/>
                <w:szCs w:val="36"/>
              </w:rPr>
              <w:t>(20</w:t>
            </w:r>
            <w:r>
              <w:rPr>
                <w:rFonts w:hint="eastAsia" w:ascii="宋体" w:cs="宋体"/>
                <w:color w:val="000000"/>
                <w:kern w:val="0"/>
                <w:sz w:val="36"/>
                <w:szCs w:val="36"/>
              </w:rPr>
              <w:t>2</w:t>
            </w:r>
            <w:r>
              <w:rPr>
                <w:rFonts w:hint="eastAsia" w:ascii="宋体" w:cs="宋体"/>
                <w:color w:val="000000"/>
                <w:kern w:val="0"/>
                <w:sz w:val="36"/>
                <w:szCs w:val="36"/>
                <w:lang w:val="en-US" w:eastAsia="zh-CN"/>
              </w:rPr>
              <w:t>1</w:t>
            </w:r>
            <w:r>
              <w:rPr>
                <w:rFonts w:hint="eastAsia" w:ascii="宋体" w:cs="宋体"/>
                <w:color w:val="000000"/>
                <w:kern w:val="0"/>
                <w:sz w:val="36"/>
                <w:szCs w:val="36"/>
              </w:rPr>
              <w:t>年度</w:t>
            </w:r>
            <w:r>
              <w:rPr>
                <w:rFonts w:ascii="宋体" w:cs="宋体"/>
                <w:color w:val="000000"/>
                <w:kern w:val="0"/>
                <w:sz w:val="36"/>
                <w:szCs w:val="36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7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1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政法三级网线路租赁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27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预算单位</w:t>
            </w:r>
          </w:p>
        </w:tc>
        <w:tc>
          <w:tcPr>
            <w:tcW w:w="71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州委政法委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预算执行情况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万元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预算数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: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120</w:t>
            </w:r>
            <w:r>
              <w:rPr>
                <w:rFonts w:hint="eastAsia" w:ascii="宋体" w:cs="宋体"/>
                <w:color w:val="000000"/>
                <w:sz w:val="24"/>
              </w:rPr>
              <w:t>万元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执行数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: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120</w:t>
            </w:r>
            <w:r>
              <w:rPr>
                <w:rFonts w:hint="eastAsia" w:ascii="宋体" w:cs="宋体"/>
                <w:color w:val="000000"/>
                <w:sz w:val="24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其中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财政拨款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: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120</w:t>
            </w:r>
            <w:r>
              <w:rPr>
                <w:rFonts w:hint="eastAsia" w:ascii="宋体" w:cs="宋体"/>
                <w:color w:val="000000"/>
                <w:sz w:val="24"/>
              </w:rPr>
              <w:t>万元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其中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-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财政拨款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: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120</w:t>
            </w:r>
            <w:r>
              <w:rPr>
                <w:rFonts w:hint="eastAsia" w:ascii="宋体" w:cs="宋体"/>
                <w:color w:val="000000"/>
                <w:sz w:val="24"/>
              </w:rPr>
              <w:t>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23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其它资金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: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</w:rPr>
              <w:t>0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其它资金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: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年度目标完成情况</w:t>
            </w:r>
          </w:p>
        </w:tc>
        <w:tc>
          <w:tcPr>
            <w:tcW w:w="47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预期目标</w:t>
            </w:r>
          </w:p>
        </w:tc>
        <w:tc>
          <w:tcPr>
            <w:tcW w:w="4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实际完成目标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47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确保所有信息系统能安全、高效运转</w:t>
            </w:r>
          </w:p>
        </w:tc>
        <w:tc>
          <w:tcPr>
            <w:tcW w:w="47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全部信息系统能正常运转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3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绩效指标完成情况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一级指标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二级指标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三级指标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预期指标值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包含数字及文字描述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实际完成指标值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(</w:t>
            </w:r>
            <w:r>
              <w:rPr>
                <w:rFonts w:hint="eastAsia" w:ascii="宋体" w:cs="宋体"/>
                <w:color w:val="000000"/>
                <w:kern w:val="0"/>
                <w:sz w:val="24"/>
              </w:rPr>
              <w:t>包含数字及文字描述</w:t>
            </w:r>
            <w:r>
              <w:rPr>
                <w:rFonts w:ascii="宋体" w:cs="宋体"/>
                <w:color w:val="000000"/>
                <w:kern w:val="0"/>
                <w:sz w:val="24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</w:trPr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项目完成指标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质量指标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全部系统能正常运转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保障所有运行系统正常运转，故障能及时解决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正常运转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</w:trPr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项目完成指标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质量指标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故障排除时间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出现故障第一时间排除解决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发生故障时，能及时解决故障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项目完成指标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数量指标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运维费用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按合同约定</w:t>
            </w:r>
          </w:p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按合同支付费用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2" w:hRule="atLeast"/>
        </w:trPr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效益指标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时效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项目按期完成率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90%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ascii="宋体" w:cs="宋体"/>
                <w:color w:val="000000"/>
                <w:sz w:val="24"/>
              </w:rPr>
              <w:t>90%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0" w:hRule="atLeast"/>
        </w:trPr>
        <w:tc>
          <w:tcPr>
            <w:tcW w:w="3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</w:rPr>
              <w:t>满意度指标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质量指标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使用者满意度</w:t>
            </w:r>
          </w:p>
        </w:tc>
        <w:tc>
          <w:tcPr>
            <w:tcW w:w="2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过技术手段对全州政法工作提供保障，达到社会大局稳定的目的，使用者满意度达到</w:t>
            </w:r>
            <w:r>
              <w:rPr>
                <w:rFonts w:ascii="宋体" w:cs="宋体"/>
                <w:color w:val="000000"/>
                <w:sz w:val="24"/>
              </w:rPr>
              <w:t>90%</w:t>
            </w:r>
            <w:r>
              <w:rPr>
                <w:rFonts w:hint="eastAsia" w:ascii="宋体" w:cs="宋体"/>
                <w:color w:val="000000"/>
                <w:sz w:val="24"/>
              </w:rPr>
              <w:t>以上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cs="宋体"/>
                <w:color w:val="000000"/>
                <w:sz w:val="24"/>
              </w:rPr>
              <w:t>能提供保障使用者满意度达到</w:t>
            </w:r>
            <w:r>
              <w:rPr>
                <w:rFonts w:ascii="宋体" w:cs="宋体"/>
                <w:color w:val="000000"/>
                <w:sz w:val="24"/>
              </w:rPr>
              <w:t>90%</w:t>
            </w:r>
          </w:p>
        </w:tc>
      </w:tr>
    </w:tbl>
    <w:p>
      <w:pPr>
        <w:rPr>
          <w:rFonts w:ascii="Calibri" w:hAnsi="Calibri"/>
          <w:color w:val="000000"/>
        </w:rPr>
      </w:pPr>
    </w:p>
    <w:p>
      <w:pPr>
        <w:spacing w:line="580" w:lineRule="exact"/>
        <w:rPr>
          <w:rFonts w:ascii="仿宋_GB2312" w:eastAsia="仿宋_GB2312" w:cs="仿宋_GB2312"/>
          <w:color w:val="000000"/>
          <w:sz w:val="32"/>
          <w:szCs w:val="32"/>
        </w:rPr>
      </w:pPr>
    </w:p>
    <w:p>
      <w:pPr>
        <w:numPr>
          <w:ilvl w:val="0"/>
          <w:numId w:val="3"/>
        </w:numPr>
        <w:spacing w:line="580" w:lineRule="exact"/>
        <w:ind w:left="0" w:firstLine="642" w:firstLineChars="200"/>
        <w:rPr>
          <w:rFonts w:ascii="FZFSJW--GB1-0" w:hAnsi="FZFSJW--GB1-0" w:eastAsia="FZFSJW--GB1-0" w:cs="FZFSJW--GB1-0"/>
          <w:color w:val="000000"/>
          <w:kern w:val="0"/>
          <w:sz w:val="32"/>
          <w:szCs w:val="32"/>
        </w:rPr>
      </w:pPr>
      <w:r>
        <w:rPr>
          <w:rFonts w:hint="eastAsia" w:ascii="仿宋" w:eastAsia="仿宋"/>
          <w:b/>
          <w:bCs/>
          <w:color w:val="000000"/>
          <w:sz w:val="32"/>
          <w:szCs w:val="32"/>
        </w:rPr>
        <w:t>部门开展绩效评价结果。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本部门按要求对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年部门整体支出绩效评价情况开展自评，《中共阿坝州委政法委员会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t>年度部门整体支出绩效自评报告》见附件</w:t>
      </w:r>
      <w:r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本部门自行组织对政法三级网线路租赁项目开展了绩效评价，《州委政法委项目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年绩效评价报告》见附件</w:t>
      </w:r>
      <w:r>
        <w:rPr>
          <w:rFonts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numPr>
          <w:ilvl w:val="0"/>
          <w:numId w:val="4"/>
        </w:numPr>
        <w:spacing w:line="600" w:lineRule="exact"/>
        <w:ind w:left="0" w:firstLine="660" w:firstLineChars="150"/>
        <w:jc w:val="center"/>
        <w:outlineLvl w:val="0"/>
        <w:rPr>
          <w:rStyle w:val="17"/>
          <w:rFonts w:ascii="黑体" w:eastAsia="黑体"/>
          <w:b w:val="0"/>
          <w:color w:val="000000"/>
        </w:rPr>
      </w:pPr>
      <w:r>
        <w:rPr>
          <w:rFonts w:hint="eastAsia" w:ascii="黑体" w:eastAsia="黑体"/>
          <w:color w:val="000000"/>
          <w:sz w:val="44"/>
          <w:szCs w:val="44"/>
        </w:rPr>
        <w:t>名</w:t>
      </w:r>
      <w:r>
        <w:rPr>
          <w:rStyle w:val="17"/>
          <w:rFonts w:hint="eastAsia" w:ascii="黑体" w:eastAsia="黑体"/>
          <w:b w:val="0"/>
          <w:color w:val="000000"/>
        </w:rPr>
        <w:t>词解释</w:t>
      </w:r>
      <w:bookmarkEnd w:id="52"/>
      <w:bookmarkEnd w:id="53"/>
    </w:p>
    <w:p>
      <w:pPr>
        <w:spacing w:line="600" w:lineRule="exact"/>
        <w:jc w:val="left"/>
        <w:rPr>
          <w:rFonts w:ascii="宋体"/>
          <w:b/>
          <w:color w:val="000000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bookmarkStart w:id="54" w:name="_Toc15396614"/>
      <w:bookmarkStart w:id="55" w:name="_Toc15377226"/>
      <w:r>
        <w:rPr>
          <w:rFonts w:ascii="仿宋_GB2312" w:eastAsia="仿宋_GB2312"/>
          <w:color w:val="000000"/>
          <w:sz w:val="32"/>
          <w:szCs w:val="32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．财政拨款收入：指省级财政当年拨付的资金。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</w:rPr>
        <w:t>．其他收入：指除上述“财政拨款收入”、“事业收入”、“经营收入”等以外的收入。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3</w:t>
      </w:r>
      <w:r>
        <w:rPr>
          <w:rFonts w:hint="eastAsia" w:ascii="仿宋_GB2312" w:eastAsia="仿宋_GB2312"/>
          <w:color w:val="000000"/>
          <w:sz w:val="32"/>
          <w:szCs w:val="32"/>
        </w:rPr>
        <w:t>．公共安全支出（类）公安（款）行政运行（项）</w:t>
      </w:r>
      <w:r>
        <w:rPr>
          <w:rFonts w:ascii="仿宋_GB2312" w:eastAsia="仿宋_GB2312"/>
          <w:color w:val="000000"/>
          <w:sz w:val="32"/>
          <w:szCs w:val="32"/>
        </w:rPr>
        <w:t>:</w:t>
      </w:r>
      <w:r>
        <w:rPr>
          <w:rFonts w:hint="eastAsia" w:ascii="仿宋_GB2312" w:eastAsia="仿宋_GB2312"/>
          <w:color w:val="000000"/>
          <w:sz w:val="32"/>
          <w:szCs w:val="32"/>
        </w:rPr>
        <w:t>指主要用于在职在编人员基本工资、津贴补贴，保障机关正常运转的日常公用支出。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4</w:t>
      </w:r>
      <w:r>
        <w:rPr>
          <w:rFonts w:hint="eastAsia" w:ascii="仿宋_GB2312" w:eastAsia="仿宋_GB2312"/>
          <w:color w:val="000000"/>
          <w:sz w:val="32"/>
          <w:szCs w:val="32"/>
        </w:rPr>
        <w:t>．公共安全支出（类）公安（款）一般行政管理事务（项）</w:t>
      </w:r>
      <w:r>
        <w:rPr>
          <w:rFonts w:ascii="仿宋_GB2312" w:eastAsia="仿宋_GB2312"/>
          <w:color w:val="000000"/>
          <w:sz w:val="32"/>
          <w:szCs w:val="32"/>
        </w:rPr>
        <w:t>:</w:t>
      </w:r>
      <w:r>
        <w:rPr>
          <w:rFonts w:hint="eastAsia" w:ascii="仿宋_GB2312" w:eastAsia="仿宋_GB2312"/>
          <w:color w:val="000000"/>
          <w:sz w:val="32"/>
          <w:szCs w:val="32"/>
        </w:rPr>
        <w:t>指主要用于有序开展反恐维稳、社会治安综合治理、司法体制和社会体制改革、依法治省、政法队伍建设、政法部门服务保障经济发展、信息化建设以及见义勇为等重点工作。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5</w:t>
      </w:r>
      <w:r>
        <w:rPr>
          <w:rFonts w:hint="eastAsia" w:ascii="仿宋_GB2312" w:eastAsia="仿宋_GB2312"/>
          <w:color w:val="000000"/>
          <w:sz w:val="32"/>
          <w:szCs w:val="32"/>
        </w:rPr>
        <w:t>．社会保障和就业支出（类）行政事业单位离退休（款）未归口管理的行政单位离退休（项）</w:t>
      </w:r>
      <w:r>
        <w:rPr>
          <w:rFonts w:ascii="仿宋_GB2312" w:eastAsia="仿宋_GB2312"/>
          <w:color w:val="000000"/>
          <w:sz w:val="32"/>
          <w:szCs w:val="32"/>
        </w:rPr>
        <w:t>:</w:t>
      </w:r>
      <w:r>
        <w:rPr>
          <w:rFonts w:hint="eastAsia" w:ascii="仿宋_GB2312" w:eastAsia="仿宋_GB2312"/>
          <w:color w:val="000000"/>
          <w:sz w:val="32"/>
          <w:szCs w:val="32"/>
        </w:rPr>
        <w:t>指主要用于离退休人员离退休费和津补贴。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．社会保障和就业支出（类）行政事业单位离退休（款）机关事业单位基本养老保险缴费支出（项）</w:t>
      </w:r>
      <w:r>
        <w:rPr>
          <w:rFonts w:ascii="仿宋_GB2312" w:eastAsia="仿宋_GB2312"/>
          <w:color w:val="000000"/>
          <w:sz w:val="32"/>
          <w:szCs w:val="32"/>
        </w:rPr>
        <w:t>:</w:t>
      </w:r>
      <w:r>
        <w:rPr>
          <w:rFonts w:hint="eastAsia" w:ascii="仿宋_GB2312" w:eastAsia="仿宋_GB2312"/>
          <w:color w:val="000000"/>
          <w:sz w:val="32"/>
          <w:szCs w:val="32"/>
        </w:rPr>
        <w:t>指主要用于离退休人员离退休费和津补贴。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7</w:t>
      </w:r>
      <w:r>
        <w:rPr>
          <w:rFonts w:hint="eastAsia" w:ascii="仿宋_GB2312" w:eastAsia="仿宋_GB2312"/>
          <w:color w:val="000000"/>
          <w:sz w:val="32"/>
          <w:szCs w:val="32"/>
        </w:rPr>
        <w:t>．社会保障和就业支出（类）其他社会保障和就业支出（款）其他社会保障和就业支出（项）</w:t>
      </w:r>
      <w:r>
        <w:rPr>
          <w:rFonts w:ascii="仿宋_GB2312" w:eastAsia="仿宋_GB2312"/>
          <w:color w:val="000000"/>
          <w:sz w:val="32"/>
          <w:szCs w:val="32"/>
        </w:rPr>
        <w:t>:</w:t>
      </w:r>
      <w:r>
        <w:rPr>
          <w:rFonts w:hint="eastAsia" w:ascii="仿宋_GB2312" w:eastAsia="仿宋_GB2312"/>
          <w:color w:val="000000"/>
          <w:sz w:val="32"/>
          <w:szCs w:val="32"/>
        </w:rPr>
        <w:t>指其它用于社会保障和就业方面的支出。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．医疗卫生与计划生育支出（类）医疗保障（款）行政单位医疗（项）：指财政部门集中安排的行政单位基本医疗保险缴费经费。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9</w:t>
      </w:r>
      <w:r>
        <w:rPr>
          <w:rFonts w:hint="eastAsia" w:ascii="仿宋_GB2312" w:eastAsia="仿宋_GB2312"/>
          <w:color w:val="000000"/>
          <w:sz w:val="32"/>
          <w:szCs w:val="32"/>
        </w:rPr>
        <w:t>．医疗卫生与计划生育支出（类）医疗保障（款）公务员医疗补助（项）</w:t>
      </w:r>
      <w:r>
        <w:rPr>
          <w:rFonts w:ascii="仿宋_GB2312" w:eastAsia="仿宋_GB2312"/>
          <w:color w:val="000000"/>
          <w:sz w:val="32"/>
          <w:szCs w:val="32"/>
        </w:rPr>
        <w:t>:</w:t>
      </w:r>
      <w:r>
        <w:rPr>
          <w:rFonts w:hint="eastAsia" w:ascii="仿宋_GB2312" w:eastAsia="仿宋_GB2312"/>
          <w:color w:val="000000"/>
          <w:sz w:val="32"/>
          <w:szCs w:val="32"/>
        </w:rPr>
        <w:t>指财政部门集中安排的公务员医疗补助经费。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10</w:t>
      </w:r>
      <w:r>
        <w:rPr>
          <w:rFonts w:hint="eastAsia" w:ascii="仿宋_GB2312" w:eastAsia="仿宋_GB2312"/>
          <w:color w:val="000000"/>
          <w:sz w:val="32"/>
          <w:szCs w:val="32"/>
        </w:rPr>
        <w:t>．住房保障支出（类）住房改革支出（款）住房公积金（项）</w:t>
      </w:r>
      <w:r>
        <w:rPr>
          <w:rFonts w:ascii="仿宋_GB2312" w:eastAsia="仿宋_GB2312"/>
          <w:color w:val="000000"/>
          <w:sz w:val="32"/>
          <w:szCs w:val="32"/>
        </w:rPr>
        <w:t>:</w:t>
      </w:r>
      <w:r>
        <w:rPr>
          <w:rFonts w:hint="eastAsia" w:ascii="仿宋_GB2312" w:eastAsia="仿宋_GB2312"/>
          <w:color w:val="000000"/>
          <w:sz w:val="32"/>
          <w:szCs w:val="32"/>
        </w:rPr>
        <w:t>指按照相关政策规定比例为个人缴纳的住房公积金。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11</w:t>
      </w:r>
      <w:r>
        <w:rPr>
          <w:rFonts w:hint="eastAsia" w:ascii="仿宋_GB2312" w:eastAsia="仿宋_GB2312"/>
          <w:color w:val="000000"/>
          <w:sz w:val="32"/>
          <w:szCs w:val="32"/>
        </w:rPr>
        <w:t>．住房保障支出（类）住房改革支出（款）购房补贴（项）</w:t>
      </w:r>
      <w:r>
        <w:rPr>
          <w:rFonts w:ascii="仿宋_GB2312" w:eastAsia="仿宋_GB2312"/>
          <w:color w:val="000000"/>
          <w:sz w:val="32"/>
          <w:szCs w:val="32"/>
        </w:rPr>
        <w:t>:</w:t>
      </w:r>
      <w:r>
        <w:rPr>
          <w:rFonts w:hint="eastAsia" w:ascii="仿宋_GB2312" w:eastAsia="仿宋_GB2312"/>
          <w:color w:val="000000"/>
          <w:sz w:val="32"/>
          <w:szCs w:val="32"/>
        </w:rPr>
        <w:t>指按照相关政策规定，向符合条件的个人发放的用于购买住房的补贴。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12</w:t>
      </w:r>
      <w:r>
        <w:rPr>
          <w:rFonts w:hint="eastAsia" w:ascii="仿宋_GB2312" w:eastAsia="仿宋_GB2312"/>
          <w:color w:val="000000"/>
          <w:sz w:val="32"/>
          <w:szCs w:val="32"/>
        </w:rPr>
        <w:t>．年末结转和结余：指本年度或以前年度预算安排、因客观条件发生变化无法按原计划实施，需延迟到以后年度按有关规定继续使用的资金。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13</w:t>
      </w:r>
      <w:r>
        <w:rPr>
          <w:rFonts w:hint="eastAsia" w:ascii="仿宋_GB2312" w:eastAsia="仿宋_GB2312"/>
          <w:color w:val="000000"/>
          <w:sz w:val="32"/>
          <w:szCs w:val="32"/>
        </w:rPr>
        <w:t>．基本支出：是用于保障省委政法委机关、省法学会、省政法研究所正常运转的日常支出，包括基本工资、津贴补贴等人员经费以及办公费、印刷费、水电费等日常公用经费。</w:t>
      </w:r>
      <w:r>
        <w:rPr>
          <w:rFonts w:ascii="仿宋_GB2312" w:eastAsia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eastAsia="仿宋_GB2312"/>
          <w:color w:val="000000"/>
          <w:sz w:val="32"/>
          <w:szCs w:val="32"/>
        </w:rPr>
        <w:t>　　</w:t>
      </w:r>
      <w:r>
        <w:rPr>
          <w:rFonts w:ascii="仿宋_GB2312" w:eastAsia="仿宋_GB2312"/>
          <w:color w:val="000000"/>
          <w:sz w:val="32"/>
          <w:szCs w:val="32"/>
        </w:rPr>
        <w:t>14</w:t>
      </w:r>
      <w:r>
        <w:rPr>
          <w:rFonts w:hint="eastAsia" w:ascii="仿宋_GB2312" w:eastAsia="仿宋_GB2312"/>
          <w:color w:val="000000"/>
          <w:sz w:val="32"/>
          <w:szCs w:val="32"/>
        </w:rPr>
        <w:t>．项目支出：是用于保障省委政法委机关、省法学会、省政法研究所，为完成特定的行政工作任务或事业发展目标，用于专项业务工作的经费支出。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15</w:t>
      </w:r>
      <w:r>
        <w:rPr>
          <w:rFonts w:hint="eastAsia" w:ascii="仿宋_GB2312" w:eastAsia="仿宋_GB2312"/>
          <w:color w:val="000000"/>
          <w:sz w:val="32"/>
          <w:szCs w:val="32"/>
        </w:rPr>
        <w:t>．“三公”经费：纳入省级财政预决算管理的“三公”经费，是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、安全奖励费用等支出；公务接待费反映单位按规定开支的各类公务接待（含外宾接待）支出。</w:t>
      </w:r>
    </w:p>
    <w:p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16</w:t>
      </w:r>
      <w:r>
        <w:rPr>
          <w:rFonts w:hint="eastAsia" w:ascii="仿宋_GB2312" w:eastAsia="仿宋_GB2312"/>
          <w:color w:val="000000"/>
          <w:sz w:val="32"/>
          <w:szCs w:val="32"/>
        </w:rPr>
        <w:t>．机关运行经费：为保障行政单位（含参照公务员法管理的事业单位）运行用于购买货物和服务的各项资金，包括办公及印刷费、邮电费、差旅费、会议费、福利费、日常维修费、专用材料及一般设备购置费、办公用房水电费、办公用房取暖费、办公用房物业管理费、公务用车运行维护费以及其他费用。</w:t>
      </w: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Fonts w:hint="eastAsia" w:ascii="黑体" w:eastAsia="黑体"/>
          <w:color w:val="000000"/>
          <w:sz w:val="44"/>
          <w:szCs w:val="44"/>
        </w:rPr>
      </w:pPr>
    </w:p>
    <w:p>
      <w:pPr>
        <w:spacing w:line="600" w:lineRule="exact"/>
        <w:jc w:val="center"/>
        <w:outlineLvl w:val="0"/>
        <w:rPr>
          <w:rStyle w:val="17"/>
          <w:rFonts w:ascii="黑体" w:eastAsia="黑体"/>
          <w:b w:val="0"/>
          <w:color w:val="000000"/>
        </w:rPr>
      </w:pPr>
      <w:r>
        <w:rPr>
          <w:rFonts w:hint="eastAsia" w:ascii="黑体" w:eastAsia="黑体"/>
          <w:color w:val="000000"/>
          <w:sz w:val="44"/>
          <w:szCs w:val="44"/>
        </w:rPr>
        <w:t>第</w:t>
      </w:r>
      <w:r>
        <w:rPr>
          <w:rStyle w:val="17"/>
          <w:rFonts w:hint="eastAsia" w:ascii="黑体" w:eastAsia="黑体"/>
          <w:b w:val="0"/>
          <w:color w:val="000000"/>
        </w:rPr>
        <w:t>四部分</w:t>
      </w:r>
      <w:r>
        <w:rPr>
          <w:rStyle w:val="17"/>
          <w:rFonts w:ascii="黑体" w:eastAsia="黑体"/>
          <w:b w:val="0"/>
          <w:color w:val="000000"/>
        </w:rPr>
        <w:t xml:space="preserve"> </w:t>
      </w:r>
      <w:r>
        <w:rPr>
          <w:rStyle w:val="17"/>
          <w:rFonts w:hint="eastAsia" w:ascii="黑体" w:eastAsia="黑体"/>
          <w:b w:val="0"/>
          <w:color w:val="000000"/>
        </w:rPr>
        <w:t>附件</w:t>
      </w:r>
      <w:bookmarkEnd w:id="54"/>
    </w:p>
    <w:p>
      <w:pPr>
        <w:pStyle w:val="3"/>
        <w:rPr>
          <w:rStyle w:val="17"/>
          <w:rFonts w:ascii="仿宋" w:eastAsia="仿宋"/>
          <w:b w:val="0"/>
          <w:bCs w:val="0"/>
          <w:color w:val="000000"/>
          <w:sz w:val="32"/>
          <w:szCs w:val="32"/>
        </w:rPr>
      </w:pPr>
      <w:bookmarkStart w:id="56" w:name="_Toc15396615"/>
      <w:r>
        <w:rPr>
          <w:rStyle w:val="17"/>
          <w:rFonts w:hint="eastAsia" w:ascii="仿宋" w:eastAsia="仿宋"/>
          <w:b w:val="0"/>
          <w:bCs w:val="0"/>
          <w:color w:val="000000"/>
          <w:sz w:val="32"/>
          <w:szCs w:val="32"/>
        </w:rPr>
        <w:t>附件</w:t>
      </w:r>
      <w:r>
        <w:rPr>
          <w:rStyle w:val="17"/>
          <w:rFonts w:ascii="仿宋" w:eastAsia="仿宋"/>
          <w:b w:val="0"/>
          <w:bCs w:val="0"/>
          <w:color w:val="000000"/>
          <w:sz w:val="32"/>
          <w:szCs w:val="32"/>
        </w:rPr>
        <w:t>1</w:t>
      </w:r>
      <w:bookmarkEnd w:id="56"/>
    </w:p>
    <w:p>
      <w:pPr>
        <w:spacing w:line="600" w:lineRule="exact"/>
        <w:jc w:val="center"/>
        <w:outlineLvl w:val="0"/>
        <w:rPr>
          <w:rFonts w:ascii="黑体" w:eastAsia="黑体" w:cs="方正小标宋简体"/>
          <w:color w:val="000000"/>
          <w:sz w:val="36"/>
          <w:szCs w:val="36"/>
        </w:rPr>
      </w:pPr>
      <w:bookmarkStart w:id="57" w:name="_Toc15396616"/>
      <w:r>
        <w:rPr>
          <w:rFonts w:hint="eastAsia" w:ascii="黑体" w:eastAsia="黑体" w:cs="方正小标宋简体"/>
          <w:color w:val="000000"/>
          <w:sz w:val="36"/>
          <w:szCs w:val="36"/>
        </w:rPr>
        <w:t>中共阿坝州委政法委员会</w:t>
      </w:r>
    </w:p>
    <w:p>
      <w:pPr>
        <w:spacing w:line="600" w:lineRule="exact"/>
        <w:jc w:val="center"/>
        <w:outlineLvl w:val="0"/>
        <w:rPr>
          <w:rFonts w:ascii="黑体" w:eastAsia="黑体" w:cs="方正小标宋简体"/>
          <w:color w:val="000000"/>
          <w:sz w:val="36"/>
          <w:szCs w:val="36"/>
        </w:rPr>
      </w:pPr>
      <w:r>
        <w:rPr>
          <w:rFonts w:ascii="黑体" w:eastAsia="黑体" w:cs="方正小标宋简体"/>
          <w:color w:val="000000"/>
          <w:sz w:val="36"/>
          <w:szCs w:val="36"/>
        </w:rPr>
        <w:t>20</w:t>
      </w:r>
      <w:r>
        <w:rPr>
          <w:rFonts w:hint="eastAsia" w:ascii="黑体" w:eastAsia="黑体" w:cs="方正小标宋简体"/>
          <w:color w:val="000000"/>
          <w:sz w:val="36"/>
          <w:szCs w:val="36"/>
        </w:rPr>
        <w:t>2</w:t>
      </w:r>
      <w:r>
        <w:rPr>
          <w:rFonts w:hint="eastAsia" w:ascii="黑体" w:eastAsia="黑体" w:cs="方正小标宋简体"/>
          <w:color w:val="000000"/>
          <w:sz w:val="36"/>
          <w:szCs w:val="36"/>
          <w:lang w:val="en-US" w:eastAsia="zh-CN"/>
        </w:rPr>
        <w:t>1</w:t>
      </w:r>
      <w:r>
        <w:rPr>
          <w:rFonts w:hint="eastAsia" w:ascii="黑体" w:eastAsia="黑体" w:cs="方正小标宋简体"/>
          <w:color w:val="000000"/>
          <w:sz w:val="36"/>
          <w:szCs w:val="36"/>
        </w:rPr>
        <w:t>年部门整体支出绩效评价报告</w:t>
      </w:r>
      <w:bookmarkEnd w:id="57"/>
    </w:p>
    <w:p>
      <w:pPr>
        <w:spacing w:line="580" w:lineRule="exact"/>
        <w:ind w:firstLine="640" w:firstLineChars="200"/>
        <w:rPr>
          <w:rFonts w:ascii="黑体" w:eastAsia="黑体" w:cs="黑体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</w:rPr>
        <w:t>一、部门（单位）概况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（一）机构组成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州委政法委属一级预算单位，无下属二级预算单位。内设办公室、州委维护稳定指挥部办公室、维稳指导科、综治督导科、基层社会治理科、矛盾多元化解指导科、法治与执法监督科、宣传科、政治部、组织建设科、纪律作风建设科。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（二）机构职能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1.</w:t>
      </w:r>
      <w:r>
        <w:rPr>
          <w:rFonts w:hint="eastAsia" w:ascii="仿宋_GB2312" w:eastAsia="仿宋_GB2312"/>
          <w:color w:val="000000"/>
          <w:sz w:val="32"/>
          <w:szCs w:val="32"/>
        </w:rPr>
        <w:t>深入贯彻党的路线方针政策和决策部署，统一政法各部门思想和行动，坚持党对政法工作的绝对领导，坚决维护党中央权威和集中统一领导。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2.</w:t>
      </w:r>
      <w:r>
        <w:rPr>
          <w:rFonts w:hint="eastAsia" w:ascii="仿宋_GB2312" w:eastAsia="仿宋_GB2312"/>
          <w:color w:val="000000"/>
          <w:sz w:val="32"/>
          <w:szCs w:val="32"/>
        </w:rPr>
        <w:t>深入贯彻党中央决定和省委、州委决策，对政法工作提出全局性部署，推进平安阿坝建设、法治阿坝建设，加强过硬队伍建设，深化智能化建设。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3.</w:t>
      </w:r>
      <w:r>
        <w:rPr>
          <w:rFonts w:hint="eastAsia" w:ascii="仿宋_GB2312" w:eastAsia="仿宋_GB2312"/>
          <w:color w:val="000000"/>
          <w:sz w:val="32"/>
          <w:szCs w:val="32"/>
        </w:rPr>
        <w:t>组织开展政法领域的调查研究，研究拟订全州政法工作的政策措施，及时向州委提出建议。参与有关民族自治法规、地方性法规和规章的起草、修改工作，及时提出立法建议。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4.</w:t>
      </w:r>
      <w:r>
        <w:rPr>
          <w:rFonts w:hint="eastAsia" w:ascii="仿宋_GB2312" w:eastAsia="仿宋_GB2312"/>
          <w:color w:val="000000"/>
          <w:sz w:val="32"/>
          <w:szCs w:val="32"/>
        </w:rPr>
        <w:t>掌握分析政法舆情动态，指导协调政法部门媒体网络宣传工作，指导政法部门做好涉及政法工作的重大宣传和舆论引导工作。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5.</w:t>
      </w:r>
      <w:r>
        <w:rPr>
          <w:rFonts w:hint="eastAsia" w:ascii="仿宋_GB2312" w:eastAsia="仿宋_GB2312"/>
          <w:color w:val="000000"/>
          <w:sz w:val="32"/>
          <w:szCs w:val="32"/>
        </w:rPr>
        <w:t>监督和支持政法各部门依法行使职权，指导和协调政法各部门密切配合，研究和协调重大、疑难案件，推进严格执法、公正司法。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6.</w:t>
      </w:r>
      <w:r>
        <w:rPr>
          <w:rFonts w:hint="eastAsia" w:ascii="仿宋_GB2312" w:eastAsia="仿宋_GB2312"/>
          <w:color w:val="000000"/>
          <w:sz w:val="32"/>
          <w:szCs w:val="32"/>
        </w:rPr>
        <w:t>组织研究政法改革工作中带有方向性、倾向性和普遍性的重大问题，深化政法改革。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7.</w:t>
      </w:r>
      <w:r>
        <w:rPr>
          <w:rFonts w:hint="eastAsia" w:ascii="仿宋_GB2312" w:eastAsia="仿宋_GB2312"/>
          <w:color w:val="000000"/>
          <w:sz w:val="32"/>
          <w:szCs w:val="32"/>
        </w:rPr>
        <w:t>指导推动政法系统党的建设和政法队伍建设，协同州级有关部门管理监督政法领导干部，代管阿坝州法学会。</w:t>
      </w:r>
    </w:p>
    <w:p>
      <w:pPr>
        <w:spacing w:line="560" w:lineRule="exact"/>
        <w:ind w:firstLine="555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8.</w:t>
      </w:r>
      <w:r>
        <w:rPr>
          <w:rFonts w:hint="eastAsia" w:ascii="仿宋_GB2312" w:eastAsia="仿宋_GB2312"/>
          <w:color w:val="000000"/>
          <w:sz w:val="32"/>
          <w:szCs w:val="32"/>
        </w:rPr>
        <w:t>完成州委交办的其他任务。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（三）人员概况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行政编制</w:t>
      </w:r>
      <w:r>
        <w:rPr>
          <w:rFonts w:ascii="仿宋_GB2312" w:eastAsia="仿宋_GB2312"/>
          <w:color w:val="000000"/>
          <w:sz w:val="32"/>
          <w:szCs w:val="32"/>
        </w:rPr>
        <w:t>22</w:t>
      </w:r>
      <w:r>
        <w:rPr>
          <w:rFonts w:hint="eastAsia" w:ascii="仿宋_GB2312" w:eastAsia="仿宋_GB2312"/>
          <w:color w:val="000000"/>
          <w:sz w:val="32"/>
          <w:szCs w:val="32"/>
        </w:rPr>
        <w:t>名，工勤编制</w:t>
      </w:r>
      <w:r>
        <w:rPr>
          <w:rFonts w:ascii="仿宋_GB2312" w:eastAsia="仿宋_GB2312"/>
          <w:color w:val="000000"/>
          <w:sz w:val="32"/>
          <w:szCs w:val="32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名；在职人员总数</w:t>
      </w:r>
      <w:r>
        <w:rPr>
          <w:rFonts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color w:val="000000"/>
          <w:sz w:val="32"/>
          <w:szCs w:val="32"/>
        </w:rPr>
        <w:t>人，其中行政人员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color w:val="000000"/>
          <w:sz w:val="32"/>
          <w:szCs w:val="32"/>
        </w:rPr>
        <w:t>人，机关工勤人员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color w:val="000000"/>
          <w:sz w:val="32"/>
          <w:szCs w:val="32"/>
        </w:rPr>
        <w:t>人。</w:t>
      </w:r>
    </w:p>
    <w:p>
      <w:pPr>
        <w:spacing w:line="580" w:lineRule="exact"/>
        <w:ind w:firstLine="640" w:firstLineChars="20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</w:rPr>
        <w:t>二、部门财政资金收支情况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（一）部门财政资金收入情况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年本年收入合计</w:t>
      </w:r>
      <w:r>
        <w:rPr>
          <w:rFonts w:ascii="仿宋" w:eastAsia="仿宋"/>
          <w:color w:val="000000"/>
          <w:sz w:val="32"/>
          <w:szCs w:val="32"/>
        </w:rPr>
        <w:t>18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70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84</w:t>
      </w:r>
      <w:r>
        <w:rPr>
          <w:rFonts w:hint="eastAsia" w:ascii="仿宋_GB2312" w:eastAsia="仿宋_GB2312"/>
          <w:color w:val="000000"/>
          <w:sz w:val="32"/>
          <w:szCs w:val="32"/>
        </w:rPr>
        <w:t>万元，其中：一般公共预算财政拨款收入</w:t>
      </w:r>
      <w:r>
        <w:rPr>
          <w:rFonts w:ascii="仿宋" w:eastAsia="仿宋"/>
          <w:color w:val="000000"/>
          <w:sz w:val="32"/>
          <w:szCs w:val="32"/>
        </w:rPr>
        <w:t>18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70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84</w:t>
      </w:r>
      <w:r>
        <w:rPr>
          <w:rFonts w:hint="eastAsia" w:ascii="仿宋_GB2312" w:eastAsia="仿宋_GB2312"/>
          <w:color w:val="000000"/>
          <w:sz w:val="32"/>
          <w:szCs w:val="32"/>
        </w:rPr>
        <w:t>万元，占</w:t>
      </w:r>
      <w:r>
        <w:rPr>
          <w:rFonts w:ascii="仿宋_GB2312" w:eastAsia="仿宋_GB2312"/>
          <w:color w:val="000000"/>
          <w:sz w:val="32"/>
          <w:szCs w:val="32"/>
        </w:rPr>
        <w:t>100%</w:t>
      </w:r>
      <w:r>
        <w:rPr>
          <w:rFonts w:hint="eastAsia" w:ascii="仿宋_GB2312" w:eastAsia="仿宋_GB2312"/>
          <w:color w:val="000000"/>
          <w:sz w:val="32"/>
          <w:szCs w:val="32"/>
        </w:rPr>
        <w:t>；其他收入</w:t>
      </w:r>
      <w:r>
        <w:rPr>
          <w:rFonts w:ascii="仿宋_GB2312" w:eastAsia="仿宋_GB2312"/>
          <w:color w:val="000000"/>
          <w:sz w:val="32"/>
          <w:szCs w:val="32"/>
        </w:rPr>
        <w:t>0</w:t>
      </w:r>
      <w:r>
        <w:rPr>
          <w:rFonts w:hint="eastAsia" w:ascii="仿宋_GB2312" w:eastAsia="仿宋_GB2312"/>
          <w:color w:val="000000"/>
          <w:sz w:val="32"/>
          <w:szCs w:val="32"/>
        </w:rPr>
        <w:t>万元，占</w:t>
      </w:r>
      <w:r>
        <w:rPr>
          <w:rFonts w:ascii="仿宋_GB2312" w:eastAsia="仿宋_GB2312"/>
          <w:color w:val="000000"/>
          <w:sz w:val="32"/>
          <w:szCs w:val="32"/>
        </w:rPr>
        <w:t>0%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（二）部门财政资金支出情况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" w:eastAsia="仿宋"/>
          <w:color w:val="000000"/>
          <w:sz w:val="32"/>
          <w:szCs w:val="32"/>
        </w:rPr>
        <w:t>20</w:t>
      </w:r>
      <w:r>
        <w:rPr>
          <w:rFonts w:hint="eastAsia" w:ascii="仿宋" w:eastAsia="仿宋"/>
          <w:color w:val="000000"/>
          <w:sz w:val="32"/>
          <w:szCs w:val="32"/>
        </w:rPr>
        <w:t>2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</w:t>
      </w:r>
      <w:r>
        <w:rPr>
          <w:rFonts w:ascii="仿宋" w:eastAsia="仿宋"/>
          <w:color w:val="000000"/>
          <w:sz w:val="32"/>
          <w:szCs w:val="32"/>
        </w:rPr>
        <w:t xml:space="preserve"> </w:t>
      </w:r>
      <w:r>
        <w:rPr>
          <w:rFonts w:hint="eastAsia" w:ascii="仿宋" w:eastAsia="仿宋"/>
          <w:color w:val="000000"/>
          <w:sz w:val="32"/>
          <w:szCs w:val="32"/>
        </w:rPr>
        <w:t>年本年支出合计</w:t>
      </w:r>
      <w:r>
        <w:rPr>
          <w:rFonts w:ascii="仿宋" w:eastAsia="仿宋"/>
          <w:color w:val="000000"/>
          <w:sz w:val="32"/>
          <w:szCs w:val="32"/>
        </w:rPr>
        <w:t>18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70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84</w:t>
      </w:r>
      <w:r>
        <w:rPr>
          <w:rFonts w:hint="eastAsia" w:ascii="仿宋" w:eastAsia="仿宋"/>
          <w:color w:val="000000"/>
          <w:sz w:val="32"/>
          <w:szCs w:val="32"/>
        </w:rPr>
        <w:t>万元，其中：基本支出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1695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19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90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61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；项目支出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175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64</w:t>
      </w:r>
      <w:r>
        <w:rPr>
          <w:rFonts w:hint="eastAsia" w:ascii="仿宋" w:eastAsia="仿宋"/>
          <w:color w:val="000000"/>
          <w:sz w:val="32"/>
          <w:szCs w:val="32"/>
        </w:rPr>
        <w:t>万元，占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9</w:t>
      </w:r>
      <w:r>
        <w:rPr>
          <w:rFonts w:ascii="仿宋" w:eastAsia="仿宋"/>
          <w:color w:val="000000"/>
          <w:sz w:val="32"/>
          <w:szCs w:val="32"/>
        </w:rPr>
        <w:t>.</w:t>
      </w:r>
      <w:r>
        <w:rPr>
          <w:rFonts w:hint="eastAsia" w:ascii="仿宋" w:eastAsia="仿宋"/>
          <w:color w:val="000000"/>
          <w:sz w:val="32"/>
          <w:szCs w:val="32"/>
          <w:lang w:val="en-US" w:eastAsia="zh-CN"/>
        </w:rPr>
        <w:t>39</w:t>
      </w:r>
      <w:r>
        <w:rPr>
          <w:rFonts w:ascii="仿宋" w:eastAsia="仿宋"/>
          <w:color w:val="000000"/>
          <w:sz w:val="32"/>
          <w:szCs w:val="32"/>
        </w:rPr>
        <w:t>%</w:t>
      </w:r>
      <w:r>
        <w:rPr>
          <w:rFonts w:hint="eastAsia" w:ascii="仿宋" w:eastAsia="仿宋"/>
          <w:color w:val="000000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</w:rPr>
        <w:t>三、部门整体预算绩效管理情况（根据适用指标体系进行调整）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（一）部门预算管理。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以预算编制为引领，以支出管理为核心，扎实做好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000000"/>
          <w:sz w:val="32"/>
          <w:szCs w:val="32"/>
        </w:rPr>
        <w:t>年预算工作。一是严格按照财政局预算编制要求，认真贯彻落实州委州政府关于“厉行节约”的要求，扎实做好预算工作，确保预算编制的科学性和准确性。二是加强支出进度管理，完善预算动态监控，主动作为，提前谋划，在完成一般性支出压减任务的情况下，确保了机关运行和重大项目的实施。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（二）专项预算管理。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严格按照专项资金预算使用管理执行，进一步规范“三公”经费管理，从严控制“三公”经费开支。无因公出国（境）费预算和支出，公务接待费支出决算比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减少</w:t>
      </w:r>
      <w:r>
        <w:rPr>
          <w:rFonts w:ascii="仿宋_GB2312" w:eastAsia="仿宋_GB2312"/>
          <w:color w:val="000000"/>
          <w:sz w:val="32"/>
          <w:szCs w:val="32"/>
        </w:rPr>
        <w:t>0.</w:t>
      </w:r>
      <w:r>
        <w:rPr>
          <w:rFonts w:hint="eastAsia" w:ascii="仿宋_GB2312" w:eastAsia="仿宋_GB2312"/>
          <w:color w:val="000000"/>
          <w:sz w:val="32"/>
          <w:szCs w:val="32"/>
        </w:rPr>
        <w:t>1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万元。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（三）结果应用情况。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，州委政法委全面贯彻落实州委州政府重大决策部署，按照“规范、高效、廉洁”要求，围绕中心，服务大局，高效运转，改革创新，在完成一般性支出压减任务的情况下，确保了机关运行和重大项目的实施，工作质量和服务效能整体提升。</w:t>
      </w:r>
    </w:p>
    <w:p>
      <w:pPr>
        <w:spacing w:line="580" w:lineRule="exact"/>
        <w:ind w:firstLine="640" w:firstLineChars="200"/>
        <w:rPr>
          <w:rFonts w:ascii="黑体" w:eastAsia="黑体" w:cs="黑体"/>
          <w:color w:val="000000"/>
          <w:sz w:val="32"/>
          <w:szCs w:val="32"/>
        </w:rPr>
      </w:pPr>
      <w:r>
        <w:rPr>
          <w:rFonts w:hint="eastAsia" w:ascii="黑体" w:eastAsia="黑体" w:cs="黑体"/>
          <w:color w:val="000000"/>
          <w:sz w:val="32"/>
          <w:szCs w:val="32"/>
        </w:rPr>
        <w:t>四、评价结论及建议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（一）评价结论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从自评情况来看，预、决算编制合理，支出规范，财政支出既确保了机关正常运转，又保证了项目开支，财政支出绩效良好。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（二）存在问题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整体支出绩效评价工作还存在个别项目绩效考核指标不准确、不完善，绩效管理信息支撑工作有待加强的情况。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（三）改进建议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建议进一步完善绩效考核指标和开发专业绩效管理软件。</w:t>
      </w:r>
      <w:bookmarkStart w:id="58" w:name="_Toc15396617"/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hint="eastAsia" w:ascii="仿宋" w:eastAsia="仿宋"/>
          <w:color w:val="000000"/>
          <w:sz w:val="32"/>
          <w:szCs w:val="32"/>
        </w:rPr>
      </w:pPr>
    </w:p>
    <w:p>
      <w:pPr>
        <w:spacing w:line="580" w:lineRule="exact"/>
        <w:rPr>
          <w:rStyle w:val="17"/>
          <w:rFonts w:ascii="仿宋" w:eastAsia="仿宋"/>
          <w:color w:val="000000"/>
          <w:sz w:val="32"/>
          <w:szCs w:val="32"/>
        </w:rPr>
      </w:pPr>
      <w:r>
        <w:rPr>
          <w:rStyle w:val="17"/>
          <w:rFonts w:hint="eastAsia" w:ascii="仿宋" w:eastAsia="仿宋"/>
          <w:color w:val="000000"/>
          <w:sz w:val="32"/>
          <w:szCs w:val="32"/>
        </w:rPr>
        <w:t>附件</w:t>
      </w:r>
      <w:r>
        <w:rPr>
          <w:rStyle w:val="17"/>
          <w:rFonts w:ascii="仿宋" w:eastAsia="仿宋"/>
          <w:color w:val="000000"/>
          <w:sz w:val="32"/>
          <w:szCs w:val="32"/>
        </w:rPr>
        <w:t>2</w:t>
      </w:r>
      <w:bookmarkEnd w:id="58"/>
    </w:p>
    <w:p>
      <w:pPr>
        <w:spacing w:line="580" w:lineRule="exact"/>
        <w:jc w:val="center"/>
        <w:rPr>
          <w:rFonts w:ascii="黑体" w:eastAsia="黑体" w:cs="方正小标宋简体"/>
          <w:color w:val="000000"/>
          <w:sz w:val="44"/>
          <w:szCs w:val="44"/>
        </w:rPr>
      </w:pPr>
      <w:r>
        <w:rPr>
          <w:rFonts w:ascii="黑体" w:eastAsia="黑体" w:cs="方正小标宋简体"/>
          <w:color w:val="000000"/>
          <w:sz w:val="44"/>
          <w:szCs w:val="44"/>
        </w:rPr>
        <w:t>20</w:t>
      </w:r>
      <w:r>
        <w:rPr>
          <w:rFonts w:hint="eastAsia" w:ascii="黑体" w:eastAsia="黑体" w:cs="方正小标宋简体"/>
          <w:color w:val="000000"/>
          <w:sz w:val="44"/>
          <w:szCs w:val="44"/>
        </w:rPr>
        <w:t>2</w:t>
      </w:r>
      <w:r>
        <w:rPr>
          <w:rFonts w:hint="eastAsia" w:ascii="黑体" w:eastAsia="黑体" w:cs="方正小标宋简体"/>
          <w:color w:val="000000"/>
          <w:sz w:val="44"/>
          <w:szCs w:val="44"/>
          <w:lang w:val="en-US" w:eastAsia="zh-CN"/>
        </w:rPr>
        <w:t>1</w:t>
      </w:r>
      <w:r>
        <w:rPr>
          <w:rFonts w:hint="eastAsia" w:ascii="黑体" w:eastAsia="黑体" w:cs="方正小标宋简体"/>
          <w:color w:val="000000"/>
          <w:sz w:val="44"/>
          <w:szCs w:val="44"/>
        </w:rPr>
        <w:t>年州委政法委政法三级网线路租赁</w:t>
      </w:r>
    </w:p>
    <w:p>
      <w:pPr>
        <w:spacing w:line="580" w:lineRule="exact"/>
        <w:jc w:val="center"/>
        <w:rPr>
          <w:rFonts w:ascii="黑体" w:eastAsia="黑体" w:cs="方正小标宋简体"/>
          <w:color w:val="000000"/>
          <w:sz w:val="44"/>
          <w:szCs w:val="44"/>
        </w:rPr>
      </w:pPr>
      <w:r>
        <w:rPr>
          <w:rFonts w:hint="eastAsia" w:ascii="黑体" w:eastAsia="黑体" w:cs="方正小标宋简体"/>
          <w:color w:val="000000"/>
          <w:sz w:val="44"/>
          <w:szCs w:val="44"/>
        </w:rPr>
        <w:t>项目支出绩效评价报告</w:t>
      </w:r>
    </w:p>
    <w:p>
      <w:pPr>
        <w:spacing w:line="580" w:lineRule="exact"/>
        <w:ind w:firstLine="640" w:firstLineChars="200"/>
        <w:rPr>
          <w:rFonts w:ascii="仿宋_GB2312" w:eastAsia="仿宋_GB2312" w:cs="仿宋_GB2312"/>
          <w:color w:val="00000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" w:eastAsia="仿宋" w:cs="仿宋_GB2312"/>
          <w:color w:val="000000"/>
          <w:sz w:val="32"/>
          <w:szCs w:val="32"/>
        </w:rPr>
      </w:pPr>
      <w:r>
        <w:rPr>
          <w:rFonts w:hint="eastAsia" w:ascii="仿宋" w:eastAsia="仿宋" w:cs="仿宋_GB2312"/>
          <w:color w:val="000000"/>
          <w:sz w:val="32"/>
          <w:szCs w:val="32"/>
        </w:rPr>
        <w:t>一、评价工作开展及项目情况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州委政法委在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</w:rPr>
        <w:t>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000000"/>
          <w:sz w:val="32"/>
          <w:szCs w:val="32"/>
        </w:rPr>
        <w:t>年开展了政法三级网线路租赁费支出绩效评价，该项目合同约定，网络全年正常运转未发生故障时，全年按期支付</w:t>
      </w:r>
      <w:r>
        <w:rPr>
          <w:rFonts w:ascii="仿宋_GB2312" w:eastAsia="仿宋_GB2312"/>
          <w:color w:val="000000"/>
          <w:sz w:val="32"/>
          <w:szCs w:val="32"/>
        </w:rPr>
        <w:t>120</w:t>
      </w:r>
      <w:r>
        <w:rPr>
          <w:rFonts w:hint="eastAsia" w:ascii="仿宋_GB2312" w:eastAsia="仿宋_GB2312"/>
          <w:color w:val="000000"/>
          <w:sz w:val="32"/>
          <w:szCs w:val="32"/>
        </w:rPr>
        <w:t>万元租赁费。由于双方严格履行合同义务，全年网络运行正常。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（一）评价结论</w:t>
      </w:r>
    </w:p>
    <w:p>
      <w:pPr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此项目绩效评价总体较好，根据我单位制定的项目积极开展好此项工作，对支出指标自评分值表进行考核，该项目绩效综合评价良好，实得</w:t>
      </w:r>
      <w:r>
        <w:rPr>
          <w:rFonts w:ascii="仿宋_GB2312" w:eastAsia="仿宋_GB2312"/>
          <w:color w:val="000000"/>
          <w:sz w:val="32"/>
          <w:szCs w:val="32"/>
        </w:rPr>
        <w:t>89</w:t>
      </w:r>
      <w:r>
        <w:rPr>
          <w:rFonts w:hint="eastAsia" w:ascii="仿宋_GB2312" w:eastAsia="仿宋_GB2312"/>
          <w:color w:val="000000"/>
          <w:sz w:val="32"/>
          <w:szCs w:val="32"/>
        </w:rPr>
        <w:t>分。</w:t>
      </w:r>
    </w:p>
    <w:p>
      <w:pPr>
        <w:spacing w:line="600" w:lineRule="exact"/>
        <w:ind w:firstLine="642" w:firstLineChars="200"/>
        <w:rPr>
          <w:rFonts w:ascii="楷体_GB2312" w:eastAsia="楷体_GB2312"/>
          <w:b/>
          <w:color w:val="000000"/>
          <w:sz w:val="32"/>
          <w:szCs w:val="32"/>
        </w:rPr>
      </w:pPr>
      <w:r>
        <w:rPr>
          <w:rFonts w:hint="eastAsia" w:ascii="楷体_GB2312" w:eastAsia="楷体_GB2312"/>
          <w:b/>
          <w:color w:val="000000"/>
          <w:sz w:val="32"/>
          <w:szCs w:val="32"/>
        </w:rPr>
        <w:t>（二）绩效分析</w:t>
      </w:r>
    </w:p>
    <w:p>
      <w:pPr>
        <w:spacing w:line="580" w:lineRule="exact"/>
        <w:ind w:firstLine="640" w:firstLineChars="200"/>
        <w:rPr>
          <w:rFonts w:ascii="仿宋" w:eastAsia="仿宋" w:cs="仿宋_GB2312"/>
          <w:color w:val="000000"/>
          <w:sz w:val="32"/>
          <w:szCs w:val="32"/>
        </w:rPr>
      </w:pPr>
      <w:r>
        <w:rPr>
          <w:rFonts w:ascii="仿宋" w:eastAsia="仿宋" w:cs="仿宋_GB2312"/>
          <w:color w:val="000000"/>
          <w:sz w:val="32"/>
          <w:szCs w:val="32"/>
        </w:rPr>
        <w:t>1</w:t>
      </w:r>
      <w:r>
        <w:rPr>
          <w:rFonts w:hint="eastAsia" w:ascii="仿宋" w:eastAsia="仿宋" w:cs="仿宋_GB2312"/>
          <w:color w:val="000000"/>
          <w:sz w:val="32"/>
          <w:szCs w:val="32"/>
        </w:rPr>
        <w:t>、项目决策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根据建成时间和合同约定按期支付相关费用，确保信息系统能安全、高效运转。</w:t>
      </w:r>
    </w:p>
    <w:p>
      <w:pPr>
        <w:spacing w:line="580" w:lineRule="exact"/>
        <w:ind w:firstLine="640" w:firstLineChars="200"/>
        <w:rPr>
          <w:rFonts w:ascii="仿宋" w:eastAsia="仿宋" w:cs="仿宋_GB2312"/>
          <w:color w:val="000000"/>
          <w:sz w:val="32"/>
          <w:szCs w:val="32"/>
        </w:rPr>
      </w:pPr>
      <w:r>
        <w:rPr>
          <w:rFonts w:ascii="仿宋" w:eastAsia="仿宋" w:cs="仿宋_GB2312"/>
          <w:color w:val="000000"/>
          <w:sz w:val="32"/>
          <w:szCs w:val="32"/>
        </w:rPr>
        <w:t>2</w:t>
      </w:r>
      <w:r>
        <w:rPr>
          <w:rFonts w:hint="eastAsia" w:ascii="仿宋" w:eastAsia="仿宋" w:cs="仿宋_GB2312"/>
          <w:color w:val="000000"/>
          <w:sz w:val="32"/>
          <w:szCs w:val="32"/>
        </w:rPr>
        <w:t>、项目管理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资金分配情况，资金严格按照合同约定使用，经费支出手续齐备，从申请</w:t>
      </w:r>
      <w:r>
        <w:rPr>
          <w:rFonts w:ascii="仿宋_GB2312" w:eastAsia="仿宋_GB2312"/>
          <w:color w:val="000000"/>
          <w:sz w:val="32"/>
          <w:szCs w:val="32"/>
        </w:rPr>
        <w:t>-</w:t>
      </w:r>
      <w:r>
        <w:rPr>
          <w:rFonts w:hint="eastAsia" w:ascii="仿宋_GB2312" w:eastAsia="仿宋_GB2312"/>
          <w:color w:val="000000"/>
          <w:sz w:val="32"/>
          <w:szCs w:val="32"/>
        </w:rPr>
        <w:t>审核</w:t>
      </w:r>
      <w:r>
        <w:rPr>
          <w:rFonts w:ascii="仿宋_GB2312" w:eastAsia="仿宋_GB2312"/>
          <w:color w:val="000000"/>
          <w:sz w:val="32"/>
          <w:szCs w:val="32"/>
        </w:rPr>
        <w:t>-</w:t>
      </w:r>
      <w:r>
        <w:rPr>
          <w:rFonts w:hint="eastAsia" w:ascii="仿宋_GB2312" w:eastAsia="仿宋_GB2312"/>
          <w:color w:val="000000"/>
          <w:sz w:val="32"/>
          <w:szCs w:val="32"/>
        </w:rPr>
        <w:t>批准的支付款项程序到位，落实专款专用原则。</w:t>
      </w:r>
    </w:p>
    <w:p>
      <w:pPr>
        <w:spacing w:line="580" w:lineRule="exact"/>
        <w:ind w:firstLine="640" w:firstLineChars="200"/>
        <w:rPr>
          <w:rFonts w:ascii="仿宋" w:eastAsia="仿宋" w:cs="仿宋_GB2312"/>
          <w:color w:val="000000"/>
          <w:sz w:val="32"/>
          <w:szCs w:val="32"/>
        </w:rPr>
      </w:pPr>
      <w:r>
        <w:rPr>
          <w:rFonts w:ascii="仿宋" w:eastAsia="仿宋" w:cs="仿宋_GB2312"/>
          <w:color w:val="000000"/>
          <w:sz w:val="32"/>
          <w:szCs w:val="32"/>
        </w:rPr>
        <w:t>3</w:t>
      </w:r>
      <w:r>
        <w:rPr>
          <w:rFonts w:hint="eastAsia" w:ascii="仿宋" w:eastAsia="仿宋" w:cs="仿宋_GB2312"/>
          <w:color w:val="000000"/>
          <w:sz w:val="32"/>
          <w:szCs w:val="32"/>
        </w:rPr>
        <w:t>、项目绩效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项目目标完成情况较好，使用者满意，全年支付租赁费用</w:t>
      </w:r>
      <w:r>
        <w:rPr>
          <w:rFonts w:ascii="仿宋_GB2312" w:eastAsia="仿宋_GB2312"/>
          <w:color w:val="000000"/>
          <w:sz w:val="32"/>
          <w:szCs w:val="32"/>
        </w:rPr>
        <w:t>120</w:t>
      </w:r>
      <w:r>
        <w:rPr>
          <w:rFonts w:hint="eastAsia" w:ascii="仿宋_GB2312" w:eastAsia="仿宋_GB2312"/>
          <w:color w:val="000000"/>
          <w:sz w:val="32"/>
          <w:szCs w:val="32"/>
        </w:rPr>
        <w:t>万元。</w:t>
      </w:r>
    </w:p>
    <w:p>
      <w:pPr>
        <w:spacing w:line="580" w:lineRule="exact"/>
        <w:ind w:firstLine="640" w:firstLineChars="200"/>
        <w:rPr>
          <w:rFonts w:ascii="仿宋" w:eastAsia="仿宋" w:cs="仿宋_GB2312"/>
          <w:color w:val="000000"/>
          <w:sz w:val="32"/>
          <w:szCs w:val="32"/>
        </w:rPr>
      </w:pPr>
      <w:r>
        <w:rPr>
          <w:rFonts w:hint="eastAsia" w:ascii="仿宋" w:eastAsia="仿宋" w:cs="仿宋_GB2312"/>
          <w:color w:val="000000"/>
          <w:sz w:val="32"/>
          <w:szCs w:val="32"/>
        </w:rPr>
        <w:t>三、存在主要问题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绩效目标管理有待进一步加强，绩效目标内容有待完整。</w:t>
      </w:r>
    </w:p>
    <w:p>
      <w:pPr>
        <w:numPr>
          <w:ilvl w:val="0"/>
          <w:numId w:val="5"/>
        </w:numPr>
        <w:spacing w:line="580" w:lineRule="exact"/>
        <w:rPr>
          <w:rFonts w:ascii="仿宋" w:eastAsia="仿宋" w:cs="仿宋_GB2312"/>
          <w:color w:val="000000"/>
          <w:sz w:val="32"/>
          <w:szCs w:val="32"/>
        </w:rPr>
      </w:pPr>
      <w:r>
        <w:rPr>
          <w:rFonts w:hint="eastAsia" w:ascii="仿宋" w:eastAsia="仿宋" w:cs="仿宋_GB2312"/>
          <w:color w:val="000000"/>
          <w:sz w:val="32"/>
          <w:szCs w:val="32"/>
        </w:rPr>
        <w:t>相关措施建议</w:t>
      </w:r>
    </w:p>
    <w:p>
      <w:pPr>
        <w:spacing w:line="58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在日常预算执行管理过程中，合理合规的使用资金，进一步加强预算支出的跟踪监控及预算执行情况分析。财务人员加强业务知识学习，不断提升业务能力。</w:t>
      </w:r>
    </w:p>
    <w:p>
      <w:pPr>
        <w:spacing w:line="580" w:lineRule="exact"/>
        <w:ind w:firstLine="640"/>
        <w:rPr>
          <w:rFonts w:ascii="仿宋_GB2312" w:eastAsia="仿宋_GB2312" w:cs="仿宋_GB2312"/>
          <w:color w:val="000000"/>
          <w:sz w:val="32"/>
          <w:szCs w:val="32"/>
        </w:rPr>
      </w:pPr>
    </w:p>
    <w:p>
      <w:pPr>
        <w:spacing w:line="580" w:lineRule="exact"/>
        <w:ind w:firstLine="640"/>
        <w:rPr>
          <w:rFonts w:ascii="仿宋_GB2312" w:eastAsia="仿宋_GB2312" w:cs="仿宋_GB2312"/>
          <w:color w:val="000000"/>
          <w:sz w:val="32"/>
          <w:szCs w:val="32"/>
        </w:rPr>
      </w:pPr>
    </w:p>
    <w:p>
      <w:pPr>
        <w:widowControl/>
        <w:jc w:val="left"/>
        <w:rPr>
          <w:rStyle w:val="17"/>
          <w:rFonts w:ascii="黑体" w:eastAsia="黑体"/>
          <w:b w:val="0"/>
          <w:color w:val="000000"/>
        </w:rPr>
      </w:pPr>
    </w:p>
    <w:p>
      <w:pPr>
        <w:widowControl/>
        <w:jc w:val="left"/>
        <w:rPr>
          <w:rStyle w:val="17"/>
          <w:rFonts w:ascii="黑体" w:eastAsia="黑体"/>
          <w:b w:val="0"/>
          <w:color w:val="000000"/>
        </w:rPr>
      </w:pPr>
      <w:r>
        <w:rPr>
          <w:rStyle w:val="17"/>
          <w:rFonts w:ascii="黑体" w:eastAsia="黑体"/>
          <w:b w:val="0"/>
          <w:color w:val="000000"/>
        </w:rPr>
        <w:br w:type="page"/>
      </w:r>
    </w:p>
    <w:p>
      <w:pPr>
        <w:spacing w:line="600" w:lineRule="exact"/>
        <w:jc w:val="center"/>
        <w:outlineLvl w:val="0"/>
        <w:rPr>
          <w:rStyle w:val="17"/>
          <w:rFonts w:ascii="黑体" w:eastAsia="黑体"/>
          <w:b w:val="0"/>
          <w:color w:val="000000"/>
        </w:rPr>
      </w:pPr>
      <w:bookmarkStart w:id="59" w:name="_Toc15396618"/>
      <w:r>
        <w:rPr>
          <w:rFonts w:hint="eastAsia" w:ascii="黑体" w:eastAsia="黑体"/>
          <w:color w:val="000000"/>
          <w:sz w:val="44"/>
          <w:szCs w:val="44"/>
        </w:rPr>
        <w:t>第</w:t>
      </w:r>
      <w:r>
        <w:rPr>
          <w:rStyle w:val="17"/>
          <w:rFonts w:hint="eastAsia" w:ascii="黑体" w:eastAsia="黑体"/>
          <w:b w:val="0"/>
          <w:color w:val="000000"/>
        </w:rPr>
        <w:t>五部分</w:t>
      </w:r>
      <w:r>
        <w:rPr>
          <w:rStyle w:val="17"/>
          <w:rFonts w:ascii="黑体" w:eastAsia="黑体"/>
          <w:b w:val="0"/>
          <w:color w:val="000000"/>
        </w:rPr>
        <w:t xml:space="preserve"> </w:t>
      </w:r>
      <w:r>
        <w:rPr>
          <w:rStyle w:val="17"/>
          <w:rFonts w:hint="eastAsia" w:ascii="黑体" w:eastAsia="黑体"/>
          <w:b w:val="0"/>
          <w:color w:val="000000"/>
        </w:rPr>
        <w:t>附表</w:t>
      </w:r>
      <w:bookmarkEnd w:id="55"/>
      <w:bookmarkEnd w:id="59"/>
    </w:p>
    <w:p>
      <w:pPr>
        <w:spacing w:line="600" w:lineRule="exact"/>
        <w:jc w:val="center"/>
        <w:outlineLvl w:val="0"/>
        <w:rPr>
          <w:rFonts w:ascii="仿宋" w:eastAsia="仿宋"/>
          <w:b/>
          <w:color w:val="000000"/>
          <w:sz w:val="44"/>
          <w:szCs w:val="44"/>
        </w:rPr>
      </w:pPr>
    </w:p>
    <w:p>
      <w:pPr>
        <w:pStyle w:val="3"/>
        <w:rPr>
          <w:rFonts w:ascii="仿宋" w:eastAsia="仿宋"/>
          <w:color w:val="000000"/>
        </w:rPr>
      </w:pPr>
      <w:bookmarkStart w:id="60" w:name="_Toc15396619"/>
      <w:r>
        <w:rPr>
          <w:rFonts w:hint="eastAsia" w:ascii="仿宋" w:eastAsia="仿宋"/>
          <w:b w:val="0"/>
          <w:color w:val="000000"/>
        </w:rPr>
        <w:t>一、收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入支出决算总表</w:t>
      </w:r>
      <w:bookmarkEnd w:id="60"/>
    </w:p>
    <w:p>
      <w:pPr>
        <w:pStyle w:val="3"/>
        <w:rPr>
          <w:rFonts w:ascii="仿宋" w:eastAsia="仿宋"/>
          <w:color w:val="000000"/>
        </w:rPr>
      </w:pPr>
      <w:bookmarkStart w:id="61" w:name="_Toc15396620"/>
      <w:r>
        <w:rPr>
          <w:rFonts w:hint="eastAsia" w:ascii="仿宋" w:eastAsia="仿宋"/>
          <w:b w:val="0"/>
          <w:color w:val="000000"/>
        </w:rPr>
        <w:t>二、收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入决算表</w:t>
      </w:r>
      <w:bookmarkEnd w:id="61"/>
    </w:p>
    <w:p>
      <w:pPr>
        <w:pStyle w:val="3"/>
        <w:rPr>
          <w:rFonts w:ascii="仿宋" w:eastAsia="仿宋"/>
          <w:color w:val="000000"/>
        </w:rPr>
      </w:pPr>
      <w:bookmarkStart w:id="62" w:name="_Toc15396621"/>
      <w:r>
        <w:rPr>
          <w:rStyle w:val="18"/>
          <w:rFonts w:hint="eastAsia" w:ascii="仿宋" w:eastAsia="仿宋"/>
          <w:b w:val="0"/>
          <w:bCs w:val="0"/>
          <w:color w:val="000000"/>
        </w:rPr>
        <w:t>三、</w:t>
      </w:r>
      <w:r>
        <w:rPr>
          <w:rFonts w:hint="eastAsia" w:ascii="仿宋" w:eastAsia="仿宋"/>
          <w:b w:val="0"/>
          <w:color w:val="000000"/>
        </w:rPr>
        <w:t>支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出决算表</w:t>
      </w:r>
      <w:bookmarkEnd w:id="62"/>
    </w:p>
    <w:p>
      <w:pPr>
        <w:pStyle w:val="3"/>
        <w:rPr>
          <w:rFonts w:ascii="仿宋" w:eastAsia="仿宋"/>
          <w:b w:val="0"/>
          <w:color w:val="000000"/>
        </w:rPr>
      </w:pPr>
      <w:bookmarkStart w:id="63" w:name="_Toc15396622"/>
      <w:r>
        <w:rPr>
          <w:rStyle w:val="18"/>
          <w:rFonts w:hint="eastAsia" w:ascii="仿宋" w:eastAsia="仿宋"/>
          <w:b w:val="0"/>
          <w:bCs w:val="0"/>
          <w:color w:val="000000"/>
        </w:rPr>
        <w:t>四、</w:t>
      </w:r>
      <w:r>
        <w:rPr>
          <w:rFonts w:hint="eastAsia" w:ascii="仿宋" w:eastAsia="仿宋"/>
          <w:b w:val="0"/>
          <w:color w:val="000000"/>
        </w:rPr>
        <w:t>财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政拨款收入支出决算总表</w:t>
      </w:r>
      <w:bookmarkEnd w:id="63"/>
    </w:p>
    <w:p>
      <w:pPr>
        <w:pStyle w:val="3"/>
        <w:rPr>
          <w:rStyle w:val="18"/>
          <w:rFonts w:ascii="仿宋" w:eastAsia="仿宋"/>
          <w:b w:val="0"/>
          <w:bCs w:val="0"/>
          <w:color w:val="000000"/>
        </w:rPr>
      </w:pPr>
      <w:bookmarkStart w:id="64" w:name="_Toc15396623"/>
      <w:r>
        <w:rPr>
          <w:rStyle w:val="18"/>
          <w:rFonts w:hint="eastAsia" w:ascii="仿宋" w:eastAsia="仿宋"/>
          <w:b w:val="0"/>
          <w:bCs w:val="0"/>
          <w:color w:val="000000"/>
        </w:rPr>
        <w:t>五、</w:t>
      </w:r>
      <w:r>
        <w:rPr>
          <w:rFonts w:hint="eastAsia" w:ascii="仿宋" w:eastAsia="仿宋"/>
          <w:b w:val="0"/>
          <w:color w:val="000000"/>
        </w:rPr>
        <w:t>财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政拨款支出决算明细表</w:t>
      </w:r>
      <w:bookmarkEnd w:id="64"/>
      <w:bookmarkStart w:id="65" w:name="_Toc15396624"/>
    </w:p>
    <w:p>
      <w:pPr>
        <w:pStyle w:val="3"/>
        <w:rPr>
          <w:rFonts w:ascii="仿宋" w:eastAsia="仿宋"/>
          <w:color w:val="000000"/>
        </w:rPr>
      </w:pPr>
      <w:r>
        <w:rPr>
          <w:rStyle w:val="18"/>
          <w:rFonts w:hint="eastAsia" w:ascii="仿宋" w:eastAsia="仿宋"/>
          <w:b w:val="0"/>
          <w:bCs w:val="0"/>
          <w:color w:val="000000"/>
        </w:rPr>
        <w:t>六、</w:t>
      </w:r>
      <w:r>
        <w:rPr>
          <w:rFonts w:hint="eastAsia" w:ascii="仿宋" w:eastAsia="仿宋"/>
          <w:b w:val="0"/>
          <w:color w:val="000000"/>
        </w:rPr>
        <w:t>一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般公共预算财政拨款支出决算表</w:t>
      </w:r>
      <w:bookmarkEnd w:id="65"/>
    </w:p>
    <w:p>
      <w:pPr>
        <w:pStyle w:val="3"/>
        <w:rPr>
          <w:rFonts w:ascii="仿宋" w:eastAsia="仿宋"/>
          <w:color w:val="000000"/>
        </w:rPr>
      </w:pPr>
      <w:bookmarkStart w:id="66" w:name="_Toc15396625"/>
      <w:r>
        <w:rPr>
          <w:rStyle w:val="18"/>
          <w:rFonts w:hint="eastAsia" w:ascii="仿宋" w:eastAsia="仿宋"/>
          <w:b w:val="0"/>
          <w:bCs w:val="0"/>
          <w:color w:val="000000"/>
        </w:rPr>
        <w:t>七、</w:t>
      </w:r>
      <w:r>
        <w:rPr>
          <w:rFonts w:hint="eastAsia" w:ascii="仿宋" w:eastAsia="仿宋"/>
          <w:b w:val="0"/>
          <w:color w:val="000000"/>
        </w:rPr>
        <w:t>一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般公共预算财政拨款支出决算明细表</w:t>
      </w:r>
      <w:bookmarkEnd w:id="66"/>
    </w:p>
    <w:p>
      <w:pPr>
        <w:pStyle w:val="3"/>
        <w:rPr>
          <w:rFonts w:ascii="仿宋" w:eastAsia="仿宋"/>
          <w:color w:val="000000"/>
        </w:rPr>
      </w:pPr>
      <w:bookmarkStart w:id="67" w:name="_Toc15396626"/>
      <w:r>
        <w:rPr>
          <w:rStyle w:val="18"/>
          <w:rFonts w:hint="eastAsia" w:ascii="仿宋" w:eastAsia="仿宋"/>
          <w:b w:val="0"/>
          <w:bCs w:val="0"/>
          <w:color w:val="000000"/>
        </w:rPr>
        <w:t>八、</w:t>
      </w:r>
      <w:r>
        <w:rPr>
          <w:rFonts w:hint="eastAsia" w:ascii="仿宋" w:eastAsia="仿宋"/>
          <w:b w:val="0"/>
          <w:color w:val="000000"/>
        </w:rPr>
        <w:t>一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般公共预算财政拨款基本支出决算表</w:t>
      </w:r>
      <w:bookmarkEnd w:id="67"/>
    </w:p>
    <w:p>
      <w:pPr>
        <w:pStyle w:val="3"/>
        <w:rPr>
          <w:rFonts w:ascii="仿宋" w:eastAsia="仿宋"/>
          <w:color w:val="000000"/>
        </w:rPr>
      </w:pPr>
      <w:bookmarkStart w:id="68" w:name="_Toc15396627"/>
      <w:r>
        <w:rPr>
          <w:rStyle w:val="18"/>
          <w:rFonts w:hint="eastAsia" w:ascii="仿宋" w:eastAsia="仿宋"/>
          <w:b w:val="0"/>
          <w:bCs w:val="0"/>
          <w:color w:val="000000"/>
        </w:rPr>
        <w:t>九、</w:t>
      </w:r>
      <w:r>
        <w:rPr>
          <w:rFonts w:hint="eastAsia" w:ascii="仿宋" w:eastAsia="仿宋"/>
          <w:b w:val="0"/>
          <w:color w:val="000000"/>
        </w:rPr>
        <w:t>一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般公共预算财政拨款项目支出决算表</w:t>
      </w:r>
      <w:bookmarkEnd w:id="68"/>
    </w:p>
    <w:p>
      <w:pPr>
        <w:pStyle w:val="3"/>
        <w:rPr>
          <w:rFonts w:ascii="仿宋" w:eastAsia="仿宋"/>
          <w:color w:val="000000"/>
        </w:rPr>
      </w:pPr>
      <w:bookmarkStart w:id="69" w:name="_Toc15396628"/>
      <w:r>
        <w:rPr>
          <w:rStyle w:val="18"/>
          <w:rFonts w:hint="eastAsia" w:ascii="仿宋" w:eastAsia="仿宋"/>
          <w:b w:val="0"/>
          <w:bCs w:val="0"/>
          <w:color w:val="000000"/>
        </w:rPr>
        <w:t>十、</w:t>
      </w:r>
      <w:r>
        <w:rPr>
          <w:rFonts w:hint="eastAsia" w:ascii="仿宋" w:eastAsia="仿宋"/>
          <w:b w:val="0"/>
          <w:color w:val="000000"/>
        </w:rPr>
        <w:t>一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般公共预算财政拨款“三公”经费支出决算表</w:t>
      </w:r>
      <w:bookmarkEnd w:id="69"/>
    </w:p>
    <w:p>
      <w:pPr>
        <w:pStyle w:val="3"/>
        <w:rPr>
          <w:rFonts w:ascii="仿宋" w:eastAsia="仿宋"/>
          <w:color w:val="000000"/>
        </w:rPr>
      </w:pPr>
      <w:bookmarkStart w:id="70" w:name="_Toc15396629"/>
      <w:r>
        <w:rPr>
          <w:rStyle w:val="18"/>
          <w:rFonts w:hint="eastAsia" w:ascii="仿宋" w:eastAsia="仿宋"/>
          <w:b w:val="0"/>
          <w:bCs w:val="0"/>
          <w:color w:val="000000"/>
        </w:rPr>
        <w:t>十一、</w:t>
      </w:r>
      <w:r>
        <w:rPr>
          <w:rFonts w:hint="eastAsia" w:ascii="仿宋" w:eastAsia="仿宋"/>
          <w:b w:val="0"/>
          <w:color w:val="000000"/>
        </w:rPr>
        <w:t>政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府性基金预算财政拨款收入支出决算表</w:t>
      </w:r>
      <w:bookmarkEnd w:id="70"/>
    </w:p>
    <w:p>
      <w:pPr>
        <w:pStyle w:val="3"/>
        <w:rPr>
          <w:rFonts w:ascii="仿宋" w:eastAsia="仿宋"/>
          <w:color w:val="000000"/>
        </w:rPr>
      </w:pPr>
      <w:bookmarkStart w:id="71" w:name="_Toc15396630"/>
      <w:r>
        <w:rPr>
          <w:rStyle w:val="18"/>
          <w:rFonts w:hint="eastAsia" w:ascii="仿宋" w:eastAsia="仿宋"/>
          <w:b w:val="0"/>
          <w:bCs w:val="0"/>
          <w:color w:val="000000"/>
        </w:rPr>
        <w:t>十二、</w:t>
      </w:r>
      <w:r>
        <w:rPr>
          <w:rFonts w:hint="eastAsia" w:ascii="仿宋" w:eastAsia="仿宋"/>
          <w:b w:val="0"/>
          <w:color w:val="000000"/>
        </w:rPr>
        <w:t>政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府性基金预算财政拨款“三公”经费支出决算表</w:t>
      </w:r>
      <w:bookmarkEnd w:id="71"/>
    </w:p>
    <w:p>
      <w:pPr>
        <w:pStyle w:val="3"/>
        <w:rPr>
          <w:rStyle w:val="18"/>
          <w:rFonts w:hint="eastAsia" w:ascii="仿宋" w:eastAsia="仿宋"/>
          <w:b w:val="0"/>
          <w:bCs w:val="0"/>
          <w:color w:val="000000"/>
        </w:rPr>
      </w:pPr>
      <w:bookmarkStart w:id="72" w:name="_Toc15396631"/>
      <w:r>
        <w:rPr>
          <w:rStyle w:val="18"/>
          <w:rFonts w:hint="eastAsia" w:ascii="仿宋" w:eastAsia="仿宋"/>
          <w:b w:val="0"/>
          <w:bCs w:val="0"/>
          <w:color w:val="000000"/>
        </w:rPr>
        <w:t>十三、</w:t>
      </w:r>
      <w:r>
        <w:rPr>
          <w:rFonts w:hint="eastAsia" w:ascii="仿宋" w:eastAsia="仿宋"/>
          <w:b w:val="0"/>
          <w:color w:val="000000"/>
        </w:rPr>
        <w:t>国</w:t>
      </w:r>
      <w:r>
        <w:rPr>
          <w:rStyle w:val="18"/>
          <w:rFonts w:hint="eastAsia" w:ascii="仿宋" w:eastAsia="仿宋"/>
          <w:b w:val="0"/>
          <w:bCs w:val="0"/>
          <w:color w:val="000000"/>
        </w:rPr>
        <w:t>有资本经营预算</w:t>
      </w:r>
      <w:bookmarkEnd w:id="72"/>
      <w:r>
        <w:rPr>
          <w:rStyle w:val="18"/>
          <w:rFonts w:hint="eastAsia" w:ascii="仿宋" w:eastAsia="仿宋"/>
          <w:b w:val="0"/>
          <w:bCs w:val="0"/>
          <w:color w:val="000000"/>
        </w:rPr>
        <w:t>财政拨款收入支出决算表</w:t>
      </w:r>
    </w:p>
    <w:p>
      <w:pPr>
        <w:rPr>
          <w:rFonts w:ascii="仿宋" w:eastAsia="仿宋"/>
          <w:color w:val="000000"/>
        </w:rPr>
      </w:pPr>
      <w:r>
        <w:rPr>
          <w:rStyle w:val="18"/>
          <w:rFonts w:hint="eastAsia" w:ascii="仿宋" w:eastAsia="仿宋"/>
          <w:b w:val="0"/>
          <w:bCs w:val="0"/>
          <w:color w:val="000000"/>
        </w:rPr>
        <w:t>十四、国有资本经营预算财政拨款支出决算表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DejaVu Sans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Lucida Sans">
    <w:altName w:val="仿宋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aiTi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FZFSJW--GB1-0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27</w:t>
    </w:r>
    <w:r>
      <w:fldChar w:fldCharType="end"/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652CEC"/>
    <w:multiLevelType w:val="singleLevel"/>
    <w:tmpl w:val="CF652CEC"/>
    <w:lvl w:ilvl="0" w:tentative="0">
      <w:start w:val="9"/>
      <w:numFmt w:val="chineseCounting"/>
      <w:suff w:val="nothing"/>
      <w:lvlText w:val="%1、"/>
      <w:lvlJc w:val="left"/>
      <w:pPr>
        <w:ind w:left="0" w:firstLine="0"/>
      </w:pPr>
      <w:rPr>
        <w:rFonts w:hint="eastAsia" w:cs="Times New Roman"/>
      </w:rPr>
    </w:lvl>
  </w:abstractNum>
  <w:abstractNum w:abstractNumId="1">
    <w:nsid w:val="E2FA047D"/>
    <w:multiLevelType w:val="singleLevel"/>
    <w:tmpl w:val="E2FA047D"/>
    <w:lvl w:ilvl="0" w:tentative="0">
      <w:start w:val="3"/>
      <w:numFmt w:val="chineseCounting"/>
      <w:suff w:val="space"/>
      <w:lvlText w:val="第%1部分"/>
      <w:lvlJc w:val="left"/>
      <w:pPr>
        <w:ind w:left="0" w:firstLine="0"/>
      </w:pPr>
      <w:rPr>
        <w:rFonts w:hint="eastAsia" w:cs="Times New Roman"/>
      </w:rPr>
    </w:lvl>
  </w:abstractNum>
  <w:abstractNum w:abstractNumId="2">
    <w:nsid w:val="EC0BEF30"/>
    <w:multiLevelType w:val="singleLevel"/>
    <w:tmpl w:val="EC0BEF30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 w:ascii="KaiTi_GB2312" w:hAnsi="KaiTi_GB2312" w:eastAsia="Times New Roman" w:cs="KaiTi_GB2312"/>
        <w:b/>
        <w:bCs/>
        <w:sz w:val="32"/>
        <w:szCs w:val="32"/>
      </w:rPr>
    </w:lvl>
  </w:abstractNum>
  <w:abstractNum w:abstractNumId="3">
    <w:nsid w:val="1272550B"/>
    <w:multiLevelType w:val="multilevel"/>
    <w:tmpl w:val="1272550B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148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90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32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74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16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58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00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420" w:hanging="420"/>
      </w:pPr>
      <w:rPr>
        <w:rFonts w:cs="Times New Roman"/>
      </w:rPr>
    </w:lvl>
  </w:abstractNum>
  <w:abstractNum w:abstractNumId="4">
    <w:nsid w:val="332E2FF2"/>
    <w:multiLevelType w:val="multilevel"/>
    <w:tmpl w:val="332E2FF2"/>
    <w:lvl w:ilvl="0" w:tentative="0">
      <w:start w:val="1"/>
      <w:numFmt w:val="japaneseCounting"/>
      <w:lvlText w:val="%1、"/>
      <w:lvlJc w:val="left"/>
      <w:pPr>
        <w:tabs>
          <w:tab w:val="left" w:pos="1360"/>
        </w:tabs>
        <w:ind w:left="1360" w:hanging="720"/>
      </w:pPr>
      <w:rPr>
        <w:rFonts w:hint="default" w:cs="Times New Roman"/>
        <w:color w:val="000000"/>
      </w:rPr>
    </w:lvl>
    <w:lvl w:ilvl="1" w:tentative="0">
      <w:start w:val="1"/>
      <w:numFmt w:val="lowerLetter"/>
      <w:lvlText w:val="%2)"/>
      <w:lvlJc w:val="left"/>
      <w:pPr>
        <w:tabs>
          <w:tab w:val="left" w:pos="1480"/>
        </w:tabs>
        <w:ind w:left="148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900"/>
        </w:tabs>
        <w:ind w:left="190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320"/>
        </w:tabs>
        <w:ind w:left="232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740"/>
        </w:tabs>
        <w:ind w:left="274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3160"/>
        </w:tabs>
        <w:ind w:left="316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580"/>
        </w:tabs>
        <w:ind w:left="358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4000"/>
        </w:tabs>
        <w:ind w:left="400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420"/>
        </w:tabs>
        <w:ind w:left="4420" w:hanging="42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37E2F2E6"/>
    <w:rsid w:val="3D1F9439"/>
    <w:rsid w:val="3EBF2741"/>
    <w:rsid w:val="3FEF55B0"/>
    <w:rsid w:val="47CE4130"/>
    <w:rsid w:val="4BBFF7D3"/>
    <w:rsid w:val="58BADE49"/>
    <w:rsid w:val="5B8D6B3C"/>
    <w:rsid w:val="5EF5788F"/>
    <w:rsid w:val="5F6F1933"/>
    <w:rsid w:val="5FDFEE1A"/>
    <w:rsid w:val="6DB78FCA"/>
    <w:rsid w:val="72DF77C5"/>
    <w:rsid w:val="75F7DD43"/>
    <w:rsid w:val="777DD450"/>
    <w:rsid w:val="77FD42BF"/>
    <w:rsid w:val="78D865D8"/>
    <w:rsid w:val="7AFF5553"/>
    <w:rsid w:val="7B7E8EFA"/>
    <w:rsid w:val="7CED50DA"/>
    <w:rsid w:val="7D5762A1"/>
    <w:rsid w:val="7DBED214"/>
    <w:rsid w:val="7DDF9BBF"/>
    <w:rsid w:val="7E3DA704"/>
    <w:rsid w:val="7E755935"/>
    <w:rsid w:val="7EED54B2"/>
    <w:rsid w:val="7EFF41CF"/>
    <w:rsid w:val="7F665825"/>
    <w:rsid w:val="7FFC9D1E"/>
    <w:rsid w:val="97F11447"/>
    <w:rsid w:val="97FE8CF1"/>
    <w:rsid w:val="B669C5AF"/>
    <w:rsid w:val="B7FFD47D"/>
    <w:rsid w:val="D4EB1296"/>
    <w:rsid w:val="EFBB912C"/>
    <w:rsid w:val="EFEFFDFE"/>
    <w:rsid w:val="F67FD2C9"/>
    <w:rsid w:val="F71FA2E8"/>
    <w:rsid w:val="F757EA0D"/>
    <w:rsid w:val="F7C25044"/>
    <w:rsid w:val="F7F57C31"/>
    <w:rsid w:val="FBFC1F84"/>
    <w:rsid w:val="FDBBADF5"/>
    <w:rsid w:val="FF53ABCD"/>
    <w:rsid w:val="FFDB843F"/>
    <w:rsid w:val="FFDF8B5C"/>
    <w:rsid w:val="FFEFE19B"/>
    <w:rsid w:val="FFFE792C"/>
    <w:rsid w:val="FFFF2C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before="30" w:beforeLines="30"/>
    </w:pPr>
    <w:rPr>
      <w:rFonts w:ascii="仿宋_GB2312" w:eastAsia="仿宋_GB2312"/>
      <w:kern w:val="0"/>
      <w:sz w:val="24"/>
      <w:szCs w:val="20"/>
    </w:rPr>
  </w:style>
  <w:style w:type="paragraph" w:styleId="6">
    <w:name w:val="toc 3"/>
    <w:basedOn w:val="1"/>
    <w:next w:val="1"/>
    <w:qFormat/>
    <w:uiPriority w:val="0"/>
    <w:pPr>
      <w:tabs>
        <w:tab w:val="right" w:leader="dot" w:pos="8296"/>
      </w:tabs>
      <w:ind w:left="400" w:leftChars="4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20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20"/>
    </w:rPr>
  </w:style>
  <w:style w:type="paragraph" w:styleId="10">
    <w:name w:val="toc 1"/>
    <w:basedOn w:val="1"/>
    <w:next w:val="1"/>
    <w:qFormat/>
    <w:uiPriority w:val="0"/>
    <w:pPr>
      <w:tabs>
        <w:tab w:val="right" w:leader="dot" w:pos="8296"/>
      </w:tabs>
      <w:spacing w:before="93"/>
      <w:jc w:val="center"/>
    </w:pPr>
    <w:rPr>
      <w:rFonts w:ascii="仿宋" w:eastAsia="仿宋"/>
      <w:sz w:val="28"/>
      <w:szCs w:val="28"/>
    </w:rPr>
  </w:style>
  <w:style w:type="paragraph" w:styleId="11">
    <w:name w:val="toc 2"/>
    <w:basedOn w:val="1"/>
    <w:next w:val="1"/>
    <w:qFormat/>
    <w:uiPriority w:val="0"/>
    <w:pPr>
      <w:tabs>
        <w:tab w:val="right" w:leader="dot" w:pos="8296"/>
      </w:tabs>
      <w:ind w:left="200" w:leftChars="200"/>
    </w:p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</w:rPr>
  </w:style>
  <w:style w:type="character" w:styleId="15">
    <w:name w:val="Strong"/>
    <w:basedOn w:val="14"/>
    <w:qFormat/>
    <w:uiPriority w:val="0"/>
    <w:rPr>
      <w:rFonts w:cs="Times New Roman"/>
      <w:b/>
    </w:rPr>
  </w:style>
  <w:style w:type="character" w:styleId="16">
    <w:name w:val="Hyperlink"/>
    <w:basedOn w:val="14"/>
    <w:qFormat/>
    <w:uiPriority w:val="0"/>
    <w:rPr>
      <w:rFonts w:cs="Times New Roman"/>
      <w:color w:val="0000FF"/>
      <w:u w:val="single"/>
    </w:rPr>
  </w:style>
  <w:style w:type="character" w:customStyle="1" w:styleId="17">
    <w:name w:val="heading 1 Char"/>
    <w:basedOn w:val="14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8">
    <w:name w:val="heading 2 Char"/>
    <w:basedOn w:val="14"/>
    <w:link w:val="3"/>
    <w:qFormat/>
    <w:uiPriority w:val="0"/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kern w:val="0"/>
      <w:sz w:val="24"/>
      <w:szCs w:val="24"/>
      <w:lang w:val="en-US" w:eastAsia="zh-CN" w:bidi="ar-SA"/>
    </w:rPr>
  </w:style>
  <w:style w:type="paragraph" w:styleId="20">
    <w:name w:val="List Paragraph"/>
    <w:basedOn w:val="1"/>
    <w:qFormat/>
    <w:uiPriority w:val="0"/>
    <w:pPr>
      <w:ind w:firstLine="200" w:firstLineChars="200"/>
    </w:pPr>
  </w:style>
  <w:style w:type="paragraph" w:customStyle="1" w:styleId="21">
    <w:name w:val="TOC 标题1"/>
    <w:basedOn w:val="2"/>
    <w:next w:val="1"/>
    <w:qFormat/>
    <w:uiPriority w:val="0"/>
    <w:pPr>
      <w:keepNext/>
      <w:keepLines/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2">
    <w:name w:val="TOC Heading"/>
    <w:basedOn w:val="2"/>
    <w:next w:val="1"/>
    <w:qFormat/>
    <w:uiPriority w:val="0"/>
    <w:pPr>
      <w:keepNext/>
      <w:keepLines/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1.bin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chart" Target="charts/chart7.xml"/><Relationship Id="rId2" Type="http://schemas.openxmlformats.org/officeDocument/2006/relationships/settings" Target="settings.xml"/><Relationship Id="rId19" Type="http://schemas.openxmlformats.org/officeDocument/2006/relationships/chart" Target="charts/chart6.xml"/><Relationship Id="rId18" Type="http://schemas.openxmlformats.org/officeDocument/2006/relationships/chart" Target="charts/chart5.xml"/><Relationship Id="rId17" Type="http://schemas.openxmlformats.org/officeDocument/2006/relationships/chart" Target="charts/chart4.xml"/><Relationship Id="rId16" Type="http://schemas.openxmlformats.org/officeDocument/2006/relationships/oleObject" Target="embeddings/oleObject7.bin"/><Relationship Id="rId15" Type="http://schemas.openxmlformats.org/officeDocument/2006/relationships/oleObject" Target="embeddings/oleObject6.bin"/><Relationship Id="rId14" Type="http://schemas.openxmlformats.org/officeDocument/2006/relationships/oleObject" Target="embeddings/oleObject5.bin"/><Relationship Id="rId13" Type="http://schemas.openxmlformats.org/officeDocument/2006/relationships/oleObject" Target="embeddings/oleObject4.bin"/><Relationship Id="rId12" Type="http://schemas.openxmlformats.org/officeDocument/2006/relationships/oleObject" Target="embeddings/oleObject3.bin"/><Relationship Id="rId11" Type="http://schemas.openxmlformats.org/officeDocument/2006/relationships/oleObject" Target="embeddings/oleObject2.bin"/><Relationship Id="rId10" Type="http://schemas.openxmlformats.org/officeDocument/2006/relationships/image" Target="media/image1.emf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7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6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5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4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061612"/>
          <c:y val="0.15328467"/>
          <c:w val="0.70616114"/>
          <c:h val="0.525547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工作表465537!$A$2</c:f>
              <c:strCache>
                <c:ptCount val="1"/>
                <c:pt idx="0">
                  <c:v>金额(万元)</c:v>
                </c:pt>
              </c:strCache>
            </c:strRef>
          </c:tx>
          <c:invertIfNegative val="0"/>
          <c:dLbls>
            <c:delete val="1"/>
          </c:dLbls>
          <c:cat>
            <c:strRef>
              <c:f>工作表465537!$B$1:$C$1</c:f>
              <c:strCache>
                <c:ptCount val="2"/>
                <c:pt idx="0">
                  <c:v>2020年收支总额</c:v>
                </c:pt>
                <c:pt idx="1">
                  <c:v>2021年收支总额</c:v>
                </c:pt>
              </c:strCache>
            </c:strRef>
          </c:cat>
          <c:val>
            <c:numRef>
              <c:f>工作表465537!$B$2:$C$2</c:f>
              <c:numCache>
                <c:formatCode>#,##0.00</c:formatCode>
                <c:ptCount val="2"/>
                <c:pt idx="0">
                  <c:v>2057.4</c:v>
                </c:pt>
                <c:pt idx="1">
                  <c:v>1870.84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0"/>
        <c:axId val="1"/>
      </c:barChart>
      <c:catAx>
        <c:axId val="0"/>
        <c:scaling>
          <c:orientation val="minMax"/>
        </c:scaling>
        <c:delete val="0"/>
        <c:axPos val="b"/>
        <c:numFmt formatCode="General" sourceLinked="0"/>
        <c:majorTickMark val="in"/>
        <c:minorTickMark val="none"/>
        <c:tickLblPos val="nextTo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t" anchorCtr="0"/>
          <a:lstStyle/>
          <a:p>
            <a:pPr>
              <a:defRPr lang="zh-CN" sz="3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rgbClr val="000000"/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35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  <a:r>
                  <a:rPr lang="zh-CN"/>
                  <a:t>单位：万元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02594331"/>
              <c:y val="0.22077933"/>
            </c:manualLayout>
          </c:layout>
          <c:overlay val="0"/>
          <c:spPr>
            <a:noFill/>
            <a:ln>
              <a:noFill/>
            </a:ln>
          </c:spPr>
        </c:title>
        <c:numFmt formatCode="#,##0.00" sourceLinked="1"/>
        <c:majorTickMark val="in"/>
        <c:minorTickMark val="none"/>
        <c:tickLblPos val="nextTo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t" anchorCtr="0"/>
          <a:lstStyle/>
          <a:p>
            <a:pPr>
              <a:defRPr lang="zh-CN" sz="3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  <c:crossAx val="0"/>
        <c:crossesAt val="1"/>
        <c:crossBetween val="between"/>
      </c:valAx>
      <c:dTable>
        <c:showHorzBorder val="1"/>
        <c:showVertBorder val="1"/>
        <c:showOutline val="1"/>
        <c:showKeys val="1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3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</c:dTable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573467"/>
          <c:y val="0.3357662"/>
          <c:w val="0.094786614"/>
          <c:h val="0.12408742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35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35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depthPercent val="100"/>
      <c:rAngAx val="0"/>
      <c:hPercent val="100"/>
      <c:perspective val="0"/>
    </c:view3D>
    <c:floor>
      <c:thickness val="0"/>
      <c:spPr>
        <a:ln>
          <a:noFill/>
        </a:ln>
      </c:spPr>
    </c:floor>
    <c:sideWall>
      <c:thickness val="0"/>
      <c:spPr>
        <a:ln>
          <a:noFill/>
        </a:ln>
      </c:spPr>
    </c:sideWall>
    <c:backWall>
      <c:thickness val="0"/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0026990497"/>
          <c:y val="0.41349956"/>
          <c:w val="0.6386871"/>
          <c:h val="0.48234645"/>
        </c:manualLayout>
      </c:layout>
      <c:pie3DChart>
        <c:varyColors val="1"/>
        <c:ser>
          <c:idx val="0"/>
          <c:order val="0"/>
          <c:tx>
            <c:strRef>
              <c:f>工作表465538!$A$2</c:f>
              <c:strCache>
                <c:ptCount val="1"/>
                <c:pt idx="0">
                  <c:v>比例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</c:dPt>
          <c:dLbls>
            <c:delete val="1"/>
          </c:dLbls>
          <c:cat>
            <c:strRef>
              <c:f>工作表465538!$B$1:$C$1</c:f>
              <c:strCache>
                <c:ptCount val="2"/>
                <c:pt idx="0">
                  <c:v>财政拨款收入</c:v>
                </c:pt>
                <c:pt idx="1">
                  <c:v>其他收入</c:v>
                </c:pt>
              </c:strCache>
            </c:strRef>
          </c:cat>
          <c:val>
            <c:numRef>
              <c:f>工作表465538!$B$2:$C$2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</c:pie3DChart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670126"/>
          <c:y val="0.5463132"/>
          <c:w val="0.29484022"/>
          <c:h val="0.20560771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35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zero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4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depthPercent val="100"/>
      <c:rAngAx val="0"/>
      <c:hPercent val="100"/>
      <c:perspective val="0"/>
    </c:view3D>
    <c:floor>
      <c:thickness val="0"/>
      <c:spPr>
        <a:ln>
          <a:noFill/>
        </a:ln>
      </c:spPr>
    </c:floor>
    <c:sideWall>
      <c:thickness val="0"/>
      <c:spPr>
        <a:ln>
          <a:noFill/>
        </a:ln>
      </c:spPr>
    </c:sideWall>
    <c:backWall>
      <c:thickness val="0"/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08043711"/>
          <c:y val="0.45794392"/>
          <c:w val="0.50193185"/>
          <c:h val="0.38166764"/>
        </c:manualLayout>
      </c:layout>
      <c:pie3DChart>
        <c:varyColors val="1"/>
        <c:ser>
          <c:idx val="0"/>
          <c:order val="0"/>
          <c:tx>
            <c:strRef>
              <c:f>工作表465539!$A$2</c:f>
              <c:strCache>
                <c:ptCount val="1"/>
                <c:pt idx="0">
                  <c:v>比例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</c:dPt>
          <c:dLbls>
            <c:delete val="1"/>
          </c:dLbls>
          <c:cat>
            <c:strRef>
              <c:f>工作表465539!$B$1:$C$1</c:f>
              <c:strCache>
                <c:ptCount val="2"/>
                <c:pt idx="0">
                  <c:v>基本支出</c:v>
                </c:pt>
                <c:pt idx="1">
                  <c:v>项目支出</c:v>
                </c:pt>
              </c:strCache>
            </c:strRef>
          </c:cat>
          <c:val>
            <c:numRef>
              <c:f>工作表465539!$B$2:$C$2</c:f>
              <c:numCache>
                <c:formatCode>0.00%</c:formatCode>
                <c:ptCount val="2"/>
                <c:pt idx="0">
                  <c:v>0.9061</c:v>
                </c:pt>
                <c:pt idx="1">
                  <c:v>0.0939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</c:pie3DChart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224711"/>
          <c:y val="0.497939"/>
          <c:w val="0.29484022"/>
          <c:h val="0.20560771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30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zero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35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693877"/>
          <c:y val="0.13725491"/>
          <c:w val="0.74489796"/>
          <c:h val="0.57516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工作表465540!$A$2</c:f>
              <c:strCache>
                <c:ptCount val="1"/>
                <c:pt idx="0">
                  <c:v>金额(万元)</c:v>
                </c:pt>
              </c:strCache>
            </c:strRef>
          </c:tx>
          <c:invertIfNegative val="0"/>
          <c:dLbls>
            <c:delete val="1"/>
          </c:dLbls>
          <c:cat>
            <c:strRef>
              <c:f>工作表465540!$B$1:$C$1</c:f>
              <c:strCache>
                <c:ptCount val="2"/>
                <c:pt idx="0">
                  <c:v>2020年财政拨款收支</c:v>
                </c:pt>
                <c:pt idx="1">
                  <c:v>2020年财政拨款收支</c:v>
                </c:pt>
              </c:strCache>
            </c:strRef>
          </c:cat>
          <c:val>
            <c:numRef>
              <c:f>工作表465540!$B$2:$C$2</c:f>
              <c:numCache>
                <c:formatCode>General</c:formatCode>
                <c:ptCount val="2"/>
                <c:pt idx="0">
                  <c:v>2057.4</c:v>
                </c:pt>
                <c:pt idx="1">
                  <c:v>1870.84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0"/>
        <c:axId val="1"/>
      </c:barChart>
      <c:catAx>
        <c:axId val="0"/>
        <c:scaling>
          <c:orientation val="minMax"/>
        </c:scaling>
        <c:delete val="0"/>
        <c:axPos val="b"/>
        <c:numFmt formatCode="General" sourceLinked="0"/>
        <c:majorTickMark val="in"/>
        <c:minorTickMark val="none"/>
        <c:tickLblPos val="nextTo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t" anchorCtr="0"/>
          <a:lstStyle/>
          <a:p>
            <a:pPr>
              <a:defRPr lang="zh-CN" sz="4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rgbClr val="000000"/>
              </a:solidFill>
              <a:prstDash val="solid"/>
              <a:round/>
            </a:ln>
          </c:spPr>
        </c:majorGridlines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4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  <a:r>
                  <a:rPr lang="zh-CN"/>
                  <a:t>单位：万元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022449017"/>
              <c:y val="0.24852055"/>
            </c:manualLayout>
          </c:layout>
          <c:overlay val="0"/>
          <c:spPr>
            <a:noFill/>
            <a:ln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t" anchorCtr="0"/>
          <a:lstStyle/>
          <a:p>
            <a:pPr>
              <a:defRPr lang="zh-CN" sz="4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  <c:crossAx val="0"/>
        <c:crossesAt val="1"/>
        <c:crossBetween val="between"/>
      </c:valAx>
      <c:dTable>
        <c:showHorzBorder val="1"/>
        <c:showVertBorder val="1"/>
        <c:showOutline val="1"/>
        <c:showKeys val="1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40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</c:dTable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9102041"/>
          <c:y val="0.3594768"/>
          <c:w val="0.08163268"/>
          <c:h val="0.11111111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35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4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73913"/>
          <c:y val="0.090361446"/>
          <c:w val="0.70869565"/>
          <c:h val="0.6024096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工作表465541!$A$2</c:f>
              <c:strCache>
                <c:ptCount val="1"/>
                <c:pt idx="0">
                  <c:v>金额(万元)</c:v>
                </c:pt>
              </c:strCache>
            </c:strRef>
          </c:tx>
          <c:invertIfNegative val="0"/>
          <c:dLbls>
            <c:delete val="1"/>
          </c:dLbls>
          <c:cat>
            <c:strRef>
              <c:f>工作表465541!$B$1:$C$1</c:f>
              <c:strCache>
                <c:ptCount val="2"/>
                <c:pt idx="0">
                  <c:v>2020年财政拨款支出</c:v>
                </c:pt>
                <c:pt idx="1">
                  <c:v>2021年财政拨款支出</c:v>
                </c:pt>
              </c:strCache>
            </c:strRef>
          </c:cat>
          <c:val>
            <c:numRef>
              <c:f>工作表465541!$B$2:$C$2</c:f>
              <c:numCache>
                <c:formatCode>General</c:formatCode>
                <c:ptCount val="2"/>
                <c:pt idx="0">
                  <c:v>2057.4</c:v>
                </c:pt>
                <c:pt idx="1">
                  <c:v>1870.84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0"/>
        <c:axId val="1"/>
      </c:barChart>
      <c:catAx>
        <c:axId val="0"/>
        <c:scaling>
          <c:orientation val="minMax"/>
        </c:scaling>
        <c:delete val="0"/>
        <c:axPos val="b"/>
        <c:numFmt formatCode="General" sourceLinked="0"/>
        <c:majorTickMark val="in"/>
        <c:minorTickMark val="none"/>
        <c:tickLblPos val="nextTo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t" anchorCtr="0"/>
          <a:lstStyle/>
          <a:p>
            <a:pPr>
              <a:defRPr lang="zh-CN" sz="5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zh-CN" sz="55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  <a:r>
                  <a:rPr lang="zh-CN"/>
                  <a:t>单位：万元</a:t>
                </a:r>
                <a:endParaRPr lang="zh-CN"/>
              </a:p>
            </c:rich>
          </c:tx>
          <c:layout>
            <c:manualLayout>
              <c:xMode val="edge"/>
              <c:yMode val="edge"/>
              <c:x val="0.023912981"/>
              <c:y val="0.24175835"/>
            </c:manualLayout>
          </c:layout>
          <c:overlay val="0"/>
          <c:spPr>
            <a:noFill/>
            <a:ln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t" anchorCtr="0"/>
          <a:lstStyle/>
          <a:p>
            <a:pPr>
              <a:defRPr lang="zh-CN" sz="5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  <c:crossAx val="0"/>
        <c:crossesAt val="1"/>
        <c:crossBetween val="between"/>
      </c:valAx>
      <c:dTable>
        <c:showHorzBorder val="1"/>
        <c:showVertBorder val="1"/>
        <c:showOutline val="1"/>
        <c:showKeys val="1"/>
        <c:spPr>
          <a:ln w="6350" cap="flat" cmpd="sng" algn="ctr">
            <a:solidFill>
              <a:srgbClr val="000000"/>
            </a:solidFill>
            <a:prstDash val="solid"/>
            <a:round/>
          </a:ln>
        </c:spPr>
        <c:txPr>
          <a:bodyPr rot="0" spcFirstLastPara="0" vertOverflow="ellipsis" vert="horz" wrap="square" anchor="ctr" anchorCtr="1"/>
          <a:lstStyle/>
          <a:p>
            <a:pPr>
              <a:defRPr lang="zh-CN" sz="550" b="0" i="0" u="none" strike="noStrike" kern="1200" baseline="0">
                <a:solidFill>
                  <a:srgbClr val="000000"/>
                </a:solidFill>
                <a:latin typeface="宋体" panose="02010600030101010101" charset="-122"/>
                <a:ea typeface="宋体" panose="02010600030101010101" charset="-122"/>
                <a:cs typeface="Lucida Sans"/>
              </a:defRPr>
            </a:pPr>
          </a:p>
        </c:txPr>
      </c:dTable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956522"/>
          <c:y val="0.36144555"/>
          <c:w val="0.09565217"/>
          <c:h val="0.10843359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50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55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4366990156076"/>
          <c:y val="0.0556701030927835"/>
          <c:w val="0.44482654"/>
          <c:h val="0.7617191"/>
        </c:manualLayout>
      </c:layout>
      <c:pieChart>
        <c:varyColors val="1"/>
        <c:ser>
          <c:idx val="0"/>
          <c:order val="0"/>
          <c:tx>
            <c:strRef>
              <c:f>工作表465542!$A$2</c:f>
              <c:strCache>
                <c:ptCount val="1"/>
                <c:pt idx="0">
                  <c:v>比例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4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工作表465542!$B$1:$E$1</c:f>
              <c:strCache>
                <c:ptCount val="4"/>
                <c:pt idx="0">
                  <c:v>公共安全支出</c:v>
                </c:pt>
                <c:pt idx="1">
                  <c:v>社会保障和就业支出</c:v>
                </c:pt>
                <c:pt idx="2">
                  <c:v>卫生健康支出</c:v>
                </c:pt>
                <c:pt idx="3">
                  <c:v>住房保障支出</c:v>
                </c:pt>
              </c:strCache>
            </c:strRef>
          </c:cat>
          <c:val>
            <c:numRef>
              <c:f>工作表465542!$B$2:$E$2</c:f>
              <c:numCache>
                <c:formatCode>0.00%</c:formatCode>
                <c:ptCount val="4"/>
                <c:pt idx="0">
                  <c:v>0.9179</c:v>
                </c:pt>
                <c:pt idx="1">
                  <c:v>0.0368</c:v>
                </c:pt>
                <c:pt idx="2">
                  <c:v>0.0174</c:v>
                </c:pt>
                <c:pt idx="3">
                  <c:v>0.0279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27080333779264"/>
          <c:y val="0.0934764040206185"/>
          <c:w val="0.18652043"/>
          <c:h val="0.5158019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35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zero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4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9520501"/>
          <c:y val="0.3996646"/>
          <c:w val="0.37179455"/>
          <c:h val="0.594657"/>
        </c:manualLayout>
      </c:layout>
      <c:pieChart>
        <c:varyColors val="1"/>
        <c:ser>
          <c:idx val="0"/>
          <c:order val="0"/>
          <c:tx>
            <c:strRef>
              <c:f>工作表465543!$A$2</c:f>
              <c:strCache>
                <c:ptCount val="1"/>
                <c:pt idx="0">
                  <c:v>比例</c:v>
                </c:pt>
              </c:strCache>
            </c:strRef>
          </c:tx>
          <c:explosion val="0"/>
          <c:dPt>
            <c:idx val="0"/>
            <c:bubble3D val="0"/>
          </c:dPt>
          <c:dPt>
            <c:idx val="1"/>
            <c:bubble3D val="0"/>
          </c:dPt>
          <c:dLbls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300" b="0" i="0" u="none" strike="noStrike" kern="1200" baseline="0">
                    <a:solidFill>
                      <a:srgbClr val="000000"/>
                    </a:solidFill>
                    <a:latin typeface="宋体" panose="02010600030101010101" charset="-122"/>
                    <a:ea typeface="宋体" panose="02010600030101010101" charset="-122"/>
                    <a:cs typeface="Lucida San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/>
              </c:ext>
            </c:extLst>
          </c:dLbls>
          <c:cat>
            <c:strRef>
              <c:f>工作表465543!$B$1:$C$1</c:f>
              <c:strCache>
                <c:ptCount val="2"/>
                <c:pt idx="0">
                  <c:v>公务用车购置及运行维护费</c:v>
                </c:pt>
                <c:pt idx="1">
                  <c:v>公务接待费</c:v>
                </c:pt>
              </c:strCache>
            </c:strRef>
          </c:cat>
          <c:val>
            <c:numRef>
              <c:f>工作表465543!$B$2:$C$2</c:f>
              <c:numCache>
                <c:formatCode>0.00%</c:formatCode>
                <c:ptCount val="2"/>
                <c:pt idx="0">
                  <c:v>0.9957</c:v>
                </c:pt>
                <c:pt idx="1">
                  <c:v>0.0043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C0C0C0"/>
        </a:solidFill>
        <a:ln w="635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0973203"/>
          <c:y val="0.50911844"/>
          <c:w val="0.10563356"/>
          <c:h val="0.4428587"/>
        </c:manualLayout>
      </c:layout>
      <c:overlay val="0"/>
      <c:spPr>
        <a:noFill/>
        <a:ln w="6350">
          <a:solidFill>
            <a:srgbClr val="000000"/>
          </a:solidFill>
          <a:prstDash val="solid"/>
        </a:ln>
      </c:spPr>
      <c:txPr>
        <a:bodyPr rot="0" spcFirstLastPara="0" vertOverflow="ellipsis" vert="horz" wrap="square" anchor="ctr" anchorCtr="1"/>
        <a:lstStyle/>
        <a:p>
          <a:pPr>
            <a:defRPr lang="zh-CN" sz="250" b="0" i="0" u="none" strike="noStrike" kern="1200" baseline="0">
              <a:solidFill>
                <a:srgbClr val="000000"/>
              </a:solidFill>
              <a:latin typeface="宋体" panose="02010600030101010101" charset="-122"/>
              <a:ea typeface="宋体" panose="02010600030101010101" charset="-122"/>
              <a:cs typeface="Lucida Sans"/>
            </a:defRPr>
          </a:pPr>
        </a:p>
      </c:txPr>
    </c:legend>
    <c:plotVisOnly val="1"/>
    <c:dispBlanksAs val="zero"/>
    <c:showDLblsOverMax val="0"/>
  </c:chart>
  <c:spPr>
    <a:noFill/>
    <a:ln w="9525" cap="flat" cmpd="sng" algn="ctr">
      <a:noFill/>
      <a:prstDash val="solid"/>
      <a:round/>
    </a:ln>
  </c:spPr>
  <c:txPr>
    <a:bodyPr/>
    <a:lstStyle/>
    <a:p>
      <a:pPr>
        <a:defRPr lang="zh-CN" sz="300" b="0" i="0" u="none" strike="noStrike" baseline="0">
          <a:solidFill>
            <a:srgbClr val="000000"/>
          </a:solidFill>
          <a:latin typeface="宋体" panose="02010600030101010101" charset="-122"/>
          <a:ea typeface="宋体" panose="02010600030101010101" charset="-122"/>
          <a:cs typeface="Lucida Sans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四川省财政厅</Company>
  <Pages>27</Pages>
  <Words>9259</Words>
  <Characters>10239</Characters>
  <Lines>661</Lines>
  <Paragraphs>272</Paragraphs>
  <TotalTime>16</TotalTime>
  <ScaleCrop>false</ScaleCrop>
  <LinksUpToDate>false</LinksUpToDate>
  <CharactersWithSpaces>10353</CharactersWithSpaces>
  <Application>WPS Office_11.8.2.1117_F1E327BC-269C-435d-A152-05C5408002CA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2021-09-29T13:42:00Z</dcterms:created>
  <dc:creator>曹颖</dc:creator>
  <cp:lastModifiedBy>user</cp:lastModifiedBy>
  <cp:lastPrinted>2020-10-03T10:41:00Z</cp:lastPrinted>
  <dcterms:modified xsi:type="dcterms:W3CDTF">2022-10-08T11:09:04Z</dcterms:modified>
  <dc:title>四川省***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37F14AFD88ED1875B5B13763B825C0BA</vt:lpwstr>
  </property>
</Properties>
</file>