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D1" w:rsidRDefault="004621D1">
      <w:pPr>
        <w:spacing w:line="600" w:lineRule="exact"/>
        <w:jc w:val="center"/>
        <w:outlineLvl w:val="0"/>
        <w:rPr>
          <w:rFonts w:ascii="方正小标宋简体" w:eastAsia="方正小标宋简体" w:hAnsi="宋体"/>
          <w:color w:val="000000"/>
          <w:sz w:val="72"/>
          <w:szCs w:val="72"/>
        </w:rPr>
      </w:pPr>
      <w:bookmarkStart w:id="0" w:name="_Toc15306267"/>
    </w:p>
    <w:p w:rsidR="004621D1" w:rsidRDefault="004621D1">
      <w:pPr>
        <w:spacing w:line="600" w:lineRule="exact"/>
        <w:jc w:val="center"/>
        <w:outlineLvl w:val="0"/>
        <w:rPr>
          <w:rFonts w:ascii="方正小标宋简体" w:eastAsia="方正小标宋简体" w:hAnsi="宋体"/>
          <w:color w:val="000000"/>
          <w:sz w:val="72"/>
          <w:szCs w:val="72"/>
        </w:rPr>
      </w:pPr>
    </w:p>
    <w:p w:rsidR="004621D1" w:rsidRDefault="004621D1">
      <w:pPr>
        <w:spacing w:line="600" w:lineRule="exact"/>
        <w:jc w:val="center"/>
        <w:outlineLvl w:val="0"/>
        <w:rPr>
          <w:rFonts w:ascii="方正小标宋简体" w:eastAsia="方正小标宋简体" w:hAnsi="宋体"/>
          <w:color w:val="000000"/>
          <w:sz w:val="72"/>
          <w:szCs w:val="72"/>
        </w:rPr>
      </w:pPr>
    </w:p>
    <w:p w:rsidR="004621D1" w:rsidRDefault="004621D1">
      <w:pPr>
        <w:spacing w:line="600" w:lineRule="exact"/>
        <w:jc w:val="center"/>
        <w:outlineLvl w:val="0"/>
        <w:rPr>
          <w:rFonts w:ascii="方正小标宋简体" w:eastAsia="方正小标宋简体" w:hAnsi="宋体"/>
          <w:color w:val="000000"/>
          <w:sz w:val="72"/>
          <w:szCs w:val="72"/>
        </w:rPr>
      </w:pPr>
    </w:p>
    <w:p w:rsidR="004621D1" w:rsidRPr="00F925EF" w:rsidRDefault="004621D1">
      <w:pPr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 w:hAnsi="宋体"/>
          <w:color w:val="000000" w:themeColor="text1"/>
          <w:sz w:val="72"/>
          <w:szCs w:val="72"/>
        </w:rPr>
      </w:pPr>
      <w:bookmarkStart w:id="1" w:name="_Toc15396475"/>
      <w:bookmarkStart w:id="2" w:name="_Toc15377193"/>
      <w:bookmarkStart w:id="3" w:name="_Toc15378441"/>
      <w:bookmarkStart w:id="4" w:name="_Toc15377425"/>
      <w:bookmarkStart w:id="5" w:name="_Toc15396597"/>
      <w:bookmarkStart w:id="6" w:name="_Toc83908208"/>
      <w:r w:rsidRPr="00F925EF">
        <w:rPr>
          <w:rFonts w:ascii="黑体" w:eastAsia="黑体" w:hAnsi="黑体"/>
          <w:color w:val="000000" w:themeColor="text1"/>
          <w:sz w:val="72"/>
          <w:szCs w:val="72"/>
        </w:rPr>
        <w:t>20</w:t>
      </w:r>
      <w:r w:rsidR="00EC6DB1" w:rsidRPr="00F925EF">
        <w:rPr>
          <w:rFonts w:ascii="黑体" w:eastAsia="黑体" w:hAnsi="黑体" w:hint="eastAsia"/>
          <w:color w:val="000000" w:themeColor="text1"/>
          <w:sz w:val="72"/>
          <w:szCs w:val="72"/>
        </w:rPr>
        <w:t>20</w:t>
      </w:r>
      <w:r w:rsidRPr="00F925EF">
        <w:rPr>
          <w:rFonts w:ascii="方正小标宋简体" w:eastAsia="方正小标宋简体" w:hAnsi="宋体" w:hint="eastAsia"/>
          <w:color w:val="000000" w:themeColor="text1"/>
          <w:sz w:val="72"/>
          <w:szCs w:val="72"/>
        </w:rPr>
        <w:t>年度</w:t>
      </w:r>
      <w:bookmarkEnd w:id="1"/>
      <w:bookmarkEnd w:id="2"/>
      <w:bookmarkEnd w:id="3"/>
      <w:bookmarkEnd w:id="4"/>
      <w:bookmarkEnd w:id="5"/>
      <w:bookmarkEnd w:id="6"/>
    </w:p>
    <w:p w:rsidR="004621D1" w:rsidRPr="00F925EF" w:rsidRDefault="004621D1">
      <w:pPr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 w:hAnsi="宋体"/>
          <w:color w:val="000000" w:themeColor="text1"/>
          <w:sz w:val="52"/>
          <w:szCs w:val="52"/>
        </w:rPr>
      </w:pPr>
      <w:bookmarkStart w:id="7" w:name="_Toc15396476"/>
      <w:bookmarkStart w:id="8" w:name="_Toc15377194"/>
      <w:bookmarkStart w:id="9" w:name="_Toc15396598"/>
      <w:bookmarkStart w:id="10" w:name="_Toc15377426"/>
      <w:bookmarkStart w:id="11" w:name="_Toc15378442"/>
      <w:bookmarkStart w:id="12" w:name="_Toc83908209"/>
      <w:r w:rsidRPr="00F925EF">
        <w:rPr>
          <w:rFonts w:ascii="方正小标宋简体" w:eastAsia="方正小标宋简体" w:hAnsi="宋体" w:hint="eastAsia"/>
          <w:color w:val="000000" w:themeColor="text1"/>
          <w:sz w:val="52"/>
          <w:szCs w:val="52"/>
        </w:rPr>
        <w:t>四川省阿坝州</w:t>
      </w:r>
      <w:bookmarkStart w:id="13" w:name="_Toc15306268"/>
      <w:bookmarkEnd w:id="0"/>
      <w:r w:rsidRPr="00F925EF">
        <w:rPr>
          <w:rFonts w:ascii="方正小标宋简体" w:eastAsia="方正小标宋简体" w:hAnsi="宋体" w:hint="eastAsia"/>
          <w:color w:val="000000" w:themeColor="text1"/>
          <w:sz w:val="52"/>
          <w:szCs w:val="52"/>
        </w:rPr>
        <w:t>委政法委部门决算</w:t>
      </w:r>
      <w:bookmarkEnd w:id="7"/>
      <w:bookmarkEnd w:id="8"/>
      <w:bookmarkEnd w:id="9"/>
      <w:bookmarkEnd w:id="10"/>
      <w:bookmarkEnd w:id="11"/>
      <w:bookmarkEnd w:id="12"/>
      <w:bookmarkEnd w:id="13"/>
    </w:p>
    <w:p w:rsidR="004621D1" w:rsidRPr="00F925EF" w:rsidRDefault="004621D1">
      <w:pPr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 w:hAnsi="宋体"/>
          <w:color w:val="000000" w:themeColor="text1"/>
          <w:sz w:val="52"/>
          <w:szCs w:val="52"/>
        </w:rPr>
      </w:pPr>
    </w:p>
    <w:p w:rsidR="004621D1" w:rsidRPr="00F925EF" w:rsidRDefault="004621D1">
      <w:pPr>
        <w:widowControl/>
        <w:jc w:val="center"/>
        <w:rPr>
          <w:rFonts w:ascii="方正小标宋简体" w:eastAsia="方正小标宋简体" w:hAnsi="宋体"/>
          <w:color w:val="000000" w:themeColor="text1"/>
          <w:sz w:val="36"/>
          <w:szCs w:val="36"/>
        </w:rPr>
      </w:pPr>
    </w:p>
    <w:p w:rsidR="004621D1" w:rsidRPr="00F925EF" w:rsidRDefault="004621D1" w:rsidP="003F6619">
      <w:pPr>
        <w:rPr>
          <w:rFonts w:ascii="方正小标宋简体" w:eastAsia="方正小标宋简体" w:hAnsi="宋体"/>
          <w:color w:val="000000" w:themeColor="text1"/>
          <w:sz w:val="36"/>
          <w:szCs w:val="36"/>
        </w:rPr>
      </w:pPr>
    </w:p>
    <w:p w:rsidR="004621D1" w:rsidRPr="00F925EF" w:rsidRDefault="004621D1" w:rsidP="003F6619">
      <w:pPr>
        <w:rPr>
          <w:rFonts w:ascii="方正小标宋简体" w:eastAsia="方正小标宋简体" w:hAnsi="宋体"/>
          <w:color w:val="000000" w:themeColor="text1"/>
          <w:sz w:val="36"/>
          <w:szCs w:val="36"/>
        </w:rPr>
      </w:pPr>
    </w:p>
    <w:p w:rsidR="004621D1" w:rsidRPr="00F925EF" w:rsidRDefault="004621D1" w:rsidP="003F6619">
      <w:pPr>
        <w:rPr>
          <w:rFonts w:ascii="方正小标宋简体" w:eastAsia="方正小标宋简体" w:hAnsi="宋体"/>
          <w:color w:val="000000" w:themeColor="text1"/>
          <w:sz w:val="36"/>
          <w:szCs w:val="36"/>
        </w:rPr>
      </w:pPr>
    </w:p>
    <w:p w:rsidR="004621D1" w:rsidRPr="00F925EF" w:rsidRDefault="004621D1" w:rsidP="003F6619">
      <w:pPr>
        <w:rPr>
          <w:rFonts w:ascii="方正小标宋简体" w:eastAsia="方正小标宋简体" w:hAnsi="宋体"/>
          <w:color w:val="000000" w:themeColor="text1"/>
          <w:sz w:val="36"/>
          <w:szCs w:val="36"/>
        </w:rPr>
      </w:pPr>
    </w:p>
    <w:p w:rsidR="004621D1" w:rsidRPr="00F925EF" w:rsidRDefault="004621D1" w:rsidP="003F6619">
      <w:pPr>
        <w:rPr>
          <w:rFonts w:ascii="方正小标宋简体" w:eastAsia="方正小标宋简体" w:hAnsi="宋体"/>
          <w:color w:val="000000" w:themeColor="text1"/>
          <w:sz w:val="36"/>
          <w:szCs w:val="36"/>
        </w:rPr>
      </w:pPr>
    </w:p>
    <w:p w:rsidR="004621D1" w:rsidRPr="00F925EF" w:rsidRDefault="004621D1" w:rsidP="00D179F5">
      <w:pPr>
        <w:autoSpaceDE w:val="0"/>
        <w:autoSpaceDN w:val="0"/>
        <w:adjustRightInd w:val="0"/>
        <w:ind w:firstLine="1276"/>
        <w:jc w:val="left"/>
        <w:rPr>
          <w:rFonts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保密审查情况：已审查，</w:t>
      </w:r>
      <w:bookmarkStart w:id="14" w:name="_GoBack"/>
      <w:bookmarkEnd w:id="14"/>
      <w:r w:rsidRPr="00F925EF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内容审定</w:t>
      </w:r>
    </w:p>
    <w:p w:rsidR="004621D1" w:rsidRPr="00F925EF" w:rsidRDefault="004621D1" w:rsidP="002F7BC1">
      <w:pPr>
        <w:autoSpaceDE w:val="0"/>
        <w:autoSpaceDN w:val="0"/>
        <w:adjustRightInd w:val="0"/>
        <w:ind w:firstLine="1276"/>
        <w:jc w:val="left"/>
        <w:rPr>
          <w:rFonts w:ascii="方正小标宋简体" w:eastAsia="方正小标宋简体" w:hAnsi="宋体"/>
          <w:color w:val="000000" w:themeColor="text1"/>
          <w:sz w:val="36"/>
          <w:szCs w:val="36"/>
        </w:rPr>
      </w:pPr>
      <w:r w:rsidRPr="00F925EF">
        <w:rPr>
          <w:rFonts w:ascii="仿宋_GB2312" w:eastAsia="仿宋_GB2312" w:cs="仿宋_GB2312" w:hint="eastAsia"/>
          <w:color w:val="000000" w:themeColor="text1"/>
          <w:sz w:val="32"/>
          <w:szCs w:val="32"/>
        </w:rPr>
        <w:t>部门主要负责人审签情况：已审签</w:t>
      </w:r>
      <w:r w:rsidRPr="00F925EF">
        <w:rPr>
          <w:rFonts w:ascii="仿宋_GB2312" w:eastAsia="仿宋_GB2312" w:hAnsi="Calibri" w:cs="仿宋_GB2312" w:hint="eastAsia"/>
          <w:color w:val="000000" w:themeColor="text1"/>
          <w:sz w:val="32"/>
          <w:szCs w:val="32"/>
        </w:rPr>
        <w:t>，同意对外公开</w:t>
      </w:r>
    </w:p>
    <w:p w:rsidR="004621D1" w:rsidRPr="00F925EF" w:rsidRDefault="004621D1" w:rsidP="00506EC4">
      <w:pPr>
        <w:widowControl/>
        <w:jc w:val="center"/>
        <w:rPr>
          <w:rFonts w:ascii="仿宋" w:eastAsia="仿宋" w:hAnsi="仿宋"/>
          <w:color w:val="000000" w:themeColor="text1"/>
          <w:sz w:val="24"/>
        </w:rPr>
      </w:pPr>
      <w:r w:rsidRPr="00F925EF">
        <w:rPr>
          <w:rFonts w:ascii="方正小标宋简体" w:eastAsia="方正小标宋简体" w:hAnsi="宋体"/>
          <w:color w:val="000000" w:themeColor="text1"/>
          <w:sz w:val="36"/>
          <w:szCs w:val="36"/>
        </w:rPr>
        <w:br w:type="page"/>
      </w:r>
    </w:p>
    <w:p w:rsidR="007261BF" w:rsidRPr="00F925EF" w:rsidRDefault="007261BF" w:rsidP="00506EC4">
      <w:pPr>
        <w:widowControl/>
        <w:spacing w:line="480" w:lineRule="auto"/>
        <w:jc w:val="center"/>
        <w:rPr>
          <w:rFonts w:ascii="黑体" w:eastAsia="黑体" w:hAnsi="黑体"/>
          <w:color w:val="000000" w:themeColor="text1"/>
          <w:sz w:val="48"/>
          <w:szCs w:val="48"/>
        </w:rPr>
      </w:pPr>
      <w:bookmarkStart w:id="15" w:name="_Toc15377196"/>
      <w:bookmarkStart w:id="16" w:name="_Toc15396599"/>
    </w:p>
    <w:p w:rsidR="007261BF" w:rsidRPr="00F925EF" w:rsidRDefault="007261BF" w:rsidP="00506EC4">
      <w:pPr>
        <w:widowControl/>
        <w:spacing w:line="480" w:lineRule="auto"/>
        <w:jc w:val="center"/>
        <w:rPr>
          <w:rFonts w:ascii="黑体" w:eastAsia="黑体" w:hAnsi="黑体"/>
          <w:color w:val="000000" w:themeColor="text1"/>
          <w:sz w:val="48"/>
          <w:szCs w:val="48"/>
        </w:rPr>
      </w:pPr>
    </w:p>
    <w:p w:rsidR="00D136A0" w:rsidRPr="00F925EF" w:rsidRDefault="00D136A0" w:rsidP="00506EC4">
      <w:pPr>
        <w:widowControl/>
        <w:spacing w:line="480" w:lineRule="auto"/>
        <w:jc w:val="center"/>
        <w:rPr>
          <w:rFonts w:ascii="黑体" w:eastAsia="黑体" w:hAnsi="黑体"/>
          <w:color w:val="000000" w:themeColor="text1"/>
          <w:sz w:val="48"/>
          <w:szCs w:val="48"/>
        </w:rPr>
      </w:pPr>
      <w:r w:rsidRPr="00F925EF">
        <w:rPr>
          <w:rFonts w:ascii="黑体" w:eastAsia="黑体" w:hAnsi="黑体" w:hint="eastAsia"/>
          <w:color w:val="000000" w:themeColor="text1"/>
          <w:sz w:val="48"/>
          <w:szCs w:val="48"/>
        </w:rPr>
        <w:t>目录</w:t>
      </w:r>
    </w:p>
    <w:p w:rsidR="00D136A0" w:rsidRPr="00F925EF" w:rsidRDefault="00D136A0" w:rsidP="00506EC4">
      <w:pPr>
        <w:pStyle w:val="10"/>
        <w:spacing w:line="480" w:lineRule="auto"/>
        <w:rPr>
          <w:rFonts w:hAnsiTheme="minorHAnsi"/>
          <w:b/>
          <w:bCs/>
          <w:color w:val="000000" w:themeColor="text1"/>
          <w:sz w:val="24"/>
          <w:szCs w:val="24"/>
        </w:rPr>
      </w:pPr>
      <w:r w:rsidRPr="00F925EF">
        <w:rPr>
          <w:rFonts w:hAnsiTheme="minorHAnsi" w:hint="eastAsia"/>
          <w:color w:val="000000" w:themeColor="text1"/>
          <w:sz w:val="24"/>
          <w:szCs w:val="24"/>
        </w:rPr>
        <w:t xml:space="preserve">公开时间：2021年 </w:t>
      </w:r>
      <w:r w:rsidRPr="00F925EF">
        <w:rPr>
          <w:rFonts w:hAnsiTheme="minorHAnsi"/>
          <w:color w:val="000000" w:themeColor="text1"/>
          <w:sz w:val="24"/>
          <w:szCs w:val="24"/>
        </w:rPr>
        <w:t>9</w:t>
      </w:r>
      <w:r w:rsidRPr="00F925EF">
        <w:rPr>
          <w:rFonts w:hAnsiTheme="minorHAnsi" w:hint="eastAsia"/>
          <w:color w:val="000000" w:themeColor="text1"/>
          <w:sz w:val="24"/>
          <w:szCs w:val="24"/>
        </w:rPr>
        <w:t>月</w:t>
      </w:r>
      <w:r w:rsidR="005710E6">
        <w:rPr>
          <w:rFonts w:hAnsiTheme="minorHAnsi" w:hint="eastAsia"/>
          <w:color w:val="000000" w:themeColor="text1"/>
          <w:sz w:val="24"/>
          <w:szCs w:val="24"/>
        </w:rPr>
        <w:t>30</w:t>
      </w:r>
      <w:r w:rsidRPr="00F925EF">
        <w:rPr>
          <w:rFonts w:hAnsiTheme="minorHAnsi" w:hint="eastAsia"/>
          <w:color w:val="000000" w:themeColor="text1"/>
          <w:sz w:val="24"/>
          <w:szCs w:val="24"/>
        </w:rPr>
        <w:t xml:space="preserve"> 日</w:t>
      </w:r>
    </w:p>
    <w:bookmarkStart w:id="17" w:name="二"/>
    <w:p w:rsidR="001C1165" w:rsidRDefault="001834EB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1834EB">
        <w:rPr>
          <w:color w:val="000000" w:themeColor="text1"/>
          <w:sz w:val="20"/>
          <w:szCs w:val="20"/>
        </w:rPr>
        <w:fldChar w:fldCharType="begin"/>
      </w:r>
      <w:r w:rsidR="00D136A0" w:rsidRPr="00F925EF">
        <w:rPr>
          <w:color w:val="000000" w:themeColor="text1"/>
          <w:sz w:val="20"/>
          <w:szCs w:val="20"/>
        </w:rPr>
        <w:instrText xml:space="preserve"> TOC \o \u </w:instrText>
      </w:r>
      <w:r w:rsidRPr="001834EB">
        <w:rPr>
          <w:color w:val="000000" w:themeColor="text1"/>
          <w:sz w:val="20"/>
          <w:szCs w:val="20"/>
        </w:rPr>
        <w:fldChar w:fldCharType="separate"/>
      </w:r>
      <w:r w:rsidR="001C1165" w:rsidRPr="007B071D">
        <w:rPr>
          <w:rFonts w:ascii="黑体" w:eastAsia="黑体" w:hAnsi="黑体" w:hint="eastAsia"/>
          <w:noProof/>
          <w:color w:val="000000" w:themeColor="text1"/>
        </w:rPr>
        <w:t>第一部分</w:t>
      </w:r>
      <w:r w:rsidR="001C1165" w:rsidRPr="007B071D">
        <w:rPr>
          <w:rFonts w:ascii="黑体" w:eastAsia="黑体" w:hAnsi="黑体"/>
          <w:noProof/>
          <w:color w:val="000000" w:themeColor="text1"/>
        </w:rPr>
        <w:t xml:space="preserve"> </w:t>
      </w:r>
      <w:r w:rsidR="001C1165" w:rsidRPr="007B071D">
        <w:rPr>
          <w:rFonts w:ascii="黑体" w:eastAsia="黑体" w:hAnsi="黑体" w:hint="eastAsia"/>
          <w:noProof/>
          <w:color w:val="000000" w:themeColor="text1"/>
        </w:rPr>
        <w:t>部门概况</w:t>
      </w:r>
      <w:r w:rsidR="001C1165">
        <w:rPr>
          <w:noProof/>
        </w:rPr>
        <w:tab/>
      </w:r>
      <w:r>
        <w:rPr>
          <w:noProof/>
        </w:rPr>
        <w:fldChar w:fldCharType="begin"/>
      </w:r>
      <w:r w:rsidR="001C1165">
        <w:rPr>
          <w:noProof/>
        </w:rPr>
        <w:instrText xml:space="preserve"> PAGEREF _Toc83908210 \h </w:instrText>
      </w:r>
      <w:r>
        <w:rPr>
          <w:noProof/>
        </w:rPr>
      </w:r>
      <w:r>
        <w:rPr>
          <w:noProof/>
        </w:rPr>
        <w:fldChar w:fldCharType="separate"/>
      </w:r>
      <w:r w:rsidR="001C1165">
        <w:rPr>
          <w:noProof/>
        </w:rPr>
        <w:t>4</w:t>
      </w:r>
      <w:r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Ansi="黑体" w:hint="eastAsia"/>
          <w:noProof/>
          <w:color w:val="000000" w:themeColor="text1"/>
        </w:rPr>
        <w:t>一、基本职能及主要工作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_Toc83908211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4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Cs/>
          <w:noProof/>
          <w:color w:val="000000" w:themeColor="text1"/>
        </w:rPr>
        <w:t>（一）主要职能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_Toc83908212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4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Cs/>
          <w:noProof/>
          <w:color w:val="000000" w:themeColor="text1"/>
        </w:rPr>
        <w:t>（二）</w:t>
      </w:r>
      <w:r w:rsidRPr="007B071D">
        <w:rPr>
          <w:rFonts w:ascii="仿宋" w:eastAsia="仿宋" w:hAnsi="仿宋"/>
          <w:bCs/>
          <w:noProof/>
          <w:color w:val="000000" w:themeColor="text1"/>
        </w:rPr>
        <w:t>2020</w:t>
      </w:r>
      <w:r w:rsidRPr="007B071D">
        <w:rPr>
          <w:rFonts w:ascii="仿宋" w:eastAsia="仿宋" w:hAnsi="仿宋" w:hint="eastAsia"/>
          <w:bCs/>
          <w:noProof/>
          <w:color w:val="000000" w:themeColor="text1"/>
        </w:rPr>
        <w:t>年重点工作完成情况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_Toc83908213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int="eastAsia"/>
          <w:noProof/>
          <w:color w:val="000000" w:themeColor="text1"/>
        </w:rPr>
        <w:t>二、</w:t>
      </w:r>
      <w:r w:rsidRPr="007B071D">
        <w:rPr>
          <w:rFonts w:ascii="黑体" w:eastAsia="黑体" w:hAnsi="黑体" w:hint="eastAsia"/>
          <w:noProof/>
          <w:color w:val="000000" w:themeColor="text1"/>
        </w:rPr>
        <w:t>机构设置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_Toc83908214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6</w:t>
      </w:r>
      <w:r w:rsidR="001834EB">
        <w:rPr>
          <w:noProof/>
        </w:rPr>
        <w:fldChar w:fldCharType="end"/>
      </w:r>
    </w:p>
    <w:p w:rsidR="001C1165" w:rsidRDefault="001C1165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7B071D">
        <w:rPr>
          <w:rFonts w:ascii="黑体" w:eastAsia="黑体" w:hAnsi="黑体" w:hint="eastAsia"/>
          <w:noProof/>
          <w:color w:val="000000" w:themeColor="text1"/>
        </w:rPr>
        <w:t>第二部分</w:t>
      </w:r>
      <w:r w:rsidRPr="007B071D">
        <w:rPr>
          <w:rFonts w:ascii="黑体" w:eastAsia="黑体" w:hAnsi="黑体"/>
          <w:noProof/>
          <w:color w:val="000000" w:themeColor="text1"/>
        </w:rPr>
        <w:t xml:space="preserve"> 2020</w:t>
      </w:r>
      <w:r w:rsidRPr="007B071D">
        <w:rPr>
          <w:rFonts w:ascii="黑体" w:eastAsia="黑体" w:hAnsi="黑体" w:hint="eastAsia"/>
          <w:noProof/>
          <w:color w:val="000000" w:themeColor="text1"/>
        </w:rPr>
        <w:t>年度部门决算情况说明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_Toc83908215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7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tabs>
          <w:tab w:val="left" w:pos="1260"/>
        </w:tabs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Ansi="黑体" w:hint="eastAsia"/>
          <w:bCs/>
          <w:noProof/>
          <w:color w:val="000000" w:themeColor="text1"/>
        </w:rPr>
        <w:t>一、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 w:rsidRPr="007B071D">
        <w:rPr>
          <w:rFonts w:ascii="黑体" w:eastAsia="黑体" w:hAnsi="黑体" w:hint="eastAsia"/>
          <w:noProof/>
          <w:color w:val="000000" w:themeColor="text1"/>
        </w:rPr>
        <w:t>收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入支出决算总体情况说明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_Toc83908216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7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tabs>
          <w:tab w:val="left" w:pos="1260"/>
        </w:tabs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Ansi="黑体" w:hint="eastAsia"/>
          <w:bCs/>
          <w:noProof/>
          <w:color w:val="000000" w:themeColor="text1"/>
        </w:rPr>
        <w:t>二、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 w:rsidRPr="007B071D">
        <w:rPr>
          <w:rFonts w:ascii="黑体" w:eastAsia="黑体" w:hAnsi="黑体" w:hint="eastAsia"/>
          <w:noProof/>
          <w:color w:val="000000" w:themeColor="text1"/>
        </w:rPr>
        <w:t>收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入决算情况说明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_Toc83908217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7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tabs>
          <w:tab w:val="left" w:pos="1260"/>
        </w:tabs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Ansi="黑体" w:hint="eastAsia"/>
          <w:bCs/>
          <w:noProof/>
          <w:color w:val="000000" w:themeColor="text1"/>
        </w:rPr>
        <w:t>三、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 w:rsidRPr="007B071D">
        <w:rPr>
          <w:rFonts w:ascii="黑体" w:eastAsia="黑体" w:hAnsi="黑体" w:hint="eastAsia"/>
          <w:noProof/>
          <w:color w:val="000000" w:themeColor="text1"/>
        </w:rPr>
        <w:t>支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出决算情况说明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_Toc83908219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8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Ansi="黑体" w:hint="eastAsia"/>
          <w:noProof/>
          <w:color w:val="000000" w:themeColor="text1"/>
        </w:rPr>
        <w:t>四、财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政拨款收入支出决算总体情况说明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_Toc83908221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8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Ansi="黑体" w:hint="eastAsia"/>
          <w:noProof/>
          <w:color w:val="000000" w:themeColor="text1"/>
        </w:rPr>
        <w:t>五、</w:t>
      </w:r>
      <w:r w:rsidRPr="007B071D">
        <w:rPr>
          <w:rFonts w:ascii="黑体" w:eastAsia="黑体" w:hAnsi="黑体" w:hint="eastAsia"/>
          <w:b/>
          <w:noProof/>
          <w:color w:val="000000" w:themeColor="text1"/>
        </w:rPr>
        <w:t>一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般公共预算财政拨款支出决算情况说明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_Toc83908223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9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（一）一般公共预算财政拨款支出决算总体情况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_Toc83908224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9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（二）一般公共预算财政拨款支出决算结构情况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_Toc83908226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9</w:t>
      </w:r>
      <w:r w:rsidR="001834EB">
        <w:rPr>
          <w:noProof/>
        </w:rPr>
        <w:fldChar w:fldCharType="end"/>
      </w:r>
    </w:p>
    <w:p w:rsidR="001C1165" w:rsidRDefault="001C1165" w:rsidP="001C1165">
      <w:pPr>
        <w:pStyle w:val="30"/>
        <w:spacing w:line="480" w:lineRule="auto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（三）一般公共预算财政拨款支出决算具体情况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_Toc83908228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11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int="eastAsia"/>
          <w:noProof/>
          <w:color w:val="000000" w:themeColor="text1"/>
        </w:rPr>
        <w:t>六</w:t>
      </w:r>
      <w:r w:rsidRPr="007B071D">
        <w:rPr>
          <w:rFonts w:ascii="黑体" w:eastAsia="黑体" w:hint="eastAsia"/>
          <w:b/>
          <w:noProof/>
          <w:color w:val="000000" w:themeColor="text1"/>
        </w:rPr>
        <w:t>、</w:t>
      </w:r>
      <w:r w:rsidRPr="007B071D">
        <w:rPr>
          <w:rFonts w:ascii="黑体" w:eastAsia="黑体" w:hAnsi="黑体" w:hint="eastAsia"/>
          <w:b/>
          <w:noProof/>
          <w:color w:val="000000" w:themeColor="text1"/>
        </w:rPr>
        <w:t>一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般公共预算财政拨款基本支出决算情况说明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_Toc83908229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12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int="eastAsia"/>
          <w:noProof/>
          <w:color w:val="000000" w:themeColor="text1"/>
        </w:rPr>
        <w:t>七、</w:t>
      </w:r>
      <w:r w:rsidRPr="007B071D">
        <w:rPr>
          <w:rFonts w:ascii="黑体" w:eastAsia="黑体" w:hAnsi="黑体"/>
          <w:b/>
          <w:bCs/>
          <w:noProof/>
          <w:color w:val="000000" w:themeColor="text1"/>
        </w:rPr>
        <w:t>“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三公”经费财政拨款支出决算情况说明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_Toc83908230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13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（一）“三公”经费财政拨款支出决算总体情况说明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_Toc83908231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13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（二）“三公”经费财政拨款支出决算具体情况说明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_Toc83908232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13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int="eastAsia"/>
          <w:noProof/>
          <w:color w:val="000000" w:themeColor="text1"/>
        </w:rPr>
        <w:t>八、</w:t>
      </w:r>
      <w:r w:rsidRPr="007B071D">
        <w:rPr>
          <w:rFonts w:ascii="黑体" w:eastAsia="黑体" w:hAnsi="黑体" w:hint="eastAsia"/>
          <w:bCs/>
          <w:noProof/>
          <w:color w:val="000000" w:themeColor="text1"/>
        </w:rPr>
        <w:t>政府性基金预算支出决算情况说明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_Toc83908233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14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黑体" w:eastAsia="黑体" w:hAnsi="黑体" w:hint="eastAsia"/>
          <w:bCs/>
          <w:noProof/>
          <w:color w:val="000000" w:themeColor="text1"/>
        </w:rPr>
        <w:t>九、 国有资本经营预算支出决算情况说明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_Toc83908234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14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（一）机关运行经费支出情况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_Toc83908235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15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（二）政府采购支出情况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_Toc83908236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15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（三）国有资产占有使用情况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_Toc83908237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15</w:t>
      </w:r>
      <w:r w:rsidR="001834EB">
        <w:rPr>
          <w:noProof/>
        </w:rPr>
        <w:fldChar w:fldCharType="end"/>
      </w:r>
    </w:p>
    <w:p w:rsidR="001C1165" w:rsidRDefault="001C1165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b/>
          <w:noProof/>
          <w:color w:val="000000" w:themeColor="text1"/>
        </w:rPr>
        <w:t>（四）预算绩效管理情况。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_Toc83908238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15</w:t>
      </w:r>
      <w:r w:rsidR="001834EB">
        <w:rPr>
          <w:noProof/>
        </w:rPr>
        <w:fldChar w:fldCharType="end"/>
      </w:r>
    </w:p>
    <w:p w:rsidR="001C1165" w:rsidRDefault="001C1165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7B071D">
        <w:rPr>
          <w:rFonts w:ascii="黑体" w:eastAsia="黑体" w:hAnsi="黑体" w:hint="eastAsia"/>
          <w:bCs/>
          <w:noProof/>
          <w:color w:val="000000" w:themeColor="text1"/>
          <w:kern w:val="44"/>
        </w:rPr>
        <w:t>第三部分</w:t>
      </w:r>
      <w:r w:rsidRPr="007B071D">
        <w:rPr>
          <w:rFonts w:ascii="黑体" w:eastAsia="黑体" w:hAnsi="黑体" w:hint="eastAsia"/>
          <w:noProof/>
          <w:color w:val="000000" w:themeColor="text1"/>
        </w:rPr>
        <w:t xml:space="preserve"> 名</w:t>
      </w:r>
      <w:r w:rsidRPr="007B071D">
        <w:rPr>
          <w:rFonts w:ascii="黑体" w:eastAsia="黑体" w:hAnsi="黑体" w:hint="eastAsia"/>
          <w:bCs/>
          <w:noProof/>
          <w:color w:val="000000" w:themeColor="text1"/>
          <w:kern w:val="44"/>
        </w:rPr>
        <w:t>词解释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_Toc83908239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17</w:t>
      </w:r>
      <w:r w:rsidR="001834EB">
        <w:rPr>
          <w:noProof/>
        </w:rPr>
        <w:fldChar w:fldCharType="end"/>
      </w:r>
    </w:p>
    <w:p w:rsidR="001C1165" w:rsidRDefault="001C1165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7B071D">
        <w:rPr>
          <w:rFonts w:ascii="黑体" w:eastAsia="黑体" w:hAnsi="黑体" w:hint="eastAsia"/>
          <w:noProof/>
          <w:color w:val="000000" w:themeColor="text1"/>
        </w:rPr>
        <w:t>第</w:t>
      </w:r>
      <w:r w:rsidRPr="007B071D">
        <w:rPr>
          <w:rFonts w:ascii="黑体" w:eastAsia="黑体" w:hAnsi="黑体" w:hint="eastAsia"/>
          <w:bCs/>
          <w:noProof/>
          <w:color w:val="000000" w:themeColor="text1"/>
          <w:kern w:val="44"/>
        </w:rPr>
        <w:t>四部分</w:t>
      </w:r>
      <w:r w:rsidRPr="007B071D">
        <w:rPr>
          <w:rFonts w:ascii="黑体" w:eastAsia="黑体" w:hAnsi="黑体"/>
          <w:bCs/>
          <w:noProof/>
          <w:color w:val="000000" w:themeColor="text1"/>
          <w:kern w:val="44"/>
        </w:rPr>
        <w:t xml:space="preserve"> </w:t>
      </w:r>
      <w:r w:rsidRPr="007B071D">
        <w:rPr>
          <w:rFonts w:ascii="黑体" w:eastAsia="黑体" w:hAnsi="黑体" w:hint="eastAsia"/>
          <w:bCs/>
          <w:noProof/>
          <w:color w:val="000000" w:themeColor="text1"/>
          <w:kern w:val="44"/>
        </w:rPr>
        <w:t>附件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_Toc83908240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20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  <w:color w:val="000000" w:themeColor="text1"/>
          <w:kern w:val="44"/>
        </w:rPr>
        <w:t>附件</w:t>
      </w:r>
      <w:r w:rsidRPr="007B071D">
        <w:rPr>
          <w:rFonts w:ascii="仿宋" w:eastAsia="仿宋" w:hAnsi="仿宋"/>
          <w:noProof/>
          <w:color w:val="000000" w:themeColor="text1"/>
          <w:kern w:val="44"/>
        </w:rPr>
        <w:t>1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_Toc83908241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20</w:t>
      </w:r>
      <w:r w:rsidR="001834EB">
        <w:rPr>
          <w:noProof/>
        </w:rPr>
        <w:fldChar w:fldCharType="end"/>
      </w:r>
    </w:p>
    <w:p w:rsidR="001C1165" w:rsidRDefault="001C1165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7B071D">
        <w:rPr>
          <w:rFonts w:ascii="黑体" w:eastAsia="黑体" w:hAnsi="黑体" w:cs="方正小标宋简体" w:hint="eastAsia"/>
          <w:noProof/>
          <w:color w:val="000000" w:themeColor="text1"/>
        </w:rPr>
        <w:t>中共阿坝州委政法委员会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_Toc83908242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20</w:t>
      </w:r>
      <w:r w:rsidR="001834EB">
        <w:rPr>
          <w:noProof/>
        </w:rPr>
        <w:fldChar w:fldCharType="end"/>
      </w:r>
    </w:p>
    <w:p w:rsidR="001C1165" w:rsidRDefault="001C1165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7B071D">
        <w:rPr>
          <w:rFonts w:ascii="黑体" w:eastAsia="黑体" w:hAnsi="黑体" w:cs="方正小标宋简体"/>
          <w:noProof/>
          <w:color w:val="000000" w:themeColor="text1"/>
        </w:rPr>
        <w:lastRenderedPageBreak/>
        <w:t>2020</w:t>
      </w:r>
      <w:r w:rsidRPr="007B071D">
        <w:rPr>
          <w:rFonts w:ascii="黑体" w:eastAsia="黑体" w:hAnsi="黑体" w:cs="方正小标宋简体" w:hint="eastAsia"/>
          <w:noProof/>
          <w:color w:val="000000" w:themeColor="text1"/>
        </w:rPr>
        <w:t>年部门整体支出绩效评价报告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_Toc83908243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20</w:t>
      </w:r>
      <w:r w:rsidR="001834EB">
        <w:rPr>
          <w:noProof/>
        </w:rPr>
        <w:fldChar w:fldCharType="end"/>
      </w:r>
    </w:p>
    <w:p w:rsidR="001C1165" w:rsidRDefault="001C1165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7B071D">
        <w:rPr>
          <w:rFonts w:hint="eastAsia"/>
          <w:noProof/>
          <w:color w:val="000000" w:themeColor="text1"/>
        </w:rPr>
        <w:t>附件</w:t>
      </w:r>
      <w:r w:rsidRPr="007B071D">
        <w:rPr>
          <w:noProof/>
          <w:color w:val="000000" w:themeColor="text1"/>
        </w:rPr>
        <w:t>2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_Toc83908244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24</w:t>
      </w:r>
      <w:r w:rsidR="001834EB">
        <w:rPr>
          <w:noProof/>
        </w:rPr>
        <w:fldChar w:fldCharType="end"/>
      </w:r>
    </w:p>
    <w:p w:rsidR="001C1165" w:rsidRDefault="001C1165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 w:rsidRPr="007B071D">
        <w:rPr>
          <w:rFonts w:ascii="黑体" w:eastAsia="黑体" w:hAnsi="黑体" w:hint="eastAsia"/>
          <w:noProof/>
          <w:color w:val="000000"/>
        </w:rPr>
        <w:t>第</w:t>
      </w:r>
      <w:r w:rsidRPr="007B071D">
        <w:rPr>
          <w:rFonts w:ascii="黑体" w:eastAsia="黑体" w:hAnsi="黑体" w:hint="eastAsia"/>
          <w:bCs/>
          <w:noProof/>
          <w:kern w:val="44"/>
        </w:rPr>
        <w:t>五部分</w:t>
      </w:r>
      <w:r w:rsidRPr="007B071D">
        <w:rPr>
          <w:rFonts w:ascii="黑体" w:eastAsia="黑体" w:hAnsi="黑体"/>
          <w:bCs/>
          <w:noProof/>
          <w:kern w:val="44"/>
        </w:rPr>
        <w:t xml:space="preserve"> </w:t>
      </w:r>
      <w:r w:rsidRPr="007B071D">
        <w:rPr>
          <w:rFonts w:ascii="黑体" w:eastAsia="黑体" w:hAnsi="黑体" w:hint="eastAsia"/>
          <w:bCs/>
          <w:noProof/>
          <w:kern w:val="44"/>
        </w:rPr>
        <w:t>附表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_Toc83908245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  <w:color w:val="000000"/>
        </w:rPr>
        <w:t>一、收</w:t>
      </w:r>
      <w:r w:rsidRPr="007B071D">
        <w:rPr>
          <w:rFonts w:ascii="仿宋" w:eastAsia="仿宋" w:hAnsi="仿宋" w:hint="eastAsia"/>
          <w:noProof/>
        </w:rPr>
        <w:t>入支出决算总表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_Toc83908246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  <w:color w:val="000000"/>
        </w:rPr>
        <w:t>二、收</w:t>
      </w:r>
      <w:r w:rsidRPr="007B071D">
        <w:rPr>
          <w:rFonts w:ascii="仿宋" w:eastAsia="仿宋" w:hAnsi="仿宋" w:hint="eastAsia"/>
          <w:noProof/>
        </w:rPr>
        <w:t>入决算表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_Toc83908247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三、</w:t>
      </w:r>
      <w:r w:rsidRPr="007B071D">
        <w:rPr>
          <w:rFonts w:ascii="仿宋" w:eastAsia="仿宋" w:hAnsi="仿宋" w:hint="eastAsia"/>
          <w:noProof/>
          <w:color w:val="000000"/>
        </w:rPr>
        <w:t>支</w:t>
      </w:r>
      <w:r w:rsidRPr="007B071D">
        <w:rPr>
          <w:rFonts w:ascii="仿宋" w:eastAsia="仿宋" w:hAnsi="仿宋" w:hint="eastAsia"/>
          <w:noProof/>
        </w:rPr>
        <w:t>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_Toc83908248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四、</w:t>
      </w:r>
      <w:r w:rsidRPr="007B071D">
        <w:rPr>
          <w:rFonts w:ascii="仿宋" w:eastAsia="仿宋" w:hAnsi="仿宋" w:hint="eastAsia"/>
          <w:noProof/>
          <w:color w:val="000000"/>
        </w:rPr>
        <w:t>财</w:t>
      </w:r>
      <w:r w:rsidRPr="007B071D">
        <w:rPr>
          <w:rFonts w:ascii="仿宋" w:eastAsia="仿宋" w:hAnsi="仿宋" w:hint="eastAsia"/>
          <w:noProof/>
        </w:rPr>
        <w:t>政拨款收入支出决算总表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_Toc83908249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五、</w:t>
      </w:r>
      <w:r w:rsidRPr="007B071D">
        <w:rPr>
          <w:rFonts w:ascii="仿宋" w:eastAsia="仿宋" w:hAnsi="仿宋" w:hint="eastAsia"/>
          <w:noProof/>
          <w:color w:val="000000"/>
        </w:rPr>
        <w:t>财</w:t>
      </w:r>
      <w:r w:rsidRPr="007B071D">
        <w:rPr>
          <w:rFonts w:ascii="仿宋" w:eastAsia="仿宋" w:hAnsi="仿宋" w:hint="eastAsia"/>
          <w:noProof/>
        </w:rPr>
        <w:t>政拨款支出决算明细表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_Toc83908250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六、</w:t>
      </w:r>
      <w:r w:rsidRPr="007B071D">
        <w:rPr>
          <w:rFonts w:ascii="仿宋" w:eastAsia="仿宋" w:hAnsi="仿宋" w:hint="eastAsia"/>
          <w:noProof/>
          <w:color w:val="000000"/>
        </w:rPr>
        <w:t>一</w:t>
      </w:r>
      <w:r w:rsidRPr="007B071D">
        <w:rPr>
          <w:rFonts w:ascii="仿宋" w:eastAsia="仿宋" w:hAnsi="仿宋" w:hint="eastAsia"/>
          <w:noProof/>
        </w:rPr>
        <w:t>般公共预算财政拨款支出决算表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_Toc83908251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七、</w:t>
      </w:r>
      <w:r w:rsidRPr="007B071D">
        <w:rPr>
          <w:rFonts w:ascii="仿宋" w:eastAsia="仿宋" w:hAnsi="仿宋" w:hint="eastAsia"/>
          <w:noProof/>
          <w:color w:val="000000"/>
        </w:rPr>
        <w:t>一</w:t>
      </w:r>
      <w:r w:rsidRPr="007B071D">
        <w:rPr>
          <w:rFonts w:ascii="仿宋" w:eastAsia="仿宋" w:hAnsi="仿宋" w:hint="eastAsia"/>
          <w:noProof/>
        </w:rPr>
        <w:t>般公共预算财政拨款支出决算明细表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_Toc83908252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八、</w:t>
      </w:r>
      <w:r w:rsidRPr="007B071D">
        <w:rPr>
          <w:rFonts w:ascii="仿宋" w:eastAsia="仿宋" w:hAnsi="仿宋" w:hint="eastAsia"/>
          <w:noProof/>
          <w:color w:val="000000"/>
        </w:rPr>
        <w:t>一</w:t>
      </w:r>
      <w:r w:rsidRPr="007B071D">
        <w:rPr>
          <w:rFonts w:ascii="仿宋" w:eastAsia="仿宋" w:hAnsi="仿宋" w:hint="eastAsia"/>
          <w:noProof/>
        </w:rPr>
        <w:t>般公共预算财政拨款基本支出决算表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_Toc83908253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九、</w:t>
      </w:r>
      <w:r w:rsidRPr="007B071D">
        <w:rPr>
          <w:rFonts w:ascii="仿宋" w:eastAsia="仿宋" w:hAnsi="仿宋" w:hint="eastAsia"/>
          <w:noProof/>
          <w:color w:val="000000"/>
        </w:rPr>
        <w:t>一</w:t>
      </w:r>
      <w:r w:rsidRPr="007B071D">
        <w:rPr>
          <w:rFonts w:ascii="仿宋" w:eastAsia="仿宋" w:hAnsi="仿宋" w:hint="eastAsia"/>
          <w:noProof/>
        </w:rPr>
        <w:t>般公共预算财政拨款项目支出决算表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_Toc83908254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十、</w:t>
      </w:r>
      <w:r w:rsidRPr="007B071D">
        <w:rPr>
          <w:rFonts w:ascii="仿宋" w:eastAsia="仿宋" w:hAnsi="仿宋" w:hint="eastAsia"/>
          <w:noProof/>
          <w:color w:val="000000"/>
        </w:rPr>
        <w:t>一</w:t>
      </w:r>
      <w:r w:rsidRPr="007B071D">
        <w:rPr>
          <w:rFonts w:ascii="仿宋" w:eastAsia="仿宋" w:hAnsi="仿宋" w:hint="eastAsia"/>
          <w:noProof/>
        </w:rPr>
        <w:t>般公共预算财政拨款“三公”经费支出决算表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_Toc83908255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十一、</w:t>
      </w:r>
      <w:r w:rsidRPr="007B071D">
        <w:rPr>
          <w:rFonts w:ascii="仿宋" w:eastAsia="仿宋" w:hAnsi="仿宋" w:hint="eastAsia"/>
          <w:noProof/>
          <w:color w:val="000000"/>
        </w:rPr>
        <w:t>政</w:t>
      </w:r>
      <w:r w:rsidRPr="007B071D">
        <w:rPr>
          <w:rFonts w:ascii="仿宋" w:eastAsia="仿宋" w:hAnsi="仿宋" w:hint="eastAsia"/>
          <w:noProof/>
        </w:rPr>
        <w:t>府性基金预算财政拨款收入支出决算表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_Toc83908256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十二、</w:t>
      </w:r>
      <w:r w:rsidRPr="007B071D">
        <w:rPr>
          <w:rFonts w:ascii="仿宋" w:eastAsia="仿宋" w:hAnsi="仿宋" w:hint="eastAsia"/>
          <w:noProof/>
          <w:color w:val="000000"/>
        </w:rPr>
        <w:t>政</w:t>
      </w:r>
      <w:r w:rsidRPr="007B071D">
        <w:rPr>
          <w:rFonts w:ascii="仿宋" w:eastAsia="仿宋" w:hAnsi="仿宋" w:hint="eastAsia"/>
          <w:noProof/>
        </w:rPr>
        <w:t>府性基金预算财政拨款“三公”经费支出决算表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_Toc83908257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十三、</w:t>
      </w:r>
      <w:r w:rsidRPr="007B071D">
        <w:rPr>
          <w:rFonts w:ascii="仿宋" w:eastAsia="仿宋" w:hAnsi="仿宋" w:hint="eastAsia"/>
          <w:noProof/>
          <w:color w:val="000000"/>
        </w:rPr>
        <w:t>国</w:t>
      </w:r>
      <w:r w:rsidRPr="007B071D">
        <w:rPr>
          <w:rFonts w:ascii="仿宋" w:eastAsia="仿宋" w:hAnsi="仿宋" w:hint="eastAsia"/>
          <w:noProof/>
        </w:rPr>
        <w:t>有资本经营预算财政拨款支出决算表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_Toc83908258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1C1165" w:rsidRDefault="001C1165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7B071D">
        <w:rPr>
          <w:rFonts w:ascii="仿宋" w:eastAsia="仿宋" w:hAnsi="仿宋" w:hint="eastAsia"/>
          <w:noProof/>
        </w:rPr>
        <w:t>十四、国有资本经营预算财政拨款支出决算表</w:t>
      </w:r>
      <w:r>
        <w:rPr>
          <w:noProof/>
        </w:rPr>
        <w:tab/>
      </w:r>
      <w:r w:rsidR="001834EB">
        <w:rPr>
          <w:noProof/>
        </w:rPr>
        <w:fldChar w:fldCharType="begin"/>
      </w:r>
      <w:r>
        <w:rPr>
          <w:noProof/>
        </w:rPr>
        <w:instrText xml:space="preserve"> PAGEREF _Toc83908259 \h </w:instrText>
      </w:r>
      <w:r w:rsidR="001834EB">
        <w:rPr>
          <w:noProof/>
        </w:rPr>
      </w:r>
      <w:r w:rsidR="001834EB">
        <w:rPr>
          <w:noProof/>
        </w:rPr>
        <w:fldChar w:fldCharType="separate"/>
      </w:r>
      <w:r>
        <w:rPr>
          <w:noProof/>
        </w:rPr>
        <w:t>25</w:t>
      </w:r>
      <w:r w:rsidR="001834EB">
        <w:rPr>
          <w:noProof/>
        </w:rPr>
        <w:fldChar w:fldCharType="end"/>
      </w:r>
    </w:p>
    <w:p w:rsidR="004621D1" w:rsidRPr="00F925EF" w:rsidRDefault="001834EB" w:rsidP="00506EC4">
      <w:pPr>
        <w:widowControl/>
        <w:spacing w:line="480" w:lineRule="auto"/>
        <w:jc w:val="left"/>
        <w:rPr>
          <w:rFonts w:ascii="仿宋" w:eastAsia="仿宋" w:hAnsi="仿宋"/>
          <w:bCs/>
          <w:color w:val="000000" w:themeColor="text1"/>
          <w:kern w:val="44"/>
          <w:sz w:val="20"/>
          <w:szCs w:val="20"/>
        </w:rPr>
      </w:pPr>
      <w:r w:rsidRPr="00F925EF">
        <w:rPr>
          <w:rFonts w:asciiTheme="minorHAnsi" w:eastAsiaTheme="minorHAnsi"/>
          <w:b/>
          <w:bCs/>
          <w:caps/>
          <w:color w:val="000000" w:themeColor="text1"/>
          <w:sz w:val="20"/>
          <w:szCs w:val="20"/>
        </w:rPr>
        <w:fldChar w:fldCharType="end"/>
      </w:r>
    </w:p>
    <w:bookmarkEnd w:id="17"/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>
      <w:pPr>
        <w:widowControl/>
        <w:spacing w:line="440" w:lineRule="exact"/>
        <w:jc w:val="left"/>
        <w:rPr>
          <w:rFonts w:ascii="仿宋" w:eastAsia="仿宋" w:hAnsi="仿宋"/>
          <w:bCs/>
          <w:color w:val="000000" w:themeColor="text1"/>
          <w:kern w:val="44"/>
          <w:sz w:val="24"/>
        </w:rPr>
      </w:pPr>
    </w:p>
    <w:p w:rsidR="004621D1" w:rsidRPr="00F925EF" w:rsidRDefault="004621D1" w:rsidP="002F7BC1">
      <w:pPr>
        <w:rPr>
          <w:color w:val="000000" w:themeColor="text1"/>
        </w:rPr>
      </w:pPr>
    </w:p>
    <w:p w:rsidR="004621D1" w:rsidRPr="00F925EF" w:rsidRDefault="004621D1" w:rsidP="002F7BC1">
      <w:pPr>
        <w:rPr>
          <w:color w:val="000000" w:themeColor="text1"/>
        </w:rPr>
      </w:pPr>
    </w:p>
    <w:p w:rsidR="004621D1" w:rsidRPr="00F925EF" w:rsidRDefault="004621D1" w:rsidP="002F7BC1">
      <w:pPr>
        <w:rPr>
          <w:color w:val="000000" w:themeColor="text1"/>
        </w:rPr>
      </w:pPr>
    </w:p>
    <w:p w:rsidR="004621D1" w:rsidRPr="00F925EF" w:rsidRDefault="004621D1">
      <w:pPr>
        <w:pStyle w:val="1"/>
        <w:jc w:val="center"/>
        <w:rPr>
          <w:rStyle w:val="1Char"/>
          <w:rFonts w:ascii="黑体" w:eastAsia="黑体" w:hAnsi="黑体"/>
          <w:b/>
          <w:color w:val="000000" w:themeColor="text1"/>
        </w:rPr>
      </w:pPr>
      <w:bookmarkStart w:id="18" w:name="_Toc83908210"/>
      <w:r w:rsidRPr="00F925EF">
        <w:rPr>
          <w:rFonts w:ascii="黑体" w:eastAsia="黑体" w:hAnsi="黑体" w:hint="eastAsia"/>
          <w:b w:val="0"/>
          <w:color w:val="000000" w:themeColor="text1"/>
        </w:rPr>
        <w:lastRenderedPageBreak/>
        <w:t>第一部分</w:t>
      </w:r>
      <w:r w:rsidRPr="00F925EF">
        <w:rPr>
          <w:rFonts w:ascii="黑体" w:eastAsia="黑体" w:hAnsi="黑体"/>
          <w:b w:val="0"/>
          <w:color w:val="000000" w:themeColor="text1"/>
        </w:rPr>
        <w:t xml:space="preserve"> </w:t>
      </w:r>
      <w:r w:rsidRPr="00F925EF">
        <w:rPr>
          <w:rStyle w:val="1Char"/>
          <w:rFonts w:ascii="黑体" w:eastAsia="黑体" w:hAnsi="黑体" w:hint="eastAsia"/>
          <w:color w:val="000000" w:themeColor="text1"/>
        </w:rPr>
        <w:t>部门概况</w:t>
      </w:r>
      <w:bookmarkEnd w:id="15"/>
      <w:bookmarkEnd w:id="16"/>
      <w:bookmarkEnd w:id="18"/>
    </w:p>
    <w:p w:rsidR="004621D1" w:rsidRPr="00F925EF" w:rsidRDefault="004621D1">
      <w:pPr>
        <w:pStyle w:val="2"/>
        <w:rPr>
          <w:rStyle w:val="2Char"/>
          <w:rFonts w:ascii="仿宋" w:eastAsia="仿宋" w:hAnsi="仿宋"/>
          <w:color w:val="000000" w:themeColor="text1"/>
        </w:rPr>
      </w:pPr>
      <w:bookmarkStart w:id="19" w:name="_Toc15396600"/>
      <w:bookmarkStart w:id="20" w:name="_Toc15377197"/>
      <w:bookmarkStart w:id="21" w:name="_Toc83908211"/>
      <w:r w:rsidRPr="00F925EF">
        <w:rPr>
          <w:rFonts w:ascii="黑体" w:eastAsia="黑体" w:hAnsi="黑体" w:hint="eastAsia"/>
          <w:b w:val="0"/>
          <w:color w:val="000000" w:themeColor="text1"/>
        </w:rPr>
        <w:t>一、基</w:t>
      </w:r>
      <w:r w:rsidRPr="00F925EF">
        <w:rPr>
          <w:rStyle w:val="2Char"/>
          <w:rFonts w:ascii="黑体" w:eastAsia="黑体" w:hAnsi="黑体" w:hint="eastAsia"/>
          <w:color w:val="000000" w:themeColor="text1"/>
        </w:rPr>
        <w:t>本职能及主要工作</w:t>
      </w:r>
      <w:bookmarkEnd w:id="19"/>
      <w:bookmarkEnd w:id="20"/>
      <w:bookmarkEnd w:id="21"/>
    </w:p>
    <w:p w:rsidR="004621D1" w:rsidRPr="00F925EF" w:rsidRDefault="004621D1" w:rsidP="00981CC7">
      <w:pPr>
        <w:pStyle w:val="a3"/>
        <w:adjustRightInd w:val="0"/>
        <w:snapToGrid w:val="0"/>
        <w:spacing w:before="93" w:line="600" w:lineRule="exact"/>
        <w:ind w:firstLineChars="210" w:firstLine="672"/>
        <w:outlineLvl w:val="2"/>
        <w:rPr>
          <w:rFonts w:ascii="仿宋" w:eastAsia="仿宋" w:hAnsi="仿宋"/>
          <w:bCs/>
          <w:color w:val="000000" w:themeColor="text1"/>
          <w:sz w:val="32"/>
          <w:szCs w:val="32"/>
        </w:rPr>
      </w:pPr>
      <w:bookmarkStart w:id="22" w:name="_Toc83908212"/>
      <w:bookmarkStart w:id="23" w:name="_Toc15378445"/>
      <w:bookmarkStart w:id="24" w:name="_Toc15377198"/>
      <w:r w:rsidRPr="00F925EF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（一）主要职能</w:t>
      </w:r>
      <w:bookmarkEnd w:id="22"/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bookmarkStart w:id="25" w:name="_Toc15378446"/>
      <w:bookmarkStart w:id="26" w:name="_Toc15377199"/>
      <w:bookmarkEnd w:id="23"/>
      <w:bookmarkEnd w:id="24"/>
      <w:r w:rsidRPr="00F925EF">
        <w:rPr>
          <w:rFonts w:ascii="仿宋_GB2312" w:eastAsia="仿宋_GB2312"/>
          <w:color w:val="000000" w:themeColor="text1"/>
          <w:sz w:val="32"/>
          <w:szCs w:val="32"/>
        </w:rPr>
        <w:t>1.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深入贯彻党的路线方针政策和决策部署，统一政法各部门思想和行动，坚持党对政法工作的绝对领导，坚决维护党中央权威和集中统一领导。</w:t>
      </w:r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深入贯彻党中央决定和省委、州委决策，对政法工作提出全局性部署，推进平安阿坝建设、法治阿坝建设，加强过硬队伍建设，深化智能化建设。</w:t>
      </w:r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3.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组织开展政法领域的调查研究，研究拟订全州政法工作的政策措施，及时向州委提出建议。参与有关民族自治法规、地方性法规和规章的起草、修改工作，及时提出立法建议。</w:t>
      </w:r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4.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掌握分析政法舆情动态，指导协调政法部门媒体网络宣传工作，指导政法部门做好涉及政法工作的重大宣传和舆论引导工作。</w:t>
      </w:r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5.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监督和支持政法各部门依法行使职权，指导和协调政法各部门密切配合，研究和协调重大、疑难案件，推进严格执法、公正司法。</w:t>
      </w:r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6.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组织研究政法改革工作中带有方向性、倾向性和普遍性的重大问题，深化政法改革。</w:t>
      </w:r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7.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指导推动政法系统党的建设和政法队伍建设，协同州级有关部门管理监督政法领导干部，代管阿坝州法学会。</w:t>
      </w:r>
    </w:p>
    <w:p w:rsidR="004621D1" w:rsidRPr="00F925EF" w:rsidRDefault="004621D1" w:rsidP="00C5724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lastRenderedPageBreak/>
        <w:t>8.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完成州委交办的其他任务。</w:t>
      </w:r>
    </w:p>
    <w:p w:rsidR="004621D1" w:rsidRPr="00F925EF" w:rsidRDefault="004621D1" w:rsidP="00981CC7">
      <w:pPr>
        <w:pStyle w:val="a3"/>
        <w:adjustRightInd w:val="0"/>
        <w:snapToGrid w:val="0"/>
        <w:spacing w:before="93" w:line="600" w:lineRule="exact"/>
        <w:ind w:firstLineChars="210" w:firstLine="672"/>
        <w:outlineLvl w:val="2"/>
        <w:rPr>
          <w:rFonts w:ascii="仿宋" w:eastAsia="仿宋" w:hAnsi="仿宋"/>
          <w:bCs/>
          <w:color w:val="000000" w:themeColor="text1"/>
          <w:sz w:val="32"/>
          <w:szCs w:val="32"/>
        </w:rPr>
      </w:pPr>
      <w:bookmarkStart w:id="27" w:name="_Toc83908213"/>
      <w:r w:rsidRPr="00F925EF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（二）</w:t>
      </w:r>
      <w:r w:rsidRPr="00F925EF">
        <w:rPr>
          <w:rFonts w:ascii="仿宋" w:eastAsia="仿宋" w:hAnsi="仿宋"/>
          <w:bCs/>
          <w:color w:val="000000" w:themeColor="text1"/>
          <w:sz w:val="32"/>
          <w:szCs w:val="32"/>
        </w:rPr>
        <w:t>20</w:t>
      </w:r>
      <w:r w:rsidR="00370DBB" w:rsidRPr="00F925EF">
        <w:rPr>
          <w:rFonts w:ascii="仿宋" w:eastAsia="仿宋" w:hAnsi="仿宋" w:hint="eastAsia"/>
          <w:bCs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年重点工作完成情况</w:t>
      </w:r>
      <w:bookmarkEnd w:id="27"/>
    </w:p>
    <w:p w:rsidR="00370DBB" w:rsidRPr="00F925EF" w:rsidRDefault="00370DBB" w:rsidP="00370DBB">
      <w:pPr>
        <w:spacing w:line="560" w:lineRule="exact"/>
        <w:ind w:firstLineChars="200" w:firstLine="643"/>
        <w:rPr>
          <w:rFonts w:eastAsia="楷体_GB2312"/>
          <w:b/>
          <w:color w:val="000000" w:themeColor="text1"/>
          <w:sz w:val="32"/>
          <w:szCs w:val="32"/>
        </w:rPr>
      </w:pPr>
      <w:bookmarkStart w:id="28" w:name="_Toc15396601"/>
      <w:bookmarkStart w:id="29" w:name="_Toc15377200"/>
      <w:bookmarkEnd w:id="25"/>
      <w:bookmarkEnd w:id="26"/>
      <w:r w:rsidRPr="00F925EF">
        <w:rPr>
          <w:rFonts w:eastAsia="楷体_GB2312" w:hint="eastAsia"/>
          <w:b/>
          <w:color w:val="000000" w:themeColor="text1"/>
          <w:sz w:val="32"/>
          <w:szCs w:val="32"/>
        </w:rPr>
        <w:t>1.</w:t>
      </w:r>
      <w:r w:rsidRPr="00F925EF">
        <w:rPr>
          <w:rFonts w:eastAsia="楷体_GB2312"/>
          <w:b/>
          <w:color w:val="000000" w:themeColor="text1"/>
          <w:sz w:val="32"/>
          <w:szCs w:val="32"/>
        </w:rPr>
        <w:t>科学理论武装与时俱进，接续奋斗注入新动能。</w:t>
      </w:r>
    </w:p>
    <w:p w:rsidR="00370DBB" w:rsidRPr="00F925EF" w:rsidRDefault="00370DBB" w:rsidP="00370DBB">
      <w:pPr>
        <w:spacing w:line="56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F925EF">
        <w:rPr>
          <w:rFonts w:eastAsia="仿宋_GB2312"/>
          <w:color w:val="000000" w:themeColor="text1"/>
          <w:sz w:val="32"/>
          <w:szCs w:val="32"/>
        </w:rPr>
        <w:t>始终</w:t>
      </w:r>
      <w:r w:rsidRPr="00F925EF">
        <w:rPr>
          <w:rFonts w:eastAsia="仿宋_GB2312"/>
          <w:color w:val="000000" w:themeColor="text1"/>
          <w:kern w:val="0"/>
          <w:sz w:val="32"/>
          <w:szCs w:val="32"/>
        </w:rPr>
        <w:t>把思想政治建设摆在突出位置，常态化开展习近平新时代中国特色社会主义思想学习，坚定坚决贯彻党的十九届四中全会和省委十一届六次、七次全会和州委十一届八次、九次全会精神，加强理论武装、锤炼党性修养、保持斗争意志，全面落实从严管党治警政治责任，</w:t>
      </w:r>
      <w:r w:rsidRPr="00F925EF">
        <w:rPr>
          <w:rFonts w:eastAsia="仿宋_GB2312"/>
          <w:color w:val="000000" w:themeColor="text1"/>
          <w:sz w:val="32"/>
          <w:szCs w:val="32"/>
        </w:rPr>
        <w:t>提请州委常委会研究重大事项、重要工作</w:t>
      </w:r>
      <w:r w:rsidRPr="00F925EF">
        <w:rPr>
          <w:rFonts w:eastAsia="仿宋_GB2312"/>
          <w:color w:val="000000" w:themeColor="text1"/>
          <w:sz w:val="32"/>
          <w:szCs w:val="32"/>
        </w:rPr>
        <w:t>6</w:t>
      </w:r>
      <w:r w:rsidRPr="00F925EF">
        <w:rPr>
          <w:rFonts w:eastAsia="仿宋_GB2312"/>
          <w:color w:val="000000" w:themeColor="text1"/>
          <w:sz w:val="32"/>
          <w:szCs w:val="32"/>
        </w:rPr>
        <w:t>次，确保党对政法工作的绝对领导。</w:t>
      </w:r>
      <w:r w:rsidRPr="00F925EF">
        <w:rPr>
          <w:rFonts w:eastAsia="仿宋_GB2312"/>
          <w:color w:val="000000" w:themeColor="text1"/>
          <w:kern w:val="0"/>
          <w:sz w:val="32"/>
          <w:szCs w:val="32"/>
        </w:rPr>
        <w:t>坚持把学习贯彻《中国共产党政法工作条例》贯穿到政法工作全过程各方面，通过举办政法系统干部专题党课辅导，组织政治轮训、课题调研等活动，引导政法干警做好打硬仗、打恶仗的思想准备，</w:t>
      </w:r>
      <w:r w:rsidRPr="00F925EF">
        <w:rPr>
          <w:rFonts w:eastAsia="仿宋_GB2312"/>
          <w:color w:val="000000" w:themeColor="text1"/>
          <w:sz w:val="32"/>
          <w:szCs w:val="32"/>
        </w:rPr>
        <w:t>政法系统</w:t>
      </w:r>
      <w:r w:rsidRPr="00F925EF">
        <w:rPr>
          <w:rFonts w:eastAsia="仿宋_GB2312"/>
          <w:color w:val="000000" w:themeColor="text1"/>
          <w:kern w:val="0"/>
          <w:sz w:val="32"/>
          <w:szCs w:val="32"/>
        </w:rPr>
        <w:t>绝对忠诚的思想根基更加牢固。</w:t>
      </w:r>
    </w:p>
    <w:p w:rsidR="00370DBB" w:rsidRPr="00F925EF" w:rsidRDefault="00370DBB" w:rsidP="00370DBB">
      <w:pPr>
        <w:spacing w:line="560" w:lineRule="exact"/>
        <w:ind w:firstLineChars="200" w:firstLine="643"/>
        <w:rPr>
          <w:rFonts w:eastAsia="楷体_GB2312"/>
          <w:b/>
          <w:color w:val="000000" w:themeColor="text1"/>
          <w:sz w:val="32"/>
          <w:szCs w:val="32"/>
        </w:rPr>
      </w:pPr>
      <w:r w:rsidRPr="00F925EF">
        <w:rPr>
          <w:rFonts w:eastAsia="楷体_GB2312" w:hint="eastAsia"/>
          <w:b/>
          <w:color w:val="000000" w:themeColor="text1"/>
          <w:sz w:val="32"/>
          <w:szCs w:val="32"/>
        </w:rPr>
        <w:t>2.</w:t>
      </w:r>
      <w:r w:rsidRPr="00F925EF">
        <w:rPr>
          <w:rFonts w:eastAsia="楷体_GB2312"/>
          <w:b/>
          <w:color w:val="000000" w:themeColor="text1"/>
          <w:sz w:val="32"/>
          <w:szCs w:val="32"/>
        </w:rPr>
        <w:t>维护政治安全渐成体系，反分维稳实现新突破。</w:t>
      </w:r>
    </w:p>
    <w:p w:rsidR="00370DBB" w:rsidRPr="00F925EF" w:rsidRDefault="00370DBB" w:rsidP="00370DBB">
      <w:pPr>
        <w:spacing w:line="560" w:lineRule="exact"/>
        <w:ind w:firstLineChars="200" w:firstLine="643"/>
        <w:rPr>
          <w:rFonts w:eastAsia="楷体_GB2312"/>
          <w:b/>
          <w:color w:val="000000" w:themeColor="text1"/>
          <w:sz w:val="32"/>
          <w:szCs w:val="32"/>
        </w:rPr>
      </w:pPr>
      <w:r w:rsidRPr="00F925EF">
        <w:rPr>
          <w:rFonts w:eastAsia="楷体_GB2312" w:hint="eastAsia"/>
          <w:b/>
          <w:color w:val="000000" w:themeColor="text1"/>
          <w:sz w:val="32"/>
          <w:szCs w:val="32"/>
        </w:rPr>
        <w:t>3.</w:t>
      </w:r>
      <w:r w:rsidRPr="00F925EF">
        <w:rPr>
          <w:rFonts w:eastAsia="楷体_GB2312"/>
          <w:b/>
          <w:color w:val="000000" w:themeColor="text1"/>
          <w:sz w:val="32"/>
          <w:szCs w:val="32"/>
        </w:rPr>
        <w:t>扫黑除恶治乱纵深突进，厉行法治收获新战果。</w:t>
      </w:r>
    </w:p>
    <w:p w:rsidR="00370DBB" w:rsidRPr="00F925EF" w:rsidRDefault="00370DBB" w:rsidP="00370DBB">
      <w:pPr>
        <w:spacing w:line="560" w:lineRule="exact"/>
        <w:ind w:firstLineChars="200" w:firstLine="643"/>
        <w:rPr>
          <w:rFonts w:eastAsia="楷体_GB2312"/>
          <w:b/>
          <w:color w:val="000000" w:themeColor="text1"/>
          <w:sz w:val="32"/>
          <w:szCs w:val="32"/>
        </w:rPr>
      </w:pPr>
      <w:r w:rsidRPr="00F925EF">
        <w:rPr>
          <w:rFonts w:eastAsia="楷体_GB2312" w:hint="eastAsia"/>
          <w:b/>
          <w:color w:val="000000" w:themeColor="text1"/>
          <w:sz w:val="32"/>
          <w:szCs w:val="32"/>
        </w:rPr>
        <w:t>4.</w:t>
      </w:r>
      <w:r w:rsidRPr="00F925EF">
        <w:rPr>
          <w:rFonts w:eastAsia="楷体_GB2312"/>
          <w:b/>
          <w:color w:val="000000" w:themeColor="text1"/>
          <w:sz w:val="32"/>
          <w:szCs w:val="32"/>
        </w:rPr>
        <w:t>基层社会治理成效显著，平安建设迈出新步伐。</w:t>
      </w:r>
    </w:p>
    <w:p w:rsidR="00370DBB" w:rsidRPr="00F925EF" w:rsidRDefault="00370DBB" w:rsidP="00370DBB">
      <w:pPr>
        <w:spacing w:line="560" w:lineRule="exact"/>
        <w:ind w:firstLineChars="200" w:firstLine="643"/>
        <w:rPr>
          <w:rFonts w:eastAsia="楷体_GB2312"/>
          <w:b/>
          <w:color w:val="000000" w:themeColor="text1"/>
          <w:sz w:val="32"/>
          <w:szCs w:val="32"/>
        </w:rPr>
      </w:pPr>
      <w:r w:rsidRPr="00F925EF">
        <w:rPr>
          <w:rFonts w:eastAsia="楷体_GB2312" w:hint="eastAsia"/>
          <w:b/>
          <w:color w:val="000000" w:themeColor="text1"/>
          <w:sz w:val="32"/>
          <w:szCs w:val="32"/>
        </w:rPr>
        <w:t>5.</w:t>
      </w:r>
      <w:r w:rsidRPr="00F925EF">
        <w:rPr>
          <w:rFonts w:eastAsia="楷体_GB2312"/>
          <w:b/>
          <w:color w:val="000000" w:themeColor="text1"/>
          <w:sz w:val="32"/>
          <w:szCs w:val="32"/>
        </w:rPr>
        <w:t>政法领域改革全面深化，政法工作开创新气象。</w:t>
      </w:r>
    </w:p>
    <w:p w:rsidR="00370DBB" w:rsidRPr="00F925EF" w:rsidRDefault="00370DBB" w:rsidP="00370DBB">
      <w:pPr>
        <w:spacing w:line="56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F925EF">
        <w:rPr>
          <w:rFonts w:eastAsia="仿宋_GB2312"/>
          <w:color w:val="000000" w:themeColor="text1"/>
          <w:sz w:val="32"/>
          <w:szCs w:val="32"/>
        </w:rPr>
        <w:t>坚持以全面落实《中国共产党政法工作条例》为遵循，主动承接中央、省委改革部署，稳步推进司法行政改革、法官检察官单独序列配套改革、司法责任制改革、大数据职能辅助办案系统建设、刑事诉讼涉案财物管理处置等改革工作，如期完成全州森林公安系统隶转工作，政法机关职能设置、工作体系全面优化。各级综治中心实战化、州县法学会实体化建设蹄疾步稳，智慧政法建设全面提速，政法宣传矩阵效</w:t>
      </w:r>
      <w:r w:rsidRPr="00F925EF">
        <w:rPr>
          <w:rFonts w:eastAsia="仿宋_GB2312"/>
          <w:color w:val="000000" w:themeColor="text1"/>
          <w:sz w:val="32"/>
          <w:szCs w:val="32"/>
        </w:rPr>
        <w:lastRenderedPageBreak/>
        <w:t>能日益凸显，党对政法工作的绝对领导显著加强，工作效能大幅提升。</w:t>
      </w:r>
    </w:p>
    <w:p w:rsidR="00370DBB" w:rsidRPr="00F925EF" w:rsidRDefault="00370DBB" w:rsidP="00370DBB">
      <w:pPr>
        <w:spacing w:line="560" w:lineRule="exact"/>
        <w:ind w:firstLineChars="200" w:firstLine="643"/>
        <w:rPr>
          <w:rFonts w:eastAsia="楷体_GB2312"/>
          <w:b/>
          <w:color w:val="000000" w:themeColor="text1"/>
          <w:sz w:val="32"/>
          <w:szCs w:val="32"/>
        </w:rPr>
      </w:pPr>
      <w:r w:rsidRPr="00F925EF">
        <w:rPr>
          <w:rFonts w:eastAsia="楷体_GB2312" w:hint="eastAsia"/>
          <w:b/>
          <w:color w:val="000000" w:themeColor="text1"/>
          <w:sz w:val="32"/>
          <w:szCs w:val="32"/>
        </w:rPr>
        <w:t>6.</w:t>
      </w:r>
      <w:r w:rsidRPr="00F925EF">
        <w:rPr>
          <w:rFonts w:eastAsia="楷体_GB2312"/>
          <w:b/>
          <w:color w:val="000000" w:themeColor="text1"/>
          <w:sz w:val="32"/>
          <w:szCs w:val="32"/>
        </w:rPr>
        <w:t>从严治党管警深入推进，政法队伍展现新面貌。</w:t>
      </w:r>
    </w:p>
    <w:p w:rsidR="00370DBB" w:rsidRPr="00F925EF" w:rsidRDefault="00370DBB" w:rsidP="00370DBB">
      <w:pPr>
        <w:spacing w:line="56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F925EF">
        <w:rPr>
          <w:rFonts w:eastAsia="仿宋_GB2312"/>
          <w:color w:val="000000" w:themeColor="text1"/>
          <w:sz w:val="32"/>
          <w:szCs w:val="32"/>
        </w:rPr>
        <w:t>坚持以</w:t>
      </w:r>
      <w:r w:rsidRPr="00F925EF">
        <w:rPr>
          <w:rFonts w:eastAsia="仿宋_GB2312"/>
          <w:color w:val="000000" w:themeColor="text1"/>
          <w:sz w:val="32"/>
          <w:szCs w:val="32"/>
        </w:rPr>
        <w:t>“</w:t>
      </w:r>
      <w:r w:rsidRPr="00F925EF">
        <w:rPr>
          <w:rFonts w:eastAsia="仿宋_GB2312"/>
          <w:color w:val="000000" w:themeColor="text1"/>
          <w:sz w:val="32"/>
          <w:szCs w:val="32"/>
        </w:rPr>
        <w:t>不忘初心、牢记使命</w:t>
      </w:r>
      <w:r w:rsidRPr="00F925EF">
        <w:rPr>
          <w:rFonts w:eastAsia="仿宋_GB2312"/>
          <w:color w:val="000000" w:themeColor="text1"/>
          <w:sz w:val="32"/>
          <w:szCs w:val="32"/>
        </w:rPr>
        <w:t>”</w:t>
      </w:r>
      <w:r w:rsidRPr="00F925EF">
        <w:rPr>
          <w:rFonts w:eastAsia="仿宋_GB2312"/>
          <w:color w:val="000000" w:themeColor="text1"/>
          <w:sz w:val="32"/>
          <w:szCs w:val="32"/>
        </w:rPr>
        <w:t>主题教育常态化牵引思想政治工作，严格落实重大事项请示报告、政治巡查督察等制度机制，主动发挥干部协管工作，审批任免政法系统科级干部</w:t>
      </w:r>
      <w:r w:rsidRPr="00F925EF">
        <w:rPr>
          <w:rFonts w:eastAsia="仿宋_GB2312"/>
          <w:color w:val="000000" w:themeColor="text1"/>
          <w:sz w:val="32"/>
          <w:szCs w:val="32"/>
        </w:rPr>
        <w:t>108</w:t>
      </w:r>
      <w:r w:rsidRPr="00F925EF">
        <w:rPr>
          <w:rFonts w:eastAsia="仿宋_GB2312"/>
          <w:color w:val="000000" w:themeColor="text1"/>
          <w:sz w:val="32"/>
          <w:szCs w:val="32"/>
        </w:rPr>
        <w:t>人次，完成</w:t>
      </w:r>
      <w:r w:rsidRPr="00F925EF">
        <w:rPr>
          <w:rFonts w:eastAsia="仿宋_GB2312"/>
          <w:color w:val="000000" w:themeColor="text1"/>
          <w:sz w:val="32"/>
          <w:szCs w:val="32"/>
        </w:rPr>
        <w:t>174</w:t>
      </w:r>
      <w:r w:rsidRPr="00F925EF">
        <w:rPr>
          <w:rFonts w:eastAsia="仿宋_GB2312"/>
          <w:color w:val="000000" w:themeColor="text1"/>
          <w:sz w:val="32"/>
          <w:szCs w:val="32"/>
        </w:rPr>
        <w:t>名乡镇政法委员配备和州法院和州检察院</w:t>
      </w:r>
      <w:r w:rsidRPr="00F925EF">
        <w:rPr>
          <w:rFonts w:eastAsia="仿宋_GB2312"/>
          <w:color w:val="000000" w:themeColor="text1"/>
          <w:sz w:val="32"/>
          <w:szCs w:val="32"/>
        </w:rPr>
        <w:t>20</w:t>
      </w:r>
      <w:r w:rsidRPr="00F925EF">
        <w:rPr>
          <w:rFonts w:eastAsia="仿宋_GB2312"/>
          <w:color w:val="000000" w:themeColor="text1"/>
          <w:sz w:val="32"/>
          <w:szCs w:val="32"/>
        </w:rPr>
        <w:t>名聘用制书记员聘用工作。深化正风肃纪，刀刃向内、刮骨疗毒，以零容忍态度</w:t>
      </w:r>
      <w:r w:rsidRPr="00F925EF">
        <w:rPr>
          <w:rFonts w:eastAsia="仿宋_GB2312"/>
          <w:color w:val="000000" w:themeColor="text1"/>
          <w:kern w:val="0"/>
          <w:sz w:val="32"/>
          <w:szCs w:val="32"/>
        </w:rPr>
        <w:t>依纪依法处理政法干警</w:t>
      </w:r>
      <w:r w:rsidRPr="00F925EF">
        <w:rPr>
          <w:rFonts w:eastAsia="仿宋_GB2312"/>
          <w:color w:val="000000" w:themeColor="text1"/>
          <w:kern w:val="0"/>
          <w:sz w:val="32"/>
          <w:szCs w:val="32"/>
        </w:rPr>
        <w:t>17</w:t>
      </w:r>
      <w:r w:rsidRPr="00F925EF">
        <w:rPr>
          <w:rFonts w:eastAsia="仿宋_GB2312"/>
          <w:color w:val="000000" w:themeColor="text1"/>
          <w:kern w:val="0"/>
          <w:sz w:val="32"/>
          <w:szCs w:val="32"/>
        </w:rPr>
        <w:t>名，</w:t>
      </w:r>
      <w:r w:rsidRPr="00F925EF">
        <w:rPr>
          <w:rFonts w:eastAsia="仿宋_GB2312"/>
          <w:color w:val="000000" w:themeColor="text1"/>
          <w:sz w:val="32"/>
          <w:szCs w:val="32"/>
        </w:rPr>
        <w:t>确保队伍绝对忠诚可靠。广大政法干警尽忠职守、无私奉献，在反分维稳、风险防控、抢险救灾中舍生忘死、冲锋在前，涌现了</w:t>
      </w:r>
      <w:r w:rsidRPr="00F925EF">
        <w:rPr>
          <w:rFonts w:eastAsia="仿宋_GB2312"/>
          <w:color w:val="000000" w:themeColor="text1"/>
          <w:spacing w:val="6"/>
          <w:sz w:val="32"/>
          <w:szCs w:val="32"/>
        </w:rPr>
        <w:t>阿真能周、宋飞等一批先进典型、</w:t>
      </w:r>
      <w:r w:rsidRPr="00F925EF">
        <w:rPr>
          <w:rFonts w:eastAsia="仿宋_GB2312"/>
          <w:color w:val="000000" w:themeColor="text1"/>
          <w:sz w:val="32"/>
          <w:szCs w:val="32"/>
        </w:rPr>
        <w:t>得到了上级的肯定和群众的认可。</w:t>
      </w:r>
    </w:p>
    <w:p w:rsidR="004621D1" w:rsidRPr="00F925EF" w:rsidRDefault="004621D1">
      <w:pPr>
        <w:pStyle w:val="2"/>
        <w:rPr>
          <w:rStyle w:val="2Char"/>
          <w:color w:val="000000" w:themeColor="text1"/>
        </w:rPr>
      </w:pPr>
      <w:bookmarkStart w:id="30" w:name="_Toc83908214"/>
      <w:r w:rsidRPr="00F925EF">
        <w:rPr>
          <w:rFonts w:ascii="黑体" w:eastAsia="黑体" w:hint="eastAsia"/>
          <w:b w:val="0"/>
          <w:color w:val="000000" w:themeColor="text1"/>
        </w:rPr>
        <w:t>二、</w:t>
      </w:r>
      <w:r w:rsidRPr="00F925EF">
        <w:rPr>
          <w:rFonts w:ascii="黑体" w:eastAsia="黑体" w:hAnsi="黑体" w:hint="eastAsia"/>
          <w:b w:val="0"/>
          <w:color w:val="000000" w:themeColor="text1"/>
        </w:rPr>
        <w:t>机</w:t>
      </w:r>
      <w:r w:rsidRPr="00F925EF">
        <w:rPr>
          <w:rStyle w:val="2Char"/>
          <w:rFonts w:ascii="黑体" w:eastAsia="黑体" w:hAnsi="黑体" w:hint="eastAsia"/>
          <w:color w:val="000000" w:themeColor="text1"/>
        </w:rPr>
        <w:t>构设置</w:t>
      </w:r>
      <w:bookmarkEnd w:id="28"/>
      <w:bookmarkEnd w:id="29"/>
      <w:bookmarkEnd w:id="30"/>
    </w:p>
    <w:p w:rsidR="004621D1" w:rsidRPr="00F925EF" w:rsidRDefault="004621D1" w:rsidP="00981CC7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州委政法委属一级预算单位，无下属二级预算单位。内设</w:t>
      </w:r>
      <w:smartTag w:uri="Tencent" w:element="RTX">
        <w:r w:rsidRPr="00F925EF">
          <w:rPr>
            <w:rFonts w:ascii="仿宋_GB2312" w:eastAsia="仿宋_GB2312" w:hint="eastAsia"/>
            <w:color w:val="000000" w:themeColor="text1"/>
            <w:sz w:val="32"/>
            <w:szCs w:val="32"/>
          </w:rPr>
          <w:t>办公室</w:t>
        </w:r>
      </w:smartTag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、州委维护稳定指挥部办公室、维稳指导科、综治督导科、基层社会治理科、矛盾多元化解指导科、法治与执法监督科、宣传科、政治部、组织建设科、纪律作风建设科。行政编制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名，工勤编制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名；在职人员总数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26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人，其中行政人员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人，机关工勤人员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7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人。</w:t>
      </w:r>
    </w:p>
    <w:p w:rsidR="004621D1" w:rsidRPr="00F925EF" w:rsidRDefault="004621D1">
      <w:pPr>
        <w:widowControl/>
        <w:jc w:val="left"/>
        <w:rPr>
          <w:rFonts w:ascii="仿宋" w:eastAsia="仿宋" w:hAnsi="仿宋"/>
          <w:color w:val="000000" w:themeColor="text1"/>
          <w:kern w:val="0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br w:type="page"/>
      </w:r>
    </w:p>
    <w:p w:rsidR="004621D1" w:rsidRPr="00F925EF" w:rsidRDefault="004621D1">
      <w:pPr>
        <w:pStyle w:val="1"/>
        <w:ind w:right="440"/>
        <w:jc w:val="right"/>
        <w:rPr>
          <w:rStyle w:val="1Char"/>
          <w:rFonts w:ascii="黑体" w:eastAsia="黑体" w:hAnsi="黑体"/>
          <w:color w:val="000000" w:themeColor="text1"/>
        </w:rPr>
      </w:pPr>
      <w:bookmarkStart w:id="31" w:name="_Toc15377204"/>
      <w:bookmarkStart w:id="32" w:name="_Toc15396602"/>
      <w:bookmarkStart w:id="33" w:name="_Toc83908215"/>
      <w:r w:rsidRPr="00F925EF">
        <w:rPr>
          <w:rFonts w:ascii="黑体" w:eastAsia="黑体" w:hAnsi="黑体" w:hint="eastAsia"/>
          <w:b w:val="0"/>
          <w:color w:val="000000" w:themeColor="text1"/>
        </w:rPr>
        <w:lastRenderedPageBreak/>
        <w:t>第二部分</w:t>
      </w:r>
      <w:r w:rsidRPr="00F925EF">
        <w:rPr>
          <w:rFonts w:ascii="黑体" w:eastAsia="黑体" w:hAnsi="黑体"/>
          <w:color w:val="000000" w:themeColor="text1"/>
        </w:rPr>
        <w:t xml:space="preserve"> </w:t>
      </w:r>
      <w:r w:rsidRPr="00F925EF">
        <w:rPr>
          <w:rStyle w:val="1Char"/>
          <w:rFonts w:ascii="黑体" w:eastAsia="黑体" w:hAnsi="黑体"/>
          <w:color w:val="000000" w:themeColor="text1"/>
        </w:rPr>
        <w:t>20</w:t>
      </w:r>
      <w:r w:rsidR="00437AF8" w:rsidRPr="00F925EF">
        <w:rPr>
          <w:rStyle w:val="1Char"/>
          <w:rFonts w:ascii="黑体" w:eastAsia="黑体" w:hAnsi="黑体" w:hint="eastAsia"/>
          <w:color w:val="000000" w:themeColor="text1"/>
        </w:rPr>
        <w:t>20</w:t>
      </w:r>
      <w:r w:rsidRPr="00F925EF">
        <w:rPr>
          <w:rStyle w:val="1Char"/>
          <w:rFonts w:ascii="黑体" w:eastAsia="黑体" w:hAnsi="黑体" w:hint="eastAsia"/>
          <w:color w:val="000000" w:themeColor="text1"/>
        </w:rPr>
        <w:t>年度部门决算情况说明</w:t>
      </w:r>
      <w:bookmarkEnd w:id="31"/>
      <w:bookmarkEnd w:id="32"/>
      <w:bookmarkEnd w:id="33"/>
    </w:p>
    <w:p w:rsidR="004621D1" w:rsidRPr="00F925EF" w:rsidRDefault="004621D1">
      <w:pPr>
        <w:rPr>
          <w:color w:val="000000" w:themeColor="text1"/>
        </w:rPr>
      </w:pPr>
    </w:p>
    <w:p w:rsidR="004621D1" w:rsidRPr="00F925EF" w:rsidRDefault="004621D1">
      <w:pPr>
        <w:pStyle w:val="a9"/>
        <w:numPr>
          <w:ilvl w:val="0"/>
          <w:numId w:val="2"/>
        </w:numPr>
        <w:spacing w:line="600" w:lineRule="exact"/>
        <w:ind w:firstLineChars="0"/>
        <w:outlineLvl w:val="1"/>
        <w:rPr>
          <w:rStyle w:val="2Char"/>
          <w:rFonts w:ascii="黑体" w:eastAsia="黑体" w:hAnsi="黑体"/>
          <w:b w:val="0"/>
          <w:color w:val="000000" w:themeColor="text1"/>
        </w:rPr>
      </w:pPr>
      <w:bookmarkStart w:id="34" w:name="_Toc15377205"/>
      <w:bookmarkStart w:id="35" w:name="_Toc15396603"/>
      <w:bookmarkStart w:id="36" w:name="_Toc83908216"/>
      <w:r w:rsidRPr="00F925EF">
        <w:rPr>
          <w:rFonts w:ascii="黑体" w:eastAsia="黑体" w:hAnsi="黑体" w:hint="eastAsia"/>
          <w:color w:val="000000" w:themeColor="text1"/>
          <w:sz w:val="32"/>
          <w:szCs w:val="32"/>
        </w:rPr>
        <w:t>收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入支出决算总体情况说明</w:t>
      </w:r>
      <w:bookmarkEnd w:id="34"/>
      <w:bookmarkEnd w:id="35"/>
      <w:bookmarkEnd w:id="36"/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437AF8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年度收、支总计</w:t>
      </w:r>
      <w:r w:rsidR="00361C30" w:rsidRPr="00F925EF">
        <w:rPr>
          <w:rFonts w:ascii="仿宋" w:eastAsia="仿宋" w:hAnsi="仿宋"/>
          <w:color w:val="000000" w:themeColor="text1"/>
          <w:sz w:val="32"/>
          <w:szCs w:val="32"/>
        </w:rPr>
        <w:t>2057.4</w:t>
      </w:r>
      <w:r w:rsidR="00361C30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万元。与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201</w:t>
      </w:r>
      <w:r w:rsidR="00361C30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年相比，收、支总计各增加</w:t>
      </w:r>
      <w:r w:rsidR="00361C30" w:rsidRPr="00F925EF">
        <w:rPr>
          <w:rFonts w:ascii="仿宋" w:eastAsia="仿宋" w:hAnsi="仿宋"/>
          <w:color w:val="000000" w:themeColor="text1"/>
          <w:sz w:val="32"/>
          <w:szCs w:val="32"/>
        </w:rPr>
        <w:t>112.94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万元，增长</w:t>
      </w:r>
      <w:r w:rsidR="00361C30" w:rsidRPr="00F925EF">
        <w:rPr>
          <w:rFonts w:ascii="仿宋" w:eastAsia="仿宋" w:hAnsi="仿宋"/>
          <w:color w:val="000000" w:themeColor="text1"/>
          <w:sz w:val="32"/>
          <w:szCs w:val="32"/>
        </w:rPr>
        <w:t>5.81%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。主要变动原因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是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201</w:t>
      </w:r>
      <w:r w:rsidR="00361C30" w:rsidRPr="00F925EF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年的财政应返还额度为</w:t>
      </w:r>
      <w:r w:rsidR="00361C30" w:rsidRPr="00F925EF">
        <w:rPr>
          <w:rFonts w:ascii="仿宋_GB2312" w:eastAsia="仿宋_GB2312"/>
          <w:color w:val="000000" w:themeColor="text1"/>
          <w:sz w:val="32"/>
          <w:szCs w:val="32"/>
        </w:rPr>
        <w:t>536.52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</w:t>
      </w: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（图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1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：收、支决算总计变动情况图）（柱状图）</w:t>
      </w: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FB5C5A" w:rsidP="00981CC7">
      <w:pPr>
        <w:spacing w:line="600" w:lineRule="exact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noProof/>
          <w:color w:val="000000" w:themeColor="text1"/>
        </w:rPr>
        <w:drawing>
          <wp:anchor distT="316992" distB="340487" distL="370332" distR="293370" simplePos="0" relativeHeight="251657216" behindDoc="1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211455</wp:posOffset>
            </wp:positionV>
            <wp:extent cx="3681730" cy="780415"/>
            <wp:effectExtent l="0" t="1905" r="6350" b="0"/>
            <wp:wrapNone/>
            <wp:docPr id="2" name="对象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</w:p>
    <w:p w:rsidR="004621D1" w:rsidRPr="00F925EF" w:rsidRDefault="004621D1">
      <w:pPr>
        <w:pStyle w:val="a9"/>
        <w:numPr>
          <w:ilvl w:val="0"/>
          <w:numId w:val="2"/>
        </w:numPr>
        <w:spacing w:line="600" w:lineRule="exact"/>
        <w:ind w:firstLineChars="0"/>
        <w:outlineLvl w:val="1"/>
        <w:rPr>
          <w:rStyle w:val="2Char"/>
          <w:rFonts w:ascii="黑体" w:eastAsia="黑体" w:hAnsi="黑体"/>
          <w:b w:val="0"/>
          <w:color w:val="000000" w:themeColor="text1"/>
        </w:rPr>
      </w:pPr>
      <w:bookmarkStart w:id="37" w:name="_Toc15396604"/>
      <w:bookmarkStart w:id="38" w:name="_Toc15377206"/>
      <w:bookmarkStart w:id="39" w:name="_Toc83908217"/>
      <w:r w:rsidRPr="00F925EF">
        <w:rPr>
          <w:rFonts w:ascii="黑体" w:eastAsia="黑体" w:hAnsi="黑体" w:hint="eastAsia"/>
          <w:color w:val="000000" w:themeColor="text1"/>
          <w:sz w:val="32"/>
          <w:szCs w:val="32"/>
        </w:rPr>
        <w:t>收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入决算情况说明</w:t>
      </w:r>
      <w:bookmarkEnd w:id="37"/>
      <w:bookmarkEnd w:id="38"/>
      <w:bookmarkEnd w:id="39"/>
    </w:p>
    <w:p w:rsidR="004621D1" w:rsidRPr="00F925EF" w:rsidRDefault="004621D1" w:rsidP="00981CC7">
      <w:pPr>
        <w:spacing w:line="600" w:lineRule="exact"/>
        <w:ind w:firstLineChars="200" w:firstLine="640"/>
        <w:outlineLvl w:val="1"/>
        <w:rPr>
          <w:rFonts w:ascii="仿宋" w:eastAsia="仿宋" w:hAnsi="仿宋"/>
          <w:color w:val="000000" w:themeColor="text1"/>
          <w:sz w:val="32"/>
          <w:szCs w:val="32"/>
        </w:rPr>
      </w:pPr>
      <w:bookmarkStart w:id="40" w:name="_Toc83908218"/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566E5C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年本年收入合计</w:t>
      </w:r>
      <w:r w:rsidR="00566E5C" w:rsidRPr="00F925EF">
        <w:rPr>
          <w:rFonts w:ascii="仿宋" w:eastAsia="仿宋" w:hAnsi="仿宋"/>
          <w:color w:val="000000" w:themeColor="text1"/>
          <w:sz w:val="32"/>
          <w:szCs w:val="32"/>
        </w:rPr>
        <w:t>1520.88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万元，其中：一般公共预算财政拨款收入</w:t>
      </w:r>
      <w:r w:rsidR="00566E5C" w:rsidRPr="00F925EF">
        <w:rPr>
          <w:rFonts w:ascii="仿宋" w:eastAsia="仿宋" w:hAnsi="仿宋"/>
          <w:color w:val="000000" w:themeColor="text1"/>
          <w:sz w:val="32"/>
          <w:szCs w:val="32"/>
        </w:rPr>
        <w:t>1520.88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100.00%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；政府性基金预算财政拨款收入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；上级补助收入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；事业收入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；经营收入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；附属单位上缴收入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；其他收入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bookmarkEnd w:id="40"/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（图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2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：收入决算结构图）（饼状图）</w:t>
      </w: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anchor distT="1402080" distB="1384173" distL="2863596" distR="118872" simplePos="0" relativeHeight="251656192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-478155</wp:posOffset>
            </wp:positionV>
            <wp:extent cx="4660900" cy="1143000"/>
            <wp:effectExtent l="19050" t="0" r="0" b="0"/>
            <wp:wrapNone/>
            <wp:docPr id="3" name="对象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134FA6" w:rsidRPr="00F925EF" w:rsidRDefault="00134FA6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tabs>
          <w:tab w:val="left" w:pos="5220"/>
        </w:tabs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tab/>
      </w:r>
    </w:p>
    <w:p w:rsidR="004621D1" w:rsidRPr="00F925EF" w:rsidRDefault="004621D1">
      <w:pPr>
        <w:pStyle w:val="a9"/>
        <w:numPr>
          <w:ilvl w:val="0"/>
          <w:numId w:val="2"/>
        </w:numPr>
        <w:spacing w:line="600" w:lineRule="exact"/>
        <w:ind w:firstLineChars="0"/>
        <w:outlineLvl w:val="1"/>
        <w:rPr>
          <w:rStyle w:val="2Char"/>
          <w:rFonts w:ascii="黑体" w:eastAsia="黑体" w:hAnsi="黑体"/>
          <w:b w:val="0"/>
          <w:color w:val="000000" w:themeColor="text1"/>
        </w:rPr>
      </w:pPr>
      <w:bookmarkStart w:id="41" w:name="_Toc15377207"/>
      <w:bookmarkStart w:id="42" w:name="_Toc15396605"/>
      <w:bookmarkStart w:id="43" w:name="_Toc83908219"/>
      <w:r w:rsidRPr="00F925EF">
        <w:rPr>
          <w:rFonts w:ascii="黑体" w:eastAsia="黑体" w:hAnsi="黑体" w:hint="eastAsia"/>
          <w:color w:val="000000" w:themeColor="text1"/>
          <w:sz w:val="32"/>
          <w:szCs w:val="32"/>
        </w:rPr>
        <w:t>支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出决算情况说明</w:t>
      </w:r>
      <w:bookmarkEnd w:id="41"/>
      <w:bookmarkEnd w:id="42"/>
      <w:bookmarkEnd w:id="43"/>
    </w:p>
    <w:p w:rsidR="004621D1" w:rsidRPr="00F925EF" w:rsidRDefault="004621D1" w:rsidP="00981CC7">
      <w:pPr>
        <w:spacing w:line="600" w:lineRule="exact"/>
        <w:ind w:firstLineChars="200" w:firstLine="640"/>
        <w:outlineLvl w:val="1"/>
        <w:rPr>
          <w:rFonts w:ascii="仿宋" w:eastAsia="仿宋" w:hAnsi="仿宋"/>
          <w:color w:val="000000" w:themeColor="text1"/>
          <w:sz w:val="32"/>
          <w:szCs w:val="32"/>
        </w:rPr>
      </w:pPr>
      <w:bookmarkStart w:id="44" w:name="_Toc83908220"/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7D3A9C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年本年支出合计</w:t>
      </w:r>
      <w:r w:rsidR="007D3A9C" w:rsidRPr="00F925EF">
        <w:rPr>
          <w:rFonts w:ascii="仿宋" w:eastAsia="仿宋" w:hAnsi="仿宋"/>
          <w:color w:val="000000" w:themeColor="text1"/>
          <w:sz w:val="32"/>
          <w:szCs w:val="32"/>
        </w:rPr>
        <w:t>1820.76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万元，其中：基本支出</w:t>
      </w:r>
      <w:r w:rsidR="007D3A9C" w:rsidRPr="00F925EF">
        <w:rPr>
          <w:rFonts w:ascii="仿宋" w:eastAsia="仿宋" w:hAnsi="仿宋"/>
          <w:color w:val="000000" w:themeColor="text1"/>
          <w:sz w:val="32"/>
          <w:szCs w:val="32"/>
        </w:rPr>
        <w:t>1199.34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7D3A9C" w:rsidRPr="00F925EF">
        <w:rPr>
          <w:rFonts w:ascii="仿宋" w:eastAsia="仿宋" w:hAnsi="仿宋"/>
          <w:color w:val="000000" w:themeColor="text1"/>
          <w:sz w:val="32"/>
          <w:szCs w:val="32"/>
        </w:rPr>
        <w:t>65.87%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；项目支出</w:t>
      </w:r>
      <w:r w:rsidR="007D3A9C" w:rsidRPr="00F925EF">
        <w:rPr>
          <w:rFonts w:ascii="仿宋" w:eastAsia="仿宋" w:hAnsi="仿宋"/>
          <w:color w:val="000000" w:themeColor="text1"/>
          <w:sz w:val="32"/>
          <w:szCs w:val="32"/>
        </w:rPr>
        <w:t>621.42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7D3A9C" w:rsidRPr="00F925EF">
        <w:rPr>
          <w:rFonts w:ascii="仿宋" w:eastAsia="仿宋" w:hAnsi="仿宋"/>
          <w:color w:val="000000" w:themeColor="text1"/>
          <w:sz w:val="32"/>
          <w:szCs w:val="32"/>
        </w:rPr>
        <w:t>34.13%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；上缴上级支出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；经营支出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；对附属单位补助支出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bookmarkEnd w:id="44"/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（图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3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：支出决算结构图）（饼状图）</w:t>
      </w: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8B581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591BC4" w:rsidP="00981CC7">
      <w:pPr>
        <w:spacing w:line="600" w:lineRule="exact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noProof/>
          <w:color w:val="000000" w:themeColor="text1"/>
        </w:rPr>
        <w:drawing>
          <wp:anchor distT="1438656" distB="1439672" distL="2449068" distR="118999" simplePos="0" relativeHeight="251660288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-730250</wp:posOffset>
            </wp:positionV>
            <wp:extent cx="4761230" cy="1454150"/>
            <wp:effectExtent l="0" t="0" r="0" b="0"/>
            <wp:wrapNone/>
            <wp:docPr id="4" name="对象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1834EB" w:rsidRPr="001834EB"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37.1pt;margin-top:740.05pt;width:107.05pt;height:14.4pt;z-index:251655168;visibility:visible;mso-wrap-distance-left:84.84pt;mso-wrap-distance-top:78.72pt;mso-wrap-distance-right:25.37pt;mso-wrap-distance-bottom:78.34pt;mso-position-horizontal-relative:text;mso-position-vertical-relative:text">
            <v:imagedata r:id="rId10" o:title=""/>
          </v:shape>
          <o:OLEObject Type="Embed" ProgID="Excel.Chart.8" ShapeID="_x0000_s1029" DrawAspect="Content" ObjectID="_1694523321" r:id="rId11"/>
        </w:pict>
      </w:r>
    </w:p>
    <w:p w:rsidR="004621D1" w:rsidRPr="00F925EF" w:rsidRDefault="001834EB" w:rsidP="00981CC7">
      <w:pPr>
        <w:spacing w:line="600" w:lineRule="exact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 w:rsidRPr="001834EB">
        <w:rPr>
          <w:noProof/>
          <w:color w:val="000000" w:themeColor="text1"/>
        </w:rPr>
        <w:pict>
          <v:shape id="_x0000_s1030" type="#_x0000_t75" style="position:absolute;left:0;text-align:left;margin-left:237.1pt;margin-top:740.05pt;width:107.05pt;height:14.4pt;z-index:251659264;visibility:visible;mso-wrap-distance-left:84.84pt;mso-wrap-distance-top:78.72pt;mso-wrap-distance-right:25.37pt;mso-wrap-distance-bottom:78.34pt">
            <v:imagedata r:id="rId10" o:title=""/>
          </v:shape>
          <o:OLEObject Type="Embed" ProgID="Excel.Chart.8" ShapeID="_x0000_s1030" DrawAspect="Content" ObjectID="_1694523322" r:id="rId12"/>
        </w:pict>
      </w:r>
      <w:r w:rsidRPr="001834EB">
        <w:rPr>
          <w:noProof/>
          <w:color w:val="000000" w:themeColor="text1"/>
        </w:rPr>
        <w:pict>
          <v:shape id="_x0000_s1031" type="#_x0000_t75" style="position:absolute;left:0;text-align:left;margin-left:237.1pt;margin-top:740.05pt;width:107.05pt;height:14.4pt;z-index:251658240;visibility:visible;mso-wrap-distance-left:84.84pt;mso-wrap-distance-top:78.72pt;mso-wrap-distance-right:25.37pt;mso-wrap-distance-bottom:78.34pt">
            <v:imagedata r:id="rId10" o:title=""/>
          </v:shape>
          <o:OLEObject Type="Embed" ProgID="Excel.Chart.8" ShapeID="_x0000_s1031" DrawAspect="Content" ObjectID="_1694523323" r:id="rId13"/>
        </w:pict>
      </w:r>
      <w:r w:rsidRPr="001834EB">
        <w:rPr>
          <w:noProof/>
          <w:color w:val="000000" w:themeColor="text1"/>
        </w:rPr>
        <w:pict>
          <v:shape id="_x0000_s1032" type="#_x0000_t75" style="position:absolute;left:0;text-align:left;margin-left:237.1pt;margin-top:740.05pt;width:107.05pt;height:14.4pt;z-index:251654144;visibility:visible;mso-wrap-distance-left:84.84pt;mso-wrap-distance-top:78.72pt;mso-wrap-distance-right:25.37pt;mso-wrap-distance-bottom:78.34pt">
            <v:imagedata r:id="rId10" o:title=""/>
          </v:shape>
          <o:OLEObject Type="Embed" ProgID="Excel.Chart.8" ShapeID="_x0000_s1032" DrawAspect="Content" ObjectID="_1694523324" r:id="rId14"/>
        </w:pict>
      </w:r>
      <w:r w:rsidRPr="001834EB">
        <w:rPr>
          <w:noProof/>
          <w:color w:val="000000" w:themeColor="text1"/>
        </w:rPr>
        <w:pict>
          <v:shape id="_x0000_s1033" type="#_x0000_t75" style="position:absolute;left:0;text-align:left;margin-left:237.1pt;margin-top:740.05pt;width:107.05pt;height:14.4pt;z-index:251653120;visibility:visible;mso-wrap-distance-left:84.84pt;mso-wrap-distance-top:78.72pt;mso-wrap-distance-right:25.37pt;mso-wrap-distance-bottom:78.34pt">
            <v:imagedata r:id="rId10" o:title=""/>
          </v:shape>
          <o:OLEObject Type="Embed" ProgID="Excel.Chart.8" ShapeID="_x0000_s1033" DrawAspect="Content" ObjectID="_1694523325" r:id="rId15"/>
        </w:pict>
      </w:r>
      <w:r w:rsidRPr="001834EB">
        <w:rPr>
          <w:noProof/>
          <w:color w:val="000000" w:themeColor="text1"/>
        </w:rPr>
        <w:pict>
          <v:shape id="_x0000_s1034" type="#_x0000_t75" style="position:absolute;left:0;text-align:left;margin-left:237.1pt;margin-top:740.05pt;width:107.05pt;height:14.4pt;z-index:251652096;visibility:visible;mso-wrap-distance-left:84.84pt;mso-wrap-distance-top:78.72pt;mso-wrap-distance-right:25.37pt;mso-wrap-distance-bottom:78.34pt">
            <v:imagedata r:id="rId10" o:title=""/>
          </v:shape>
          <o:OLEObject Type="Embed" ProgID="Excel.Chart.8" ShapeID="_x0000_s1034" DrawAspect="Content" ObjectID="_1694523326" r:id="rId16"/>
        </w:pict>
      </w:r>
    </w:p>
    <w:p w:rsidR="004621D1" w:rsidRPr="00F925EF" w:rsidRDefault="001834EB" w:rsidP="00981CC7">
      <w:pPr>
        <w:spacing w:line="600" w:lineRule="exact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 w:rsidRPr="001834EB">
        <w:rPr>
          <w:noProof/>
          <w:color w:val="000000" w:themeColor="text1"/>
        </w:rPr>
        <w:pict>
          <v:shape id="_x0000_s1035" type="#_x0000_t75" style="position:absolute;left:0;text-align:left;margin-left:237.1pt;margin-top:740.05pt;width:107.05pt;height:14.4pt;z-index:251651072;visibility:visible;mso-wrap-distance-left:84.84pt;mso-wrap-distance-top:78.72pt;mso-wrap-distance-right:25.37pt;mso-wrap-distance-bottom:78.34pt">
            <v:imagedata r:id="rId10" o:title=""/>
          </v:shape>
          <o:OLEObject Type="Embed" ProgID="Excel.Chart.8" ShapeID="_x0000_s1035" DrawAspect="Content" ObjectID="_1694523327" r:id="rId17"/>
        </w:pict>
      </w: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outlineLvl w:val="1"/>
        <w:rPr>
          <w:rStyle w:val="2Char"/>
          <w:rFonts w:ascii="黑体" w:eastAsia="黑体" w:hAnsi="黑体"/>
          <w:b w:val="0"/>
          <w:color w:val="000000" w:themeColor="text1"/>
        </w:rPr>
      </w:pPr>
      <w:bookmarkStart w:id="45" w:name="_Toc15377208"/>
      <w:bookmarkStart w:id="46" w:name="_Toc15396606"/>
      <w:bookmarkStart w:id="47" w:name="_Toc83908221"/>
      <w:r w:rsidRPr="00F925EF">
        <w:rPr>
          <w:rFonts w:ascii="黑体" w:eastAsia="黑体" w:hAnsi="黑体" w:hint="eastAsia"/>
          <w:color w:val="000000" w:themeColor="text1"/>
          <w:sz w:val="32"/>
          <w:szCs w:val="32"/>
        </w:rPr>
        <w:t>四、财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政拨款收入支出决算总体情况说明</w:t>
      </w:r>
      <w:bookmarkEnd w:id="45"/>
      <w:bookmarkEnd w:id="46"/>
      <w:bookmarkEnd w:id="47"/>
    </w:p>
    <w:p w:rsidR="004621D1" w:rsidRPr="00F925EF" w:rsidRDefault="004621D1" w:rsidP="00981CC7">
      <w:pPr>
        <w:spacing w:line="600" w:lineRule="exact"/>
        <w:ind w:firstLineChars="200" w:firstLine="640"/>
        <w:outlineLvl w:val="1"/>
        <w:rPr>
          <w:rFonts w:ascii="仿宋" w:eastAsia="仿宋" w:hAnsi="仿宋"/>
          <w:color w:val="000000" w:themeColor="text1"/>
          <w:sz w:val="32"/>
          <w:szCs w:val="32"/>
        </w:rPr>
      </w:pPr>
      <w:bookmarkStart w:id="48" w:name="_Toc83908222"/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C011EE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年财政拨款收、支总计占</w:t>
      </w:r>
      <w:r w:rsidR="004F2319" w:rsidRPr="00F925EF">
        <w:rPr>
          <w:rFonts w:ascii="仿宋" w:eastAsia="仿宋" w:hAnsi="仿宋"/>
          <w:color w:val="000000" w:themeColor="text1"/>
          <w:sz w:val="32"/>
          <w:szCs w:val="32"/>
        </w:rPr>
        <w:t>2057.4</w:t>
      </w:r>
      <w:r w:rsidR="004F231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万元。与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201</w:t>
      </w:r>
      <w:r w:rsidR="004F231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年相比，财政拨款收、支总计各增加</w:t>
      </w:r>
      <w:r w:rsidR="004F2319" w:rsidRPr="00F925EF">
        <w:rPr>
          <w:rFonts w:ascii="仿宋" w:eastAsia="仿宋" w:hAnsi="仿宋"/>
          <w:color w:val="000000" w:themeColor="text1"/>
          <w:sz w:val="32"/>
          <w:szCs w:val="32"/>
        </w:rPr>
        <w:t>112.94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万元，增长</w:t>
      </w:r>
      <w:r w:rsidR="004F2319" w:rsidRPr="00F925EF">
        <w:rPr>
          <w:rFonts w:ascii="仿宋" w:eastAsia="仿宋" w:hAnsi="仿宋"/>
          <w:color w:val="000000" w:themeColor="text1"/>
          <w:sz w:val="32"/>
          <w:szCs w:val="32"/>
        </w:rPr>
        <w:t>5.81%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。主要变动原因是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201</w:t>
      </w:r>
      <w:r w:rsidR="004F2319" w:rsidRPr="00F925EF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年的财政应返还额度为</w:t>
      </w:r>
      <w:r w:rsidR="004F2319" w:rsidRPr="00F925EF">
        <w:rPr>
          <w:rFonts w:ascii="仿宋_GB2312" w:eastAsia="仿宋_GB2312"/>
          <w:color w:val="000000" w:themeColor="text1"/>
          <w:sz w:val="32"/>
          <w:szCs w:val="32"/>
        </w:rPr>
        <w:t>536.52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</w:t>
      </w:r>
      <w:bookmarkEnd w:id="48"/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（图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：财政拨款收、支决算总计变动情况）（柱状图）</w:t>
      </w: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FB5C5A" w:rsidP="00981CC7">
      <w:pPr>
        <w:tabs>
          <w:tab w:val="center" w:pos="4393"/>
        </w:tabs>
        <w:spacing w:line="600" w:lineRule="exact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noProof/>
          <w:color w:val="000000" w:themeColor="text1"/>
        </w:rPr>
        <w:drawing>
          <wp:anchor distT="316992" distB="328041" distL="370332" distR="285750" simplePos="0" relativeHeight="251661312" behindDoc="1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184150</wp:posOffset>
            </wp:positionV>
            <wp:extent cx="4334510" cy="938530"/>
            <wp:effectExtent l="0" t="3175" r="3175" b="1270"/>
            <wp:wrapNone/>
            <wp:docPr id="12" name="对象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4621D1" w:rsidRPr="00F925EF">
        <w:rPr>
          <w:rFonts w:ascii="仿宋" w:eastAsia="仿宋" w:hAnsi="仿宋"/>
          <w:color w:val="000000" w:themeColor="text1"/>
          <w:sz w:val="32"/>
          <w:szCs w:val="32"/>
        </w:rPr>
        <w:tab/>
      </w: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>
      <w:pPr>
        <w:spacing w:line="600" w:lineRule="exact"/>
        <w:ind w:firstLine="640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outlineLvl w:val="1"/>
        <w:rPr>
          <w:rStyle w:val="2Char"/>
          <w:rFonts w:ascii="黑体" w:eastAsia="黑体" w:hAnsi="黑体"/>
          <w:b w:val="0"/>
          <w:color w:val="000000" w:themeColor="text1"/>
        </w:rPr>
      </w:pPr>
      <w:bookmarkStart w:id="49" w:name="_Toc15377209"/>
      <w:bookmarkStart w:id="50" w:name="_Toc15396607"/>
      <w:bookmarkStart w:id="51" w:name="_Toc83908223"/>
      <w:r w:rsidRPr="00F925EF">
        <w:rPr>
          <w:rFonts w:ascii="黑体" w:eastAsia="黑体" w:hAnsi="黑体" w:hint="eastAsia"/>
          <w:color w:val="000000" w:themeColor="text1"/>
          <w:sz w:val="32"/>
          <w:szCs w:val="32"/>
        </w:rPr>
        <w:t>五、</w:t>
      </w:r>
      <w:r w:rsidRPr="00F925EF">
        <w:rPr>
          <w:rFonts w:ascii="黑体" w:eastAsia="黑体" w:hAnsi="黑体" w:hint="eastAsia"/>
          <w:b/>
          <w:color w:val="000000" w:themeColor="text1"/>
          <w:sz w:val="32"/>
          <w:szCs w:val="32"/>
        </w:rPr>
        <w:t>一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般公共预算财政拨款支出决算情况说明</w:t>
      </w:r>
      <w:bookmarkEnd w:id="49"/>
      <w:bookmarkEnd w:id="50"/>
      <w:bookmarkEnd w:id="51"/>
    </w:p>
    <w:p w:rsidR="004621D1" w:rsidRPr="00F925EF" w:rsidRDefault="004621D1" w:rsidP="00981CC7">
      <w:pPr>
        <w:spacing w:line="600" w:lineRule="exact"/>
        <w:ind w:firstLineChars="200" w:firstLine="643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52" w:name="_Toc15377210"/>
      <w:bookmarkStart w:id="53" w:name="_Toc83908224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（一）一般公共预算财政拨款支出决算总体情况</w:t>
      </w:r>
      <w:bookmarkEnd w:id="52"/>
      <w:bookmarkEnd w:id="53"/>
    </w:p>
    <w:p w:rsidR="004621D1" w:rsidRPr="00F925EF" w:rsidRDefault="004621D1" w:rsidP="00981CC7">
      <w:pPr>
        <w:spacing w:line="600" w:lineRule="exact"/>
        <w:ind w:firstLineChars="200" w:firstLine="640"/>
        <w:outlineLvl w:val="1"/>
        <w:rPr>
          <w:rFonts w:ascii="仿宋" w:eastAsia="仿宋" w:hAnsi="仿宋"/>
          <w:color w:val="000000" w:themeColor="text1"/>
          <w:sz w:val="32"/>
          <w:szCs w:val="32"/>
        </w:rPr>
      </w:pPr>
      <w:bookmarkStart w:id="54" w:name="_Toc83908225"/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367EE2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年一般公共预算财政拨款支出</w:t>
      </w:r>
      <w:r w:rsidR="00367EE2" w:rsidRPr="00F925EF">
        <w:rPr>
          <w:rFonts w:ascii="仿宋" w:eastAsia="仿宋" w:hAnsi="仿宋"/>
          <w:color w:val="000000" w:themeColor="text1"/>
          <w:sz w:val="32"/>
          <w:szCs w:val="32"/>
        </w:rPr>
        <w:t>2057.4</w:t>
      </w:r>
      <w:r w:rsidR="00367EE2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万元，占本年支出合计的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100.00%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。与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201</w:t>
      </w:r>
      <w:r w:rsidR="00367EE2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年相比，一般公共预算财政拨款增加</w:t>
      </w:r>
      <w:r w:rsidR="00367EE2" w:rsidRPr="00F925EF">
        <w:rPr>
          <w:rFonts w:ascii="仿宋" w:eastAsia="仿宋" w:hAnsi="仿宋"/>
          <w:color w:val="000000" w:themeColor="text1"/>
          <w:sz w:val="32"/>
          <w:szCs w:val="32"/>
        </w:rPr>
        <w:t>112.94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万元，增长</w:t>
      </w:r>
      <w:r w:rsidR="00367EE2" w:rsidRPr="00F925EF">
        <w:rPr>
          <w:rFonts w:ascii="仿宋" w:eastAsia="仿宋" w:hAnsi="仿宋"/>
          <w:color w:val="000000" w:themeColor="text1"/>
          <w:sz w:val="32"/>
          <w:szCs w:val="32"/>
        </w:rPr>
        <w:t>5.81%</w:t>
      </w:r>
      <w:r w:rsidR="00367EE2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主要变动原因是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201</w:t>
      </w:r>
      <w:r w:rsidR="005001C3" w:rsidRPr="00F925EF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年的财政应返还额度为</w:t>
      </w:r>
      <w:r w:rsidR="00367EE2" w:rsidRPr="00F925EF">
        <w:rPr>
          <w:rFonts w:ascii="仿宋_GB2312" w:eastAsia="仿宋_GB2312"/>
          <w:color w:val="000000" w:themeColor="text1"/>
          <w:sz w:val="32"/>
          <w:szCs w:val="32"/>
        </w:rPr>
        <w:t>536.52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</w:t>
      </w:r>
      <w:bookmarkEnd w:id="54"/>
    </w:p>
    <w:p w:rsidR="004621D1" w:rsidRPr="00F925EF" w:rsidRDefault="00FB5C5A" w:rsidP="00981CC7">
      <w:pPr>
        <w:spacing w:line="600" w:lineRule="exact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noProof/>
          <w:color w:val="000000" w:themeColor="text1"/>
        </w:rPr>
        <w:drawing>
          <wp:anchor distT="256032" distB="150749" distL="376428" distR="303149" simplePos="0" relativeHeight="251662336" behindDoc="1" locked="0" layoutInCell="1" allowOverlap="1">
            <wp:simplePos x="0" y="0"/>
            <wp:positionH relativeFrom="column">
              <wp:posOffset>907415</wp:posOffset>
            </wp:positionH>
            <wp:positionV relativeFrom="paragraph">
              <wp:posOffset>702310</wp:posOffset>
            </wp:positionV>
            <wp:extent cx="4023360" cy="1286510"/>
            <wp:effectExtent l="2540" t="0" r="0" b="1905"/>
            <wp:wrapNone/>
            <wp:docPr id="13" name="对象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4621D1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（图</w:t>
      </w:r>
      <w:r w:rsidR="004621D1" w:rsidRPr="00F925EF">
        <w:rPr>
          <w:rFonts w:ascii="仿宋" w:eastAsia="仿宋" w:hAnsi="仿宋"/>
          <w:color w:val="000000" w:themeColor="text1"/>
          <w:sz w:val="32"/>
          <w:szCs w:val="32"/>
        </w:rPr>
        <w:t>5</w:t>
      </w:r>
      <w:r w:rsidR="004621D1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：一般公共预算财政拨款支出决算变动情况）（柱状图）</w:t>
      </w: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3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55" w:name="_Toc15377211"/>
      <w:bookmarkStart w:id="56" w:name="_Toc83908226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（二）一般公共预算财政拨款支出决算结构情况</w:t>
      </w:r>
      <w:bookmarkEnd w:id="55"/>
      <w:bookmarkEnd w:id="56"/>
    </w:p>
    <w:p w:rsidR="004621D1" w:rsidRPr="00F925EF" w:rsidRDefault="004621D1" w:rsidP="00981CC7">
      <w:pPr>
        <w:spacing w:line="600" w:lineRule="exact"/>
        <w:ind w:firstLineChars="200" w:firstLine="640"/>
        <w:outlineLvl w:val="1"/>
        <w:rPr>
          <w:rFonts w:ascii="仿宋" w:eastAsia="仿宋" w:hAnsi="仿宋"/>
          <w:color w:val="000000" w:themeColor="text1"/>
          <w:sz w:val="32"/>
          <w:szCs w:val="32"/>
        </w:rPr>
      </w:pPr>
      <w:bookmarkStart w:id="57" w:name="_Toc83908227"/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8A2ED8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年一般公共预算财政拨款支出</w:t>
      </w:r>
      <w:r w:rsidR="008A2ED8" w:rsidRPr="00F925EF">
        <w:rPr>
          <w:rFonts w:ascii="仿宋" w:eastAsia="仿宋" w:hAnsi="仿宋"/>
          <w:color w:val="000000" w:themeColor="text1"/>
          <w:sz w:val="32"/>
          <w:szCs w:val="32"/>
        </w:rPr>
        <w:t>1820.76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万元，主要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用于以下方面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: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一般公共服务（类）支出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；外交支出（类）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，国防支出（类）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；公共安全支出（类）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1665.41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91.47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；教育支出（类）</w:t>
      </w:r>
      <w:r w:rsidR="001F0FF3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3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.</w:t>
      </w:r>
      <w:r w:rsidR="001F0FF3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</w:t>
      </w:r>
      <w:r w:rsidR="001F0FF3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16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；科学技术（类）支出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；文化旅游体育与传媒（类）支出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；社会保障和就业（类）支出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64.47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3.54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；卫生健康支出（类）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34.89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1.92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；节能环保支出（类）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；城乡社区支出（类）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；农林水支出（类）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；交通运输支出（类）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；资源勘探信息等支出（类）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；商业服务业等支出（类）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；金融支出（类）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；援助其他地区支出（类）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；自然资源海洋气象等支出（类）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；住房保障支出（类）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49.37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1F0FF3" w:rsidRPr="00F925EF">
        <w:rPr>
          <w:rFonts w:ascii="仿宋" w:eastAsia="仿宋" w:hAnsi="仿宋"/>
          <w:color w:val="000000" w:themeColor="text1"/>
          <w:sz w:val="32"/>
          <w:szCs w:val="32"/>
        </w:rPr>
        <w:t>2.71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；粮油物资储备支出（类）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；灾害防治及应急管理支出（类）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；其他支出（类）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；债务还本支出（类）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；债务付息支出（类）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bookmarkEnd w:id="57"/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（图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6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：一般公共预算财政拨款支出决算结构）（饼状图）</w:t>
      </w:r>
    </w:p>
    <w:p w:rsidR="00632C72" w:rsidRPr="00F925EF" w:rsidRDefault="00632C72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632C72" w:rsidRPr="00F925EF" w:rsidRDefault="00632C72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632C72" w:rsidRPr="00F925EF" w:rsidRDefault="00632C72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632C72" w:rsidRPr="00F925EF" w:rsidRDefault="00632C72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632C72" w:rsidRPr="00F925EF" w:rsidRDefault="00F925EF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anchor distT="725424" distB="803910" distL="1546860" distR="420370" simplePos="0" relativeHeight="25166336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-730250</wp:posOffset>
            </wp:positionV>
            <wp:extent cx="5695950" cy="3079750"/>
            <wp:effectExtent l="0" t="0" r="0" b="0"/>
            <wp:wrapNone/>
            <wp:docPr id="14" name="对象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591BC4" w:rsidRPr="00F925EF" w:rsidRDefault="00591BC4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981CC7">
      <w:pPr>
        <w:spacing w:line="600" w:lineRule="exact"/>
        <w:ind w:firstLineChars="200" w:firstLine="643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58" w:name="_Toc15377212"/>
      <w:bookmarkStart w:id="59" w:name="_Toc83908228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（三）一般公共预算财政拨款支出决算具体情况</w:t>
      </w:r>
      <w:bookmarkEnd w:id="58"/>
      <w:bookmarkEnd w:id="59"/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5804A4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年一般公共预算支出决算数为</w:t>
      </w:r>
      <w:r w:rsidR="005804A4" w:rsidRPr="00F925EF">
        <w:rPr>
          <w:rFonts w:ascii="仿宋" w:eastAsia="仿宋" w:hAnsi="仿宋"/>
          <w:color w:val="000000" w:themeColor="text1"/>
          <w:sz w:val="32"/>
          <w:szCs w:val="32"/>
        </w:rPr>
        <w:t>1820.76</w:t>
      </w:r>
      <w:r w:rsidR="005804A4"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，完成预算</w:t>
      </w:r>
      <w:r w:rsidR="005804A4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85.50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。其中：</w:t>
      </w:r>
    </w:p>
    <w:p w:rsidR="004621D1" w:rsidRPr="00F925EF" w:rsidRDefault="004621D1" w:rsidP="00AA26B0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1.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教育支出（类）其他教育支出支出（款）教育支出（项）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2059999: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支出决算为</w:t>
      </w:r>
      <w:r w:rsidR="005804A4" w:rsidRPr="00F925EF">
        <w:rPr>
          <w:rFonts w:ascii="仿宋_GB2312" w:eastAsia="仿宋_GB2312" w:hint="eastAsia"/>
          <w:color w:val="000000" w:themeColor="text1"/>
          <w:sz w:val="32"/>
          <w:szCs w:val="32"/>
        </w:rPr>
        <w:t>3.00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4621D1" w:rsidRPr="00F925EF" w:rsidRDefault="004621D1" w:rsidP="00AA26B0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公共安全支出（类）公安（款）行政运行（项）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2040201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5804A4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年决算数为</w:t>
      </w:r>
      <w:r w:rsidR="005804A4" w:rsidRPr="00F925EF">
        <w:rPr>
          <w:rFonts w:ascii="仿宋_GB2312" w:eastAsia="仿宋_GB2312"/>
          <w:color w:val="000000" w:themeColor="text1"/>
          <w:sz w:val="32"/>
          <w:szCs w:val="32"/>
        </w:rPr>
        <w:t>1050.61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4621D1" w:rsidRPr="00F925EF" w:rsidRDefault="004621D1" w:rsidP="00AA26B0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3.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公共安全支出（类）公安（款）一般行政管理事务（项）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2040202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B105F4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年决算数为</w:t>
      </w:r>
      <w:r w:rsidR="00B105F4" w:rsidRPr="00F925EF">
        <w:rPr>
          <w:rFonts w:ascii="仿宋_GB2312" w:eastAsia="仿宋_GB2312"/>
          <w:color w:val="000000" w:themeColor="text1"/>
          <w:sz w:val="32"/>
          <w:szCs w:val="32"/>
        </w:rPr>
        <w:t>614.8</w:t>
      </w:r>
      <w:r w:rsidR="00B105F4" w:rsidRPr="00F925EF">
        <w:rPr>
          <w:rFonts w:ascii="仿宋_GB2312" w:eastAsia="仿宋_GB2312" w:hint="eastAsia"/>
          <w:color w:val="000000" w:themeColor="text1"/>
          <w:sz w:val="32"/>
          <w:szCs w:val="32"/>
        </w:rPr>
        <w:t>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="00B105F4" w:rsidRPr="00F925EF">
        <w:rPr>
          <w:rFonts w:ascii="仿宋_GB2312" w:eastAsia="仿宋_GB2312"/>
          <w:color w:val="000000" w:themeColor="text1"/>
          <w:sz w:val="32"/>
          <w:szCs w:val="32"/>
        </w:rPr>
        <w:t>61.91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%,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决算数小于预算数的原因是部分项目经费结转下年。。</w:t>
      </w:r>
    </w:p>
    <w:p w:rsidR="004621D1" w:rsidRPr="00F925EF" w:rsidRDefault="004621D1" w:rsidP="00AA26B0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4.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社会保障和就业（类）行政事业单位离退休（款）机关事业单位基本养老保险缴费支出★（项）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2080505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B105F4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年决算数为</w:t>
      </w:r>
      <w:r w:rsidR="00B105F4" w:rsidRPr="00F925EF">
        <w:rPr>
          <w:rFonts w:ascii="仿宋_GB2312" w:eastAsia="仿宋_GB2312"/>
          <w:color w:val="000000" w:themeColor="text1"/>
          <w:sz w:val="32"/>
          <w:szCs w:val="32"/>
        </w:rPr>
        <w:t>43.78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，决算数等于预算数。</w:t>
      </w:r>
    </w:p>
    <w:p w:rsidR="004621D1" w:rsidRPr="00F925EF" w:rsidRDefault="004621D1" w:rsidP="00AA26B0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5.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社会保障和就业（类）行政事业单位离退休（款）机关事业单位职业年金缴费支出★（项）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2080506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B105F4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年决算数为</w:t>
      </w:r>
      <w:r w:rsidR="00B105F4" w:rsidRPr="00F925EF">
        <w:rPr>
          <w:rFonts w:ascii="仿宋_GB2312" w:eastAsia="仿宋_GB2312"/>
          <w:color w:val="000000" w:themeColor="text1"/>
          <w:sz w:val="32"/>
          <w:szCs w:val="32"/>
        </w:rPr>
        <w:t>20.69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，决算数等于预算数。</w:t>
      </w:r>
    </w:p>
    <w:p w:rsidR="004621D1" w:rsidRPr="00F925EF" w:rsidRDefault="004621D1" w:rsidP="00AA26B0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6.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医疗卫生和计划生育（类）行政事业单位医疗★（款）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行政单位医疗★（项）</w:t>
      </w:r>
      <w:r w:rsidR="00B105F4" w:rsidRPr="00F925EF">
        <w:rPr>
          <w:rFonts w:ascii="仿宋_GB2312" w:eastAsia="仿宋_GB2312"/>
          <w:color w:val="000000" w:themeColor="text1"/>
          <w:sz w:val="32"/>
          <w:szCs w:val="32"/>
        </w:rPr>
        <w:t>2101101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B105F4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年决算数为</w:t>
      </w:r>
      <w:r w:rsidR="00B105F4" w:rsidRPr="00F925EF">
        <w:rPr>
          <w:rFonts w:ascii="仿宋_GB2312" w:eastAsia="仿宋_GB2312"/>
          <w:color w:val="000000" w:themeColor="text1"/>
          <w:sz w:val="32"/>
          <w:szCs w:val="32"/>
        </w:rPr>
        <w:t>30.92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，决算数等于预算数。</w:t>
      </w:r>
    </w:p>
    <w:p w:rsidR="00B105F4" w:rsidRPr="00F925EF" w:rsidRDefault="00B105F4" w:rsidP="00AA26B0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7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医疗卫生和计划生育（类）行政事业单位医疗★（款）公务员医疗补助★（项）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210110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3：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20年决算数为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3.97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，决算数等于预算数。</w:t>
      </w:r>
    </w:p>
    <w:p w:rsidR="004621D1" w:rsidRPr="00F925EF" w:rsidRDefault="00B105F4" w:rsidP="00AA26B0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8</w:t>
      </w:r>
      <w:r w:rsidR="004621D1" w:rsidRPr="00F925EF">
        <w:rPr>
          <w:rFonts w:ascii="仿宋_GB2312" w:eastAsia="仿宋_GB2312"/>
          <w:color w:val="000000" w:themeColor="text1"/>
          <w:sz w:val="32"/>
          <w:szCs w:val="32"/>
        </w:rPr>
        <w:t>.</w:t>
      </w:r>
      <w:r w:rsidR="004621D1" w:rsidRPr="00F925EF">
        <w:rPr>
          <w:rFonts w:ascii="仿宋_GB2312" w:eastAsia="仿宋_GB2312" w:hint="eastAsia"/>
          <w:color w:val="000000" w:themeColor="text1"/>
          <w:sz w:val="32"/>
          <w:szCs w:val="32"/>
        </w:rPr>
        <w:t>住房保障（类）住房改革支出（款）住房公积金（项）</w:t>
      </w:r>
      <w:r w:rsidR="004621D1" w:rsidRPr="00F925EF">
        <w:rPr>
          <w:rFonts w:ascii="仿宋_GB2312" w:eastAsia="仿宋_GB2312"/>
          <w:color w:val="000000" w:themeColor="text1"/>
          <w:sz w:val="32"/>
          <w:szCs w:val="32"/>
        </w:rPr>
        <w:t>2210201</w:t>
      </w:r>
      <w:r w:rsidR="004621D1" w:rsidRPr="00F925EF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="004621D1"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="004621D1"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年决算数为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48.17</w:t>
      </w:r>
      <w:r w:rsidR="004621D1"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="004621D1"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="004621D1"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，决算数等于预算数。</w:t>
      </w:r>
    </w:p>
    <w:p w:rsidR="000C699A" w:rsidRPr="00F925EF" w:rsidRDefault="000C699A" w:rsidP="000C699A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住房保障（类）住房改革支出（款）购房补贴（项）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2210201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20年决算数为1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2万元，完成预算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，决算数等于预算数。</w:t>
      </w:r>
    </w:p>
    <w:p w:rsidR="004621D1" w:rsidRPr="00F925EF" w:rsidRDefault="004621D1">
      <w:pPr>
        <w:tabs>
          <w:tab w:val="right" w:pos="8306"/>
        </w:tabs>
        <w:spacing w:line="600" w:lineRule="exact"/>
        <w:ind w:firstLine="640"/>
        <w:outlineLvl w:val="1"/>
        <w:rPr>
          <w:rStyle w:val="2Char"/>
          <w:color w:val="000000" w:themeColor="text1"/>
        </w:rPr>
      </w:pPr>
      <w:bookmarkStart w:id="60" w:name="_Toc15377214"/>
      <w:bookmarkStart w:id="61" w:name="_Toc15396608"/>
      <w:bookmarkStart w:id="62" w:name="_Toc83908229"/>
      <w:r w:rsidRPr="00F925EF">
        <w:rPr>
          <w:rFonts w:ascii="黑体" w:eastAsia="黑体" w:hint="eastAsia"/>
          <w:color w:val="000000" w:themeColor="text1"/>
          <w:sz w:val="32"/>
          <w:szCs w:val="32"/>
        </w:rPr>
        <w:t>六</w:t>
      </w:r>
      <w:r w:rsidRPr="00F925EF">
        <w:rPr>
          <w:rFonts w:ascii="黑体" w:eastAsia="黑体" w:hint="eastAsia"/>
          <w:b/>
          <w:color w:val="000000" w:themeColor="text1"/>
          <w:sz w:val="32"/>
          <w:szCs w:val="32"/>
        </w:rPr>
        <w:t>、</w:t>
      </w:r>
      <w:r w:rsidRPr="00F925EF">
        <w:rPr>
          <w:rFonts w:ascii="黑体" w:eastAsia="黑体" w:hAnsi="黑体" w:hint="eastAsia"/>
          <w:b/>
          <w:color w:val="000000" w:themeColor="text1"/>
          <w:sz w:val="32"/>
          <w:szCs w:val="32"/>
        </w:rPr>
        <w:t>一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般公共预算财政拨款基本支出决算情况说明</w:t>
      </w:r>
      <w:bookmarkEnd w:id="60"/>
      <w:bookmarkEnd w:id="61"/>
      <w:bookmarkEnd w:id="62"/>
      <w:r w:rsidRPr="00F925EF">
        <w:rPr>
          <w:rStyle w:val="2Char"/>
          <w:rFonts w:ascii="黑体" w:eastAsia="黑体" w:hAnsi="黑体"/>
          <w:b w:val="0"/>
          <w:color w:val="000000" w:themeColor="text1"/>
        </w:rPr>
        <w:tab/>
      </w:r>
    </w:p>
    <w:p w:rsidR="004621D1" w:rsidRPr="00F925EF" w:rsidRDefault="004621D1" w:rsidP="002F7A59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bookmarkStart w:id="63" w:name="_Toc15396609"/>
      <w:bookmarkStart w:id="64" w:name="_Toc15377215"/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9805F7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年一般公共预算财政拨款基本支出</w:t>
      </w:r>
      <w:r w:rsidR="009805F7" w:rsidRPr="00F925EF">
        <w:rPr>
          <w:rFonts w:ascii="仿宋_GB2312" w:eastAsia="仿宋_GB2312"/>
          <w:color w:val="000000" w:themeColor="text1"/>
          <w:sz w:val="32"/>
          <w:szCs w:val="32"/>
        </w:rPr>
        <w:t>1050.61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万元，其中：</w:t>
      </w:r>
    </w:p>
    <w:p w:rsidR="004621D1" w:rsidRPr="00F925EF" w:rsidRDefault="004621D1" w:rsidP="002F7A59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人员经费</w:t>
      </w:r>
      <w:r w:rsidR="009805F7" w:rsidRPr="00F925EF">
        <w:rPr>
          <w:rFonts w:ascii="仿宋_GB2312" w:eastAsia="仿宋_GB2312"/>
          <w:color w:val="000000" w:themeColor="text1"/>
          <w:sz w:val="32"/>
          <w:szCs w:val="32"/>
        </w:rPr>
        <w:t>601.33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万元，主要包括：基本工资、津贴补贴、奖金、伙食补助费、绩效工资、机关事业单位基本养老保险缴费、职业年金缴费、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其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他社会保障缴费、其他工资福利支出、离休费、退休费、抚恤金、生活补助、医疗费补助、奖励金、住房公积金、其他对个人和家庭的补助支出等。</w:t>
      </w:r>
    </w:p>
    <w:p w:rsidR="004621D1" w:rsidRPr="00F925EF" w:rsidRDefault="004621D1" w:rsidP="002F7A59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日常公用经费</w:t>
      </w:r>
      <w:r w:rsidR="003A1BE3" w:rsidRPr="00F925EF">
        <w:rPr>
          <w:rFonts w:ascii="仿宋_GB2312" w:eastAsia="仿宋_GB2312" w:hint="eastAsia"/>
          <w:color w:val="000000" w:themeColor="text1"/>
          <w:sz w:val="32"/>
          <w:szCs w:val="32"/>
        </w:rPr>
        <w:t>546.03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万元，主要包括：办公费、印刷费、咨询费、手续费、水费、电费、邮电费、取暖费、物业管理费、差旅费、因公出国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（境）费用、维修（护）费、租赁费、会议费、培训费、公务接待费、劳务费、委托业务费、工会经费、福利费、公务用车运行维护费、其他交通费、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税金及附加费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用、其他商品和服务支出、办公设备购置、专用设备购置、信息网络及软件购置更新、其他资本性支出等。</w:t>
      </w:r>
    </w:p>
    <w:p w:rsidR="004621D1" w:rsidRPr="00F925EF" w:rsidRDefault="004621D1">
      <w:pPr>
        <w:spacing w:line="600" w:lineRule="exact"/>
        <w:ind w:firstLine="640"/>
        <w:outlineLvl w:val="1"/>
        <w:rPr>
          <w:rStyle w:val="2Char"/>
          <w:rFonts w:ascii="黑体" w:eastAsia="黑体" w:hAnsi="黑体"/>
          <w:b w:val="0"/>
          <w:color w:val="000000" w:themeColor="text1"/>
        </w:rPr>
      </w:pPr>
      <w:bookmarkStart w:id="65" w:name="_Toc83908230"/>
      <w:r w:rsidRPr="00F925EF">
        <w:rPr>
          <w:rFonts w:ascii="黑体" w:eastAsia="黑体" w:hint="eastAsia"/>
          <w:color w:val="000000" w:themeColor="text1"/>
          <w:sz w:val="32"/>
          <w:szCs w:val="32"/>
        </w:rPr>
        <w:t>七、</w:t>
      </w:r>
      <w:r w:rsidRPr="00F925EF">
        <w:rPr>
          <w:rStyle w:val="2Char"/>
          <w:rFonts w:ascii="黑体" w:eastAsia="黑体" w:hAnsi="黑体" w:hint="eastAsia"/>
          <w:color w:val="000000" w:themeColor="text1"/>
        </w:rPr>
        <w:t>“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三公”经费财政拨款支出决算情况说明</w:t>
      </w:r>
      <w:bookmarkEnd w:id="63"/>
      <w:bookmarkEnd w:id="64"/>
      <w:bookmarkEnd w:id="65"/>
    </w:p>
    <w:p w:rsidR="004621D1" w:rsidRPr="00F925EF" w:rsidRDefault="004621D1">
      <w:pPr>
        <w:spacing w:line="600" w:lineRule="exact"/>
        <w:ind w:firstLine="640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66" w:name="_Toc15377216"/>
      <w:bookmarkStart w:id="67" w:name="_Toc83908231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（一）“三公”经费财政拨款支出决算总体情况说明</w:t>
      </w:r>
      <w:bookmarkEnd w:id="66"/>
      <w:bookmarkEnd w:id="67"/>
    </w:p>
    <w:p w:rsidR="004621D1" w:rsidRPr="00F925EF" w:rsidRDefault="004621D1" w:rsidP="005A1CAA">
      <w:pPr>
        <w:widowControl/>
        <w:spacing w:line="56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CD6EF4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“三公”经费财政拨款支出决算为</w:t>
      </w:r>
      <w:r w:rsidR="00CD6EF4" w:rsidRPr="00F925EF">
        <w:rPr>
          <w:rFonts w:ascii="仿宋" w:eastAsia="仿宋" w:hAnsi="仿宋"/>
          <w:color w:val="000000" w:themeColor="text1"/>
          <w:sz w:val="32"/>
          <w:szCs w:val="32"/>
        </w:rPr>
        <w:t>109.53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，其中：无因公出国（境）费支出；公务用车购置及运行维护费支出决算为</w:t>
      </w:r>
      <w:r w:rsidR="00CD6EF4" w:rsidRPr="00F925EF">
        <w:rPr>
          <w:rFonts w:ascii="仿宋_GB2312" w:eastAsia="仿宋_GB2312"/>
          <w:color w:val="000000" w:themeColor="text1"/>
          <w:sz w:val="32"/>
          <w:szCs w:val="32"/>
        </w:rPr>
        <w:t>108.88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；公务接待费支出决算为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0.</w:t>
      </w:r>
      <w:r w:rsidR="00CD6EF4" w:rsidRPr="00F925EF">
        <w:rPr>
          <w:rFonts w:ascii="仿宋_GB2312" w:eastAsia="仿宋_GB2312" w:hint="eastAsia"/>
          <w:color w:val="000000" w:themeColor="text1"/>
          <w:sz w:val="32"/>
          <w:szCs w:val="32"/>
        </w:rPr>
        <w:t>65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4621D1" w:rsidRPr="00F925EF" w:rsidRDefault="004621D1">
      <w:pPr>
        <w:spacing w:line="600" w:lineRule="exact"/>
        <w:ind w:firstLine="640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68" w:name="_Toc15377217"/>
      <w:bookmarkStart w:id="69" w:name="_Toc83908232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（二）“三公”经费财政拨款支出决算具体情况说明</w:t>
      </w:r>
      <w:bookmarkEnd w:id="68"/>
      <w:bookmarkEnd w:id="69"/>
    </w:p>
    <w:p w:rsidR="00F925EF" w:rsidRPr="00F925EF" w:rsidRDefault="004621D1" w:rsidP="00CD263B">
      <w:pPr>
        <w:spacing w:line="60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bookmarkStart w:id="70" w:name="_Toc15396610"/>
      <w:bookmarkStart w:id="71" w:name="_Toc15377218"/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081C61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年“三公”经费财政拨款支出决算中，因公出国（境）费支出决算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0.00%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；公务用车购置及运行维护费支出决算</w:t>
      </w:r>
      <w:r w:rsidR="001E55ED" w:rsidRPr="00F925EF">
        <w:rPr>
          <w:rFonts w:ascii="仿宋_GB2312" w:eastAsia="仿宋_GB2312"/>
          <w:color w:val="000000" w:themeColor="text1"/>
          <w:sz w:val="32"/>
          <w:szCs w:val="32"/>
        </w:rPr>
        <w:t>108.88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99</w:t>
      </w:r>
      <w:r w:rsidR="001E55ED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.41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；公务接待费支出决算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</w:t>
      </w:r>
      <w:r w:rsidR="001E55ED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65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1E55ED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0.59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。具体情况如下：</w:t>
      </w:r>
    </w:p>
    <w:p w:rsidR="004621D1" w:rsidRPr="00F925EF" w:rsidRDefault="004621D1" w:rsidP="00CD263B"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hAnsi="宋体" w:cs="宋体"/>
          <w:color w:val="000000" w:themeColor="text1"/>
          <w:kern w:val="0"/>
          <w:sz w:val="24"/>
        </w:rPr>
      </w:pPr>
      <w:r w:rsidRPr="00F925E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（图</w:t>
      </w:r>
      <w:r w:rsidRPr="00F925EF">
        <w:rPr>
          <w:rFonts w:ascii="仿宋_GB2312" w:eastAsia="仿宋_GB2312" w:hAnsi="宋体" w:cs="宋体"/>
          <w:color w:val="000000" w:themeColor="text1"/>
          <w:kern w:val="0"/>
          <w:sz w:val="24"/>
        </w:rPr>
        <w:t>7</w:t>
      </w:r>
      <w:r w:rsidRPr="00F925E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：“三公”经费财政拨款支出结构）（饼状图）</w:t>
      </w:r>
    </w:p>
    <w:p w:rsidR="00251020" w:rsidRPr="00F925EF" w:rsidRDefault="00F925EF" w:rsidP="00CD263B"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hAnsi="宋体" w:cs="宋体"/>
          <w:color w:val="000000" w:themeColor="text1"/>
          <w:kern w:val="0"/>
          <w:sz w:val="24"/>
        </w:rPr>
      </w:pPr>
      <w:r w:rsidRPr="00F925EF">
        <w:rPr>
          <w:rFonts w:ascii="仿宋_GB2312" w:eastAsia="仿宋_GB2312" w:hAnsi="宋体" w:cs="宋体"/>
          <w:noProof/>
          <w:color w:val="000000" w:themeColor="text1"/>
          <w:kern w:val="0"/>
          <w:sz w:val="24"/>
        </w:rPr>
        <w:drawing>
          <wp:anchor distT="719328" distB="1114806" distL="2619756" distR="761365" simplePos="0" relativeHeight="251664384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-731520</wp:posOffset>
            </wp:positionV>
            <wp:extent cx="4533900" cy="2203450"/>
            <wp:effectExtent l="0" t="0" r="0" b="0"/>
            <wp:wrapNone/>
            <wp:docPr id="15" name="对象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4621D1" w:rsidRPr="00F925EF" w:rsidRDefault="004621D1" w:rsidP="00CD263B"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hAnsi="宋体" w:cs="宋体"/>
          <w:color w:val="000000" w:themeColor="text1"/>
          <w:kern w:val="0"/>
          <w:sz w:val="24"/>
        </w:rPr>
      </w:pPr>
    </w:p>
    <w:p w:rsidR="004621D1" w:rsidRPr="00F925EF" w:rsidRDefault="004621D1" w:rsidP="00CD263B"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hAnsi="宋体" w:cs="宋体"/>
          <w:color w:val="000000" w:themeColor="text1"/>
          <w:kern w:val="0"/>
          <w:sz w:val="24"/>
        </w:rPr>
      </w:pPr>
    </w:p>
    <w:p w:rsidR="004621D1" w:rsidRPr="00F925EF" w:rsidRDefault="004621D1" w:rsidP="00CD263B"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hAnsi="宋体" w:cs="宋体"/>
          <w:color w:val="000000" w:themeColor="text1"/>
          <w:kern w:val="0"/>
          <w:sz w:val="24"/>
        </w:rPr>
      </w:pPr>
    </w:p>
    <w:p w:rsidR="004621D1" w:rsidRPr="00F925EF" w:rsidRDefault="004621D1" w:rsidP="00CD263B"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hAnsi="宋体" w:cs="宋体"/>
          <w:color w:val="000000" w:themeColor="text1"/>
          <w:kern w:val="0"/>
          <w:sz w:val="24"/>
        </w:rPr>
      </w:pPr>
    </w:p>
    <w:p w:rsidR="004621D1" w:rsidRPr="00F925EF" w:rsidRDefault="004621D1" w:rsidP="00CD263B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cs="宋体"/>
          <w:color w:val="000000" w:themeColor="text1"/>
          <w:kern w:val="0"/>
          <w:sz w:val="18"/>
          <w:szCs w:val="18"/>
        </w:rPr>
      </w:pPr>
    </w:p>
    <w:p w:rsidR="00251020" w:rsidRPr="00F925EF" w:rsidRDefault="00251020" w:rsidP="005A1CAA">
      <w:pPr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251020" w:rsidRPr="00F925EF" w:rsidRDefault="00251020" w:rsidP="005A1CAA">
      <w:pPr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621D1" w:rsidRPr="00F925EF" w:rsidRDefault="004621D1" w:rsidP="005A1CAA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lastRenderedPageBreak/>
        <w:t>1.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20</w:t>
      </w:r>
      <w:r w:rsidR="001E55ED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年、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1E55ED" w:rsidRPr="00F925EF">
        <w:rPr>
          <w:rFonts w:ascii="仿宋_GB2312" w:eastAsia="仿宋_GB2312" w:hint="eastAsia"/>
          <w:color w:val="000000" w:themeColor="text1"/>
          <w:sz w:val="32"/>
          <w:szCs w:val="32"/>
        </w:rPr>
        <w:t>19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年无因公出国（境）费预算和支出。</w:t>
      </w:r>
    </w:p>
    <w:p w:rsidR="004621D1" w:rsidRPr="00F925EF" w:rsidRDefault="004621D1" w:rsidP="005A1CAA">
      <w:pPr>
        <w:spacing w:line="60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t>2.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公务用车购置及运行维护费支出</w:t>
      </w:r>
      <w:r w:rsidR="001E55ED" w:rsidRPr="00F925EF">
        <w:rPr>
          <w:rFonts w:ascii="仿宋" w:eastAsia="仿宋" w:hAnsi="仿宋"/>
          <w:color w:val="000000" w:themeColor="text1"/>
          <w:sz w:val="32"/>
          <w:szCs w:val="32"/>
        </w:rPr>
        <w:t>108.88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,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完成预算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100%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。公务用车购置及运行维护费支出决算比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201</w:t>
      </w:r>
      <w:r w:rsidR="001E55ED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年增加</w:t>
      </w:r>
      <w:r w:rsidR="001E55ED" w:rsidRPr="00F925EF">
        <w:rPr>
          <w:rFonts w:ascii="仿宋" w:eastAsia="仿宋" w:hAnsi="仿宋"/>
          <w:color w:val="000000" w:themeColor="text1"/>
          <w:sz w:val="32"/>
          <w:szCs w:val="32"/>
        </w:rPr>
        <w:t>15.58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万元，增长</w:t>
      </w:r>
      <w:r w:rsidR="001E55ED" w:rsidRPr="00F925EF">
        <w:rPr>
          <w:rFonts w:ascii="仿宋" w:eastAsia="仿宋" w:hAnsi="仿宋"/>
          <w:color w:val="000000" w:themeColor="text1"/>
          <w:sz w:val="32"/>
          <w:szCs w:val="32"/>
        </w:rPr>
        <w:t>16.7</w:t>
      </w:r>
      <w:r w:rsidR="001E55ED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。主要原因是业务工作相对开展得较多。其中：公务用车购置支出</w:t>
      </w:r>
      <w:r w:rsidR="00C730B9" w:rsidRPr="00F925EF">
        <w:rPr>
          <w:rFonts w:ascii="仿宋" w:eastAsia="仿宋" w:hAnsi="仿宋"/>
          <w:color w:val="000000" w:themeColor="text1"/>
          <w:sz w:val="32"/>
          <w:szCs w:val="32"/>
        </w:rPr>
        <w:t>54.9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</w:t>
      </w:r>
      <w:r w:rsidR="00C730B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按规定更新购置公务用车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1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辆，金额</w:t>
      </w:r>
      <w:r w:rsidR="00C730B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59.90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</w:t>
      </w:r>
      <w:r w:rsidR="00C730B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(2019年12月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预付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5.00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万元预付款</w:t>
      </w:r>
      <w:r w:rsidR="00C730B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)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。截至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5868AD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12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月底，单位共有公务用车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7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辆，其中：主要领导干部用车</w:t>
      </w:r>
      <w:r w:rsidR="00C730B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辆、机要通信用车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辆、应急保障用车</w:t>
      </w:r>
      <w:r w:rsidR="00C730B9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7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辆、执法执勤用车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辆、特种专业技术用车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0 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辆、离退休干部用车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辆、其他用车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辆。</w:t>
      </w:r>
    </w:p>
    <w:p w:rsidR="004621D1" w:rsidRPr="00F925EF" w:rsidRDefault="004621D1" w:rsidP="00CD263B">
      <w:pPr>
        <w:spacing w:line="60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公务用车运行维护费支出</w:t>
      </w:r>
      <w:r w:rsidR="002D5ABA" w:rsidRPr="00F925EF">
        <w:rPr>
          <w:rFonts w:ascii="仿宋" w:eastAsia="仿宋" w:hAnsi="仿宋"/>
          <w:color w:val="000000" w:themeColor="text1"/>
          <w:sz w:val="32"/>
          <w:szCs w:val="32"/>
        </w:rPr>
        <w:t>53.98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万元。主要用于开展维稳综治工作等所需的公务用车燃料费、维修费、过路过桥费、保险费等支出。</w:t>
      </w:r>
    </w:p>
    <w:p w:rsidR="004621D1" w:rsidRPr="00F925EF" w:rsidRDefault="004621D1" w:rsidP="006073EE">
      <w:pPr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t>3.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公务接待费支出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</w:t>
      </w:r>
      <w:r w:rsidR="002D5ABA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65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主要用于执行公务、开展业务活动开支的交通费、住宿费、用餐费等。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公务接待费支出决算比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201</w:t>
      </w:r>
      <w:r w:rsidR="002D5ABA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2D5ABA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增加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</w:t>
      </w:r>
      <w:r w:rsidR="002D5ABA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14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万元。主要原因是</w:t>
      </w:r>
      <w:r w:rsidRPr="00F925EF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是委机关严格执行八项规定和公务接待相关规定。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其中：国内公务接待支出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0.</w:t>
      </w:r>
      <w:r w:rsidR="00B32DD7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65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6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批次，共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3</w:t>
      </w:r>
      <w:r w:rsidR="002E7406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人次（不包括陪同人员）。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无外事接待费用支出。</w:t>
      </w:r>
    </w:p>
    <w:p w:rsidR="004621D1" w:rsidRPr="00F925EF" w:rsidRDefault="004621D1">
      <w:pPr>
        <w:spacing w:line="600" w:lineRule="exact"/>
        <w:ind w:firstLine="640"/>
        <w:outlineLvl w:val="1"/>
        <w:rPr>
          <w:rStyle w:val="2Char"/>
          <w:rFonts w:ascii="黑体" w:eastAsia="黑体" w:hAnsi="黑体"/>
          <w:color w:val="000000" w:themeColor="text1"/>
        </w:rPr>
      </w:pPr>
      <w:bookmarkStart w:id="72" w:name="_Toc83908233"/>
      <w:r w:rsidRPr="00F925EF">
        <w:rPr>
          <w:rFonts w:ascii="黑体" w:eastAsia="黑体" w:hint="eastAsia"/>
          <w:color w:val="000000" w:themeColor="text1"/>
          <w:sz w:val="32"/>
          <w:szCs w:val="32"/>
        </w:rPr>
        <w:t>八、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政府性基金预算支出决算情况说明</w:t>
      </w:r>
      <w:bookmarkEnd w:id="70"/>
      <w:bookmarkEnd w:id="71"/>
      <w:bookmarkEnd w:id="72"/>
    </w:p>
    <w:p w:rsidR="004621D1" w:rsidRPr="00F925EF" w:rsidRDefault="004621D1">
      <w:pPr>
        <w:spacing w:line="60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5B4C90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年政府性基金预算拨款支出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0.00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</w:t>
      </w:r>
    </w:p>
    <w:p w:rsidR="004621D1" w:rsidRPr="00F925EF" w:rsidRDefault="004621D1">
      <w:pPr>
        <w:numPr>
          <w:ilvl w:val="0"/>
          <w:numId w:val="3"/>
        </w:numPr>
        <w:spacing w:line="600" w:lineRule="exact"/>
        <w:ind w:firstLine="640"/>
        <w:outlineLvl w:val="1"/>
        <w:rPr>
          <w:rStyle w:val="2Char"/>
          <w:rFonts w:ascii="黑体" w:eastAsia="黑体" w:hAnsi="黑体"/>
          <w:b w:val="0"/>
          <w:color w:val="000000" w:themeColor="text1"/>
        </w:rPr>
      </w:pPr>
      <w:bookmarkStart w:id="73" w:name="_Toc15377219"/>
      <w:bookmarkStart w:id="74" w:name="_Toc15396611"/>
      <w:bookmarkStart w:id="75" w:name="_Toc83908234"/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国有资本经营预算支出决算情况说明</w:t>
      </w:r>
      <w:bookmarkEnd w:id="73"/>
      <w:bookmarkEnd w:id="74"/>
      <w:bookmarkEnd w:id="75"/>
    </w:p>
    <w:p w:rsidR="004621D1" w:rsidRPr="00F925EF" w:rsidRDefault="004621D1" w:rsidP="00A400B4">
      <w:pPr>
        <w:spacing w:line="60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5B4C90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年国有资本经营预算拨款支出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0.00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</w:t>
      </w:r>
      <w:bookmarkStart w:id="76" w:name="_Toc15396612"/>
      <w:bookmarkStart w:id="77" w:name="_Toc15377221"/>
    </w:p>
    <w:p w:rsidR="004621D1" w:rsidRPr="00F925EF" w:rsidRDefault="004621D1" w:rsidP="00A400B4">
      <w:pPr>
        <w:spacing w:line="600" w:lineRule="exact"/>
        <w:ind w:firstLine="640"/>
        <w:rPr>
          <w:rStyle w:val="2Char"/>
          <w:rFonts w:ascii="黑体" w:eastAsia="黑体" w:hAnsi="黑体"/>
          <w:color w:val="000000" w:themeColor="text1"/>
        </w:rPr>
      </w:pPr>
      <w:r w:rsidRPr="00F925EF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十</w:t>
      </w:r>
      <w:r w:rsidRPr="00F925EF">
        <w:rPr>
          <w:rStyle w:val="2Char"/>
          <w:rFonts w:ascii="黑体" w:eastAsia="黑体" w:hAnsi="黑体" w:hint="eastAsia"/>
          <w:color w:val="000000" w:themeColor="text1"/>
        </w:rPr>
        <w:t>、</w:t>
      </w:r>
      <w:r w:rsidRPr="00F925EF">
        <w:rPr>
          <w:rStyle w:val="2Char"/>
          <w:rFonts w:ascii="黑体" w:eastAsia="黑体" w:hAnsi="黑体" w:hint="eastAsia"/>
          <w:b w:val="0"/>
          <w:color w:val="000000" w:themeColor="text1"/>
        </w:rPr>
        <w:t>其他重要事项的情况说明</w:t>
      </w:r>
      <w:bookmarkEnd w:id="76"/>
      <w:bookmarkEnd w:id="77"/>
    </w:p>
    <w:p w:rsidR="004621D1" w:rsidRPr="00F925EF" w:rsidRDefault="004621D1" w:rsidP="00981CC7">
      <w:pPr>
        <w:spacing w:line="600" w:lineRule="exact"/>
        <w:ind w:firstLineChars="200" w:firstLine="643"/>
        <w:outlineLvl w:val="2"/>
        <w:rPr>
          <w:rFonts w:ascii="仿宋" w:eastAsia="仿宋" w:hAnsi="仿宋"/>
          <w:color w:val="000000" w:themeColor="text1"/>
          <w:sz w:val="32"/>
          <w:szCs w:val="32"/>
        </w:rPr>
      </w:pPr>
      <w:bookmarkStart w:id="78" w:name="_Toc15377222"/>
      <w:bookmarkStart w:id="79" w:name="_Toc83908235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（一）机关运行经费支出情况</w:t>
      </w:r>
      <w:bookmarkEnd w:id="78"/>
      <w:bookmarkEnd w:id="79"/>
    </w:p>
    <w:p w:rsidR="004621D1" w:rsidRPr="00F925EF" w:rsidRDefault="004621D1" w:rsidP="00981CC7">
      <w:pPr>
        <w:spacing w:line="600" w:lineRule="exact"/>
        <w:ind w:firstLineChars="200" w:firstLine="640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5B4C90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年，中共四川省阿坝州委政法委员会（本级）机关运行经费支出</w:t>
      </w:r>
      <w:r w:rsidR="003A1BE3" w:rsidRPr="00F925EF">
        <w:rPr>
          <w:rFonts w:ascii="仿宋_GB2312" w:eastAsia="仿宋_GB2312" w:hint="eastAsia"/>
          <w:color w:val="000000" w:themeColor="text1"/>
          <w:sz w:val="32"/>
          <w:szCs w:val="32"/>
        </w:rPr>
        <w:t>546.03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万元，比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201</w:t>
      </w:r>
      <w:r w:rsidR="00081C61" w:rsidRPr="00F925EF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="00081C61" w:rsidRPr="00F925EF">
        <w:rPr>
          <w:rFonts w:ascii="仿宋_GB2312" w:eastAsia="仿宋_GB2312" w:hint="eastAsia"/>
          <w:color w:val="000000" w:themeColor="text1"/>
          <w:sz w:val="32"/>
          <w:szCs w:val="32"/>
        </w:rPr>
        <w:t>减少</w:t>
      </w:r>
      <w:r w:rsidR="003A1BE3" w:rsidRPr="00F925EF">
        <w:rPr>
          <w:rFonts w:ascii="仿宋_GB2312" w:eastAsia="仿宋_GB2312" w:hint="eastAsia"/>
          <w:color w:val="000000" w:themeColor="text1"/>
          <w:sz w:val="32"/>
          <w:szCs w:val="32"/>
        </w:rPr>
        <w:t>12.91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</w:t>
      </w:r>
      <w:r w:rsidR="00081C61" w:rsidRPr="00F925EF">
        <w:rPr>
          <w:rFonts w:ascii="仿宋_GB2312" w:eastAsia="仿宋_GB2312" w:hint="eastAsia"/>
          <w:color w:val="000000" w:themeColor="text1"/>
          <w:sz w:val="32"/>
          <w:szCs w:val="32"/>
        </w:rPr>
        <w:t>减少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="003A1BE3" w:rsidRPr="00F925EF">
        <w:rPr>
          <w:rFonts w:ascii="仿宋_GB2312" w:eastAsia="仿宋_GB2312" w:hint="eastAsia"/>
          <w:color w:val="000000" w:themeColor="text1"/>
          <w:sz w:val="32"/>
          <w:szCs w:val="32"/>
        </w:rPr>
        <w:t>2.31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。主要原因是维稳综治工作比上年开展得较多。</w:t>
      </w:r>
    </w:p>
    <w:p w:rsidR="004621D1" w:rsidRPr="00F925EF" w:rsidRDefault="004621D1" w:rsidP="00981CC7">
      <w:pPr>
        <w:autoSpaceDE w:val="0"/>
        <w:autoSpaceDN w:val="0"/>
        <w:adjustRightInd w:val="0"/>
        <w:spacing w:line="600" w:lineRule="exact"/>
        <w:ind w:firstLineChars="200" w:firstLine="643"/>
        <w:jc w:val="left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80" w:name="_Toc15377223"/>
      <w:bookmarkStart w:id="81" w:name="_Toc83908236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（二）政府采购支出情况</w:t>
      </w:r>
      <w:bookmarkEnd w:id="80"/>
      <w:bookmarkEnd w:id="81"/>
    </w:p>
    <w:p w:rsidR="004621D1" w:rsidRPr="00F925EF" w:rsidRDefault="004621D1" w:rsidP="00EB6127">
      <w:pPr>
        <w:spacing w:line="560" w:lineRule="exact"/>
        <w:ind w:firstLineChars="200" w:firstLine="640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081C61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年，中共四川省阿坝州委政法委员会（本级）政府采购支出总额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318.28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万元，其中：政府采购货物支出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89.98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万元、政府采购工程支出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万元、政府采购服务支出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228.30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万元。主要用于办公设备购置、综治中心信息化建设购买服务。授予中小企业合同金额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89.98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万元，占政府采购支出总额的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28.27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，其中：授予小微企业合同金额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89.98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万元，占政府采购支出总额的</w:t>
      </w:r>
      <w:r w:rsidR="0016547D" w:rsidRPr="00F925EF">
        <w:rPr>
          <w:rFonts w:ascii="仿宋_GB2312" w:eastAsia="仿宋_GB2312" w:hint="eastAsia"/>
          <w:color w:val="000000" w:themeColor="text1"/>
          <w:sz w:val="32"/>
          <w:szCs w:val="32"/>
        </w:rPr>
        <w:t>28.27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4621D1" w:rsidRPr="00F925EF" w:rsidRDefault="004621D1" w:rsidP="00981CC7">
      <w:pPr>
        <w:autoSpaceDE w:val="0"/>
        <w:autoSpaceDN w:val="0"/>
        <w:adjustRightInd w:val="0"/>
        <w:spacing w:line="600" w:lineRule="exact"/>
        <w:ind w:firstLineChars="200" w:firstLine="643"/>
        <w:jc w:val="left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82" w:name="_Toc15377224"/>
      <w:bookmarkStart w:id="83" w:name="_Toc83908237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（三）国有资产占有使用情况</w:t>
      </w:r>
      <w:bookmarkEnd w:id="82"/>
      <w:bookmarkEnd w:id="83"/>
    </w:p>
    <w:p w:rsidR="004621D1" w:rsidRPr="00F925EF" w:rsidRDefault="004621D1" w:rsidP="00EB6127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截至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161E22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31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日，中共四川省阿坝州委政法委员会（本级）共有车辆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7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辆，其中：主要领导干部用车</w:t>
      </w:r>
      <w:r w:rsidR="006466E0" w:rsidRPr="00F925EF">
        <w:rPr>
          <w:rFonts w:ascii="仿宋_GB2312" w:eastAsia="仿宋_GB2312" w:hint="eastAsia"/>
          <w:color w:val="000000" w:themeColor="text1"/>
          <w:sz w:val="32"/>
          <w:szCs w:val="32"/>
        </w:rPr>
        <w:t>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辆、机要通信用车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辆、应急保障用车</w:t>
      </w:r>
      <w:r w:rsidR="006466E0" w:rsidRPr="00F925EF">
        <w:rPr>
          <w:rFonts w:ascii="仿宋_GB2312" w:eastAsia="仿宋_GB2312" w:hint="eastAsia"/>
          <w:color w:val="000000" w:themeColor="text1"/>
          <w:sz w:val="32"/>
          <w:szCs w:val="32"/>
        </w:rPr>
        <w:t>7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辆、执法执勤用车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0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辆、特种专业技术用车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辆、离退休干部用车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辆、其他用车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辆。无单价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50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万元以上通用设备和单价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万元以上专用设备。</w:t>
      </w:r>
    </w:p>
    <w:p w:rsidR="004621D1" w:rsidRPr="00F925EF" w:rsidRDefault="004621D1" w:rsidP="00981CC7">
      <w:pPr>
        <w:autoSpaceDE w:val="0"/>
        <w:autoSpaceDN w:val="0"/>
        <w:adjustRightInd w:val="0"/>
        <w:spacing w:line="600" w:lineRule="exact"/>
        <w:ind w:firstLineChars="200" w:firstLine="643"/>
        <w:jc w:val="left"/>
        <w:outlineLvl w:val="2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84" w:name="_Toc83908238"/>
      <w:r w:rsidRPr="00F925EF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（四）预算绩效管理情况。</w:t>
      </w:r>
      <w:bookmarkEnd w:id="84"/>
    </w:p>
    <w:p w:rsidR="004621D1" w:rsidRPr="00F925EF" w:rsidRDefault="004621D1" w:rsidP="00551B88">
      <w:pPr>
        <w:spacing w:line="60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bookmarkStart w:id="85" w:name="_Toc15396613"/>
      <w:bookmarkStart w:id="86" w:name="_Toc15377225"/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根据预算绩效管理要求，本部门在年初预算编制阶段，组织对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10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个项目开展了预算事前绩效评估，对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10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个项目编制了绩效目标，预算执行过程中，选取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1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个项目开展绩效监控，年终执行完毕后，对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个项目开展了绩效目标完成情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况梳理填报。本部门按要求对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420F12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年部门整体支出开展绩效自评，从自评情况看，预、决算编制合理，支出规范，财政支出既确保了机关正常运转，又保证了项目开支，财政支出绩效良好。</w:t>
      </w:r>
    </w:p>
    <w:p w:rsidR="004621D1" w:rsidRPr="00F925EF" w:rsidRDefault="004621D1" w:rsidP="00551B88">
      <w:pPr>
        <w:autoSpaceDE w:val="0"/>
        <w:autoSpaceDN w:val="0"/>
        <w:adjustRightInd w:val="0"/>
        <w:ind w:firstLineChars="147" w:firstLine="472"/>
        <w:rPr>
          <w:rFonts w:ascii="仿宋_GB2312" w:eastAsia="仿宋_GB2312" w:cs="仿宋_GB2312"/>
          <w:color w:val="000000" w:themeColor="text1"/>
          <w:sz w:val="32"/>
          <w:szCs w:val="32"/>
        </w:rPr>
      </w:pPr>
      <w:r w:rsidRPr="00F925EF">
        <w:rPr>
          <w:rFonts w:ascii="楷体_GB2312" w:eastAsia="楷体_GB2312" w:hAnsi="仿宋" w:hint="eastAsia"/>
          <w:b/>
          <w:bCs/>
          <w:color w:val="000000" w:themeColor="text1"/>
          <w:sz w:val="32"/>
          <w:szCs w:val="32"/>
        </w:rPr>
        <w:t>（二）项目绩效目标完成情况。</w:t>
      </w:r>
      <w:r w:rsidRPr="00F925EF">
        <w:rPr>
          <w:rFonts w:ascii="楷体_GB2312" w:eastAsia="楷体_GB2312" w:hAnsi="KaiTi_GB2312" w:cs="KaiTi_GB2312"/>
          <w:b/>
          <w:bCs/>
          <w:color w:val="000000" w:themeColor="text1"/>
          <w:sz w:val="32"/>
          <w:szCs w:val="32"/>
        </w:rPr>
        <w:br/>
      </w:r>
      <w:r w:rsidRPr="00F925EF">
        <w:rPr>
          <w:rFonts w:ascii="仿宋_GB2312" w:hAnsi="仿宋_GB2312" w:cs="仿宋_GB2312"/>
          <w:color w:val="000000" w:themeColor="text1"/>
          <w:sz w:val="32"/>
          <w:szCs w:val="32"/>
        </w:rPr>
        <w:t xml:space="preserve">  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全州政法三级网线路租赁项目综述。项目全年预算数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120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万元，执行数为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万元，完成预算的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。主要用于州级政法部门、州到县、县级政法部门之间网络达到规定的带宽，并且全年正常运行。截至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420F12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年底全年网络正常运行。</w:t>
      </w:r>
    </w:p>
    <w:p w:rsidR="004621D1" w:rsidRPr="00F925EF" w:rsidRDefault="004621D1" w:rsidP="00551B88">
      <w:pPr>
        <w:tabs>
          <w:tab w:val="left" w:pos="312"/>
        </w:tabs>
        <w:spacing w:line="580" w:lineRule="exact"/>
        <w:rPr>
          <w:rFonts w:ascii="仿宋_GB2312" w:eastAsia="仿宋_GB2312" w:cs="仿宋_GB2312"/>
          <w:color w:val="000000" w:themeColor="text1"/>
          <w:sz w:val="32"/>
          <w:szCs w:val="32"/>
        </w:rPr>
      </w:pPr>
    </w:p>
    <w:tbl>
      <w:tblPr>
        <w:tblpPr w:leftFromText="180" w:rightFromText="180" w:vertAnchor="text" w:horzAnchor="page" w:tblpXSpec="center" w:tblpY="423"/>
        <w:tblOverlap w:val="never"/>
        <w:tblW w:w="996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0"/>
        <w:gridCol w:w="1367"/>
        <w:gridCol w:w="1025"/>
        <w:gridCol w:w="2392"/>
        <w:gridCol w:w="2394"/>
        <w:gridCol w:w="2392"/>
      </w:tblGrid>
      <w:tr w:rsidR="004621D1" w:rsidRPr="00F925EF" w:rsidTr="00201994">
        <w:trPr>
          <w:trHeight w:val="1034"/>
        </w:trPr>
        <w:tc>
          <w:tcPr>
            <w:tcW w:w="9960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420F12">
            <w:pPr>
              <w:pStyle w:val="a9"/>
              <w:widowControl/>
              <w:ind w:leftChars="1310" w:left="4173" w:hangingChars="395" w:hanging="1422"/>
              <w:textAlignment w:val="center"/>
              <w:rPr>
                <w:rFonts w:ascii="宋体" w:cs="宋体"/>
                <w:color w:val="000000" w:themeColor="text1"/>
                <w:sz w:val="36"/>
                <w:szCs w:val="36"/>
              </w:rPr>
            </w:pPr>
            <w:r w:rsidRPr="00F925EF"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36"/>
                <w:szCs w:val="36"/>
              </w:rPr>
              <w:t>项目支出绩效目标完成情况表</w:t>
            </w:r>
            <w:r w:rsidRPr="00F925EF">
              <w:rPr>
                <w:rFonts w:ascii="宋体" w:cs="宋体"/>
                <w:b/>
                <w:bCs/>
                <w:color w:val="000000" w:themeColor="text1"/>
                <w:kern w:val="0"/>
                <w:sz w:val="36"/>
                <w:szCs w:val="36"/>
              </w:rPr>
              <w:br/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36"/>
                <w:szCs w:val="36"/>
              </w:rPr>
              <w:t>(20</w:t>
            </w:r>
            <w:r w:rsidR="00420F12" w:rsidRPr="00F925EF">
              <w:rPr>
                <w:rFonts w:ascii="宋体" w:hAnsi="宋体" w:cs="宋体" w:hint="eastAsia"/>
                <w:color w:val="000000" w:themeColor="text1"/>
                <w:kern w:val="0"/>
                <w:sz w:val="36"/>
                <w:szCs w:val="36"/>
              </w:rPr>
              <w:t>20</w:t>
            </w: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36"/>
                <w:szCs w:val="36"/>
              </w:rPr>
              <w:t>年度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36"/>
                <w:szCs w:val="36"/>
              </w:rPr>
              <w:t>)</w:t>
            </w:r>
          </w:p>
        </w:tc>
      </w:tr>
      <w:tr w:rsidR="004621D1" w:rsidRPr="00F925EF" w:rsidTr="00201994">
        <w:trPr>
          <w:trHeight w:val="276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项目名称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政法三级网线路租赁</w:t>
            </w:r>
          </w:p>
        </w:tc>
      </w:tr>
      <w:tr w:rsidR="004621D1" w:rsidRPr="00F925EF" w:rsidTr="00201994">
        <w:trPr>
          <w:trHeight w:val="276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预算单位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州委政法委</w:t>
            </w:r>
          </w:p>
        </w:tc>
      </w:tr>
      <w:tr w:rsidR="004621D1" w:rsidRPr="00F925EF" w:rsidTr="00201994">
        <w:trPr>
          <w:trHeight w:val="276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预算执行情况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(</w:t>
            </w: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万元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预算数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sz w:val="24"/>
              </w:rPr>
              <w:t>120</w:t>
            </w: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万元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执行数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sz w:val="24"/>
              </w:rPr>
              <w:t>120</w:t>
            </w: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万元</w:t>
            </w:r>
          </w:p>
        </w:tc>
      </w:tr>
      <w:tr w:rsidR="004621D1" w:rsidRPr="00F925EF" w:rsidTr="00201994">
        <w:trPr>
          <w:trHeight w:val="276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其中</w:t>
            </w:r>
            <w:r w:rsidRPr="00F925EF">
              <w:rPr>
                <w:rFonts w:ascii="宋体" w:cs="宋体"/>
                <w:color w:val="000000" w:themeColor="text1"/>
                <w:kern w:val="0"/>
                <w:sz w:val="24"/>
              </w:rPr>
              <w:t>-</w:t>
            </w: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财政拨款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sz w:val="24"/>
              </w:rPr>
              <w:t>120</w:t>
            </w: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万元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其中</w:t>
            </w:r>
            <w:r w:rsidRPr="00F925EF">
              <w:rPr>
                <w:rFonts w:ascii="宋体" w:cs="宋体"/>
                <w:color w:val="000000" w:themeColor="text1"/>
                <w:kern w:val="0"/>
                <w:sz w:val="24"/>
              </w:rPr>
              <w:t>-</w:t>
            </w: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财政拨款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sz w:val="24"/>
              </w:rPr>
              <w:t>120</w:t>
            </w: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万元</w:t>
            </w:r>
          </w:p>
        </w:tc>
      </w:tr>
      <w:tr w:rsidR="004621D1" w:rsidRPr="00F925EF" w:rsidTr="00201994">
        <w:trPr>
          <w:trHeight w:val="1511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其它资金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其它资金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jc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sz w:val="24"/>
              </w:rPr>
              <w:t>0</w:t>
            </w:r>
          </w:p>
        </w:tc>
      </w:tr>
      <w:tr w:rsidR="004621D1" w:rsidRPr="00F925EF" w:rsidTr="00201994">
        <w:trPr>
          <w:trHeight w:val="276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年度目标完成情况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预期目标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实际完成目标</w:t>
            </w:r>
          </w:p>
        </w:tc>
      </w:tr>
      <w:tr w:rsidR="004621D1" w:rsidRPr="00F925EF" w:rsidTr="00201994">
        <w:trPr>
          <w:trHeight w:val="1159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确保所有信息系统能安全、高效运转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全部信息系统能正常运转</w:t>
            </w:r>
          </w:p>
        </w:tc>
      </w:tr>
      <w:tr w:rsidR="004621D1" w:rsidRPr="00F925EF" w:rsidTr="00201994">
        <w:trPr>
          <w:trHeight w:val="1042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sz w:val="24"/>
              </w:rPr>
              <w:lastRenderedPageBreak/>
              <w:t>绩效指标完成情况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一级指标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二级指标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三级指标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预期指标值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(</w:t>
            </w: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包含数字及文字描述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实际完成指标值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(</w:t>
            </w: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包含数字及文字描述</w:t>
            </w:r>
            <w:r w:rsidRPr="00F925EF">
              <w:rPr>
                <w:rFonts w:ascii="宋体" w:hAnsi="宋体" w:cs="宋体"/>
                <w:color w:val="000000" w:themeColor="text1"/>
                <w:kern w:val="0"/>
                <w:sz w:val="24"/>
              </w:rPr>
              <w:t>)</w:t>
            </w:r>
          </w:p>
        </w:tc>
      </w:tr>
      <w:tr w:rsidR="004621D1" w:rsidRPr="00F925EF" w:rsidTr="00201994">
        <w:trPr>
          <w:trHeight w:val="953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jc w:val="center"/>
              <w:rPr>
                <w:rFonts w:ascii="宋体" w:cs="宋体"/>
                <w:color w:val="000000" w:themeColor="text1"/>
                <w:sz w:val="20"/>
                <w:szCs w:val="20"/>
              </w:rPr>
            </w:pPr>
            <w:r w:rsidRPr="00F925EF">
              <w:rPr>
                <w:rFonts w:hint="eastAsia"/>
                <w:color w:val="000000" w:themeColor="text1"/>
                <w:sz w:val="20"/>
                <w:szCs w:val="20"/>
              </w:rPr>
              <w:t>全部系统能正常运转</w:t>
            </w:r>
          </w:p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保障所有运行系统正常运转，故障能及时解决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正常运转</w:t>
            </w:r>
          </w:p>
        </w:tc>
      </w:tr>
      <w:tr w:rsidR="004621D1" w:rsidRPr="00F925EF" w:rsidTr="00201994">
        <w:trPr>
          <w:trHeight w:val="1297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故障排除时间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出现故障第一时间排除解决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发生故障时，能及时解决故障</w:t>
            </w:r>
          </w:p>
        </w:tc>
      </w:tr>
      <w:tr w:rsidR="004621D1" w:rsidRPr="00F925EF" w:rsidTr="00201994">
        <w:trPr>
          <w:trHeight w:val="1042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数量指标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jc w:val="center"/>
              <w:rPr>
                <w:rFonts w:ascii="宋体" w:cs="宋体"/>
                <w:color w:val="000000" w:themeColor="text1"/>
                <w:sz w:val="20"/>
                <w:szCs w:val="20"/>
              </w:rPr>
            </w:pPr>
            <w:r w:rsidRPr="00F925EF">
              <w:rPr>
                <w:rFonts w:hint="eastAsia"/>
                <w:color w:val="000000" w:themeColor="text1"/>
                <w:sz w:val="20"/>
                <w:szCs w:val="20"/>
              </w:rPr>
              <w:t>运维费用</w:t>
            </w:r>
          </w:p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jc w:val="center"/>
              <w:rPr>
                <w:rFonts w:ascii="宋体" w:cs="宋体"/>
                <w:color w:val="000000" w:themeColor="text1"/>
                <w:sz w:val="20"/>
                <w:szCs w:val="20"/>
              </w:rPr>
            </w:pPr>
            <w:r w:rsidRPr="00F925EF">
              <w:rPr>
                <w:rFonts w:hint="eastAsia"/>
                <w:color w:val="000000" w:themeColor="text1"/>
                <w:sz w:val="20"/>
                <w:szCs w:val="20"/>
              </w:rPr>
              <w:t>按合同约定</w:t>
            </w:r>
          </w:p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按合同支付费用</w:t>
            </w:r>
          </w:p>
        </w:tc>
      </w:tr>
      <w:tr w:rsidR="004621D1" w:rsidRPr="00F925EF" w:rsidTr="00201994">
        <w:trPr>
          <w:trHeight w:val="1042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效益指标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时效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项目按期完成率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sz w:val="24"/>
              </w:rPr>
              <w:t>90%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/>
                <w:color w:val="000000" w:themeColor="text1"/>
                <w:sz w:val="24"/>
              </w:rPr>
              <w:t>90%</w:t>
            </w:r>
          </w:p>
        </w:tc>
      </w:tr>
      <w:tr w:rsidR="004621D1" w:rsidRPr="00F925EF" w:rsidTr="00201994">
        <w:trPr>
          <w:trHeight w:val="1050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D1" w:rsidRPr="00F925EF" w:rsidRDefault="004621D1" w:rsidP="00201994">
            <w:pPr>
              <w:widowControl/>
              <w:jc w:val="left"/>
              <w:rPr>
                <w:rFonts w:ascii="宋体" w:cs="宋体"/>
                <w:color w:val="000000" w:themeColor="text1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满意度指标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使用者满意度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过技术手段对全州政法工作提供保障，达到社会大局稳定的目的，使用者满意度达到</w:t>
            </w:r>
            <w:r w:rsidRPr="00F925EF">
              <w:rPr>
                <w:rFonts w:ascii="宋体" w:cs="宋体"/>
                <w:color w:val="000000" w:themeColor="text1"/>
                <w:sz w:val="24"/>
              </w:rPr>
              <w:t>90%</w:t>
            </w: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以上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21D1" w:rsidRPr="00F925EF" w:rsidRDefault="004621D1" w:rsidP="00201994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sz w:val="24"/>
              </w:rPr>
            </w:pPr>
            <w:r w:rsidRPr="00F925EF">
              <w:rPr>
                <w:rFonts w:ascii="宋体" w:cs="宋体" w:hint="eastAsia"/>
                <w:color w:val="000000" w:themeColor="text1"/>
                <w:sz w:val="24"/>
              </w:rPr>
              <w:t>能提供保障使用者满意度达到</w:t>
            </w:r>
            <w:r w:rsidRPr="00F925EF">
              <w:rPr>
                <w:rFonts w:ascii="宋体" w:cs="宋体"/>
                <w:color w:val="000000" w:themeColor="text1"/>
                <w:sz w:val="24"/>
              </w:rPr>
              <w:t>90%</w:t>
            </w:r>
          </w:p>
        </w:tc>
      </w:tr>
    </w:tbl>
    <w:p w:rsidR="004621D1" w:rsidRPr="00F925EF" w:rsidRDefault="004621D1" w:rsidP="00551B88">
      <w:pPr>
        <w:rPr>
          <w:rFonts w:ascii="Calibri" w:hAnsi="Calibri"/>
          <w:color w:val="000000" w:themeColor="text1"/>
        </w:rPr>
      </w:pPr>
    </w:p>
    <w:p w:rsidR="004621D1" w:rsidRPr="00F925EF" w:rsidRDefault="004621D1" w:rsidP="00551B88">
      <w:pPr>
        <w:spacing w:line="580" w:lineRule="exact"/>
        <w:rPr>
          <w:rFonts w:ascii="仿宋_GB2312" w:eastAsia="仿宋_GB2312" w:cs="仿宋_GB2312"/>
          <w:color w:val="000000" w:themeColor="text1"/>
          <w:sz w:val="32"/>
          <w:szCs w:val="32"/>
        </w:rPr>
      </w:pPr>
    </w:p>
    <w:p w:rsidR="004621D1" w:rsidRPr="00F925EF" w:rsidRDefault="004621D1" w:rsidP="00551B88">
      <w:pPr>
        <w:numPr>
          <w:ilvl w:val="0"/>
          <w:numId w:val="6"/>
        </w:numPr>
        <w:spacing w:line="580" w:lineRule="exact"/>
        <w:ind w:firstLineChars="200" w:firstLine="643"/>
        <w:rPr>
          <w:rFonts w:ascii="FZFSJW--GB1-0" w:eastAsia="FZFSJW--GB1-0" w:cs="FZFSJW--GB1-0"/>
          <w:color w:val="000000" w:themeColor="text1"/>
          <w:kern w:val="0"/>
          <w:sz w:val="32"/>
          <w:szCs w:val="32"/>
        </w:rPr>
      </w:pPr>
      <w:r w:rsidRPr="00F925EF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部门开展绩效评价结果。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本部门按要求对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420F12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年部门整体支出绩效评价情况开展自评，《中共阿坝州委政法委员会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420F12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年度部门整体支出绩效自评报告》见附件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 w:cs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本部门自行组织对政法三级网线路租赁项目开展了绩效评价，《州委政法委项目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420F12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年绩效评价报告》见附件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4621D1" w:rsidRPr="00F925EF" w:rsidRDefault="004621D1" w:rsidP="00981CC7">
      <w:pPr>
        <w:numPr>
          <w:ilvl w:val="0"/>
          <w:numId w:val="5"/>
        </w:numPr>
        <w:spacing w:line="600" w:lineRule="exact"/>
        <w:ind w:firstLineChars="150" w:firstLine="660"/>
        <w:jc w:val="center"/>
        <w:outlineLvl w:val="0"/>
        <w:rPr>
          <w:rStyle w:val="1Char"/>
          <w:rFonts w:ascii="黑体" w:eastAsia="黑体" w:hAnsi="黑体"/>
          <w:b w:val="0"/>
          <w:color w:val="000000" w:themeColor="text1"/>
        </w:rPr>
      </w:pPr>
      <w:bookmarkStart w:id="87" w:name="_Toc83908239"/>
      <w:r w:rsidRPr="00F925EF">
        <w:rPr>
          <w:rFonts w:ascii="黑体" w:eastAsia="黑体" w:hAnsi="黑体" w:hint="eastAsia"/>
          <w:color w:val="000000" w:themeColor="text1"/>
          <w:sz w:val="44"/>
          <w:szCs w:val="44"/>
        </w:rPr>
        <w:t>名</w:t>
      </w:r>
      <w:r w:rsidRPr="00F925EF">
        <w:rPr>
          <w:rStyle w:val="1Char"/>
          <w:rFonts w:ascii="黑体" w:eastAsia="黑体" w:hAnsi="黑体" w:hint="eastAsia"/>
          <w:b w:val="0"/>
          <w:color w:val="000000" w:themeColor="text1"/>
        </w:rPr>
        <w:t>词解释</w:t>
      </w:r>
      <w:bookmarkEnd w:id="85"/>
      <w:bookmarkEnd w:id="86"/>
      <w:bookmarkEnd w:id="87"/>
    </w:p>
    <w:p w:rsidR="004621D1" w:rsidRPr="00F925EF" w:rsidRDefault="004621D1">
      <w:pPr>
        <w:spacing w:line="600" w:lineRule="exact"/>
        <w:jc w:val="left"/>
        <w:rPr>
          <w:rFonts w:ascii="宋体"/>
          <w:b/>
          <w:color w:val="000000" w:themeColor="text1"/>
          <w:sz w:val="44"/>
          <w:szCs w:val="44"/>
        </w:rPr>
      </w:pP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bookmarkStart w:id="88" w:name="_Toc15396614"/>
      <w:bookmarkStart w:id="89" w:name="_Toc15377226"/>
      <w:r w:rsidRPr="00F925EF">
        <w:rPr>
          <w:rFonts w:ascii="仿宋_GB2312" w:eastAsia="仿宋_GB2312"/>
          <w:color w:val="000000" w:themeColor="text1"/>
          <w:sz w:val="32"/>
          <w:szCs w:val="32"/>
        </w:rPr>
        <w:t>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．财政拨款收入：指省级财政当年拨付的资金。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．其他收入：指除上述“财政拨款收入”、“事业收入”、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“经营收入”等以外的收入。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3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．公共安全支出（类）公安（款）行政运行（项）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指主要用于在职在编人员基本工资、津贴补贴，保障机关正常运转的日常公用支出。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4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．公共安全支出（类）公安（款）一般行政管理事务（项）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指主要用于有序开展反恐维稳、社会治安综合治理、司法体制和社会体制改革、依法治省、政法队伍建设、政法部门服务保障经济发展、信息化建设以及见义勇为等重点工作。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5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．社会保障和就业支出（类）行政事业单位离退休（款）未归口管理的行政单位离退休（项）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指主要用于离退休人员离退休费和津补贴。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6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．社会保障和就业支出（类）行政事业单位离退休（款）机关事业单位基本养老保险缴费支出（项）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指主要用于离退休人员离退休费和津补贴。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7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．社会保障和就业支出（类）其他社会保障和就业支出（款）其他社会保障和就业支出（项）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指其它用于社会保障和就业方面的支出。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．医疗卫生与计划生育支出（类）医疗保障（款）行政单位医疗（项）：指财政部门集中安排的行政单位基本医疗保险缴费经费。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．医疗卫生与计划生育支出（类）医疗保障（款）公务员医疗补助（项）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指财政部门集中安排的公务员医疗补助经费。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lastRenderedPageBreak/>
        <w:t>10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．住房保障支出（类）住房改革支出（款）住房公积金（项）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指按照相关政策规定比例为个人缴纳的住房公积金。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11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．住房保障支出（类）住房改革支出（款）购房补贴（项）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: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指按照相关政策规定，向符合条件的个人发放的用于购买住房的补贴。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12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．年末结转和结余：指本年度或以前年度预算安排、因客观条件发生变化无法按原计划实施，需延迟到以后年度按有关规定继续使用的资金。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13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．基本支出：是用于保障省委政法委机关、省法学会、省政法研究所正常运转的日常支出，包括基本工资、津贴补贴等人员经费以及办公费、印刷费、水电费等日常公用经费。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 xml:space="preserve">　　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14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．项目支出：是用于保障省委政法委机关、省法学会、省政法研究所，为完成特定的行政工作任务或事业发展目标，用于专项业务工作的经费支出。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15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“三公”经费：纳入省级财政预决算管理的“三公”经费，是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、安全奖励费用等支出；公务接待费反映单位按规定开支的各类公务接待（含外宾接待）支出。</w:t>
      </w:r>
    </w:p>
    <w:p w:rsidR="004621D1" w:rsidRPr="00F925EF" w:rsidRDefault="004621D1" w:rsidP="00551B8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lastRenderedPageBreak/>
        <w:t>16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．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 w:rsidR="004621D1" w:rsidRPr="00F925EF" w:rsidRDefault="004621D1">
      <w:pPr>
        <w:spacing w:line="600" w:lineRule="exact"/>
        <w:jc w:val="center"/>
        <w:outlineLvl w:val="0"/>
        <w:rPr>
          <w:rStyle w:val="1Char"/>
          <w:rFonts w:ascii="黑体" w:eastAsia="黑体" w:hAnsi="黑体"/>
          <w:b w:val="0"/>
          <w:color w:val="000000" w:themeColor="text1"/>
        </w:rPr>
      </w:pPr>
      <w:bookmarkStart w:id="90" w:name="_Toc83908240"/>
      <w:r w:rsidRPr="00F925EF">
        <w:rPr>
          <w:rFonts w:ascii="黑体" w:eastAsia="黑体" w:hAnsi="黑体" w:hint="eastAsia"/>
          <w:color w:val="000000" w:themeColor="text1"/>
          <w:sz w:val="44"/>
          <w:szCs w:val="44"/>
        </w:rPr>
        <w:t>第</w:t>
      </w:r>
      <w:r w:rsidRPr="00F925EF">
        <w:rPr>
          <w:rStyle w:val="1Char"/>
          <w:rFonts w:ascii="黑体" w:eastAsia="黑体" w:hAnsi="黑体" w:hint="eastAsia"/>
          <w:b w:val="0"/>
          <w:color w:val="000000" w:themeColor="text1"/>
        </w:rPr>
        <w:t>四部分</w:t>
      </w:r>
      <w:r w:rsidRPr="00F925EF">
        <w:rPr>
          <w:rStyle w:val="1Char"/>
          <w:rFonts w:ascii="黑体" w:eastAsia="黑体" w:hAnsi="黑体"/>
          <w:b w:val="0"/>
          <w:color w:val="000000" w:themeColor="text1"/>
        </w:rPr>
        <w:t xml:space="preserve"> </w:t>
      </w:r>
      <w:r w:rsidRPr="00F925EF">
        <w:rPr>
          <w:rStyle w:val="1Char"/>
          <w:rFonts w:ascii="黑体" w:eastAsia="黑体" w:hAnsi="黑体" w:hint="eastAsia"/>
          <w:b w:val="0"/>
          <w:color w:val="000000" w:themeColor="text1"/>
        </w:rPr>
        <w:t>附件</w:t>
      </w:r>
      <w:bookmarkEnd w:id="88"/>
      <w:bookmarkEnd w:id="90"/>
    </w:p>
    <w:p w:rsidR="004621D1" w:rsidRPr="00F925EF" w:rsidRDefault="004621D1" w:rsidP="00551B88">
      <w:pPr>
        <w:pStyle w:val="2"/>
        <w:rPr>
          <w:rStyle w:val="1Char"/>
          <w:rFonts w:ascii="仿宋" w:eastAsia="仿宋" w:hAnsi="仿宋"/>
          <w:color w:val="000000" w:themeColor="text1"/>
          <w:sz w:val="32"/>
          <w:szCs w:val="32"/>
        </w:rPr>
      </w:pPr>
      <w:bookmarkStart w:id="91" w:name="_Toc15396615"/>
      <w:bookmarkStart w:id="92" w:name="_Toc83908241"/>
      <w:r w:rsidRPr="00F925EF">
        <w:rPr>
          <w:rStyle w:val="1Char"/>
          <w:rFonts w:ascii="仿宋" w:eastAsia="仿宋" w:hAnsi="仿宋" w:hint="eastAsia"/>
          <w:color w:val="000000" w:themeColor="text1"/>
          <w:sz w:val="32"/>
          <w:szCs w:val="32"/>
        </w:rPr>
        <w:t>附件</w:t>
      </w:r>
      <w:r w:rsidRPr="00F925EF">
        <w:rPr>
          <w:rStyle w:val="1Char"/>
          <w:rFonts w:ascii="仿宋" w:eastAsia="仿宋" w:hAnsi="仿宋"/>
          <w:color w:val="000000" w:themeColor="text1"/>
          <w:sz w:val="32"/>
          <w:szCs w:val="32"/>
        </w:rPr>
        <w:t>1</w:t>
      </w:r>
      <w:bookmarkEnd w:id="91"/>
      <w:bookmarkEnd w:id="92"/>
    </w:p>
    <w:p w:rsidR="004621D1" w:rsidRPr="00F925EF" w:rsidRDefault="004621D1" w:rsidP="00551B88">
      <w:pPr>
        <w:spacing w:line="600" w:lineRule="exact"/>
        <w:jc w:val="center"/>
        <w:outlineLvl w:val="0"/>
        <w:rPr>
          <w:rFonts w:ascii="黑体" w:eastAsia="黑体" w:hAnsi="黑体" w:cs="方正小标宋简体"/>
          <w:color w:val="000000" w:themeColor="text1"/>
          <w:sz w:val="36"/>
          <w:szCs w:val="36"/>
        </w:rPr>
      </w:pPr>
      <w:bookmarkStart w:id="93" w:name="_Toc83908242"/>
      <w:bookmarkStart w:id="94" w:name="_Toc15396616"/>
      <w:r w:rsidRPr="00F925EF">
        <w:rPr>
          <w:rFonts w:ascii="黑体" w:eastAsia="黑体" w:hAnsi="黑体" w:cs="方正小标宋简体" w:hint="eastAsia"/>
          <w:color w:val="000000" w:themeColor="text1"/>
          <w:sz w:val="36"/>
          <w:szCs w:val="36"/>
        </w:rPr>
        <w:t>中共阿坝州委政法委员会</w:t>
      </w:r>
      <w:bookmarkEnd w:id="93"/>
    </w:p>
    <w:p w:rsidR="004621D1" w:rsidRPr="00F925EF" w:rsidRDefault="004621D1" w:rsidP="00551B88">
      <w:pPr>
        <w:spacing w:line="600" w:lineRule="exact"/>
        <w:jc w:val="center"/>
        <w:outlineLvl w:val="0"/>
        <w:rPr>
          <w:rFonts w:ascii="黑体" w:eastAsia="黑体" w:hAnsi="黑体" w:cs="方正小标宋简体"/>
          <w:color w:val="000000" w:themeColor="text1"/>
          <w:sz w:val="36"/>
          <w:szCs w:val="36"/>
        </w:rPr>
      </w:pPr>
      <w:bookmarkStart w:id="95" w:name="_Toc83908243"/>
      <w:r w:rsidRPr="00F925EF">
        <w:rPr>
          <w:rFonts w:ascii="黑体" w:eastAsia="黑体" w:hAnsi="黑体" w:cs="方正小标宋简体"/>
          <w:color w:val="000000" w:themeColor="text1"/>
          <w:sz w:val="36"/>
          <w:szCs w:val="36"/>
        </w:rPr>
        <w:t>20</w:t>
      </w:r>
      <w:r w:rsidR="00420F12" w:rsidRPr="00F925EF">
        <w:rPr>
          <w:rFonts w:ascii="黑体" w:eastAsia="黑体" w:hAnsi="黑体" w:cs="方正小标宋简体" w:hint="eastAsia"/>
          <w:color w:val="000000" w:themeColor="text1"/>
          <w:sz w:val="36"/>
          <w:szCs w:val="36"/>
        </w:rPr>
        <w:t>20</w:t>
      </w:r>
      <w:r w:rsidRPr="00F925EF">
        <w:rPr>
          <w:rFonts w:ascii="黑体" w:eastAsia="黑体" w:hAnsi="黑体" w:cs="方正小标宋简体" w:hint="eastAsia"/>
          <w:color w:val="000000" w:themeColor="text1"/>
          <w:sz w:val="36"/>
          <w:szCs w:val="36"/>
        </w:rPr>
        <w:t>年部门整体支出绩效评价报告</w:t>
      </w:r>
      <w:bookmarkEnd w:id="94"/>
      <w:bookmarkEnd w:id="95"/>
    </w:p>
    <w:p w:rsidR="004621D1" w:rsidRPr="00F925EF" w:rsidRDefault="004621D1" w:rsidP="00551B88">
      <w:pPr>
        <w:spacing w:line="58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4621D1" w:rsidRPr="00F925EF" w:rsidRDefault="004621D1" w:rsidP="00551B88">
      <w:pPr>
        <w:spacing w:line="58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F925EF">
        <w:rPr>
          <w:rFonts w:ascii="黑体" w:eastAsia="黑体" w:hAnsi="黑体" w:cs="黑体" w:hint="eastAsia"/>
          <w:color w:val="000000" w:themeColor="text1"/>
          <w:sz w:val="32"/>
          <w:szCs w:val="32"/>
        </w:rPr>
        <w:t>一、部门（单位）概况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（一）机构组成</w:t>
      </w:r>
    </w:p>
    <w:p w:rsidR="004621D1" w:rsidRPr="00F925EF" w:rsidRDefault="004621D1" w:rsidP="0048305A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州委政法委属一级预算单位，无下属二级预算单位。内设办公室、州委维护稳定指挥部办公室、维稳指导科、综治督导科、基层社会治理科、矛盾多元化解指导科、法治与执法监督科、宣传科、政治部、组织建设科、纪律作风建设科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（二）机构职能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1.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深入贯彻党的路线方针政策和决策部署，统一政法各部门思想和行动，坚持党对政法工作的绝对领导，坚决维护党中央权威和集中统一领导。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深入贯彻党中央决定和省委、州委决策，对政法工作提出全局性部署，推进平安阿坝建设、法治阿坝建设，加强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过硬队伍建设，深化智能化建设。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3.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组织开展政法领域的调查研究，研究拟订全州政法工作的政策措施，及时向州委提出建议。参与有关民族自治法规、地方性法规和规章的起草、修改工作，及时提出立法建议。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4.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掌握分析政法舆情动态，指导协调政法部门媒体网络宣传工作，指导政法部门做好涉及政法工作的重大宣传和舆论引导工作。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5.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监督和支持政法各部门依法行使职权，指导和协调政法各部门密切配合，研究和协调重大、疑难案件，推进严格执法、公正司法。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6.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组织研究政法改革工作中带有方向性、倾向性和普遍性的重大问题，深化政法改革。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7.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指导推动政法系统党的建设和政法队伍建设，协同州级有关部门管理监督政法领导干部，代管阿坝州法学会。</w:t>
      </w:r>
    </w:p>
    <w:p w:rsidR="004621D1" w:rsidRPr="00F925EF" w:rsidRDefault="004621D1" w:rsidP="0048305A">
      <w:pPr>
        <w:spacing w:line="560" w:lineRule="exact"/>
        <w:ind w:firstLine="555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8.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完成州委交办的其他任务。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（三）人员概况</w:t>
      </w:r>
    </w:p>
    <w:p w:rsidR="004621D1" w:rsidRPr="00F925EF" w:rsidRDefault="004621D1" w:rsidP="0048305A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行政编制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22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名，工勤编制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名；在职人员总数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26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人，其中行政人员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人，机关工勤人员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7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人。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F925EF">
        <w:rPr>
          <w:rFonts w:ascii="黑体" w:eastAsia="黑体" w:hAnsi="黑体" w:cs="黑体" w:hint="eastAsia"/>
          <w:color w:val="000000" w:themeColor="text1"/>
          <w:sz w:val="32"/>
          <w:szCs w:val="32"/>
        </w:rPr>
        <w:t>二、部门财政资金收支情况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（一）部门财政资金收入情况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A732F5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年本年收入合计</w:t>
      </w:r>
      <w:r w:rsidR="00A732F5" w:rsidRPr="00F925EF">
        <w:rPr>
          <w:rFonts w:ascii="仿宋_GB2312" w:eastAsia="仿宋_GB2312"/>
          <w:color w:val="000000" w:themeColor="text1"/>
          <w:sz w:val="32"/>
          <w:szCs w:val="32"/>
        </w:rPr>
        <w:t>1520.88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万元，其中：一般公共预算财政拨款收入</w:t>
      </w:r>
      <w:r w:rsidR="00A732F5" w:rsidRPr="00F925EF">
        <w:rPr>
          <w:rFonts w:ascii="仿宋_GB2312" w:eastAsia="仿宋_GB2312"/>
          <w:color w:val="000000" w:themeColor="text1"/>
          <w:sz w:val="32"/>
          <w:szCs w:val="32"/>
        </w:rPr>
        <w:t>1520.88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100%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；其他收入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万元，占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0%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lastRenderedPageBreak/>
        <w:t>（二）部门财政资金支出情况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="00A732F5"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20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年本年支出合计</w:t>
      </w:r>
      <w:r w:rsidR="00A732F5" w:rsidRPr="00F925EF">
        <w:rPr>
          <w:rFonts w:ascii="仿宋" w:eastAsia="仿宋" w:hAnsi="仿宋"/>
          <w:color w:val="000000" w:themeColor="text1"/>
          <w:sz w:val="32"/>
          <w:szCs w:val="32"/>
        </w:rPr>
        <w:t>1820.76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万元，其中：基本支出</w:t>
      </w:r>
      <w:r w:rsidR="00A732F5" w:rsidRPr="00F925EF">
        <w:rPr>
          <w:rFonts w:ascii="仿宋" w:eastAsia="仿宋" w:hAnsi="仿宋"/>
          <w:color w:val="000000" w:themeColor="text1"/>
          <w:sz w:val="32"/>
          <w:szCs w:val="32"/>
        </w:rPr>
        <w:t>1199.34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A732F5" w:rsidRPr="00F925EF">
        <w:rPr>
          <w:rFonts w:ascii="仿宋" w:eastAsia="仿宋" w:hAnsi="仿宋"/>
          <w:color w:val="000000" w:themeColor="text1"/>
          <w:sz w:val="32"/>
          <w:szCs w:val="32"/>
        </w:rPr>
        <w:t>65.87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；项目支出</w:t>
      </w:r>
      <w:r w:rsidR="00A732F5" w:rsidRPr="00F925EF">
        <w:rPr>
          <w:rFonts w:ascii="仿宋" w:eastAsia="仿宋" w:hAnsi="仿宋"/>
          <w:color w:val="000000" w:themeColor="text1"/>
          <w:sz w:val="32"/>
          <w:szCs w:val="32"/>
        </w:rPr>
        <w:t>621.42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 w:rsidR="00A732F5" w:rsidRPr="00F925EF">
        <w:rPr>
          <w:rFonts w:ascii="仿宋" w:eastAsia="仿宋" w:hAnsi="仿宋"/>
          <w:color w:val="000000" w:themeColor="text1"/>
          <w:sz w:val="32"/>
          <w:szCs w:val="32"/>
        </w:rPr>
        <w:t>34.13</w:t>
      </w:r>
      <w:r w:rsidRPr="00F925EF">
        <w:rPr>
          <w:rFonts w:ascii="仿宋" w:eastAsia="仿宋" w:hAnsi="仿宋"/>
          <w:color w:val="000000" w:themeColor="text1"/>
          <w:sz w:val="32"/>
          <w:szCs w:val="32"/>
        </w:rPr>
        <w:t>%</w:t>
      </w:r>
      <w:r w:rsidRPr="00F925EF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F925EF">
        <w:rPr>
          <w:rFonts w:ascii="黑体" w:eastAsia="黑体" w:hAnsi="黑体" w:cs="黑体" w:hint="eastAsia"/>
          <w:color w:val="000000" w:themeColor="text1"/>
          <w:sz w:val="32"/>
          <w:szCs w:val="32"/>
        </w:rPr>
        <w:t>三、部门整体预算绩效管理情况（根据适用指标体系进行调整）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（一）部门预算管理。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以预算编制为引领，以支出管理为核心，扎实做好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A732F5" w:rsidRPr="00F925EF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 w:rsidR="009F7574" w:rsidRPr="00F925EF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预算工作。一是严格按照财政局预算编制要求，认真贯彻落实州委州政府关于“厉行节约”的要求，扎实做好预算工作，确保预算编制的科学性和准确性。二是加强支出进度管理，完善预算动态监控，主动作为，提前谋划，在完成一般性支出压减任务的情况下，确保了机关运行和重大项目的实施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（二）专项预算管理。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严格按照专项资金预算使用管理执行，进一步规范“三公”经费管理，从严控制“三公”经费开支。无因公出国（境）费预算和支出，公务接待费支出决算比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201</w:t>
      </w:r>
      <w:r w:rsidR="00A732F5" w:rsidRPr="00F925EF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="00A732F5" w:rsidRPr="00F925EF">
        <w:rPr>
          <w:rFonts w:ascii="仿宋_GB2312" w:eastAsia="仿宋_GB2312" w:hint="eastAsia"/>
          <w:color w:val="000000" w:themeColor="text1"/>
          <w:sz w:val="32"/>
          <w:szCs w:val="32"/>
        </w:rPr>
        <w:t>增加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0.</w:t>
      </w:r>
      <w:r w:rsidR="00A732F5" w:rsidRPr="00F925EF">
        <w:rPr>
          <w:rFonts w:ascii="仿宋_GB2312" w:eastAsia="仿宋_GB2312" w:hint="eastAsia"/>
          <w:color w:val="000000" w:themeColor="text1"/>
          <w:sz w:val="32"/>
          <w:szCs w:val="32"/>
        </w:rPr>
        <w:t>14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（三）结果应用情况。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A732F5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，州委政法委全面贯彻落实州委州政府重大决策部署，按照“规范、高效、廉洁”要求，围绕中心，服务大局，高效运转，改革创新，在完成一般性支出压减任务的情况下，确保了机关运行和重大项目的实施，工作质量和服务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效能整体提升。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F925EF">
        <w:rPr>
          <w:rFonts w:ascii="黑体" w:eastAsia="黑体" w:hAnsi="黑体" w:cs="黑体" w:hint="eastAsia"/>
          <w:color w:val="000000" w:themeColor="text1"/>
          <w:sz w:val="32"/>
          <w:szCs w:val="32"/>
        </w:rPr>
        <w:t>四、评价结论及建议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（一）评价结论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从自评情况来看，预、决算编制合理，支出规范，财政支出既确保了机关正常运转，又保证了项目开支，财政支出绩效良好。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（二）存在问题</w:t>
      </w:r>
    </w:p>
    <w:p w:rsidR="004621D1" w:rsidRPr="00F925EF" w:rsidRDefault="004621D1" w:rsidP="00551B88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整体支出绩效评价工作还存在个别项目绩效考核指标不准确、不完善，绩效管理信息支撑工作有待加强的情况。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（三）改进建议</w:t>
      </w:r>
    </w:p>
    <w:p w:rsidR="001333EB" w:rsidRDefault="004621D1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建议进一步完善绩效考核指标和开发专业绩效管理软件。</w:t>
      </w:r>
      <w:bookmarkStart w:id="96" w:name="_Toc15396617"/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1333EB" w:rsidRDefault="001333EB" w:rsidP="001333EB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4621D1" w:rsidRPr="00F925EF" w:rsidRDefault="004621D1" w:rsidP="001333EB">
      <w:pPr>
        <w:spacing w:line="580" w:lineRule="exact"/>
        <w:rPr>
          <w:rStyle w:val="1Char"/>
          <w:rFonts w:ascii="仿宋" w:eastAsia="仿宋" w:hAnsi="仿宋"/>
          <w:color w:val="000000" w:themeColor="text1"/>
          <w:sz w:val="32"/>
          <w:szCs w:val="32"/>
        </w:rPr>
      </w:pPr>
      <w:bookmarkStart w:id="97" w:name="_Toc83908244"/>
      <w:r w:rsidRPr="00F925EF">
        <w:rPr>
          <w:rStyle w:val="1Char"/>
          <w:rFonts w:ascii="仿宋" w:eastAsia="仿宋" w:hAnsi="仿宋" w:hint="eastAsia"/>
          <w:color w:val="000000" w:themeColor="text1"/>
          <w:sz w:val="32"/>
          <w:szCs w:val="32"/>
        </w:rPr>
        <w:lastRenderedPageBreak/>
        <w:t>附件</w:t>
      </w:r>
      <w:r w:rsidRPr="00F925EF">
        <w:rPr>
          <w:rStyle w:val="1Char"/>
          <w:rFonts w:ascii="仿宋" w:eastAsia="仿宋" w:hAnsi="仿宋"/>
          <w:color w:val="000000" w:themeColor="text1"/>
          <w:sz w:val="32"/>
          <w:szCs w:val="32"/>
        </w:rPr>
        <w:t>2</w:t>
      </w:r>
      <w:bookmarkEnd w:id="96"/>
      <w:bookmarkEnd w:id="97"/>
    </w:p>
    <w:p w:rsidR="004621D1" w:rsidRPr="00F925EF" w:rsidRDefault="004621D1" w:rsidP="00551B88">
      <w:pPr>
        <w:spacing w:line="580" w:lineRule="exact"/>
        <w:jc w:val="center"/>
        <w:rPr>
          <w:rFonts w:ascii="黑体" w:eastAsia="黑体" w:hAnsi="黑体" w:cs="方正小标宋简体"/>
          <w:color w:val="000000" w:themeColor="text1"/>
          <w:sz w:val="44"/>
          <w:szCs w:val="44"/>
        </w:rPr>
      </w:pPr>
      <w:r w:rsidRPr="00F925EF">
        <w:rPr>
          <w:rFonts w:ascii="黑体" w:eastAsia="黑体" w:hAnsi="黑体" w:cs="方正小标宋简体"/>
          <w:color w:val="000000" w:themeColor="text1"/>
          <w:sz w:val="44"/>
          <w:szCs w:val="44"/>
        </w:rPr>
        <w:t>20</w:t>
      </w:r>
      <w:r w:rsidR="00EE7CA0" w:rsidRPr="00F925EF">
        <w:rPr>
          <w:rFonts w:ascii="黑体" w:eastAsia="黑体" w:hAnsi="黑体" w:cs="方正小标宋简体" w:hint="eastAsia"/>
          <w:color w:val="000000" w:themeColor="text1"/>
          <w:sz w:val="44"/>
          <w:szCs w:val="44"/>
        </w:rPr>
        <w:t>20</w:t>
      </w:r>
      <w:r w:rsidRPr="00F925EF">
        <w:rPr>
          <w:rFonts w:ascii="黑体" w:eastAsia="黑体" w:hAnsi="黑体" w:cs="方正小标宋简体" w:hint="eastAsia"/>
          <w:color w:val="000000" w:themeColor="text1"/>
          <w:sz w:val="44"/>
          <w:szCs w:val="44"/>
        </w:rPr>
        <w:t>年州委政法委政法三级网线路租赁</w:t>
      </w:r>
    </w:p>
    <w:p w:rsidR="004621D1" w:rsidRPr="00F925EF" w:rsidRDefault="004621D1" w:rsidP="00551B88">
      <w:pPr>
        <w:spacing w:line="580" w:lineRule="exact"/>
        <w:jc w:val="center"/>
        <w:rPr>
          <w:rFonts w:ascii="黑体" w:eastAsia="黑体" w:hAnsi="黑体" w:cs="方正小标宋简体"/>
          <w:color w:val="000000" w:themeColor="text1"/>
          <w:sz w:val="44"/>
          <w:szCs w:val="44"/>
        </w:rPr>
      </w:pPr>
      <w:r w:rsidRPr="00F925EF">
        <w:rPr>
          <w:rFonts w:ascii="黑体" w:eastAsia="黑体" w:hAnsi="黑体" w:cs="方正小标宋简体" w:hint="eastAsia"/>
          <w:color w:val="000000" w:themeColor="text1"/>
          <w:sz w:val="44"/>
          <w:szCs w:val="44"/>
        </w:rPr>
        <w:t>项目支出绩效评价报告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 w:cs="仿宋_GB2312"/>
          <w:color w:val="000000" w:themeColor="text1"/>
          <w:sz w:val="32"/>
          <w:szCs w:val="32"/>
        </w:rPr>
      </w:pP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一、评价工作开展及项目情况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州委政法委在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20</w:t>
      </w:r>
      <w:r w:rsidR="009E724C" w:rsidRPr="00F925EF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年开展了政法三级网线路租赁费支出绩效评价，该项目合同约定，网络全年正常运转未发生故障时，全年按期支付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万元租赁费。由于双方严格履行合同义务，全年网络运行正常。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（一）评价结论</w:t>
      </w:r>
    </w:p>
    <w:p w:rsidR="004621D1" w:rsidRPr="00F925EF" w:rsidRDefault="004621D1" w:rsidP="00551B88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此项目绩效评价总体较好，根据我单位制定的项目积极开展好此项工作，对支出指标自评分值表进行考核，该项目绩效综合评价良好，实得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89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分。</w:t>
      </w:r>
    </w:p>
    <w:p w:rsidR="004621D1" w:rsidRPr="00F925EF" w:rsidRDefault="004621D1" w:rsidP="00551B88">
      <w:pPr>
        <w:spacing w:line="60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F925EF">
        <w:rPr>
          <w:rFonts w:ascii="楷体_GB2312" w:eastAsia="楷体_GB2312" w:hint="eastAsia"/>
          <w:b/>
          <w:color w:val="000000" w:themeColor="text1"/>
          <w:sz w:val="32"/>
          <w:szCs w:val="32"/>
        </w:rPr>
        <w:t>（二）绩效分析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 w:cs="仿宋_GB2312"/>
          <w:color w:val="000000" w:themeColor="text1"/>
          <w:sz w:val="32"/>
          <w:szCs w:val="32"/>
        </w:rPr>
        <w:t>1</w:t>
      </w:r>
      <w:r w:rsidRPr="00F925EF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、项目决策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根据建成时间和合同约定按期支付相关费用，确保信息系统能安全、高效运转。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 w:cs="仿宋_GB2312"/>
          <w:color w:val="000000" w:themeColor="text1"/>
          <w:sz w:val="32"/>
          <w:szCs w:val="32"/>
        </w:rPr>
        <w:t>2</w:t>
      </w:r>
      <w:r w:rsidRPr="00F925EF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、项目管理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资金分配情况，资金严格按照合同约定使用，经费支出手续齐备，从申请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-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审核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-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批准的支付款项程序到位，落实专款专用原则。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 w:cs="仿宋_GB2312"/>
          <w:color w:val="000000" w:themeColor="text1"/>
          <w:sz w:val="32"/>
          <w:szCs w:val="32"/>
        </w:rPr>
        <w:t>3</w:t>
      </w:r>
      <w:r w:rsidRPr="00F925EF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、项目绩效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项目目标完成情况较好，使用者满意，全年支付租赁费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用</w:t>
      </w:r>
      <w:r w:rsidRPr="00F925EF">
        <w:rPr>
          <w:rFonts w:ascii="仿宋_GB2312" w:eastAsia="仿宋_GB2312"/>
          <w:color w:val="000000" w:themeColor="text1"/>
          <w:sz w:val="32"/>
          <w:szCs w:val="32"/>
        </w:rPr>
        <w:t>120</w:t>
      </w: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万元。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三、存在主要问题</w:t>
      </w:r>
    </w:p>
    <w:p w:rsidR="004621D1" w:rsidRPr="00F925EF" w:rsidRDefault="004621D1" w:rsidP="00551B88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绩效目标管理有待进一步加强，绩效目标内容有待完整。</w:t>
      </w:r>
    </w:p>
    <w:p w:rsidR="004621D1" w:rsidRPr="00F925EF" w:rsidRDefault="004621D1" w:rsidP="00551B88">
      <w:pPr>
        <w:numPr>
          <w:ilvl w:val="0"/>
          <w:numId w:val="7"/>
        </w:numPr>
        <w:spacing w:line="580" w:lineRule="exact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F925EF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相关措施建议</w:t>
      </w:r>
    </w:p>
    <w:p w:rsidR="001C1165" w:rsidRDefault="004621D1" w:rsidP="001C1165">
      <w:pPr>
        <w:spacing w:line="580" w:lineRule="exact"/>
        <w:ind w:firstLineChars="200" w:firstLine="640"/>
        <w:rPr>
          <w:rFonts w:ascii="黑体" w:eastAsia="黑体" w:hAnsi="黑体"/>
          <w:color w:val="000000"/>
          <w:sz w:val="44"/>
          <w:szCs w:val="44"/>
        </w:rPr>
      </w:pPr>
      <w:r w:rsidRPr="00F925EF">
        <w:rPr>
          <w:rFonts w:ascii="仿宋_GB2312" w:eastAsia="仿宋_GB2312" w:hint="eastAsia"/>
          <w:color w:val="000000" w:themeColor="text1"/>
          <w:sz w:val="32"/>
          <w:szCs w:val="32"/>
        </w:rPr>
        <w:t>在日常预算执行管理过程中，合理合规的使用资金，进一步加强预算支出的跟踪监控及预算执行情况分析。财务人员加强业务知识学习，不断提升业务能力。</w:t>
      </w:r>
      <w:bookmarkStart w:id="98" w:name="_Toc15396618"/>
      <w:bookmarkStart w:id="99" w:name="_Toc79163635"/>
      <w:bookmarkStart w:id="100" w:name="_Toc83908245"/>
      <w:bookmarkEnd w:id="89"/>
    </w:p>
    <w:p w:rsidR="003477F6" w:rsidRDefault="003477F6" w:rsidP="001C1165">
      <w:pPr>
        <w:spacing w:line="480" w:lineRule="auto"/>
        <w:jc w:val="center"/>
        <w:outlineLvl w:val="0"/>
        <w:rPr>
          <w:rStyle w:val="1Char"/>
          <w:rFonts w:ascii="黑体" w:eastAsia="黑体" w:hAnsi="黑体"/>
          <w:b w:val="0"/>
        </w:rPr>
      </w:pPr>
      <w:r>
        <w:rPr>
          <w:rFonts w:ascii="黑体" w:eastAsia="黑体" w:hAnsi="黑体" w:hint="eastAsia"/>
          <w:color w:val="000000"/>
          <w:sz w:val="44"/>
          <w:szCs w:val="44"/>
        </w:rPr>
        <w:t>第</w:t>
      </w:r>
      <w:r>
        <w:rPr>
          <w:rStyle w:val="1Char"/>
          <w:rFonts w:ascii="黑体" w:eastAsia="黑体" w:hAnsi="黑体" w:hint="eastAsia"/>
          <w:b w:val="0"/>
        </w:rPr>
        <w:t>五部分</w:t>
      </w:r>
      <w:r>
        <w:rPr>
          <w:rStyle w:val="1Char"/>
          <w:rFonts w:ascii="黑体" w:eastAsia="黑体" w:hAnsi="黑体"/>
          <w:b w:val="0"/>
        </w:rPr>
        <w:t xml:space="preserve"> </w:t>
      </w:r>
      <w:r>
        <w:rPr>
          <w:rStyle w:val="1Char"/>
          <w:rFonts w:ascii="黑体" w:eastAsia="黑体" w:hAnsi="黑体" w:hint="eastAsia"/>
          <w:b w:val="0"/>
        </w:rPr>
        <w:t>附表</w:t>
      </w:r>
      <w:bookmarkEnd w:id="98"/>
      <w:bookmarkEnd w:id="99"/>
      <w:bookmarkEnd w:id="100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01" w:name="_Toc15396619"/>
      <w:bookmarkStart w:id="102" w:name="_Toc79163636"/>
      <w:bookmarkStart w:id="103" w:name="_Toc83908246"/>
      <w:r>
        <w:rPr>
          <w:rFonts w:ascii="仿宋" w:eastAsia="仿宋" w:hAnsi="仿宋" w:hint="eastAsia"/>
          <w:b w:val="0"/>
          <w:color w:val="000000"/>
        </w:rPr>
        <w:t>一、收</w:t>
      </w:r>
      <w:r>
        <w:rPr>
          <w:rStyle w:val="2Char"/>
          <w:rFonts w:ascii="仿宋" w:eastAsia="仿宋" w:hAnsi="仿宋" w:hint="eastAsia"/>
        </w:rPr>
        <w:t>入支出决算总表</w:t>
      </w:r>
      <w:bookmarkEnd w:id="101"/>
      <w:bookmarkEnd w:id="102"/>
      <w:bookmarkEnd w:id="103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04" w:name="_Toc15396620"/>
      <w:bookmarkStart w:id="105" w:name="_Toc79163637"/>
      <w:bookmarkStart w:id="106" w:name="_Toc83908247"/>
      <w:r>
        <w:rPr>
          <w:rFonts w:ascii="仿宋" w:eastAsia="仿宋" w:hAnsi="仿宋" w:hint="eastAsia"/>
          <w:b w:val="0"/>
          <w:color w:val="000000"/>
        </w:rPr>
        <w:t>二、收</w:t>
      </w:r>
      <w:r>
        <w:rPr>
          <w:rStyle w:val="2Char"/>
          <w:rFonts w:ascii="仿宋" w:eastAsia="仿宋" w:hAnsi="仿宋" w:hint="eastAsia"/>
        </w:rPr>
        <w:t>入决算表</w:t>
      </w:r>
      <w:bookmarkEnd w:id="104"/>
      <w:bookmarkEnd w:id="105"/>
      <w:bookmarkEnd w:id="106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07" w:name="_Toc15396621"/>
      <w:bookmarkStart w:id="108" w:name="_Toc79163638"/>
      <w:bookmarkStart w:id="109" w:name="_Toc83908248"/>
      <w:r>
        <w:rPr>
          <w:rStyle w:val="2Char"/>
          <w:rFonts w:ascii="仿宋" w:eastAsia="仿宋" w:hAnsi="仿宋" w:hint="eastAsia"/>
        </w:rPr>
        <w:t>三、</w:t>
      </w:r>
      <w:r>
        <w:rPr>
          <w:rFonts w:ascii="仿宋" w:eastAsia="仿宋" w:hAnsi="仿宋" w:hint="eastAsia"/>
          <w:b w:val="0"/>
          <w:color w:val="000000"/>
        </w:rPr>
        <w:t>支</w:t>
      </w:r>
      <w:r>
        <w:rPr>
          <w:rStyle w:val="2Char"/>
          <w:rFonts w:ascii="仿宋" w:eastAsia="仿宋" w:hAnsi="仿宋" w:hint="eastAsia"/>
        </w:rPr>
        <w:t>出决算表</w:t>
      </w:r>
      <w:bookmarkEnd w:id="107"/>
      <w:bookmarkEnd w:id="108"/>
      <w:bookmarkEnd w:id="109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b w:val="0"/>
          <w:color w:val="000000"/>
        </w:rPr>
      </w:pPr>
      <w:bookmarkStart w:id="110" w:name="_Toc15396622"/>
      <w:bookmarkStart w:id="111" w:name="_Toc79163639"/>
      <w:bookmarkStart w:id="112" w:name="_Toc83908249"/>
      <w:r>
        <w:rPr>
          <w:rStyle w:val="2Char"/>
          <w:rFonts w:ascii="仿宋" w:eastAsia="仿宋" w:hAnsi="仿宋" w:hint="eastAsia"/>
        </w:rPr>
        <w:t>四、</w:t>
      </w:r>
      <w:r>
        <w:rPr>
          <w:rFonts w:ascii="仿宋" w:eastAsia="仿宋" w:hAnsi="仿宋" w:hint="eastAsia"/>
          <w:b w:val="0"/>
          <w:color w:val="000000"/>
        </w:rPr>
        <w:t>财</w:t>
      </w:r>
      <w:r>
        <w:rPr>
          <w:rStyle w:val="2Char"/>
          <w:rFonts w:ascii="仿宋" w:eastAsia="仿宋" w:hAnsi="仿宋" w:hint="eastAsia"/>
        </w:rPr>
        <w:t>政拨款收入支出决算总表</w:t>
      </w:r>
      <w:bookmarkEnd w:id="110"/>
      <w:bookmarkEnd w:id="111"/>
      <w:bookmarkEnd w:id="112"/>
    </w:p>
    <w:p w:rsidR="003477F6" w:rsidRDefault="003477F6" w:rsidP="001C1165">
      <w:pPr>
        <w:pStyle w:val="2"/>
        <w:spacing w:before="0" w:after="0" w:line="480" w:lineRule="auto"/>
        <w:rPr>
          <w:rStyle w:val="2Char"/>
          <w:rFonts w:ascii="仿宋" w:eastAsia="仿宋" w:hAnsi="仿宋"/>
        </w:rPr>
      </w:pPr>
      <w:bookmarkStart w:id="113" w:name="_Toc15396623"/>
      <w:bookmarkStart w:id="114" w:name="_Toc79163640"/>
      <w:bookmarkStart w:id="115" w:name="_Toc83908250"/>
      <w:r>
        <w:rPr>
          <w:rStyle w:val="2Char"/>
          <w:rFonts w:ascii="仿宋" w:eastAsia="仿宋" w:hAnsi="仿宋" w:hint="eastAsia"/>
        </w:rPr>
        <w:t>五、</w:t>
      </w:r>
      <w:r>
        <w:rPr>
          <w:rFonts w:ascii="仿宋" w:eastAsia="仿宋" w:hAnsi="仿宋" w:hint="eastAsia"/>
          <w:b w:val="0"/>
          <w:color w:val="000000"/>
        </w:rPr>
        <w:t>财</w:t>
      </w:r>
      <w:r>
        <w:rPr>
          <w:rStyle w:val="2Char"/>
          <w:rFonts w:ascii="仿宋" w:eastAsia="仿宋" w:hAnsi="仿宋" w:hint="eastAsia"/>
        </w:rPr>
        <w:t>政拨款支出决算明细表</w:t>
      </w:r>
      <w:bookmarkStart w:id="116" w:name="_Toc15396624"/>
      <w:bookmarkEnd w:id="113"/>
      <w:bookmarkEnd w:id="114"/>
      <w:bookmarkEnd w:id="115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17" w:name="_Toc79163641"/>
      <w:bookmarkStart w:id="118" w:name="_Toc83908251"/>
      <w:r>
        <w:rPr>
          <w:rStyle w:val="2Char"/>
          <w:rFonts w:ascii="仿宋" w:eastAsia="仿宋" w:hAnsi="仿宋" w:hint="eastAsia"/>
        </w:rPr>
        <w:t>六、</w:t>
      </w:r>
      <w:r>
        <w:rPr>
          <w:rFonts w:ascii="仿宋" w:eastAsia="仿宋" w:hAnsi="仿宋" w:hint="eastAsia"/>
          <w:b w:val="0"/>
          <w:color w:val="000000"/>
        </w:rPr>
        <w:t>一</w:t>
      </w:r>
      <w:r>
        <w:rPr>
          <w:rStyle w:val="2Char"/>
          <w:rFonts w:ascii="仿宋" w:eastAsia="仿宋" w:hAnsi="仿宋" w:hint="eastAsia"/>
        </w:rPr>
        <w:t>般公共预算财政拨款支出决算表</w:t>
      </w:r>
      <w:bookmarkEnd w:id="116"/>
      <w:bookmarkEnd w:id="117"/>
      <w:bookmarkEnd w:id="118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19" w:name="_Toc15396625"/>
      <w:bookmarkStart w:id="120" w:name="_Toc79163642"/>
      <w:bookmarkStart w:id="121" w:name="_Toc83908252"/>
      <w:r>
        <w:rPr>
          <w:rStyle w:val="2Char"/>
          <w:rFonts w:ascii="仿宋" w:eastAsia="仿宋" w:hAnsi="仿宋" w:hint="eastAsia"/>
        </w:rPr>
        <w:t>七、</w:t>
      </w:r>
      <w:r>
        <w:rPr>
          <w:rFonts w:ascii="仿宋" w:eastAsia="仿宋" w:hAnsi="仿宋" w:hint="eastAsia"/>
          <w:b w:val="0"/>
          <w:color w:val="000000"/>
        </w:rPr>
        <w:t>一</w:t>
      </w:r>
      <w:r>
        <w:rPr>
          <w:rStyle w:val="2Char"/>
          <w:rFonts w:ascii="仿宋" w:eastAsia="仿宋" w:hAnsi="仿宋" w:hint="eastAsia"/>
        </w:rPr>
        <w:t>般公共预算财政拨款支出决算明细表</w:t>
      </w:r>
      <w:bookmarkEnd w:id="119"/>
      <w:bookmarkEnd w:id="120"/>
      <w:bookmarkEnd w:id="121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22" w:name="_Toc15396626"/>
      <w:bookmarkStart w:id="123" w:name="_Toc79163643"/>
      <w:bookmarkStart w:id="124" w:name="_Toc83908253"/>
      <w:r>
        <w:rPr>
          <w:rStyle w:val="2Char"/>
          <w:rFonts w:ascii="仿宋" w:eastAsia="仿宋" w:hAnsi="仿宋" w:hint="eastAsia"/>
        </w:rPr>
        <w:t>八、</w:t>
      </w:r>
      <w:r>
        <w:rPr>
          <w:rFonts w:ascii="仿宋" w:eastAsia="仿宋" w:hAnsi="仿宋" w:hint="eastAsia"/>
          <w:b w:val="0"/>
          <w:color w:val="000000"/>
        </w:rPr>
        <w:t>一</w:t>
      </w:r>
      <w:r>
        <w:rPr>
          <w:rStyle w:val="2Char"/>
          <w:rFonts w:ascii="仿宋" w:eastAsia="仿宋" w:hAnsi="仿宋" w:hint="eastAsia"/>
        </w:rPr>
        <w:t>般公共预算财政拨款基本支出决算表</w:t>
      </w:r>
      <w:bookmarkEnd w:id="122"/>
      <w:bookmarkEnd w:id="123"/>
      <w:bookmarkEnd w:id="124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25" w:name="_Toc15396627"/>
      <w:bookmarkStart w:id="126" w:name="_Toc79163644"/>
      <w:bookmarkStart w:id="127" w:name="_Toc83908254"/>
      <w:r>
        <w:rPr>
          <w:rStyle w:val="2Char"/>
          <w:rFonts w:ascii="仿宋" w:eastAsia="仿宋" w:hAnsi="仿宋" w:hint="eastAsia"/>
        </w:rPr>
        <w:t>九、</w:t>
      </w:r>
      <w:r>
        <w:rPr>
          <w:rFonts w:ascii="仿宋" w:eastAsia="仿宋" w:hAnsi="仿宋" w:hint="eastAsia"/>
          <w:b w:val="0"/>
          <w:color w:val="000000"/>
        </w:rPr>
        <w:t>一</w:t>
      </w:r>
      <w:r>
        <w:rPr>
          <w:rStyle w:val="2Char"/>
          <w:rFonts w:ascii="仿宋" w:eastAsia="仿宋" w:hAnsi="仿宋" w:hint="eastAsia"/>
        </w:rPr>
        <w:t>般公共预算财政拨款项目支出决算表</w:t>
      </w:r>
      <w:bookmarkEnd w:id="125"/>
      <w:bookmarkEnd w:id="126"/>
      <w:bookmarkEnd w:id="127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28" w:name="_Toc15396628"/>
      <w:bookmarkStart w:id="129" w:name="_Toc79163645"/>
      <w:bookmarkStart w:id="130" w:name="_Toc83908255"/>
      <w:r>
        <w:rPr>
          <w:rStyle w:val="2Char"/>
          <w:rFonts w:ascii="仿宋" w:eastAsia="仿宋" w:hAnsi="仿宋" w:hint="eastAsia"/>
        </w:rPr>
        <w:t>十、</w:t>
      </w:r>
      <w:r>
        <w:rPr>
          <w:rFonts w:ascii="仿宋" w:eastAsia="仿宋" w:hAnsi="仿宋" w:hint="eastAsia"/>
          <w:b w:val="0"/>
          <w:color w:val="000000"/>
        </w:rPr>
        <w:t>一</w:t>
      </w:r>
      <w:r>
        <w:rPr>
          <w:rStyle w:val="2Char"/>
          <w:rFonts w:ascii="仿宋" w:eastAsia="仿宋" w:hAnsi="仿宋" w:hint="eastAsia"/>
        </w:rPr>
        <w:t>般公共预算财政拨款“三公”经费支出决算表</w:t>
      </w:r>
      <w:bookmarkEnd w:id="128"/>
      <w:bookmarkEnd w:id="129"/>
      <w:bookmarkEnd w:id="130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31" w:name="_Toc15396629"/>
      <w:bookmarkStart w:id="132" w:name="_Toc79163646"/>
      <w:bookmarkStart w:id="133" w:name="_Toc83908256"/>
      <w:r>
        <w:rPr>
          <w:rStyle w:val="2Char"/>
          <w:rFonts w:ascii="仿宋" w:eastAsia="仿宋" w:hAnsi="仿宋" w:hint="eastAsia"/>
        </w:rPr>
        <w:t>十一、</w:t>
      </w:r>
      <w:r>
        <w:rPr>
          <w:rFonts w:ascii="仿宋" w:eastAsia="仿宋" w:hAnsi="仿宋" w:hint="eastAsia"/>
          <w:b w:val="0"/>
          <w:color w:val="000000"/>
        </w:rPr>
        <w:t>政</w:t>
      </w:r>
      <w:r>
        <w:rPr>
          <w:rStyle w:val="2Char"/>
          <w:rFonts w:ascii="仿宋" w:eastAsia="仿宋" w:hAnsi="仿宋" w:hint="eastAsia"/>
        </w:rPr>
        <w:t>府性基金预算财政拨款收入支出决算表</w:t>
      </w:r>
      <w:bookmarkEnd w:id="131"/>
      <w:bookmarkEnd w:id="132"/>
      <w:bookmarkEnd w:id="133"/>
    </w:p>
    <w:p w:rsidR="003477F6" w:rsidRDefault="003477F6" w:rsidP="001C1165">
      <w:pPr>
        <w:pStyle w:val="2"/>
        <w:spacing w:before="0" w:after="0" w:line="480" w:lineRule="auto"/>
        <w:rPr>
          <w:rFonts w:ascii="仿宋" w:eastAsia="仿宋" w:hAnsi="仿宋"/>
          <w:color w:val="000000"/>
        </w:rPr>
      </w:pPr>
      <w:bookmarkStart w:id="134" w:name="_Toc15396630"/>
      <w:bookmarkStart w:id="135" w:name="_Toc79163647"/>
      <w:bookmarkStart w:id="136" w:name="_Toc83908257"/>
      <w:r>
        <w:rPr>
          <w:rStyle w:val="2Char"/>
          <w:rFonts w:ascii="仿宋" w:eastAsia="仿宋" w:hAnsi="仿宋" w:hint="eastAsia"/>
        </w:rPr>
        <w:t>十二、</w:t>
      </w:r>
      <w:r>
        <w:rPr>
          <w:rFonts w:ascii="仿宋" w:eastAsia="仿宋" w:hAnsi="仿宋" w:hint="eastAsia"/>
          <w:b w:val="0"/>
          <w:color w:val="000000"/>
        </w:rPr>
        <w:t>政</w:t>
      </w:r>
      <w:r>
        <w:rPr>
          <w:rStyle w:val="2Char"/>
          <w:rFonts w:ascii="仿宋" w:eastAsia="仿宋" w:hAnsi="仿宋" w:hint="eastAsia"/>
        </w:rPr>
        <w:t>府性基金预算财政拨款“三公”经费支出决算表</w:t>
      </w:r>
      <w:bookmarkEnd w:id="134"/>
      <w:bookmarkEnd w:id="135"/>
      <w:bookmarkEnd w:id="136"/>
    </w:p>
    <w:p w:rsidR="003477F6" w:rsidRDefault="003477F6" w:rsidP="001C1165">
      <w:pPr>
        <w:pStyle w:val="2"/>
        <w:spacing w:before="0" w:after="0" w:line="480" w:lineRule="auto"/>
        <w:rPr>
          <w:rStyle w:val="2Char"/>
          <w:rFonts w:ascii="仿宋" w:eastAsia="仿宋" w:hAnsi="仿宋"/>
        </w:rPr>
      </w:pPr>
      <w:bookmarkStart w:id="137" w:name="_Toc15396631"/>
      <w:bookmarkStart w:id="138" w:name="_Toc79163648"/>
      <w:bookmarkStart w:id="139" w:name="_Toc83908258"/>
      <w:r>
        <w:rPr>
          <w:rStyle w:val="2Char"/>
          <w:rFonts w:ascii="仿宋" w:eastAsia="仿宋" w:hAnsi="仿宋" w:hint="eastAsia"/>
        </w:rPr>
        <w:t>十三、</w:t>
      </w:r>
      <w:r>
        <w:rPr>
          <w:rFonts w:ascii="仿宋" w:eastAsia="仿宋" w:hAnsi="仿宋" w:hint="eastAsia"/>
          <w:b w:val="0"/>
          <w:color w:val="000000"/>
        </w:rPr>
        <w:t>国</w:t>
      </w:r>
      <w:r>
        <w:rPr>
          <w:rStyle w:val="2Char"/>
          <w:rFonts w:ascii="仿宋" w:eastAsia="仿宋" w:hAnsi="仿宋" w:hint="eastAsia"/>
        </w:rPr>
        <w:t>有资本经营预算财政拨款支出决算表</w:t>
      </w:r>
      <w:bookmarkEnd w:id="137"/>
      <w:bookmarkEnd w:id="138"/>
      <w:bookmarkEnd w:id="139"/>
    </w:p>
    <w:p w:rsidR="003477F6" w:rsidRPr="00DC74B0" w:rsidRDefault="003477F6" w:rsidP="001C1165">
      <w:pPr>
        <w:pStyle w:val="2"/>
        <w:spacing w:before="0" w:after="0" w:line="480" w:lineRule="auto"/>
        <w:rPr>
          <w:rStyle w:val="2Char"/>
          <w:rFonts w:ascii="仿宋" w:eastAsia="仿宋" w:hAnsi="仿宋"/>
        </w:rPr>
      </w:pPr>
      <w:bookmarkStart w:id="140" w:name="_Toc79163649"/>
      <w:bookmarkStart w:id="141" w:name="_Toc83908259"/>
      <w:r w:rsidRPr="00DC74B0">
        <w:rPr>
          <w:rStyle w:val="2Char"/>
          <w:rFonts w:ascii="仿宋" w:eastAsia="仿宋" w:hAnsi="仿宋" w:hint="eastAsia"/>
        </w:rPr>
        <w:t>十四、国有资本经营预算财政拨款支出决算表</w:t>
      </w:r>
      <w:bookmarkEnd w:id="140"/>
      <w:bookmarkEnd w:id="141"/>
    </w:p>
    <w:p w:rsidR="004621D1" w:rsidRPr="003477F6" w:rsidRDefault="004621D1" w:rsidP="001C1165">
      <w:pPr>
        <w:spacing w:line="480" w:lineRule="auto"/>
        <w:jc w:val="center"/>
        <w:outlineLvl w:val="0"/>
        <w:rPr>
          <w:rFonts w:ascii="仿宋" w:eastAsia="仿宋" w:hAnsi="仿宋"/>
          <w:color w:val="000000" w:themeColor="text1"/>
        </w:rPr>
      </w:pPr>
    </w:p>
    <w:sectPr w:rsidR="004621D1" w:rsidRPr="003477F6" w:rsidSect="007261BF">
      <w:headerReference w:type="default" r:id="rId22"/>
      <w:footerReference w:type="default" r:id="rId23"/>
      <w:pgSz w:w="11906" w:h="16838"/>
      <w:pgMar w:top="1440" w:right="1797" w:bottom="1440" w:left="1797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B01" w:rsidRDefault="00507B01" w:rsidP="005B5C64">
      <w:r>
        <w:separator/>
      </w:r>
    </w:p>
  </w:endnote>
  <w:endnote w:type="continuationSeparator" w:id="0">
    <w:p w:rsidR="00507B01" w:rsidRDefault="00507B01" w:rsidP="005B5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iTi_GB2312">
    <w:altName w:val="Times New Roman"/>
    <w:panose1 w:val="02010609060101010101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FSJW--GB1-0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6A0" w:rsidRDefault="001834EB">
    <w:pPr>
      <w:pStyle w:val="a5"/>
      <w:jc w:val="center"/>
    </w:pPr>
    <w:fldSimple w:instr="PAGE   \* MERGEFORMAT">
      <w:r w:rsidR="00D379AB" w:rsidRPr="00D379AB">
        <w:rPr>
          <w:noProof/>
          <w:lang w:val="zh-CN"/>
        </w:rPr>
        <w:t>17</w:t>
      </w:r>
    </w:fldSimple>
  </w:p>
  <w:p w:rsidR="00D136A0" w:rsidRDefault="00D136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B01" w:rsidRDefault="00507B01" w:rsidP="005B5C64">
      <w:r>
        <w:separator/>
      </w:r>
    </w:p>
  </w:footnote>
  <w:footnote w:type="continuationSeparator" w:id="0">
    <w:p w:rsidR="00507B01" w:rsidRDefault="00507B01" w:rsidP="005B5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6A0" w:rsidRDefault="00D136A0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652CEC"/>
    <w:multiLevelType w:val="singleLevel"/>
    <w:tmpl w:val="CF652CEC"/>
    <w:lvl w:ilvl="0">
      <w:start w:val="9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E2FA047D"/>
    <w:multiLevelType w:val="singleLevel"/>
    <w:tmpl w:val="E2FA047D"/>
    <w:lvl w:ilvl="0">
      <w:start w:val="3"/>
      <w:numFmt w:val="chineseCounting"/>
      <w:suff w:val="space"/>
      <w:lvlText w:val="第%1部分"/>
      <w:lvlJc w:val="left"/>
      <w:rPr>
        <w:rFonts w:cs="Times New Roman" w:hint="eastAsia"/>
      </w:rPr>
    </w:lvl>
  </w:abstractNum>
  <w:abstractNum w:abstractNumId="2">
    <w:nsid w:val="EC0BEF30"/>
    <w:multiLevelType w:val="singleLevel"/>
    <w:tmpl w:val="EC0BEF30"/>
    <w:lvl w:ilvl="0">
      <w:start w:val="1"/>
      <w:numFmt w:val="chineseCounting"/>
      <w:suff w:val="nothing"/>
      <w:lvlText w:val="（%1）"/>
      <w:lvlJc w:val="left"/>
      <w:rPr>
        <w:rFonts w:ascii="KaiTi_GB2312" w:eastAsia="Times New Roman" w:hAnsi="KaiTi_GB2312" w:cs="KaiTi_GB2312" w:hint="eastAsia"/>
        <w:b/>
        <w:bCs/>
        <w:sz w:val="32"/>
        <w:szCs w:val="32"/>
      </w:rPr>
    </w:lvl>
  </w:abstractNum>
  <w:abstractNum w:abstractNumId="3">
    <w:nsid w:val="1272550B"/>
    <w:multiLevelType w:val="multilevel"/>
    <w:tmpl w:val="1272550B"/>
    <w:lvl w:ilvl="0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4">
    <w:nsid w:val="17F426B7"/>
    <w:multiLevelType w:val="multilevel"/>
    <w:tmpl w:val="17F426B7"/>
    <w:lvl w:ilvl="0">
      <w:start w:val="10"/>
      <w:numFmt w:val="japaneseCounting"/>
      <w:lvlText w:val="%1、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549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69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809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229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69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89" w:hanging="420"/>
      </w:pPr>
      <w:rPr>
        <w:rFonts w:cs="Times New Roman"/>
      </w:rPr>
    </w:lvl>
  </w:abstractNum>
  <w:abstractNum w:abstractNumId="5">
    <w:nsid w:val="332E2FF2"/>
    <w:multiLevelType w:val="hybridMultilevel"/>
    <w:tmpl w:val="49F4A190"/>
    <w:lvl w:ilvl="0" w:tplc="EA649D26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cs="Times New Roman"/>
      </w:rPr>
    </w:lvl>
  </w:abstractNum>
  <w:abstractNum w:abstractNumId="6">
    <w:nsid w:val="62621CDC"/>
    <w:multiLevelType w:val="multilevel"/>
    <w:tmpl w:val="62621CDC"/>
    <w:lvl w:ilvl="0">
      <w:start w:val="1"/>
      <w:numFmt w:val="decimal"/>
      <w:lvlText w:val="%1."/>
      <w:lvlJc w:val="left"/>
      <w:pPr>
        <w:ind w:left="1152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512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32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52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72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92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12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32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2" w:hanging="42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61C"/>
    <w:rsid w:val="00000065"/>
    <w:rsid w:val="00002AF8"/>
    <w:rsid w:val="0001655C"/>
    <w:rsid w:val="000222C6"/>
    <w:rsid w:val="0002549F"/>
    <w:rsid w:val="00032B30"/>
    <w:rsid w:val="000468DB"/>
    <w:rsid w:val="00050DDF"/>
    <w:rsid w:val="0006487A"/>
    <w:rsid w:val="00065F8F"/>
    <w:rsid w:val="00070A43"/>
    <w:rsid w:val="000768F2"/>
    <w:rsid w:val="00081C61"/>
    <w:rsid w:val="0008421C"/>
    <w:rsid w:val="0009184B"/>
    <w:rsid w:val="00094236"/>
    <w:rsid w:val="0009593C"/>
    <w:rsid w:val="00097322"/>
    <w:rsid w:val="000A6A92"/>
    <w:rsid w:val="000B047F"/>
    <w:rsid w:val="000B5923"/>
    <w:rsid w:val="000B5A48"/>
    <w:rsid w:val="000B6FF3"/>
    <w:rsid w:val="000C2EFB"/>
    <w:rsid w:val="000C3467"/>
    <w:rsid w:val="000C3CA6"/>
    <w:rsid w:val="000C699A"/>
    <w:rsid w:val="000D1267"/>
    <w:rsid w:val="000D1D50"/>
    <w:rsid w:val="000D5782"/>
    <w:rsid w:val="000E167E"/>
    <w:rsid w:val="000E6613"/>
    <w:rsid w:val="000E666C"/>
    <w:rsid w:val="000E7119"/>
    <w:rsid w:val="000F68CC"/>
    <w:rsid w:val="00114E9B"/>
    <w:rsid w:val="001234B9"/>
    <w:rsid w:val="00131E48"/>
    <w:rsid w:val="00132F3B"/>
    <w:rsid w:val="001333EB"/>
    <w:rsid w:val="00134FA6"/>
    <w:rsid w:val="00141757"/>
    <w:rsid w:val="00142216"/>
    <w:rsid w:val="00144D6A"/>
    <w:rsid w:val="0014729F"/>
    <w:rsid w:val="00157BAB"/>
    <w:rsid w:val="00161E22"/>
    <w:rsid w:val="0016547D"/>
    <w:rsid w:val="001654D1"/>
    <w:rsid w:val="00174518"/>
    <w:rsid w:val="0018106D"/>
    <w:rsid w:val="001834EB"/>
    <w:rsid w:val="001877A7"/>
    <w:rsid w:val="00191536"/>
    <w:rsid w:val="00196687"/>
    <w:rsid w:val="001C0962"/>
    <w:rsid w:val="001C1165"/>
    <w:rsid w:val="001D7531"/>
    <w:rsid w:val="001E0546"/>
    <w:rsid w:val="001E55ED"/>
    <w:rsid w:val="001E737D"/>
    <w:rsid w:val="001F0592"/>
    <w:rsid w:val="001F0FF3"/>
    <w:rsid w:val="001F3C22"/>
    <w:rsid w:val="001F7506"/>
    <w:rsid w:val="002006CD"/>
    <w:rsid w:val="00201994"/>
    <w:rsid w:val="00202B36"/>
    <w:rsid w:val="00203226"/>
    <w:rsid w:val="00204B7A"/>
    <w:rsid w:val="00204CDE"/>
    <w:rsid w:val="00205D87"/>
    <w:rsid w:val="0021101A"/>
    <w:rsid w:val="00211E41"/>
    <w:rsid w:val="00220536"/>
    <w:rsid w:val="00235629"/>
    <w:rsid w:val="00251020"/>
    <w:rsid w:val="0025716C"/>
    <w:rsid w:val="00260C38"/>
    <w:rsid w:val="002616C0"/>
    <w:rsid w:val="00265372"/>
    <w:rsid w:val="002662AA"/>
    <w:rsid w:val="00271889"/>
    <w:rsid w:val="002775F1"/>
    <w:rsid w:val="0027774C"/>
    <w:rsid w:val="00280496"/>
    <w:rsid w:val="00285FCF"/>
    <w:rsid w:val="00291AE1"/>
    <w:rsid w:val="00294DC9"/>
    <w:rsid w:val="00295495"/>
    <w:rsid w:val="002A31DE"/>
    <w:rsid w:val="002A4E81"/>
    <w:rsid w:val="002A6F73"/>
    <w:rsid w:val="002B2613"/>
    <w:rsid w:val="002B76DD"/>
    <w:rsid w:val="002C3D0B"/>
    <w:rsid w:val="002D19B0"/>
    <w:rsid w:val="002D5ABA"/>
    <w:rsid w:val="002D6D05"/>
    <w:rsid w:val="002E7406"/>
    <w:rsid w:val="002F1818"/>
    <w:rsid w:val="002F567B"/>
    <w:rsid w:val="002F7A59"/>
    <w:rsid w:val="002F7BC1"/>
    <w:rsid w:val="003171E2"/>
    <w:rsid w:val="00321350"/>
    <w:rsid w:val="003216A9"/>
    <w:rsid w:val="00335A74"/>
    <w:rsid w:val="00342488"/>
    <w:rsid w:val="003477F6"/>
    <w:rsid w:val="0035453B"/>
    <w:rsid w:val="00361C30"/>
    <w:rsid w:val="0036561B"/>
    <w:rsid w:val="00367EE2"/>
    <w:rsid w:val="0037013F"/>
    <w:rsid w:val="00370DBB"/>
    <w:rsid w:val="00380C92"/>
    <w:rsid w:val="003A1BE3"/>
    <w:rsid w:val="003A484F"/>
    <w:rsid w:val="003A4883"/>
    <w:rsid w:val="003A7E08"/>
    <w:rsid w:val="003B0353"/>
    <w:rsid w:val="003B0BE0"/>
    <w:rsid w:val="003B0C1B"/>
    <w:rsid w:val="003B688C"/>
    <w:rsid w:val="003C0291"/>
    <w:rsid w:val="003C39AE"/>
    <w:rsid w:val="003C5A79"/>
    <w:rsid w:val="003C7B60"/>
    <w:rsid w:val="003D0C0F"/>
    <w:rsid w:val="003D1FB2"/>
    <w:rsid w:val="003D66DA"/>
    <w:rsid w:val="003E1310"/>
    <w:rsid w:val="003E6F55"/>
    <w:rsid w:val="003F6619"/>
    <w:rsid w:val="00406254"/>
    <w:rsid w:val="00407376"/>
    <w:rsid w:val="00416CD4"/>
    <w:rsid w:val="004170AB"/>
    <w:rsid w:val="00420F12"/>
    <w:rsid w:val="004223DE"/>
    <w:rsid w:val="00434489"/>
    <w:rsid w:val="0043503B"/>
    <w:rsid w:val="00437085"/>
    <w:rsid w:val="00437AF8"/>
    <w:rsid w:val="00443880"/>
    <w:rsid w:val="004464F4"/>
    <w:rsid w:val="004470FD"/>
    <w:rsid w:val="00450662"/>
    <w:rsid w:val="0045074D"/>
    <w:rsid w:val="00454866"/>
    <w:rsid w:val="00460169"/>
    <w:rsid w:val="004621D1"/>
    <w:rsid w:val="00471401"/>
    <w:rsid w:val="00473F31"/>
    <w:rsid w:val="00475044"/>
    <w:rsid w:val="0048263A"/>
    <w:rsid w:val="0048305A"/>
    <w:rsid w:val="004839BD"/>
    <w:rsid w:val="00487E5D"/>
    <w:rsid w:val="00493CD0"/>
    <w:rsid w:val="004A2F6F"/>
    <w:rsid w:val="004A711F"/>
    <w:rsid w:val="004B199D"/>
    <w:rsid w:val="004B4690"/>
    <w:rsid w:val="004D2629"/>
    <w:rsid w:val="004E0A2D"/>
    <w:rsid w:val="004E206B"/>
    <w:rsid w:val="004E6DF7"/>
    <w:rsid w:val="004F0FBD"/>
    <w:rsid w:val="004F2319"/>
    <w:rsid w:val="004F403E"/>
    <w:rsid w:val="005001C3"/>
    <w:rsid w:val="00505A47"/>
    <w:rsid w:val="00506EC4"/>
    <w:rsid w:val="00507B01"/>
    <w:rsid w:val="00512FDA"/>
    <w:rsid w:val="005208BD"/>
    <w:rsid w:val="00520DA0"/>
    <w:rsid w:val="0053280F"/>
    <w:rsid w:val="00540D54"/>
    <w:rsid w:val="00551B88"/>
    <w:rsid w:val="005520DE"/>
    <w:rsid w:val="005664BB"/>
    <w:rsid w:val="00566E5C"/>
    <w:rsid w:val="00566FFA"/>
    <w:rsid w:val="005710E6"/>
    <w:rsid w:val="0057276E"/>
    <w:rsid w:val="0057481D"/>
    <w:rsid w:val="00575F0B"/>
    <w:rsid w:val="005804A4"/>
    <w:rsid w:val="00581A93"/>
    <w:rsid w:val="0058486E"/>
    <w:rsid w:val="00585B33"/>
    <w:rsid w:val="005868AD"/>
    <w:rsid w:val="0059014D"/>
    <w:rsid w:val="00591BC4"/>
    <w:rsid w:val="005A1CAA"/>
    <w:rsid w:val="005B4C90"/>
    <w:rsid w:val="005B5C64"/>
    <w:rsid w:val="005B7999"/>
    <w:rsid w:val="005B7A19"/>
    <w:rsid w:val="005C3E51"/>
    <w:rsid w:val="005C6BD0"/>
    <w:rsid w:val="005C6C4C"/>
    <w:rsid w:val="005D1C8B"/>
    <w:rsid w:val="005D468D"/>
    <w:rsid w:val="005D5CED"/>
    <w:rsid w:val="005E28D0"/>
    <w:rsid w:val="005F1A4C"/>
    <w:rsid w:val="005F4D00"/>
    <w:rsid w:val="00605688"/>
    <w:rsid w:val="006070AF"/>
    <w:rsid w:val="006073EE"/>
    <w:rsid w:val="00607E6C"/>
    <w:rsid w:val="006101B1"/>
    <w:rsid w:val="00614E44"/>
    <w:rsid w:val="0062146F"/>
    <w:rsid w:val="0062270A"/>
    <w:rsid w:val="00622830"/>
    <w:rsid w:val="00623DA0"/>
    <w:rsid w:val="00630AEF"/>
    <w:rsid w:val="006325F8"/>
    <w:rsid w:val="00632C72"/>
    <w:rsid w:val="00633463"/>
    <w:rsid w:val="00634C9A"/>
    <w:rsid w:val="0063790B"/>
    <w:rsid w:val="006440E4"/>
    <w:rsid w:val="006466E0"/>
    <w:rsid w:val="0066343B"/>
    <w:rsid w:val="00664777"/>
    <w:rsid w:val="00664F03"/>
    <w:rsid w:val="0066538B"/>
    <w:rsid w:val="006720C4"/>
    <w:rsid w:val="006748A4"/>
    <w:rsid w:val="00675054"/>
    <w:rsid w:val="00681A31"/>
    <w:rsid w:val="00683E73"/>
    <w:rsid w:val="00684289"/>
    <w:rsid w:val="0068622E"/>
    <w:rsid w:val="006A25B1"/>
    <w:rsid w:val="006A3141"/>
    <w:rsid w:val="006A5E34"/>
    <w:rsid w:val="006B2422"/>
    <w:rsid w:val="006B2B9A"/>
    <w:rsid w:val="006C1937"/>
    <w:rsid w:val="006F020C"/>
    <w:rsid w:val="007045AB"/>
    <w:rsid w:val="007127B7"/>
    <w:rsid w:val="0071798E"/>
    <w:rsid w:val="007261BF"/>
    <w:rsid w:val="00727533"/>
    <w:rsid w:val="007416B6"/>
    <w:rsid w:val="00746F48"/>
    <w:rsid w:val="0075404D"/>
    <w:rsid w:val="00756890"/>
    <w:rsid w:val="0076182A"/>
    <w:rsid w:val="00767B7E"/>
    <w:rsid w:val="007718C0"/>
    <w:rsid w:val="007770C3"/>
    <w:rsid w:val="00784D24"/>
    <w:rsid w:val="00785FBA"/>
    <w:rsid w:val="00786E4A"/>
    <w:rsid w:val="007875EB"/>
    <w:rsid w:val="0079426B"/>
    <w:rsid w:val="007D1682"/>
    <w:rsid w:val="007D312A"/>
    <w:rsid w:val="007D3A9C"/>
    <w:rsid w:val="007D3F19"/>
    <w:rsid w:val="007E23B0"/>
    <w:rsid w:val="007F1991"/>
    <w:rsid w:val="007F2C2F"/>
    <w:rsid w:val="007F55FC"/>
    <w:rsid w:val="007F5665"/>
    <w:rsid w:val="00800112"/>
    <w:rsid w:val="00813348"/>
    <w:rsid w:val="00817BCC"/>
    <w:rsid w:val="00822F59"/>
    <w:rsid w:val="008253BB"/>
    <w:rsid w:val="00830FEF"/>
    <w:rsid w:val="00833962"/>
    <w:rsid w:val="0083706E"/>
    <w:rsid w:val="008408F6"/>
    <w:rsid w:val="008423A5"/>
    <w:rsid w:val="0084245E"/>
    <w:rsid w:val="00850625"/>
    <w:rsid w:val="00853718"/>
    <w:rsid w:val="00855221"/>
    <w:rsid w:val="00860645"/>
    <w:rsid w:val="00863A55"/>
    <w:rsid w:val="0086506A"/>
    <w:rsid w:val="00871F71"/>
    <w:rsid w:val="00872FD8"/>
    <w:rsid w:val="00885AF4"/>
    <w:rsid w:val="008939CD"/>
    <w:rsid w:val="008A2ED8"/>
    <w:rsid w:val="008B5817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13B96"/>
    <w:rsid w:val="00923564"/>
    <w:rsid w:val="0092392E"/>
    <w:rsid w:val="009315F9"/>
    <w:rsid w:val="00933499"/>
    <w:rsid w:val="00935C98"/>
    <w:rsid w:val="00946945"/>
    <w:rsid w:val="00951248"/>
    <w:rsid w:val="0095152F"/>
    <w:rsid w:val="00954C49"/>
    <w:rsid w:val="00955E37"/>
    <w:rsid w:val="00956939"/>
    <w:rsid w:val="0097099F"/>
    <w:rsid w:val="00971997"/>
    <w:rsid w:val="00971FFC"/>
    <w:rsid w:val="009805F7"/>
    <w:rsid w:val="0098180E"/>
    <w:rsid w:val="00981CC7"/>
    <w:rsid w:val="0098660A"/>
    <w:rsid w:val="009906A6"/>
    <w:rsid w:val="00991DE0"/>
    <w:rsid w:val="009931C3"/>
    <w:rsid w:val="009B2C43"/>
    <w:rsid w:val="009B4EAE"/>
    <w:rsid w:val="009B7573"/>
    <w:rsid w:val="009C1B83"/>
    <w:rsid w:val="009C22F4"/>
    <w:rsid w:val="009C2E98"/>
    <w:rsid w:val="009C37FB"/>
    <w:rsid w:val="009D3447"/>
    <w:rsid w:val="009D4711"/>
    <w:rsid w:val="009D471C"/>
    <w:rsid w:val="009E724C"/>
    <w:rsid w:val="009F1185"/>
    <w:rsid w:val="009F18CD"/>
    <w:rsid w:val="009F25B6"/>
    <w:rsid w:val="009F2A13"/>
    <w:rsid w:val="009F6B9F"/>
    <w:rsid w:val="009F7527"/>
    <w:rsid w:val="009F7574"/>
    <w:rsid w:val="00A039ED"/>
    <w:rsid w:val="00A04EB0"/>
    <w:rsid w:val="00A07450"/>
    <w:rsid w:val="00A13CC1"/>
    <w:rsid w:val="00A16847"/>
    <w:rsid w:val="00A237D8"/>
    <w:rsid w:val="00A268C4"/>
    <w:rsid w:val="00A307CD"/>
    <w:rsid w:val="00A331C8"/>
    <w:rsid w:val="00A35117"/>
    <w:rsid w:val="00A400B4"/>
    <w:rsid w:val="00A404BC"/>
    <w:rsid w:val="00A40A00"/>
    <w:rsid w:val="00A4142F"/>
    <w:rsid w:val="00A422EB"/>
    <w:rsid w:val="00A42A7B"/>
    <w:rsid w:val="00A45BB7"/>
    <w:rsid w:val="00A56DF2"/>
    <w:rsid w:val="00A56E6E"/>
    <w:rsid w:val="00A67AB5"/>
    <w:rsid w:val="00A732F5"/>
    <w:rsid w:val="00A733B2"/>
    <w:rsid w:val="00A741C2"/>
    <w:rsid w:val="00A8028A"/>
    <w:rsid w:val="00A87F45"/>
    <w:rsid w:val="00A91760"/>
    <w:rsid w:val="00A93B00"/>
    <w:rsid w:val="00A93C21"/>
    <w:rsid w:val="00AA26B0"/>
    <w:rsid w:val="00AA3E65"/>
    <w:rsid w:val="00AB64C9"/>
    <w:rsid w:val="00AC362D"/>
    <w:rsid w:val="00AC3C6A"/>
    <w:rsid w:val="00AC5AA6"/>
    <w:rsid w:val="00AC625F"/>
    <w:rsid w:val="00AD0F83"/>
    <w:rsid w:val="00AD3109"/>
    <w:rsid w:val="00AD5620"/>
    <w:rsid w:val="00AD656B"/>
    <w:rsid w:val="00AD7C1B"/>
    <w:rsid w:val="00AE16BA"/>
    <w:rsid w:val="00AE1EBE"/>
    <w:rsid w:val="00AF37A0"/>
    <w:rsid w:val="00B03C9D"/>
    <w:rsid w:val="00B060AE"/>
    <w:rsid w:val="00B10517"/>
    <w:rsid w:val="00B105F4"/>
    <w:rsid w:val="00B14E76"/>
    <w:rsid w:val="00B161B8"/>
    <w:rsid w:val="00B2048C"/>
    <w:rsid w:val="00B23795"/>
    <w:rsid w:val="00B310B9"/>
    <w:rsid w:val="00B32DD7"/>
    <w:rsid w:val="00B35F3F"/>
    <w:rsid w:val="00B36CBB"/>
    <w:rsid w:val="00B425E0"/>
    <w:rsid w:val="00B440AA"/>
    <w:rsid w:val="00B44B70"/>
    <w:rsid w:val="00B53C56"/>
    <w:rsid w:val="00B57DAF"/>
    <w:rsid w:val="00B77EA6"/>
    <w:rsid w:val="00B81598"/>
    <w:rsid w:val="00B816F4"/>
    <w:rsid w:val="00B841F1"/>
    <w:rsid w:val="00B944D6"/>
    <w:rsid w:val="00BB4DF0"/>
    <w:rsid w:val="00BC289F"/>
    <w:rsid w:val="00BC2D50"/>
    <w:rsid w:val="00BC5361"/>
    <w:rsid w:val="00BC5460"/>
    <w:rsid w:val="00BC6B50"/>
    <w:rsid w:val="00BD0E25"/>
    <w:rsid w:val="00BE590D"/>
    <w:rsid w:val="00BE7F7E"/>
    <w:rsid w:val="00BF3106"/>
    <w:rsid w:val="00BF5BD6"/>
    <w:rsid w:val="00C000B3"/>
    <w:rsid w:val="00C011EE"/>
    <w:rsid w:val="00C03E31"/>
    <w:rsid w:val="00C054A5"/>
    <w:rsid w:val="00C30E69"/>
    <w:rsid w:val="00C33E72"/>
    <w:rsid w:val="00C34A31"/>
    <w:rsid w:val="00C354B2"/>
    <w:rsid w:val="00C35554"/>
    <w:rsid w:val="00C42709"/>
    <w:rsid w:val="00C47571"/>
    <w:rsid w:val="00C533CC"/>
    <w:rsid w:val="00C5724A"/>
    <w:rsid w:val="00C5751C"/>
    <w:rsid w:val="00C61BFC"/>
    <w:rsid w:val="00C62B85"/>
    <w:rsid w:val="00C65438"/>
    <w:rsid w:val="00C65563"/>
    <w:rsid w:val="00C730B9"/>
    <w:rsid w:val="00C91CBB"/>
    <w:rsid w:val="00CB4E70"/>
    <w:rsid w:val="00CC09B6"/>
    <w:rsid w:val="00CC666F"/>
    <w:rsid w:val="00CD1E3F"/>
    <w:rsid w:val="00CD263B"/>
    <w:rsid w:val="00CD6EF4"/>
    <w:rsid w:val="00CE44F6"/>
    <w:rsid w:val="00CE49DA"/>
    <w:rsid w:val="00CE7471"/>
    <w:rsid w:val="00CE7B61"/>
    <w:rsid w:val="00D00095"/>
    <w:rsid w:val="00D01004"/>
    <w:rsid w:val="00D114F0"/>
    <w:rsid w:val="00D1176A"/>
    <w:rsid w:val="00D136A0"/>
    <w:rsid w:val="00D179F5"/>
    <w:rsid w:val="00D20620"/>
    <w:rsid w:val="00D2207C"/>
    <w:rsid w:val="00D254F7"/>
    <w:rsid w:val="00D25D94"/>
    <w:rsid w:val="00D26091"/>
    <w:rsid w:val="00D2685C"/>
    <w:rsid w:val="00D33329"/>
    <w:rsid w:val="00D34E7C"/>
    <w:rsid w:val="00D35489"/>
    <w:rsid w:val="00D36AFE"/>
    <w:rsid w:val="00D379AB"/>
    <w:rsid w:val="00D51276"/>
    <w:rsid w:val="00D53D56"/>
    <w:rsid w:val="00D6315F"/>
    <w:rsid w:val="00D7035F"/>
    <w:rsid w:val="00D844E9"/>
    <w:rsid w:val="00DA21DF"/>
    <w:rsid w:val="00DA634F"/>
    <w:rsid w:val="00DA65AC"/>
    <w:rsid w:val="00DB1913"/>
    <w:rsid w:val="00DB40E0"/>
    <w:rsid w:val="00DC410D"/>
    <w:rsid w:val="00DC5A81"/>
    <w:rsid w:val="00DC68CA"/>
    <w:rsid w:val="00DC7CBA"/>
    <w:rsid w:val="00DD04A2"/>
    <w:rsid w:val="00DD73B7"/>
    <w:rsid w:val="00DF0737"/>
    <w:rsid w:val="00DF28BC"/>
    <w:rsid w:val="00DF34B9"/>
    <w:rsid w:val="00DF7548"/>
    <w:rsid w:val="00E01053"/>
    <w:rsid w:val="00E07ACF"/>
    <w:rsid w:val="00E331A1"/>
    <w:rsid w:val="00E33202"/>
    <w:rsid w:val="00E336A9"/>
    <w:rsid w:val="00E472B1"/>
    <w:rsid w:val="00E50624"/>
    <w:rsid w:val="00E568DF"/>
    <w:rsid w:val="00E64269"/>
    <w:rsid w:val="00E66797"/>
    <w:rsid w:val="00E81DD6"/>
    <w:rsid w:val="00E82267"/>
    <w:rsid w:val="00E853CE"/>
    <w:rsid w:val="00E8607D"/>
    <w:rsid w:val="00E867B6"/>
    <w:rsid w:val="00E87F08"/>
    <w:rsid w:val="00E90DFD"/>
    <w:rsid w:val="00E92C1E"/>
    <w:rsid w:val="00EA010F"/>
    <w:rsid w:val="00EB6127"/>
    <w:rsid w:val="00EC528D"/>
    <w:rsid w:val="00EC6DB1"/>
    <w:rsid w:val="00ED1B63"/>
    <w:rsid w:val="00ED2AA2"/>
    <w:rsid w:val="00ED3C1F"/>
    <w:rsid w:val="00ED3F42"/>
    <w:rsid w:val="00ED4085"/>
    <w:rsid w:val="00ED420E"/>
    <w:rsid w:val="00ED6FBE"/>
    <w:rsid w:val="00EE2F57"/>
    <w:rsid w:val="00EE7CA0"/>
    <w:rsid w:val="00EF4C34"/>
    <w:rsid w:val="00EF77C6"/>
    <w:rsid w:val="00F03CEA"/>
    <w:rsid w:val="00F05438"/>
    <w:rsid w:val="00F11155"/>
    <w:rsid w:val="00F1361C"/>
    <w:rsid w:val="00F156F0"/>
    <w:rsid w:val="00F160C7"/>
    <w:rsid w:val="00F2408F"/>
    <w:rsid w:val="00F240E9"/>
    <w:rsid w:val="00F27D7B"/>
    <w:rsid w:val="00F35800"/>
    <w:rsid w:val="00F36D8F"/>
    <w:rsid w:val="00F417B1"/>
    <w:rsid w:val="00F45853"/>
    <w:rsid w:val="00F602DF"/>
    <w:rsid w:val="00F754A1"/>
    <w:rsid w:val="00F81FD9"/>
    <w:rsid w:val="00F841AA"/>
    <w:rsid w:val="00F84A94"/>
    <w:rsid w:val="00F87E96"/>
    <w:rsid w:val="00F925EF"/>
    <w:rsid w:val="00FA23E8"/>
    <w:rsid w:val="00FA793D"/>
    <w:rsid w:val="00FB5C5A"/>
    <w:rsid w:val="00FD3CC1"/>
    <w:rsid w:val="00FE4736"/>
    <w:rsid w:val="00FF05BC"/>
    <w:rsid w:val="00FF1E02"/>
    <w:rsid w:val="00FF30B4"/>
    <w:rsid w:val="10C055FF"/>
    <w:rsid w:val="16BB723D"/>
    <w:rsid w:val="240371BF"/>
    <w:rsid w:val="29FD04D3"/>
    <w:rsid w:val="319F7F4E"/>
    <w:rsid w:val="4ECE2238"/>
    <w:rsid w:val="72734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Tencent" w:name="RTX"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5B5C64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B5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5B5C6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5B5C6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B5C64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locked/>
    <w:rsid w:val="005B5C64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5B5C64"/>
    <w:rPr>
      <w:rFonts w:ascii="Times New Roman" w:hAnsi="Times New Roman" w:cs="Times New Roman"/>
      <w:b/>
      <w:bCs/>
      <w:kern w:val="2"/>
      <w:sz w:val="32"/>
      <w:szCs w:val="32"/>
    </w:rPr>
  </w:style>
  <w:style w:type="paragraph" w:styleId="a3">
    <w:name w:val="Body Text"/>
    <w:basedOn w:val="a"/>
    <w:link w:val="Char"/>
    <w:uiPriority w:val="99"/>
    <w:rsid w:val="005B5C64"/>
    <w:pPr>
      <w:spacing w:beforeLines="30"/>
    </w:pPr>
    <w:rPr>
      <w:rFonts w:ascii="仿宋_GB2312" w:eastAsia="仿宋_GB2312"/>
      <w:kern w:val="0"/>
      <w:sz w:val="24"/>
      <w:szCs w:val="20"/>
    </w:rPr>
  </w:style>
  <w:style w:type="character" w:customStyle="1" w:styleId="BodyTextChar">
    <w:name w:val="Body Text Char"/>
    <w:basedOn w:val="a0"/>
    <w:link w:val="a3"/>
    <w:uiPriority w:val="99"/>
    <w:semiHidden/>
    <w:locked/>
    <w:rsid w:val="005B5C64"/>
    <w:rPr>
      <w:rFonts w:ascii="Times New Roman" w:hAnsi="Times New Roman" w:cs="Times New Roman"/>
      <w:sz w:val="24"/>
      <w:szCs w:val="24"/>
    </w:rPr>
  </w:style>
  <w:style w:type="paragraph" w:styleId="30">
    <w:name w:val="toc 3"/>
    <w:basedOn w:val="a"/>
    <w:next w:val="a"/>
    <w:uiPriority w:val="39"/>
    <w:rsid w:val="005B5C64"/>
    <w:pPr>
      <w:tabs>
        <w:tab w:val="right" w:leader="dot" w:pos="8296"/>
      </w:tabs>
      <w:ind w:leftChars="400" w:left="840"/>
    </w:pPr>
  </w:style>
  <w:style w:type="paragraph" w:styleId="a4">
    <w:name w:val="Balloon Text"/>
    <w:basedOn w:val="a"/>
    <w:link w:val="Char0"/>
    <w:uiPriority w:val="99"/>
    <w:semiHidden/>
    <w:rsid w:val="005B5C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5B5C64"/>
    <w:rPr>
      <w:rFonts w:ascii="Times New Roman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5B5C6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character" w:customStyle="1" w:styleId="FooterChar">
    <w:name w:val="Footer Char"/>
    <w:basedOn w:val="a0"/>
    <w:link w:val="a5"/>
    <w:uiPriority w:val="99"/>
    <w:semiHidden/>
    <w:locked/>
    <w:rsid w:val="005B5C64"/>
    <w:rPr>
      <w:rFonts w:ascii="Times New Roman" w:hAnsi="Times New Roman" w:cs="Times New Roman"/>
      <w:sz w:val="18"/>
      <w:szCs w:val="18"/>
    </w:rPr>
  </w:style>
  <w:style w:type="paragraph" w:styleId="a6">
    <w:name w:val="header"/>
    <w:basedOn w:val="a"/>
    <w:link w:val="Char2"/>
    <w:uiPriority w:val="99"/>
    <w:semiHidden/>
    <w:rsid w:val="005B5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character" w:customStyle="1" w:styleId="HeaderChar">
    <w:name w:val="Header Char"/>
    <w:basedOn w:val="a0"/>
    <w:link w:val="a6"/>
    <w:uiPriority w:val="99"/>
    <w:semiHidden/>
    <w:locked/>
    <w:rsid w:val="005B5C64"/>
    <w:rPr>
      <w:rFonts w:ascii="Times New Roman" w:hAnsi="Times New Roman" w:cs="Times New Roman"/>
      <w:sz w:val="18"/>
      <w:szCs w:val="18"/>
    </w:rPr>
  </w:style>
  <w:style w:type="paragraph" w:styleId="10">
    <w:name w:val="toc 1"/>
    <w:basedOn w:val="a"/>
    <w:next w:val="a"/>
    <w:uiPriority w:val="39"/>
    <w:rsid w:val="005B5C64"/>
    <w:pPr>
      <w:tabs>
        <w:tab w:val="right" w:leader="dot" w:pos="8296"/>
      </w:tabs>
      <w:spacing w:before="93"/>
      <w:jc w:val="center"/>
    </w:pPr>
    <w:rPr>
      <w:rFonts w:ascii="仿宋" w:eastAsia="仿宋" w:hAnsi="仿宋"/>
      <w:sz w:val="28"/>
      <w:szCs w:val="28"/>
    </w:rPr>
  </w:style>
  <w:style w:type="paragraph" w:styleId="20">
    <w:name w:val="toc 2"/>
    <w:basedOn w:val="a"/>
    <w:next w:val="a"/>
    <w:uiPriority w:val="39"/>
    <w:rsid w:val="005B5C64"/>
    <w:pPr>
      <w:tabs>
        <w:tab w:val="right" w:leader="dot" w:pos="8296"/>
      </w:tabs>
      <w:ind w:leftChars="200" w:left="420"/>
    </w:pPr>
  </w:style>
  <w:style w:type="character" w:styleId="a7">
    <w:name w:val="Strong"/>
    <w:basedOn w:val="a0"/>
    <w:uiPriority w:val="99"/>
    <w:qFormat/>
    <w:rsid w:val="005B5C64"/>
    <w:rPr>
      <w:rFonts w:cs="Times New Roman"/>
      <w:b/>
    </w:rPr>
  </w:style>
  <w:style w:type="character" w:styleId="a8">
    <w:name w:val="Hyperlink"/>
    <w:basedOn w:val="a0"/>
    <w:uiPriority w:val="99"/>
    <w:rsid w:val="005B5C64"/>
    <w:rPr>
      <w:rFonts w:cs="Times New Roman"/>
      <w:color w:val="0000FF"/>
      <w:u w:val="single"/>
    </w:rPr>
  </w:style>
  <w:style w:type="character" w:customStyle="1" w:styleId="Char2">
    <w:name w:val="页眉 Char"/>
    <w:link w:val="a6"/>
    <w:uiPriority w:val="99"/>
    <w:semiHidden/>
    <w:locked/>
    <w:rsid w:val="005B5C64"/>
    <w:rPr>
      <w:sz w:val="18"/>
    </w:rPr>
  </w:style>
  <w:style w:type="character" w:customStyle="1" w:styleId="Char1">
    <w:name w:val="页脚 Char"/>
    <w:link w:val="a5"/>
    <w:uiPriority w:val="99"/>
    <w:locked/>
    <w:rsid w:val="005B5C64"/>
    <w:rPr>
      <w:sz w:val="18"/>
    </w:rPr>
  </w:style>
  <w:style w:type="character" w:customStyle="1" w:styleId="Char">
    <w:name w:val="正文文本 Char"/>
    <w:link w:val="a3"/>
    <w:uiPriority w:val="99"/>
    <w:locked/>
    <w:rsid w:val="005B5C64"/>
    <w:rPr>
      <w:rFonts w:ascii="仿宋_GB2312" w:eastAsia="仿宋_GB2312" w:hAnsi="Times New Roman"/>
      <w:sz w:val="24"/>
    </w:rPr>
  </w:style>
  <w:style w:type="paragraph" w:customStyle="1" w:styleId="Default">
    <w:name w:val="Default"/>
    <w:uiPriority w:val="99"/>
    <w:rsid w:val="005B5C64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paragraph" w:styleId="a9">
    <w:name w:val="List Paragraph"/>
    <w:basedOn w:val="a"/>
    <w:uiPriority w:val="99"/>
    <w:qFormat/>
    <w:rsid w:val="005B5C64"/>
    <w:pPr>
      <w:ind w:firstLineChars="200" w:firstLine="420"/>
    </w:pPr>
  </w:style>
  <w:style w:type="paragraph" w:customStyle="1" w:styleId="TOC1">
    <w:name w:val="TOC 标题1"/>
    <w:basedOn w:val="1"/>
    <w:next w:val="a"/>
    <w:uiPriority w:val="99"/>
    <w:rsid w:val="005B5C64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">
    <w:name w:val="TOC Heading"/>
    <w:basedOn w:val="1"/>
    <w:next w:val="a"/>
    <w:uiPriority w:val="99"/>
    <w:qFormat/>
    <w:rsid w:val="00D114F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a">
    <w:name w:val="Normal (Web)"/>
    <w:basedOn w:val="a"/>
    <w:uiPriority w:val="99"/>
    <w:semiHidden/>
    <w:rsid w:val="00CD26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567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56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08080"/>
                        <w:left w:val="single" w:sz="2" w:space="0" w:color="808080"/>
                        <w:bottom w:val="single" w:sz="2" w:space="0" w:color="808080"/>
                        <w:right w:val="single" w:sz="2" w:space="0" w:color="808080"/>
                      </w:divBdr>
                      <w:divsChild>
                        <w:div w:id="165151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1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1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8D3F3"/>
                                    <w:left w:val="single" w:sz="6" w:space="0" w:color="A8D3F3"/>
                                    <w:bottom w:val="single" w:sz="6" w:space="0" w:color="A8D3F3"/>
                                    <w:right w:val="single" w:sz="6" w:space="0" w:color="A8D3F3"/>
                                  </w:divBdr>
                                  <w:divsChild>
                                    <w:div w:id="165151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1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1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51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1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567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56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08080"/>
                        <w:left w:val="single" w:sz="2" w:space="0" w:color="808080"/>
                        <w:bottom w:val="single" w:sz="2" w:space="0" w:color="808080"/>
                        <w:right w:val="single" w:sz="2" w:space="0" w:color="808080"/>
                      </w:divBdr>
                      <w:divsChild>
                        <w:div w:id="165151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1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1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8D3F3"/>
                                    <w:left w:val="single" w:sz="6" w:space="0" w:color="A8D3F3"/>
                                    <w:bottom w:val="single" w:sz="6" w:space="0" w:color="A8D3F3"/>
                                    <w:right w:val="single" w:sz="6" w:space="0" w:color="A8D3F3"/>
                                  </w:divBdr>
                                  <w:divsChild>
                                    <w:div w:id="16515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1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51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1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564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5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08080"/>
                        <w:left w:val="single" w:sz="2" w:space="0" w:color="808080"/>
                        <w:bottom w:val="single" w:sz="2" w:space="0" w:color="808080"/>
                        <w:right w:val="single" w:sz="2" w:space="0" w:color="808080"/>
                      </w:divBdr>
                      <w:divsChild>
                        <w:div w:id="165151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1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1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8D3F3"/>
                                    <w:left w:val="single" w:sz="6" w:space="0" w:color="A8D3F3"/>
                                    <w:bottom w:val="single" w:sz="6" w:space="0" w:color="A8D3F3"/>
                                    <w:right w:val="single" w:sz="6" w:space="0" w:color="A8D3F3"/>
                                  </w:divBdr>
                                  <w:divsChild>
                                    <w:div w:id="165151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1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1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51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1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563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5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08080"/>
                        <w:left w:val="single" w:sz="2" w:space="0" w:color="808080"/>
                        <w:bottom w:val="single" w:sz="2" w:space="0" w:color="808080"/>
                        <w:right w:val="single" w:sz="2" w:space="0" w:color="808080"/>
                      </w:divBdr>
                      <w:divsChild>
                        <w:div w:id="165151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1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1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8D3F3"/>
                                    <w:left w:val="single" w:sz="6" w:space="0" w:color="A8D3F3"/>
                                    <w:bottom w:val="single" w:sz="6" w:space="0" w:color="A8D3F3"/>
                                    <w:right w:val="single" w:sz="6" w:space="0" w:color="A8D3F3"/>
                                  </w:divBdr>
                                  <w:divsChild>
                                    <w:div w:id="165151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1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1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515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1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oleObject" Target="embeddings/oleObject3.bin"/><Relationship Id="rId18" Type="http://schemas.openxmlformats.org/officeDocument/2006/relationships/chart" Target="charts/chart4.xml"/><Relationship Id="rId3" Type="http://schemas.openxmlformats.org/officeDocument/2006/relationships/settings" Target="settings.xml"/><Relationship Id="rId21" Type="http://schemas.openxmlformats.org/officeDocument/2006/relationships/chart" Target="charts/chart7.xml"/><Relationship Id="rId7" Type="http://schemas.openxmlformats.org/officeDocument/2006/relationships/chart" Target="charts/chart1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chart" Target="charts/chart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oleObject" Target="embeddings/oleObject4.bin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7061611374407584"/>
          <c:y val="0.15328467153284694"/>
          <c:w val="0.7061611374407587"/>
          <c:h val="0.5255474452554747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金额</c:v>
                </c:pt>
              </c:strCache>
            </c:strRef>
          </c:tx>
          <c:spPr>
            <a:solidFill>
              <a:srgbClr val="9999FF"/>
            </a:solidFill>
            <a:ln w="5645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2019年收支、总计</c:v>
                </c:pt>
                <c:pt idx="1">
                  <c:v>2020年收支、总计</c:v>
                </c:pt>
              </c:strCache>
            </c:strRef>
          </c:cat>
          <c:val>
            <c:numRef>
              <c:f>Sheet1!$B$2:$C$2</c:f>
              <c:numCache>
                <c:formatCode>0.00_ </c:formatCode>
                <c:ptCount val="2"/>
                <c:pt idx="0" formatCode="General">
                  <c:v>1944.46</c:v>
                </c:pt>
                <c:pt idx="1">
                  <c:v>2057.4</c:v>
                </c:pt>
              </c:numCache>
            </c:numRef>
          </c:val>
        </c:ser>
        <c:axId val="56295424"/>
        <c:axId val="56296960"/>
      </c:barChart>
      <c:catAx>
        <c:axId val="56295424"/>
        <c:scaling>
          <c:orientation val="minMax"/>
        </c:scaling>
        <c:axPos val="b"/>
        <c:numFmt formatCode="General" sourceLinked="1"/>
        <c:majorTickMark val="in"/>
        <c:tickLblPos val="nextTo"/>
        <c:spPr>
          <a:ln w="141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54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56296960"/>
        <c:crosses val="autoZero"/>
        <c:auto val="1"/>
        <c:lblAlgn val="ctr"/>
        <c:lblOffset val="100"/>
        <c:tickMarkSkip val="1"/>
      </c:catAx>
      <c:valAx>
        <c:axId val="56296960"/>
        <c:scaling>
          <c:orientation val="minMax"/>
        </c:scaling>
        <c:axPos val="l"/>
        <c:majorGridlines>
          <c:spPr>
            <a:ln w="1412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354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zh-CN" altLang="en-US"/>
                  <a:t>单位：万元</a:t>
                </a:r>
              </a:p>
            </c:rich>
          </c:tx>
          <c:layout>
            <c:manualLayout>
              <c:xMode val="edge"/>
              <c:yMode val="edge"/>
              <c:x val="2.59433070866146E-2"/>
              <c:y val="0.22077932566121539"/>
            </c:manualLayout>
          </c:layout>
          <c:spPr>
            <a:noFill/>
            <a:ln w="16979">
              <a:noFill/>
            </a:ln>
          </c:spPr>
        </c:title>
        <c:numFmt formatCode="General" sourceLinked="1"/>
        <c:majorTickMark val="in"/>
        <c:tickLblPos val="nextTo"/>
        <c:spPr>
          <a:ln w="141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54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562954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1412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354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</c:dTable>
      <c:spPr>
        <a:solidFill>
          <a:srgbClr val="C0C0C0"/>
        </a:solidFill>
        <a:ln w="564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573464566929162"/>
          <c:y val="0.3357662023016374"/>
          <c:w val="9.4786614173227854E-2"/>
          <c:h val="0.12408742176458692"/>
        </c:manualLayout>
      </c:layout>
      <c:spPr>
        <a:noFill/>
        <a:ln w="1412">
          <a:solidFill>
            <a:srgbClr val="000000"/>
          </a:solidFill>
          <a:prstDash val="solid"/>
        </a:ln>
      </c:spPr>
      <c:txPr>
        <a:bodyPr/>
        <a:lstStyle/>
        <a:p>
          <a:pPr>
            <a:defRPr sz="327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354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2.6990495397884507E-3"/>
          <c:y val="0.41349956255468112"/>
          <c:w val="0.63868707022482041"/>
          <c:h val="0.4823464566929133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比例</c:v>
                </c:pt>
              </c:strCache>
            </c:strRef>
          </c:tx>
          <c:dLbls>
            <c:spPr>
              <a:noFill/>
              <a:ln w="9848">
                <a:noFill/>
              </a:ln>
            </c:spPr>
            <c:txPr>
              <a:bodyPr/>
              <a:lstStyle/>
              <a:p>
                <a:pPr>
                  <a:defRPr sz="392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showCatName val="1"/>
            <c:showLeaderLines val="1"/>
          </c:dLbls>
          <c:cat>
            <c:strRef>
              <c:f>Sheet1!$B$1:$C$1</c:f>
              <c:strCache>
                <c:ptCount val="2"/>
                <c:pt idx="0">
                  <c:v>财政拨款收入</c:v>
                </c:pt>
                <c:pt idx="1">
                  <c:v>其他收入</c:v>
                </c:pt>
              </c:strCache>
            </c:strRef>
          </c:cat>
          <c:val>
            <c:numRef>
              <c:f>Sheet1!$B$2:$C$2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Val val="1"/>
          <c:showCatName val="1"/>
        </c:dLbls>
      </c:pie3DChart>
      <c:spPr>
        <a:solidFill>
          <a:srgbClr val="C0C0C0"/>
        </a:solidFill>
        <a:ln w="412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70125941341809"/>
          <c:y val="0.54631321084864359"/>
          <c:w val="0.29484020379805692"/>
          <c:h val="0.20560771249747592"/>
        </c:manualLayout>
      </c:layout>
      <c:spPr>
        <a:noFill/>
        <a:ln w="1032">
          <a:solidFill>
            <a:srgbClr val="000000"/>
          </a:solidFill>
          <a:prstDash val="solid"/>
        </a:ln>
      </c:spPr>
      <c:txPr>
        <a:bodyPr/>
        <a:lstStyle/>
        <a:p>
          <a:pPr>
            <a:defRPr sz="358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392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8.0437109188825143E-2"/>
          <c:y val="0.45794392523364741"/>
          <c:w val="0.50193185374367622"/>
          <c:h val="0.3816676408898676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州委政法委</c:v>
                </c:pt>
              </c:strCache>
            </c:strRef>
          </c:tx>
          <c:spPr>
            <a:solidFill>
              <a:srgbClr val="9999FF"/>
            </a:solidFill>
            <a:ln w="3694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3694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layout>
                <c:manualLayout>
                  <c:x val="0.14648252105492976"/>
                  <c:y val="-0.10548911735378055"/>
                </c:manualLayout>
              </c:layout>
              <c:showVal val="1"/>
              <c:showCatName val="1"/>
            </c:dLbl>
            <c:spPr>
              <a:noFill/>
              <a:ln w="8807">
                <a:noFill/>
              </a:ln>
            </c:spPr>
            <c:txPr>
              <a:bodyPr/>
              <a:lstStyle/>
              <a:p>
                <a:pPr>
                  <a:defRPr sz="350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showCatName val="1"/>
            <c:showLeaderLines val="1"/>
          </c:dLbls>
          <c:cat>
            <c:strRef>
              <c:f>Sheet1!$B$1:$C$1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Sheet1!$B$2:$C$2</c:f>
              <c:numCache>
                <c:formatCode>0.00%</c:formatCode>
                <c:ptCount val="2"/>
                <c:pt idx="0">
                  <c:v>0.65870000000000284</c:v>
                </c:pt>
                <c:pt idx="1">
                  <c:v>0.34130000000000038</c:v>
                </c:pt>
              </c:numCache>
            </c:numRef>
          </c:val>
        </c:ser>
        <c:dLbls>
          <c:showVal val="1"/>
          <c:showCatName val="1"/>
        </c:dLbls>
      </c:pie3DChart>
      <c:spPr>
        <a:solidFill>
          <a:srgbClr val="C0C0C0"/>
        </a:solidFill>
        <a:ln w="369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2247108415262442"/>
          <c:y val="0.49793900216621395"/>
          <c:w val="0.29484020379805692"/>
          <c:h val="0.20560771249747592"/>
        </c:manualLayout>
      </c:layout>
      <c:spPr>
        <a:noFill/>
        <a:ln w="923">
          <a:solidFill>
            <a:srgbClr val="000000"/>
          </a:solidFill>
          <a:prstDash val="solid"/>
        </a:ln>
      </c:spPr>
      <c:txPr>
        <a:bodyPr/>
        <a:lstStyle/>
        <a:p>
          <a:pPr>
            <a:defRPr sz="320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35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4693877551020548"/>
          <c:y val="0.13725490196078433"/>
          <c:w val="0.74489795918367963"/>
          <c:h val="0.57516339869281041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金额</c:v>
                </c:pt>
              </c:strCache>
            </c:strRef>
          </c:tx>
          <c:spPr>
            <a:solidFill>
              <a:srgbClr val="9999FF"/>
            </a:solidFill>
            <a:ln w="6140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2019年财政拨款收支、总计</c:v>
                </c:pt>
                <c:pt idx="1">
                  <c:v>2020年财政拨款收支、总计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1944.45</c:v>
                </c:pt>
                <c:pt idx="1">
                  <c:v>2057.4</c:v>
                </c:pt>
              </c:numCache>
            </c:numRef>
          </c:val>
        </c:ser>
        <c:axId val="85834752"/>
        <c:axId val="84706048"/>
      </c:barChart>
      <c:catAx>
        <c:axId val="85834752"/>
        <c:scaling>
          <c:orientation val="minMax"/>
        </c:scaling>
        <c:axPos val="b"/>
        <c:numFmt formatCode="General" sourceLinked="1"/>
        <c:majorTickMark val="in"/>
        <c:tickLblPos val="nextTo"/>
        <c:spPr>
          <a:ln w="153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9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84706048"/>
        <c:crosses val="autoZero"/>
        <c:auto val="1"/>
        <c:lblAlgn val="ctr"/>
        <c:lblOffset val="100"/>
        <c:tickMarkSkip val="1"/>
      </c:catAx>
      <c:valAx>
        <c:axId val="84706048"/>
        <c:scaling>
          <c:orientation val="minMax"/>
        </c:scaling>
        <c:axPos val="l"/>
        <c:majorGridlines>
          <c:spPr>
            <a:ln w="153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398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zh-CN" altLang="en-US"/>
                  <a:t>单位：万元</a:t>
                </a:r>
              </a:p>
            </c:rich>
          </c:tx>
          <c:layout>
            <c:manualLayout>
              <c:xMode val="edge"/>
              <c:yMode val="edge"/>
              <c:x val="2.2449020795477496E-2"/>
              <c:y val="0.24852055993000868"/>
            </c:manualLayout>
          </c:layout>
          <c:spPr>
            <a:noFill/>
            <a:ln w="17907">
              <a:noFill/>
            </a:ln>
          </c:spPr>
        </c:title>
        <c:numFmt formatCode="General" sourceLinked="1"/>
        <c:majorTickMark val="in"/>
        <c:tickLblPos val="nextTo"/>
        <c:spPr>
          <a:ln w="153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9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858347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153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39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</c:dTable>
      <c:spPr>
        <a:solidFill>
          <a:srgbClr val="C0C0C0"/>
        </a:solidFill>
        <a:ln w="614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020414114902259"/>
          <c:y val="0.3594768153980793"/>
          <c:w val="8.1632680530318649E-2"/>
          <c:h val="0.11111111111111049"/>
        </c:manualLayout>
      </c:layout>
      <c:spPr>
        <a:noFill/>
        <a:ln w="1535">
          <a:solidFill>
            <a:srgbClr val="000000"/>
          </a:solidFill>
          <a:prstDash val="solid"/>
        </a:ln>
      </c:spPr>
      <c:txPr>
        <a:bodyPr/>
        <a:lstStyle/>
        <a:p>
          <a:pPr>
            <a:defRPr sz="365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398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6739130434782731"/>
          <c:y val="9.0361445783133473E-2"/>
          <c:w val="0.70869565217392305"/>
          <c:h val="0.60240963855422203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金额</c:v>
                </c:pt>
              </c:strCache>
            </c:strRef>
          </c:tx>
          <c:spPr>
            <a:solidFill>
              <a:srgbClr val="9999FF"/>
            </a:solidFill>
            <a:ln w="780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2019年一般公共预算财政拨款支出</c:v>
                </c:pt>
                <c:pt idx="1">
                  <c:v>2020年一般公共预算财政拨款支出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1944.46</c:v>
                </c:pt>
                <c:pt idx="1">
                  <c:v>2057.4</c:v>
                </c:pt>
              </c:numCache>
            </c:numRef>
          </c:val>
        </c:ser>
        <c:axId val="84727680"/>
        <c:axId val="84729216"/>
      </c:barChart>
      <c:catAx>
        <c:axId val="84727680"/>
        <c:scaling>
          <c:orientation val="minMax"/>
        </c:scaling>
        <c:axPos val="b"/>
        <c:numFmt formatCode="General" sourceLinked="1"/>
        <c:majorTickMark val="in"/>
        <c:tickLblPos val="nextTo"/>
        <c:spPr>
          <a:ln w="19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52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84729216"/>
        <c:crosses val="autoZero"/>
        <c:auto val="1"/>
        <c:lblAlgn val="ctr"/>
        <c:lblOffset val="100"/>
        <c:tickMarkSkip val="1"/>
      </c:catAx>
      <c:valAx>
        <c:axId val="8472921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sz="552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zh-CN" altLang="en-US"/>
                  <a:t>单位：万元</a:t>
                </a:r>
              </a:p>
            </c:rich>
          </c:tx>
          <c:layout>
            <c:manualLayout>
              <c:xMode val="edge"/>
              <c:yMode val="edge"/>
              <c:x val="2.391298341711863E-2"/>
              <c:y val="0.2417583516346172"/>
            </c:manualLayout>
          </c:layout>
          <c:spPr>
            <a:noFill/>
            <a:ln w="20325">
              <a:noFill/>
            </a:ln>
          </c:spPr>
        </c:title>
        <c:numFmt formatCode="General" sourceLinked="1"/>
        <c:majorTickMark val="in"/>
        <c:tickLblPos val="nextTo"/>
        <c:spPr>
          <a:ln w="19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52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847276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1952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552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</c:dTable>
      <c:spPr>
        <a:solidFill>
          <a:srgbClr val="C0C0C0"/>
        </a:solidFill>
        <a:ln w="780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565217391304353"/>
          <c:y val="0.36144553359401532"/>
          <c:w val="9.5652173913043731E-2"/>
          <c:h val="0.10843358865856052"/>
        </c:manualLayout>
      </c:layout>
      <c:spPr>
        <a:noFill/>
        <a:ln w="1952">
          <a:solidFill>
            <a:srgbClr val="000000"/>
          </a:solidFill>
          <a:prstDash val="solid"/>
        </a:ln>
      </c:spPr>
      <c:txPr>
        <a:bodyPr/>
        <a:lstStyle/>
        <a:p>
          <a:pPr>
            <a:defRPr sz="507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552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7.9388567541087224E-2"/>
          <c:y val="0.23828125000000044"/>
          <c:w val="0.44482655356381456"/>
          <c:h val="0.76171908152199563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比例</c:v>
                </c:pt>
              </c:strCache>
            </c:strRef>
          </c:tx>
          <c:spPr>
            <a:solidFill>
              <a:srgbClr val="9999FF"/>
            </a:solidFill>
            <a:ln w="4259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425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425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425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4259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15472">
                <a:noFill/>
              </a:ln>
            </c:spPr>
            <c:txPr>
              <a:bodyPr/>
              <a:lstStyle/>
              <a:p>
                <a:pPr>
                  <a:defRPr sz="402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showLeaderLines val="1"/>
          </c:dLbls>
          <c:cat>
            <c:strRef>
              <c:f>Sheet1!$B$1:$F$1</c:f>
              <c:strCache>
                <c:ptCount val="5"/>
                <c:pt idx="0">
                  <c:v>公共安全支出</c:v>
                </c:pt>
                <c:pt idx="1">
                  <c:v>教育支出</c:v>
                </c:pt>
                <c:pt idx="2">
                  <c:v>社会保障和就业支出</c:v>
                </c:pt>
                <c:pt idx="3">
                  <c:v>医疗卫生与计划生育支出</c:v>
                </c:pt>
                <c:pt idx="4">
                  <c:v>住房保障支出</c:v>
                </c:pt>
              </c:strCache>
            </c:strRef>
          </c:cat>
          <c:val>
            <c:numRef>
              <c:f>Sheet1!$B$2:$F$2</c:f>
              <c:numCache>
                <c:formatCode>0.00%</c:formatCode>
                <c:ptCount val="5"/>
                <c:pt idx="0">
                  <c:v>0.91470000000000062</c:v>
                </c:pt>
                <c:pt idx="1">
                  <c:v>1.6000000000000044E-3</c:v>
                </c:pt>
                <c:pt idx="2">
                  <c:v>3.5400000000000001E-2</c:v>
                </c:pt>
                <c:pt idx="3">
                  <c:v>1.9199999999999998E-2</c:v>
                </c:pt>
                <c:pt idx="4">
                  <c:v>2.7100000000000006E-2</c:v>
                </c:pt>
              </c:numCache>
            </c:numRef>
          </c:val>
        </c:ser>
        <c:dLbls>
          <c:showVal val="1"/>
        </c:dLbls>
        <c:firstSliceAng val="0"/>
      </c:pieChart>
      <c:spPr>
        <a:solidFill>
          <a:srgbClr val="C0C0C0"/>
        </a:solidFill>
        <a:ln w="425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1504016011376561"/>
          <c:y val="0.38110528451984788"/>
          <c:w val="0.18652042240539349"/>
          <c:h val="0.51580193197499802"/>
        </c:manualLayout>
      </c:layout>
      <c:spPr>
        <a:noFill/>
        <a:ln w="1065">
          <a:solidFill>
            <a:srgbClr val="000000"/>
          </a:solidFill>
          <a:prstDash val="solid"/>
        </a:ln>
      </c:spPr>
      <c:txPr>
        <a:bodyPr/>
        <a:lstStyle/>
        <a:p>
          <a:pPr>
            <a:defRPr sz="36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402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9.5205011138313603E-2"/>
          <c:y val="0.39966461685084836"/>
          <c:w val="0.37179456621976348"/>
          <c:h val="0.5946570151353559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比例</c:v>
                </c:pt>
              </c:strCache>
            </c:strRef>
          </c:tx>
          <c:spPr>
            <a:solidFill>
              <a:srgbClr val="9999FF"/>
            </a:solidFill>
            <a:ln w="3035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3035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3035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3035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3035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11025">
                <a:noFill/>
              </a:ln>
            </c:spPr>
            <c:txPr>
              <a:bodyPr/>
              <a:lstStyle/>
              <a:p>
                <a:pPr>
                  <a:defRPr sz="286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showLeaderLines val="1"/>
          </c:dLbls>
          <c:cat>
            <c:strRef>
              <c:f>Sheet1!$B$1:$F$1</c:f>
              <c:strCache>
                <c:ptCount val="3"/>
                <c:pt idx="0">
                  <c:v>因公出国（境）费支出</c:v>
                </c:pt>
                <c:pt idx="1">
                  <c:v>公务用车购置及运行维护费支出</c:v>
                </c:pt>
                <c:pt idx="2">
                  <c:v>公务接待费支出</c:v>
                </c:pt>
              </c:strCache>
            </c:strRef>
          </c:cat>
          <c:val>
            <c:numRef>
              <c:f>Sheet1!$B$2:$F$2</c:f>
              <c:numCache>
                <c:formatCode>0.00%</c:formatCode>
                <c:ptCount val="5"/>
                <c:pt idx="0" formatCode="General">
                  <c:v>0</c:v>
                </c:pt>
                <c:pt idx="1">
                  <c:v>0.99409999999999998</c:v>
                </c:pt>
                <c:pt idx="2">
                  <c:v>5.9000000000000198E-3</c:v>
                </c:pt>
              </c:numCache>
            </c:numRef>
          </c:val>
        </c:ser>
        <c:dLbls>
          <c:showVal val="1"/>
        </c:dLbls>
        <c:firstSliceAng val="0"/>
      </c:pieChart>
      <c:spPr>
        <a:solidFill>
          <a:srgbClr val="C0C0C0"/>
        </a:solidFill>
        <a:ln w="303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0973201879176853"/>
          <c:y val="0.50911842791985296"/>
          <c:w val="0.10563356051081857"/>
          <c:h val="0.44285869885860846"/>
        </c:manualLayout>
      </c:layout>
      <c:spPr>
        <a:noFill/>
        <a:ln w="759">
          <a:solidFill>
            <a:srgbClr val="000000"/>
          </a:solidFill>
          <a:prstDash val="solid"/>
        </a:ln>
      </c:spPr>
      <c:txPr>
        <a:bodyPr/>
        <a:lstStyle/>
        <a:p>
          <a:pPr>
            <a:defRPr sz="263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286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9378</Words>
  <Characters>2811</Characters>
  <Application>Microsoft Office Word</Application>
  <DocSecurity>0</DocSecurity>
  <Lines>23</Lines>
  <Paragraphs>24</Paragraphs>
  <ScaleCrop>false</ScaleCrop>
  <Company>四川省财政厅</Company>
  <LinksUpToDate>false</LinksUpToDate>
  <CharactersWithSpaces>12165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四川省***</dc:title>
  <dc:creator>曹颖</dc:creator>
  <cp:lastModifiedBy>Administrator</cp:lastModifiedBy>
  <cp:revision>7</cp:revision>
  <cp:lastPrinted>2020-10-01T02:41:00Z</cp:lastPrinted>
  <dcterms:created xsi:type="dcterms:W3CDTF">2021-09-30T01:52:00Z</dcterms:created>
  <dcterms:modified xsi:type="dcterms:W3CDTF">2021-09-30T08:09:00Z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