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98015">
      <w:pPr>
        <w:pStyle w:val="7"/>
        <w:jc w:val="center"/>
        <w:rPr>
          <w:rFonts w:hint="eastAsia" w:ascii="方正小标宋简体" w:hAnsi="宋体" w:eastAsia="方正小标宋简体" w:cs="Times New Roman"/>
          <w:color w:val="auto"/>
          <w:kern w:val="2"/>
          <w:sz w:val="44"/>
          <w:szCs w:val="44"/>
          <w:highlight w:val="none"/>
          <w:lang w:val="en-US" w:eastAsia="zh-CN" w:bidi="ar-SA"/>
        </w:rPr>
      </w:pPr>
    </w:p>
    <w:p w14:paraId="11DC60EA">
      <w:pPr>
        <w:pStyle w:val="7"/>
        <w:jc w:val="center"/>
        <w:rPr>
          <w:rFonts w:hint="eastAsia" w:ascii="方正小标宋_GBK" w:hAnsi="方正小标宋_GBK" w:eastAsia="方正小标宋_GBK" w:cs="方正小标宋_GBK"/>
          <w:b/>
          <w:bCs/>
          <w:color w:val="auto"/>
          <w:kern w:val="2"/>
          <w:sz w:val="52"/>
          <w:szCs w:val="52"/>
          <w:highlight w:val="none"/>
          <w:lang w:val="en-US" w:eastAsia="zh-CN" w:bidi="ar-SA"/>
        </w:rPr>
      </w:pPr>
      <w:r>
        <w:rPr>
          <w:rFonts w:hint="eastAsia" w:ascii="方正小标宋_GBK" w:hAnsi="方正小标宋_GBK" w:eastAsia="方正小标宋_GBK" w:cs="方正小标宋_GBK"/>
          <w:b/>
          <w:bCs/>
          <w:color w:val="auto"/>
          <w:kern w:val="2"/>
          <w:sz w:val="52"/>
          <w:szCs w:val="52"/>
          <w:highlight w:val="none"/>
          <w:lang w:val="en-US" w:eastAsia="zh-CN" w:bidi="ar-SA"/>
        </w:rPr>
        <w:t>2024年度四川藏语佛学院阿坝分院</w:t>
      </w:r>
    </w:p>
    <w:p w14:paraId="5CD660F0">
      <w:pPr>
        <w:pStyle w:val="7"/>
        <w:jc w:val="center"/>
        <w:rPr>
          <w:rFonts w:hint="eastAsia" w:ascii="方正小标宋_GBK" w:hAnsi="方正小标宋_GBK" w:eastAsia="方正小标宋_GBK" w:cs="方正小标宋_GBK"/>
          <w:b/>
          <w:bCs/>
          <w:color w:val="auto"/>
          <w:kern w:val="2"/>
          <w:sz w:val="52"/>
          <w:szCs w:val="52"/>
          <w:highlight w:val="none"/>
          <w:lang w:val="en-US" w:eastAsia="zh-CN" w:bidi="ar-SA"/>
        </w:rPr>
      </w:pPr>
      <w:r>
        <w:rPr>
          <w:rFonts w:hint="eastAsia" w:ascii="方正小标宋_GBK" w:hAnsi="方正小标宋_GBK" w:eastAsia="方正小标宋_GBK" w:cs="方正小标宋_GBK"/>
          <w:b/>
          <w:bCs/>
          <w:color w:val="auto"/>
          <w:kern w:val="2"/>
          <w:sz w:val="52"/>
          <w:szCs w:val="52"/>
          <w:highlight w:val="none"/>
          <w:lang w:val="en-US" w:eastAsia="zh-CN" w:bidi="ar-SA"/>
        </w:rPr>
        <w:t>单位决算</w:t>
      </w:r>
    </w:p>
    <w:p w14:paraId="525A3644">
      <w:pPr>
        <w:widowControl/>
        <w:jc w:val="center"/>
        <w:rPr>
          <w:rFonts w:hint="eastAsia" w:ascii="方正黑体_GBK" w:hAnsi="方正黑体_GBK" w:eastAsia="方正黑体_GBK" w:cs="方正黑体_GBK"/>
          <w:color w:val="auto"/>
          <w:sz w:val="52"/>
          <w:szCs w:val="52"/>
          <w:highlight w:val="none"/>
        </w:rPr>
      </w:pPr>
    </w:p>
    <w:p w14:paraId="15A49630">
      <w:pPr>
        <w:widowControl/>
        <w:jc w:val="center"/>
        <w:rPr>
          <w:rFonts w:hint="eastAsia" w:ascii="方正黑体_GBK" w:hAnsi="方正黑体_GBK" w:eastAsia="方正黑体_GBK" w:cs="方正黑体_GBK"/>
          <w:color w:val="auto"/>
          <w:sz w:val="52"/>
          <w:szCs w:val="52"/>
          <w:highlight w:val="none"/>
        </w:rPr>
      </w:pPr>
    </w:p>
    <w:p w14:paraId="1DD27615">
      <w:pPr>
        <w:widowControl/>
        <w:jc w:val="center"/>
        <w:rPr>
          <w:rFonts w:hint="eastAsia" w:ascii="方正黑体_GBK" w:hAnsi="方正黑体_GBK" w:eastAsia="方正黑体_GBK" w:cs="方正黑体_GBK"/>
          <w:color w:val="auto"/>
          <w:sz w:val="52"/>
          <w:szCs w:val="52"/>
          <w:highlight w:val="none"/>
        </w:rPr>
      </w:pPr>
    </w:p>
    <w:p w14:paraId="698EED80">
      <w:pPr>
        <w:pStyle w:val="7"/>
        <w:spacing w:before="93"/>
        <w:jc w:val="center"/>
      </w:pPr>
      <w:r>
        <w:rPr>
          <w:rFonts w:hint="eastAsia" w:cs="仿宋_GB2312"/>
          <w:sz w:val="32"/>
          <w:szCs w:val="32"/>
        </w:rPr>
        <w:t>已经保密审查、内容审定，同意对外公开</w:t>
      </w:r>
    </w:p>
    <w:p w14:paraId="433852F3">
      <w:pPr>
        <w:widowControl/>
        <w:jc w:val="both"/>
        <w:rPr>
          <w:rFonts w:ascii="黑体" w:hAnsi="黑体" w:eastAsia="黑体"/>
          <w:color w:val="auto"/>
          <w:sz w:val="48"/>
          <w:szCs w:val="48"/>
          <w:highlight w:val="none"/>
        </w:rPr>
      </w:pPr>
      <w:r>
        <w:rPr>
          <w:rFonts w:hint="eastAsia" w:ascii="方正黑体_GBK" w:hAnsi="方正黑体_GBK" w:eastAsia="方正黑体_GBK" w:cs="方正黑体_GBK"/>
          <w:color w:val="auto"/>
          <w:sz w:val="52"/>
          <w:szCs w:val="52"/>
          <w:highlight w:val="none"/>
        </w:rPr>
        <w:br w:type="page"/>
      </w:r>
      <w:r>
        <w:rPr>
          <w:rFonts w:hint="eastAsia" w:ascii="方正黑体_GBK" w:hAnsi="方正黑体_GBK" w:eastAsia="方正黑体_GBK" w:cs="方正黑体_GBK"/>
          <w:color w:val="auto"/>
          <w:sz w:val="52"/>
          <w:szCs w:val="52"/>
          <w:highlight w:val="none"/>
          <w:lang w:val="en-US" w:eastAsia="zh-CN"/>
        </w:rPr>
        <w:t xml:space="preserve">          </w:t>
      </w:r>
      <w:r>
        <w:rPr>
          <w:rFonts w:hint="eastAsia" w:ascii="方正黑体_GBK" w:hAnsi="方正黑体_GBK" w:eastAsia="方正黑体_GBK" w:cs="方正黑体_GBK"/>
          <w:color w:val="auto"/>
          <w:sz w:val="48"/>
          <w:szCs w:val="48"/>
          <w:highlight w:val="none"/>
          <w:lang w:val="en-US" w:eastAsia="zh-CN"/>
        </w:rPr>
        <w:t xml:space="preserve">  </w:t>
      </w:r>
      <w:r>
        <w:rPr>
          <w:rFonts w:hint="eastAsia" w:ascii="黑体" w:hAnsi="黑体" w:eastAsia="黑体"/>
          <w:color w:val="auto"/>
          <w:sz w:val="48"/>
          <w:szCs w:val="48"/>
          <w:highlight w:val="none"/>
        </w:rPr>
        <w:t>目</w:t>
      </w:r>
      <w:r>
        <w:rPr>
          <w:rFonts w:hint="eastAsia" w:ascii="黑体" w:hAnsi="黑体" w:eastAsia="黑体"/>
          <w:color w:val="auto"/>
          <w:sz w:val="48"/>
          <w:szCs w:val="48"/>
          <w:highlight w:val="none"/>
          <w:lang w:val="en-US" w:eastAsia="zh-CN"/>
        </w:rPr>
        <w:t xml:space="preserve">  </w:t>
      </w:r>
      <w:r>
        <w:rPr>
          <w:rFonts w:hint="eastAsia" w:ascii="黑体" w:hAnsi="黑体" w:eastAsia="黑体"/>
          <w:color w:val="auto"/>
          <w:sz w:val="48"/>
          <w:szCs w:val="48"/>
          <w:highlight w:val="none"/>
        </w:rPr>
        <w:t>录</w:t>
      </w:r>
    </w:p>
    <w:p w14:paraId="49DE0C2B">
      <w:pPr>
        <w:widowControl/>
        <w:jc w:val="center"/>
        <w:rPr>
          <w:rFonts w:ascii="黑体" w:hAnsi="黑体" w:eastAsia="黑体" w:cstheme="minorBidi"/>
          <w:color w:val="auto"/>
          <w:sz w:val="28"/>
          <w:szCs w:val="28"/>
          <w:highlight w:val="none"/>
        </w:rPr>
      </w:pPr>
    </w:p>
    <w:p w14:paraId="6A543F38">
      <w:pPr>
        <w:pStyle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公开时间：20</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17</w:t>
      </w:r>
      <w:r>
        <w:rPr>
          <w:rFonts w:hint="eastAsia" w:ascii="仿宋_GB2312" w:hAnsi="仿宋_GB2312" w:eastAsia="仿宋_GB2312" w:cs="仿宋_GB2312"/>
          <w:color w:val="auto"/>
          <w:sz w:val="32"/>
          <w:szCs w:val="32"/>
          <w:highlight w:val="none"/>
        </w:rPr>
        <w:t>日</w:t>
      </w:r>
    </w:p>
    <w:sdt>
      <w:sdtPr>
        <w:rPr>
          <w:rFonts w:ascii="宋体" w:hAnsi="宋体" w:eastAsia="宋体" w:cs="Times New Roman"/>
          <w:kern w:val="2"/>
          <w:sz w:val="21"/>
          <w:szCs w:val="24"/>
          <w:lang w:val="en-US" w:eastAsia="zh-CN" w:bidi="ar-SA"/>
        </w:rPr>
        <w:id w:val="147482291"/>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14:paraId="4575A1F9">
          <w:pPr>
            <w:spacing w:before="0" w:beforeLines="0" w:after="0" w:afterLines="0" w:line="240" w:lineRule="auto"/>
            <w:ind w:left="0" w:leftChars="0" w:right="0" w:rightChars="0" w:firstLine="0" w:firstLineChars="0"/>
            <w:jc w:val="center"/>
          </w:pPr>
        </w:p>
        <w:p w14:paraId="24AC8C20">
          <w:pPr>
            <w:pStyle w:val="18"/>
            <w:tabs>
              <w:tab w:val="right" w:leader="dot" w:pos="8306"/>
            </w:tabs>
            <w:rPr>
              <w:rFonts w:hint="eastAsia" w:ascii="仿宋" w:hAnsi="仿宋" w:eastAsia="仿宋" w:cs="仿宋"/>
              <w:b/>
              <w:sz w:val="28"/>
              <w:szCs w:val="28"/>
            </w:rPr>
          </w:pPr>
          <w:r>
            <w:fldChar w:fldCharType="begin"/>
          </w:r>
          <w:r>
            <w:instrText xml:space="preserve">TOC \o "1-2" \h \u </w:instrText>
          </w:r>
          <w:r>
            <w:fldChar w:fldCharType="separate"/>
          </w:r>
          <w:r>
            <w:rPr>
              <w:rFonts w:hint="eastAsia" w:ascii="黑体" w:hAnsi="黑体" w:eastAsia="黑体" w:cs="黑体"/>
              <w:b w:val="0"/>
              <w:bCs/>
              <w:sz w:val="32"/>
              <w:szCs w:val="32"/>
            </w:rPr>
            <w:fldChar w:fldCharType="begin"/>
          </w:r>
          <w:r>
            <w:rPr>
              <w:rFonts w:hint="eastAsia" w:ascii="黑体" w:hAnsi="黑体" w:eastAsia="黑体" w:cs="黑体"/>
              <w:b w:val="0"/>
              <w:bCs/>
              <w:sz w:val="32"/>
              <w:szCs w:val="32"/>
            </w:rPr>
            <w:instrText xml:space="preserve"> HYPERLINK \l _Toc25957 </w:instrText>
          </w:r>
          <w:r>
            <w:rPr>
              <w:rFonts w:hint="eastAsia" w:ascii="黑体" w:hAnsi="黑体" w:eastAsia="黑体" w:cs="黑体"/>
              <w:b w:val="0"/>
              <w:bCs/>
              <w:sz w:val="32"/>
              <w:szCs w:val="32"/>
            </w:rPr>
            <w:fldChar w:fldCharType="separate"/>
          </w:r>
          <w:r>
            <w:rPr>
              <w:rFonts w:hint="eastAsia" w:ascii="黑体" w:hAnsi="黑体" w:eastAsia="黑体" w:cs="黑体"/>
              <w:b w:val="0"/>
              <w:bCs/>
              <w:sz w:val="32"/>
              <w:szCs w:val="32"/>
              <w:highlight w:val="none"/>
            </w:rPr>
            <w:t xml:space="preserve">第一部分 </w:t>
          </w:r>
          <w:r>
            <w:rPr>
              <w:rFonts w:hint="eastAsia" w:ascii="黑体" w:hAnsi="黑体" w:eastAsia="黑体" w:cs="黑体"/>
              <w:b w:val="0"/>
              <w:bCs/>
              <w:sz w:val="32"/>
              <w:szCs w:val="32"/>
              <w:highlight w:val="none"/>
              <w:lang w:eastAsia="zh-CN"/>
            </w:rPr>
            <w:t>单位</w:t>
          </w:r>
          <w:r>
            <w:rPr>
              <w:rFonts w:hint="eastAsia" w:ascii="黑体" w:hAnsi="黑体" w:eastAsia="黑体" w:cs="黑体"/>
              <w:b w:val="0"/>
              <w:bCs/>
              <w:sz w:val="32"/>
              <w:szCs w:val="32"/>
              <w:highlight w:val="none"/>
            </w:rPr>
            <w:t>概况</w:t>
          </w:r>
          <w:r>
            <w:rPr>
              <w:rFonts w:hint="eastAsia" w:ascii="黑体" w:hAnsi="黑体" w:eastAsia="黑体" w:cs="黑体"/>
              <w:b w:val="0"/>
              <w:bCs/>
              <w:sz w:val="32"/>
              <w:szCs w:val="32"/>
            </w:rPr>
            <w:tab/>
          </w:r>
          <w:r>
            <w:rPr>
              <w:rFonts w:hint="eastAsia" w:ascii="黑体" w:hAnsi="黑体" w:eastAsia="黑体" w:cs="黑体"/>
              <w:b w:val="0"/>
              <w:bCs/>
              <w:sz w:val="32"/>
              <w:szCs w:val="32"/>
            </w:rPr>
            <w:fldChar w:fldCharType="begin"/>
          </w:r>
          <w:r>
            <w:rPr>
              <w:rFonts w:hint="eastAsia" w:ascii="黑体" w:hAnsi="黑体" w:eastAsia="黑体" w:cs="黑体"/>
              <w:b w:val="0"/>
              <w:bCs/>
              <w:sz w:val="32"/>
              <w:szCs w:val="32"/>
            </w:rPr>
            <w:instrText xml:space="preserve"> PAGEREF _Toc25957 \h </w:instrText>
          </w:r>
          <w:r>
            <w:rPr>
              <w:rFonts w:hint="eastAsia" w:ascii="黑体" w:hAnsi="黑体" w:eastAsia="黑体" w:cs="黑体"/>
              <w:b w:val="0"/>
              <w:bCs/>
              <w:sz w:val="32"/>
              <w:szCs w:val="32"/>
            </w:rPr>
            <w:fldChar w:fldCharType="separate"/>
          </w:r>
          <w:r>
            <w:rPr>
              <w:rFonts w:hint="eastAsia" w:ascii="黑体" w:hAnsi="黑体" w:eastAsia="黑体" w:cs="黑体"/>
              <w:b w:val="0"/>
              <w:bCs/>
              <w:sz w:val="32"/>
              <w:szCs w:val="32"/>
            </w:rPr>
            <w:t>- 1 -</w:t>
          </w:r>
          <w:r>
            <w:rPr>
              <w:rFonts w:hint="eastAsia" w:ascii="黑体" w:hAnsi="黑体" w:eastAsia="黑体" w:cs="黑体"/>
              <w:b w:val="0"/>
              <w:bCs/>
              <w:sz w:val="32"/>
              <w:szCs w:val="32"/>
            </w:rPr>
            <w:fldChar w:fldCharType="end"/>
          </w:r>
          <w:r>
            <w:rPr>
              <w:rFonts w:hint="eastAsia" w:ascii="黑体" w:hAnsi="黑体" w:eastAsia="黑体" w:cs="黑体"/>
              <w:b w:val="0"/>
              <w:bCs/>
              <w:sz w:val="32"/>
              <w:szCs w:val="32"/>
            </w:rPr>
            <w:fldChar w:fldCharType="end"/>
          </w:r>
        </w:p>
        <w:p w14:paraId="2843445A">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_Toc21050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eastAsia="zh-CN"/>
            </w:rPr>
            <w:t xml:space="preserve">一、 </w:t>
          </w:r>
          <w:r>
            <w:rPr>
              <w:rFonts w:hint="eastAsia" w:ascii="仿宋_GB2312" w:hAnsi="仿宋_GB2312" w:eastAsia="仿宋_GB2312" w:cs="仿宋_GB2312"/>
              <w:bCs w:val="0"/>
              <w:sz w:val="32"/>
              <w:szCs w:val="32"/>
              <w:highlight w:val="none"/>
              <w:lang w:eastAsia="zh-CN"/>
            </w:rPr>
            <w:t>主要职责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_Toc21050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5F202C5">
          <w:pPr>
            <w:pStyle w:val="19"/>
            <w:tabs>
              <w:tab w:val="right" w:leader="dot" w:pos="8306"/>
            </w:tabs>
            <w:rPr>
              <w:rFonts w:hint="eastAsia" w:ascii="仿宋" w:hAnsi="仿宋" w:eastAsia="仿宋" w:cs="仿宋"/>
              <w:sz w:val="28"/>
              <w:szCs w:val="28"/>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_Toc14576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lang w:val="en-US" w:eastAsia="zh-CN"/>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_Toc14576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697B7B6">
          <w:pPr>
            <w:pStyle w:val="18"/>
            <w:tabs>
              <w:tab w:val="right" w:leader="dot" w:pos="8306"/>
            </w:tabs>
            <w:rPr>
              <w:rFonts w:hint="eastAsia" w:ascii="仿宋_GB2312" w:hAnsi="仿宋_GB2312" w:eastAsia="仿宋_GB2312" w:cs="仿宋_GB2312"/>
              <w:b/>
              <w:sz w:val="32"/>
              <w:szCs w:val="32"/>
            </w:rPr>
          </w:pPr>
          <w:r>
            <w:rPr>
              <w:rFonts w:hint="eastAsia" w:ascii="黑体" w:hAnsi="黑体" w:eastAsia="黑体" w:cs="黑体"/>
              <w:b w:val="0"/>
              <w:bCs/>
              <w:sz w:val="32"/>
              <w:szCs w:val="32"/>
            </w:rPr>
            <w:fldChar w:fldCharType="begin"/>
          </w:r>
          <w:r>
            <w:rPr>
              <w:rFonts w:hint="eastAsia" w:ascii="黑体" w:hAnsi="黑体" w:eastAsia="黑体" w:cs="黑体"/>
              <w:b w:val="0"/>
              <w:bCs/>
              <w:sz w:val="32"/>
              <w:szCs w:val="32"/>
            </w:rPr>
            <w:instrText xml:space="preserve"> HYPERLINK \l _Toc18461 </w:instrText>
          </w:r>
          <w:r>
            <w:rPr>
              <w:rFonts w:hint="eastAsia" w:ascii="黑体" w:hAnsi="黑体" w:eastAsia="黑体" w:cs="黑体"/>
              <w:b w:val="0"/>
              <w:bCs/>
              <w:sz w:val="32"/>
              <w:szCs w:val="32"/>
            </w:rPr>
            <w:fldChar w:fldCharType="separate"/>
          </w:r>
          <w:r>
            <w:rPr>
              <w:rFonts w:hint="eastAsia" w:ascii="黑体" w:hAnsi="黑体" w:eastAsia="黑体" w:cs="黑体"/>
              <w:b w:val="0"/>
              <w:bCs/>
              <w:sz w:val="32"/>
              <w:szCs w:val="32"/>
            </w:rPr>
            <w:t xml:space="preserve">第二部分 </w:t>
          </w:r>
          <w:r>
            <w:rPr>
              <w:rFonts w:hint="eastAsia" w:ascii="黑体" w:hAnsi="黑体" w:eastAsia="黑体" w:cs="黑体"/>
              <w:b w:val="0"/>
              <w:bCs/>
              <w:sz w:val="32"/>
              <w:szCs w:val="32"/>
              <w:lang w:val="en-US" w:eastAsia="zh-CN"/>
            </w:rPr>
            <w:t>2024年度</w:t>
          </w:r>
          <w:r>
            <w:rPr>
              <w:rFonts w:hint="eastAsia" w:ascii="黑体" w:hAnsi="黑体" w:eastAsia="黑体" w:cs="黑体"/>
              <w:b w:val="0"/>
              <w:bCs/>
              <w:sz w:val="32"/>
              <w:szCs w:val="32"/>
              <w:lang w:eastAsia="zh-CN"/>
            </w:rPr>
            <w:t>单位</w:t>
          </w:r>
          <w:r>
            <w:rPr>
              <w:rFonts w:hint="eastAsia" w:ascii="黑体" w:hAnsi="黑体" w:eastAsia="黑体" w:cs="黑体"/>
              <w:b w:val="0"/>
              <w:bCs/>
              <w:sz w:val="32"/>
              <w:szCs w:val="32"/>
            </w:rPr>
            <w:t>决算情况说明</w:t>
          </w:r>
          <w:r>
            <w:rPr>
              <w:rFonts w:hint="eastAsia" w:ascii="黑体" w:hAnsi="黑体" w:eastAsia="黑体" w:cs="黑体"/>
              <w:b w:val="0"/>
              <w:bCs/>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_Toc18461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- 2 -</w:t>
          </w:r>
          <w:r>
            <w:rPr>
              <w:rFonts w:hint="eastAsia" w:ascii="仿宋_GB2312" w:hAnsi="仿宋_GB2312" w:eastAsia="仿宋_GB2312" w:cs="仿宋_GB2312"/>
              <w:sz w:val="32"/>
              <w:szCs w:val="32"/>
            </w:rPr>
            <w:fldChar w:fldCharType="end"/>
          </w:r>
          <w:r>
            <w:rPr>
              <w:rFonts w:hint="eastAsia" w:ascii="黑体" w:hAnsi="黑体" w:eastAsia="黑体" w:cs="黑体"/>
              <w:b w:val="0"/>
              <w:bCs/>
              <w:sz w:val="32"/>
              <w:szCs w:val="32"/>
            </w:rPr>
            <w:fldChar w:fldCharType="end"/>
          </w:r>
        </w:p>
        <w:p w14:paraId="56533388">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_Toc12251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_Toc12251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352CA3">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_Toc23361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_Toc23361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B3BFCB7">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_Toc3748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_Toc3748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65341A6">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_Toc13588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_Toc13588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2DE7EBD">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_Toc26451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_Toc26451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5、6、7</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C90D276">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_Toc4676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_Toc4676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2D95FE2">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_Toc17174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七、财政拨款“三公”经费支出决算情况说明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_Toc17174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7352C9A">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_Toc30621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_Toc30621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B2E398A">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_Toc12609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_Toc12609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FD01608">
          <w:pPr>
            <w:pStyle w:val="19"/>
            <w:tabs>
              <w:tab w:val="right" w:leader="dot" w:pos="8306"/>
            </w:tabs>
            <w:rPr>
              <w:rFonts w:hint="eastAsia" w:ascii="仿宋" w:hAnsi="仿宋" w:eastAsia="仿宋" w:cs="仿宋"/>
              <w:sz w:val="28"/>
              <w:szCs w:val="28"/>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_Toc14878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_Toc14878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7111BA8">
          <w:pPr>
            <w:pStyle w:val="18"/>
            <w:tabs>
              <w:tab w:val="right" w:leader="dot" w:pos="8306"/>
            </w:tabs>
            <w:rPr>
              <w:rFonts w:hint="eastAsia" w:ascii="黑体" w:hAnsi="黑体" w:eastAsia="黑体" w:cs="黑体"/>
              <w:b w:val="0"/>
              <w:bCs/>
              <w:sz w:val="32"/>
              <w:szCs w:val="32"/>
            </w:rPr>
          </w:pPr>
          <w:r>
            <w:rPr>
              <w:rFonts w:hint="eastAsia" w:ascii="黑体" w:hAnsi="黑体" w:eastAsia="黑体" w:cs="黑体"/>
              <w:b w:val="0"/>
              <w:bCs/>
              <w:sz w:val="32"/>
              <w:szCs w:val="32"/>
            </w:rPr>
            <w:fldChar w:fldCharType="begin"/>
          </w:r>
          <w:r>
            <w:rPr>
              <w:rFonts w:hint="eastAsia" w:ascii="黑体" w:hAnsi="黑体" w:eastAsia="黑体" w:cs="黑体"/>
              <w:b w:val="0"/>
              <w:bCs/>
              <w:sz w:val="32"/>
              <w:szCs w:val="32"/>
            </w:rPr>
            <w:instrText xml:space="preserve"> HYPERLINK \l _Toc3040 </w:instrText>
          </w:r>
          <w:r>
            <w:rPr>
              <w:rFonts w:hint="eastAsia" w:ascii="黑体" w:hAnsi="黑体" w:eastAsia="黑体" w:cs="黑体"/>
              <w:b w:val="0"/>
              <w:bCs/>
              <w:sz w:val="32"/>
              <w:szCs w:val="32"/>
            </w:rPr>
            <w:fldChar w:fldCharType="separate"/>
          </w:r>
          <w:r>
            <w:rPr>
              <w:rFonts w:hint="eastAsia" w:ascii="黑体" w:hAnsi="黑体" w:eastAsia="黑体" w:cs="黑体"/>
              <w:b w:val="0"/>
              <w:bCs/>
              <w:sz w:val="32"/>
              <w:szCs w:val="32"/>
              <w:lang w:eastAsia="zh-CN"/>
            </w:rPr>
            <w:t>第三部分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名词解释</w:t>
          </w:r>
          <w:r>
            <w:rPr>
              <w:rFonts w:hint="eastAsia" w:ascii="黑体" w:hAnsi="黑体" w:eastAsia="黑体" w:cs="黑体"/>
              <w:b w:val="0"/>
              <w:bCs/>
              <w:sz w:val="32"/>
              <w:szCs w:val="32"/>
            </w:rPr>
            <w:tab/>
          </w:r>
          <w:r>
            <w:rPr>
              <w:rFonts w:hint="eastAsia" w:ascii="黑体" w:hAnsi="黑体" w:eastAsia="黑体" w:cs="黑体"/>
              <w:b w:val="0"/>
              <w:bCs/>
              <w:sz w:val="32"/>
              <w:szCs w:val="32"/>
            </w:rPr>
            <w:fldChar w:fldCharType="begin"/>
          </w:r>
          <w:r>
            <w:rPr>
              <w:rFonts w:hint="eastAsia" w:ascii="黑体" w:hAnsi="黑体" w:eastAsia="黑体" w:cs="黑体"/>
              <w:b w:val="0"/>
              <w:bCs/>
              <w:sz w:val="32"/>
              <w:szCs w:val="32"/>
            </w:rPr>
            <w:instrText xml:space="preserve"> PAGEREF _Toc3040 \h </w:instrText>
          </w:r>
          <w:r>
            <w:rPr>
              <w:rFonts w:hint="eastAsia" w:ascii="黑体" w:hAnsi="黑体" w:eastAsia="黑体" w:cs="黑体"/>
              <w:b w:val="0"/>
              <w:bCs/>
              <w:sz w:val="32"/>
              <w:szCs w:val="32"/>
            </w:rPr>
            <w:fldChar w:fldCharType="separate"/>
          </w:r>
          <w:r>
            <w:rPr>
              <w:rFonts w:hint="eastAsia" w:ascii="黑体" w:hAnsi="黑体" w:eastAsia="黑体" w:cs="黑体"/>
              <w:b w:val="0"/>
              <w:bCs/>
              <w:sz w:val="32"/>
              <w:szCs w:val="32"/>
            </w:rPr>
            <w:t>- 12</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lang w:val="en-US" w:eastAsia="zh-CN"/>
            </w:rPr>
            <w:t>13、14</w:t>
          </w:r>
          <w:r>
            <w:rPr>
              <w:rFonts w:hint="eastAsia" w:ascii="黑体" w:hAnsi="黑体" w:eastAsia="黑体" w:cs="黑体"/>
              <w:b w:val="0"/>
              <w:bCs/>
              <w:sz w:val="32"/>
              <w:szCs w:val="32"/>
            </w:rPr>
            <w:t xml:space="preserve"> -</w:t>
          </w:r>
          <w:r>
            <w:rPr>
              <w:rFonts w:hint="eastAsia" w:ascii="黑体" w:hAnsi="黑体" w:eastAsia="黑体" w:cs="黑体"/>
              <w:b w:val="0"/>
              <w:bCs/>
              <w:sz w:val="32"/>
              <w:szCs w:val="32"/>
            </w:rPr>
            <w:fldChar w:fldCharType="end"/>
          </w:r>
          <w:r>
            <w:rPr>
              <w:rFonts w:hint="eastAsia" w:ascii="黑体" w:hAnsi="黑体" w:eastAsia="黑体" w:cs="黑体"/>
              <w:b w:val="0"/>
              <w:bCs/>
              <w:sz w:val="32"/>
              <w:szCs w:val="32"/>
            </w:rPr>
            <w:fldChar w:fldCharType="end"/>
          </w:r>
        </w:p>
        <w:p w14:paraId="6DEE3DF0">
          <w:pPr>
            <w:pStyle w:val="18"/>
            <w:tabs>
              <w:tab w:val="right" w:leader="dot" w:pos="8306"/>
            </w:tabs>
            <w:rPr>
              <w:rFonts w:hint="eastAsia" w:ascii="黑体" w:hAnsi="黑体" w:eastAsia="黑体" w:cs="黑体"/>
              <w:b w:val="0"/>
              <w:bCs/>
              <w:sz w:val="32"/>
              <w:szCs w:val="32"/>
            </w:rPr>
          </w:pPr>
          <w:r>
            <w:rPr>
              <w:rFonts w:hint="eastAsia" w:ascii="黑体" w:hAnsi="黑体" w:eastAsia="黑体" w:cs="黑体"/>
              <w:b w:val="0"/>
              <w:bCs/>
              <w:sz w:val="32"/>
              <w:szCs w:val="32"/>
            </w:rPr>
            <w:fldChar w:fldCharType="begin"/>
          </w:r>
          <w:r>
            <w:rPr>
              <w:rFonts w:hint="eastAsia" w:ascii="黑体" w:hAnsi="黑体" w:eastAsia="黑体" w:cs="黑体"/>
              <w:b w:val="0"/>
              <w:bCs/>
              <w:sz w:val="32"/>
              <w:szCs w:val="32"/>
            </w:rPr>
            <w:instrText xml:space="preserve"> HYPERLINK \l _Toc18208 </w:instrText>
          </w:r>
          <w:r>
            <w:rPr>
              <w:rFonts w:hint="eastAsia" w:ascii="黑体" w:hAnsi="黑体" w:eastAsia="黑体" w:cs="黑体"/>
              <w:b w:val="0"/>
              <w:bCs/>
              <w:sz w:val="32"/>
              <w:szCs w:val="32"/>
            </w:rPr>
            <w:fldChar w:fldCharType="separate"/>
          </w:r>
          <w:r>
            <w:rPr>
              <w:rFonts w:hint="eastAsia" w:ascii="黑体" w:hAnsi="黑体" w:eastAsia="黑体" w:cs="黑体"/>
              <w:b w:val="0"/>
              <w:bCs/>
              <w:sz w:val="32"/>
              <w:szCs w:val="32"/>
            </w:rPr>
            <w:t>第四部分 附件</w:t>
          </w:r>
          <w:r>
            <w:rPr>
              <w:rFonts w:hint="eastAsia" w:ascii="黑体" w:hAnsi="黑体" w:eastAsia="黑体" w:cs="黑体"/>
              <w:b w:val="0"/>
              <w:bCs/>
              <w:sz w:val="32"/>
              <w:szCs w:val="32"/>
            </w:rPr>
            <w:tab/>
          </w:r>
          <w:r>
            <w:rPr>
              <w:rFonts w:hint="eastAsia" w:ascii="黑体" w:hAnsi="黑体" w:eastAsia="黑体" w:cs="黑体"/>
              <w:b w:val="0"/>
              <w:bCs/>
              <w:sz w:val="32"/>
              <w:szCs w:val="32"/>
            </w:rPr>
            <w:fldChar w:fldCharType="begin"/>
          </w:r>
          <w:r>
            <w:rPr>
              <w:rFonts w:hint="eastAsia" w:ascii="黑体" w:hAnsi="黑体" w:eastAsia="黑体" w:cs="黑体"/>
              <w:b w:val="0"/>
              <w:bCs/>
              <w:sz w:val="32"/>
              <w:szCs w:val="32"/>
            </w:rPr>
            <w:instrText xml:space="preserve"> PAGEREF _Toc18208 \h </w:instrText>
          </w:r>
          <w:r>
            <w:rPr>
              <w:rFonts w:hint="eastAsia" w:ascii="黑体" w:hAnsi="黑体" w:eastAsia="黑体" w:cs="黑体"/>
              <w:b w:val="0"/>
              <w:bCs/>
              <w:sz w:val="32"/>
              <w:szCs w:val="32"/>
            </w:rPr>
            <w:fldChar w:fldCharType="separate"/>
          </w:r>
          <w:r>
            <w:rPr>
              <w:rFonts w:hint="eastAsia" w:ascii="黑体" w:hAnsi="黑体" w:eastAsia="黑体" w:cs="黑体"/>
              <w:b w:val="0"/>
              <w:bCs/>
              <w:sz w:val="32"/>
              <w:szCs w:val="32"/>
            </w:rPr>
            <w:t>- 15</w:t>
          </w:r>
          <w:r>
            <w:rPr>
              <w:rFonts w:hint="eastAsia" w:ascii="微软雅黑" w:hAnsi="微软雅黑" w:eastAsia="微软雅黑" w:cs="微软雅黑"/>
              <w:b w:val="0"/>
              <w:bCs/>
              <w:sz w:val="32"/>
              <w:szCs w:val="32"/>
            </w:rPr>
            <w:t>～</w:t>
          </w:r>
          <w:r>
            <w:rPr>
              <w:rFonts w:hint="eastAsia" w:ascii="黑体" w:hAnsi="黑体" w:eastAsia="黑体" w:cs="黑体"/>
              <w:b w:val="0"/>
              <w:bCs/>
              <w:sz w:val="32"/>
              <w:szCs w:val="32"/>
              <w:lang w:val="en-US" w:eastAsia="zh-CN"/>
            </w:rPr>
            <w:t>24</w:t>
          </w:r>
          <w:r>
            <w:rPr>
              <w:rFonts w:hint="eastAsia" w:ascii="黑体" w:hAnsi="黑体" w:eastAsia="黑体" w:cs="黑体"/>
              <w:b w:val="0"/>
              <w:bCs/>
              <w:sz w:val="32"/>
              <w:szCs w:val="32"/>
            </w:rPr>
            <w:t xml:space="preserve"> -</w:t>
          </w:r>
          <w:r>
            <w:rPr>
              <w:rFonts w:hint="eastAsia" w:ascii="黑体" w:hAnsi="黑体" w:eastAsia="黑体" w:cs="黑体"/>
              <w:b w:val="0"/>
              <w:bCs/>
              <w:sz w:val="32"/>
              <w:szCs w:val="32"/>
            </w:rPr>
            <w:fldChar w:fldCharType="end"/>
          </w:r>
          <w:r>
            <w:rPr>
              <w:rFonts w:hint="eastAsia" w:ascii="黑体" w:hAnsi="黑体" w:eastAsia="黑体" w:cs="黑体"/>
              <w:b w:val="0"/>
              <w:bCs/>
              <w:sz w:val="32"/>
              <w:szCs w:val="32"/>
            </w:rPr>
            <w:fldChar w:fldCharType="end"/>
          </w:r>
        </w:p>
        <w:p w14:paraId="23C0A4A9">
          <w:pPr>
            <w:pStyle w:val="18"/>
            <w:tabs>
              <w:tab w:val="right" w:leader="dot" w:pos="8306"/>
            </w:tabs>
            <w:rPr>
              <w:rFonts w:hint="eastAsia" w:ascii="仿宋" w:hAnsi="仿宋" w:eastAsia="仿宋" w:cs="仿宋"/>
              <w:b/>
              <w:sz w:val="28"/>
              <w:szCs w:val="28"/>
            </w:rPr>
          </w:pPr>
          <w:r>
            <w:rPr>
              <w:rFonts w:hint="eastAsia" w:ascii="黑体" w:hAnsi="黑体" w:eastAsia="黑体" w:cs="黑体"/>
              <w:b w:val="0"/>
              <w:bCs/>
              <w:sz w:val="32"/>
              <w:szCs w:val="32"/>
            </w:rPr>
            <w:fldChar w:fldCharType="begin"/>
          </w:r>
          <w:r>
            <w:rPr>
              <w:rFonts w:hint="eastAsia" w:ascii="黑体" w:hAnsi="黑体" w:eastAsia="黑体" w:cs="黑体"/>
              <w:b w:val="0"/>
              <w:bCs/>
              <w:sz w:val="32"/>
              <w:szCs w:val="32"/>
            </w:rPr>
            <w:instrText xml:space="preserve"> HYPERLINK \l _Toc7280 </w:instrText>
          </w:r>
          <w:r>
            <w:rPr>
              <w:rFonts w:hint="eastAsia" w:ascii="黑体" w:hAnsi="黑体" w:eastAsia="黑体" w:cs="黑体"/>
              <w:b w:val="0"/>
              <w:bCs/>
              <w:sz w:val="32"/>
              <w:szCs w:val="32"/>
            </w:rPr>
            <w:fldChar w:fldCharType="separate"/>
          </w:r>
          <w:r>
            <w:rPr>
              <w:rFonts w:hint="eastAsia" w:ascii="黑体" w:hAnsi="黑体" w:eastAsia="黑体" w:cs="黑体"/>
              <w:b w:val="0"/>
              <w:bCs/>
              <w:sz w:val="32"/>
              <w:szCs w:val="32"/>
            </w:rPr>
            <w:t>第五部分 附表</w:t>
          </w:r>
          <w:r>
            <w:rPr>
              <w:rFonts w:hint="eastAsia" w:ascii="黑体" w:hAnsi="黑体" w:eastAsia="黑体" w:cs="黑体"/>
              <w:b w:val="0"/>
              <w:bCs/>
              <w:sz w:val="32"/>
              <w:szCs w:val="32"/>
            </w:rPr>
            <w:tab/>
          </w:r>
          <w:r>
            <w:rPr>
              <w:rFonts w:hint="eastAsia" w:ascii="黑体" w:hAnsi="黑体" w:eastAsia="黑体" w:cs="黑体"/>
              <w:b w:val="0"/>
              <w:bCs/>
              <w:sz w:val="32"/>
              <w:szCs w:val="32"/>
            </w:rPr>
            <w:fldChar w:fldCharType="begin"/>
          </w:r>
          <w:r>
            <w:rPr>
              <w:rFonts w:hint="eastAsia" w:ascii="黑体" w:hAnsi="黑体" w:eastAsia="黑体" w:cs="黑体"/>
              <w:b w:val="0"/>
              <w:bCs/>
              <w:sz w:val="32"/>
              <w:szCs w:val="32"/>
            </w:rPr>
            <w:instrText xml:space="preserve"> PAGEREF _Toc7280 \h </w:instrText>
          </w:r>
          <w:r>
            <w:rPr>
              <w:rFonts w:hint="eastAsia" w:ascii="黑体" w:hAnsi="黑体" w:eastAsia="黑体" w:cs="黑体"/>
              <w:b w:val="0"/>
              <w:bCs/>
              <w:sz w:val="32"/>
              <w:szCs w:val="32"/>
            </w:rPr>
            <w:fldChar w:fldCharType="separate"/>
          </w:r>
          <w:r>
            <w:rPr>
              <w:rFonts w:hint="eastAsia" w:ascii="黑体" w:hAnsi="黑体" w:eastAsia="黑体" w:cs="黑体"/>
              <w:b w:val="0"/>
              <w:bCs/>
              <w:sz w:val="32"/>
              <w:szCs w:val="32"/>
            </w:rPr>
            <w:t xml:space="preserve">- </w:t>
          </w:r>
          <w:r>
            <w:rPr>
              <w:rFonts w:hint="eastAsia" w:ascii="黑体" w:hAnsi="黑体" w:eastAsia="黑体" w:cs="黑体"/>
              <w:b w:val="0"/>
              <w:bCs/>
              <w:sz w:val="32"/>
              <w:szCs w:val="32"/>
              <w:lang w:val="en-US" w:eastAsia="zh-CN"/>
            </w:rPr>
            <w:t>25</w:t>
          </w:r>
          <w:r>
            <w:rPr>
              <w:rFonts w:hint="eastAsia" w:ascii="黑体" w:hAnsi="黑体" w:eastAsia="黑体" w:cs="黑体"/>
              <w:b w:val="0"/>
              <w:bCs/>
              <w:sz w:val="32"/>
              <w:szCs w:val="32"/>
            </w:rPr>
            <w:t xml:space="preserve"> -</w:t>
          </w:r>
          <w:r>
            <w:rPr>
              <w:rFonts w:hint="eastAsia" w:ascii="黑体" w:hAnsi="黑体" w:eastAsia="黑体" w:cs="黑体"/>
              <w:b w:val="0"/>
              <w:bCs/>
              <w:sz w:val="32"/>
              <w:szCs w:val="32"/>
            </w:rPr>
            <w:fldChar w:fldCharType="end"/>
          </w:r>
          <w:r>
            <w:rPr>
              <w:rFonts w:hint="eastAsia" w:ascii="黑体" w:hAnsi="黑体" w:eastAsia="黑体" w:cs="黑体"/>
              <w:b w:val="0"/>
              <w:bCs/>
              <w:sz w:val="32"/>
              <w:szCs w:val="32"/>
            </w:rPr>
            <w:fldChar w:fldCharType="end"/>
          </w:r>
        </w:p>
        <w:p w14:paraId="5BAB82EC">
          <w:pPr>
            <w:pStyle w:val="19"/>
            <w:tabs>
              <w:tab w:val="right" w:leader="dot" w:pos="8306"/>
            </w:tabs>
            <w:rPr>
              <w:rFonts w:hint="eastAsia" w:ascii="仿宋" w:hAnsi="仿宋" w:eastAsia="仿宋" w:cs="仿宋"/>
              <w:sz w:val="28"/>
              <w:szCs w:val="28"/>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_Toc11491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_Toc11491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556EE64">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_Toc22887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_Toc22887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138583">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ED428FA">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_Toc18195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_Toc18195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5C58F38">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_Toc22697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_Toc22697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4559D43">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_Toc26948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_Toc26948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8FC1EA">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_Toc23052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_Toc23052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F0B7AD7">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1277F4B">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_Toc1593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4C1E8EA">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_Toc6973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_Toc6973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81A682D">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_Toc30059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十一、国有资本经营预算</w:t>
          </w:r>
          <w:r>
            <w:rPr>
              <w:rFonts w:hint="eastAsia" w:ascii="仿宋_GB2312" w:hAnsi="仿宋_GB2312" w:eastAsia="仿宋_GB2312" w:cs="仿宋_GB2312"/>
              <w:sz w:val="32"/>
              <w:szCs w:val="32"/>
              <w:lang w:eastAsia="zh-CN"/>
            </w:rPr>
            <w:t>财政拨款收入</w:t>
          </w:r>
          <w:r>
            <w:rPr>
              <w:rFonts w:hint="eastAsia" w:ascii="仿宋_GB2312" w:hAnsi="仿宋_GB2312" w:eastAsia="仿宋_GB2312" w:cs="仿宋_GB2312"/>
              <w:sz w:val="32"/>
              <w:szCs w:val="32"/>
            </w:rPr>
            <w:t>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_Toc30059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B4591FD">
          <w:pPr>
            <w:pStyle w:val="1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_Toc32286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十二、</w:t>
          </w:r>
          <w:r>
            <w:rPr>
              <w:rFonts w:hint="eastAsia" w:ascii="仿宋_GB2312" w:hAnsi="仿宋_GB2312" w:eastAsia="仿宋_GB2312" w:cs="仿宋_GB2312"/>
              <w:sz w:val="32"/>
              <w:szCs w:val="32"/>
              <w:lang w:eastAsia="zh-CN"/>
            </w:rPr>
            <w:t>国有资本经营预算财政拨款支出决算表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_Toc32286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081F132">
          <w:pPr>
            <w:pStyle w:val="19"/>
            <w:tabs>
              <w:tab w:val="right" w:leader="dot" w:pos="830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_Toc13697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十三、</w:t>
          </w:r>
          <w:r>
            <w:rPr>
              <w:rFonts w:hint="eastAsia" w:ascii="仿宋_GB2312" w:hAnsi="仿宋_GB2312" w:eastAsia="仿宋_GB2312" w:cs="仿宋_GB2312"/>
              <w:sz w:val="32"/>
              <w:szCs w:val="32"/>
              <w:lang w:eastAsia="zh-CN"/>
            </w:rPr>
            <w:t>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_Toc13697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bookmarkStart w:id="38" w:name="_GoBack"/>
          <w:bookmarkEnd w:id="38"/>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699EA53">
          <w:pPr>
            <w:rPr>
              <w:b/>
            </w:rPr>
            <w:sectPr>
              <w:footerReference r:id="rId4" w:type="first"/>
              <w:footerReference r:id="rId3" w:type="default"/>
              <w:pgSz w:w="11906" w:h="16838"/>
              <w:pgMar w:top="1440" w:right="1800" w:bottom="1440" w:left="1800" w:header="851" w:footer="992" w:gutter="0"/>
              <w:pgNumType w:fmt="numberInDash" w:start="1"/>
              <w:cols w:space="425" w:num="1"/>
              <w:titlePg/>
              <w:docGrid w:type="lines" w:linePitch="312" w:charSpace="0"/>
            </w:sectPr>
          </w:pPr>
          <w:r>
            <w:rPr>
              <w:b/>
            </w:rPr>
            <w:fldChar w:fldCharType="end"/>
          </w:r>
        </w:p>
      </w:sdtContent>
    </w:sdt>
    <w:p w14:paraId="691CC4DE">
      <w:pPr>
        <w:pStyle w:val="5"/>
        <w:jc w:val="center"/>
        <w:rPr>
          <w:rStyle w:val="14"/>
          <w:rFonts w:hint="eastAsia" w:ascii="方正小标宋简体" w:hAnsi="方正小标宋简体" w:eastAsia="方正小标宋简体" w:cs="方正小标宋简体"/>
          <w:b/>
          <w:bCs w:val="0"/>
          <w:color w:val="auto"/>
          <w:highlight w:val="none"/>
        </w:rPr>
      </w:pPr>
      <w:bookmarkStart w:id="0" w:name="_Toc25957"/>
      <w:r>
        <w:rPr>
          <w:rFonts w:hint="eastAsia" w:ascii="方正小标宋简体" w:hAnsi="方正小标宋简体" w:eastAsia="方正小标宋简体" w:cs="方正小标宋简体"/>
          <w:b w:val="0"/>
          <w:color w:val="auto"/>
          <w:highlight w:val="none"/>
        </w:rPr>
        <w:t xml:space="preserve">第一部分 </w:t>
      </w:r>
      <w:r>
        <w:rPr>
          <w:rFonts w:hint="eastAsia" w:ascii="方正小标宋简体" w:hAnsi="方正小标宋简体" w:eastAsia="方正小标宋简体" w:cs="方正小标宋简体"/>
          <w:b w:val="0"/>
          <w:color w:val="auto"/>
          <w:highlight w:val="none"/>
          <w:lang w:eastAsia="zh-CN"/>
        </w:rPr>
        <w:t>单位</w:t>
      </w:r>
      <w:r>
        <w:rPr>
          <w:rStyle w:val="14"/>
          <w:rFonts w:hint="eastAsia" w:ascii="方正小标宋简体" w:hAnsi="方正小标宋简体" w:eastAsia="方正小标宋简体" w:cs="方正小标宋简体"/>
          <w:b w:val="0"/>
          <w:bCs w:val="0"/>
          <w:color w:val="auto"/>
          <w:highlight w:val="none"/>
        </w:rPr>
        <w:t>概况</w:t>
      </w:r>
      <w:bookmarkEnd w:id="0"/>
    </w:p>
    <w:p w14:paraId="2870F81F">
      <w:pPr>
        <w:widowControl/>
        <w:jc w:val="left"/>
        <w:rPr>
          <w:rFonts w:ascii="黑体" w:eastAsia="黑体"/>
          <w:color w:val="auto"/>
          <w:sz w:val="32"/>
          <w:szCs w:val="32"/>
          <w:highlight w:val="none"/>
        </w:rPr>
      </w:pPr>
    </w:p>
    <w:p w14:paraId="46B1DB6E">
      <w:pPr>
        <w:pStyle w:val="6"/>
        <w:numPr>
          <w:ilvl w:val="0"/>
          <w:numId w:val="0"/>
        </w:numPr>
        <w:rPr>
          <w:rFonts w:hint="eastAsia" w:ascii="黑体" w:hAnsi="黑体" w:eastAsia="黑体"/>
          <w:b w:val="0"/>
          <w:color w:val="auto"/>
          <w:highlight w:val="none"/>
          <w:lang w:val="en-US" w:eastAsia="zh-CN"/>
        </w:rPr>
      </w:pPr>
      <w:bookmarkStart w:id="1" w:name="_Toc21050"/>
      <w:r>
        <w:rPr>
          <w:rFonts w:hint="eastAsia" w:ascii="黑体" w:hAnsi="黑体" w:eastAsia="黑体"/>
          <w:b w:val="0"/>
          <w:color w:val="auto"/>
          <w:highlight w:val="none"/>
          <w:lang w:val="en-US" w:eastAsia="zh-CN"/>
        </w:rPr>
        <w:t>一、主要职责</w:t>
      </w:r>
      <w:bookmarkEnd w:id="1"/>
    </w:p>
    <w:p w14:paraId="0181AC57">
      <w:pPr>
        <w:spacing w:line="60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四川藏语佛学院阿坝分院由州统战部管理公益性一类事业单位。主要负责藏传佛教界人士学历教学和教育培训；承担藏传佛教学衔授予，承担藏传佛教文化研究，承接涉藏干部培训任务等工作。</w:t>
      </w:r>
    </w:p>
    <w:p w14:paraId="0EA09FFA">
      <w:pPr>
        <w:pStyle w:val="6"/>
        <w:numPr>
          <w:ilvl w:val="0"/>
          <w:numId w:val="0"/>
        </w:numPr>
        <w:rPr>
          <w:rFonts w:hint="eastAsia" w:ascii="黑体" w:hAnsi="黑体" w:eastAsia="黑体"/>
          <w:b w:val="0"/>
          <w:color w:val="auto"/>
          <w:highlight w:val="none"/>
          <w:lang w:val="en-US" w:eastAsia="zh-CN"/>
        </w:rPr>
      </w:pPr>
      <w:bookmarkStart w:id="2" w:name="_Toc14576"/>
      <w:r>
        <w:rPr>
          <w:rFonts w:hint="eastAsia" w:ascii="黑体" w:hAnsi="黑体" w:eastAsia="黑体"/>
          <w:b w:val="0"/>
          <w:color w:val="auto"/>
          <w:highlight w:val="none"/>
          <w:lang w:val="en-US" w:eastAsia="zh-CN"/>
        </w:rPr>
        <w:t>二、机构设置</w:t>
      </w:r>
      <w:bookmarkEnd w:id="2"/>
    </w:p>
    <w:p w14:paraId="25F31DA8">
      <w:pPr>
        <w:spacing w:line="600" w:lineRule="exact"/>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四川藏语佛学院阿坝分院属二级预算单位。本部门内设机构7个。分别是：办公室，教务科，培训科，后勤科、学员管理科、财务科、研究室（图书馆）。</w:t>
      </w:r>
    </w:p>
    <w:p w14:paraId="3AA8C496">
      <w:pPr>
        <w:spacing w:line="60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总编制30名，均属于事业编制。人员实有人数为20人。其中党委书记、第一副院长1名，党委委员、副院长2人名。</w:t>
      </w:r>
    </w:p>
    <w:p w14:paraId="51085E33">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14:paraId="4E8971FB">
      <w:pPr>
        <w:pStyle w:val="5"/>
        <w:jc w:val="center"/>
        <w:rPr>
          <w:rFonts w:hint="eastAsia" w:ascii="方正小标宋简体" w:hAnsi="方正小标宋简体" w:eastAsia="方正小标宋简体" w:cs="方正小标宋简体"/>
          <w:b w:val="0"/>
          <w:color w:val="auto"/>
          <w:highlight w:val="none"/>
        </w:rPr>
      </w:pPr>
      <w:bookmarkStart w:id="3" w:name="_Toc18461"/>
      <w:r>
        <w:rPr>
          <w:rFonts w:hint="eastAsia" w:ascii="方正小标宋简体" w:hAnsi="方正小标宋简体" w:eastAsia="方正小标宋简体" w:cs="方正小标宋简体"/>
          <w:b w:val="0"/>
          <w:color w:val="auto"/>
          <w:highlight w:val="none"/>
        </w:rPr>
        <w:t xml:space="preserve">第二部分 </w:t>
      </w:r>
      <w:r>
        <w:rPr>
          <w:rFonts w:hint="eastAsia" w:ascii="方正小标宋简体" w:hAnsi="方正小标宋简体" w:eastAsia="方正小标宋简体" w:cs="方正小标宋简体"/>
          <w:b w:val="0"/>
          <w:color w:val="auto"/>
          <w:highlight w:val="none"/>
          <w:lang w:val="en-US" w:eastAsia="zh-CN"/>
        </w:rPr>
        <w:t>2024年度</w:t>
      </w:r>
      <w:r>
        <w:rPr>
          <w:rFonts w:hint="eastAsia" w:ascii="方正小标宋简体" w:hAnsi="方正小标宋简体" w:eastAsia="方正小标宋简体" w:cs="方正小标宋简体"/>
          <w:b w:val="0"/>
          <w:color w:val="auto"/>
          <w:highlight w:val="none"/>
          <w:lang w:eastAsia="zh-CN"/>
        </w:rPr>
        <w:t>单位</w:t>
      </w:r>
      <w:r>
        <w:rPr>
          <w:rFonts w:hint="eastAsia" w:ascii="方正小标宋简体" w:hAnsi="方正小标宋简体" w:eastAsia="方正小标宋简体" w:cs="方正小标宋简体"/>
          <w:b w:val="0"/>
          <w:color w:val="auto"/>
          <w:highlight w:val="none"/>
        </w:rPr>
        <w:t>决算情况说明</w:t>
      </w:r>
      <w:bookmarkEnd w:id="3"/>
    </w:p>
    <w:p w14:paraId="6ACFFAB9">
      <w:pPr>
        <w:rPr>
          <w:color w:val="auto"/>
          <w:highlight w:val="none"/>
        </w:rPr>
      </w:pPr>
    </w:p>
    <w:p w14:paraId="5C9C0671">
      <w:pPr>
        <w:pStyle w:val="16"/>
        <w:numPr>
          <w:ilvl w:val="0"/>
          <w:numId w:val="0"/>
        </w:numPr>
        <w:spacing w:line="600" w:lineRule="exact"/>
        <w:ind w:left="640" w:leftChars="0"/>
        <w:outlineLvl w:val="1"/>
        <w:rPr>
          <w:rStyle w:val="15"/>
          <w:rFonts w:ascii="黑体" w:hAnsi="黑体" w:eastAsia="黑体"/>
          <w:b w:val="0"/>
          <w:color w:val="auto"/>
          <w:highlight w:val="none"/>
        </w:rPr>
      </w:pPr>
      <w:bookmarkStart w:id="4" w:name="_Toc12251"/>
      <w:r>
        <w:rPr>
          <w:rFonts w:hint="eastAsia" w:ascii="黑体" w:hAnsi="黑体" w:eastAsia="黑体"/>
          <w:color w:val="auto"/>
          <w:sz w:val="32"/>
          <w:szCs w:val="32"/>
          <w:highlight w:val="none"/>
          <w:lang w:eastAsia="zh-CN"/>
        </w:rPr>
        <w:t>一、</w:t>
      </w:r>
      <w:r>
        <w:rPr>
          <w:rFonts w:hint="eastAsia" w:ascii="黑体" w:hAnsi="黑体" w:eastAsia="黑体"/>
          <w:color w:val="auto"/>
          <w:sz w:val="32"/>
          <w:szCs w:val="32"/>
          <w:highlight w:val="none"/>
        </w:rPr>
        <w:t>收</w:t>
      </w:r>
      <w:r>
        <w:rPr>
          <w:rStyle w:val="15"/>
          <w:rFonts w:hint="eastAsia" w:ascii="黑体" w:hAnsi="黑体" w:eastAsia="黑体"/>
          <w:b w:val="0"/>
          <w:color w:val="auto"/>
          <w:highlight w:val="none"/>
        </w:rPr>
        <w:t>入支出决算总体情况说明</w:t>
      </w:r>
      <w:bookmarkEnd w:id="4"/>
    </w:p>
    <w:p w14:paraId="7EE5DD59">
      <w:pPr>
        <w:spacing w:line="60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年度收、支总计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color w:val="auto"/>
          <w:sz w:val="32"/>
          <w:szCs w:val="32"/>
          <w:highlight w:val="none"/>
          <w:lang w:val="en-US" w:eastAsia="zh-CN"/>
        </w:rPr>
        <w:t>1291.7</w:t>
      </w:r>
      <w:r>
        <w:rPr>
          <w:rFonts w:hint="eastAsia" w:ascii="仿宋_GB2312" w:hAnsi="仿宋_GB2312" w:eastAsia="仿宋_GB2312" w:cs="仿宋_GB2312"/>
          <w:color w:val="auto"/>
          <w:sz w:val="32"/>
          <w:szCs w:val="32"/>
          <w:highlight w:val="none"/>
        </w:rPr>
        <w:t>万元。与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相比，收、支总计各增加</w:t>
      </w:r>
      <w:r>
        <w:rPr>
          <w:rFonts w:hint="eastAsia" w:ascii="仿宋_GB2312" w:hAnsi="仿宋_GB2312" w:eastAsia="仿宋_GB2312" w:cs="仿宋_GB2312"/>
          <w:color w:val="auto"/>
          <w:sz w:val="32"/>
          <w:szCs w:val="32"/>
          <w:highlight w:val="none"/>
          <w:lang w:val="en-US" w:eastAsia="zh-CN"/>
        </w:rPr>
        <w:t>247.07</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23.67</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val="en-US" w:eastAsia="zh-CN"/>
        </w:rPr>
        <w:t>本年度人员经费比去年增加。新开办了觉囊班，学员人数也较去年增多，导致办学经费的增加。所以总的财政拨款增幅较大</w:t>
      </w:r>
      <w:r>
        <w:rPr>
          <w:rFonts w:hint="eastAsia" w:ascii="仿宋_GB2312" w:hAnsi="仿宋_GB2312" w:eastAsia="仿宋_GB2312" w:cs="仿宋_GB2312"/>
          <w:color w:val="auto"/>
          <w:sz w:val="32"/>
          <w:szCs w:val="32"/>
          <w:highlight w:val="none"/>
          <w:lang w:eastAsia="zh-CN"/>
        </w:rPr>
        <w:t>。</w:t>
      </w:r>
    </w:p>
    <w:p w14:paraId="1CA8EB00">
      <w:pPr>
        <w:pStyle w:val="7"/>
        <w:rPr>
          <w:rFonts w:hint="eastAsia"/>
          <w:lang w:eastAsia="zh-CN"/>
        </w:rPr>
      </w:pPr>
      <w:r>
        <w:rPr>
          <w:rFonts w:hint="eastAsia"/>
          <w:lang w:eastAsia="zh-CN"/>
        </w:rPr>
        <w:drawing>
          <wp:inline distT="0" distB="0" distL="114300" distR="114300">
            <wp:extent cx="5256530" cy="2988310"/>
            <wp:effectExtent l="5080" t="4445" r="8890" b="762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971DAA8">
      <w:pPr>
        <w:spacing w:line="600" w:lineRule="exact"/>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w:t>
      </w:r>
    </w:p>
    <w:p w14:paraId="2D04BE81">
      <w:pPr>
        <w:spacing w:line="600" w:lineRule="exact"/>
        <w:ind w:firstLine="640" w:firstLineChars="200"/>
        <w:jc w:val="left"/>
        <w:rPr>
          <w:rFonts w:ascii="仿宋_GB2312" w:eastAsia="仿宋_GB2312"/>
          <w:color w:val="auto"/>
          <w:sz w:val="32"/>
          <w:szCs w:val="32"/>
          <w:highlight w:val="none"/>
        </w:rPr>
      </w:pPr>
    </w:p>
    <w:p w14:paraId="09FCC08C">
      <w:pPr>
        <w:pStyle w:val="16"/>
        <w:numPr>
          <w:ilvl w:val="0"/>
          <w:numId w:val="0"/>
        </w:numPr>
        <w:spacing w:line="600" w:lineRule="exact"/>
        <w:ind w:left="640" w:leftChars="0"/>
        <w:outlineLvl w:val="1"/>
        <w:rPr>
          <w:rStyle w:val="15"/>
          <w:rFonts w:ascii="黑体" w:hAnsi="黑体" w:eastAsia="黑体"/>
          <w:b w:val="0"/>
          <w:color w:val="auto"/>
          <w:highlight w:val="none"/>
        </w:rPr>
      </w:pPr>
      <w:bookmarkStart w:id="5" w:name="_Toc23361"/>
      <w:r>
        <w:rPr>
          <w:rFonts w:hint="eastAsia" w:ascii="黑体" w:hAnsi="黑体" w:eastAsia="黑体"/>
          <w:color w:val="auto"/>
          <w:sz w:val="32"/>
          <w:szCs w:val="32"/>
          <w:highlight w:val="none"/>
          <w:lang w:eastAsia="zh-CN"/>
        </w:rPr>
        <w:t>二、</w:t>
      </w:r>
      <w:r>
        <w:rPr>
          <w:rFonts w:hint="eastAsia" w:ascii="黑体" w:hAnsi="黑体" w:eastAsia="黑体"/>
          <w:color w:val="auto"/>
          <w:sz w:val="32"/>
          <w:szCs w:val="32"/>
          <w:highlight w:val="none"/>
        </w:rPr>
        <w:t>收</w:t>
      </w:r>
      <w:r>
        <w:rPr>
          <w:rStyle w:val="15"/>
          <w:rFonts w:hint="eastAsia" w:ascii="黑体" w:hAnsi="黑体" w:eastAsia="黑体"/>
          <w:b w:val="0"/>
          <w:color w:val="auto"/>
          <w:highlight w:val="none"/>
        </w:rPr>
        <w:t>入决算情况说明</w:t>
      </w:r>
      <w:bookmarkEnd w:id="5"/>
    </w:p>
    <w:p w14:paraId="4D27CC86">
      <w:pPr>
        <w:spacing w:line="600" w:lineRule="exact"/>
        <w:ind w:firstLine="640" w:firstLineChars="200"/>
        <w:rPr>
          <w:rFonts w:hint="eastAsia" w:ascii="仿宋" w:hAnsi="仿宋" w:eastAsia="仿宋" w:cs="Times New Roman"/>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1291.07万元，其中：一般公共预算财政拨款收入1291.07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5373682B">
      <w:pPr>
        <w:spacing w:line="240" w:lineRule="auto"/>
        <w:ind w:firstLine="0" w:firstLineChars="0"/>
        <w:outlineLvl w:val="9"/>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drawing>
          <wp:inline distT="0" distB="0" distL="114300" distR="114300">
            <wp:extent cx="4987925" cy="4614545"/>
            <wp:effectExtent l="0" t="0" r="0" b="0"/>
            <wp:docPr id="7" name="图片 7" descr="绘制收入决算饼状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绘制收入决算饼状图(1)"/>
                    <pic:cNvPicPr>
                      <a:picLocks noChangeAspect="1"/>
                    </pic:cNvPicPr>
                  </pic:nvPicPr>
                  <pic:blipFill>
                    <a:blip r:embed="rId7"/>
                    <a:srcRect r="996" b="8407"/>
                    <a:stretch>
                      <a:fillRect/>
                    </a:stretch>
                  </pic:blipFill>
                  <pic:spPr>
                    <a:xfrm>
                      <a:off x="0" y="0"/>
                      <a:ext cx="4987925" cy="4614545"/>
                    </a:xfrm>
                    <a:prstGeom prst="rect">
                      <a:avLst/>
                    </a:prstGeom>
                  </pic:spPr>
                </pic:pic>
              </a:graphicData>
            </a:graphic>
          </wp:inline>
        </w:drawing>
      </w:r>
    </w:p>
    <w:p w14:paraId="01A572A4">
      <w:pPr>
        <w:spacing w:line="600" w:lineRule="exact"/>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（图2：收入决算结构图）</w:t>
      </w:r>
    </w:p>
    <w:p w14:paraId="322AE3A8">
      <w:pPr>
        <w:pStyle w:val="3"/>
      </w:pPr>
    </w:p>
    <w:p w14:paraId="0A0AD746">
      <w:pPr>
        <w:pStyle w:val="16"/>
        <w:numPr>
          <w:ilvl w:val="0"/>
          <w:numId w:val="0"/>
        </w:numPr>
        <w:spacing w:line="600" w:lineRule="exact"/>
        <w:ind w:left="640" w:leftChars="0"/>
        <w:outlineLvl w:val="1"/>
        <w:rPr>
          <w:rStyle w:val="15"/>
          <w:rFonts w:ascii="黑体" w:hAnsi="黑体" w:eastAsia="黑体"/>
          <w:b w:val="0"/>
          <w:color w:val="auto"/>
          <w:highlight w:val="none"/>
        </w:rPr>
      </w:pPr>
      <w:bookmarkStart w:id="6" w:name="_Toc3748"/>
      <w:r>
        <w:rPr>
          <w:rFonts w:hint="eastAsia" w:ascii="黑体" w:hAnsi="黑体" w:eastAsia="黑体"/>
          <w:color w:val="auto"/>
          <w:sz w:val="32"/>
          <w:szCs w:val="32"/>
          <w:highlight w:val="none"/>
          <w:lang w:eastAsia="zh-CN"/>
        </w:rPr>
        <w:t>三、</w:t>
      </w:r>
      <w:r>
        <w:rPr>
          <w:rFonts w:hint="eastAsia" w:ascii="黑体" w:hAnsi="黑体" w:eastAsia="黑体"/>
          <w:color w:val="auto"/>
          <w:sz w:val="32"/>
          <w:szCs w:val="32"/>
          <w:highlight w:val="none"/>
        </w:rPr>
        <w:t>支</w:t>
      </w:r>
      <w:r>
        <w:rPr>
          <w:rStyle w:val="15"/>
          <w:rFonts w:hint="eastAsia" w:ascii="黑体" w:hAnsi="黑体" w:eastAsia="黑体"/>
          <w:b w:val="0"/>
          <w:color w:val="auto"/>
          <w:highlight w:val="none"/>
        </w:rPr>
        <w:t>出决算情况说明</w:t>
      </w:r>
      <w:bookmarkEnd w:id="6"/>
    </w:p>
    <w:p w14:paraId="6E13E5E8">
      <w:pPr>
        <w:spacing w:line="240" w:lineRule="auto"/>
        <w:ind w:firstLine="640" w:firstLineChars="200"/>
        <w:rPr>
          <w:rFonts w:hint="eastAsia" w:ascii="仿宋" w:hAnsi="仿宋" w:eastAsia="仿宋"/>
          <w:color w:val="auto"/>
          <w:sz w:val="32"/>
          <w:szCs w:val="32"/>
          <w:highlight w:val="none"/>
          <w:shd w:val="pct10" w:color="auto" w:fill="FFFFFF"/>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1291.07</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471.31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36.5</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819.76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63.</w:t>
      </w: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72793574">
      <w:pPr>
        <w:spacing w:line="240" w:lineRule="auto"/>
        <w:jc w:val="center"/>
        <w:rPr>
          <w:rFonts w:ascii="仿宋" w:hAnsi="仿宋" w:eastAsia="仿宋"/>
          <w:color w:val="auto"/>
          <w:sz w:val="32"/>
          <w:szCs w:val="32"/>
          <w:highlight w:val="none"/>
        </w:rPr>
      </w:pPr>
      <w:r>
        <w:rPr>
          <w:rFonts w:hint="eastAsia" w:ascii="仿宋" w:hAnsi="仿宋" w:eastAsia="仿宋"/>
          <w:color w:val="auto"/>
          <w:sz w:val="32"/>
          <w:szCs w:val="32"/>
          <w:highlight w:val="none"/>
        </w:rPr>
        <w:drawing>
          <wp:inline distT="0" distB="0" distL="114300" distR="114300">
            <wp:extent cx="5292090" cy="4509770"/>
            <wp:effectExtent l="0" t="0" r="0" b="0"/>
            <wp:docPr id="11" name="图片 11" descr="绘制收入决算饼状图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绘制收入决算饼状图 (1)(1)"/>
                    <pic:cNvPicPr>
                      <a:picLocks noChangeAspect="1"/>
                    </pic:cNvPicPr>
                  </pic:nvPicPr>
                  <pic:blipFill>
                    <a:blip r:embed="rId8"/>
                    <a:srcRect r="-482" b="14372"/>
                    <a:stretch>
                      <a:fillRect/>
                    </a:stretch>
                  </pic:blipFill>
                  <pic:spPr>
                    <a:xfrm>
                      <a:off x="0" y="0"/>
                      <a:ext cx="5292090" cy="4509770"/>
                    </a:xfrm>
                    <a:prstGeom prst="rect">
                      <a:avLst/>
                    </a:prstGeom>
                  </pic:spPr>
                </pic:pic>
              </a:graphicData>
            </a:graphic>
          </wp:inline>
        </w:drawing>
      </w:r>
      <w:r>
        <w:rPr>
          <w:rFonts w:hint="eastAsia" w:ascii="仿宋" w:hAnsi="仿宋" w:eastAsia="仿宋"/>
          <w:color w:val="auto"/>
          <w:sz w:val="32"/>
          <w:szCs w:val="32"/>
          <w:highlight w:val="none"/>
        </w:rPr>
        <w:t>（图3：支出决算结构图）</w:t>
      </w:r>
    </w:p>
    <w:p w14:paraId="319CE1A3">
      <w:pPr>
        <w:spacing w:line="600" w:lineRule="exact"/>
        <w:ind w:firstLine="640" w:firstLineChars="200"/>
        <w:rPr>
          <w:rFonts w:ascii="仿宋_GB2312" w:eastAsia="仿宋_GB2312"/>
          <w:color w:val="auto"/>
          <w:sz w:val="32"/>
          <w:szCs w:val="32"/>
          <w:highlight w:val="none"/>
        </w:rPr>
      </w:pPr>
    </w:p>
    <w:p w14:paraId="27455059">
      <w:pPr>
        <w:spacing w:line="600" w:lineRule="exact"/>
        <w:ind w:firstLine="640" w:firstLineChars="200"/>
        <w:outlineLvl w:val="1"/>
        <w:rPr>
          <w:rStyle w:val="15"/>
          <w:rFonts w:ascii="黑体" w:hAnsi="黑体" w:eastAsia="黑体"/>
          <w:b w:val="0"/>
          <w:color w:val="auto"/>
          <w:highlight w:val="none"/>
        </w:rPr>
      </w:pPr>
      <w:bookmarkStart w:id="7" w:name="_Toc13588"/>
      <w:r>
        <w:rPr>
          <w:rFonts w:hint="eastAsia" w:ascii="黑体" w:hAnsi="黑体" w:eastAsia="黑体"/>
          <w:color w:val="auto"/>
          <w:sz w:val="32"/>
          <w:szCs w:val="32"/>
          <w:highlight w:val="none"/>
        </w:rPr>
        <w:t>四、财</w:t>
      </w:r>
      <w:r>
        <w:rPr>
          <w:rStyle w:val="15"/>
          <w:rFonts w:hint="eastAsia" w:ascii="黑体" w:hAnsi="黑体" w:eastAsia="黑体"/>
          <w:b w:val="0"/>
          <w:color w:val="auto"/>
          <w:highlight w:val="none"/>
        </w:rPr>
        <w:t>政拨款收入支出决算总体情况说明</w:t>
      </w:r>
      <w:bookmarkEnd w:id="7"/>
    </w:p>
    <w:p w14:paraId="04E4BC39">
      <w:pPr>
        <w:spacing w:line="600" w:lineRule="exact"/>
        <w:ind w:firstLine="640"/>
        <w:rPr>
          <w:rFonts w:ascii="仿宋" w:hAnsi="仿宋" w:eastAsia="仿宋"/>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2024</w:t>
      </w:r>
      <w:r>
        <w:rPr>
          <w:rFonts w:hint="eastAsia" w:ascii="仿宋_GB2312" w:hAnsi="仿宋_GB2312" w:eastAsia="仿宋_GB2312" w:cs="仿宋_GB2312"/>
          <w:color w:val="auto"/>
          <w:kern w:val="2"/>
          <w:sz w:val="32"/>
          <w:szCs w:val="32"/>
          <w:highlight w:val="none"/>
          <w:lang w:val="en-US" w:eastAsia="zh-CN" w:bidi="ar-SA"/>
        </w:rPr>
        <w:t>年度财政拨款收入、支出总计均为</w:t>
      </w:r>
      <w:r>
        <w:rPr>
          <w:rFonts w:hint="eastAsia" w:ascii="仿宋_GB2312" w:hAnsi="仿宋_GB2312" w:eastAsia="仿宋_GB2312" w:cs="仿宋_GB2312"/>
          <w:sz w:val="32"/>
          <w:szCs w:val="32"/>
        </w:rPr>
        <w:t>1291.07</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仿宋_GB2312" w:hAnsi="仿宋_GB2312" w:eastAsia="仿宋_GB2312" w:cs="仿宋_GB2312"/>
          <w:color w:val="auto"/>
          <w:sz w:val="32"/>
          <w:szCs w:val="32"/>
          <w:highlight w:val="none"/>
        </w:rPr>
        <w:t>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相比，财政拨款收、支总计各增加</w:t>
      </w:r>
      <w:r>
        <w:rPr>
          <w:rFonts w:hint="eastAsia" w:ascii="仿宋_GB2312" w:hAnsi="仿宋_GB2312" w:eastAsia="仿宋_GB2312" w:cs="仿宋_GB2312"/>
          <w:color w:val="auto"/>
          <w:sz w:val="32"/>
          <w:szCs w:val="32"/>
          <w:highlight w:val="none"/>
          <w:lang w:val="en-US" w:eastAsia="zh-CN"/>
        </w:rPr>
        <w:t>247.07</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23.67</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val="en-US" w:eastAsia="zh-CN"/>
        </w:rPr>
        <w:t>办学项目和人员经费的增加。</w:t>
      </w:r>
    </w:p>
    <w:p w14:paraId="69E95659">
      <w:pPr>
        <w:spacing w:line="240" w:lineRule="auto"/>
        <w:rPr>
          <w:rFonts w:ascii="仿宋" w:hAnsi="仿宋" w:eastAsia="仿宋"/>
          <w:color w:val="auto"/>
          <w:sz w:val="32"/>
          <w:szCs w:val="32"/>
          <w:highlight w:val="none"/>
        </w:rPr>
      </w:pPr>
      <w:r>
        <w:rPr>
          <w:rFonts w:hint="eastAsia"/>
          <w:lang w:eastAsia="zh-CN"/>
        </w:rPr>
        <w:drawing>
          <wp:inline distT="0" distB="0" distL="114300" distR="114300">
            <wp:extent cx="5256530" cy="2988310"/>
            <wp:effectExtent l="5080" t="4445" r="8890" b="762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2300FD2">
      <w:pPr>
        <w:spacing w:line="600" w:lineRule="exact"/>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w:t>
      </w:r>
    </w:p>
    <w:p w14:paraId="63DD4636">
      <w:pPr>
        <w:spacing w:line="600" w:lineRule="exact"/>
        <w:ind w:firstLine="640"/>
        <w:rPr>
          <w:rFonts w:ascii="仿宋" w:hAnsi="仿宋" w:eastAsia="仿宋"/>
          <w:b/>
          <w:color w:val="auto"/>
          <w:sz w:val="32"/>
          <w:szCs w:val="32"/>
          <w:highlight w:val="none"/>
        </w:rPr>
      </w:pPr>
    </w:p>
    <w:p w14:paraId="067280FD">
      <w:pPr>
        <w:spacing w:line="600" w:lineRule="exact"/>
        <w:ind w:firstLine="640" w:firstLineChars="200"/>
        <w:outlineLvl w:val="1"/>
        <w:rPr>
          <w:rStyle w:val="15"/>
          <w:rFonts w:ascii="黑体" w:hAnsi="黑体" w:eastAsia="黑体"/>
          <w:b w:val="0"/>
          <w:color w:val="auto"/>
          <w:highlight w:val="none"/>
        </w:rPr>
      </w:pPr>
      <w:bookmarkStart w:id="8" w:name="_Toc26451"/>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15"/>
          <w:rFonts w:hint="eastAsia" w:ascii="黑体" w:hAnsi="黑体" w:eastAsia="黑体"/>
          <w:b w:val="0"/>
          <w:color w:val="auto"/>
          <w:highlight w:val="none"/>
        </w:rPr>
        <w:t>般公共预算财政拨款支出决算情况说明</w:t>
      </w:r>
      <w:bookmarkEnd w:id="8"/>
    </w:p>
    <w:p w14:paraId="219BDFF2">
      <w:pPr>
        <w:spacing w:line="600" w:lineRule="exact"/>
        <w:ind w:firstLine="643" w:firstLineChars="200"/>
        <w:outlineLvl w:val="2"/>
        <w:rPr>
          <w:rFonts w:hint="eastAsia" w:ascii="楷体_GB2312" w:hAnsi="楷体_GB2312" w:eastAsia="楷体_GB2312" w:cs="楷体_GB2312"/>
          <w:b/>
          <w:color w:val="auto"/>
          <w:sz w:val="32"/>
          <w:szCs w:val="32"/>
          <w:highlight w:val="none"/>
        </w:rPr>
      </w:pPr>
      <w:r>
        <w:rPr>
          <w:rFonts w:hint="eastAsia" w:ascii="楷体_GB2312" w:hAnsi="楷体_GB2312" w:eastAsia="楷体_GB2312" w:cs="楷体_GB2312"/>
          <w:b/>
          <w:color w:val="auto"/>
          <w:sz w:val="32"/>
          <w:szCs w:val="32"/>
          <w:highlight w:val="none"/>
        </w:rPr>
        <w:t>（一）一般公共预算财政拨款支出决算总体情况</w:t>
      </w:r>
    </w:p>
    <w:p w14:paraId="7BB16398">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1291.07</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w:t>
      </w:r>
      <w:r>
        <w:rPr>
          <w:rFonts w:hint="eastAsia" w:ascii="仿宋_GB2312" w:hAnsi="仿宋_GB2312" w:eastAsia="仿宋_GB2312" w:cs="仿宋_GB2312"/>
          <w:color w:val="auto"/>
          <w:sz w:val="32"/>
          <w:szCs w:val="32"/>
          <w:highlight w:val="none"/>
        </w:rPr>
        <w:t>一般公共预算财政拨款</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增加</w:t>
      </w:r>
      <w:r>
        <w:rPr>
          <w:rFonts w:hint="eastAsia" w:ascii="仿宋_GB2312" w:hAnsi="仿宋_GB2312" w:eastAsia="仿宋_GB2312" w:cs="仿宋_GB2312"/>
          <w:color w:val="auto"/>
          <w:sz w:val="32"/>
          <w:szCs w:val="32"/>
          <w:highlight w:val="none"/>
          <w:lang w:val="en-US" w:eastAsia="zh-CN"/>
        </w:rPr>
        <w:t>247.07</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23.67</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val="en-US" w:eastAsia="zh-CN"/>
        </w:rPr>
        <w:t>本年度人员经费比去年增加。新开办了觉囊班，学员人数也较去年增多，导致办学经费的增加。所以总的财政拨款增幅较大。</w:t>
      </w:r>
    </w:p>
    <w:p w14:paraId="37892DC9">
      <w:pPr>
        <w:spacing w:line="240" w:lineRule="auto"/>
        <w:ind w:firstLine="0" w:firstLineChars="0"/>
        <w:rPr>
          <w:rFonts w:ascii="仿宋" w:hAnsi="仿宋" w:eastAsia="仿宋"/>
          <w:color w:val="auto"/>
          <w:sz w:val="32"/>
          <w:szCs w:val="32"/>
          <w:highlight w:val="none"/>
        </w:rPr>
      </w:pPr>
      <w:r>
        <w:rPr>
          <w:rFonts w:hint="eastAsia"/>
          <w:lang w:eastAsia="zh-CN"/>
        </w:rPr>
        <w:drawing>
          <wp:inline distT="0" distB="0" distL="114300" distR="114300">
            <wp:extent cx="5256530" cy="2988310"/>
            <wp:effectExtent l="5080" t="4445" r="8890" b="762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AF8835">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w:t>
      </w:r>
    </w:p>
    <w:p w14:paraId="600E2C93">
      <w:pPr>
        <w:spacing w:line="600" w:lineRule="exact"/>
        <w:ind w:firstLine="640" w:firstLineChars="200"/>
        <w:rPr>
          <w:rFonts w:ascii="仿宋" w:hAnsi="仿宋" w:eastAsia="仿宋"/>
          <w:color w:val="auto"/>
          <w:sz w:val="32"/>
          <w:szCs w:val="32"/>
          <w:highlight w:val="none"/>
        </w:rPr>
      </w:pPr>
    </w:p>
    <w:p w14:paraId="7C648BB0">
      <w:pPr>
        <w:spacing w:line="600" w:lineRule="exact"/>
        <w:ind w:firstLine="643" w:firstLineChars="200"/>
        <w:outlineLvl w:val="2"/>
        <w:rPr>
          <w:rFonts w:hint="eastAsia" w:ascii="楷体_GB2312" w:hAnsi="楷体_GB2312" w:eastAsia="楷体_GB2312" w:cs="楷体_GB2312"/>
          <w:b/>
          <w:color w:val="auto"/>
          <w:sz w:val="32"/>
          <w:szCs w:val="32"/>
          <w:highlight w:val="none"/>
        </w:rPr>
      </w:pPr>
      <w:r>
        <w:rPr>
          <w:rFonts w:hint="eastAsia" w:ascii="楷体_GB2312" w:hAnsi="楷体_GB2312" w:eastAsia="楷体_GB2312" w:cs="楷体_GB2312"/>
          <w:b/>
          <w:color w:val="auto"/>
          <w:sz w:val="32"/>
          <w:szCs w:val="32"/>
          <w:highlight w:val="none"/>
        </w:rPr>
        <w:t>（二）一般公共预算财政拨款支出决算结构情况</w:t>
      </w:r>
    </w:p>
    <w:p w14:paraId="04F92751">
      <w:pPr>
        <w:spacing w:line="600" w:lineRule="exact"/>
        <w:ind w:firstLine="64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1291.07</w:t>
      </w:r>
      <w:r>
        <w:rPr>
          <w:rFonts w:hint="eastAsia" w:ascii="仿宋_GB2312" w:hAnsi="仿宋_GB2312" w:eastAsia="仿宋_GB2312" w:cs="仿宋_GB2312"/>
          <w:color w:val="auto"/>
          <w:kern w:val="2"/>
          <w:sz w:val="32"/>
          <w:szCs w:val="32"/>
          <w:highlight w:val="none"/>
          <w:lang w:val="en-US" w:eastAsia="zh-CN" w:bidi="ar-SA"/>
        </w:rPr>
        <w:t>万元，主要用于以下方面</w:t>
      </w:r>
      <w:r>
        <w:rPr>
          <w:rFonts w:hint="eastAsia" w:ascii="仿宋_GB2312" w:hAnsi="仿宋_GB2312" w:eastAsia="仿宋_GB2312" w:cs="仿宋_GB2312"/>
          <w:color w:val="auto"/>
          <w:sz w:val="32"/>
          <w:szCs w:val="32"/>
          <w:highlight w:val="none"/>
          <w:lang w:eastAsia="zh-CN"/>
        </w:rPr>
        <w:t>：</w:t>
      </w:r>
      <w:bookmarkStart w:id="9" w:name="OLE_LINK3"/>
      <w:r>
        <w:rPr>
          <w:rFonts w:hint="eastAsia" w:ascii="仿宋_GB2312" w:hAnsi="仿宋_GB2312" w:eastAsia="仿宋_GB2312" w:cs="仿宋_GB2312"/>
          <w:b/>
          <w:bCs/>
          <w:color w:val="auto"/>
          <w:sz w:val="32"/>
          <w:szCs w:val="32"/>
          <w:highlight w:val="none"/>
          <w:lang w:eastAsia="zh-CN"/>
        </w:rPr>
        <w:t>一般公共服务支出</w:t>
      </w:r>
      <w:bookmarkEnd w:id="9"/>
      <w:r>
        <w:rPr>
          <w:rFonts w:hint="eastAsia" w:ascii="仿宋_GB2312" w:hAnsi="仿宋_GB2312" w:eastAsia="仿宋_GB2312" w:cs="仿宋_GB2312"/>
          <w:b/>
          <w:bCs/>
          <w:color w:val="auto"/>
          <w:sz w:val="32"/>
          <w:szCs w:val="32"/>
          <w:highlight w:val="none"/>
          <w:lang w:val="en-US" w:eastAsia="zh-CN"/>
        </w:rPr>
        <w:t>1184.39</w:t>
      </w:r>
      <w:r>
        <w:rPr>
          <w:rFonts w:hint="eastAsia" w:ascii="仿宋_GB2312" w:hAnsi="仿宋_GB2312" w:eastAsia="仿宋_GB2312" w:cs="仿宋_GB2312"/>
          <w:b w:val="0"/>
          <w:bCs w:val="0"/>
          <w:color w:val="auto"/>
          <w:sz w:val="32"/>
          <w:szCs w:val="32"/>
          <w:highlight w:val="none"/>
          <w:lang w:val="en-US" w:eastAsia="zh-CN"/>
        </w:rPr>
        <w:t>万元，占比91.74%；</w:t>
      </w:r>
      <w:bookmarkStart w:id="10" w:name="OLE_LINK4"/>
      <w:r>
        <w:rPr>
          <w:rFonts w:hint="eastAsia" w:ascii="仿宋_GB2312" w:hAnsi="仿宋_GB2312" w:eastAsia="仿宋_GB2312" w:cs="仿宋_GB2312"/>
          <w:b/>
          <w:color w:val="auto"/>
          <w:sz w:val="32"/>
          <w:szCs w:val="32"/>
          <w:highlight w:val="none"/>
        </w:rPr>
        <w:t>社会保障和就业支出</w:t>
      </w:r>
      <w:bookmarkEnd w:id="10"/>
      <w:r>
        <w:rPr>
          <w:rFonts w:hint="eastAsia" w:ascii="仿宋_GB2312" w:hAnsi="仿宋_GB2312" w:eastAsia="仿宋_GB2312" w:cs="仿宋_GB2312"/>
          <w:b/>
          <w:bCs/>
          <w:color w:val="auto"/>
          <w:sz w:val="32"/>
          <w:szCs w:val="32"/>
          <w:highlight w:val="none"/>
          <w:lang w:val="en-US" w:eastAsia="zh-CN"/>
        </w:rPr>
        <w:t>54.9</w:t>
      </w:r>
      <w:r>
        <w:rPr>
          <w:rFonts w:hint="eastAsia" w:ascii="仿宋_GB2312" w:hAnsi="仿宋_GB2312" w:eastAsia="仿宋_GB2312" w:cs="仿宋_GB2312"/>
          <w:color w:val="auto"/>
          <w:sz w:val="32"/>
          <w:szCs w:val="32"/>
          <w:highlight w:val="none"/>
        </w:rPr>
        <w:t>万元，占4.</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5%；</w:t>
      </w:r>
      <w:bookmarkStart w:id="11" w:name="OLE_LINK5"/>
      <w:r>
        <w:rPr>
          <w:rFonts w:hint="eastAsia" w:ascii="仿宋_GB2312" w:hAnsi="仿宋_GB2312" w:eastAsia="仿宋_GB2312" w:cs="仿宋_GB2312"/>
          <w:b/>
          <w:color w:val="auto"/>
          <w:sz w:val="32"/>
          <w:szCs w:val="32"/>
          <w:highlight w:val="none"/>
        </w:rPr>
        <w:t>卫生健康支出</w:t>
      </w:r>
      <w:bookmarkEnd w:id="11"/>
      <w:r>
        <w:rPr>
          <w:rFonts w:hint="eastAsia" w:ascii="仿宋_GB2312" w:hAnsi="仿宋_GB2312" w:eastAsia="仿宋_GB2312" w:cs="仿宋_GB2312"/>
          <w:b/>
          <w:color w:val="auto"/>
          <w:sz w:val="32"/>
          <w:szCs w:val="32"/>
          <w:highlight w:val="none"/>
          <w:lang w:val="en-US" w:eastAsia="zh-CN"/>
        </w:rPr>
        <w:t>21.43</w:t>
      </w:r>
      <w:r>
        <w:rPr>
          <w:rFonts w:hint="eastAsia" w:ascii="仿宋_GB2312" w:hAnsi="仿宋_GB2312" w:eastAsia="仿宋_GB2312" w:cs="仿宋_GB2312"/>
          <w:color w:val="auto"/>
          <w:sz w:val="32"/>
          <w:szCs w:val="32"/>
          <w:highlight w:val="none"/>
        </w:rPr>
        <w:t>万元，占1.6</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bCs/>
          <w:color w:val="auto"/>
          <w:sz w:val="32"/>
          <w:szCs w:val="32"/>
          <w:highlight w:val="none"/>
        </w:rPr>
        <w:t>住房保障支出</w:t>
      </w:r>
      <w:r>
        <w:rPr>
          <w:rFonts w:hint="eastAsia" w:ascii="仿宋_GB2312" w:hAnsi="仿宋_GB2312" w:eastAsia="仿宋_GB2312" w:cs="仿宋_GB2312"/>
          <w:b/>
          <w:bCs/>
          <w:color w:val="auto"/>
          <w:sz w:val="32"/>
          <w:szCs w:val="32"/>
          <w:highlight w:val="none"/>
          <w:lang w:val="en-US" w:eastAsia="zh-CN"/>
        </w:rPr>
        <w:t>30.35</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2.35</w:t>
      </w:r>
      <w:r>
        <w:rPr>
          <w:rFonts w:hint="eastAsia" w:ascii="仿宋_GB2312" w:hAnsi="仿宋_GB2312" w:eastAsia="仿宋_GB2312" w:cs="仿宋_GB2312"/>
          <w:color w:val="auto"/>
          <w:sz w:val="32"/>
          <w:szCs w:val="32"/>
          <w:highlight w:val="none"/>
        </w:rPr>
        <w:t>%。</w:t>
      </w:r>
    </w:p>
    <w:p w14:paraId="4F92F213">
      <w:pPr>
        <w:spacing w:line="240" w:lineRule="auto"/>
        <w:ind w:firstLine="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drawing>
          <wp:inline distT="0" distB="0" distL="114300" distR="114300">
            <wp:extent cx="5102225" cy="4466590"/>
            <wp:effectExtent l="0" t="0" r="0" b="0"/>
            <wp:docPr id="12" name="图片 12" descr="生成财政拨款支出饼状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生成财政拨款支出饼状图(1)"/>
                    <pic:cNvPicPr>
                      <a:picLocks noChangeAspect="1"/>
                    </pic:cNvPicPr>
                  </pic:nvPicPr>
                  <pic:blipFill>
                    <a:blip r:embed="rId11"/>
                    <a:srcRect r="3123" b="15192"/>
                    <a:stretch>
                      <a:fillRect/>
                    </a:stretch>
                  </pic:blipFill>
                  <pic:spPr>
                    <a:xfrm>
                      <a:off x="0" y="0"/>
                      <a:ext cx="5102225" cy="4466590"/>
                    </a:xfrm>
                    <a:prstGeom prst="rect">
                      <a:avLst/>
                    </a:prstGeom>
                  </pic:spPr>
                </pic:pic>
              </a:graphicData>
            </a:graphic>
          </wp:inline>
        </w:drawing>
      </w:r>
    </w:p>
    <w:p w14:paraId="0FD8D9EE">
      <w:pPr>
        <w:spacing w:line="600" w:lineRule="exact"/>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w:t>
      </w:r>
    </w:p>
    <w:p w14:paraId="2018163F">
      <w:pPr>
        <w:spacing w:line="600" w:lineRule="exact"/>
        <w:ind w:firstLine="640" w:firstLineChars="200"/>
        <w:rPr>
          <w:rFonts w:ascii="仿宋" w:hAnsi="仿宋" w:eastAsia="仿宋"/>
          <w:color w:val="auto"/>
          <w:sz w:val="32"/>
          <w:szCs w:val="32"/>
          <w:highlight w:val="none"/>
        </w:rPr>
      </w:pPr>
    </w:p>
    <w:p w14:paraId="39253090">
      <w:pPr>
        <w:spacing w:line="600" w:lineRule="exact"/>
        <w:ind w:firstLine="643" w:firstLineChars="200"/>
        <w:outlineLvl w:val="2"/>
        <w:rPr>
          <w:rFonts w:hint="eastAsia" w:ascii="楷体_GB2312" w:hAnsi="楷体_GB2312" w:eastAsia="楷体_GB2312" w:cs="楷体_GB2312"/>
          <w:b/>
          <w:color w:val="auto"/>
          <w:sz w:val="32"/>
          <w:szCs w:val="32"/>
          <w:highlight w:val="none"/>
        </w:rPr>
      </w:pPr>
      <w:r>
        <w:rPr>
          <w:rFonts w:hint="eastAsia" w:ascii="楷体_GB2312" w:hAnsi="楷体_GB2312" w:eastAsia="楷体_GB2312" w:cs="楷体_GB2312"/>
          <w:b/>
          <w:color w:val="auto"/>
          <w:sz w:val="32"/>
          <w:szCs w:val="32"/>
          <w:highlight w:val="none"/>
        </w:rPr>
        <w:t>（三）一般公共预算财政拨款支出决算具体情况</w:t>
      </w:r>
    </w:p>
    <w:p w14:paraId="6582638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12" w:name="_Toc15378460"/>
      <w:bookmarkStart w:id="13" w:name="_Toc15377444"/>
      <w:bookmarkStart w:id="14"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1291.07</w:t>
      </w:r>
      <w:r>
        <w:rPr>
          <w:rFonts w:hint="eastAsia" w:ascii="仿宋_GB2312" w:hAnsi="仿宋_GB2312" w:eastAsia="仿宋_GB2312" w:cs="仿宋_GB2312"/>
          <w:color w:val="auto"/>
          <w:kern w:val="2"/>
          <w:sz w:val="32"/>
          <w:szCs w:val="32"/>
          <w:highlight w:val="none"/>
          <w:lang w:val="en-US" w:eastAsia="zh-CN" w:bidi="ar-SA"/>
        </w:rPr>
        <w:t>，</w:t>
      </w:r>
      <w:bookmarkEnd w:id="12"/>
      <w:bookmarkEnd w:id="13"/>
      <w:bookmarkEnd w:id="14"/>
      <w:r>
        <w:rPr>
          <w:rFonts w:hint="eastAsia" w:ascii="Times New Roman" w:hAnsi="Times New Roman" w:eastAsia="仿宋_GB2312" w:cs="仿宋_GB2312"/>
          <w:color w:val="auto"/>
          <w:kern w:val="2"/>
          <w:sz w:val="32"/>
          <w:szCs w:val="32"/>
          <w:highlight w:val="none"/>
          <w:lang w:val="en-US" w:eastAsia="zh-CN" w:bidi="ar-SA"/>
        </w:rPr>
        <w:t>完成预算100.00%。其中：</w:t>
      </w:r>
    </w:p>
    <w:p w14:paraId="42D54E7A">
      <w:pPr>
        <w:numPr>
          <w:ilvl w:val="0"/>
          <w:numId w:val="1"/>
        </w:numPr>
        <w:spacing w:line="600" w:lineRule="exact"/>
        <w:ind w:left="0" w:leftChars="0" w:firstLine="643" w:firstLineChars="200"/>
        <w:rPr>
          <w:rFonts w:ascii="仿宋" w:hAnsi="仿宋" w:eastAsia="仿宋"/>
          <w:b/>
          <w:color w:val="auto"/>
          <w:sz w:val="32"/>
          <w:szCs w:val="32"/>
          <w:highlight w:val="none"/>
        </w:rPr>
      </w:pPr>
      <w:r>
        <w:rPr>
          <w:rStyle w:val="13"/>
          <w:rFonts w:hint="eastAsia" w:ascii="仿宋" w:hAnsi="仿宋" w:eastAsia="仿宋"/>
          <w:bCs/>
          <w:color w:val="auto"/>
          <w:sz w:val="32"/>
          <w:szCs w:val="32"/>
          <w:highlight w:val="none"/>
        </w:rPr>
        <w:t>一般公共服务支出（类）统战事务（款）事业运行（项）</w:t>
      </w:r>
      <w:r>
        <w:rPr>
          <w:rStyle w:val="13"/>
          <w:rFonts w:hint="eastAsia" w:ascii="仿宋" w:hAnsi="仿宋" w:eastAsia="仿宋"/>
          <w:bCs/>
          <w:color w:val="auto"/>
          <w:sz w:val="32"/>
          <w:szCs w:val="32"/>
          <w:highlight w:val="none"/>
          <w:lang w:eastAsia="zh-CN"/>
        </w:rPr>
        <w:t>：</w:t>
      </w:r>
      <w:r>
        <w:rPr>
          <w:rStyle w:val="13"/>
          <w:rFonts w:hint="eastAsia" w:ascii="仿宋" w:hAnsi="仿宋" w:eastAsia="仿宋"/>
          <w:b w:val="0"/>
          <w:bCs/>
          <w:color w:val="auto"/>
          <w:sz w:val="32"/>
          <w:szCs w:val="32"/>
          <w:highlight w:val="none"/>
        </w:rPr>
        <w:t>支出决算为</w:t>
      </w:r>
      <w:r>
        <w:rPr>
          <w:rStyle w:val="13"/>
          <w:rFonts w:hint="eastAsia" w:ascii="仿宋" w:hAnsi="仿宋" w:eastAsia="仿宋"/>
          <w:b w:val="0"/>
          <w:bCs/>
          <w:color w:val="auto"/>
          <w:sz w:val="32"/>
          <w:szCs w:val="32"/>
          <w:highlight w:val="none"/>
          <w:lang w:val="en-US" w:eastAsia="zh-CN"/>
        </w:rPr>
        <w:t>364.63</w:t>
      </w:r>
      <w:r>
        <w:rPr>
          <w:rStyle w:val="13"/>
          <w:rFonts w:hint="eastAsia" w:ascii="仿宋" w:hAnsi="仿宋" w:eastAsia="仿宋"/>
          <w:b w:val="0"/>
          <w:bCs/>
          <w:color w:val="auto"/>
          <w:sz w:val="32"/>
          <w:szCs w:val="32"/>
          <w:highlight w:val="none"/>
        </w:rPr>
        <w:t>万元，完成预算</w:t>
      </w:r>
      <w:r>
        <w:rPr>
          <w:rStyle w:val="13"/>
          <w:rFonts w:hint="eastAsia" w:ascii="仿宋" w:hAnsi="仿宋" w:eastAsia="仿宋"/>
          <w:b w:val="0"/>
          <w:bCs/>
          <w:color w:val="auto"/>
          <w:sz w:val="32"/>
          <w:szCs w:val="32"/>
          <w:highlight w:val="none"/>
          <w:lang w:val="en-US" w:eastAsia="zh-CN"/>
        </w:rPr>
        <w:t>100.00</w:t>
      </w:r>
      <w:r>
        <w:rPr>
          <w:rStyle w:val="13"/>
          <w:rFonts w:ascii="仿宋" w:hAnsi="仿宋" w:eastAsia="仿宋"/>
          <w:b w:val="0"/>
          <w:bCs/>
          <w:color w:val="auto"/>
          <w:sz w:val="32"/>
          <w:szCs w:val="32"/>
          <w:highlight w:val="none"/>
        </w:rPr>
        <w:t>%</w:t>
      </w:r>
      <w:r>
        <w:rPr>
          <w:rStyle w:val="13"/>
          <w:rFonts w:hint="eastAsia" w:ascii="仿宋" w:hAnsi="仿宋" w:eastAsia="仿宋"/>
          <w:b w:val="0"/>
          <w:bCs/>
          <w:color w:val="auto"/>
          <w:sz w:val="32"/>
          <w:szCs w:val="32"/>
          <w:highlight w:val="none"/>
        </w:rPr>
        <w:t>。</w:t>
      </w:r>
    </w:p>
    <w:p w14:paraId="5AB43658">
      <w:pPr>
        <w:numPr>
          <w:ilvl w:val="0"/>
          <w:numId w:val="1"/>
        </w:numPr>
        <w:spacing w:line="600" w:lineRule="exact"/>
        <w:ind w:left="0" w:leftChars="0" w:firstLine="643" w:firstLineChars="200"/>
        <w:rPr>
          <w:rFonts w:ascii="仿宋" w:hAnsi="仿宋" w:eastAsia="仿宋"/>
          <w:b/>
          <w:color w:val="auto"/>
          <w:sz w:val="32"/>
          <w:szCs w:val="32"/>
          <w:highlight w:val="none"/>
        </w:rPr>
      </w:pPr>
      <w:r>
        <w:rPr>
          <w:rStyle w:val="13"/>
          <w:rFonts w:hint="eastAsia" w:ascii="仿宋" w:hAnsi="仿宋" w:eastAsia="仿宋"/>
          <w:bCs/>
          <w:color w:val="auto"/>
          <w:sz w:val="32"/>
          <w:szCs w:val="32"/>
          <w:highlight w:val="none"/>
        </w:rPr>
        <w:t>一般公共服务支出（类）统战事务（款）其他统战事务支出（项）</w:t>
      </w:r>
      <w:r>
        <w:rPr>
          <w:rStyle w:val="13"/>
          <w:rFonts w:hint="eastAsia" w:ascii="仿宋" w:hAnsi="仿宋" w:eastAsia="仿宋"/>
          <w:bCs/>
          <w:color w:val="auto"/>
          <w:sz w:val="32"/>
          <w:szCs w:val="32"/>
          <w:highlight w:val="none"/>
          <w:lang w:eastAsia="zh-CN"/>
        </w:rPr>
        <w:t>：</w:t>
      </w:r>
      <w:r>
        <w:rPr>
          <w:rStyle w:val="13"/>
          <w:rFonts w:hint="eastAsia" w:ascii="仿宋" w:hAnsi="仿宋" w:eastAsia="仿宋"/>
          <w:b w:val="0"/>
          <w:bCs/>
          <w:color w:val="auto"/>
          <w:sz w:val="32"/>
          <w:szCs w:val="32"/>
          <w:highlight w:val="none"/>
        </w:rPr>
        <w:t>支出决算为</w:t>
      </w:r>
      <w:r>
        <w:rPr>
          <w:rStyle w:val="13"/>
          <w:rFonts w:hint="eastAsia" w:ascii="仿宋" w:hAnsi="仿宋" w:eastAsia="仿宋"/>
          <w:b w:val="0"/>
          <w:bCs/>
          <w:color w:val="auto"/>
          <w:sz w:val="32"/>
          <w:szCs w:val="32"/>
          <w:highlight w:val="none"/>
          <w:lang w:val="en-US" w:eastAsia="zh-CN"/>
        </w:rPr>
        <w:t>819.76</w:t>
      </w:r>
      <w:r>
        <w:rPr>
          <w:rStyle w:val="13"/>
          <w:rFonts w:hint="eastAsia" w:ascii="仿宋" w:hAnsi="仿宋" w:eastAsia="仿宋"/>
          <w:b w:val="0"/>
          <w:bCs/>
          <w:color w:val="auto"/>
          <w:sz w:val="32"/>
          <w:szCs w:val="32"/>
          <w:highlight w:val="none"/>
        </w:rPr>
        <w:t>万元，完成预算</w:t>
      </w:r>
      <w:r>
        <w:rPr>
          <w:rStyle w:val="13"/>
          <w:rFonts w:hint="eastAsia" w:ascii="仿宋" w:hAnsi="仿宋" w:eastAsia="仿宋"/>
          <w:b w:val="0"/>
          <w:bCs/>
          <w:color w:val="auto"/>
          <w:sz w:val="32"/>
          <w:szCs w:val="32"/>
          <w:highlight w:val="none"/>
          <w:lang w:val="en-US" w:eastAsia="zh-CN"/>
        </w:rPr>
        <w:t>100.00</w:t>
      </w:r>
      <w:r>
        <w:rPr>
          <w:rStyle w:val="13"/>
          <w:rFonts w:ascii="仿宋" w:hAnsi="仿宋" w:eastAsia="仿宋"/>
          <w:b w:val="0"/>
          <w:bCs/>
          <w:color w:val="auto"/>
          <w:sz w:val="32"/>
          <w:szCs w:val="32"/>
          <w:highlight w:val="none"/>
        </w:rPr>
        <w:t>%</w:t>
      </w:r>
      <w:r>
        <w:rPr>
          <w:rStyle w:val="13"/>
          <w:rFonts w:hint="eastAsia" w:ascii="仿宋" w:hAnsi="仿宋" w:eastAsia="仿宋"/>
          <w:b w:val="0"/>
          <w:bCs/>
          <w:color w:val="auto"/>
          <w:sz w:val="32"/>
          <w:szCs w:val="32"/>
          <w:highlight w:val="none"/>
        </w:rPr>
        <w:t>。</w:t>
      </w:r>
    </w:p>
    <w:p w14:paraId="76DD8F6A">
      <w:pPr>
        <w:numPr>
          <w:ilvl w:val="0"/>
          <w:numId w:val="1"/>
        </w:numPr>
        <w:spacing w:line="600" w:lineRule="exact"/>
        <w:ind w:left="0" w:leftChars="0" w:firstLine="643" w:firstLineChars="200"/>
        <w:rPr>
          <w:rFonts w:ascii="仿宋" w:hAnsi="仿宋" w:eastAsia="仿宋"/>
          <w:b/>
          <w:color w:val="auto"/>
          <w:sz w:val="32"/>
          <w:szCs w:val="32"/>
          <w:highlight w:val="none"/>
        </w:rPr>
      </w:pPr>
      <w:r>
        <w:rPr>
          <w:rStyle w:val="13"/>
          <w:rFonts w:hint="eastAsia" w:ascii="仿宋" w:hAnsi="仿宋" w:eastAsia="仿宋"/>
          <w:bCs/>
          <w:color w:val="auto"/>
          <w:sz w:val="32"/>
          <w:szCs w:val="32"/>
          <w:highlight w:val="none"/>
        </w:rPr>
        <w:t>社会保障和就业支出（类）行政事业单位养老支出（款）机关事业单位基本养老保险缴费支出（项）</w:t>
      </w:r>
      <w:r>
        <w:rPr>
          <w:rStyle w:val="13"/>
          <w:rFonts w:hint="eastAsia" w:ascii="仿宋" w:hAnsi="仿宋" w:eastAsia="仿宋"/>
          <w:bCs/>
          <w:color w:val="auto"/>
          <w:sz w:val="32"/>
          <w:szCs w:val="32"/>
          <w:highlight w:val="none"/>
          <w:lang w:eastAsia="zh-CN"/>
        </w:rPr>
        <w:t>：</w:t>
      </w:r>
      <w:r>
        <w:rPr>
          <w:rStyle w:val="13"/>
          <w:rFonts w:hint="eastAsia" w:ascii="仿宋" w:hAnsi="仿宋" w:eastAsia="仿宋"/>
          <w:b w:val="0"/>
          <w:bCs/>
          <w:color w:val="auto"/>
          <w:sz w:val="32"/>
          <w:szCs w:val="32"/>
          <w:highlight w:val="none"/>
        </w:rPr>
        <w:t>支出决算为</w:t>
      </w:r>
      <w:r>
        <w:rPr>
          <w:rStyle w:val="13"/>
          <w:rFonts w:hint="eastAsia" w:ascii="仿宋" w:hAnsi="仿宋" w:eastAsia="仿宋"/>
          <w:b w:val="0"/>
          <w:bCs/>
          <w:color w:val="auto"/>
          <w:sz w:val="32"/>
          <w:szCs w:val="32"/>
          <w:highlight w:val="none"/>
          <w:lang w:val="en-US" w:eastAsia="zh-CN"/>
        </w:rPr>
        <w:t>36.6</w:t>
      </w:r>
      <w:r>
        <w:rPr>
          <w:rStyle w:val="13"/>
          <w:rFonts w:hint="eastAsia" w:ascii="仿宋" w:hAnsi="仿宋" w:eastAsia="仿宋"/>
          <w:b w:val="0"/>
          <w:bCs/>
          <w:color w:val="auto"/>
          <w:sz w:val="32"/>
          <w:szCs w:val="32"/>
          <w:highlight w:val="none"/>
        </w:rPr>
        <w:t>万元，完成预算</w:t>
      </w:r>
      <w:r>
        <w:rPr>
          <w:rStyle w:val="13"/>
          <w:rFonts w:hint="eastAsia" w:ascii="仿宋" w:hAnsi="仿宋" w:eastAsia="仿宋"/>
          <w:b w:val="0"/>
          <w:bCs/>
          <w:color w:val="auto"/>
          <w:sz w:val="32"/>
          <w:szCs w:val="32"/>
          <w:highlight w:val="none"/>
          <w:lang w:val="en-US" w:eastAsia="zh-CN"/>
        </w:rPr>
        <w:t>100.00</w:t>
      </w:r>
      <w:r>
        <w:rPr>
          <w:rStyle w:val="13"/>
          <w:rFonts w:ascii="仿宋" w:hAnsi="仿宋" w:eastAsia="仿宋"/>
          <w:b w:val="0"/>
          <w:bCs/>
          <w:color w:val="auto"/>
          <w:sz w:val="32"/>
          <w:szCs w:val="32"/>
          <w:highlight w:val="none"/>
        </w:rPr>
        <w:t>%</w:t>
      </w:r>
      <w:r>
        <w:rPr>
          <w:rStyle w:val="13"/>
          <w:rFonts w:hint="eastAsia" w:ascii="仿宋" w:hAnsi="仿宋" w:eastAsia="仿宋"/>
          <w:b w:val="0"/>
          <w:bCs/>
          <w:color w:val="auto"/>
          <w:sz w:val="32"/>
          <w:szCs w:val="32"/>
          <w:highlight w:val="none"/>
        </w:rPr>
        <w:t>。</w:t>
      </w:r>
    </w:p>
    <w:p w14:paraId="3187C9F3">
      <w:pPr>
        <w:numPr>
          <w:ilvl w:val="0"/>
          <w:numId w:val="1"/>
        </w:numPr>
        <w:spacing w:line="600" w:lineRule="exact"/>
        <w:ind w:left="0" w:leftChars="0" w:firstLine="643" w:firstLineChars="200"/>
        <w:rPr>
          <w:rFonts w:ascii="仿宋" w:hAnsi="仿宋" w:eastAsia="仿宋"/>
          <w:b/>
          <w:color w:val="auto"/>
          <w:sz w:val="32"/>
          <w:szCs w:val="32"/>
          <w:highlight w:val="none"/>
        </w:rPr>
      </w:pPr>
      <w:r>
        <w:rPr>
          <w:rStyle w:val="13"/>
          <w:rFonts w:hint="eastAsia" w:ascii="仿宋" w:hAnsi="仿宋" w:eastAsia="仿宋"/>
          <w:bCs/>
          <w:color w:val="auto"/>
          <w:sz w:val="32"/>
          <w:szCs w:val="32"/>
          <w:highlight w:val="none"/>
        </w:rPr>
        <w:t>社会保障和就业支出（类）行政事业单位养老支出（款）机关事业单位职业年金缴费支出（项）</w:t>
      </w:r>
      <w:r>
        <w:rPr>
          <w:rStyle w:val="13"/>
          <w:rFonts w:hint="eastAsia" w:ascii="仿宋" w:hAnsi="仿宋" w:eastAsia="仿宋"/>
          <w:bCs/>
          <w:color w:val="auto"/>
          <w:sz w:val="32"/>
          <w:szCs w:val="32"/>
          <w:highlight w:val="none"/>
          <w:lang w:eastAsia="zh-CN"/>
        </w:rPr>
        <w:t>：</w:t>
      </w:r>
      <w:r>
        <w:rPr>
          <w:rStyle w:val="13"/>
          <w:rFonts w:ascii="仿宋" w:hAnsi="仿宋" w:eastAsia="仿宋"/>
          <w:b w:val="0"/>
          <w:bCs/>
          <w:color w:val="auto"/>
          <w:sz w:val="32"/>
          <w:szCs w:val="32"/>
          <w:highlight w:val="none"/>
        </w:rPr>
        <w:t xml:space="preserve"> </w:t>
      </w:r>
      <w:r>
        <w:rPr>
          <w:rStyle w:val="13"/>
          <w:rFonts w:hint="eastAsia" w:ascii="仿宋" w:hAnsi="仿宋" w:eastAsia="仿宋"/>
          <w:b w:val="0"/>
          <w:bCs/>
          <w:color w:val="auto"/>
          <w:sz w:val="32"/>
          <w:szCs w:val="32"/>
          <w:highlight w:val="none"/>
        </w:rPr>
        <w:t>支出决算为</w:t>
      </w:r>
      <w:r>
        <w:rPr>
          <w:rStyle w:val="13"/>
          <w:rFonts w:hint="eastAsia" w:ascii="仿宋" w:hAnsi="仿宋" w:eastAsia="仿宋"/>
          <w:b w:val="0"/>
          <w:bCs/>
          <w:color w:val="auto"/>
          <w:sz w:val="32"/>
          <w:szCs w:val="32"/>
          <w:highlight w:val="none"/>
          <w:lang w:val="en-US" w:eastAsia="zh-CN"/>
        </w:rPr>
        <w:t>18.3</w:t>
      </w:r>
      <w:r>
        <w:rPr>
          <w:rStyle w:val="13"/>
          <w:rFonts w:hint="eastAsia" w:ascii="仿宋" w:hAnsi="仿宋" w:eastAsia="仿宋"/>
          <w:b w:val="0"/>
          <w:bCs/>
          <w:color w:val="auto"/>
          <w:sz w:val="32"/>
          <w:szCs w:val="32"/>
          <w:highlight w:val="none"/>
        </w:rPr>
        <w:t>万元，完成预算</w:t>
      </w:r>
      <w:r>
        <w:rPr>
          <w:rStyle w:val="13"/>
          <w:rFonts w:hint="eastAsia" w:ascii="仿宋" w:hAnsi="仿宋" w:eastAsia="仿宋"/>
          <w:b w:val="0"/>
          <w:bCs/>
          <w:color w:val="auto"/>
          <w:sz w:val="32"/>
          <w:szCs w:val="32"/>
          <w:highlight w:val="none"/>
          <w:lang w:val="en-US" w:eastAsia="zh-CN"/>
        </w:rPr>
        <w:t>100.00</w:t>
      </w:r>
      <w:r>
        <w:rPr>
          <w:rStyle w:val="13"/>
          <w:rFonts w:ascii="仿宋" w:hAnsi="仿宋" w:eastAsia="仿宋"/>
          <w:b w:val="0"/>
          <w:bCs/>
          <w:color w:val="auto"/>
          <w:sz w:val="32"/>
          <w:szCs w:val="32"/>
          <w:highlight w:val="none"/>
        </w:rPr>
        <w:t>%</w:t>
      </w:r>
      <w:r>
        <w:rPr>
          <w:rStyle w:val="13"/>
          <w:rFonts w:hint="eastAsia" w:ascii="仿宋" w:hAnsi="仿宋" w:eastAsia="仿宋"/>
          <w:b w:val="0"/>
          <w:bCs/>
          <w:color w:val="auto"/>
          <w:sz w:val="32"/>
          <w:szCs w:val="32"/>
          <w:highlight w:val="none"/>
        </w:rPr>
        <w:t>。</w:t>
      </w:r>
    </w:p>
    <w:p w14:paraId="6D02AF09">
      <w:pPr>
        <w:numPr>
          <w:ilvl w:val="0"/>
          <w:numId w:val="1"/>
        </w:numPr>
        <w:spacing w:line="600" w:lineRule="exact"/>
        <w:ind w:left="0" w:leftChars="0" w:firstLine="643" w:firstLineChars="200"/>
        <w:rPr>
          <w:rFonts w:ascii="仿宋" w:hAnsi="仿宋" w:eastAsia="仿宋"/>
          <w:b/>
          <w:color w:val="auto"/>
          <w:sz w:val="32"/>
          <w:szCs w:val="32"/>
          <w:highlight w:val="none"/>
        </w:rPr>
      </w:pPr>
      <w:r>
        <w:rPr>
          <w:rStyle w:val="13"/>
          <w:rFonts w:hint="eastAsia" w:ascii="仿宋" w:hAnsi="仿宋" w:eastAsia="仿宋"/>
          <w:bCs/>
          <w:color w:val="auto"/>
          <w:sz w:val="32"/>
          <w:szCs w:val="32"/>
          <w:highlight w:val="none"/>
        </w:rPr>
        <w:t>卫生健康支出（类）行政事业单位医疗（款）事业单位医疗（项）</w:t>
      </w:r>
      <w:r>
        <w:rPr>
          <w:rStyle w:val="13"/>
          <w:rFonts w:hint="eastAsia" w:ascii="仿宋" w:hAnsi="仿宋" w:eastAsia="仿宋"/>
          <w:bCs/>
          <w:color w:val="auto"/>
          <w:sz w:val="32"/>
          <w:szCs w:val="32"/>
          <w:highlight w:val="none"/>
          <w:lang w:eastAsia="zh-CN"/>
        </w:rPr>
        <w:t>：</w:t>
      </w:r>
      <w:r>
        <w:rPr>
          <w:rStyle w:val="13"/>
          <w:rFonts w:ascii="仿宋" w:hAnsi="仿宋" w:eastAsia="仿宋"/>
          <w:b w:val="0"/>
          <w:bCs/>
          <w:color w:val="auto"/>
          <w:sz w:val="32"/>
          <w:szCs w:val="32"/>
          <w:highlight w:val="none"/>
        </w:rPr>
        <w:t xml:space="preserve"> </w:t>
      </w:r>
      <w:r>
        <w:rPr>
          <w:rStyle w:val="13"/>
          <w:rFonts w:hint="eastAsia" w:ascii="仿宋" w:hAnsi="仿宋" w:eastAsia="仿宋"/>
          <w:b w:val="0"/>
          <w:bCs/>
          <w:color w:val="auto"/>
          <w:sz w:val="32"/>
          <w:szCs w:val="32"/>
          <w:highlight w:val="none"/>
        </w:rPr>
        <w:t>支出决算为</w:t>
      </w:r>
      <w:r>
        <w:rPr>
          <w:rStyle w:val="13"/>
          <w:rFonts w:hint="eastAsia" w:ascii="仿宋" w:hAnsi="仿宋" w:eastAsia="仿宋"/>
          <w:b w:val="0"/>
          <w:bCs/>
          <w:color w:val="auto"/>
          <w:sz w:val="32"/>
          <w:szCs w:val="32"/>
          <w:highlight w:val="none"/>
          <w:lang w:val="en-US" w:eastAsia="zh-CN"/>
        </w:rPr>
        <w:t>17.38</w:t>
      </w:r>
      <w:r>
        <w:rPr>
          <w:rStyle w:val="13"/>
          <w:rFonts w:hint="eastAsia" w:ascii="仿宋" w:hAnsi="仿宋" w:eastAsia="仿宋"/>
          <w:b w:val="0"/>
          <w:bCs/>
          <w:color w:val="auto"/>
          <w:sz w:val="32"/>
          <w:szCs w:val="32"/>
          <w:highlight w:val="none"/>
        </w:rPr>
        <w:t>万元，完成预算</w:t>
      </w:r>
      <w:r>
        <w:rPr>
          <w:rStyle w:val="13"/>
          <w:rFonts w:hint="eastAsia" w:ascii="仿宋" w:hAnsi="仿宋" w:eastAsia="仿宋"/>
          <w:b w:val="0"/>
          <w:bCs/>
          <w:color w:val="auto"/>
          <w:sz w:val="32"/>
          <w:szCs w:val="32"/>
          <w:highlight w:val="none"/>
          <w:lang w:val="en-US" w:eastAsia="zh-CN"/>
        </w:rPr>
        <w:t>100.00</w:t>
      </w:r>
      <w:r>
        <w:rPr>
          <w:rStyle w:val="13"/>
          <w:rFonts w:ascii="仿宋" w:hAnsi="仿宋" w:eastAsia="仿宋"/>
          <w:b w:val="0"/>
          <w:bCs/>
          <w:color w:val="auto"/>
          <w:sz w:val="32"/>
          <w:szCs w:val="32"/>
          <w:highlight w:val="none"/>
        </w:rPr>
        <w:t>%</w:t>
      </w:r>
      <w:r>
        <w:rPr>
          <w:rStyle w:val="13"/>
          <w:rFonts w:hint="eastAsia" w:ascii="仿宋" w:hAnsi="仿宋" w:eastAsia="仿宋"/>
          <w:b w:val="0"/>
          <w:bCs/>
          <w:color w:val="auto"/>
          <w:sz w:val="32"/>
          <w:szCs w:val="32"/>
          <w:highlight w:val="none"/>
        </w:rPr>
        <w:t>。</w:t>
      </w:r>
    </w:p>
    <w:p w14:paraId="0AB5F204">
      <w:pPr>
        <w:numPr>
          <w:ilvl w:val="0"/>
          <w:numId w:val="1"/>
        </w:numPr>
        <w:spacing w:line="600" w:lineRule="exact"/>
        <w:ind w:left="0" w:leftChars="0" w:firstLine="643" w:firstLineChars="200"/>
        <w:rPr>
          <w:rFonts w:ascii="仿宋" w:hAnsi="仿宋" w:eastAsia="仿宋"/>
          <w:b/>
          <w:color w:val="auto"/>
          <w:sz w:val="32"/>
          <w:szCs w:val="32"/>
          <w:highlight w:val="none"/>
        </w:rPr>
      </w:pPr>
      <w:r>
        <w:rPr>
          <w:rStyle w:val="13"/>
          <w:rFonts w:hint="eastAsia" w:ascii="仿宋" w:hAnsi="仿宋" w:eastAsia="仿宋"/>
          <w:bCs/>
          <w:color w:val="auto"/>
          <w:sz w:val="32"/>
          <w:szCs w:val="32"/>
          <w:highlight w:val="none"/>
        </w:rPr>
        <w:t>卫生健康支出（类）行政事业单位医疗（款）其他行政事业单位医疗支出（项）</w:t>
      </w:r>
      <w:r>
        <w:rPr>
          <w:rStyle w:val="13"/>
          <w:rFonts w:hint="eastAsia" w:ascii="仿宋" w:hAnsi="仿宋" w:eastAsia="仿宋"/>
          <w:bCs/>
          <w:color w:val="auto"/>
          <w:sz w:val="32"/>
          <w:szCs w:val="32"/>
          <w:highlight w:val="none"/>
          <w:lang w:eastAsia="zh-CN"/>
        </w:rPr>
        <w:t>：</w:t>
      </w:r>
      <w:r>
        <w:rPr>
          <w:rStyle w:val="13"/>
          <w:rFonts w:hint="eastAsia" w:ascii="仿宋" w:hAnsi="仿宋" w:eastAsia="仿宋"/>
          <w:b w:val="0"/>
          <w:bCs/>
          <w:color w:val="auto"/>
          <w:sz w:val="32"/>
          <w:szCs w:val="32"/>
          <w:highlight w:val="none"/>
        </w:rPr>
        <w:t>支出决算为</w:t>
      </w:r>
      <w:r>
        <w:rPr>
          <w:rStyle w:val="13"/>
          <w:rFonts w:hint="eastAsia" w:ascii="仿宋" w:hAnsi="仿宋" w:eastAsia="仿宋"/>
          <w:b w:val="0"/>
          <w:bCs/>
          <w:color w:val="auto"/>
          <w:sz w:val="32"/>
          <w:szCs w:val="32"/>
          <w:highlight w:val="none"/>
          <w:lang w:val="en-US" w:eastAsia="zh-CN"/>
        </w:rPr>
        <w:t>4.05</w:t>
      </w:r>
      <w:r>
        <w:rPr>
          <w:rStyle w:val="13"/>
          <w:rFonts w:hint="eastAsia" w:ascii="仿宋" w:hAnsi="仿宋" w:eastAsia="仿宋"/>
          <w:b w:val="0"/>
          <w:bCs/>
          <w:color w:val="auto"/>
          <w:sz w:val="32"/>
          <w:szCs w:val="32"/>
          <w:highlight w:val="none"/>
        </w:rPr>
        <w:t>万元，完成预算</w:t>
      </w:r>
      <w:r>
        <w:rPr>
          <w:rStyle w:val="13"/>
          <w:rFonts w:hint="eastAsia" w:ascii="仿宋" w:hAnsi="仿宋" w:eastAsia="仿宋"/>
          <w:b w:val="0"/>
          <w:bCs/>
          <w:color w:val="auto"/>
          <w:sz w:val="32"/>
          <w:szCs w:val="32"/>
          <w:highlight w:val="none"/>
          <w:lang w:val="en-US" w:eastAsia="zh-CN"/>
        </w:rPr>
        <w:t>100.00</w:t>
      </w:r>
      <w:r>
        <w:rPr>
          <w:rStyle w:val="13"/>
          <w:rFonts w:ascii="仿宋" w:hAnsi="仿宋" w:eastAsia="仿宋"/>
          <w:b w:val="0"/>
          <w:bCs/>
          <w:color w:val="auto"/>
          <w:sz w:val="32"/>
          <w:szCs w:val="32"/>
          <w:highlight w:val="none"/>
        </w:rPr>
        <w:t>%</w:t>
      </w:r>
      <w:r>
        <w:rPr>
          <w:rStyle w:val="13"/>
          <w:rFonts w:hint="eastAsia" w:ascii="仿宋" w:hAnsi="仿宋" w:eastAsia="仿宋"/>
          <w:b w:val="0"/>
          <w:bCs/>
          <w:color w:val="auto"/>
          <w:sz w:val="32"/>
          <w:szCs w:val="32"/>
          <w:highlight w:val="none"/>
        </w:rPr>
        <w:t>。</w:t>
      </w:r>
    </w:p>
    <w:p w14:paraId="14A9CA0F">
      <w:pPr>
        <w:numPr>
          <w:ilvl w:val="0"/>
          <w:numId w:val="1"/>
        </w:numPr>
        <w:spacing w:line="600" w:lineRule="exact"/>
        <w:ind w:left="0" w:leftChars="0" w:firstLine="643" w:firstLineChars="200"/>
        <w:rPr>
          <w:rFonts w:hint="eastAsia" w:ascii="仿宋" w:hAnsi="仿宋" w:eastAsia="仿宋"/>
          <w:color w:val="auto"/>
          <w:sz w:val="32"/>
          <w:szCs w:val="32"/>
          <w:highlight w:val="none"/>
          <w:lang w:eastAsia="zh-CN"/>
        </w:rPr>
      </w:pPr>
      <w:r>
        <w:rPr>
          <w:rStyle w:val="13"/>
          <w:rFonts w:hint="eastAsia" w:ascii="仿宋" w:hAnsi="仿宋" w:eastAsia="仿宋" w:cs="Times New Roman"/>
          <w:bCs/>
          <w:color w:val="auto"/>
          <w:sz w:val="32"/>
          <w:szCs w:val="32"/>
          <w:highlight w:val="none"/>
        </w:rPr>
        <w:t>住房保障支出</w:t>
      </w:r>
      <w:r>
        <w:rPr>
          <w:rStyle w:val="13"/>
          <w:rFonts w:hint="eastAsia" w:ascii="仿宋" w:hAnsi="仿宋" w:eastAsia="仿宋"/>
          <w:bCs/>
          <w:color w:val="auto"/>
          <w:sz w:val="32"/>
          <w:szCs w:val="32"/>
          <w:highlight w:val="none"/>
        </w:rPr>
        <w:t>（类）住房改革支出（款）住房公积金（项）</w:t>
      </w:r>
      <w:r>
        <w:rPr>
          <w:rStyle w:val="13"/>
          <w:rFonts w:hint="eastAsia" w:ascii="仿宋" w:hAnsi="仿宋" w:eastAsia="仿宋"/>
          <w:bCs/>
          <w:color w:val="auto"/>
          <w:sz w:val="32"/>
          <w:szCs w:val="32"/>
          <w:highlight w:val="none"/>
          <w:lang w:eastAsia="zh-CN"/>
        </w:rPr>
        <w:t>：</w:t>
      </w:r>
      <w:r>
        <w:rPr>
          <w:rStyle w:val="13"/>
          <w:rFonts w:hint="eastAsia" w:ascii="仿宋" w:hAnsi="仿宋" w:eastAsia="仿宋"/>
          <w:b w:val="0"/>
          <w:bCs/>
          <w:color w:val="auto"/>
          <w:sz w:val="32"/>
          <w:szCs w:val="32"/>
          <w:highlight w:val="none"/>
        </w:rPr>
        <w:t>支出决算为</w:t>
      </w:r>
      <w:r>
        <w:rPr>
          <w:rStyle w:val="13"/>
          <w:rFonts w:hint="eastAsia" w:ascii="仿宋" w:hAnsi="仿宋" w:eastAsia="仿宋"/>
          <w:b w:val="0"/>
          <w:bCs/>
          <w:color w:val="auto"/>
          <w:sz w:val="32"/>
          <w:szCs w:val="32"/>
          <w:highlight w:val="none"/>
          <w:lang w:val="en-US" w:eastAsia="zh-CN"/>
        </w:rPr>
        <w:t>30.35</w:t>
      </w:r>
      <w:r>
        <w:rPr>
          <w:rStyle w:val="13"/>
          <w:rFonts w:hint="eastAsia" w:ascii="仿宋" w:hAnsi="仿宋" w:eastAsia="仿宋"/>
          <w:b w:val="0"/>
          <w:bCs/>
          <w:color w:val="auto"/>
          <w:sz w:val="32"/>
          <w:szCs w:val="32"/>
          <w:highlight w:val="none"/>
        </w:rPr>
        <w:t>万元，完成预算</w:t>
      </w:r>
      <w:r>
        <w:rPr>
          <w:rStyle w:val="13"/>
          <w:rFonts w:hint="eastAsia" w:ascii="仿宋" w:hAnsi="仿宋" w:eastAsia="仿宋"/>
          <w:b w:val="0"/>
          <w:bCs/>
          <w:color w:val="auto"/>
          <w:sz w:val="32"/>
          <w:szCs w:val="32"/>
          <w:highlight w:val="none"/>
          <w:lang w:val="en-US" w:eastAsia="zh-CN"/>
        </w:rPr>
        <w:t>100.00</w:t>
      </w:r>
      <w:r>
        <w:rPr>
          <w:rStyle w:val="13"/>
          <w:rFonts w:ascii="仿宋" w:hAnsi="仿宋" w:eastAsia="仿宋"/>
          <w:b w:val="0"/>
          <w:bCs/>
          <w:color w:val="auto"/>
          <w:sz w:val="32"/>
          <w:szCs w:val="32"/>
          <w:highlight w:val="none"/>
        </w:rPr>
        <w:t>%</w:t>
      </w:r>
      <w:r>
        <w:rPr>
          <w:rFonts w:hint="eastAsia" w:ascii="仿宋" w:hAnsi="仿宋" w:eastAsia="仿宋"/>
          <w:color w:val="auto"/>
          <w:sz w:val="32"/>
          <w:szCs w:val="32"/>
          <w:highlight w:val="none"/>
          <w:lang w:eastAsia="zh-CN"/>
        </w:rPr>
        <w:t>。</w:t>
      </w:r>
    </w:p>
    <w:p w14:paraId="7F9C0F23">
      <w:pPr>
        <w:spacing w:line="600" w:lineRule="exact"/>
        <w:ind w:firstLine="640"/>
        <w:rPr>
          <w:rFonts w:ascii="仿宋" w:hAnsi="仿宋" w:eastAsia="仿宋"/>
          <w:b/>
          <w:color w:val="auto"/>
          <w:sz w:val="32"/>
          <w:szCs w:val="32"/>
          <w:highlight w:val="none"/>
        </w:rPr>
      </w:pPr>
    </w:p>
    <w:p w14:paraId="29756768">
      <w:pPr>
        <w:tabs>
          <w:tab w:val="right" w:pos="8306"/>
        </w:tabs>
        <w:spacing w:line="600" w:lineRule="exact"/>
        <w:ind w:firstLine="640"/>
        <w:outlineLvl w:val="1"/>
        <w:rPr>
          <w:rStyle w:val="15"/>
          <w:color w:val="auto"/>
          <w:highlight w:val="none"/>
        </w:rPr>
      </w:pPr>
      <w:bookmarkStart w:id="15" w:name="_Toc4676"/>
      <w:r>
        <w:rPr>
          <w:rFonts w:hint="eastAsia" w:ascii="黑体" w:eastAsia="黑体"/>
          <w:color w:val="FF0000"/>
          <w:sz w:val="32"/>
          <w:szCs w:val="32"/>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六</w:t>
      </w:r>
      <w:r>
        <w:rPr>
          <w:rFonts w:hint="eastAsia" w:ascii="黑体" w:eastAsia="黑体"/>
          <w:b/>
          <w:color w:val="FF0000"/>
          <w:sz w:val="32"/>
          <w:szCs w:val="32"/>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黑体" w:hAnsi="黑体" w:eastAsia="黑体"/>
          <w:b/>
          <w:color w:val="FF0000"/>
          <w:sz w:val="32"/>
          <w:szCs w:val="32"/>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一</w:t>
      </w:r>
      <w:r>
        <w:rPr>
          <w:rStyle w:val="15"/>
          <w:rFonts w:hint="eastAsia" w:ascii="黑体" w:hAnsi="黑体" w:eastAsia="黑体"/>
          <w:b w:val="0"/>
          <w:color w:val="FF0000"/>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般公共</w:t>
      </w:r>
      <w:r>
        <w:rPr>
          <w:rStyle w:val="15"/>
          <w:rFonts w:hint="eastAsia" w:ascii="黑体" w:hAnsi="黑体" w:eastAsia="黑体"/>
          <w:b w:val="0"/>
          <w:color w:val="auto"/>
          <w:highlight w:val="none"/>
        </w:rPr>
        <w:t>预算财政拨款基本支出决算情况说明</w:t>
      </w:r>
      <w:bookmarkEnd w:id="15"/>
      <w:r>
        <w:rPr>
          <w:rStyle w:val="15"/>
          <w:rFonts w:ascii="黑体" w:hAnsi="黑体" w:eastAsia="黑体"/>
          <w:b w:val="0"/>
          <w:color w:val="auto"/>
          <w:highlight w:val="none"/>
        </w:rPr>
        <w:tab/>
      </w:r>
    </w:p>
    <w:p w14:paraId="34F8410B">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w:t>
      </w:r>
      <w:r>
        <w:rPr>
          <w:rFonts w:hint="eastAsia" w:ascii="仿宋_GB2312" w:hAnsi="仿宋_GB2312" w:eastAsia="仿宋_GB2312" w:cs="仿宋_GB2312"/>
          <w:color w:val="auto"/>
          <w:kern w:val="2"/>
          <w:sz w:val="32"/>
          <w:szCs w:val="32"/>
          <w:highlight w:val="none"/>
          <w:lang w:val="en-US" w:eastAsia="zh-CN" w:bidi="ar-SA"/>
        </w:rPr>
        <w:t>年度一般公共预算财政拨款基本支出</w:t>
      </w:r>
      <w:r>
        <w:rPr>
          <w:rFonts w:hint="eastAsia" w:ascii="仿宋_GB2312" w:hAnsi="仿宋_GB2312" w:eastAsia="仿宋_GB2312" w:cs="仿宋_GB2312"/>
          <w:sz w:val="32"/>
          <w:szCs w:val="32"/>
        </w:rPr>
        <w:t>471.31</w:t>
      </w:r>
      <w:r>
        <w:rPr>
          <w:rFonts w:hint="eastAsia" w:ascii="仿宋_GB2312" w:hAnsi="仿宋_GB2312" w:eastAsia="仿宋_GB2312" w:cs="仿宋_GB2312"/>
          <w:color w:val="auto"/>
          <w:kern w:val="2"/>
          <w:sz w:val="32"/>
          <w:szCs w:val="32"/>
          <w:highlight w:val="none"/>
          <w:lang w:val="en-US" w:eastAsia="zh-CN" w:bidi="ar-SA"/>
        </w:rPr>
        <w:t>万元，其中：</w:t>
      </w:r>
    </w:p>
    <w:p w14:paraId="3D34C76F">
      <w:pPr>
        <w:spacing w:line="600" w:lineRule="exact"/>
        <w:ind w:firstLine="645"/>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402.99</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仿宋_GB2312" w:hAnsi="仿宋_GB2312" w:eastAsia="仿宋_GB2312" w:cs="仿宋_GB2312"/>
          <w:color w:val="auto"/>
          <w:sz w:val="32"/>
          <w:szCs w:val="32"/>
          <w:highlight w:val="none"/>
        </w:rPr>
        <w:t>主要包括：基本工资、津贴补贴、奖金、绩效工资、机关事业单位基本养老保险缴费、职业年金缴费、职工基本医疗保险缴费</w:t>
      </w:r>
      <w:r>
        <w:rPr>
          <w:rFonts w:hint="eastAsia" w:ascii="仿宋_GB2312" w:hAnsi="仿宋_GB2312" w:eastAsia="仿宋_GB2312" w:cs="仿宋_GB2312"/>
          <w:color w:val="auto"/>
          <w:sz w:val="32"/>
          <w:szCs w:val="32"/>
          <w:highlight w:val="none"/>
          <w:lang w:eastAsia="zh-CN"/>
        </w:rPr>
        <w:t>、其他社会保障缴费</w:t>
      </w:r>
      <w:r>
        <w:rPr>
          <w:rFonts w:hint="eastAsia" w:ascii="仿宋_GB2312" w:hAnsi="仿宋_GB2312" w:eastAsia="仿宋_GB2312" w:cs="仿宋_GB2312"/>
          <w:color w:val="auto"/>
          <w:sz w:val="32"/>
          <w:szCs w:val="32"/>
          <w:highlight w:val="none"/>
        </w:rPr>
        <w:t>、其他工资福利支出、生活补助、奖励金、住房公积金等。</w:t>
      </w:r>
    </w:p>
    <w:p w14:paraId="44C5ACF5">
      <w:pPr>
        <w:spacing w:line="600" w:lineRule="exact"/>
        <w:ind w:firstLine="645"/>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公用经费</w:t>
      </w:r>
      <w:r>
        <w:rPr>
          <w:rFonts w:hint="eastAsia" w:ascii="仿宋_GB2312" w:hAnsi="仿宋_GB2312" w:eastAsia="仿宋_GB2312" w:cs="仿宋_GB2312"/>
          <w:color w:val="auto"/>
          <w:sz w:val="32"/>
          <w:szCs w:val="32"/>
          <w:highlight w:val="none"/>
          <w:lang w:val="en-US" w:eastAsia="zh-CN"/>
        </w:rPr>
        <w:t>68.32</w:t>
      </w:r>
      <w:r>
        <w:rPr>
          <w:rFonts w:hint="eastAsia" w:ascii="仿宋_GB2312" w:hAnsi="仿宋_GB2312" w:eastAsia="仿宋_GB2312" w:cs="仿宋_GB2312"/>
          <w:color w:val="auto"/>
          <w:sz w:val="32"/>
          <w:szCs w:val="32"/>
          <w:highlight w:val="none"/>
        </w:rPr>
        <w:t>万元，主要包括：办公费、邮电费、差旅费、维修（护）费、培训费、公务接待费、福利费、公务用车运行维护费、其他商品和服务支出。</w:t>
      </w:r>
    </w:p>
    <w:p w14:paraId="5F4617C7">
      <w:pPr>
        <w:spacing w:line="600" w:lineRule="exact"/>
        <w:ind w:firstLine="640"/>
        <w:rPr>
          <w:rFonts w:ascii="仿宋" w:hAnsi="仿宋" w:eastAsia="仿宋"/>
          <w:b/>
          <w:color w:val="auto"/>
          <w:sz w:val="32"/>
          <w:szCs w:val="32"/>
          <w:highlight w:val="none"/>
        </w:rPr>
      </w:pPr>
    </w:p>
    <w:p w14:paraId="2F8061D1">
      <w:pPr>
        <w:pStyle w:val="2"/>
      </w:pPr>
    </w:p>
    <w:p w14:paraId="31902BF5">
      <w:pPr>
        <w:spacing w:line="600" w:lineRule="exact"/>
        <w:ind w:firstLine="640"/>
        <w:outlineLvl w:val="1"/>
        <w:rPr>
          <w:rStyle w:val="15"/>
          <w:rFonts w:ascii="黑体" w:hAnsi="黑体" w:eastAsia="黑体"/>
          <w:b w:val="0"/>
          <w:color w:val="auto"/>
          <w:highlight w:val="none"/>
        </w:rPr>
      </w:pPr>
      <w:bookmarkStart w:id="16" w:name="_Toc17174"/>
      <w:r>
        <w:rPr>
          <w:rFonts w:hint="eastAsia" w:ascii="黑体" w:eastAsia="黑体"/>
          <w:color w:val="auto"/>
          <w:sz w:val="32"/>
          <w:szCs w:val="32"/>
          <w:highlight w:val="none"/>
        </w:rPr>
        <w:t>七、</w:t>
      </w:r>
      <w:r>
        <w:rPr>
          <w:rStyle w:val="15"/>
          <w:rFonts w:hint="eastAsia" w:ascii="黑体" w:hAnsi="黑体" w:eastAsia="黑体"/>
          <w:b w:val="0"/>
          <w:color w:val="auto"/>
          <w:highlight w:val="none"/>
        </w:rPr>
        <w:t>财政拨款</w:t>
      </w:r>
      <w:r>
        <w:rPr>
          <w:rStyle w:val="15"/>
          <w:rFonts w:hint="eastAsia" w:ascii="黑体" w:hAnsi="黑体" w:eastAsia="黑体"/>
          <w:color w:val="auto"/>
          <w:highlight w:val="none"/>
        </w:rPr>
        <w:t>“</w:t>
      </w:r>
      <w:r>
        <w:rPr>
          <w:rStyle w:val="15"/>
          <w:rFonts w:hint="eastAsia" w:ascii="黑体" w:hAnsi="黑体" w:eastAsia="黑体"/>
          <w:b w:val="0"/>
          <w:color w:val="auto"/>
          <w:highlight w:val="none"/>
        </w:rPr>
        <w:t>三公”经费支出决算情况说明</w:t>
      </w:r>
      <w:bookmarkEnd w:id="16"/>
    </w:p>
    <w:p w14:paraId="193EE77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7"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17"/>
    </w:p>
    <w:p w14:paraId="4B8D500F">
      <w:pPr>
        <w:spacing w:line="600" w:lineRule="exact"/>
        <w:ind w:firstLine="640"/>
        <w:rPr>
          <w:rFonts w:hint="eastAsia" w:ascii="仿宋_GB2312" w:hAnsi="仿宋_GB2312" w:eastAsia="仿宋_GB2312" w:cs="仿宋_GB2312"/>
          <w:b/>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2024</w:t>
      </w:r>
      <w:r>
        <w:rPr>
          <w:rFonts w:hint="eastAsia" w:ascii="仿宋_GB2312" w:hAnsi="仿宋_GB2312" w:eastAsia="仿宋_GB2312" w:cs="仿宋_GB2312"/>
          <w:color w:val="auto"/>
          <w:kern w:val="2"/>
          <w:sz w:val="32"/>
          <w:szCs w:val="32"/>
          <w:highlight w:val="none"/>
          <w:lang w:val="en-US" w:eastAsia="zh-CN" w:bidi="ar-SA"/>
        </w:rPr>
        <w:t>年度“三公”经费财政拨款支出决算为</w:t>
      </w:r>
      <w:r>
        <w:rPr>
          <w:rFonts w:hint="eastAsia" w:ascii="仿宋_GB2312" w:hAnsi="仿宋_GB2312" w:eastAsia="仿宋_GB2312" w:cs="仿宋_GB2312"/>
          <w:sz w:val="32"/>
          <w:szCs w:val="32"/>
        </w:rPr>
        <w:t>17.5</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lang w:eastAsia="zh-CN"/>
        </w:rPr>
        <w:t>较上年度</w:t>
      </w:r>
      <w:r>
        <w:rPr>
          <w:rFonts w:hint="eastAsia" w:ascii="仿宋_GB2312" w:hAnsi="仿宋_GB2312" w:eastAsia="仿宋_GB2312" w:cs="仿宋_GB2312"/>
          <w:color w:val="auto"/>
          <w:sz w:val="32"/>
          <w:szCs w:val="32"/>
          <w:highlight w:val="none"/>
          <w:lang w:val="en-US" w:eastAsia="zh-CN"/>
        </w:rPr>
        <w:t>减少0.04万元，下降0.23%。</w:t>
      </w:r>
      <w:r>
        <w:rPr>
          <w:rFonts w:hint="eastAsia" w:ascii="仿宋_GB2312" w:hAnsi="仿宋_GB2312" w:eastAsia="仿宋_GB2312" w:cs="仿宋_GB2312"/>
          <w:color w:val="auto"/>
          <w:sz w:val="32"/>
          <w:szCs w:val="32"/>
          <w:highlight w:val="none"/>
        </w:rPr>
        <w:t>决算数小于预算数的主要原因是本年度减少了公务接待。</w:t>
      </w:r>
    </w:p>
    <w:p w14:paraId="63BF78B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（二）“三公”经费财政拨款支出决算具体情况说明</w:t>
      </w:r>
    </w:p>
    <w:p w14:paraId="16E2FA08">
      <w:pPr>
        <w:spacing w:line="600" w:lineRule="exact"/>
        <w:ind w:firstLine="640"/>
        <w:rPr>
          <w:rFonts w:hint="eastAsia" w:ascii="仿宋_GB2312" w:hAnsi="仿宋_GB2312" w:eastAsia="仿宋_GB2312" w:cs="仿宋_GB2312"/>
          <w:color w:val="auto"/>
          <w:sz w:val="32"/>
          <w:szCs w:val="32"/>
          <w:highlight w:val="none"/>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“三公”经费财政拨款支出决算中，因公出国（境）费支出决算</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%；公务用车购置及运行维护费支出决算</w:t>
      </w:r>
      <w:r>
        <w:rPr>
          <w:rFonts w:hint="eastAsia" w:ascii="仿宋_GB2312" w:hAnsi="仿宋_GB2312" w:eastAsia="仿宋_GB2312" w:cs="仿宋_GB2312"/>
          <w:color w:val="auto"/>
          <w:sz w:val="32"/>
          <w:szCs w:val="32"/>
          <w:highlight w:val="none"/>
          <w:lang w:val="en-US" w:eastAsia="zh-CN"/>
        </w:rPr>
        <w:t>17.28</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98.74</w:t>
      </w:r>
      <w:r>
        <w:rPr>
          <w:rFonts w:hint="eastAsia" w:ascii="仿宋_GB2312" w:hAnsi="仿宋_GB2312" w:eastAsia="仿宋_GB2312" w:cs="仿宋_GB2312"/>
          <w:color w:val="auto"/>
          <w:sz w:val="32"/>
          <w:szCs w:val="32"/>
          <w:highlight w:val="none"/>
        </w:rPr>
        <w:t xml:space="preserve">%；公务接待费支出决算 </w:t>
      </w:r>
      <w:r>
        <w:rPr>
          <w:rFonts w:hint="eastAsia" w:ascii="仿宋_GB2312" w:hAnsi="仿宋_GB2312" w:eastAsia="仿宋_GB2312" w:cs="仿宋_GB2312"/>
          <w:color w:val="auto"/>
          <w:sz w:val="32"/>
          <w:szCs w:val="32"/>
          <w:highlight w:val="none"/>
          <w:lang w:val="en-US" w:eastAsia="zh-CN"/>
        </w:rPr>
        <w:t>0.22</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1.26</w:t>
      </w:r>
      <w:r>
        <w:rPr>
          <w:rFonts w:hint="eastAsia" w:ascii="仿宋_GB2312" w:hAnsi="仿宋_GB2312" w:eastAsia="仿宋_GB2312" w:cs="仿宋_GB2312"/>
          <w:color w:val="auto"/>
          <w:sz w:val="32"/>
          <w:szCs w:val="32"/>
          <w:highlight w:val="none"/>
        </w:rPr>
        <w:t>%。具体情况如下：</w:t>
      </w:r>
    </w:p>
    <w:p w14:paraId="4702686F">
      <w:pPr>
        <w:pStyle w:val="7"/>
        <w:rPr>
          <w:rFonts w:hint="eastAsia" w:eastAsia="仿宋"/>
          <w:lang w:eastAsia="zh-CN"/>
        </w:rPr>
      </w:pPr>
      <w:r>
        <w:rPr>
          <w:rFonts w:hint="eastAsia" w:eastAsia="仿宋"/>
          <w:lang w:eastAsia="zh-CN"/>
        </w:rPr>
        <w:drawing>
          <wp:inline distT="0" distB="0" distL="114300" distR="114300">
            <wp:extent cx="5256530" cy="2988310"/>
            <wp:effectExtent l="5080" t="4445" r="11430" b="952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E59689">
      <w:pPr>
        <w:spacing w:line="600" w:lineRule="exact"/>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w:t>
      </w:r>
    </w:p>
    <w:p w14:paraId="4CEC3FE9">
      <w:pPr>
        <w:spacing w:line="600" w:lineRule="exact"/>
        <w:ind w:firstLine="640"/>
        <w:rPr>
          <w:rFonts w:hint="eastAsia" w:ascii="仿宋_GB2312" w:hAnsi="仿宋_GB2312" w:eastAsia="仿宋_GB2312" w:cs="仿宋_GB2312"/>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Style w:val="13"/>
          <w:rFonts w:hint="eastAsia" w:ascii="仿宋_GB2312" w:hAnsi="仿宋_GB2312" w:eastAsia="仿宋_GB2312" w:cs="仿宋_GB2312"/>
          <w:b w:val="0"/>
          <w:bCs/>
          <w:color w:val="auto"/>
          <w:sz w:val="32"/>
          <w:szCs w:val="32"/>
          <w:highlight w:val="none"/>
        </w:rPr>
        <w:t>完成预算</w:t>
      </w:r>
      <w:r>
        <w:rPr>
          <w:rStyle w:val="13"/>
          <w:rFonts w:hint="eastAsia" w:ascii="仿宋_GB2312" w:hAnsi="仿宋_GB2312" w:eastAsia="仿宋_GB2312" w:cs="仿宋_GB2312"/>
          <w:b w:val="0"/>
          <w:bCs/>
          <w:color w:val="auto"/>
          <w:sz w:val="32"/>
          <w:szCs w:val="32"/>
          <w:highlight w:val="none"/>
          <w:lang w:val="en-US" w:eastAsia="zh-CN"/>
        </w:rPr>
        <w:t>0</w:t>
      </w:r>
      <w:r>
        <w:rPr>
          <w:rStyle w:val="13"/>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w:t>
      </w:r>
    </w:p>
    <w:p w14:paraId="33411F8F">
      <w:pPr>
        <w:spacing w:line="600" w:lineRule="exact"/>
        <w:ind w:firstLine="640"/>
        <w:rPr>
          <w:rFonts w:hint="eastAsia" w:ascii="仿宋_GB2312" w:hAnsi="仿宋_GB2312" w:eastAsia="仿宋_GB2312" w:cs="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hAnsi="仿宋_GB2312" w:eastAsia="仿宋_GB2312" w:cs="仿宋_GB2312"/>
          <w:color w:val="auto"/>
          <w:sz w:val="32"/>
          <w:szCs w:val="32"/>
          <w:highlight w:val="none"/>
          <w:lang w:val="en-US" w:eastAsia="zh-CN"/>
        </w:rPr>
        <w:t>17.28</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w:t>
      </w:r>
      <w:r>
        <w:rPr>
          <w:rStyle w:val="13"/>
          <w:rFonts w:hint="eastAsia" w:ascii="仿宋_GB2312" w:hAnsi="仿宋_GB2312" w:eastAsia="仿宋_GB2312" w:cs="仿宋_GB2312"/>
          <w:b w:val="0"/>
          <w:bCs/>
          <w:color w:val="auto"/>
          <w:sz w:val="32"/>
          <w:szCs w:val="32"/>
          <w:highlight w:val="none"/>
        </w:rPr>
        <w:t>完成预算</w:t>
      </w:r>
      <w:r>
        <w:rPr>
          <w:rStyle w:val="13"/>
          <w:rFonts w:hint="eastAsia" w:ascii="仿宋_GB2312" w:hAnsi="仿宋_GB2312" w:eastAsia="仿宋_GB2312" w:cs="仿宋_GB2312"/>
          <w:b w:val="0"/>
          <w:bCs/>
          <w:color w:val="auto"/>
          <w:sz w:val="32"/>
          <w:szCs w:val="32"/>
          <w:highlight w:val="none"/>
          <w:lang w:val="en-US" w:eastAsia="zh-CN"/>
        </w:rPr>
        <w:t>100.00</w:t>
      </w:r>
      <w:r>
        <w:rPr>
          <w:rStyle w:val="13"/>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公务用车购置及运行维护费支出决算比</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lang w:val="en-US" w:eastAsia="zh-CN"/>
        </w:rPr>
        <w:t>持平</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增长0</w:t>
      </w:r>
      <w:r>
        <w:rPr>
          <w:rFonts w:hint="eastAsia" w:ascii="仿宋_GB2312" w:hAnsi="仿宋_GB2312" w:eastAsia="仿宋_GB2312" w:cs="仿宋_GB2312"/>
          <w:color w:val="auto"/>
          <w:sz w:val="32"/>
          <w:szCs w:val="32"/>
          <w:highlight w:val="none"/>
        </w:rPr>
        <w:t>%。</w:t>
      </w:r>
    </w:p>
    <w:p w14:paraId="22DAF602">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辆，其中：</w:t>
      </w:r>
      <w:r>
        <w:rPr>
          <w:rFonts w:hint="eastAsia" w:ascii="仿宋_GB2312" w:eastAsia="仿宋_GB2312"/>
          <w:color w:val="auto"/>
          <w:sz w:val="32"/>
          <w:szCs w:val="32"/>
          <w:highlight w:val="none"/>
          <w:lang w:val="en-US" w:eastAsia="zh-CN"/>
        </w:rPr>
        <w:t>越野车2辆，其他车型1辆</w:t>
      </w:r>
      <w:r>
        <w:rPr>
          <w:rFonts w:hint="eastAsia" w:ascii="仿宋_GB2312" w:eastAsia="仿宋_GB2312"/>
          <w:color w:val="auto"/>
          <w:sz w:val="32"/>
          <w:szCs w:val="32"/>
          <w:highlight w:val="none"/>
        </w:rPr>
        <w:t>。</w:t>
      </w:r>
    </w:p>
    <w:p w14:paraId="4FCC6695">
      <w:pPr>
        <w:spacing w:line="600" w:lineRule="exact"/>
        <w:ind w:firstLine="640"/>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17.28</w:t>
      </w:r>
      <w:r>
        <w:rPr>
          <w:rFonts w:hint="eastAsia" w:ascii="仿宋_GB2312" w:eastAsia="仿宋_GB2312"/>
          <w:color w:val="auto"/>
          <w:sz w:val="32"/>
          <w:szCs w:val="32"/>
          <w:highlight w:val="none"/>
        </w:rPr>
        <w:t>万元。主要用于</w:t>
      </w:r>
      <w:r>
        <w:rPr>
          <w:rFonts w:hint="eastAsia" w:ascii="仿宋_GB2312" w:eastAsia="仿宋_GB2312"/>
          <w:color w:val="auto"/>
          <w:sz w:val="32"/>
          <w:szCs w:val="32"/>
          <w:highlight w:val="none"/>
          <w:lang w:val="en-US" w:eastAsia="zh-CN"/>
        </w:rPr>
        <w:t>公务接待及公务维护等工作</w:t>
      </w:r>
      <w:r>
        <w:rPr>
          <w:rFonts w:hint="eastAsia" w:ascii="仿宋_GB2312" w:eastAsia="仿宋_GB2312"/>
          <w:color w:val="auto"/>
          <w:sz w:val="32"/>
          <w:szCs w:val="32"/>
          <w:highlight w:val="none"/>
        </w:rPr>
        <w:t>所需的公务用车燃料费、维修费、过路过桥费、保险费等支出。</w:t>
      </w:r>
    </w:p>
    <w:p w14:paraId="63897BE7">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0.22</w:t>
      </w:r>
      <w:r>
        <w:rPr>
          <w:rFonts w:hint="eastAsia" w:ascii="仿宋_GB2312" w:eastAsia="仿宋_GB2312"/>
          <w:color w:val="auto"/>
          <w:sz w:val="32"/>
          <w:szCs w:val="32"/>
          <w:highlight w:val="none"/>
        </w:rPr>
        <w:t>万元，</w:t>
      </w:r>
      <w:r>
        <w:rPr>
          <w:rStyle w:val="13"/>
          <w:rFonts w:hint="eastAsia" w:ascii="仿宋" w:hAnsi="仿宋" w:eastAsia="仿宋"/>
          <w:b w:val="0"/>
          <w:bCs/>
          <w:color w:val="auto"/>
          <w:sz w:val="32"/>
          <w:szCs w:val="32"/>
          <w:highlight w:val="none"/>
        </w:rPr>
        <w:t>完成预算</w:t>
      </w:r>
      <w:r>
        <w:rPr>
          <w:rStyle w:val="13"/>
          <w:rFonts w:hint="eastAsia" w:ascii="仿宋" w:hAnsi="仿宋" w:eastAsia="仿宋"/>
          <w:b w:val="0"/>
          <w:bCs/>
          <w:color w:val="auto"/>
          <w:sz w:val="32"/>
          <w:szCs w:val="32"/>
          <w:highlight w:val="none"/>
          <w:lang w:val="en-US" w:eastAsia="zh-CN"/>
        </w:rPr>
        <w:t>100</w:t>
      </w:r>
      <w:r>
        <w:rPr>
          <w:rStyle w:val="13"/>
          <w:rFonts w:ascii="仿宋" w:hAnsi="仿宋" w:eastAsia="仿宋"/>
          <w:b w:val="0"/>
          <w:bCs/>
          <w:color w:val="auto"/>
          <w:sz w:val="32"/>
          <w:szCs w:val="32"/>
          <w:highlight w:val="none"/>
        </w:rPr>
        <w:t>%</w:t>
      </w:r>
      <w:r>
        <w:rPr>
          <w:rStyle w:val="13"/>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lang w:val="en-US" w:eastAsia="zh-CN"/>
        </w:rPr>
        <w:t>减少0.04</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val="en-US" w:eastAsia="zh-CN"/>
        </w:rPr>
        <w:t>下降15.38</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。主要原因是由于我院</w:t>
      </w:r>
      <w:r>
        <w:rPr>
          <w:rFonts w:hint="eastAsia" w:ascii="仿宋_GB2312" w:eastAsia="仿宋_GB2312"/>
          <w:color w:val="auto"/>
          <w:sz w:val="32"/>
          <w:szCs w:val="32"/>
          <w:highlight w:val="none"/>
          <w:lang w:val="en-US" w:eastAsia="zh-CN"/>
        </w:rPr>
        <w:t>严格按照预算执行，例行节约，减少不必要的</w:t>
      </w:r>
      <w:r>
        <w:rPr>
          <w:rFonts w:hint="eastAsia" w:ascii="仿宋_GB2312" w:eastAsia="仿宋_GB2312"/>
          <w:color w:val="auto"/>
          <w:sz w:val="32"/>
          <w:szCs w:val="32"/>
          <w:highlight w:val="none"/>
        </w:rPr>
        <w:t>公务接待费。</w:t>
      </w:r>
    </w:p>
    <w:p w14:paraId="4E03CAB3">
      <w:pPr>
        <w:spacing w:line="600" w:lineRule="exact"/>
        <w:ind w:firstLine="640"/>
        <w:rPr>
          <w:rFonts w:ascii="仿宋_GB2312" w:eastAsia="仿宋_GB2312"/>
          <w:color w:val="auto"/>
          <w:sz w:val="32"/>
          <w:szCs w:val="32"/>
          <w:highlight w:val="none"/>
        </w:rPr>
      </w:pPr>
      <w:r>
        <w:rPr>
          <w:rFonts w:hint="eastAsia" w:ascii="仿宋_GB2312" w:eastAsia="仿宋_GB2312"/>
          <w:color w:val="auto"/>
          <w:sz w:val="32"/>
          <w:szCs w:val="32"/>
          <w:highlight w:val="none"/>
        </w:rPr>
        <w:t>国内公务接待支出</w:t>
      </w:r>
      <w:r>
        <w:rPr>
          <w:rFonts w:hint="eastAsia" w:ascii="仿宋_GB2312" w:eastAsia="仿宋_GB2312"/>
          <w:color w:val="auto"/>
          <w:sz w:val="32"/>
          <w:szCs w:val="32"/>
          <w:highlight w:val="none"/>
          <w:lang w:val="en-US" w:eastAsia="zh-CN"/>
        </w:rPr>
        <w:t>0.22</w:t>
      </w:r>
      <w:r>
        <w:rPr>
          <w:rFonts w:hint="eastAsia" w:ascii="仿宋_GB2312" w:eastAsia="仿宋_GB2312"/>
          <w:color w:val="auto"/>
          <w:sz w:val="32"/>
          <w:szCs w:val="32"/>
          <w:highlight w:val="none"/>
        </w:rPr>
        <w:t>万元，主要用于</w:t>
      </w:r>
      <w:r>
        <w:rPr>
          <w:rFonts w:hint="eastAsia" w:ascii="仿宋_GB2312" w:eastAsia="仿宋_GB2312"/>
          <w:color w:val="auto"/>
          <w:sz w:val="32"/>
          <w:szCs w:val="32"/>
          <w:highlight w:val="none"/>
          <w:lang w:val="en-US" w:eastAsia="zh-CN"/>
        </w:rPr>
        <w:t>接待省州领导来院督导</w:t>
      </w:r>
      <w:r>
        <w:rPr>
          <w:rFonts w:hint="eastAsia" w:ascii="仿宋_GB2312" w:eastAsia="仿宋_GB2312"/>
          <w:color w:val="auto"/>
          <w:sz w:val="32"/>
          <w:szCs w:val="32"/>
          <w:highlight w:val="none"/>
        </w:rPr>
        <w:t>学衔工作</w:t>
      </w:r>
      <w:r>
        <w:rPr>
          <w:rFonts w:hint="eastAsia" w:ascii="仿宋_GB2312" w:eastAsia="仿宋_GB2312"/>
          <w:color w:val="auto"/>
          <w:sz w:val="32"/>
          <w:szCs w:val="32"/>
          <w:highlight w:val="none"/>
          <w:lang w:val="en-US" w:eastAsia="zh-CN"/>
        </w:rPr>
        <w:t>的餐食开支</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10</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0.22</w:t>
      </w:r>
      <w:r>
        <w:rPr>
          <w:rFonts w:hint="eastAsia" w:ascii="仿宋_GB2312" w:eastAsia="仿宋_GB2312"/>
          <w:color w:val="auto"/>
          <w:sz w:val="32"/>
          <w:szCs w:val="32"/>
          <w:highlight w:val="none"/>
        </w:rPr>
        <w:t>万元，具体内容包括：</w:t>
      </w:r>
      <w:r>
        <w:rPr>
          <w:rFonts w:hint="eastAsia" w:ascii="仿宋_GB2312" w:eastAsia="仿宋_GB2312"/>
          <w:color w:val="auto"/>
          <w:sz w:val="32"/>
          <w:szCs w:val="32"/>
          <w:highlight w:val="none"/>
          <w:lang w:val="en-US" w:eastAsia="zh-CN"/>
        </w:rPr>
        <w:t>开展</w:t>
      </w:r>
      <w:r>
        <w:rPr>
          <w:rFonts w:hint="eastAsia" w:ascii="仿宋_GB2312" w:eastAsia="仿宋_GB2312"/>
          <w:color w:val="auto"/>
          <w:sz w:val="32"/>
          <w:szCs w:val="32"/>
          <w:highlight w:val="none"/>
        </w:rPr>
        <w:t>学衔</w:t>
      </w:r>
      <w:r>
        <w:rPr>
          <w:rFonts w:hint="eastAsia" w:ascii="仿宋_GB2312" w:eastAsia="仿宋_GB2312"/>
          <w:color w:val="auto"/>
          <w:sz w:val="32"/>
          <w:szCs w:val="32"/>
          <w:highlight w:val="none"/>
          <w:lang w:val="en-US" w:eastAsia="zh-CN"/>
        </w:rPr>
        <w:t>教学</w:t>
      </w:r>
      <w:r>
        <w:rPr>
          <w:rFonts w:hint="eastAsia" w:ascii="仿宋_GB2312" w:eastAsia="仿宋_GB2312"/>
          <w:color w:val="auto"/>
          <w:sz w:val="32"/>
          <w:szCs w:val="32"/>
          <w:highlight w:val="none"/>
        </w:rPr>
        <w:t>工作，省级和州级领导莅临指导</w:t>
      </w:r>
      <w:r>
        <w:rPr>
          <w:rFonts w:hint="eastAsia" w:ascii="仿宋_GB2312" w:eastAsia="仿宋_GB2312"/>
          <w:color w:val="auto"/>
          <w:sz w:val="32"/>
          <w:szCs w:val="32"/>
          <w:highlight w:val="none"/>
          <w:lang w:val="en-US" w:eastAsia="zh-CN"/>
        </w:rPr>
        <w:t>等</w:t>
      </w:r>
      <w:r>
        <w:rPr>
          <w:rFonts w:hint="eastAsia" w:ascii="仿宋_GB2312" w:eastAsia="仿宋_GB2312"/>
          <w:color w:val="auto"/>
          <w:sz w:val="32"/>
          <w:szCs w:val="32"/>
          <w:highlight w:val="none"/>
        </w:rPr>
        <w:t>。</w:t>
      </w:r>
    </w:p>
    <w:p w14:paraId="2A20D3AE">
      <w:pPr>
        <w:spacing w:line="600" w:lineRule="exact"/>
        <w:ind w:firstLine="64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外事接待支出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6855196D">
      <w:pPr>
        <w:pStyle w:val="2"/>
        <w:rPr>
          <w:rFonts w:hint="eastAsia"/>
        </w:rPr>
      </w:pPr>
    </w:p>
    <w:p w14:paraId="2D029891">
      <w:pPr>
        <w:spacing w:line="600" w:lineRule="exact"/>
        <w:ind w:firstLine="640"/>
        <w:outlineLvl w:val="1"/>
        <w:rPr>
          <w:rStyle w:val="15"/>
          <w:rFonts w:ascii="黑体" w:hAnsi="黑体" w:eastAsia="黑体"/>
          <w:color w:val="auto"/>
          <w:highlight w:val="none"/>
        </w:rPr>
      </w:pPr>
      <w:bookmarkStart w:id="18" w:name="_Toc30621"/>
      <w:r>
        <w:rPr>
          <w:rFonts w:hint="eastAsia" w:ascii="黑体" w:eastAsia="黑体"/>
          <w:color w:val="auto"/>
          <w:sz w:val="32"/>
          <w:szCs w:val="32"/>
          <w:highlight w:val="none"/>
        </w:rPr>
        <w:t>八、</w:t>
      </w:r>
      <w:r>
        <w:rPr>
          <w:rStyle w:val="15"/>
          <w:rFonts w:hint="eastAsia" w:ascii="黑体" w:hAnsi="黑体" w:eastAsia="黑体"/>
          <w:b w:val="0"/>
          <w:color w:val="auto"/>
          <w:highlight w:val="none"/>
        </w:rPr>
        <w:t>政府性基金预算支出决算情况说明</w:t>
      </w:r>
      <w:bookmarkEnd w:id="18"/>
    </w:p>
    <w:p w14:paraId="27BEC288">
      <w:pPr>
        <w:spacing w:line="600" w:lineRule="exact"/>
        <w:ind w:firstLine="64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2073CBCA">
      <w:pPr>
        <w:pStyle w:val="2"/>
      </w:pPr>
    </w:p>
    <w:p w14:paraId="5768768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15"/>
          <w:rFonts w:ascii="黑体" w:hAnsi="黑体" w:eastAsia="黑体"/>
          <w:b w:val="0"/>
          <w:color w:val="auto"/>
          <w:highlight w:val="none"/>
        </w:rPr>
      </w:pPr>
      <w:bookmarkStart w:id="19" w:name="_Toc12609"/>
      <w:r>
        <w:rPr>
          <w:rStyle w:val="15"/>
          <w:rFonts w:hint="eastAsia" w:ascii="黑体" w:hAnsi="黑体" w:eastAsia="黑体"/>
          <w:b w:val="0"/>
          <w:color w:val="auto"/>
          <w:highlight w:val="none"/>
          <w:lang w:eastAsia="zh-CN"/>
        </w:rPr>
        <w:t>九、</w:t>
      </w:r>
      <w:r>
        <w:rPr>
          <w:rStyle w:val="15"/>
          <w:rFonts w:hint="eastAsia" w:ascii="黑体" w:hAnsi="黑体" w:eastAsia="黑体"/>
          <w:b w:val="0"/>
          <w:color w:val="auto"/>
          <w:highlight w:val="none"/>
        </w:rPr>
        <w:t>国有资本经营预算支出决算情况说明</w:t>
      </w:r>
      <w:bookmarkEnd w:id="19"/>
    </w:p>
    <w:p w14:paraId="470570D3">
      <w:pPr>
        <w:spacing w:line="600" w:lineRule="exact"/>
        <w:ind w:firstLine="640"/>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p>
    <w:p w14:paraId="6242E9E7">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ascii="方正小标宋简体" w:hAnsi="方正小标宋简体" w:eastAsia="方正小标宋简体" w:cs="方正小标宋简体"/>
          <w:color w:val="auto"/>
          <w:sz w:val="44"/>
          <w:szCs w:val="44"/>
          <w:highlight w:val="none"/>
        </w:rPr>
      </w:pPr>
    </w:p>
    <w:p w14:paraId="2F0DE24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15"/>
          <w:rFonts w:hint="eastAsia" w:ascii="黑体" w:hAnsi="黑体" w:eastAsia="黑体"/>
          <w:b w:val="0"/>
          <w:color w:val="auto"/>
          <w:highlight w:val="none"/>
        </w:rPr>
      </w:pPr>
      <w:bookmarkStart w:id="20" w:name="_Toc14878"/>
      <w:r>
        <w:rPr>
          <w:rStyle w:val="15"/>
          <w:rFonts w:hint="eastAsia" w:ascii="黑体" w:hAnsi="黑体" w:eastAsia="黑体"/>
          <w:b w:val="0"/>
          <w:color w:val="auto"/>
          <w:highlight w:val="none"/>
          <w:lang w:eastAsia="zh-CN"/>
        </w:rPr>
        <w:t>十、</w:t>
      </w:r>
      <w:r>
        <w:rPr>
          <w:rStyle w:val="15"/>
          <w:rFonts w:hint="eastAsia" w:ascii="黑体" w:hAnsi="黑体" w:eastAsia="黑体"/>
          <w:b w:val="0"/>
          <w:color w:val="auto"/>
          <w:highlight w:val="none"/>
        </w:rPr>
        <w:t>其他重要事项的情况说明</w:t>
      </w:r>
      <w:bookmarkEnd w:id="20"/>
    </w:p>
    <w:p w14:paraId="6F2529E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（一）机关运行经费支出情况</w:t>
      </w:r>
    </w:p>
    <w:p w14:paraId="09400B97">
      <w:pPr>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本单位</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p>
    <w:p w14:paraId="4EEF7E7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p>
    <w:p w14:paraId="25797C3D">
      <w:pPr>
        <w:spacing w:line="600" w:lineRule="exact"/>
        <w:ind w:firstLine="640" w:firstLineChars="200"/>
        <w:rPr>
          <w:rFonts w:ascii="仿宋_GB2312" w:eastAsia="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四川藏语佛学院阿坝分院</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182.28</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182.28</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仿宋_GB2312" w:eastAsia="仿宋_GB2312"/>
          <w:color w:val="auto"/>
          <w:sz w:val="32"/>
          <w:szCs w:val="32"/>
          <w:highlight w:val="none"/>
        </w:rPr>
        <w:t>主要用于</w:t>
      </w:r>
      <w:r>
        <w:rPr>
          <w:rFonts w:hint="eastAsia" w:ascii="仿宋_GB2312" w:eastAsia="仿宋_GB2312" w:cs="仿宋_GB2312"/>
          <w:kern w:val="0"/>
          <w:sz w:val="32"/>
          <w:szCs w:val="32"/>
          <w:shd w:val="clear" w:color="auto" w:fill="FFFFFF"/>
          <w:lang w:val="en-US" w:eastAsia="zh-CN" w:bidi="ar-SA"/>
        </w:rPr>
        <w:t>学院后勤服务人员劳务费以及学员外出考察学习费用等</w:t>
      </w:r>
      <w:r>
        <w:rPr>
          <w:rFonts w:hint="eastAsia" w:ascii="仿宋_GB2312" w:eastAsia="仿宋_GB2312"/>
          <w:color w:val="auto"/>
          <w:sz w:val="32"/>
          <w:szCs w:val="32"/>
          <w:highlight w:val="none"/>
        </w:rPr>
        <w:t>。授予中小企业合同金额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万元，其中：授予小微企业合同金额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p>
    <w:p w14:paraId="7FC30B0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（三）国有资产占有使用情况</w:t>
      </w:r>
    </w:p>
    <w:p w14:paraId="4604196D">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val="en-US" w:eastAsia="zh-CN"/>
        </w:rPr>
        <w:t>本单位</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eastAsia="zh-CN"/>
        </w:rPr>
        <w:t>（不含车辆）</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14:paraId="35C62413">
      <w:pPr>
        <w:spacing w:line="600" w:lineRule="exact"/>
        <w:ind w:firstLine="643" w:firstLineChars="200"/>
        <w:outlineLvl w:val="2"/>
        <w:rPr>
          <w:rFonts w:hint="eastAsia" w:ascii="Times New Roman" w:hAnsi="Times New Roman" w:eastAsia="楷体_GB2312" w:cs="楷体_GB2312"/>
          <w:b/>
          <w:color w:val="auto"/>
          <w:sz w:val="32"/>
          <w:szCs w:val="32"/>
          <w:highlight w:val="none"/>
          <w:lang w:eastAsia="zh-CN"/>
        </w:rPr>
      </w:pPr>
      <w:r>
        <w:rPr>
          <w:rFonts w:hint="eastAsia" w:ascii="Times New Roman" w:hAnsi="Times New Roman" w:eastAsia="楷体_GB2312" w:cs="楷体_GB2312"/>
          <w:b/>
          <w:color w:val="auto"/>
          <w:sz w:val="32"/>
          <w:szCs w:val="32"/>
          <w:highlight w:val="none"/>
        </w:rPr>
        <w:t>（四）预算绩效管理情况</w:t>
      </w:r>
    </w:p>
    <w:p w14:paraId="57B92F15">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w:t>
      </w:r>
      <w:r>
        <w:rPr>
          <w:rFonts w:hint="eastAsia" w:ascii="仿宋_GB2312" w:eastAsia="仿宋_GB2312" w:cs="Times New Roman"/>
          <w:color w:val="auto"/>
          <w:sz w:val="32"/>
          <w:szCs w:val="32"/>
          <w:highlight w:val="none"/>
          <w:lang w:val="en-US" w:eastAsia="zh-CN"/>
        </w:rPr>
        <w:t>4</w:t>
      </w:r>
      <w:r>
        <w:rPr>
          <w:rFonts w:hint="eastAsia" w:ascii="仿宋_GB2312" w:hAnsi="Times New Roman" w:eastAsia="仿宋_GB2312" w:cs="Times New Roman"/>
          <w:color w:val="auto"/>
          <w:sz w:val="32"/>
          <w:szCs w:val="32"/>
          <w:highlight w:val="none"/>
          <w:lang w:val="en-US" w:eastAsia="zh-CN"/>
        </w:rPr>
        <w:t>年度</w:t>
      </w:r>
      <w:r>
        <w:rPr>
          <w:rFonts w:hint="eastAsia" w:ascii="仿宋_GB2312" w:hAnsi="Times New Roman" w:eastAsia="仿宋_GB2312" w:cs="Times New Roman"/>
          <w:color w:val="auto"/>
          <w:sz w:val="32"/>
          <w:szCs w:val="32"/>
          <w:highlight w:val="none"/>
          <w:lang w:eastAsia="zh-CN"/>
        </w:rPr>
        <w:t>预算编制阶段，组织对四川藏语佛学院阿坝分院办学经费</w:t>
      </w:r>
      <w:r>
        <w:rPr>
          <w:rFonts w:hint="eastAsia" w:ascii="仿宋_GB2312" w:eastAsia="仿宋_GB2312" w:cs="Times New Roman"/>
          <w:color w:val="auto"/>
          <w:sz w:val="32"/>
          <w:szCs w:val="32"/>
          <w:highlight w:val="none"/>
          <w:lang w:val="en-US" w:eastAsia="zh-CN"/>
        </w:rPr>
        <w:t>1</w:t>
      </w:r>
      <w:r>
        <w:rPr>
          <w:rFonts w:hint="eastAsia" w:ascii="仿宋_GB2312" w:hAnsi="Times New Roman" w:eastAsia="仿宋_GB2312" w:cs="Times New Roman"/>
          <w:color w:val="auto"/>
          <w:sz w:val="32"/>
          <w:szCs w:val="32"/>
          <w:highlight w:val="none"/>
          <w:lang w:val="en-US" w:eastAsia="zh-CN"/>
        </w:rPr>
        <w:t>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eastAsia="仿宋_GB2312" w:cs="Times New Roman"/>
          <w:color w:val="auto"/>
          <w:sz w:val="32"/>
          <w:szCs w:val="32"/>
          <w:highlight w:val="none"/>
          <w:lang w:val="en-US" w:eastAsia="zh-CN"/>
        </w:rPr>
        <w:t>1</w:t>
      </w:r>
      <w:r>
        <w:rPr>
          <w:rFonts w:hint="eastAsia" w:ascii="仿宋_GB2312" w:hAnsi="Times New Roman" w:eastAsia="仿宋_GB2312" w:cs="Times New Roman"/>
          <w:color w:val="auto"/>
          <w:sz w:val="32"/>
          <w:szCs w:val="32"/>
          <w:highlight w:val="none"/>
          <w:lang w:eastAsia="zh-CN"/>
        </w:rPr>
        <w:t>个项目编制了绩效目标，预算执行过程中，选取</w:t>
      </w:r>
      <w:r>
        <w:rPr>
          <w:rFonts w:hint="eastAsia" w:ascii="仿宋_GB2312" w:eastAsia="仿宋_GB2312" w:cs="Times New Roman"/>
          <w:color w:val="auto"/>
          <w:sz w:val="32"/>
          <w:szCs w:val="32"/>
          <w:highlight w:val="none"/>
          <w:lang w:val="en-US" w:eastAsia="zh-CN"/>
        </w:rPr>
        <w:t>1</w:t>
      </w:r>
      <w:r>
        <w:rPr>
          <w:rFonts w:hint="eastAsia" w:ascii="仿宋_GB2312" w:hAnsi="Times New Roman" w:eastAsia="仿宋_GB2312" w:cs="Times New Roman"/>
          <w:color w:val="auto"/>
          <w:sz w:val="32"/>
          <w:szCs w:val="32"/>
          <w:highlight w:val="none"/>
          <w:lang w:eastAsia="zh-CN"/>
        </w:rPr>
        <w:t>个项目开展绩效监控</w:t>
      </w:r>
      <w:r>
        <w:rPr>
          <w:rFonts w:hint="eastAsia" w:ascii="仿宋_GB2312"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eastAsia="zh-CN"/>
        </w:rPr>
        <w:br w:type="page"/>
      </w:r>
    </w:p>
    <w:p w14:paraId="37878A50">
      <w:pPr>
        <w:numPr>
          <w:ilvl w:val="0"/>
          <w:numId w:val="0"/>
        </w:numPr>
        <w:spacing w:line="600" w:lineRule="exact"/>
        <w:jc w:val="center"/>
        <w:outlineLvl w:val="0"/>
        <w:rPr>
          <w:rStyle w:val="14"/>
          <w:rFonts w:ascii="黑体" w:hAnsi="黑体" w:eastAsia="黑体"/>
          <w:b w:val="0"/>
          <w:color w:val="auto"/>
          <w:highlight w:val="none"/>
        </w:rPr>
      </w:pPr>
      <w:bookmarkStart w:id="21" w:name="_Toc3040"/>
      <w:r>
        <w:rPr>
          <w:rFonts w:hint="eastAsia" w:ascii="黑体" w:hAnsi="黑体" w:eastAsia="黑体"/>
          <w:color w:val="auto"/>
          <w:sz w:val="44"/>
          <w:szCs w:val="44"/>
          <w:highlight w:val="none"/>
          <w:lang w:eastAsia="zh-CN"/>
        </w:rPr>
        <w:t>第三部分</w:t>
      </w:r>
      <w:r>
        <w:rPr>
          <w:rFonts w:hint="eastAsia" w:ascii="黑体" w:hAnsi="黑体" w:eastAsia="黑体"/>
          <w:color w:val="auto"/>
          <w:sz w:val="44"/>
          <w:szCs w:val="44"/>
          <w:highlight w:val="none"/>
          <w:lang w:val="en-US" w:eastAsia="zh-CN"/>
        </w:rPr>
        <w:t xml:space="preserve">  </w:t>
      </w:r>
      <w:r>
        <w:rPr>
          <w:rFonts w:hint="eastAsia" w:ascii="黑体" w:hAnsi="黑体" w:eastAsia="黑体"/>
          <w:color w:val="auto"/>
          <w:sz w:val="44"/>
          <w:szCs w:val="44"/>
          <w:highlight w:val="none"/>
        </w:rPr>
        <w:t>名</w:t>
      </w:r>
      <w:r>
        <w:rPr>
          <w:rStyle w:val="14"/>
          <w:rFonts w:hint="eastAsia" w:ascii="黑体" w:hAnsi="黑体" w:eastAsia="黑体"/>
          <w:b w:val="0"/>
          <w:color w:val="auto"/>
          <w:highlight w:val="none"/>
        </w:rPr>
        <w:t>词解释</w:t>
      </w:r>
      <w:bookmarkEnd w:id="21"/>
    </w:p>
    <w:p w14:paraId="553F02B4">
      <w:pPr>
        <w:spacing w:line="600" w:lineRule="exact"/>
        <w:jc w:val="left"/>
        <w:rPr>
          <w:rFonts w:ascii="宋体"/>
          <w:b/>
          <w:color w:val="auto"/>
          <w:sz w:val="44"/>
          <w:szCs w:val="44"/>
          <w:highlight w:val="none"/>
        </w:rPr>
      </w:pPr>
    </w:p>
    <w:p w14:paraId="0684A41B">
      <w:pPr>
        <w:spacing w:line="600" w:lineRule="exact"/>
        <w:ind w:firstLine="640" w:firstLineChars="200"/>
        <w:rPr>
          <w:rFonts w:ascii="仿宋_GB2312" w:eastAsia="仿宋_GB2312"/>
          <w:color w:val="auto"/>
          <w:sz w:val="32"/>
          <w:szCs w:val="32"/>
          <w:highlight w:val="none"/>
        </w:rPr>
      </w:pPr>
      <w:bookmarkStart w:id="22" w:name="_Toc26750"/>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取得的财政预算资金。</w:t>
      </w:r>
      <w:bookmarkEnd w:id="22"/>
    </w:p>
    <w:p w14:paraId="4C521F88">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14:paraId="4A0BD45B">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14:paraId="3A55B4A6">
      <w:pPr>
        <w:spacing w:line="600" w:lineRule="exact"/>
        <w:ind w:firstLine="640" w:firstLineChars="200"/>
        <w:rPr>
          <w:rFonts w:ascii="仿宋_GB2312" w:eastAsia="仿宋_GB2312"/>
          <w:color w:val="auto"/>
          <w:sz w:val="32"/>
          <w:szCs w:val="32"/>
          <w:highlight w:val="none"/>
        </w:rPr>
      </w:pPr>
      <w:bookmarkStart w:id="23" w:name="_Toc22564"/>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w:t>
      </w:r>
      <w:bookmarkEnd w:id="23"/>
      <w:r>
        <w:rPr>
          <w:rFonts w:ascii="仿宋_GB2312" w:eastAsia="仿宋_GB2312"/>
          <w:color w:val="auto"/>
          <w:sz w:val="32"/>
          <w:szCs w:val="32"/>
          <w:highlight w:val="none"/>
        </w:rPr>
        <w:t xml:space="preserve"> </w:t>
      </w:r>
    </w:p>
    <w:p w14:paraId="1E2543DB">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hAnsi="华文中宋" w:eastAsia="仿宋_GB2312"/>
          <w:sz w:val="32"/>
          <w:szCs w:val="32"/>
          <w:u w:val="none"/>
          <w:lang w:eastAsia="zh-CN"/>
        </w:rPr>
        <w:t>使用非财政拨款结余（含专用结余）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14:paraId="2CCAE862">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14:paraId="7667415E">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14:paraId="1A6097E7">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年末结转和结余：指单位按有关规定结转到下年或以后年度继续使用的资金。</w:t>
      </w:r>
    </w:p>
    <w:p w14:paraId="700205B1">
      <w:pPr>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9.一般公共服务支出（类）统战事务（款）宗教事务（项）：反映用于宗教事务管理方面的支出。</w:t>
      </w:r>
    </w:p>
    <w:p w14:paraId="5E68DED5">
      <w:pPr>
        <w:ind w:firstLine="640" w:firstLineChars="200"/>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10.</w:t>
      </w:r>
      <w:r>
        <w:rPr>
          <w:rFonts w:hint="default" w:ascii="仿宋_GB2312" w:eastAsia="仿宋_GB2312"/>
          <w:color w:val="auto"/>
          <w:sz w:val="32"/>
          <w:szCs w:val="32"/>
          <w:highlight w:val="none"/>
          <w:lang w:val="en-US" w:eastAsia="zh-CN"/>
        </w:rPr>
        <w:t>一般公共服务支出（类）统战事务（款）事业运行（项）：反映事业单位的基本支出，不包括行政单位(包括实行公务  员管理的事业单位)后勤服务中心、医务室等附属事业单位。</w:t>
      </w:r>
    </w:p>
    <w:p w14:paraId="4190876A">
      <w:pPr>
        <w:ind w:firstLine="640" w:firstLineChars="200"/>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11.一般公共服务支出（类）统战事务（款）其他统战事务支出（项）：反映除上述项目以外其他用于中国共产党统战部门的事务支出。</w:t>
      </w:r>
    </w:p>
    <w:p w14:paraId="11ADE396">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12</w:t>
      </w:r>
      <w:r>
        <w:rPr>
          <w:rFonts w:ascii="仿宋_GB2312" w:eastAsia="仿宋_GB2312"/>
          <w:color w:val="auto"/>
          <w:sz w:val="32"/>
          <w:szCs w:val="32"/>
          <w:highlight w:val="none"/>
        </w:rPr>
        <w:t>.</w:t>
      </w:r>
      <w:r>
        <w:rPr>
          <w:rFonts w:hint="eastAsia" w:ascii="仿宋_GB2312" w:eastAsia="仿宋_GB2312"/>
          <w:color w:val="auto"/>
          <w:sz w:val="32"/>
          <w:szCs w:val="32"/>
          <w:highlight w:val="none"/>
        </w:rPr>
        <w:t>社会保障和就业支出（类）行政事业单位养老支出（款）机关事业单位基本养老保险缴费支出（项）</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 xml:space="preserve"> </w:t>
      </w:r>
      <w:r>
        <w:rPr>
          <w:rFonts w:hint="eastAsia" w:ascii="仿宋_GB2312" w:eastAsia="仿宋_GB2312"/>
          <w:color w:val="auto"/>
          <w:sz w:val="32"/>
          <w:szCs w:val="32"/>
          <w:highlight w:val="none"/>
          <w:lang w:val="en-US" w:eastAsia="zh-CN"/>
        </w:rPr>
        <w:t>指</w:t>
      </w:r>
      <w:r>
        <w:rPr>
          <w:rFonts w:hint="eastAsia" w:ascii="仿宋_GB2312" w:eastAsia="仿宋_GB2312"/>
          <w:color w:val="auto"/>
          <w:sz w:val="32"/>
          <w:szCs w:val="32"/>
          <w:highlight w:val="none"/>
        </w:rPr>
        <w:t>反映机关事业单位实施养老保险制度由单位缴纳的基本养老 保险费支出。</w:t>
      </w:r>
    </w:p>
    <w:p w14:paraId="5D06F62D">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13</w:t>
      </w:r>
      <w:r>
        <w:rPr>
          <w:rFonts w:hint="eastAsia" w:ascii="仿宋_GB2312" w:eastAsia="仿宋_GB2312"/>
          <w:color w:val="auto"/>
          <w:sz w:val="32"/>
          <w:szCs w:val="32"/>
          <w:highlight w:val="none"/>
        </w:rPr>
        <w:t>.社会保障和就业支出（类）行政事业单位养老支出（款）机关事业单位职业年金缴费支出（项）</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 xml:space="preserve"> </w:t>
      </w:r>
      <w:r>
        <w:rPr>
          <w:rFonts w:hint="eastAsia" w:ascii="仿宋_GB2312" w:eastAsia="仿宋_GB2312"/>
          <w:color w:val="auto"/>
          <w:sz w:val="32"/>
          <w:szCs w:val="32"/>
          <w:highlight w:val="none"/>
          <w:lang w:val="en-US" w:eastAsia="zh-CN"/>
        </w:rPr>
        <w:t>指反映机关事业单位实施养老保险制度由单位实际缴纳的职业 年金支出</w:t>
      </w:r>
      <w:r>
        <w:rPr>
          <w:rFonts w:hint="eastAsia" w:ascii="仿宋_GB2312" w:eastAsia="仿宋_GB2312"/>
          <w:color w:val="auto"/>
          <w:sz w:val="32"/>
          <w:szCs w:val="32"/>
          <w:highlight w:val="none"/>
        </w:rPr>
        <w:t>。</w:t>
      </w:r>
    </w:p>
    <w:p w14:paraId="012E6B12">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14</w:t>
      </w:r>
      <w:r>
        <w:rPr>
          <w:rFonts w:hint="eastAsia" w:ascii="仿宋_GB2312" w:eastAsia="仿宋_GB2312"/>
          <w:color w:val="auto"/>
          <w:sz w:val="32"/>
          <w:szCs w:val="32"/>
          <w:highlight w:val="none"/>
        </w:rPr>
        <w:t>.卫生健康支出（类）行政事业单位医疗（款）事业单位医疗（项）</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 xml:space="preserve"> </w:t>
      </w:r>
      <w:r>
        <w:rPr>
          <w:rFonts w:hint="eastAsia" w:ascii="仿宋_GB2312" w:eastAsia="仿宋_GB2312"/>
          <w:color w:val="auto"/>
          <w:sz w:val="32"/>
          <w:szCs w:val="32"/>
          <w:highlight w:val="none"/>
          <w:lang w:val="en-US" w:eastAsia="zh-CN"/>
        </w:rPr>
        <w:t>指</w:t>
      </w:r>
      <w:r>
        <w:rPr>
          <w:rFonts w:hint="eastAsia" w:ascii="仿宋_GB2312" w:eastAsia="仿宋_GB2312"/>
          <w:color w:val="auto"/>
          <w:sz w:val="32"/>
          <w:szCs w:val="32"/>
          <w:highlight w:val="none"/>
        </w:rPr>
        <w:t>反映财政部门安排的事业单位基本医疗保险缴费经费，未参 加医疗保险的事业单位的公费医疗经费，按国家规定享受离休 人员待遇的医疗经费。</w:t>
      </w:r>
    </w:p>
    <w:p w14:paraId="02AAF62D">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15</w:t>
      </w:r>
      <w:r>
        <w:rPr>
          <w:rFonts w:hint="eastAsia" w:ascii="仿宋_GB2312" w:eastAsia="仿宋_GB2312"/>
          <w:color w:val="auto"/>
          <w:sz w:val="32"/>
          <w:szCs w:val="32"/>
          <w:highlight w:val="none"/>
        </w:rPr>
        <w:t>.卫生健康支出（类）行政事业单位医疗（款）其他行政事业单位医疗支出（项）</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指</w:t>
      </w:r>
      <w:r>
        <w:rPr>
          <w:rFonts w:hint="eastAsia" w:ascii="仿宋_GB2312" w:eastAsia="仿宋_GB2312"/>
          <w:color w:val="auto"/>
          <w:sz w:val="32"/>
          <w:szCs w:val="32"/>
          <w:highlight w:val="none"/>
        </w:rPr>
        <w:t>反映除上述项目以外的其他用于行政事业单位医疗方面的 支 出。</w:t>
      </w:r>
    </w:p>
    <w:p w14:paraId="775F60A9">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16.</w:t>
      </w:r>
      <w:r>
        <w:rPr>
          <w:rFonts w:hint="eastAsia" w:ascii="仿宋_GB2312" w:eastAsia="仿宋_GB2312"/>
          <w:color w:val="auto"/>
          <w:sz w:val="32"/>
          <w:szCs w:val="32"/>
          <w:highlight w:val="none"/>
        </w:rPr>
        <w:t>住房保障支出（类）住房改革支出（款）住房公积金（项）</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指</w:t>
      </w:r>
      <w:r>
        <w:rPr>
          <w:rFonts w:hint="eastAsia" w:ascii="仿宋_GB2312" w:eastAsia="仿宋_GB2312"/>
          <w:color w:val="auto"/>
          <w:sz w:val="32"/>
          <w:szCs w:val="32"/>
          <w:highlight w:val="none"/>
        </w:rPr>
        <w:t>反映行政事业单位按人力资源和社会保障部、财政部规定的 基本工资和津贴补贴以及规定比例为职工缴纳的住房公积金。</w:t>
      </w:r>
    </w:p>
    <w:p w14:paraId="6B498CB0">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ascii="仿宋_GB2312" w:eastAsia="仿宋_GB2312"/>
          <w:color w:val="auto"/>
          <w:sz w:val="32"/>
          <w:szCs w:val="32"/>
          <w:highlight w:val="none"/>
        </w:rPr>
        <w:t>7.</w:t>
      </w:r>
      <w:r>
        <w:rPr>
          <w:rFonts w:hint="eastAsia" w:ascii="仿宋_GB2312" w:eastAsia="仿宋_GB2312"/>
          <w:color w:val="auto"/>
          <w:sz w:val="32"/>
          <w:szCs w:val="32"/>
          <w:highlight w:val="none"/>
        </w:rPr>
        <w:t>基本支出：指为保障机构正常运转、完成日常工作任务而发生的人员支出和公用支出。</w:t>
      </w:r>
    </w:p>
    <w:p w14:paraId="17F86BB5">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ascii="仿宋_GB2312" w:eastAsia="仿宋_GB2312"/>
          <w:color w:val="auto"/>
          <w:sz w:val="32"/>
          <w:szCs w:val="32"/>
          <w:highlight w:val="none"/>
        </w:rPr>
        <w:t>8.</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48A5B201">
      <w:pPr>
        <w:pStyle w:val="17"/>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w:t>
      </w:r>
      <w:r>
        <w:rPr>
          <w:rFonts w:ascii="仿宋_GB2312" w:eastAsia="仿宋_GB2312"/>
          <w:color w:val="auto"/>
          <w:sz w:val="32"/>
          <w:szCs w:val="32"/>
          <w:highlight w:val="none"/>
        </w:rPr>
        <w:t>0.</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CC9480">
      <w:pPr>
        <w:pStyle w:val="17"/>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w:t>
      </w:r>
      <w:r>
        <w:rPr>
          <w:rFonts w:ascii="仿宋_GB2312" w:eastAsia="仿宋_GB2312"/>
          <w:color w:val="auto"/>
          <w:sz w:val="32"/>
          <w:szCs w:val="32"/>
          <w:highlight w:val="none"/>
        </w:rPr>
        <w:t>1.</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0E5DE34">
      <w:pPr>
        <w:spacing w:line="600" w:lineRule="exact"/>
        <w:jc w:val="center"/>
        <w:outlineLvl w:val="0"/>
        <w:rPr>
          <w:rFonts w:hint="eastAsia" w:hAnsi="Calibri" w:cs="仿宋"/>
          <w:color w:val="auto"/>
          <w:kern w:val="0"/>
          <w:sz w:val="32"/>
          <w:szCs w:val="32"/>
          <w:highlight w:val="none"/>
          <w:lang w:val="en-US" w:eastAsia="zh-CN" w:bidi="ar-SA"/>
        </w:rPr>
      </w:pPr>
      <w:r>
        <w:rPr>
          <w:rFonts w:ascii="宋体"/>
          <w:b/>
          <w:color w:val="auto"/>
          <w:sz w:val="44"/>
          <w:szCs w:val="44"/>
          <w:highlight w:val="none"/>
        </w:rPr>
        <w:br w:type="page"/>
      </w:r>
      <w:bookmarkStart w:id="24" w:name="_Toc18208"/>
      <w:r>
        <w:rPr>
          <w:rFonts w:hint="eastAsia" w:ascii="黑体" w:hAnsi="黑体" w:eastAsia="黑体"/>
          <w:color w:val="auto"/>
          <w:sz w:val="44"/>
          <w:szCs w:val="44"/>
          <w:highlight w:val="none"/>
        </w:rPr>
        <w:t>第</w:t>
      </w:r>
      <w:r>
        <w:rPr>
          <w:rStyle w:val="14"/>
          <w:rFonts w:hint="eastAsia" w:ascii="黑体" w:hAnsi="黑体" w:eastAsia="黑体"/>
          <w:b w:val="0"/>
          <w:color w:val="auto"/>
          <w:highlight w:val="none"/>
        </w:rPr>
        <w:t>四部分 附件</w:t>
      </w:r>
      <w:bookmarkEnd w:id="24"/>
    </w:p>
    <w:p w14:paraId="29DED465">
      <w:pPr>
        <w:pStyle w:val="7"/>
        <w:rPr>
          <w:rFonts w:hint="eastAsia" w:hAnsi="Calibri" w:cs="仿宋"/>
          <w:color w:val="auto"/>
          <w:kern w:val="0"/>
          <w:sz w:val="32"/>
          <w:szCs w:val="32"/>
          <w:highlight w:val="none"/>
          <w:lang w:val="en-US" w:eastAsia="zh-CN" w:bidi="ar-SA"/>
        </w:rPr>
      </w:pPr>
    </w:p>
    <w:p w14:paraId="155181AF">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3E61A6A9">
      <w:pPr>
        <w:keepNext w:val="0"/>
        <w:keepLines w:val="0"/>
        <w:pageBreakBefore w:val="0"/>
        <w:widowControl/>
        <w:kinsoku/>
        <w:wordWrap/>
        <w:overflowPunct/>
        <w:topLinePunct w:val="0"/>
        <w:autoSpaceDE/>
        <w:autoSpaceDN/>
        <w:bidi w:val="0"/>
        <w:spacing w:line="578" w:lineRule="exact"/>
        <w:contextualSpacing/>
        <w:jc w:val="center"/>
        <w:textAlignment w:val="auto"/>
        <w:outlineLvl w:val="0"/>
        <w:rPr>
          <w:rFonts w:hint="default" w:ascii="Times New Roman" w:hAnsi="Times New Roman" w:eastAsia="方正小标宋简体" w:cs="Times New Roman"/>
          <w:b w:val="0"/>
          <w:bCs/>
          <w:sz w:val="44"/>
          <w:szCs w:val="44"/>
          <w:highlight w:val="none"/>
          <w:shd w:val="clear" w:color="auto" w:fill="FFFFFF"/>
          <w:lang w:val="en-US" w:eastAsia="zh-CN"/>
        </w:rPr>
      </w:pPr>
      <w:r>
        <w:rPr>
          <w:rFonts w:hint="eastAsia" w:hAnsi="Calibri" w:cs="仿宋"/>
          <w:color w:val="auto"/>
          <w:kern w:val="0"/>
          <w:sz w:val="32"/>
          <w:szCs w:val="32"/>
          <w:highlight w:val="none"/>
          <w:lang w:val="en-US" w:eastAsia="zh-CN" w:bidi="ar-SA"/>
        </w:rPr>
        <w:t xml:space="preserve"> </w:t>
      </w:r>
      <w:r>
        <w:rPr>
          <w:rFonts w:hint="eastAsia" w:eastAsia="方正小标宋简体" w:cs="Times New Roman"/>
          <w:b w:val="0"/>
          <w:bCs/>
          <w:sz w:val="44"/>
          <w:szCs w:val="44"/>
          <w:highlight w:val="none"/>
          <w:shd w:val="clear" w:color="auto" w:fill="FFFFFF"/>
          <w:lang w:val="en-US" w:eastAsia="zh-CN"/>
        </w:rPr>
        <w:t>四川藏语佛学院阿坝分院</w:t>
      </w:r>
    </w:p>
    <w:p w14:paraId="6A6BB882">
      <w:pPr>
        <w:keepNext w:val="0"/>
        <w:keepLines w:val="0"/>
        <w:pageBreakBefore w:val="0"/>
        <w:widowControl/>
        <w:kinsoku/>
        <w:wordWrap/>
        <w:overflowPunct/>
        <w:topLinePunct w:val="0"/>
        <w:autoSpaceDE/>
        <w:autoSpaceDN/>
        <w:bidi w:val="0"/>
        <w:spacing w:line="578" w:lineRule="exact"/>
        <w:contextualSpacing/>
        <w:jc w:val="center"/>
        <w:textAlignment w:val="auto"/>
        <w:outlineLvl w:val="0"/>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eastAsia="方正小标宋简体" w:cs="Times New Roman"/>
          <w:b w:val="0"/>
          <w:bCs/>
          <w:sz w:val="44"/>
          <w:szCs w:val="44"/>
          <w:highlight w:val="none"/>
          <w:shd w:val="clear" w:color="auto" w:fill="FFFFFF"/>
          <w:lang w:val="en-US" w:eastAsia="zh-CN"/>
        </w:rPr>
        <w:t>自评</w:t>
      </w:r>
      <w:r>
        <w:rPr>
          <w:rFonts w:hint="default" w:ascii="Times New Roman" w:hAnsi="Times New Roman" w:eastAsia="方正小标宋简体" w:cs="Times New Roman"/>
          <w:b w:val="0"/>
          <w:bCs/>
          <w:sz w:val="44"/>
          <w:szCs w:val="44"/>
          <w:highlight w:val="none"/>
          <w:shd w:val="clear" w:color="auto" w:fill="FFFFFF"/>
        </w:rPr>
        <w:t>报告</w:t>
      </w:r>
    </w:p>
    <w:p w14:paraId="1C4FDC7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sz w:val="32"/>
          <w:szCs w:val="32"/>
        </w:rPr>
      </w:pPr>
    </w:p>
    <w:p w14:paraId="6442AA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一、部门（单位）基本情况</w:t>
      </w:r>
    </w:p>
    <w:p w14:paraId="5125DB9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i w:val="0"/>
          <w:iCs w:val="0"/>
          <w:sz w:val="32"/>
          <w:szCs w:val="32"/>
        </w:rPr>
        <w:t>（一）机构组成。</w:t>
      </w:r>
      <w:r>
        <w:rPr>
          <w:rFonts w:hint="default" w:ascii="Times New Roman" w:hAnsi="Times New Roman" w:eastAsia="方正仿宋_GBK" w:cs="Times New Roman"/>
          <w:sz w:val="32"/>
          <w:szCs w:val="32"/>
        </w:rPr>
        <w:t>四川藏语佛学院阿坝分院举办单位为阿坝州委统战部，开办资金1166万元；属公益一类事业单位，预算级次为二级预算单位。单位内设7个职能科（室）：办公室、教务科、培训科、学员管理科、后勤科、财务科、研究室。</w:t>
      </w:r>
    </w:p>
    <w:p w14:paraId="13BF722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i w:val="0"/>
          <w:iCs w:val="0"/>
          <w:sz w:val="32"/>
          <w:szCs w:val="32"/>
        </w:rPr>
        <w:t>（二）机构职能。</w:t>
      </w:r>
      <w:r>
        <w:rPr>
          <w:rFonts w:hint="default" w:ascii="Times New Roman" w:hAnsi="Times New Roman" w:eastAsia="方正仿宋_GBK" w:cs="Times New Roman"/>
          <w:sz w:val="32"/>
          <w:szCs w:val="32"/>
        </w:rPr>
        <w:t>四川藏语佛学院阿坝分院负责贯彻和落实党和国家民族宗教政策；管理学院事务，主要负责藏传佛教界人士学历教学和教育培训；承担藏传佛教学衔授予，承担藏传佛教文化研究，承接涉藏干部培训任务等工作。接受州统战、民宗部门和佛协的业务指导；培养爱国守法、持戒精修、能与社会主义社会相适应的僧尼；承办州委、州政府交办事项。</w:t>
      </w:r>
    </w:p>
    <w:p w14:paraId="03D065D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i w:val="0"/>
          <w:iCs w:val="0"/>
          <w:sz w:val="32"/>
          <w:szCs w:val="32"/>
        </w:rPr>
        <w:t>（三）人员概况。</w:t>
      </w:r>
      <w:r>
        <w:rPr>
          <w:rFonts w:hint="default" w:ascii="Times New Roman" w:hAnsi="Times New Roman" w:eastAsia="方正仿宋_GBK" w:cs="Times New Roman"/>
          <w:sz w:val="32"/>
          <w:szCs w:val="32"/>
        </w:rPr>
        <w:t>截至2024年末，本单位核定事业编制30名，共有在职人员20人。其中党委书记、第一副院长1名，党委委员、副院长2人名，正科级3名，副科级6名，事业管理九级8名。</w:t>
      </w:r>
    </w:p>
    <w:p w14:paraId="6A5F17C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二、部门资金收支情况</w:t>
      </w:r>
    </w:p>
    <w:p w14:paraId="59E2C0E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方正仿宋_GBK" w:cs="Times New Roman"/>
          <w:sz w:val="32"/>
          <w:szCs w:val="32"/>
          <w:lang w:eastAsia="zh-CN"/>
        </w:rPr>
      </w:pPr>
      <w:r>
        <w:rPr>
          <w:rFonts w:hint="default" w:ascii="方正楷体_GBK" w:hAnsi="方正楷体_GBK" w:eastAsia="方正楷体_GBK" w:cs="方正楷体_GBK"/>
          <w:b/>
          <w:bCs/>
          <w:i w:val="0"/>
          <w:iCs w:val="0"/>
          <w:sz w:val="32"/>
          <w:szCs w:val="32"/>
        </w:rPr>
        <w:t>（一）收入情况。</w:t>
      </w:r>
      <w:r>
        <w:rPr>
          <w:rFonts w:hint="default" w:ascii="Times New Roman" w:hAnsi="Times New Roman" w:eastAsia="方正仿宋_GBK" w:cs="Times New Roman"/>
          <w:sz w:val="32"/>
          <w:szCs w:val="32"/>
        </w:rPr>
        <w:t>本单位2024年年初预算收入1517万元，决算报表收入1291.07万元。其中：一般公共预算拨款收入1291.07万元，占总收入的100%；其他收入0万元,上年结转0万元</w:t>
      </w:r>
      <w:r>
        <w:rPr>
          <w:rFonts w:hint="eastAsia" w:ascii="Times New Roman" w:hAnsi="Times New Roman" w:eastAsia="方正仿宋_GBK" w:cs="Times New Roman"/>
          <w:sz w:val="32"/>
          <w:szCs w:val="32"/>
          <w:lang w:eastAsia="zh-CN"/>
        </w:rPr>
        <w:t>。</w:t>
      </w:r>
    </w:p>
    <w:p w14:paraId="7E70E51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i w:val="0"/>
          <w:iCs w:val="0"/>
          <w:sz w:val="32"/>
          <w:szCs w:val="32"/>
        </w:rPr>
        <w:t>（二）支出情况。</w:t>
      </w:r>
      <w:r>
        <w:rPr>
          <w:rFonts w:hint="default" w:ascii="Times New Roman" w:hAnsi="Times New Roman" w:eastAsia="方正仿宋_GBK" w:cs="Times New Roman"/>
          <w:sz w:val="32"/>
          <w:szCs w:val="32"/>
        </w:rPr>
        <w:t>本单位2024年年初预算支出1517万元，决算报表支出1291.07万元。其中：基本支出471.31万元，占总支出的36.51%；项目支出819.76万元，占63.49%。</w:t>
      </w:r>
    </w:p>
    <w:p w14:paraId="76FB7EF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i w:val="0"/>
          <w:iCs w:val="0"/>
          <w:sz w:val="32"/>
          <w:szCs w:val="32"/>
        </w:rPr>
        <w:t>（三）结余分配和结转结余情况。</w:t>
      </w:r>
      <w:r>
        <w:rPr>
          <w:rFonts w:hint="default" w:ascii="Times New Roman" w:hAnsi="Times New Roman" w:eastAsia="方正仿宋_GBK" w:cs="Times New Roman"/>
          <w:sz w:val="32"/>
          <w:szCs w:val="32"/>
        </w:rPr>
        <w:t>本单位2024年度无结转结余。</w:t>
      </w:r>
    </w:p>
    <w:p w14:paraId="7EFE721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三、部门预算绩效分析</w:t>
      </w:r>
    </w:p>
    <w:p w14:paraId="2A3FFA4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i w:val="0"/>
          <w:iCs w:val="0"/>
          <w:sz w:val="32"/>
          <w:szCs w:val="32"/>
        </w:rPr>
        <w:t>（一）部门预算总体绩效分析。</w:t>
      </w:r>
      <w:r>
        <w:rPr>
          <w:rFonts w:hint="default" w:ascii="Times New Roman" w:hAnsi="Times New Roman" w:eastAsia="方正仿宋_GBK" w:cs="Times New Roman"/>
          <w:sz w:val="32"/>
          <w:szCs w:val="32"/>
        </w:rPr>
        <w:t>部门预算总体绩效指标分值65分，得分57.6分，得分率89%。下设5个二级指标、16个三级指标。二级指标依次包括履职效能、预算管理、财务管理、资产管理、采购管理，绩效分析如下：</w:t>
      </w:r>
    </w:p>
    <w:p w14:paraId="03DBABB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1.履职效能。</w:t>
      </w:r>
    </w:p>
    <w:p w14:paraId="0B1C8EE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（1）藏传佛教界人士初级学衔教育履职效果分析。</w:t>
      </w:r>
      <w:r>
        <w:rPr>
          <w:rFonts w:hint="default" w:ascii="Times New Roman" w:hAnsi="Times New Roman" w:eastAsia="方正仿宋_GBK" w:cs="Times New Roman"/>
          <w:sz w:val="32"/>
          <w:szCs w:val="32"/>
        </w:rPr>
        <w:t>2024年开设4个学衔班，共有学员96名。坚持将凝聚政治共识作为公共课程设置的主要目标，将深化法治思维作为基础课程设置的第一要务，将精典教义作为专业课程设置的基本原则，聘请专业老师讲授的《苯教专业课》、《格鲁专业课》、《宁玛专业课》、《汉语文》、《爱国主义教育》等课程做到了政治理解深、政策把握准、法律宣讲精，已经成为引起学员广泛共鸣的精品课程。</w:t>
      </w:r>
    </w:p>
    <w:p w14:paraId="2840C3B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（2）藏传佛教学衔授予履职效果分析。</w:t>
      </w:r>
      <w:r>
        <w:rPr>
          <w:rFonts w:hint="default" w:ascii="Times New Roman" w:hAnsi="Times New Roman" w:eastAsia="方正仿宋_GBK" w:cs="Times New Roman"/>
          <w:sz w:val="32"/>
          <w:szCs w:val="32"/>
        </w:rPr>
        <w:t>2024年本单位根据既定学衔教育教学安排，对照年度教学任务开展教学工作，加强教学全过程监管，压实任课教师责任，强化教学成果督导，建立健全教学管理制度，学衔教育工作平稳推进，学员成绩实现大幅提升。一是大力开展宣传，完成招生任务。深入全州各县（市）觉囊派寺庙开展招生宣传，从严组织考生报名、政审、考试等工作，2024年新招录初级学衔觉囊班学员22名并于9月正式启动教学。截至2024年底，全院共有初级学衔班4个，在校学员96名，其中2022级格鲁班学员30名、2022级苯教班学员24名、2023级宁玛班学员20名、2024级觉囊班学员22名。</w:t>
      </w:r>
    </w:p>
    <w:p w14:paraId="77DC22A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本单位以上工作任务完成情况良好，该指标分值15分，得分15分，得分率100.00%。</w:t>
      </w:r>
    </w:p>
    <w:p w14:paraId="46A15DE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2.预算管理。</w:t>
      </w:r>
    </w:p>
    <w:p w14:paraId="4320A6F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（1）预算编制质量</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根据本单位2024年度决算报表，财政拨款年初预算数为全年预算数为1517万元，预算调整数为-219.93万元，预算执行数为1291.07万元，财政拨款预算偏离度=（决算数－年初预算数）/年初预算数*100%=（1291.07-1517）/1517=-14.89%。资产配置预算偏离度为0；政府采购预算偏离度为0。指标得分=（1-财政拨款预算偏离度）×100%×4+（1-资产配置预算偏离度）×100%×2+（1-政府采购预算偏离度）×100%×2=5.85分。该指标分值8分，得分5.85分，得分率73.13%。</w:t>
      </w:r>
    </w:p>
    <w:p w14:paraId="7772383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（2）单位收入统筹</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2024年本单位自有收入全年执行数为0万元，自有收入年初预算数为0万元。根据评分标准，该项指标分值4分，得4分，得分率100%。</w:t>
      </w:r>
    </w:p>
    <w:p w14:paraId="18CC10D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（3）支出执行进度</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根据1-6月可执行情况表，本单位1至6月预算执行率为77.91%。根据1-10月可执行情况表，本单位1至10月预算执行率为99.05%。根据评分标准，该指标分值6分，得分6分，得分率100%。</w:t>
      </w:r>
    </w:p>
    <w:p w14:paraId="1E90005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（4）预算年终结余</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根据决算报表，本单位预算总金额为1291.07万元，决算支出1291.07万元，年终部门预算注销金额为0万元，结转金额为0万元，合计0万元，占比为0。根据评分标准，该指标分值2分，得分2分，得分率100%。</w:t>
      </w:r>
    </w:p>
    <w:p w14:paraId="4027C31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（5）严控一般性支出</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三公”经费、差旅费、办公经费等一般性支出财政拨款预算执行数较2023年度财政拨款预算执行数有所增加，主要原因系我单位为新设立不久单位，且人员较上年有所增加。根据评分标准，该指标分值5分，得分0分，得分率0%。</w:t>
      </w:r>
    </w:p>
    <w:p w14:paraId="29C3BCC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3.财务管理。</w:t>
      </w:r>
    </w:p>
    <w:p w14:paraId="27D5200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（1）财务管理制度</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我单位制定了内部财务管理制度等制度机制，并建立了《财务管理制度》、《财务报销审批管理办法》等制度，财务相关制度健全。根据评分标准，该指标分值4分，得分4分，得分率100%。</w:t>
      </w:r>
    </w:p>
    <w:p w14:paraId="428D71A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（2）财务岗位设置</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本单位建立了《财务管理制度》，部门财务岗位设置是否符合相关财务管理制度要求，并严格实行不相容岗位分离，岗位间职责清晰。根据评分标准，该指标分值2分，得分2分，得分率100%。</w:t>
      </w:r>
    </w:p>
    <w:p w14:paraId="403095A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（3）资金使用规范</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资金使用符合国家财经法规和财务管理制度及有关专项资金管理办法规定；资金拨付有完整的审批程序和手续；不存在存在截留、挤占、挪用、虚列支出等情况。根据评分标准，该指标分值4分，得分4分，得分率100%。</w:t>
      </w:r>
    </w:p>
    <w:p w14:paraId="0484A48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4.资产管理。</w:t>
      </w:r>
    </w:p>
    <w:p w14:paraId="13DCAFD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（1）人均资产变化率</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根据决算报表和国有资产年报表，本单位2023年末实有人数为20人，固定资产和无形资产净值合计190.74万元；根据决算报表和国有资产年报表，2024年末实有人数为20人，固定资产和无形资产净值合计233.27万元。根据评价标准，本单位2023年人均占有资产=190.74/20=9.54（万元/人），2024年人均占有资产=233.27/20=11.66（万元/人），2024年本单位人均资产变化率=(11.66-9.54)/9.54=22.22%。本单位2024年人均资产增加的原因系我单位为新设立不久的单位，应学院发展需求2024年相应完善了办公和教学设备，以及图书馆图书采购等，变化原因合理。根据评分标准，该指标分值3分，得分3分，得分率100%。</w:t>
      </w:r>
    </w:p>
    <w:p w14:paraId="0BAC293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（2）资产利用率</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根据资产存量明细查询表，本单位办公家具均未超最低使用年限。根据资产存量明细查询表，本单位2024年超最低使用年限办公设备均已全额折旧，账面价值为0万元。根据评分标准，该指标分值3分，得分3分，得分率100%。</w:t>
      </w:r>
    </w:p>
    <w:p w14:paraId="2CA36EA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（3）资产盘活率</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根据资产管理系统和国有资产报表，本单位2024年无闲置资产；2023年度也无闲置资产。本单位两年均无闲置资产。根据评分标准，该指标分值3分，得分3分，得分率100%。</w:t>
      </w:r>
    </w:p>
    <w:p w14:paraId="25E1844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5.采购管理。</w:t>
      </w:r>
    </w:p>
    <w:p w14:paraId="69B6E2E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rPr>
        <w:t>（1）支持中小企业发展</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严格执行政府采购促进中小企业发展相关管理办法，采用部门集中采购的形式进行采购，已预留采购份额专门面向中小企业采购，并在采购预算中单独列示。根据评分标准，该指标分值3分，得分3分，得分率100%。</w:t>
      </w:r>
      <w:r>
        <w:rPr>
          <w:rFonts w:hint="eastAsia" w:ascii="Times New Roman" w:hAnsi="Times New Roman" w:eastAsia="方正仿宋_GBK" w:cs="Times New Roman"/>
          <w:sz w:val="32"/>
          <w:szCs w:val="32"/>
          <w:lang w:val="en-US" w:eastAsia="zh-CN"/>
        </w:rPr>
        <w:t xml:space="preserve">  </w:t>
      </w:r>
    </w:p>
    <w:p w14:paraId="573321F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（2）采购执行率</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根据本单位政府采购情况表和决算报表，本单位2024年政府采购实际支付金额为182.28万元，2024年政府采购预算为186.96万元。产生节约金额4.68万元。指标得分=当年政府采购实际支付总金额÷（当年政府采购总预算数-当年已完成采购项目节约金额）×100%×3=182.28÷（186.96-4.68）=3分。</w:t>
      </w:r>
    </w:p>
    <w:p w14:paraId="22284427">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根据评分标准，该指标分值3分，得分3分，得分率100%。</w:t>
      </w:r>
    </w:p>
    <w:p w14:paraId="129441F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i w:val="0"/>
          <w:iCs w:val="0"/>
          <w:sz w:val="32"/>
          <w:szCs w:val="32"/>
        </w:rPr>
        <w:t>（二）部门预算项目绩效分析。</w:t>
      </w:r>
      <w:r>
        <w:rPr>
          <w:rFonts w:hint="default" w:ascii="Times New Roman" w:hAnsi="Times New Roman" w:eastAsia="方正仿宋_GBK" w:cs="Times New Roman"/>
          <w:sz w:val="32"/>
          <w:szCs w:val="32"/>
        </w:rPr>
        <w:t>部门预算总体绩效指标分值35分，得分35分，得分率100%。下设3个二级指标、9个三级指标。二级指标依次包括项目决策、项目执行、目标实现，绩效分析如下：常年项目绩效分析。该类项目总数1个，涉及预算总金额819.76万元，1—12月预算执行总体进度为100%，其中：预算结余率大于10%的项目共计0个。</w:t>
      </w:r>
    </w:p>
    <w:p w14:paraId="031BA17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1.项目决策。</w:t>
      </w:r>
    </w:p>
    <w:p w14:paraId="77984B5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（1）决策程序</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本单位部门预算项目设立均按规定履行了评估论证、申报程序。并经集体决议后上报。根据评分标准，该指标分值4分，得分4分，得分率100%。</w:t>
      </w:r>
    </w:p>
    <w:p w14:paraId="4D299BC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（2）目标设置</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本单位预算阶段项目无绩效目标与计划期内的任务量、预算安排不相匹配的部门预算阶段项目。项目绩效目标设置较为科学合理。根据评分标准，该指标分值4分，得分4分，得分率100%。</w:t>
      </w:r>
    </w:p>
    <w:p w14:paraId="43B36C8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（3）项目入库</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本单位2024年部门预算项目均在规定时间完成项目入库。根据评分标准，该指标分值4分，得分4分，得分率100%。</w:t>
      </w:r>
    </w:p>
    <w:p w14:paraId="48C2C7D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2.项目执行。</w:t>
      </w:r>
    </w:p>
    <w:p w14:paraId="7BD9C73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（1）执行同向</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本单位2024年部门预算项目实际列支内容与绩效目标设置方向相符。根据评分标准，该指标分值4分，得分4分，得分率100%。</w:t>
      </w:r>
    </w:p>
    <w:p w14:paraId="5F903BB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（2）项目调整</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本单位2024年应采取收回预算、调整目标等处置措施的部门预算项目均按程序进行预算收回和目标调整。</w:t>
      </w:r>
    </w:p>
    <w:p w14:paraId="1AEB5B92">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根据评分标准，该指标分值4分，得分4分，得分率100%。</w:t>
      </w:r>
    </w:p>
    <w:p w14:paraId="4602D80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（3）执行结果</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本单位2024年部门预算项目预算执行情况较好，预算项目预算结余率均小于10%。根据评分标准，该指标分值4分，得分4分，得分率100%。</w:t>
      </w:r>
    </w:p>
    <w:p w14:paraId="797F1A4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3.目标实现。</w:t>
      </w:r>
    </w:p>
    <w:p w14:paraId="3C2998A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（1）目标完成</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本单位2024年预算项目数量指标均已完成，完成情况如下：</w:t>
      </w:r>
      <w:r>
        <w:rPr>
          <w:rFonts w:hint="default" w:ascii="Times New Roman" w:hAnsi="Times New Roman" w:eastAsia="方正仿宋_GBK" w:cs="Times New Roman"/>
          <w:b/>
          <w:bCs/>
          <w:sz w:val="32"/>
          <w:szCs w:val="32"/>
        </w:rPr>
        <w:t>人员类：</w:t>
      </w:r>
      <w:r>
        <w:rPr>
          <w:rFonts w:hint="default" w:ascii="Times New Roman" w:hAnsi="Times New Roman" w:eastAsia="方正仿宋_GBK" w:cs="Times New Roman"/>
          <w:sz w:val="32"/>
          <w:szCs w:val="32"/>
        </w:rPr>
        <w:t>2024年本单位人员类经费预算金额340.62万元，预算完成金额340.62万元，我单位员工社保足额保障率（参保率）100%，工资发放（缴纳）覆盖率100%，目标完成率100%；</w:t>
      </w:r>
      <w:r>
        <w:rPr>
          <w:rFonts w:hint="default" w:ascii="Times New Roman" w:hAnsi="Times New Roman" w:eastAsia="方正仿宋_GBK" w:cs="Times New Roman"/>
          <w:b/>
          <w:bCs/>
          <w:sz w:val="32"/>
          <w:szCs w:val="32"/>
        </w:rPr>
        <w:t>运转类：</w:t>
      </w:r>
      <w:r>
        <w:rPr>
          <w:rFonts w:hint="default" w:ascii="Times New Roman" w:hAnsi="Times New Roman" w:eastAsia="方正仿宋_GBK" w:cs="Times New Roman"/>
          <w:sz w:val="32"/>
          <w:szCs w:val="32"/>
        </w:rPr>
        <w:t>2024年本单位运转类经费预算金额76.39万元，预算完成金额76.39万元，我单位2024年日常公用经费年度目标均已完成，保障工资及时、足额发放或社保及时、足额缴纳。三公经费年初预算18.45万元，实际支出17.50万元，“三公经费”控制率为97%，小于目标值100%，目标完成率100%；</w:t>
      </w:r>
      <w:r>
        <w:rPr>
          <w:rFonts w:hint="default" w:ascii="Times New Roman" w:hAnsi="Times New Roman" w:eastAsia="方正仿宋_GBK" w:cs="Times New Roman"/>
          <w:b/>
          <w:bCs/>
          <w:sz w:val="32"/>
          <w:szCs w:val="32"/>
        </w:rPr>
        <w:t>特定目标类：</w:t>
      </w:r>
      <w:r>
        <w:rPr>
          <w:rFonts w:hint="default" w:ascii="Times New Roman" w:hAnsi="Times New Roman" w:eastAsia="方正仿宋_GBK" w:cs="Times New Roman"/>
          <w:sz w:val="32"/>
          <w:szCs w:val="32"/>
        </w:rPr>
        <w:t>2024年本单位特定目标类经费预算金额819.76万元，共包含1个项目，其中：</w:t>
      </w:r>
    </w:p>
    <w:p w14:paraId="088191A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w:t>
      </w:r>
      <w:r>
        <w:rPr>
          <w:rFonts w:hint="default" w:ascii="Times New Roman" w:hAnsi="Times New Roman" w:eastAsia="方正仿宋_GBK" w:cs="Times New Roman"/>
          <w:sz w:val="32"/>
          <w:szCs w:val="32"/>
        </w:rPr>
        <w:t>办学经费预算819.76万元，有效完成在校学生的初级学前教育，2024年新招录初级学衔觉囊班学员22名并于9月正式启动教学。截至目前，全院共有初级学衔班4个，在校学员96名，其中2022级格鲁班学员30名、2022级苯教班学员24名、2023级宁玛班学员20名。2024级觉囊班22名学员。以上特定目标类项目预算完成金额819.76万元，目标完成率100%；根据评分标准，该指标分值4分，得分4分，得分率100%。根据评分标准，该指标分值4分，得分4分，得分率100%。</w:t>
      </w:r>
    </w:p>
    <w:p w14:paraId="7808F2B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（2）目标偏离</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本单位已完成预期指标值的数量指标中偏离度均在30%以内。根据评分标准，该指标分值4分，得分4分，得分率100%。</w:t>
      </w:r>
    </w:p>
    <w:p w14:paraId="558D850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（3）实现效果</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本单位2024年预算项目实施后，绩效目标效益指标实施效果良好，实施效果已达到设定指标值。根据评分标准，该指标分值3分，得分3分，得分率100%。</w:t>
      </w:r>
    </w:p>
    <w:p w14:paraId="436D32F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方正楷体_GBK" w:hAnsi="方正楷体_GBK" w:eastAsia="方正楷体_GBK" w:cs="方正楷体_GBK"/>
          <w:b/>
          <w:bCs/>
          <w:i w:val="0"/>
          <w:iCs w:val="0"/>
          <w:sz w:val="32"/>
          <w:szCs w:val="32"/>
        </w:rPr>
      </w:pPr>
      <w:r>
        <w:rPr>
          <w:rFonts w:hint="default" w:ascii="方正楷体_GBK" w:hAnsi="方正楷体_GBK" w:eastAsia="方正楷体_GBK" w:cs="方正楷体_GBK"/>
          <w:b/>
          <w:bCs/>
          <w:i w:val="0"/>
          <w:iCs w:val="0"/>
          <w:sz w:val="32"/>
          <w:szCs w:val="32"/>
        </w:rPr>
        <w:t>（三）重点领域绩效分析。</w:t>
      </w:r>
    </w:p>
    <w:p w14:paraId="1D1ACE6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bCs/>
          <w:sz w:val="32"/>
          <w:szCs w:val="32"/>
        </w:rPr>
        <w:t>行政事业性国有资产绩效分析</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2024年固定资产账面余额324.41万元，固定资产均通过四川省行政事业性国有资产管理信息系统进行管理。我单位资产均有专人管理，并能够按时将新购、满足固定资产登记条件的资产进行登记，并计提折旧，确保资产账实相符。</w:t>
      </w:r>
    </w:p>
    <w:p w14:paraId="06B32B7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bCs/>
          <w:sz w:val="32"/>
          <w:szCs w:val="32"/>
        </w:rPr>
        <w:t>政府采购绩效分析</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rPr>
        <w:t>本单位严格遵守政府采购实行归口管理，均按照编制采购预算、申报采购计划、组织实施采购的程序进行采购、备案。并组织对政府采购相关知识进行培训，从而提高管理意识。</w:t>
      </w:r>
    </w:p>
    <w:p w14:paraId="5A97659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i w:val="0"/>
          <w:iCs w:val="0"/>
          <w:sz w:val="32"/>
          <w:szCs w:val="32"/>
        </w:rPr>
        <w:t>（四）绩效结果应用情况。</w:t>
      </w:r>
      <w:r>
        <w:rPr>
          <w:rFonts w:hint="default" w:ascii="Times New Roman" w:hAnsi="Times New Roman" w:eastAsia="方正仿宋_GBK" w:cs="Times New Roman"/>
          <w:sz w:val="32"/>
          <w:szCs w:val="32"/>
        </w:rPr>
        <w:t>围绕内部应用情况、信息公开情况、整改反馈情况进行分析。</w:t>
      </w:r>
    </w:p>
    <w:p w14:paraId="26990B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四、评价结论及建议</w:t>
      </w:r>
    </w:p>
    <w:p w14:paraId="3C3F5AE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i w:val="0"/>
          <w:iCs w:val="0"/>
          <w:sz w:val="32"/>
          <w:szCs w:val="32"/>
        </w:rPr>
        <w:t>（一）评价结论。</w:t>
      </w:r>
      <w:r>
        <w:rPr>
          <w:rFonts w:hint="default" w:ascii="Times New Roman" w:hAnsi="Times New Roman" w:eastAsia="方正仿宋_GBK" w:cs="Times New Roman"/>
          <w:sz w:val="32"/>
          <w:szCs w:val="32"/>
        </w:rPr>
        <w:t>我单位2024年部门预算执行总体较好，单位内部控制制度基本完善，并能够很好的执行；财务管理、资产管理、采购管理规范，结转结余较上年控制较好。但部门预算管理方面的预算编制精准、但预算编制精准性还有待加强。根据《部门整体支出绩效评价指标体系》，本单位2024年度自评得分为92.6分。</w:t>
      </w:r>
    </w:p>
    <w:p w14:paraId="470C510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i w:val="0"/>
          <w:iCs w:val="0"/>
          <w:sz w:val="32"/>
          <w:szCs w:val="32"/>
        </w:rPr>
        <w:t>（二）存在问题。</w:t>
      </w:r>
      <w:r>
        <w:rPr>
          <w:rFonts w:hint="default" w:ascii="Times New Roman" w:hAnsi="Times New Roman" w:eastAsia="方正仿宋_GBK" w:cs="Times New Roman"/>
          <w:sz w:val="32"/>
          <w:szCs w:val="32"/>
        </w:rPr>
        <w:t>预算编制质量有待提高。年初预算编制不够准确，年初预算与决算数偏差较大。</w:t>
      </w:r>
    </w:p>
    <w:p w14:paraId="28EA2BC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i w:val="0"/>
          <w:iCs w:val="0"/>
          <w:sz w:val="32"/>
          <w:szCs w:val="32"/>
        </w:rPr>
        <w:t>（三）改进建议。</w:t>
      </w:r>
      <w:r>
        <w:rPr>
          <w:rFonts w:hint="default" w:ascii="Times New Roman" w:hAnsi="Times New Roman" w:eastAsia="方正仿宋_GBK" w:cs="Times New Roman"/>
          <w:sz w:val="32"/>
          <w:szCs w:val="32"/>
        </w:rPr>
        <w:t>加强绩效管理理念思想，要求各科室及时科学谋划年度预算安排，细化、量化有关预算预控指标，优化资金支出结构，提高资金使用效益。根据部门的职能职责、年度工作任务，对部门履职的总体产出和效果进行部门整体目标编制，全面反映项目投入、产出、效率和效益情况。强化单位编制的部门整体目标审核，要求编制的目标要细化量化、规范完整且可衡量，对不完善、不合理的不予审核通过。</w:t>
      </w:r>
    </w:p>
    <w:p w14:paraId="6E337892">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14:paraId="48946940">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p>
    <w:p w14:paraId="23F7601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object>
          <v:shape id="_x0000_i1028" o:spt="75" type="#_x0000_t75" style="height:65.4pt;width:72.6pt;" o:ole="t" filled="f" o:preferrelative="t" stroked="f" coordsize="21600,21600">
            <v:path/>
            <v:fill on="f" focussize="0,0"/>
            <v:stroke on="f"/>
            <v:imagedata r:id="rId14" o:title=""/>
            <o:lock v:ext="edit" aspectratio="t"/>
            <w10:wrap type="none"/>
            <w10:anchorlock/>
          </v:shape>
          <o:OLEObject Type="Embed" ProgID="Excel.Sheet.12" ShapeID="_x0000_i1028" DrawAspect="Icon" ObjectID="_1468075725" r:id="rId13">
            <o:LockedField>false</o:LockedField>
          </o:OLEObject>
        </w:object>
      </w:r>
    </w:p>
    <w:p w14:paraId="47C05595">
      <w:pPr>
        <w:pStyle w:val="7"/>
        <w:rPr>
          <w:rFonts w:hint="default" w:hAnsi="Calibri" w:cs="仿宋"/>
          <w:color w:val="auto"/>
          <w:kern w:val="0"/>
          <w:sz w:val="32"/>
          <w:szCs w:val="32"/>
          <w:highlight w:val="none"/>
          <w:lang w:val="en-US" w:eastAsia="zh-CN" w:bidi="ar-SA"/>
        </w:rPr>
      </w:pPr>
    </w:p>
    <w:p w14:paraId="5F87E327">
      <w:pPr>
        <w:pStyle w:val="7"/>
        <w:rPr>
          <w:rFonts w:hint="eastAsia" w:hAnsi="Calibri" w:cs="仿宋"/>
          <w:color w:val="auto"/>
          <w:kern w:val="0"/>
          <w:sz w:val="32"/>
          <w:szCs w:val="32"/>
          <w:highlight w:val="none"/>
          <w:lang w:val="en-US" w:eastAsia="zh-CN" w:bidi="ar-SA"/>
        </w:rPr>
      </w:pPr>
    </w:p>
    <w:p w14:paraId="4C014EB0">
      <w:pPr>
        <w:pStyle w:val="7"/>
        <w:rPr>
          <w:rFonts w:hint="eastAsia" w:hAnsi="Calibri" w:cs="仿宋"/>
          <w:color w:val="auto"/>
          <w:kern w:val="0"/>
          <w:sz w:val="32"/>
          <w:szCs w:val="32"/>
          <w:highlight w:val="none"/>
          <w:lang w:val="en-US" w:eastAsia="zh-CN" w:bidi="ar-SA"/>
        </w:rPr>
      </w:pPr>
    </w:p>
    <w:p w14:paraId="073D4DFE">
      <w:pPr>
        <w:pStyle w:val="7"/>
        <w:rPr>
          <w:rFonts w:hint="eastAsia" w:hAnsi="Calibri" w:cs="仿宋"/>
          <w:color w:val="auto"/>
          <w:kern w:val="0"/>
          <w:sz w:val="32"/>
          <w:szCs w:val="32"/>
          <w:highlight w:val="none"/>
          <w:lang w:val="en-US" w:eastAsia="zh-CN" w:bidi="ar-SA"/>
        </w:rPr>
      </w:pPr>
    </w:p>
    <w:p w14:paraId="0D966DE0">
      <w:pPr>
        <w:pStyle w:val="7"/>
        <w:rPr>
          <w:rFonts w:hint="eastAsia" w:hAnsi="Calibri" w:cs="仿宋"/>
          <w:color w:val="auto"/>
          <w:kern w:val="0"/>
          <w:sz w:val="32"/>
          <w:szCs w:val="32"/>
          <w:highlight w:val="none"/>
          <w:lang w:val="en-US" w:eastAsia="zh-CN" w:bidi="ar-SA"/>
        </w:rPr>
      </w:pPr>
    </w:p>
    <w:p w14:paraId="65D98384">
      <w:pPr>
        <w:pStyle w:val="7"/>
        <w:rPr>
          <w:rFonts w:hint="eastAsia" w:hAnsi="Calibri" w:cs="仿宋"/>
          <w:color w:val="auto"/>
          <w:kern w:val="0"/>
          <w:sz w:val="32"/>
          <w:szCs w:val="32"/>
          <w:highlight w:val="none"/>
          <w:lang w:val="en-US" w:eastAsia="zh-CN" w:bidi="ar-SA"/>
        </w:rPr>
      </w:pPr>
    </w:p>
    <w:p w14:paraId="1594A349">
      <w:pPr>
        <w:pStyle w:val="7"/>
        <w:rPr>
          <w:rFonts w:hint="eastAsia" w:hAnsi="Calibri" w:cs="仿宋"/>
          <w:color w:val="auto"/>
          <w:kern w:val="0"/>
          <w:sz w:val="32"/>
          <w:szCs w:val="32"/>
          <w:highlight w:val="none"/>
          <w:lang w:val="en-US" w:eastAsia="zh-CN" w:bidi="ar-SA"/>
        </w:rPr>
      </w:pPr>
    </w:p>
    <w:p w14:paraId="12FDBB75">
      <w:pPr>
        <w:pStyle w:val="7"/>
        <w:rPr>
          <w:rFonts w:hint="eastAsia" w:hAnsi="Calibri" w:cs="仿宋"/>
          <w:color w:val="auto"/>
          <w:kern w:val="0"/>
          <w:sz w:val="32"/>
          <w:szCs w:val="32"/>
          <w:highlight w:val="none"/>
          <w:lang w:val="en-US" w:eastAsia="zh-CN" w:bidi="ar-SA"/>
        </w:rPr>
      </w:pPr>
    </w:p>
    <w:p w14:paraId="474D0A87">
      <w:pPr>
        <w:pStyle w:val="7"/>
        <w:rPr>
          <w:rFonts w:hint="eastAsia" w:hAnsi="Calibri" w:cs="仿宋"/>
          <w:color w:val="auto"/>
          <w:kern w:val="0"/>
          <w:sz w:val="32"/>
          <w:szCs w:val="32"/>
          <w:highlight w:val="none"/>
          <w:lang w:val="en-US" w:eastAsia="zh-CN" w:bidi="ar-SA"/>
        </w:rPr>
      </w:pPr>
    </w:p>
    <w:p w14:paraId="2781C229">
      <w:pPr>
        <w:pStyle w:val="7"/>
        <w:rPr>
          <w:rFonts w:hint="eastAsia" w:hAnsi="Calibri" w:cs="仿宋"/>
          <w:color w:val="auto"/>
          <w:kern w:val="0"/>
          <w:sz w:val="32"/>
          <w:szCs w:val="32"/>
          <w:highlight w:val="none"/>
          <w:lang w:val="en-US" w:eastAsia="zh-CN" w:bidi="ar-SA"/>
        </w:rPr>
      </w:pPr>
    </w:p>
    <w:p w14:paraId="3BDC5AF7">
      <w:pPr>
        <w:pStyle w:val="7"/>
        <w:rPr>
          <w:rFonts w:hint="eastAsia" w:hAnsi="Calibri" w:cs="仿宋"/>
          <w:color w:val="auto"/>
          <w:kern w:val="0"/>
          <w:sz w:val="32"/>
          <w:szCs w:val="32"/>
          <w:highlight w:val="none"/>
          <w:lang w:val="en-US" w:eastAsia="zh-CN" w:bidi="ar-SA"/>
        </w:rPr>
      </w:pPr>
    </w:p>
    <w:p w14:paraId="059FEFD3">
      <w:pPr>
        <w:pStyle w:val="7"/>
        <w:rPr>
          <w:rFonts w:hint="eastAsia" w:hAnsi="Calibri" w:cs="仿宋"/>
          <w:color w:val="auto"/>
          <w:kern w:val="0"/>
          <w:sz w:val="32"/>
          <w:szCs w:val="32"/>
          <w:highlight w:val="none"/>
          <w:lang w:val="en-US" w:eastAsia="zh-CN" w:bidi="ar-SA"/>
        </w:rPr>
      </w:pPr>
    </w:p>
    <w:p w14:paraId="3D908661">
      <w:pPr>
        <w:pStyle w:val="7"/>
        <w:rPr>
          <w:rFonts w:hint="eastAsia" w:hAnsi="Calibri" w:cs="仿宋"/>
          <w:color w:val="auto"/>
          <w:kern w:val="0"/>
          <w:sz w:val="32"/>
          <w:szCs w:val="32"/>
          <w:highlight w:val="none"/>
          <w:lang w:val="en-US" w:eastAsia="zh-CN" w:bidi="ar-SA"/>
        </w:rPr>
      </w:pPr>
    </w:p>
    <w:p w14:paraId="66A9DF2E">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14"/>
          <w:rFonts w:hint="eastAsia" w:ascii="Times New Roman" w:hAnsi="Times New Roman" w:eastAsia="黑体"/>
          <w:b w:val="0"/>
          <w:color w:val="auto"/>
          <w:highlight w:val="none"/>
        </w:rPr>
        <w:t>五部分 附表</w:t>
      </w:r>
      <w:bookmarkStart w:id="25" w:name="_Toc15396619"/>
    </w:p>
    <w:p w14:paraId="67F17965">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49F15708">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25"/>
    </w:p>
    <w:p w14:paraId="0609E27F">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6" w:name="_Toc15396620"/>
      <w:r>
        <w:rPr>
          <w:rFonts w:hint="eastAsia" w:ascii="Times New Roman" w:hAnsi="Times New Roman" w:eastAsia="仿宋_GB2312" w:cs="仿宋_GB2312"/>
          <w:color w:val="auto"/>
          <w:sz w:val="32"/>
          <w:szCs w:val="32"/>
          <w:highlight w:val="none"/>
        </w:rPr>
        <w:t>二、收入决算表</w:t>
      </w:r>
      <w:bookmarkEnd w:id="26"/>
    </w:p>
    <w:p w14:paraId="288E9894">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7" w:name="_Toc15396621"/>
      <w:r>
        <w:rPr>
          <w:rFonts w:hint="eastAsia" w:ascii="Times New Roman" w:hAnsi="Times New Roman" w:eastAsia="仿宋_GB2312" w:cs="仿宋_GB2312"/>
          <w:color w:val="auto"/>
          <w:sz w:val="32"/>
          <w:szCs w:val="32"/>
          <w:highlight w:val="none"/>
        </w:rPr>
        <w:t>三、支出决算表</w:t>
      </w:r>
      <w:bookmarkEnd w:id="27"/>
    </w:p>
    <w:p w14:paraId="2D85FEC1">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8" w:name="_Toc15396622"/>
      <w:r>
        <w:rPr>
          <w:rFonts w:hint="eastAsia" w:ascii="Times New Roman" w:hAnsi="Times New Roman" w:eastAsia="仿宋_GB2312" w:cs="仿宋_GB2312"/>
          <w:color w:val="auto"/>
          <w:sz w:val="32"/>
          <w:szCs w:val="32"/>
          <w:highlight w:val="none"/>
        </w:rPr>
        <w:t>四、财政拨款收入支出决算总表</w:t>
      </w:r>
      <w:bookmarkEnd w:id="28"/>
    </w:p>
    <w:p w14:paraId="5866F47C">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9" w:name="_Toc15396623"/>
      <w:r>
        <w:rPr>
          <w:rFonts w:hint="eastAsia" w:ascii="Times New Roman" w:hAnsi="Times New Roman" w:eastAsia="仿宋_GB2312" w:cs="仿宋_GB2312"/>
          <w:color w:val="auto"/>
          <w:sz w:val="32"/>
          <w:szCs w:val="32"/>
          <w:highlight w:val="none"/>
        </w:rPr>
        <w:t>五、财政拨款支出决算明细表</w:t>
      </w:r>
      <w:bookmarkEnd w:id="29"/>
      <w:bookmarkStart w:id="30" w:name="_Toc15396624"/>
    </w:p>
    <w:p w14:paraId="481E7B1F">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30"/>
    </w:p>
    <w:p w14:paraId="260852A7">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31" w:name="_Toc15396625"/>
      <w:r>
        <w:rPr>
          <w:rFonts w:hint="eastAsia" w:ascii="Times New Roman" w:hAnsi="Times New Roman" w:eastAsia="仿宋_GB2312" w:cs="仿宋_GB2312"/>
          <w:color w:val="auto"/>
          <w:sz w:val="32"/>
          <w:szCs w:val="32"/>
          <w:highlight w:val="none"/>
        </w:rPr>
        <w:t>七、一般公共预算财政拨款支出决算明细表</w:t>
      </w:r>
      <w:bookmarkEnd w:id="31"/>
    </w:p>
    <w:p w14:paraId="0AE121B5">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32" w:name="_Toc15396626"/>
      <w:r>
        <w:rPr>
          <w:rFonts w:hint="eastAsia" w:ascii="Times New Roman" w:hAnsi="Times New Roman" w:eastAsia="仿宋_GB2312" w:cs="仿宋_GB2312"/>
          <w:color w:val="auto"/>
          <w:sz w:val="32"/>
          <w:szCs w:val="32"/>
          <w:highlight w:val="none"/>
        </w:rPr>
        <w:t>八、一般公共预算财政拨款基本支出决算表</w:t>
      </w:r>
      <w:bookmarkEnd w:id="32"/>
    </w:p>
    <w:p w14:paraId="460E36F9">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33" w:name="_Toc15396627"/>
      <w:r>
        <w:rPr>
          <w:rFonts w:hint="eastAsia" w:ascii="Times New Roman" w:hAnsi="Times New Roman" w:eastAsia="仿宋_GB2312" w:cs="仿宋_GB2312"/>
          <w:color w:val="auto"/>
          <w:sz w:val="32"/>
          <w:szCs w:val="32"/>
          <w:highlight w:val="none"/>
        </w:rPr>
        <w:t>九、一般公共预算财政拨款项目支出决算表</w:t>
      </w:r>
      <w:bookmarkEnd w:id="33"/>
    </w:p>
    <w:p w14:paraId="7EB3174A">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34" w:name="_Toc15396628"/>
      <w:r>
        <w:rPr>
          <w:rFonts w:hint="eastAsia" w:ascii="Times New Roman" w:hAnsi="Times New Roman" w:eastAsia="仿宋_GB2312" w:cs="仿宋_GB2312"/>
          <w:color w:val="auto"/>
          <w:sz w:val="32"/>
          <w:szCs w:val="32"/>
          <w:highlight w:val="none"/>
        </w:rPr>
        <w:t>十、</w:t>
      </w:r>
      <w:bookmarkEnd w:id="34"/>
      <w:r>
        <w:rPr>
          <w:rFonts w:hint="eastAsia" w:ascii="Times New Roman" w:hAnsi="Times New Roman" w:eastAsia="仿宋_GB2312" w:cs="仿宋_GB2312"/>
          <w:color w:val="auto"/>
          <w:sz w:val="32"/>
          <w:szCs w:val="32"/>
          <w:highlight w:val="none"/>
        </w:rPr>
        <w:t>政府性基金预算财政拨款收入支出决算表</w:t>
      </w:r>
    </w:p>
    <w:p w14:paraId="6256D2E2">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35" w:name="_Toc15396629"/>
      <w:r>
        <w:rPr>
          <w:rFonts w:hint="eastAsia" w:ascii="Times New Roman" w:hAnsi="Times New Roman" w:eastAsia="仿宋_GB2312" w:cs="仿宋_GB2312"/>
          <w:color w:val="auto"/>
          <w:sz w:val="32"/>
          <w:szCs w:val="32"/>
          <w:highlight w:val="none"/>
        </w:rPr>
        <w:t>十一、</w:t>
      </w:r>
      <w:bookmarkEnd w:id="35"/>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7C8C01C1">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36" w:name="_Toc15396630"/>
      <w:r>
        <w:rPr>
          <w:rFonts w:hint="eastAsia" w:ascii="Times New Roman" w:hAnsi="Times New Roman" w:eastAsia="仿宋_GB2312" w:cs="仿宋_GB2312"/>
          <w:color w:val="auto"/>
          <w:sz w:val="32"/>
          <w:szCs w:val="32"/>
          <w:highlight w:val="none"/>
        </w:rPr>
        <w:t>十二、</w:t>
      </w:r>
      <w:bookmarkEnd w:id="36"/>
      <w:r>
        <w:rPr>
          <w:rFonts w:hint="eastAsia" w:ascii="Times New Roman" w:hAnsi="Times New Roman" w:eastAsia="仿宋_GB2312" w:cs="仿宋_GB2312"/>
          <w:color w:val="auto"/>
          <w:sz w:val="32"/>
          <w:szCs w:val="32"/>
          <w:highlight w:val="none"/>
          <w:lang w:eastAsia="zh-CN"/>
        </w:rPr>
        <w:t>国有资本经营预算财政拨款支出决算表</w:t>
      </w:r>
    </w:p>
    <w:p w14:paraId="3D06E75A">
      <w:pPr>
        <w:pStyle w:val="10"/>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37" w:name="_Toc15396631"/>
      <w:r>
        <w:rPr>
          <w:rFonts w:hint="eastAsia" w:ascii="Times New Roman" w:hAnsi="Times New Roman" w:eastAsia="仿宋_GB2312" w:cs="仿宋_GB2312"/>
          <w:color w:val="auto"/>
          <w:sz w:val="32"/>
          <w:szCs w:val="32"/>
          <w:highlight w:val="none"/>
        </w:rPr>
        <w:t>十三、</w:t>
      </w:r>
      <w:bookmarkEnd w:id="37"/>
      <w:r>
        <w:rPr>
          <w:rFonts w:hint="eastAsia" w:ascii="Times New Roman" w:hAnsi="Times New Roman" w:eastAsia="仿宋_GB2312" w:cs="仿宋_GB2312"/>
          <w:color w:val="auto"/>
          <w:sz w:val="32"/>
          <w:szCs w:val="32"/>
          <w:highlight w:val="none"/>
          <w:lang w:eastAsia="zh-CN"/>
        </w:rPr>
        <w:t>财政拨款“三公”经费支出决算表</w:t>
      </w:r>
    </w:p>
    <w:p w14:paraId="544D4A24">
      <w:pPr>
        <w:rPr>
          <w:rFonts w:hint="eastAsia" w:ascii="Times New Roman" w:hAnsi="Times New Roman"/>
          <w:lang w:eastAsia="zh-CN"/>
        </w:rPr>
      </w:pPr>
    </w:p>
    <w:p w14:paraId="5D9E02AE">
      <w:pPr>
        <w:pStyle w:val="7"/>
        <w:rPr>
          <w:rFonts w:hint="eastAsia" w:hAnsi="Calibri" w:cs="仿宋"/>
          <w:color w:val="auto"/>
          <w:kern w:val="0"/>
          <w:sz w:val="32"/>
          <w:szCs w:val="32"/>
          <w:highlight w:val="none"/>
          <w:lang w:val="en-US" w:eastAsia="zh-CN" w:bidi="ar-SA"/>
        </w:rPr>
      </w:pPr>
    </w:p>
    <w:p w14:paraId="76765912">
      <w:pPr>
        <w:rPr>
          <w:rFonts w:hint="eastAsia"/>
          <w:lang w:eastAsia="zh-CN"/>
        </w:rPr>
      </w:pPr>
    </w:p>
    <w:p w14:paraId="0EBE813D"/>
    <w:sectPr>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ED484">
    <w:pPr>
      <w:pStyle w:val="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14:paraId="66F3B2CD">
                              <w:pPr>
                                <w:pStyle w:val="8"/>
                                <w:jc w:val="center"/>
                              </w:pPr>
                              <w:r>
                                <w:rPr>
                                  <w:sz w:val="28"/>
                                </w:rPr>
                                <w:fldChar w:fldCharType="begin"/>
                              </w:r>
                              <w:r>
                                <w:rPr>
                                  <w:sz w:val="28"/>
                                </w:rPr>
                                <w:instrText xml:space="preserve">PAGE   \* MERGEFORMAT</w:instrText>
                              </w:r>
                              <w:r>
                                <w:rPr>
                                  <w:sz w:val="28"/>
                                </w:rPr>
                                <w:fldChar w:fldCharType="separate"/>
                              </w:r>
                              <w:r>
                                <w:rPr>
                                  <w:sz w:val="28"/>
                                  <w:lang w:val="zh-CN"/>
                                </w:rPr>
                                <w:t>8</w:t>
                              </w:r>
                              <w:r>
                                <w:rPr>
                                  <w:sz w:val="28"/>
                                </w:rPr>
                                <w:fldChar w:fldCharType="end"/>
                              </w:r>
                            </w:p>
                          </w:sdtContent>
                        </w:sdt>
                        <w:p w14:paraId="318AF98E">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14:paraId="66F3B2CD">
                        <w:pPr>
                          <w:pStyle w:val="8"/>
                          <w:jc w:val="center"/>
                        </w:pPr>
                        <w:r>
                          <w:rPr>
                            <w:sz w:val="28"/>
                          </w:rPr>
                          <w:fldChar w:fldCharType="begin"/>
                        </w:r>
                        <w:r>
                          <w:rPr>
                            <w:sz w:val="28"/>
                          </w:rPr>
                          <w:instrText xml:space="preserve">PAGE   \* MERGEFORMAT</w:instrText>
                        </w:r>
                        <w:r>
                          <w:rPr>
                            <w:sz w:val="28"/>
                          </w:rPr>
                          <w:fldChar w:fldCharType="separate"/>
                        </w:r>
                        <w:r>
                          <w:rPr>
                            <w:sz w:val="28"/>
                            <w:lang w:val="zh-CN"/>
                          </w:rPr>
                          <w:t>8</w:t>
                        </w:r>
                        <w:r>
                          <w:rPr>
                            <w:sz w:val="28"/>
                          </w:rPr>
                          <w:fldChar w:fldCharType="end"/>
                        </w:r>
                      </w:p>
                    </w:sdtContent>
                  </w:sdt>
                  <w:p w14:paraId="318AF98E">
                    <w:pPr>
                      <w:pStyle w:val="2"/>
                    </w:pPr>
                  </w:p>
                </w:txbxContent>
              </v:textbox>
            </v:shape>
          </w:pict>
        </mc:Fallback>
      </mc:AlternateContent>
    </w:r>
  </w:p>
  <w:p w14:paraId="6D7D42B2">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1C774">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-16510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283DB">
                          <w:pPr>
                            <w:pStyle w:val="8"/>
                            <w:rPr>
                              <w:rFonts w:hint="eastAsia" w:eastAsia="宋体"/>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3pt;height:144pt;width:144pt;mso-position-horizontal:center;mso-position-horizontal-relative:margin;mso-wrap-style:none;z-index:251661312;mso-width-relative:page;mso-height-relative:page;" filled="f" stroked="f" coordsize="21600,21600" o:gfxdata="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0DSR9UAAAAHAQAADwAAAAAAAAABACAAAAAiAAAAZHJzL2Rvd25yZXYueG1sUEsB&#10;AhQAFAAAAAgAh07iQCSCRrQxAgAAYQQAAA4AAAAAAAAAAQAgAAAAJAEAAGRycy9lMm9Eb2MueG1s&#10;UEsFBgAAAAAGAAYAWQEAAMcFAAAAAA==&#10;">
              <v:fill on="f" focussize="0,0"/>
              <v:stroke on="f" weight="0.5pt"/>
              <v:imagedata o:title=""/>
              <o:lock v:ext="edit" aspectratio="f"/>
              <v:textbox inset="0mm,0mm,0mm,0mm" style="mso-fit-shape-to-text:t;">
                <w:txbxContent>
                  <w:p w14:paraId="2AE283DB">
                    <w:pPr>
                      <w:pStyle w:val="8"/>
                      <w:rPr>
                        <w:rFonts w:hint="eastAsia" w:eastAsia="宋体"/>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A78BB7"/>
    <w:multiLevelType w:val="singleLevel"/>
    <w:tmpl w:val="E1A78BB7"/>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kOGVjMTg4MmM3NDc2MWZiY2IyNDFmOTU4Y2E3ODUifQ=="/>
    <w:docVar w:name="KSO_WPS_MARK_KEY" w:val="8ba5263e-4aa0-4779-a4d5-632cfd272c38"/>
  </w:docVars>
  <w:rsids>
    <w:rsidRoot w:val="FFDBB21C"/>
    <w:rsid w:val="00BE14D6"/>
    <w:rsid w:val="00D71F55"/>
    <w:rsid w:val="02735D30"/>
    <w:rsid w:val="038C517C"/>
    <w:rsid w:val="042C4018"/>
    <w:rsid w:val="043E5AA1"/>
    <w:rsid w:val="04493E1C"/>
    <w:rsid w:val="04A90B17"/>
    <w:rsid w:val="06096DA3"/>
    <w:rsid w:val="06936FD0"/>
    <w:rsid w:val="07A63325"/>
    <w:rsid w:val="090D5E70"/>
    <w:rsid w:val="095053AE"/>
    <w:rsid w:val="095F3DEF"/>
    <w:rsid w:val="09655218"/>
    <w:rsid w:val="0ADD2F10"/>
    <w:rsid w:val="0B61201C"/>
    <w:rsid w:val="0B977501"/>
    <w:rsid w:val="0D692931"/>
    <w:rsid w:val="0E1F7BDE"/>
    <w:rsid w:val="0EAE79D2"/>
    <w:rsid w:val="0ED115A8"/>
    <w:rsid w:val="0ED2440E"/>
    <w:rsid w:val="0EDE2DB2"/>
    <w:rsid w:val="0FB21406"/>
    <w:rsid w:val="106C2D6C"/>
    <w:rsid w:val="10DE39E8"/>
    <w:rsid w:val="11373205"/>
    <w:rsid w:val="1164067C"/>
    <w:rsid w:val="12192A7F"/>
    <w:rsid w:val="123B6122"/>
    <w:rsid w:val="12AD1088"/>
    <w:rsid w:val="14337FB3"/>
    <w:rsid w:val="147660D2"/>
    <w:rsid w:val="148B12E6"/>
    <w:rsid w:val="149A5FCB"/>
    <w:rsid w:val="15F31284"/>
    <w:rsid w:val="163B6A74"/>
    <w:rsid w:val="164756E1"/>
    <w:rsid w:val="176506BB"/>
    <w:rsid w:val="176F600D"/>
    <w:rsid w:val="19C82F75"/>
    <w:rsid w:val="1A965FA4"/>
    <w:rsid w:val="1ADF413A"/>
    <w:rsid w:val="1B7F1479"/>
    <w:rsid w:val="1BBE4697"/>
    <w:rsid w:val="1CC23D13"/>
    <w:rsid w:val="1DC92705"/>
    <w:rsid w:val="204D5FEA"/>
    <w:rsid w:val="208E3846"/>
    <w:rsid w:val="211F1734"/>
    <w:rsid w:val="21801C61"/>
    <w:rsid w:val="22A2261D"/>
    <w:rsid w:val="230F7587"/>
    <w:rsid w:val="245E28FC"/>
    <w:rsid w:val="24D16553"/>
    <w:rsid w:val="25C72D03"/>
    <w:rsid w:val="266B215F"/>
    <w:rsid w:val="283D6944"/>
    <w:rsid w:val="287F022A"/>
    <w:rsid w:val="294F4776"/>
    <w:rsid w:val="29BD3122"/>
    <w:rsid w:val="29F40C8F"/>
    <w:rsid w:val="2A0D63FD"/>
    <w:rsid w:val="2A8F6CFE"/>
    <w:rsid w:val="2AA92085"/>
    <w:rsid w:val="2ACD19E2"/>
    <w:rsid w:val="2BF624BC"/>
    <w:rsid w:val="2C0E75DC"/>
    <w:rsid w:val="2E3165AC"/>
    <w:rsid w:val="326D3CC0"/>
    <w:rsid w:val="335C2374"/>
    <w:rsid w:val="33B75806"/>
    <w:rsid w:val="34E81C26"/>
    <w:rsid w:val="34F47D24"/>
    <w:rsid w:val="34F70BEB"/>
    <w:rsid w:val="36E302E1"/>
    <w:rsid w:val="38D63104"/>
    <w:rsid w:val="3B133C60"/>
    <w:rsid w:val="3B8F727B"/>
    <w:rsid w:val="3BB41524"/>
    <w:rsid w:val="3BCC2ABB"/>
    <w:rsid w:val="3C380688"/>
    <w:rsid w:val="3C886C9A"/>
    <w:rsid w:val="3CD7777B"/>
    <w:rsid w:val="3D102ED4"/>
    <w:rsid w:val="3D246473"/>
    <w:rsid w:val="3D583BAC"/>
    <w:rsid w:val="3D883A79"/>
    <w:rsid w:val="3D9D5A63"/>
    <w:rsid w:val="3F7E2858"/>
    <w:rsid w:val="3F8A64BB"/>
    <w:rsid w:val="4071376A"/>
    <w:rsid w:val="40A22506"/>
    <w:rsid w:val="414C1C7A"/>
    <w:rsid w:val="427F60A2"/>
    <w:rsid w:val="42A633E7"/>
    <w:rsid w:val="43AF36C7"/>
    <w:rsid w:val="460C19D8"/>
    <w:rsid w:val="468B6798"/>
    <w:rsid w:val="47764810"/>
    <w:rsid w:val="479271AB"/>
    <w:rsid w:val="483376F0"/>
    <w:rsid w:val="48F4333A"/>
    <w:rsid w:val="49961C68"/>
    <w:rsid w:val="4B501D48"/>
    <w:rsid w:val="4D53614A"/>
    <w:rsid w:val="50950266"/>
    <w:rsid w:val="50FA5B3A"/>
    <w:rsid w:val="51EC090F"/>
    <w:rsid w:val="52DB4C0C"/>
    <w:rsid w:val="536F43D9"/>
    <w:rsid w:val="557B0527"/>
    <w:rsid w:val="576D604E"/>
    <w:rsid w:val="579161E1"/>
    <w:rsid w:val="58DF3E78"/>
    <w:rsid w:val="59F521FD"/>
    <w:rsid w:val="5A096A5E"/>
    <w:rsid w:val="5A102236"/>
    <w:rsid w:val="5A341CC9"/>
    <w:rsid w:val="5AF41743"/>
    <w:rsid w:val="5B8B2BDA"/>
    <w:rsid w:val="5C1F518D"/>
    <w:rsid w:val="5DEB33DD"/>
    <w:rsid w:val="5E787F66"/>
    <w:rsid w:val="5EBE2E37"/>
    <w:rsid w:val="5ECC7AFE"/>
    <w:rsid w:val="5F225970"/>
    <w:rsid w:val="5FE866FC"/>
    <w:rsid w:val="61345F1B"/>
    <w:rsid w:val="62731653"/>
    <w:rsid w:val="62A5470E"/>
    <w:rsid w:val="64C463A3"/>
    <w:rsid w:val="65B1714E"/>
    <w:rsid w:val="67A3188D"/>
    <w:rsid w:val="6A5F5CCB"/>
    <w:rsid w:val="6CFA7F2C"/>
    <w:rsid w:val="708717A0"/>
    <w:rsid w:val="71EA67C2"/>
    <w:rsid w:val="71F60B5D"/>
    <w:rsid w:val="72051DFC"/>
    <w:rsid w:val="72084E9A"/>
    <w:rsid w:val="72941AB5"/>
    <w:rsid w:val="72CD008E"/>
    <w:rsid w:val="75575F1C"/>
    <w:rsid w:val="756E6101"/>
    <w:rsid w:val="76460E64"/>
    <w:rsid w:val="76F378A7"/>
    <w:rsid w:val="78307C78"/>
    <w:rsid w:val="791345C3"/>
    <w:rsid w:val="7A8157E9"/>
    <w:rsid w:val="7BDF1FAD"/>
    <w:rsid w:val="7BEA6381"/>
    <w:rsid w:val="7C461D03"/>
    <w:rsid w:val="7CC776BB"/>
    <w:rsid w:val="7CE00EED"/>
    <w:rsid w:val="7D271242"/>
    <w:rsid w:val="7D4260A9"/>
    <w:rsid w:val="7E2E35BA"/>
    <w:rsid w:val="7E3977A2"/>
    <w:rsid w:val="7FB17429"/>
    <w:rsid w:val="7FC40652"/>
    <w:rsid w:val="7FF802FC"/>
    <w:rsid w:val="FFDBB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iPriority="99"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7">
    <w:name w:val="Body Text"/>
    <w:basedOn w:val="1"/>
    <w:qFormat/>
    <w:uiPriority w:val="99"/>
    <w:pPr>
      <w:spacing w:beforeLines="30"/>
    </w:pPr>
    <w:rPr>
      <w:rFonts w:ascii="仿宋_GB2312" w:eastAsia="仿宋_GB2312"/>
      <w:kern w:val="0"/>
      <w:sz w:val="30"/>
    </w:rPr>
  </w:style>
  <w:style w:type="paragraph" w:styleId="8">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toc 2"/>
    <w:basedOn w:val="1"/>
    <w:next w:val="1"/>
    <w:unhideWhenUsed/>
    <w:qFormat/>
    <w:uiPriority w:val="39"/>
    <w:pPr>
      <w:tabs>
        <w:tab w:val="right" w:leader="dot" w:pos="8296"/>
      </w:tabs>
      <w:ind w:left="420" w:leftChars="200"/>
    </w:pPr>
  </w:style>
  <w:style w:type="character" w:styleId="13">
    <w:name w:val="Strong"/>
    <w:basedOn w:val="12"/>
    <w:qFormat/>
    <w:uiPriority w:val="99"/>
    <w:rPr>
      <w:b/>
    </w:rPr>
  </w:style>
  <w:style w:type="character" w:customStyle="1" w:styleId="14">
    <w:name w:val="标题 1 Char"/>
    <w:basedOn w:val="12"/>
    <w:link w:val="5"/>
    <w:qFormat/>
    <w:uiPriority w:val="9"/>
    <w:rPr>
      <w:b/>
      <w:bCs/>
      <w:kern w:val="44"/>
      <w:sz w:val="44"/>
      <w:szCs w:val="44"/>
    </w:rPr>
  </w:style>
  <w:style w:type="character" w:customStyle="1" w:styleId="15">
    <w:name w:val="标题 2 Char"/>
    <w:basedOn w:val="12"/>
    <w:link w:val="6"/>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customStyle="1" w:styleId="19">
    <w:name w:val="WPSOffice手动目录 2"/>
    <w:qFormat/>
    <w:uiPriority w:val="0"/>
    <w:pPr>
      <w:ind w:leftChars="200"/>
    </w:pPr>
    <w:rPr>
      <w:rFonts w:ascii="Times New Roman" w:hAnsi="Times New Roman" w:eastAsia="宋体" w:cs="Times New Roman"/>
      <w:sz w:val="20"/>
      <w:szCs w:val="20"/>
    </w:rPr>
  </w:style>
  <w:style w:type="paragraph" w:customStyle="1" w:styleId="20">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emf"/><Relationship Id="rId13" Type="http://schemas.openxmlformats.org/officeDocument/2006/relationships/oleObject" Target="embeddings/oleObject1.bin"/><Relationship Id="rId12" Type="http://schemas.openxmlformats.org/officeDocument/2006/relationships/chart" Target="charts/chart4.xml"/><Relationship Id="rId11" Type="http://schemas.openxmlformats.org/officeDocument/2006/relationships/image" Target="media/image3.png"/><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Lbl>
              <c:idx val="0"/>
              <c:layout>
                <c:manualLayout>
                  <c:x val="0"/>
                  <c:y val="-0.00318742031449214"/>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1,044</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#,##0.00</c:formatCode>
                <c:ptCount val="2"/>
                <c:pt idx="0">
                  <c:v>1044</c:v>
                </c:pt>
                <c:pt idx="1">
                  <c:v>1044</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#,##0.00</c:formatCode>
                <c:ptCount val="2"/>
                <c:pt idx="0">
                  <c:v>1291.07</c:v>
                </c:pt>
                <c:pt idx="1">
                  <c:v>1291.07</c:v>
                </c:pt>
              </c:numCache>
            </c:numRef>
          </c:val>
        </c:ser>
        <c:dLbls>
          <c:showLegendKey val="0"/>
          <c:showVal val="1"/>
          <c:showCatName val="0"/>
          <c:showSerName val="0"/>
          <c:showPercent val="0"/>
          <c:showBubbleSize val="0"/>
        </c:dLbls>
        <c:gapWidth val="246"/>
        <c:overlap val="-28"/>
        <c:axId val="667726918"/>
        <c:axId val="343291035"/>
      </c:barChart>
      <c:catAx>
        <c:axId val="6677269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3291035"/>
        <c:crosses val="autoZero"/>
        <c:auto val="1"/>
        <c:lblAlgn val="ctr"/>
        <c:lblOffset val="100"/>
        <c:noMultiLvlLbl val="0"/>
      </c:catAx>
      <c:valAx>
        <c:axId val="343291035"/>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772691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5a55e4d-e470-4e1a-a316-7b23b8dfc61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0.00_ </c:formatCode>
                <c:ptCount val="2"/>
                <c:pt idx="0">
                  <c:v>1044</c:v>
                </c:pt>
                <c:pt idx="1">
                  <c:v>1044</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1291.07</c:v>
                </c:pt>
                <c:pt idx="1">
                  <c:v>1291.07</c:v>
                </c:pt>
              </c:numCache>
            </c:numRef>
          </c:val>
        </c:ser>
        <c:dLbls>
          <c:showLegendKey val="0"/>
          <c:showVal val="1"/>
          <c:showCatName val="0"/>
          <c:showSerName val="0"/>
          <c:showPercent val="0"/>
          <c:showBubbleSize val="0"/>
        </c:dLbls>
        <c:gapWidth val="246"/>
        <c:overlap val="-28"/>
        <c:axId val="667726918"/>
        <c:axId val="343291035"/>
      </c:barChart>
      <c:catAx>
        <c:axId val="6677269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3291035"/>
        <c:crosses val="autoZero"/>
        <c:auto val="1"/>
        <c:lblAlgn val="ctr"/>
        <c:lblOffset val="100"/>
        <c:noMultiLvlLbl val="0"/>
      </c:catAx>
      <c:valAx>
        <c:axId val="343291035"/>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772691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c810f46-af90-472b-98cb-6df97f54228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0.00_ </c:formatCode>
                <c:ptCount val="1"/>
                <c:pt idx="0">
                  <c:v>1044</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1291.07</c:v>
                </c:pt>
              </c:numCache>
            </c:numRef>
          </c:val>
        </c:ser>
        <c:dLbls>
          <c:showLegendKey val="0"/>
          <c:showVal val="1"/>
          <c:showCatName val="0"/>
          <c:showSerName val="0"/>
          <c:showPercent val="0"/>
          <c:showBubbleSize val="0"/>
        </c:dLbls>
        <c:gapWidth val="246"/>
        <c:overlap val="-28"/>
        <c:axId val="667726918"/>
        <c:axId val="343291035"/>
      </c:barChart>
      <c:catAx>
        <c:axId val="6677269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3291035"/>
        <c:crosses val="autoZero"/>
        <c:auto val="1"/>
        <c:lblAlgn val="ctr"/>
        <c:lblOffset val="100"/>
        <c:noMultiLvlLbl val="0"/>
      </c:catAx>
      <c:valAx>
        <c:axId val="343291035"/>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772691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c53ccd2-2131-4561-b64d-787c4fab79d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公务用车购置及运行维护费支出</c:v>
                </c:pt>
                <c:pt idx="1">
                  <c:v>公务接待费支出</c:v>
                </c:pt>
              </c:strCache>
            </c:strRef>
          </c:cat>
          <c:val>
            <c:numRef>
              <c:f>Sheet1!$B$2:$B$5</c:f>
              <c:numCache>
                <c:formatCode>General</c:formatCode>
                <c:ptCount val="4"/>
                <c:pt idx="0">
                  <c:v>17.28</c:v>
                </c:pt>
                <c:pt idx="1">
                  <c:v>0.22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3bdfd9d-2342-4794-ba00-aebe249081e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4787</Words>
  <Characters>5259</Characters>
  <Lines>0</Lines>
  <Paragraphs>0</Paragraphs>
  <TotalTime>3</TotalTime>
  <ScaleCrop>false</ScaleCrop>
  <LinksUpToDate>false</LinksUpToDate>
  <CharactersWithSpaces>5454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2024-08-15T10:26:00Z</dcterms:created>
  <dc:creator>财务处
王悦</dc:creator>
  <cp:lastModifiedBy>*</cp:lastModifiedBy>
  <cp:lastPrinted>2024-09-09T08:44:00Z</cp:lastPrinted>
  <dcterms:modified xsi:type="dcterms:W3CDTF">2025-09-17T04:11:48Z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D54EC6374AA34796811B8266CA84750C_13</vt:lpwstr>
  </property>
  <property fmtid="{D5CDD505-2E9C-101B-9397-08002B2CF9AE}" pid="4" name="KSOTemplateDocerSaveRecord">
    <vt:lpwstr>eyJoZGlkIjoiNTFmNDNiMDhhNjE3MjVmZTQyZmIyOTg3ODlhYWUyZTciLCJ1c2VySWQiOiIyNjM4NTMyMzcifQ==</vt:lpwstr>
  </property>
</Properties>
</file>