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0589A">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77193"/>
      <w:bookmarkStart w:id="2" w:name="_Toc15396597"/>
      <w:bookmarkStart w:id="3" w:name="_Toc15377425"/>
      <w:bookmarkStart w:id="4" w:name="_Toc15396475"/>
      <w:bookmarkStart w:id="5" w:name="_Toc15306267"/>
    </w:p>
    <w:p w14:paraId="2B81399B">
      <w:pPr>
        <w:pStyle w:val="8"/>
        <w:rPr>
          <w:rFonts w:hint="eastAsia" w:ascii="Times New Roman" w:hAnsi="Times New Roman" w:eastAsia="方正小标宋简体" w:cs="Times New Roman"/>
          <w:color w:val="auto"/>
          <w:kern w:val="2"/>
          <w:sz w:val="72"/>
          <w:szCs w:val="72"/>
          <w:highlight w:val="none"/>
          <w:lang w:val="en-US" w:eastAsia="zh-CN" w:bidi="ar-SA"/>
        </w:rPr>
      </w:pPr>
    </w:p>
    <w:p w14:paraId="017D3EFE">
      <w:pPr>
        <w:pStyle w:val="8"/>
        <w:rPr>
          <w:rFonts w:hint="eastAsia" w:ascii="Times New Roman" w:hAnsi="Times New Roman" w:eastAsia="方正小标宋简体" w:cs="Times New Roman"/>
          <w:color w:val="auto"/>
          <w:kern w:val="2"/>
          <w:sz w:val="72"/>
          <w:szCs w:val="72"/>
          <w:highlight w:val="none"/>
          <w:lang w:val="en-US" w:eastAsia="zh-CN" w:bidi="ar-SA"/>
        </w:rPr>
      </w:pPr>
    </w:p>
    <w:p w14:paraId="3E179DAE">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中共阿坝藏族羌族自治州委员会统战部</w:t>
      </w:r>
      <w:r>
        <w:rPr>
          <w:rFonts w:hint="eastAsia" w:ascii="Times New Roman" w:hAnsi="Times New Roman" w:eastAsia="方正小标宋简体" w:cs="Times New Roman"/>
          <w:color w:val="auto"/>
          <w:kern w:val="2"/>
          <w:sz w:val="44"/>
          <w:szCs w:val="44"/>
          <w:highlight w:val="none"/>
          <w:lang w:val="en-US" w:eastAsia="zh-CN" w:bidi="ar-SA"/>
        </w:rPr>
        <w:t>单位决算公开</w:t>
      </w:r>
    </w:p>
    <w:p w14:paraId="4C9B97CC">
      <w:pPr>
        <w:spacing w:line="600" w:lineRule="exact"/>
        <w:jc w:val="center"/>
        <w:outlineLvl w:val="0"/>
        <w:rPr>
          <w:rFonts w:ascii="Times New Roman" w:hAnsi="Times New Roman" w:eastAsia="方正小标宋简体"/>
          <w:color w:val="auto"/>
          <w:sz w:val="72"/>
          <w:szCs w:val="72"/>
          <w:highlight w:val="none"/>
        </w:rPr>
      </w:pPr>
    </w:p>
    <w:p w14:paraId="2201A393">
      <w:pPr>
        <w:pStyle w:val="22"/>
        <w:rPr>
          <w:rFonts w:ascii="Times New Roman" w:hAnsi="Times New Roman"/>
          <w:highlight w:val="none"/>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2E99E7A6">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7E8FCCD0">
      <w:pPr>
        <w:pStyle w:val="15"/>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highlight w:val="none"/>
          <w:lang w:val="en-US" w:eastAsia="zh-CN" w:bidi="ar-SA"/>
        </w:rPr>
        <w:id w:val="147468918"/>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30222DBC">
          <w:pPr>
            <w:spacing w:before="0" w:beforeLines="0" w:after="0" w:afterLines="0" w:line="240" w:lineRule="auto"/>
            <w:ind w:left="0" w:leftChars="0" w:right="0" w:rightChars="0" w:firstLine="0" w:firstLineChars="0"/>
            <w:jc w:val="both"/>
            <w:rPr>
              <w:highlight w:val="none"/>
            </w:rPr>
          </w:pPr>
        </w:p>
        <w:p w14:paraId="317749BC">
          <w:pPr>
            <w:pStyle w:val="15"/>
            <w:tabs>
              <w:tab w:val="right" w:leader="dot" w:pos="8306"/>
              <w:tab w:val="clear" w:pos="8296"/>
            </w:tabs>
            <w:jc w:val="both"/>
            <w:rPr>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"1-2" \h \u </w:instrText>
          </w:r>
          <w:r>
            <w:rPr>
              <w:rFonts w:ascii="Times New Roman" w:hAnsi="Times New Roman"/>
              <w:color w:val="auto"/>
              <w:highlight w:val="none"/>
            </w:rPr>
            <w:fldChar w:fldCharType="separate"/>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_Toc1108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第一部分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w:t>
          </w:r>
          <w:r>
            <w:rPr>
              <w:rFonts w:hint="eastAsia" w:ascii="Times New Roman" w:hAnsi="Times New Roman" w:eastAsia="黑体" w:cs="黑体"/>
              <w:color w:val="auto"/>
              <w:sz w:val="32"/>
              <w:szCs w:val="32"/>
              <w:highlight w:val="none"/>
              <w:lang w:val="en-US" w:eastAsia="zh-CN"/>
            </w:rPr>
            <w:t>单位</w:t>
          </w:r>
          <w:r>
            <w:rPr>
              <w:rFonts w:hint="eastAsia" w:ascii="Times New Roman" w:hAnsi="Times New Roman" w:eastAsia="黑体" w:cs="黑体"/>
              <w:color w:val="auto"/>
              <w:sz w:val="32"/>
              <w:szCs w:val="32"/>
              <w:highlight w:val="none"/>
            </w:rPr>
            <w:t>概况</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_Toc1108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3</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98AC64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_Toc13880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w:t>
          </w:r>
          <w:r>
            <w:rPr>
              <w:rFonts w:hint="eastAsia" w:eastAsia="仿宋_GB2312" w:cs="仿宋_GB2312"/>
              <w:color w:val="auto"/>
              <w:sz w:val="32"/>
              <w:szCs w:val="32"/>
              <w:highlight w:val="none"/>
              <w:lang w:val="en-US" w:eastAsia="zh-CN"/>
            </w:rPr>
            <w:t>单位</w:t>
          </w:r>
          <w:r>
            <w:rPr>
              <w:rFonts w:hint="eastAsia" w:ascii="Times New Roman" w:hAnsi="Times New Roman" w:eastAsia="仿宋_GB2312" w:cs="仿宋_GB2312"/>
              <w:color w:val="auto"/>
              <w:sz w:val="32"/>
              <w:szCs w:val="32"/>
              <w:highlight w:val="none"/>
              <w:lang w:eastAsia="zh-CN"/>
            </w:rPr>
            <w:t>职责</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_Toc13880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12E37C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_Toc1296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_Toc1296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DA23601">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_Toc19438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w:t>
          </w:r>
          <w:r>
            <w:rPr>
              <w:rFonts w:hint="eastAsia" w:ascii="Times New Roman" w:hAnsi="Times New Roman" w:eastAsia="黑体" w:cs="黑体"/>
              <w:color w:val="auto"/>
              <w:sz w:val="32"/>
              <w:szCs w:val="32"/>
              <w:highlight w:val="none"/>
              <w:lang w:val="en-US" w:eastAsia="zh-CN"/>
            </w:rPr>
            <w:t>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_Toc19438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5</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A10BC3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CC131C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_Toc20121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二、收入决算情况说明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_Toc20121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81A398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_Toc14877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_Toc14877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7E9AE4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_Toc27251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_Toc27251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4987E0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180EAC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_Toc9770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_Toc9770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98928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_Toc26098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七、财政拨款“三公”经费支出决算情况说明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_Toc26098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BBD2C7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_Toc7073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_Toc7073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89E0B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_Toc9897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九、</w:t>
          </w:r>
          <w:r>
            <w:rPr>
              <w:rFonts w:hint="eastAsia" w:ascii="Times New Roman" w:hAnsi="Times New Roman" w:eastAsia="仿宋_GB2312" w:cs="仿宋_GB2312"/>
              <w:color w:val="auto"/>
              <w:sz w:val="32"/>
              <w:szCs w:val="32"/>
              <w:highlight w:val="none"/>
            </w:rPr>
            <w:t>国有资本经营预算支出决算情况说明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_Toc9897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38767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_Toc8130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_Toc8130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B1181B5">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_Toc19091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w:t>
          </w:r>
          <w:r>
            <w:rPr>
              <w:rFonts w:hint="eastAsia" w:ascii="Times New Roman" w:hAnsi="Times New Roman" w:eastAsia="黑体" w:cs="黑体"/>
              <w:color w:val="auto"/>
              <w:sz w:val="32"/>
              <w:szCs w:val="32"/>
              <w:highlight w:val="none"/>
              <w:lang w:eastAsia="zh-CN"/>
            </w:rPr>
            <w:t>三</w:t>
          </w:r>
          <w:r>
            <w:rPr>
              <w:rFonts w:hint="eastAsia" w:ascii="Times New Roman" w:hAnsi="Times New Roman" w:eastAsia="黑体" w:cs="黑体"/>
              <w:color w:val="auto"/>
              <w:sz w:val="32"/>
              <w:szCs w:val="32"/>
              <w:highlight w:val="none"/>
            </w:rPr>
            <w:t>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名词解释</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_Toc19091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16</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0BA4C220">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_Toc6590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第四部分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附件</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_Toc6590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19</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8290521">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_Toc18328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 xml:space="preserve">第五部分 </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附表</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_Toc18328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36</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980F68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_Toc3436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_Toc3436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FA5E7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_Toc10614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_Toc10614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1E0465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_Toc14774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_Toc14774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69ED75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_Toc5392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_Toc5392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7D48B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_Toc29475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_Toc29475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A6C73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71C2F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_Toc25605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_Toc25605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37E43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_Toc3760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八、一般公共预算财政拨款基本支出决算表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_Toc3760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EE3167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FAF1CF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_Toc12171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_Toc12171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B5B1C0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_Toc5335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十一、国有资本经营预算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99EDF0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_Toc19972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_Toc19972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9D3AC4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_Toc12736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十三、</w:t>
          </w:r>
          <w:r>
            <w:rPr>
              <w:rFonts w:hint="eastAsia" w:ascii="Times New Roman" w:hAnsi="Times New Roman" w:eastAsia="仿宋_GB2312" w:cs="仿宋_GB2312"/>
              <w:color w:val="auto"/>
              <w:sz w:val="32"/>
              <w:szCs w:val="32"/>
              <w:highlight w:val="none"/>
              <w:lang w:eastAsia="zh-CN"/>
            </w:rPr>
            <w:t>财政拨款“三公”经费支出决算表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_Toc12736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667E591">
          <w:pPr>
            <w:rPr>
              <w:rFonts w:ascii="Times New Roman" w:hAnsi="Times New Roman" w:eastAsia="宋体" w:cs="Times New Roman"/>
              <w:color w:val="auto"/>
              <w:kern w:val="2"/>
              <w:sz w:val="21"/>
              <w:szCs w:val="24"/>
              <w:highlight w:val="none"/>
              <w:lang w:val="en-US" w:eastAsia="zh-CN" w:bidi="ar-SA"/>
            </w:rPr>
          </w:pPr>
          <w:r>
            <w:rPr>
              <w:rFonts w:ascii="Times New Roman" w:hAnsi="Times New Roman"/>
              <w:color w:val="auto"/>
              <w:highlight w:val="none"/>
            </w:rPr>
            <w:fldChar w:fldCharType="end"/>
          </w:r>
        </w:p>
      </w:sdtContent>
    </w:sdt>
    <w:p w14:paraId="316C60DE">
      <w:pPr>
        <w:pStyle w:val="2"/>
        <w:rPr>
          <w:highlight w:val="none"/>
        </w:rPr>
      </w:pPr>
    </w:p>
    <w:p w14:paraId="742A448F">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14:paraId="47360B2C">
      <w:pPr>
        <w:pStyle w:val="3"/>
        <w:jc w:val="center"/>
        <w:outlineLvl w:val="0"/>
        <w:rPr>
          <w:rFonts w:ascii="Times New Roman" w:hAnsi="Times New Roman" w:eastAsia="黑体"/>
          <w:color w:val="auto"/>
          <w:sz w:val="32"/>
          <w:szCs w:val="32"/>
          <w:highlight w:val="none"/>
        </w:rPr>
      </w:pPr>
      <w:bookmarkStart w:id="8" w:name="_Toc110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eastAsia="方正小标宋简体" w:cs="方正小标宋简体"/>
          <w:b w:val="0"/>
          <w:bCs w:val="0"/>
          <w:color w:val="auto"/>
          <w:highlight w:val="none"/>
          <w:lang w:val="en-US" w:eastAsia="zh-CN"/>
        </w:rPr>
        <w:t>单位</w:t>
      </w:r>
      <w:r>
        <w:rPr>
          <w:rStyle w:val="31"/>
          <w:rFonts w:hint="eastAsia" w:ascii="Times New Roman" w:hAnsi="Times New Roman" w:eastAsia="方正小标宋简体" w:cs="方正小标宋简体"/>
          <w:b w:val="0"/>
          <w:bCs w:val="0"/>
          <w:color w:val="auto"/>
          <w:highlight w:val="none"/>
        </w:rPr>
        <w:t>概况</w:t>
      </w:r>
      <w:bookmarkEnd w:id="6"/>
      <w:bookmarkEnd w:id="7"/>
      <w:bookmarkEnd w:id="8"/>
    </w:p>
    <w:p w14:paraId="71FFFD2B">
      <w:pPr>
        <w:pStyle w:val="4"/>
        <w:outlineLvl w:val="1"/>
        <w:rPr>
          <w:rFonts w:hint="eastAsia" w:ascii="Times New Roman" w:hAnsi="Times New Roman" w:eastAsia="黑体"/>
          <w:b w:val="0"/>
          <w:color w:val="auto"/>
          <w:highlight w:val="none"/>
          <w:lang w:eastAsia="zh-CN"/>
        </w:rPr>
      </w:pPr>
      <w:bookmarkStart w:id="9" w:name="_Toc15377197"/>
      <w:bookmarkStart w:id="10" w:name="_Toc15396600"/>
      <w:bookmarkStart w:id="11" w:name="_Toc13880"/>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bookmarkEnd w:id="11"/>
    </w:p>
    <w:p w14:paraId="158E8887">
      <w:pPr>
        <w:ind w:firstLine="800" w:firstLineChars="250"/>
        <w:outlineLvl w:val="9"/>
        <w:rPr>
          <w:rFonts w:hint="eastAsia" w:ascii="Times New Roman" w:hAnsi="Times New Roman" w:eastAsia="仿宋_GB2312" w:cs="仿宋_GB2312"/>
          <w:color w:val="auto"/>
          <w:sz w:val="32"/>
          <w:szCs w:val="32"/>
          <w:highlight w:val="none"/>
          <w:lang w:eastAsia="zh-CN"/>
        </w:rPr>
      </w:pPr>
      <w:r>
        <w:rPr>
          <w:rFonts w:hint="default" w:ascii="Times New Roman" w:hAnsi="Times New Roman" w:eastAsia="仿宋_GB2312" w:cs="仿宋_GB2312"/>
          <w:color w:val="auto"/>
          <w:sz w:val="32"/>
          <w:szCs w:val="32"/>
          <w:highlight w:val="none"/>
        </w:rPr>
        <w:t>州委统战部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25D58AC6">
      <w:pPr>
        <w:pStyle w:val="4"/>
        <w:outlineLvl w:val="1"/>
        <w:rPr>
          <w:rStyle w:val="32"/>
          <w:rFonts w:ascii="Times New Roman" w:hAnsi="Times New Roman"/>
          <w:b w:val="0"/>
          <w:bCs w:val="0"/>
          <w:color w:val="auto"/>
          <w:highlight w:val="none"/>
        </w:rPr>
      </w:pPr>
      <w:bookmarkStart w:id="12" w:name="_Toc1296"/>
      <w:bookmarkStart w:id="13" w:name="_Toc15377200"/>
      <w:bookmarkStart w:id="14" w:name="_Toc15396601"/>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2"/>
      <w:bookmarkEnd w:id="13"/>
      <w:bookmarkEnd w:id="14"/>
    </w:p>
    <w:p w14:paraId="0B813215">
      <w:pPr>
        <w:ind w:firstLine="800" w:firstLineChars="250"/>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中共阿坝藏族羌族自治州委员会统战部下属二级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w:t>
      </w:r>
    </w:p>
    <w:p w14:paraId="73AFBFFE">
      <w:pPr>
        <w:pStyle w:val="8"/>
        <w:adjustRightInd w:val="0"/>
        <w:snapToGrid w:val="0"/>
        <w:spacing w:before="93" w:line="600" w:lineRule="exact"/>
        <w:ind w:firstLine="672" w:firstLineChars="210"/>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纳入中共阿坝藏族羌族自治州委员会统战部</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14C6EE4D">
      <w:pPr>
        <w:pStyle w:val="8"/>
        <w:numPr>
          <w:ilvl w:val="0"/>
          <w:numId w:val="1"/>
        </w:numPr>
        <w:adjustRightInd w:val="0"/>
        <w:snapToGrid w:val="0"/>
        <w:spacing w:before="93" w:line="600" w:lineRule="exact"/>
        <w:ind w:firstLine="640" w:firstLineChars="200"/>
        <w:outlineLvl w:val="9"/>
        <w:rPr>
          <w:rFonts w:hint="eastAsia" w:ascii="Times New Roman" w:cs="仿宋_GB2312"/>
          <w:color w:val="auto"/>
          <w:sz w:val="32"/>
          <w:szCs w:val="32"/>
          <w:highlight w:val="none"/>
          <w:lang w:val="en-US" w:eastAsia="zh-CN"/>
        </w:rPr>
      </w:pPr>
      <w:bookmarkStart w:id="15" w:name="_Toc15378450"/>
      <w:bookmarkStart w:id="16" w:name="_Toc15306277"/>
      <w:bookmarkStart w:id="17" w:name="_Toc15377203"/>
      <w:bookmarkStart w:id="18" w:name="_Toc15377434"/>
      <w:r>
        <w:rPr>
          <w:rFonts w:hint="eastAsia" w:ascii="Times New Roman" w:cs="仿宋_GB2312"/>
          <w:color w:val="auto"/>
          <w:sz w:val="32"/>
          <w:szCs w:val="32"/>
          <w:highlight w:val="none"/>
          <w:lang w:val="en-US" w:eastAsia="zh-CN"/>
        </w:rPr>
        <w:t>阿坝藏族羌族自治州归国华侨联合会</w:t>
      </w:r>
    </w:p>
    <w:p w14:paraId="30455F5E">
      <w:pPr>
        <w:pStyle w:val="8"/>
        <w:numPr>
          <w:ilvl w:val="0"/>
          <w:numId w:val="1"/>
        </w:numPr>
        <w:adjustRightInd w:val="0"/>
        <w:snapToGrid w:val="0"/>
        <w:spacing w:before="93" w:line="600" w:lineRule="exact"/>
        <w:ind w:firstLine="640" w:firstLineChars="200"/>
        <w:outlineLvl w:val="9"/>
        <w:rPr>
          <w:rFonts w:hint="eastAsia" w:ascii="Times New Roman" w:hAnsi="Times New Roman" w:eastAsia="仿宋_GB2312" w:cs="仿宋_GB2312"/>
          <w:color w:val="auto"/>
          <w:sz w:val="32"/>
          <w:szCs w:val="32"/>
          <w:highlight w:val="none"/>
        </w:rPr>
      </w:pPr>
      <w:r>
        <w:rPr>
          <w:rFonts w:hint="default" w:ascii="Times New Roman" w:hAnsi="Times New Roman" w:eastAsia="仿宋_GB2312" w:cs="仿宋_GB2312"/>
          <w:color w:val="auto"/>
          <w:sz w:val="32"/>
          <w:szCs w:val="32"/>
          <w:highlight w:val="none"/>
          <w:lang w:eastAsia="zh-CN"/>
        </w:rPr>
        <w:t>四川藏语佛学院阿坝分院</w:t>
      </w:r>
      <w:bookmarkEnd w:id="15"/>
      <w:bookmarkEnd w:id="16"/>
      <w:bookmarkEnd w:id="17"/>
      <w:bookmarkEnd w:id="18"/>
    </w:p>
    <w:p w14:paraId="426D8746">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32534A1">
      <w:pPr>
        <w:pStyle w:val="3"/>
        <w:jc w:val="center"/>
        <w:outlineLvl w:val="0"/>
        <w:rPr>
          <w:rFonts w:hint="eastAsia" w:ascii="Times New Roman" w:hAnsi="Times New Roman" w:eastAsia="方正小标宋简体" w:cs="方正小标宋简体"/>
          <w:b w:val="0"/>
          <w:color w:val="auto"/>
          <w:highlight w:val="none"/>
        </w:rPr>
      </w:pPr>
      <w:bookmarkStart w:id="19" w:name="_Toc19438"/>
      <w:bookmarkStart w:id="20" w:name="_Toc15396602"/>
      <w:bookmarkStart w:id="2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9"/>
      <w:bookmarkEnd w:id="20"/>
      <w:bookmarkEnd w:id="21"/>
    </w:p>
    <w:p w14:paraId="7545F8D8">
      <w:pPr>
        <w:rPr>
          <w:rFonts w:ascii="Times New Roman" w:hAnsi="Times New Roman"/>
          <w:color w:val="auto"/>
          <w:highlight w:val="none"/>
        </w:rPr>
      </w:pPr>
    </w:p>
    <w:p w14:paraId="08D37E5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2" w:name="_Toc15377205"/>
      <w:bookmarkStart w:id="23" w:name="_Toc15396603"/>
      <w:bookmarkStart w:id="24" w:name="_Toc31314"/>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2"/>
      <w:bookmarkEnd w:id="23"/>
      <w:bookmarkEnd w:id="24"/>
    </w:p>
    <w:p w14:paraId="0047674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41275</wp:posOffset>
            </wp:positionH>
            <wp:positionV relativeFrom="paragraph">
              <wp:posOffset>1226820</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highlight w:val="none"/>
          <w:lang w:val="en-US" w:eastAsia="zh-CN"/>
        </w:rPr>
        <w:t>1446.05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hAnsi="仿宋_GB2312" w:eastAsia="仿宋_GB2312" w:cs="仿宋_GB2312"/>
          <w:sz w:val="32"/>
          <w:szCs w:val="32"/>
          <w:highlight w:val="none"/>
          <w:lang w:val="en-US" w:eastAsia="zh-CN"/>
        </w:rPr>
        <w:t>113.62</w:t>
      </w:r>
      <w:r>
        <w:rPr>
          <w:rFonts w:hint="eastAsia" w:ascii="Times New Roman" w:hAnsi="Times New Roman" w:eastAsia="仿宋_GB2312" w:cs="仿宋_GB2312"/>
          <w:color w:val="auto"/>
          <w:sz w:val="32"/>
          <w:szCs w:val="32"/>
          <w:highlight w:val="none"/>
        </w:rPr>
        <w:t>万元，增长</w:t>
      </w:r>
      <w:r>
        <w:rPr>
          <w:rFonts w:hint="eastAsia" w:ascii="仿宋_GB2312" w:hAnsi="仿宋_GB2312" w:eastAsia="仿宋_GB2312" w:cs="仿宋_GB2312"/>
          <w:sz w:val="32"/>
          <w:szCs w:val="32"/>
          <w:highlight w:val="none"/>
          <w:lang w:val="en-US" w:eastAsia="zh-CN"/>
        </w:rPr>
        <w:t>8.53</w:t>
      </w:r>
      <w:r>
        <w:rPr>
          <w:rFonts w:hint="eastAsia" w:ascii="Times New Roman" w:hAnsi="Times New Roman" w:eastAsia="仿宋_GB2312" w:cs="仿宋_GB2312"/>
          <w:color w:val="auto"/>
          <w:sz w:val="32"/>
          <w:szCs w:val="32"/>
          <w:highlight w:val="none"/>
        </w:rPr>
        <w:t>%。主要变动原因是</w:t>
      </w:r>
      <w:r>
        <w:rPr>
          <w:rFonts w:hint="eastAsia" w:ascii="仿宋_GB2312" w:hAnsi="仿宋_GB2312" w:eastAsia="仿宋_GB2312" w:cs="仿宋_GB2312"/>
          <w:sz w:val="32"/>
          <w:szCs w:val="32"/>
          <w:highlight w:val="none"/>
          <w:lang w:val="en-US" w:eastAsia="zh-CN"/>
        </w:rPr>
        <w:t>人员工资福利增加。</w:t>
      </w:r>
    </w:p>
    <w:p w14:paraId="4A78A49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0506EA68">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5" w:name="_Toc15377206"/>
      <w:bookmarkStart w:id="26" w:name="_Toc20121"/>
      <w:bookmarkStart w:id="27" w:name="_Toc15396604"/>
      <w:r>
        <w:rPr>
          <w:rFonts w:hint="eastAsia" w:ascii="Times New Roman" w:hAnsi="Times New Roman" w:eastAsia="黑体"/>
          <w:color w:val="auto"/>
          <w:sz w:val="32"/>
          <w:szCs w:val="32"/>
          <w:highlight w:val="none"/>
          <w:lang w:eastAsia="zh-CN"/>
        </w:rPr>
        <w:t>二、收入决算情况说明</w:t>
      </w:r>
      <w:bookmarkEnd w:id="25"/>
      <w:bookmarkEnd w:id="26"/>
      <w:bookmarkEnd w:id="27"/>
    </w:p>
    <w:p w14:paraId="3911322F">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sz w:val="32"/>
          <w:szCs w:val="32"/>
          <w:highlight w:val="none"/>
        </w:rPr>
        <w:t>万元，其中：一般公共预算财政拨款收入</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w:t>
      </w:r>
    </w:p>
    <w:p w14:paraId="0BC78930">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p>
    <w:p w14:paraId="620BA407">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1312" behindDoc="0" locked="0" layoutInCell="1" allowOverlap="1">
            <wp:simplePos x="0" y="0"/>
            <wp:positionH relativeFrom="column">
              <wp:posOffset>34290</wp:posOffset>
            </wp:positionH>
            <wp:positionV relativeFrom="paragraph">
              <wp:posOffset>33655</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59AFF399">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8" w:name="_Toc15396605"/>
      <w:bookmarkStart w:id="29" w:name="_Toc15377207"/>
      <w:bookmarkStart w:id="30" w:name="_Toc1487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8"/>
      <w:bookmarkEnd w:id="29"/>
      <w:bookmarkEnd w:id="30"/>
    </w:p>
    <w:p w14:paraId="265AC5DE">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highlight w:val="none"/>
          <w:lang w:val="en-US" w:eastAsia="zh-CN"/>
        </w:rPr>
        <w:t>1216.15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84</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highlight w:val="none"/>
          <w:lang w:val="en-US" w:eastAsia="zh-CN"/>
        </w:rPr>
        <w:t>229.9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color w:val="auto"/>
          <w:sz w:val="32"/>
          <w:szCs w:val="32"/>
          <w:highlight w:val="none"/>
          <w:lang w:eastAsia="zh-CN"/>
        </w:rPr>
        <w:t>%。</w:t>
      </w:r>
    </w:p>
    <w:p w14:paraId="21FFD143">
      <w:pPr>
        <w:jc w:val="center"/>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2336" behindDoc="0" locked="0" layoutInCell="1" allowOverlap="1">
            <wp:simplePos x="0" y="0"/>
            <wp:positionH relativeFrom="column">
              <wp:posOffset>43180</wp:posOffset>
            </wp:positionH>
            <wp:positionV relativeFrom="paragraph">
              <wp:posOffset>76200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5A01262A">
      <w:pPr>
        <w:spacing w:line="600" w:lineRule="exact"/>
        <w:ind w:firstLine="640" w:firstLineChars="200"/>
        <w:outlineLvl w:val="1"/>
        <w:rPr>
          <w:rStyle w:val="32"/>
          <w:rFonts w:ascii="Times New Roman" w:hAnsi="Times New Roman" w:eastAsia="黑体"/>
          <w:b w:val="0"/>
          <w:color w:val="auto"/>
          <w:highlight w:val="none"/>
        </w:rPr>
      </w:pPr>
      <w:bookmarkStart w:id="31" w:name="_Toc27251"/>
      <w:bookmarkStart w:id="32" w:name="_Toc15396606"/>
      <w:bookmarkStart w:id="33" w:name="_Toc15377208"/>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31"/>
      <w:bookmarkEnd w:id="32"/>
      <w:bookmarkEnd w:id="33"/>
    </w:p>
    <w:p w14:paraId="06E577E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highlight w:val="none"/>
          <w:lang w:val="en-US" w:eastAsia="zh-CN"/>
        </w:rPr>
        <w:t>1446.05</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ascii="仿宋_GB2312" w:hAnsi="仿宋_GB2312" w:eastAsia="仿宋_GB2312" w:cs="仿宋_GB2312"/>
          <w:sz w:val="32"/>
          <w:szCs w:val="32"/>
          <w:highlight w:val="none"/>
          <w:lang w:val="en-US" w:eastAsia="zh-CN"/>
        </w:rPr>
        <w:t>113.62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8.53</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人员工资福利增加。</w:t>
      </w:r>
    </w:p>
    <w:p w14:paraId="47B10279">
      <w:pPr>
        <w:pStyle w:val="2"/>
        <w:outlineLvl w:val="9"/>
        <w:rPr>
          <w:rFonts w:hint="eastAsia"/>
          <w:highlight w:val="none"/>
          <w:lang w:val="en-US" w:eastAsia="zh-CN"/>
        </w:rPr>
      </w:pPr>
    </w:p>
    <w:p w14:paraId="5774FC8E">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43815</wp:posOffset>
            </wp:positionH>
            <wp:positionV relativeFrom="paragraph">
              <wp:posOffset>10795</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56DC149D">
      <w:pPr>
        <w:spacing w:line="600" w:lineRule="exact"/>
        <w:ind w:firstLine="640" w:firstLineChars="200"/>
        <w:outlineLvl w:val="1"/>
        <w:rPr>
          <w:rStyle w:val="32"/>
          <w:rFonts w:ascii="Times New Roman" w:hAnsi="Times New Roman" w:eastAsia="黑体"/>
          <w:b w:val="0"/>
          <w:color w:val="auto"/>
          <w:highlight w:val="none"/>
        </w:rPr>
      </w:pPr>
      <w:bookmarkStart w:id="34" w:name="_Toc15377209"/>
      <w:bookmarkStart w:id="35" w:name="_Toc15396607"/>
      <w:bookmarkStart w:id="36" w:name="_Toc15614"/>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34"/>
      <w:bookmarkEnd w:id="35"/>
      <w:bookmarkEnd w:id="36"/>
    </w:p>
    <w:p w14:paraId="48CD862A">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7"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7"/>
    </w:p>
    <w:p w14:paraId="2B99C60C">
      <w:pPr>
        <w:spacing w:line="600" w:lineRule="exact"/>
        <w:ind w:firstLine="640"/>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ascii="仿宋_GB2312" w:hAnsi="仿宋_GB2312" w:eastAsia="仿宋_GB2312" w:cs="仿宋_GB2312"/>
          <w:sz w:val="32"/>
          <w:szCs w:val="32"/>
          <w:highlight w:val="none"/>
          <w:lang w:val="en-US" w:eastAsia="zh-CN"/>
        </w:rPr>
        <w:t>151.22</w:t>
      </w:r>
      <w:r>
        <w:rPr>
          <w:rFonts w:hint="eastAsia" w:ascii="仿宋_GB2312" w:hAnsi="仿宋_GB2312"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11.68</w:t>
      </w:r>
      <w:r>
        <w:rPr>
          <w:rFonts w:hint="eastAsia" w:ascii="仿宋_GB2312" w:hAnsi="仿宋_GB2312"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人员工资福利增加。</w:t>
      </w:r>
    </w:p>
    <w:p w14:paraId="0911C3F2">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33DBE715">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6AE4BCB4">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5EA93293">
      <w:pPr>
        <w:spacing w:line="600" w:lineRule="exact"/>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61595</wp:posOffset>
            </wp:positionH>
            <wp:positionV relativeFrom="paragraph">
              <wp:posOffset>42545</wp:posOffset>
            </wp:positionV>
            <wp:extent cx="5256530" cy="2988310"/>
            <wp:effectExtent l="5080" t="4445" r="15240" b="1714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5176ACCA">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628C330E">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8"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8"/>
    </w:p>
    <w:p w14:paraId="469E755E">
      <w:pPr>
        <w:spacing w:line="600" w:lineRule="exact"/>
        <w:ind w:firstLine="640"/>
        <w:outlineLvl w:val="9"/>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ascii="仿宋_GB2312" w:hAnsi="仿宋_GB2312" w:eastAsia="仿宋_GB2312" w:cs="仿宋_GB2312"/>
          <w:sz w:val="32"/>
          <w:szCs w:val="32"/>
          <w:highlight w:val="none"/>
          <w:lang w:val="en-US" w:eastAsia="zh-CN"/>
        </w:rPr>
        <w:t>1214.55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84</w:t>
      </w:r>
      <w:r>
        <w:rPr>
          <w:rFonts w:hint="eastAsia" w:ascii="Times New Roman" w:hAnsi="Times New Roman" w:eastAsia="仿宋_GB2312" w:cs="仿宋_GB2312"/>
          <w:color w:val="auto"/>
          <w:kern w:val="2"/>
          <w:sz w:val="32"/>
          <w:szCs w:val="32"/>
          <w:highlight w:val="none"/>
          <w:lang w:val="en-US" w:eastAsia="zh-CN" w:bidi="ar-SA"/>
        </w:rPr>
        <w:t>%；公教育支出</w:t>
      </w:r>
      <w:r>
        <w:rPr>
          <w:rFonts w:hint="eastAsia" w:ascii="仿宋_GB2312" w:hAnsi="仿宋_GB2312" w:eastAsia="仿宋_GB2312" w:cs="仿宋_GB2312"/>
          <w:sz w:val="32"/>
          <w:szCs w:val="32"/>
          <w:highlight w:val="none"/>
          <w:lang w:val="en-US" w:eastAsia="zh-CN"/>
        </w:rPr>
        <w:t>0.4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ascii="仿宋_GB2312" w:hAnsi="仿宋_GB2312" w:eastAsia="仿宋_GB2312" w:cs="仿宋_GB2312"/>
          <w:sz w:val="32"/>
          <w:szCs w:val="32"/>
          <w:highlight w:val="none"/>
          <w:lang w:val="en-US" w:eastAsia="zh-CN"/>
        </w:rPr>
        <w:t>114.98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ascii="仿宋_GB2312" w:hAnsi="仿宋_GB2312" w:eastAsia="仿宋_GB2312" w:cs="仿宋_GB2312"/>
          <w:sz w:val="32"/>
          <w:szCs w:val="32"/>
          <w:highlight w:val="none"/>
          <w:lang w:val="en-US" w:eastAsia="zh-CN"/>
        </w:rPr>
        <w:t>47.36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ascii="仿宋_GB2312" w:hAnsi="仿宋_GB2312" w:eastAsia="仿宋_GB2312" w:cs="仿宋_GB2312"/>
          <w:sz w:val="32"/>
          <w:szCs w:val="32"/>
          <w:highlight w:val="none"/>
          <w:lang w:val="en-US" w:eastAsia="zh-CN"/>
        </w:rPr>
        <w:t>68.76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128E98B">
      <w:pPr>
        <w:pStyle w:val="10"/>
        <w:ind w:left="0" w:leftChars="0" w:firstLine="0" w:firstLineChars="0"/>
        <w:outlineLvl w:val="9"/>
        <w:rPr>
          <w:rFonts w:hint="eastAsia"/>
          <w:highlight w:val="none"/>
          <w:lang w:val="en-US" w:eastAsia="zh-CN"/>
        </w:rPr>
      </w:pPr>
    </w:p>
    <w:p w14:paraId="373F564D">
      <w:pPr>
        <w:pStyle w:val="10"/>
        <w:ind w:left="0" w:leftChars="0" w:firstLine="0" w:firstLineChars="0"/>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s="仿宋"/>
          <w:color w:val="auto"/>
          <w:sz w:val="32"/>
          <w:szCs w:val="32"/>
          <w:highlight w:val="none"/>
          <w:lang w:val="zh-CN"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60E76A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57FBB1A0">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9"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9"/>
    </w:p>
    <w:p w14:paraId="32C683C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bookmarkStart w:id="40" w:name="_Toc15378460"/>
      <w:bookmarkStart w:id="41" w:name="_Toc15377213"/>
      <w:bookmarkStart w:id="42"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highlight w:val="none"/>
          <w:lang w:val="en-US" w:eastAsia="zh-CN"/>
        </w:rPr>
        <w:t>1446.05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0"/>
      <w:bookmarkEnd w:id="41"/>
      <w:bookmarkEnd w:id="42"/>
    </w:p>
    <w:p w14:paraId="42D5145D">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）行政运行（01）:支出决算为</w:t>
      </w:r>
      <w:r>
        <w:rPr>
          <w:rFonts w:hint="eastAsia" w:eastAsia="仿宋_GB2312" w:cs="仿宋_GB2312"/>
          <w:color w:val="auto"/>
          <w:kern w:val="2"/>
          <w:sz w:val="32"/>
          <w:szCs w:val="32"/>
          <w:highlight w:val="none"/>
          <w:lang w:val="en-US" w:eastAsia="zh-CN" w:bidi="ar-SA"/>
        </w:rPr>
        <w:t>985.05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3E02B637">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222.5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002A3328">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）其他统战事务支出（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94BD655">
      <w:pPr>
        <w:pStyle w:val="2"/>
        <w:rPr>
          <w:rFonts w:hint="eastAsia"/>
          <w:highlight w:val="none"/>
          <w:lang w:val="en-US" w:eastAsia="zh-CN"/>
        </w:rPr>
      </w:pPr>
    </w:p>
    <w:p w14:paraId="2B15000D">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教育支出（20</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0.4</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2FC3AF1B">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社会保障和就业支出（208）行政事业单位养老支出（05）机关事业单位基本养老保险缴费支出（05）:支出决算为</w:t>
      </w:r>
      <w:r>
        <w:rPr>
          <w:rFonts w:hint="eastAsia" w:eastAsia="仿宋_GB2312" w:cs="仿宋_GB2312"/>
          <w:color w:val="auto"/>
          <w:kern w:val="2"/>
          <w:sz w:val="32"/>
          <w:szCs w:val="32"/>
          <w:highlight w:val="none"/>
          <w:lang w:val="en-US" w:eastAsia="zh-CN" w:bidi="ar-SA"/>
        </w:rPr>
        <w:t>76.53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16C22E91">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社会保障和就业支出（208）行政事业单位养老支出（05）机关事业单位职业年金缴费支出（06）:支出决算为</w:t>
      </w:r>
      <w:r>
        <w:rPr>
          <w:rFonts w:hint="eastAsia" w:eastAsia="仿宋_GB2312" w:cs="仿宋_GB2312"/>
          <w:color w:val="auto"/>
          <w:kern w:val="2"/>
          <w:sz w:val="32"/>
          <w:szCs w:val="32"/>
          <w:highlight w:val="none"/>
          <w:lang w:val="en-US" w:eastAsia="zh-CN" w:bidi="ar-SA"/>
        </w:rPr>
        <w:t>38.34</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03478D89">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卫生健康支出（210）行政事业单位医疗（11）行政单位医疗（01）:支出决算为</w:t>
      </w:r>
      <w:r>
        <w:rPr>
          <w:rFonts w:hint="eastAsia" w:eastAsia="仿宋_GB2312" w:cs="仿宋_GB2312"/>
          <w:color w:val="auto"/>
          <w:kern w:val="2"/>
          <w:sz w:val="32"/>
          <w:szCs w:val="32"/>
          <w:highlight w:val="none"/>
          <w:lang w:val="en-US" w:eastAsia="zh-CN" w:bidi="ar-SA"/>
        </w:rPr>
        <w:t>21.28</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4209C673">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卫生健康支出（210）行政事业单位医疗（11）公务员医疗补助（03）:支出决算为</w:t>
      </w:r>
      <w:r>
        <w:rPr>
          <w:rFonts w:hint="eastAsia" w:eastAsia="仿宋_GB2312" w:cs="仿宋_GB2312"/>
          <w:color w:val="auto"/>
          <w:kern w:val="2"/>
          <w:sz w:val="32"/>
          <w:szCs w:val="32"/>
          <w:highlight w:val="none"/>
          <w:lang w:val="en-US" w:eastAsia="zh-CN" w:bidi="ar-SA"/>
        </w:rPr>
        <w:t>7.52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1804901D">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住房保障支出（221）住房改革支出（02）住房公积金（01）:支出决算为</w:t>
      </w:r>
      <w:r>
        <w:rPr>
          <w:rFonts w:hint="eastAsia" w:eastAsia="仿宋_GB2312" w:cs="仿宋_GB2312"/>
          <w:color w:val="auto"/>
          <w:kern w:val="2"/>
          <w:sz w:val="32"/>
          <w:szCs w:val="32"/>
          <w:highlight w:val="none"/>
          <w:lang w:val="en-US" w:eastAsia="zh-CN" w:bidi="ar-SA"/>
        </w:rPr>
        <w:t>70.19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77C30E4">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住房保障支出（221）住房改革支出（02）购房补贴（0</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1FC5B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92899EA">
      <w:pPr>
        <w:tabs>
          <w:tab w:val="right" w:pos="8306"/>
        </w:tabs>
        <w:spacing w:line="600" w:lineRule="exact"/>
        <w:ind w:firstLine="640"/>
        <w:outlineLvl w:val="1"/>
        <w:rPr>
          <w:rStyle w:val="32"/>
          <w:rFonts w:ascii="Times New Roman" w:hAnsi="Times New Roman"/>
          <w:color w:val="auto"/>
          <w:highlight w:val="none"/>
        </w:rPr>
      </w:pPr>
      <w:bookmarkStart w:id="43" w:name="_Toc9770"/>
      <w:bookmarkStart w:id="44" w:name="_Toc15377214"/>
      <w:bookmarkStart w:id="4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43"/>
      <w:bookmarkEnd w:id="44"/>
      <w:bookmarkEnd w:id="45"/>
      <w:r>
        <w:rPr>
          <w:rStyle w:val="32"/>
          <w:rFonts w:ascii="Times New Roman" w:hAnsi="Times New Roman" w:eastAsia="黑体"/>
          <w:b w:val="0"/>
          <w:color w:val="auto"/>
          <w:highlight w:val="none"/>
        </w:rPr>
        <w:tab/>
      </w:r>
    </w:p>
    <w:p w14:paraId="3F8DB63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highlight w:val="none"/>
          <w:lang w:val="en-US" w:eastAsia="zh-CN"/>
        </w:rPr>
        <w:t>1216.15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652D97B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highlight w:val="none"/>
          <w:lang w:val="en-US" w:eastAsia="zh-CN"/>
        </w:rPr>
        <w:t>928.25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highlight w:val="none"/>
          <w:lang w:val="en-US" w:eastAsia="zh-CN"/>
        </w:rPr>
        <w:t>287.9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办公费、印刷费、咨询费、手续费、水费、电费、邮电费、物业管理费、差旅费、维修（护）费、租赁费、会议费、培训费、公务接待费、劳务费、委托业务费、工会经费、福利费、公务用车运行维护费、其他交通费、其他商品和服务支出、办公设备购置、专用设备购置、信息网络及软件购置更新等。</w:t>
      </w:r>
    </w:p>
    <w:p w14:paraId="081D479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32232BB">
      <w:pPr>
        <w:spacing w:line="600" w:lineRule="exact"/>
        <w:ind w:firstLine="640"/>
        <w:outlineLvl w:val="1"/>
        <w:rPr>
          <w:rStyle w:val="32"/>
          <w:rFonts w:ascii="Times New Roman" w:hAnsi="Times New Roman" w:eastAsia="黑体"/>
          <w:b w:val="0"/>
          <w:color w:val="auto"/>
          <w:highlight w:val="none"/>
        </w:rPr>
      </w:pPr>
      <w:bookmarkStart w:id="46" w:name="_Toc15396609"/>
      <w:bookmarkStart w:id="47" w:name="_Toc15377215"/>
      <w:bookmarkStart w:id="48" w:name="_Toc26098"/>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46"/>
      <w:bookmarkEnd w:id="47"/>
      <w:bookmarkEnd w:id="48"/>
    </w:p>
    <w:p w14:paraId="3CCB4AC1">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49"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9"/>
    </w:p>
    <w:p w14:paraId="2370DED8">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highlight w:val="none"/>
          <w:lang w:val="en-US" w:eastAsia="zh-CN"/>
        </w:rPr>
        <w:t>72.53</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w:t>
      </w:r>
      <w:r>
        <w:rPr>
          <w:rFonts w:hint="eastAsia" w:eastAsia="仿宋_GB2312" w:cs="仿宋_GB2312"/>
          <w:color w:val="auto"/>
          <w:kern w:val="2"/>
          <w:sz w:val="32"/>
          <w:szCs w:val="32"/>
          <w:highlight w:val="none"/>
          <w:lang w:val="en-US" w:eastAsia="zh-CN" w:bidi="ar-SA"/>
        </w:rPr>
        <w:t>减少</w:t>
      </w:r>
      <w:r>
        <w:rPr>
          <w:rFonts w:hint="eastAsia" w:ascii="仿宋_GB2312" w:hAnsi="仿宋_GB2312" w:eastAsia="仿宋_GB2312" w:cs="仿宋_GB2312"/>
          <w:sz w:val="32"/>
          <w:szCs w:val="32"/>
          <w:highlight w:val="none"/>
          <w:lang w:val="en-US" w:eastAsia="zh-CN"/>
        </w:rPr>
        <w:t>3.63</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w:t>
      </w:r>
      <w:r>
        <w:rPr>
          <w:rFonts w:hint="eastAsia" w:ascii="仿宋_GB2312" w:hAnsi="仿宋_GB2312" w:eastAsia="仿宋_GB2312" w:cs="仿宋_GB2312"/>
          <w:sz w:val="32"/>
          <w:szCs w:val="32"/>
          <w:highlight w:val="none"/>
          <w:lang w:val="en-US" w:eastAsia="zh-CN"/>
        </w:rPr>
        <w:t>4.77</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ascii="仿宋_GB2312" w:hAnsi="仿宋_GB2312" w:eastAsia="仿宋_GB2312" w:cs="仿宋_GB2312"/>
          <w:sz w:val="32"/>
          <w:szCs w:val="32"/>
          <w:highlight w:val="none"/>
          <w:lang w:val="en-US" w:eastAsia="zh-CN"/>
        </w:rPr>
        <w:t>。</w:t>
      </w:r>
    </w:p>
    <w:p w14:paraId="46323A85">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50"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0"/>
    </w:p>
    <w:p w14:paraId="73ED10F1">
      <w:pPr>
        <w:spacing w:line="600" w:lineRule="exact"/>
        <w:ind w:firstLine="640"/>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highlight w:val="none"/>
          <w:lang w:val="en-US" w:eastAsia="zh-CN"/>
        </w:rPr>
        <w:t>69</w:t>
      </w:r>
      <w:r>
        <w:rPr>
          <w:rFonts w:hint="eastAsia" w:ascii="仿宋_GB2312" w:hAnsi="仿宋_GB2312" w:eastAsia="仿宋_GB2312" w:cs="仿宋_GB2312"/>
          <w:color w:val="auto"/>
          <w:kern w:val="2"/>
          <w:sz w:val="32"/>
          <w:szCs w:val="32"/>
          <w:highlight w:val="none"/>
          <w:lang w:val="en-US" w:eastAsia="zh-CN" w:bidi="ar-SA"/>
        </w:rPr>
        <w:t>万元，占95%；公务接待费支出决算</w:t>
      </w:r>
      <w:r>
        <w:rPr>
          <w:rFonts w:hint="eastAsia" w:ascii="仿宋_GB2312" w:hAnsi="仿宋_GB2312" w:eastAsia="仿宋_GB2312" w:cs="仿宋_GB2312"/>
          <w:sz w:val="32"/>
          <w:szCs w:val="32"/>
          <w:highlight w:val="none"/>
          <w:lang w:val="en-US" w:eastAsia="zh-CN"/>
        </w:rPr>
        <w:t>3.53</w:t>
      </w:r>
      <w:r>
        <w:rPr>
          <w:rFonts w:hint="eastAsia" w:ascii="仿宋_GB2312" w:hAnsi="仿宋_GB2312" w:eastAsia="仿宋_GB2312" w:cs="仿宋_GB2312"/>
          <w:color w:val="auto"/>
          <w:kern w:val="2"/>
          <w:sz w:val="32"/>
          <w:szCs w:val="32"/>
          <w:highlight w:val="none"/>
          <w:lang w:val="en-US" w:eastAsia="zh-CN" w:bidi="ar-SA"/>
        </w:rPr>
        <w:t>万元，占5%。具体情况如下：</w:t>
      </w:r>
    </w:p>
    <w:p w14:paraId="67DF90F9">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highlight w:val="none"/>
          <w:lang w:val="en-US" w:eastAsia="zh-CN"/>
        </w:rPr>
        <w:drawing>
          <wp:anchor distT="0" distB="0" distL="114300" distR="114300" simplePos="0" relativeHeight="251659264" behindDoc="0" locked="0" layoutInCell="1" allowOverlap="1">
            <wp:simplePos x="0" y="0"/>
            <wp:positionH relativeFrom="column">
              <wp:posOffset>71755</wp:posOffset>
            </wp:positionH>
            <wp:positionV relativeFrom="paragraph">
              <wp:posOffset>90170</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5F9EB7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0A53B0D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sz w:val="32"/>
          <w:szCs w:val="32"/>
          <w:highlight w:val="none"/>
          <w:lang w:val="en-US" w:eastAsia="zh-CN"/>
        </w:rPr>
        <w:t>69</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w:t>
      </w:r>
      <w:r>
        <w:rPr>
          <w:rFonts w:hint="eastAsia" w:eastAsia="仿宋_GB2312" w:cs="仿宋_GB2312"/>
          <w:color w:val="auto"/>
          <w:kern w:val="2"/>
          <w:sz w:val="32"/>
          <w:szCs w:val="32"/>
          <w:highlight w:val="none"/>
          <w:lang w:val="en-US" w:eastAsia="zh-CN" w:bidi="ar-SA"/>
        </w:rPr>
        <w:t>减少</w:t>
      </w:r>
      <w:r>
        <w:rPr>
          <w:rFonts w:hint="eastAsia" w:ascii="仿宋_GB2312" w:hAnsi="仿宋_GB2312" w:eastAsia="仿宋_GB2312" w:cs="仿宋_GB2312"/>
          <w:sz w:val="32"/>
          <w:szCs w:val="32"/>
          <w:highlight w:val="none"/>
          <w:lang w:val="en-US" w:eastAsia="zh-CN"/>
        </w:rPr>
        <w:t>4.98</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w:t>
      </w:r>
      <w:r>
        <w:rPr>
          <w:rFonts w:hint="eastAsia" w:ascii="仿宋_GB2312" w:hAnsi="仿宋_GB2312" w:eastAsia="仿宋_GB2312" w:cs="仿宋_GB2312"/>
          <w:sz w:val="32"/>
          <w:szCs w:val="32"/>
          <w:highlight w:val="none"/>
          <w:lang w:val="en-US" w:eastAsia="zh-CN"/>
        </w:rPr>
        <w:t>6.73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_GB2312" w:eastAsia="仿宋_GB2312" w:cs="仿宋_GB2312"/>
          <w:sz w:val="32"/>
          <w:szCs w:val="32"/>
          <w:highlight w:val="none"/>
          <w:lang w:val="en-US" w:eastAsia="zh-CN"/>
        </w:rPr>
        <w:t>公务用车运行维护费减少。</w:t>
      </w:r>
    </w:p>
    <w:p w14:paraId="4DDA208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辆。</w:t>
      </w:r>
    </w:p>
    <w:p w14:paraId="4A38F644">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ascii="仿宋_GB2312" w:hAnsi="仿宋_GB2312" w:eastAsia="仿宋_GB2312" w:cs="仿宋_GB2312"/>
          <w:sz w:val="32"/>
          <w:szCs w:val="32"/>
          <w:highlight w:val="none"/>
          <w:lang w:val="en-US" w:eastAsia="zh-CN"/>
        </w:rPr>
        <w:t>6</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425EFF9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69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日常公务</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5A264BE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sz w:val="32"/>
          <w:szCs w:val="32"/>
          <w:highlight w:val="none"/>
          <w:lang w:val="en-US" w:eastAsia="zh-CN"/>
        </w:rPr>
        <w:t>3.53</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%。其中：</w:t>
      </w:r>
    </w:p>
    <w:p w14:paraId="4D9B631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3.53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296</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ascii="仿宋_GB2312" w:hAnsi="仿宋_GB2312" w:eastAsia="仿宋_GB2312" w:cs="仿宋_GB2312"/>
          <w:sz w:val="32"/>
          <w:szCs w:val="32"/>
          <w:highlight w:val="none"/>
          <w:lang w:val="en-US" w:eastAsia="zh-CN"/>
        </w:rPr>
        <w:t>3.53</w:t>
      </w:r>
      <w:r>
        <w:rPr>
          <w:rFonts w:hint="eastAsia" w:ascii="Times New Roman" w:hAnsi="Times New Roman" w:eastAsia="仿宋_GB2312" w:cs="仿宋_GB2312"/>
          <w:color w:val="auto"/>
          <w:kern w:val="2"/>
          <w:sz w:val="32"/>
          <w:szCs w:val="32"/>
          <w:highlight w:val="none"/>
          <w:lang w:val="en-US" w:eastAsia="zh-CN" w:bidi="ar-SA"/>
        </w:rPr>
        <w:t>万元。</w:t>
      </w:r>
    </w:p>
    <w:p w14:paraId="609F30A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51" w:name="_Toc15377218"/>
      <w:bookmarkStart w:id="52" w:name="_Toc15396610"/>
    </w:p>
    <w:p w14:paraId="16B733E7">
      <w:pPr>
        <w:spacing w:line="600" w:lineRule="exact"/>
        <w:ind w:firstLine="640"/>
        <w:outlineLvl w:val="1"/>
        <w:rPr>
          <w:rStyle w:val="32"/>
          <w:rFonts w:ascii="Times New Roman" w:hAnsi="Times New Roman" w:eastAsia="黑体"/>
          <w:color w:val="auto"/>
          <w:highlight w:val="none"/>
        </w:rPr>
      </w:pPr>
      <w:bookmarkStart w:id="53" w:name="_Toc7073"/>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51"/>
      <w:bookmarkEnd w:id="52"/>
      <w:bookmarkEnd w:id="53"/>
    </w:p>
    <w:p w14:paraId="05B5037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w:t>
      </w:r>
    </w:p>
    <w:p w14:paraId="0116953A">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54" w:name="_Toc15377219"/>
      <w:bookmarkStart w:id="55" w:name="_Toc9897"/>
      <w:bookmarkStart w:id="56" w:name="_Toc15396611"/>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54"/>
      <w:bookmarkEnd w:id="55"/>
      <w:bookmarkEnd w:id="56"/>
    </w:p>
    <w:p w14:paraId="10E1E4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370398F">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57" w:name="_Toc8130"/>
      <w:bookmarkStart w:id="58" w:name="_Toc15396612"/>
      <w:bookmarkStart w:id="59" w:name="_Toc15377221"/>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57"/>
      <w:bookmarkEnd w:id="58"/>
      <w:bookmarkEnd w:id="59"/>
    </w:p>
    <w:p w14:paraId="0DCF67A4">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60" w:name="_Toc15377222"/>
      <w:r>
        <w:rPr>
          <w:rFonts w:hint="eastAsia" w:ascii="Times New Roman" w:hAnsi="Times New Roman" w:eastAsia="楷体_GB2312" w:cs="楷体_GB2312"/>
          <w:b/>
          <w:color w:val="auto"/>
          <w:sz w:val="32"/>
          <w:szCs w:val="32"/>
          <w:highlight w:val="none"/>
        </w:rPr>
        <w:t>（一）机关运行经费支出情况</w:t>
      </w:r>
      <w:bookmarkEnd w:id="60"/>
    </w:p>
    <w:p w14:paraId="3AA99B37">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highlight w:val="none"/>
          <w:lang w:val="en-US" w:eastAsia="zh-CN"/>
        </w:rPr>
        <w:t>287.9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ascii="仿宋_GB2312" w:hAnsi="仿宋_GB2312" w:eastAsia="仿宋_GB2312" w:cs="仿宋_GB2312"/>
          <w:sz w:val="32"/>
          <w:szCs w:val="32"/>
          <w:highlight w:val="none"/>
          <w:lang w:val="en-US" w:eastAsia="zh-CN"/>
        </w:rPr>
        <w:t>92.56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47.39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_GB2312" w:eastAsia="仿宋_GB2312" w:cs="仿宋_GB2312"/>
          <w:sz w:val="32"/>
          <w:szCs w:val="32"/>
          <w:highlight w:val="none"/>
          <w:lang w:val="en-US" w:eastAsia="zh-CN"/>
        </w:rPr>
        <w:t>人员工资福利增加。</w:t>
      </w:r>
    </w:p>
    <w:p w14:paraId="22965F37">
      <w:pPr>
        <w:spacing w:line="600" w:lineRule="exact"/>
        <w:ind w:firstLine="643" w:firstLineChars="200"/>
        <w:outlineLvl w:val="9"/>
        <w:rPr>
          <w:rFonts w:hint="eastAsia" w:ascii="Times New Roman" w:hAnsi="Times New Roman" w:eastAsia="楷体_GB2312" w:cs="楷体_GB2312"/>
          <w:b/>
          <w:color w:val="FF0000"/>
          <w:sz w:val="32"/>
          <w:szCs w:val="32"/>
          <w:highlight w:val="none"/>
          <w:lang w:eastAsia="zh-CN"/>
        </w:rPr>
      </w:pPr>
      <w:bookmarkStart w:id="61" w:name="_Toc15377223"/>
      <w:r>
        <w:rPr>
          <w:rFonts w:hint="eastAsia" w:ascii="Times New Roman" w:hAnsi="Times New Roman" w:eastAsia="楷体_GB2312" w:cs="楷体_GB2312"/>
          <w:b/>
          <w:color w:val="auto"/>
          <w:sz w:val="32"/>
          <w:szCs w:val="32"/>
          <w:highlight w:val="none"/>
        </w:rPr>
        <w:t>（二）政府采购支出情况</w:t>
      </w:r>
      <w:bookmarkEnd w:id="61"/>
    </w:p>
    <w:p w14:paraId="75840CD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p>
    <w:p w14:paraId="5C24164F">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62" w:name="_Toc15377224"/>
      <w:r>
        <w:rPr>
          <w:rFonts w:hint="eastAsia" w:ascii="Times New Roman" w:hAnsi="Times New Roman" w:eastAsia="楷体_GB2312" w:cs="楷体_GB2312"/>
          <w:b/>
          <w:color w:val="auto"/>
          <w:sz w:val="32"/>
          <w:szCs w:val="32"/>
          <w:highlight w:val="none"/>
        </w:rPr>
        <w:t>（三）国有资产占有使用情况</w:t>
      </w:r>
      <w:bookmarkEnd w:id="62"/>
    </w:p>
    <w:p w14:paraId="7CD481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kern w:val="2"/>
          <w:sz w:val="32"/>
          <w:szCs w:val="32"/>
          <w:highlight w:val="none"/>
          <w:lang w:val="en-US" w:eastAsia="zh-CN" w:bidi="ar-SA"/>
        </w:rPr>
        <w:t>辆，其他用车主要是用于日常公务用车。单价100万元（含）以上设备（不含车辆）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0986637">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6D0C60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（项目涉密）</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BD846F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等全面开展</w:t>
      </w:r>
      <w:r>
        <w:rPr>
          <w:rFonts w:hint="eastAsia" w:eastAsia="仿宋_GB2312" w:cs="仿宋_GB2312"/>
          <w:color w:val="auto"/>
          <w:kern w:val="2"/>
          <w:sz w:val="32"/>
          <w:szCs w:val="32"/>
          <w:highlight w:val="none"/>
          <w:lang w:val="en-US" w:eastAsia="zh-CN" w:bidi="ar-SA"/>
        </w:rPr>
        <w:t>了</w:t>
      </w:r>
      <w:r>
        <w:rPr>
          <w:rFonts w:hint="eastAsia" w:ascii="Times New Roman" w:hAnsi="Times New Roman" w:eastAsia="仿宋_GB2312" w:cs="仿宋_GB2312"/>
          <w:color w:val="auto"/>
          <w:kern w:val="2"/>
          <w:sz w:val="32"/>
          <w:szCs w:val="32"/>
          <w:highlight w:val="none"/>
          <w:lang w:val="en-US" w:eastAsia="zh-CN" w:bidi="ar-SA"/>
        </w:rPr>
        <w:t>绩效自评，形成</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部门整体绩效自评报告、</w:t>
      </w:r>
      <w:r>
        <w:rPr>
          <w:rFonts w:hint="eastAsia" w:eastAsia="仿宋_GB2312" w:cs="仿宋_GB2312"/>
          <w:color w:val="auto"/>
          <w:kern w:val="2"/>
          <w:sz w:val="32"/>
          <w:szCs w:val="32"/>
          <w:highlight w:val="none"/>
          <w:lang w:val="en-US" w:eastAsia="zh-CN" w:bidi="ar-SA"/>
        </w:rPr>
        <w:t>我单位不涉</w:t>
      </w:r>
      <w:r>
        <w:rPr>
          <w:rFonts w:hint="eastAsia" w:ascii="Times New Roman" w:hAnsi="Times New Roman" w:eastAsia="仿宋_GB2312" w:cs="仿宋_GB2312"/>
          <w:color w:val="auto"/>
          <w:kern w:val="2"/>
          <w:sz w:val="32"/>
          <w:szCs w:val="32"/>
          <w:highlight w:val="none"/>
          <w:lang w:val="en-US" w:eastAsia="zh-CN" w:bidi="ar-SA"/>
        </w:rPr>
        <w:t>专项预算项目绩效自评报告</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中共阿坝藏族羌族自治州委员会统战部</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89.33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年1-</w:t>
      </w:r>
      <w:r>
        <w:rPr>
          <w:rFonts w:hint="default" w:ascii="Times New Roman" w:hAnsi="Times New Roman" w:eastAsia="仿宋_GB2312" w:cs="Times New Roman"/>
          <w:color w:val="000000"/>
          <w:kern w:val="0"/>
          <w:sz w:val="32"/>
          <w:szCs w:val="32"/>
          <w:highlight w:val="none"/>
          <w:shd w:val="clear" w:color="auto" w:fill="FFFFFF"/>
        </w:rPr>
        <w:t>12</w:t>
      </w:r>
      <w:r>
        <w:rPr>
          <w:rFonts w:hint="default" w:ascii="Times New Roman" w:hAnsi="Times New Roman" w:eastAsia="仿宋_GB2312" w:cs="Times New Roman"/>
          <w:color w:val="000000"/>
          <w:kern w:val="0"/>
          <w:sz w:val="32"/>
          <w:szCs w:val="32"/>
          <w:highlight w:val="none"/>
          <w:shd w:val="clear" w:color="auto" w:fill="FFFFFF"/>
          <w:lang w:val="zh-CN"/>
        </w:rPr>
        <w:t>月，州委统战部力争做到每笔经费严格按经济活动事由支出，按财经制度要求积极调剂使用内部经费，杜绝资金沉淀和低效使用，在保障工作运转的同时节约高效使用每笔经费。</w:t>
      </w:r>
      <w:r>
        <w:rPr>
          <w:rFonts w:hint="default" w:ascii="Times New Roman" w:hAnsi="Times New Roman" w:eastAsia="仿宋_GB2312" w:cs="Times New Roman"/>
          <w:kern w:val="0"/>
          <w:sz w:val="32"/>
          <w:szCs w:val="32"/>
          <w:highlight w:val="none"/>
        </w:rPr>
        <w:t>以高度的政治责任和思想认识推进各项工作开展，切实履行了部门职责，部门预算管理、财务管理、资产管理和采购管理等规范有序，较好地完成了各项年度任务，部门预算支出使用效益达到预期</w:t>
      </w:r>
      <w:r>
        <w:rPr>
          <w:rFonts w:hint="eastAsia" w:ascii="Times New Roman" w:hAnsi="Times New Roman" w:eastAsia="仿宋_GB2312" w:cs="仿宋_GB2312"/>
          <w:color w:val="auto"/>
          <w:kern w:val="2"/>
          <w:sz w:val="32"/>
          <w:szCs w:val="32"/>
          <w:highlight w:val="none"/>
          <w:lang w:val="en-US" w:eastAsia="zh-CN" w:bidi="ar-SA"/>
        </w:rPr>
        <w:t>。</w:t>
      </w:r>
    </w:p>
    <w:p w14:paraId="35777AAA">
      <w:pPr>
        <w:spacing w:line="600" w:lineRule="exact"/>
        <w:ind w:firstLine="640"/>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部门整体</w:t>
      </w:r>
      <w:r>
        <w:rPr>
          <w:rFonts w:hint="eastAsia" w:ascii="Times New Roman" w:hAnsi="Times New Roman" w:eastAsia="仿宋_GB2312" w:cs="仿宋_GB2312"/>
          <w:color w:val="auto"/>
          <w:kern w:val="2"/>
          <w:sz w:val="32"/>
          <w:szCs w:val="32"/>
          <w:highlight w:val="none"/>
          <w:lang w:val="en-US" w:eastAsia="zh-CN" w:bidi="ar-SA"/>
        </w:rPr>
        <w:t>绩效自评报告详见附件</w:t>
      </w:r>
      <w:r>
        <w:rPr>
          <w:rFonts w:hint="eastAsia" w:eastAsia="仿宋_GB2312" w:cs="仿宋_GB2312"/>
          <w:color w:val="auto"/>
          <w:kern w:val="2"/>
          <w:sz w:val="32"/>
          <w:szCs w:val="32"/>
          <w:highlight w:val="none"/>
          <w:lang w:val="en-US" w:eastAsia="zh-CN" w:bidi="ar-SA"/>
        </w:rPr>
        <w:t>。</w:t>
      </w:r>
    </w:p>
    <w:p w14:paraId="136EC9AD">
      <w:pPr>
        <w:pStyle w:val="2"/>
        <w:rPr>
          <w:rFonts w:hint="eastAsia" w:eastAsia="仿宋_GB2312" w:cs="仿宋_GB2312"/>
          <w:color w:val="auto"/>
          <w:kern w:val="2"/>
          <w:sz w:val="32"/>
          <w:szCs w:val="32"/>
          <w:highlight w:val="none"/>
          <w:lang w:val="en-US" w:eastAsia="zh-CN" w:bidi="ar-SA"/>
        </w:rPr>
      </w:pPr>
    </w:p>
    <w:p w14:paraId="1CB8DA70">
      <w:pPr>
        <w:pStyle w:val="2"/>
        <w:rPr>
          <w:rFonts w:hint="eastAsia" w:eastAsia="仿宋_GB2312" w:cs="仿宋_GB2312"/>
          <w:color w:val="auto"/>
          <w:kern w:val="2"/>
          <w:sz w:val="32"/>
          <w:szCs w:val="32"/>
          <w:highlight w:val="none"/>
          <w:lang w:val="en-US" w:eastAsia="zh-CN" w:bidi="ar-SA"/>
        </w:rPr>
      </w:pPr>
    </w:p>
    <w:p w14:paraId="24F97FE4">
      <w:pPr>
        <w:pStyle w:val="2"/>
        <w:rPr>
          <w:rFonts w:hint="eastAsia" w:eastAsia="仿宋_GB2312" w:cs="仿宋_GB2312"/>
          <w:color w:val="auto"/>
          <w:kern w:val="2"/>
          <w:sz w:val="32"/>
          <w:szCs w:val="32"/>
          <w:highlight w:val="none"/>
          <w:lang w:val="en-US" w:eastAsia="zh-CN" w:bidi="ar-SA"/>
        </w:rPr>
      </w:pPr>
    </w:p>
    <w:p w14:paraId="198474D1">
      <w:pPr>
        <w:pStyle w:val="2"/>
        <w:rPr>
          <w:rFonts w:hint="eastAsia" w:eastAsia="仿宋_GB2312" w:cs="仿宋_GB2312"/>
          <w:color w:val="auto"/>
          <w:kern w:val="2"/>
          <w:sz w:val="32"/>
          <w:szCs w:val="32"/>
          <w:highlight w:val="none"/>
          <w:lang w:val="en-US" w:eastAsia="zh-CN" w:bidi="ar-SA"/>
        </w:rPr>
      </w:pPr>
    </w:p>
    <w:p w14:paraId="7EFE8F69">
      <w:pPr>
        <w:pStyle w:val="2"/>
        <w:rPr>
          <w:rFonts w:hint="eastAsia" w:eastAsia="仿宋_GB2312" w:cs="仿宋_GB2312"/>
          <w:color w:val="auto"/>
          <w:kern w:val="2"/>
          <w:sz w:val="32"/>
          <w:szCs w:val="32"/>
          <w:highlight w:val="none"/>
          <w:lang w:val="en-US" w:eastAsia="zh-CN" w:bidi="ar-SA"/>
        </w:rPr>
      </w:pPr>
    </w:p>
    <w:p w14:paraId="34F6DEBE">
      <w:pPr>
        <w:pStyle w:val="2"/>
        <w:rPr>
          <w:rFonts w:hint="eastAsia" w:eastAsia="仿宋_GB2312" w:cs="仿宋_GB2312"/>
          <w:color w:val="auto"/>
          <w:kern w:val="2"/>
          <w:sz w:val="32"/>
          <w:szCs w:val="32"/>
          <w:highlight w:val="none"/>
          <w:lang w:val="en-US" w:eastAsia="zh-CN" w:bidi="ar-SA"/>
        </w:rPr>
      </w:pPr>
    </w:p>
    <w:p w14:paraId="29DDCD1A">
      <w:pPr>
        <w:pStyle w:val="2"/>
        <w:rPr>
          <w:rFonts w:hint="eastAsia" w:eastAsia="仿宋_GB2312" w:cs="仿宋_GB2312"/>
          <w:color w:val="auto"/>
          <w:kern w:val="2"/>
          <w:sz w:val="32"/>
          <w:szCs w:val="32"/>
          <w:highlight w:val="none"/>
          <w:lang w:val="en-US" w:eastAsia="zh-CN" w:bidi="ar-SA"/>
        </w:rPr>
      </w:pPr>
    </w:p>
    <w:p w14:paraId="72D2F213">
      <w:pPr>
        <w:pStyle w:val="2"/>
        <w:rPr>
          <w:rFonts w:hint="eastAsia" w:eastAsia="仿宋_GB2312" w:cs="仿宋_GB2312"/>
          <w:color w:val="auto"/>
          <w:kern w:val="2"/>
          <w:sz w:val="32"/>
          <w:szCs w:val="32"/>
          <w:highlight w:val="none"/>
          <w:lang w:val="en-US" w:eastAsia="zh-CN" w:bidi="ar-SA"/>
        </w:rPr>
      </w:pPr>
    </w:p>
    <w:p w14:paraId="6809A8B4">
      <w:pPr>
        <w:pStyle w:val="2"/>
        <w:rPr>
          <w:rFonts w:hint="eastAsia" w:eastAsia="仿宋_GB2312" w:cs="仿宋_GB2312"/>
          <w:color w:val="auto"/>
          <w:kern w:val="2"/>
          <w:sz w:val="32"/>
          <w:szCs w:val="32"/>
          <w:highlight w:val="none"/>
          <w:lang w:val="en-US" w:eastAsia="zh-CN" w:bidi="ar-SA"/>
        </w:rPr>
      </w:pPr>
    </w:p>
    <w:p w14:paraId="0B2AB88F">
      <w:pPr>
        <w:pStyle w:val="2"/>
        <w:rPr>
          <w:rFonts w:hint="eastAsia" w:eastAsia="仿宋_GB2312" w:cs="仿宋_GB2312"/>
          <w:color w:val="auto"/>
          <w:kern w:val="2"/>
          <w:sz w:val="32"/>
          <w:szCs w:val="32"/>
          <w:highlight w:val="none"/>
          <w:lang w:val="en-US" w:eastAsia="zh-CN" w:bidi="ar-SA"/>
        </w:rPr>
      </w:pPr>
    </w:p>
    <w:p w14:paraId="3D7A8E90">
      <w:pPr>
        <w:pStyle w:val="2"/>
        <w:rPr>
          <w:rFonts w:hint="eastAsia" w:eastAsia="仿宋_GB2312" w:cs="仿宋_GB2312"/>
          <w:color w:val="auto"/>
          <w:kern w:val="2"/>
          <w:sz w:val="32"/>
          <w:szCs w:val="32"/>
          <w:highlight w:val="none"/>
          <w:lang w:val="en-US" w:eastAsia="zh-CN" w:bidi="ar-SA"/>
        </w:rPr>
      </w:pPr>
    </w:p>
    <w:p w14:paraId="4CCDEF64">
      <w:pPr>
        <w:pStyle w:val="2"/>
        <w:rPr>
          <w:rFonts w:hint="eastAsia" w:eastAsia="仿宋_GB2312" w:cs="仿宋_GB2312"/>
          <w:color w:val="auto"/>
          <w:kern w:val="2"/>
          <w:sz w:val="32"/>
          <w:szCs w:val="32"/>
          <w:highlight w:val="none"/>
          <w:lang w:val="en-US" w:eastAsia="zh-CN" w:bidi="ar-SA"/>
        </w:rPr>
      </w:pPr>
    </w:p>
    <w:p w14:paraId="308427F8">
      <w:pPr>
        <w:pStyle w:val="2"/>
        <w:rPr>
          <w:rFonts w:hint="eastAsia" w:eastAsia="仿宋_GB2312" w:cs="仿宋_GB2312"/>
          <w:color w:val="auto"/>
          <w:kern w:val="2"/>
          <w:sz w:val="32"/>
          <w:szCs w:val="32"/>
          <w:highlight w:val="none"/>
          <w:lang w:val="en-US" w:eastAsia="zh-CN" w:bidi="ar-SA"/>
        </w:rPr>
      </w:pPr>
    </w:p>
    <w:p w14:paraId="7B50AEB6">
      <w:pPr>
        <w:pStyle w:val="2"/>
        <w:rPr>
          <w:rFonts w:hint="eastAsia" w:eastAsia="仿宋_GB2312" w:cs="仿宋_GB2312"/>
          <w:color w:val="auto"/>
          <w:kern w:val="2"/>
          <w:sz w:val="32"/>
          <w:szCs w:val="32"/>
          <w:highlight w:val="none"/>
          <w:lang w:val="en-US" w:eastAsia="zh-CN" w:bidi="ar-SA"/>
        </w:rPr>
      </w:pPr>
    </w:p>
    <w:p w14:paraId="632F68E9">
      <w:pPr>
        <w:pStyle w:val="2"/>
        <w:rPr>
          <w:rFonts w:hint="eastAsia" w:eastAsia="仿宋_GB2312" w:cs="仿宋_GB2312"/>
          <w:color w:val="auto"/>
          <w:kern w:val="2"/>
          <w:sz w:val="32"/>
          <w:szCs w:val="32"/>
          <w:highlight w:val="none"/>
          <w:lang w:val="en-US" w:eastAsia="zh-CN" w:bidi="ar-SA"/>
        </w:rPr>
      </w:pPr>
    </w:p>
    <w:p w14:paraId="2CD70E76">
      <w:pPr>
        <w:pStyle w:val="2"/>
        <w:rPr>
          <w:rFonts w:hint="eastAsia" w:eastAsia="仿宋_GB2312" w:cs="仿宋_GB2312"/>
          <w:color w:val="auto"/>
          <w:kern w:val="2"/>
          <w:sz w:val="32"/>
          <w:szCs w:val="32"/>
          <w:highlight w:val="none"/>
          <w:lang w:val="en-US" w:eastAsia="zh-CN" w:bidi="ar-SA"/>
        </w:rPr>
      </w:pPr>
    </w:p>
    <w:p w14:paraId="745214E2">
      <w:pPr>
        <w:pStyle w:val="2"/>
        <w:rPr>
          <w:rFonts w:hint="eastAsia" w:eastAsia="仿宋_GB2312" w:cs="仿宋_GB2312"/>
          <w:color w:val="auto"/>
          <w:kern w:val="2"/>
          <w:sz w:val="32"/>
          <w:szCs w:val="32"/>
          <w:highlight w:val="none"/>
          <w:lang w:val="en-US" w:eastAsia="zh-CN" w:bidi="ar-SA"/>
        </w:rPr>
      </w:pPr>
    </w:p>
    <w:p w14:paraId="22965FF3">
      <w:pPr>
        <w:pStyle w:val="2"/>
        <w:rPr>
          <w:rFonts w:hint="eastAsia" w:eastAsia="仿宋_GB2312" w:cs="仿宋_GB2312"/>
          <w:color w:val="auto"/>
          <w:kern w:val="2"/>
          <w:sz w:val="32"/>
          <w:szCs w:val="32"/>
          <w:highlight w:val="none"/>
          <w:lang w:val="en-US" w:eastAsia="zh-CN" w:bidi="ar-SA"/>
        </w:rPr>
      </w:pPr>
    </w:p>
    <w:p w14:paraId="118243FD">
      <w:pPr>
        <w:pStyle w:val="2"/>
        <w:rPr>
          <w:rFonts w:hint="eastAsia" w:eastAsia="仿宋_GB2312" w:cs="仿宋_GB2312"/>
          <w:color w:val="auto"/>
          <w:kern w:val="2"/>
          <w:sz w:val="32"/>
          <w:szCs w:val="32"/>
          <w:highlight w:val="none"/>
          <w:lang w:val="en-US" w:eastAsia="zh-CN" w:bidi="ar-SA"/>
        </w:rPr>
      </w:pPr>
    </w:p>
    <w:p w14:paraId="0A7D86F5">
      <w:pPr>
        <w:pStyle w:val="2"/>
        <w:rPr>
          <w:rFonts w:hint="eastAsia" w:eastAsia="仿宋_GB2312" w:cs="仿宋_GB2312"/>
          <w:color w:val="auto"/>
          <w:kern w:val="2"/>
          <w:sz w:val="32"/>
          <w:szCs w:val="32"/>
          <w:highlight w:val="none"/>
          <w:lang w:val="en-US" w:eastAsia="zh-CN" w:bidi="ar-SA"/>
        </w:rPr>
      </w:pPr>
    </w:p>
    <w:p w14:paraId="22DCC2AC">
      <w:pPr>
        <w:pStyle w:val="2"/>
        <w:rPr>
          <w:rFonts w:hint="eastAsia" w:eastAsia="仿宋_GB2312" w:cs="仿宋_GB2312"/>
          <w:color w:val="auto"/>
          <w:kern w:val="2"/>
          <w:sz w:val="32"/>
          <w:szCs w:val="32"/>
          <w:highlight w:val="none"/>
          <w:lang w:val="en-US" w:eastAsia="zh-CN" w:bidi="ar-SA"/>
        </w:rPr>
      </w:pPr>
    </w:p>
    <w:p w14:paraId="5C1EB0CE">
      <w:pPr>
        <w:pStyle w:val="2"/>
        <w:rPr>
          <w:rFonts w:hint="eastAsia" w:eastAsia="仿宋_GB2312" w:cs="仿宋_GB2312"/>
          <w:color w:val="auto"/>
          <w:kern w:val="2"/>
          <w:sz w:val="32"/>
          <w:szCs w:val="32"/>
          <w:highlight w:val="none"/>
          <w:lang w:val="en-US" w:eastAsia="zh-CN" w:bidi="ar-SA"/>
        </w:rPr>
      </w:pPr>
    </w:p>
    <w:p w14:paraId="3C4F796E">
      <w:pPr>
        <w:pStyle w:val="2"/>
        <w:rPr>
          <w:rFonts w:hint="eastAsia" w:eastAsia="仿宋_GB2312" w:cs="仿宋_GB2312"/>
          <w:color w:val="auto"/>
          <w:kern w:val="2"/>
          <w:sz w:val="32"/>
          <w:szCs w:val="32"/>
          <w:highlight w:val="none"/>
          <w:lang w:val="en-US" w:eastAsia="zh-CN" w:bidi="ar-SA"/>
        </w:rPr>
      </w:pPr>
    </w:p>
    <w:p w14:paraId="45B21784">
      <w:pPr>
        <w:pStyle w:val="2"/>
        <w:rPr>
          <w:rFonts w:hint="eastAsia" w:eastAsia="仿宋_GB2312" w:cs="仿宋_GB2312"/>
          <w:color w:val="auto"/>
          <w:kern w:val="2"/>
          <w:sz w:val="32"/>
          <w:szCs w:val="32"/>
          <w:highlight w:val="none"/>
          <w:lang w:val="en-US" w:eastAsia="zh-CN" w:bidi="ar-SA"/>
        </w:rPr>
      </w:pPr>
    </w:p>
    <w:p w14:paraId="78063A93">
      <w:pPr>
        <w:pStyle w:val="2"/>
        <w:rPr>
          <w:rFonts w:hint="eastAsia" w:eastAsia="仿宋_GB2312" w:cs="仿宋_GB2312"/>
          <w:color w:val="auto"/>
          <w:kern w:val="2"/>
          <w:sz w:val="32"/>
          <w:szCs w:val="32"/>
          <w:highlight w:val="none"/>
          <w:lang w:val="en-US" w:eastAsia="zh-CN" w:bidi="ar-SA"/>
        </w:rPr>
      </w:pPr>
    </w:p>
    <w:p w14:paraId="447E6E81">
      <w:pPr>
        <w:pStyle w:val="2"/>
        <w:rPr>
          <w:rFonts w:hint="eastAsia" w:eastAsia="仿宋_GB2312" w:cs="仿宋_GB2312"/>
          <w:color w:val="auto"/>
          <w:kern w:val="2"/>
          <w:sz w:val="32"/>
          <w:szCs w:val="32"/>
          <w:highlight w:val="none"/>
          <w:lang w:val="en-US" w:eastAsia="zh-CN" w:bidi="ar-SA"/>
        </w:rPr>
      </w:pPr>
    </w:p>
    <w:p w14:paraId="0ED19090">
      <w:pPr>
        <w:pStyle w:val="2"/>
        <w:rPr>
          <w:rFonts w:hint="eastAsia" w:eastAsia="仿宋_GB2312" w:cs="仿宋_GB2312"/>
          <w:color w:val="auto"/>
          <w:kern w:val="2"/>
          <w:sz w:val="32"/>
          <w:szCs w:val="32"/>
          <w:highlight w:val="none"/>
          <w:lang w:val="en-US" w:eastAsia="zh-CN" w:bidi="ar-SA"/>
        </w:rPr>
      </w:pPr>
    </w:p>
    <w:p w14:paraId="4D85229C">
      <w:pPr>
        <w:pStyle w:val="2"/>
        <w:rPr>
          <w:rFonts w:hint="eastAsia" w:eastAsia="仿宋_GB2312" w:cs="仿宋_GB2312"/>
          <w:color w:val="auto"/>
          <w:kern w:val="2"/>
          <w:sz w:val="32"/>
          <w:szCs w:val="32"/>
          <w:highlight w:val="none"/>
          <w:lang w:val="en-US" w:eastAsia="zh-CN" w:bidi="ar-SA"/>
        </w:rPr>
      </w:pPr>
    </w:p>
    <w:p w14:paraId="1F62ED65">
      <w:pPr>
        <w:pStyle w:val="2"/>
        <w:rPr>
          <w:rFonts w:hint="eastAsia" w:eastAsia="仿宋_GB2312" w:cs="仿宋_GB2312"/>
          <w:color w:val="auto"/>
          <w:kern w:val="2"/>
          <w:sz w:val="32"/>
          <w:szCs w:val="32"/>
          <w:highlight w:val="none"/>
          <w:lang w:val="en-US" w:eastAsia="zh-CN" w:bidi="ar-SA"/>
        </w:rPr>
      </w:pPr>
    </w:p>
    <w:p w14:paraId="05E8F7B0">
      <w:pPr>
        <w:pStyle w:val="2"/>
        <w:rPr>
          <w:rFonts w:hint="eastAsia" w:eastAsia="仿宋_GB2312" w:cs="仿宋_GB2312"/>
          <w:color w:val="auto"/>
          <w:kern w:val="2"/>
          <w:sz w:val="32"/>
          <w:szCs w:val="32"/>
          <w:highlight w:val="none"/>
          <w:lang w:val="en-US" w:eastAsia="zh-CN" w:bidi="ar-SA"/>
        </w:rPr>
      </w:pPr>
    </w:p>
    <w:p w14:paraId="02444A0C">
      <w:pPr>
        <w:pStyle w:val="2"/>
        <w:rPr>
          <w:rFonts w:hint="eastAsia" w:eastAsia="仿宋_GB2312" w:cs="仿宋_GB2312"/>
          <w:color w:val="auto"/>
          <w:kern w:val="2"/>
          <w:sz w:val="32"/>
          <w:szCs w:val="32"/>
          <w:highlight w:val="none"/>
          <w:lang w:val="en-US" w:eastAsia="zh-CN" w:bidi="ar-SA"/>
        </w:rPr>
      </w:pPr>
    </w:p>
    <w:p w14:paraId="518AFB8A">
      <w:pPr>
        <w:pStyle w:val="2"/>
        <w:rPr>
          <w:rFonts w:hint="eastAsia" w:eastAsia="仿宋_GB2312" w:cs="仿宋_GB2312"/>
          <w:color w:val="auto"/>
          <w:kern w:val="2"/>
          <w:sz w:val="32"/>
          <w:szCs w:val="32"/>
          <w:highlight w:val="none"/>
          <w:lang w:val="en-US" w:eastAsia="zh-CN" w:bidi="ar-SA"/>
        </w:rPr>
      </w:pPr>
    </w:p>
    <w:p w14:paraId="4DF8422F">
      <w:pPr>
        <w:numPr>
          <w:ilvl w:val="0"/>
          <w:numId w:val="0"/>
        </w:numPr>
        <w:spacing w:line="600" w:lineRule="exact"/>
        <w:jc w:val="center"/>
        <w:outlineLvl w:val="0"/>
        <w:rPr>
          <w:rFonts w:ascii="Times New Roman" w:hAnsi="Times New Roman"/>
          <w:b/>
          <w:color w:val="auto"/>
          <w:sz w:val="44"/>
          <w:szCs w:val="44"/>
          <w:highlight w:val="none"/>
        </w:rPr>
      </w:pPr>
      <w:bookmarkStart w:id="63" w:name="_Toc15396613"/>
      <w:bookmarkStart w:id="64" w:name="_Toc15377225"/>
      <w:bookmarkStart w:id="65" w:name="_Toc1909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3"/>
      <w:bookmarkEnd w:id="64"/>
      <w:bookmarkEnd w:id="65"/>
    </w:p>
    <w:p w14:paraId="6B7BB26E">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财政拨款收入：指单位从同级财政部门取得的财政预算资金。</w:t>
      </w:r>
    </w:p>
    <w:p w14:paraId="6D922F47">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事业收入：指事业单位开展专业业务活动及辅助活动取得的收入。</w:t>
      </w:r>
    </w:p>
    <w:p w14:paraId="7EB7EED8">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经营收入：指事业单位在专业业务活动及其辅助活动之外开展非独立核算经营活动取得的收入。</w:t>
      </w:r>
    </w:p>
    <w:p w14:paraId="25AF3148">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其他收入：指单位取得的除上述收入以外的各项收入。</w:t>
      </w:r>
    </w:p>
    <w:p w14:paraId="232D4C9D">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14:paraId="438D32DC">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14:paraId="1D74F9F0">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14:paraId="2B56474C">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2D0845DB">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）行政运行（01）:反映行政单位(包括实行公务员管理的事业单位)的基本支出</w:t>
      </w:r>
      <w:r>
        <w:rPr>
          <w:rFonts w:hint="eastAsia" w:eastAsia="仿宋_GB2312" w:cs="仿宋_GB2312"/>
          <w:color w:val="auto"/>
          <w:kern w:val="2"/>
          <w:sz w:val="32"/>
          <w:szCs w:val="32"/>
          <w:highlight w:val="none"/>
          <w:lang w:val="en-US" w:eastAsia="zh-CN" w:bidi="ar-SA"/>
        </w:rPr>
        <w:t>。</w:t>
      </w:r>
    </w:p>
    <w:p w14:paraId="3CCBB270">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）行政运行（0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）:反映行政单位(包括实行公务员管理的事业单位)未单独设置项级科目的其他项目支出</w:t>
      </w:r>
      <w:r>
        <w:rPr>
          <w:rFonts w:hint="eastAsia" w:eastAsia="仿宋_GB2312" w:cs="仿宋_GB2312"/>
          <w:color w:val="auto"/>
          <w:kern w:val="2"/>
          <w:sz w:val="32"/>
          <w:szCs w:val="32"/>
          <w:highlight w:val="none"/>
          <w:lang w:val="en-US" w:eastAsia="zh-CN" w:bidi="ar-SA"/>
        </w:rPr>
        <w:t>。</w:t>
      </w:r>
    </w:p>
    <w:p w14:paraId="6996C711">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）其他统战事务支出（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）:反映除上述项目以外其他用于中国共产党统战部门的事务支出</w:t>
      </w:r>
      <w:r>
        <w:rPr>
          <w:rFonts w:hint="eastAsia" w:eastAsia="仿宋_GB2312" w:cs="仿宋_GB2312"/>
          <w:color w:val="auto"/>
          <w:kern w:val="2"/>
          <w:sz w:val="32"/>
          <w:szCs w:val="32"/>
          <w:highlight w:val="none"/>
          <w:lang w:val="en-US" w:eastAsia="zh-CN" w:bidi="ar-SA"/>
        </w:rPr>
        <w:t>。</w:t>
      </w:r>
    </w:p>
    <w:p w14:paraId="5D407AEF">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教育支出（20</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）其他教育支出（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）:反映除上述项目以外其他用于教育方面的支出</w:t>
      </w:r>
      <w:r>
        <w:rPr>
          <w:rFonts w:hint="eastAsia" w:eastAsia="仿宋_GB2312" w:cs="仿宋_GB2312"/>
          <w:color w:val="auto"/>
          <w:kern w:val="2"/>
          <w:sz w:val="32"/>
          <w:szCs w:val="32"/>
          <w:highlight w:val="none"/>
          <w:lang w:val="en-US" w:eastAsia="zh-CN" w:bidi="ar-SA"/>
        </w:rPr>
        <w:t>。</w:t>
      </w:r>
    </w:p>
    <w:p w14:paraId="63CB6B2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社会保障和就业支出（208）行政事业单位养老支出（05）机关事业单位基本养老保险缴费支出（05）:反映机关事业单位实施养老保险制度由单位缴纳的基本养老保险费支出。</w:t>
      </w:r>
    </w:p>
    <w:p w14:paraId="45D60A3B">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社会保障和就业支出（208）行政事业单位养老支出（05）机关事业单位职业年金缴费支出（06）:反映机关事业单位实施养老保险制度由单位实际缴纳的职业年金支出。</w:t>
      </w:r>
    </w:p>
    <w:p w14:paraId="3C7BDC0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行政单位医疗（01）:反映财政部门安排的行政单位(包括实行公务员管理的事业单位，下同)基本医疗保险缴费经费，未参加医疗保险的行政单位的公费医疗经费，按国家规定享受离休人员、红军老战士待遇人员的医疗经费。</w:t>
      </w:r>
    </w:p>
    <w:p w14:paraId="38E9669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卫生健康支出（210）行政事业单位医疗（11）公务员医疗补助（03）:反映财政部门安排的公务员医疗补助经费。</w:t>
      </w:r>
    </w:p>
    <w:p w14:paraId="37C3385B">
      <w:pPr>
        <w:numPr>
          <w:ilvl w:val="0"/>
          <w:numId w:val="3"/>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住房保障支出（221）住房改革支出（02）住房公积金（01）:反映行政事业单位按人力资源和社会保障部、财政部规定的基本工资和津贴补贴以及规定比例为职工缴纳的住房公积金</w:t>
      </w:r>
      <w:r>
        <w:rPr>
          <w:rFonts w:hint="eastAsia" w:eastAsia="仿宋_GB2312" w:cs="仿宋_GB2312"/>
          <w:color w:val="auto"/>
          <w:kern w:val="2"/>
          <w:sz w:val="32"/>
          <w:szCs w:val="32"/>
          <w:highlight w:val="none"/>
          <w:lang w:val="en-US" w:eastAsia="zh-CN" w:bidi="ar-SA"/>
        </w:rPr>
        <w:t>。</w:t>
      </w:r>
    </w:p>
    <w:p w14:paraId="638A17CC">
      <w:pPr>
        <w:numPr>
          <w:ilvl w:val="0"/>
          <w:numId w:val="3"/>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住房保障支出（221）住房改革支出（02）购房补贴（0</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）:反映按房改政策规定,行政事业单位向符合条件职工(含离退体人员》、军队(含武警)向转役复员离退体人员发放的用于购买住房的补贴</w:t>
      </w:r>
      <w:r>
        <w:rPr>
          <w:rFonts w:hint="eastAsia" w:eastAsia="仿宋_GB2312" w:cs="仿宋_GB2312"/>
          <w:color w:val="auto"/>
          <w:kern w:val="2"/>
          <w:sz w:val="32"/>
          <w:szCs w:val="32"/>
          <w:highlight w:val="none"/>
          <w:lang w:val="en-US" w:eastAsia="zh-CN" w:bidi="ar-SA"/>
        </w:rPr>
        <w:t>。</w:t>
      </w:r>
    </w:p>
    <w:p w14:paraId="423C264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645B073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2EC48A33">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BC477E5">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13F1420">
      <w:pPr>
        <w:numPr>
          <w:ilvl w:val="0"/>
          <w:numId w:val="3"/>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25DCDB">
      <w:pPr>
        <w:spacing w:line="600" w:lineRule="exact"/>
        <w:jc w:val="center"/>
        <w:outlineLvl w:val="0"/>
        <w:rPr>
          <w:rFonts w:hint="eastAsia" w:ascii="Times New Roman" w:hAnsi="Times New Roman" w:eastAsia="黑体" w:cs="黑体"/>
          <w:color w:val="FF0000"/>
          <w:sz w:val="32"/>
          <w:szCs w:val="32"/>
          <w:highlight w:val="none"/>
        </w:rPr>
      </w:pPr>
      <w:bookmarkStart w:id="66"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7" w:name="_Toc15396614"/>
      <w:bookmarkStart w:id="68" w:name="_Toc6590"/>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7"/>
      <w:bookmarkEnd w:id="68"/>
    </w:p>
    <w:p w14:paraId="4FD69E6C">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F146380">
      <w:pPr>
        <w:widowControl/>
        <w:spacing w:line="560" w:lineRule="exact"/>
        <w:contextualSpacing/>
        <w:jc w:val="center"/>
        <w:rPr>
          <w:rFonts w:hint="default" w:ascii="Times New Roman" w:hAnsi="Times New Roman" w:eastAsia="方正小标宋简体" w:cs="Times New Roman"/>
          <w:bCs/>
          <w:sz w:val="44"/>
          <w:szCs w:val="44"/>
          <w:highlight w:val="none"/>
          <w:shd w:val="clear" w:color="auto" w:fill="FFFFFF"/>
        </w:rPr>
      </w:pPr>
      <w:bookmarkStart w:id="69" w:name="_Hlk110546638"/>
      <w:r>
        <w:rPr>
          <w:rFonts w:hint="default" w:ascii="Times New Roman" w:hAnsi="Times New Roman" w:eastAsia="方正小标宋简体" w:cs="Times New Roman"/>
          <w:bCs/>
          <w:sz w:val="44"/>
          <w:szCs w:val="44"/>
          <w:highlight w:val="none"/>
          <w:shd w:val="clear" w:color="auto" w:fill="FFFFFF"/>
        </w:rPr>
        <w:t>2024年中共阿坝州委统战部</w:t>
      </w:r>
    </w:p>
    <w:p w14:paraId="0AFC8882">
      <w:pPr>
        <w:widowControl/>
        <w:spacing w:line="560" w:lineRule="exact"/>
        <w:contextualSpacing/>
        <w:jc w:val="center"/>
        <w:rPr>
          <w:rFonts w:hint="default" w:ascii="Times New Roman" w:hAnsi="Times New Roman" w:eastAsia="方正小标宋_GBK" w:cs="Times New Roman"/>
          <w:bCs/>
          <w:sz w:val="44"/>
          <w:szCs w:val="44"/>
          <w:highlight w:val="none"/>
          <w:shd w:val="clear" w:color="auto" w:fill="FFFFFF"/>
        </w:rPr>
      </w:pPr>
      <w:r>
        <w:rPr>
          <w:rFonts w:hint="default" w:ascii="Times New Roman" w:hAnsi="Times New Roman" w:eastAsia="方正小标宋简体" w:cs="Times New Roman"/>
          <w:bCs/>
          <w:sz w:val="44"/>
          <w:szCs w:val="44"/>
          <w:highlight w:val="none"/>
          <w:shd w:val="clear" w:color="auto" w:fill="FFFFFF"/>
        </w:rPr>
        <w:t>整体支出绩效评价报告</w:t>
      </w:r>
    </w:p>
    <w:p w14:paraId="1D07D8DA">
      <w:pPr>
        <w:widowControl/>
        <w:adjustRightInd w:val="0"/>
        <w:snapToGrid w:val="0"/>
        <w:spacing w:line="560" w:lineRule="exact"/>
        <w:ind w:firstLine="880" w:firstLineChars="200"/>
        <w:contextualSpacing/>
        <w:rPr>
          <w:rFonts w:hint="default" w:ascii="Times New Roman" w:hAnsi="Times New Roman" w:eastAsia="黑体" w:cs="Times New Roman"/>
          <w:color w:val="000000"/>
          <w:kern w:val="0"/>
          <w:sz w:val="44"/>
          <w:szCs w:val="44"/>
          <w:highlight w:val="none"/>
          <w:shd w:val="clear" w:color="auto" w:fill="FFFFFF"/>
        </w:rPr>
      </w:pPr>
    </w:p>
    <w:p w14:paraId="034139B3">
      <w:pPr>
        <w:widowControl/>
        <w:spacing w:line="560" w:lineRule="exact"/>
        <w:ind w:firstLine="64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rPr>
        <w:t>按照《阿坝州财政局关于开展202</w:t>
      </w:r>
      <w:r>
        <w:rPr>
          <w:rFonts w:hint="default" w:ascii="Times New Roman" w:hAnsi="Times New Roman" w:eastAsia="仿宋_GB2312" w:cs="Times New Roman"/>
          <w:color w:val="000000"/>
          <w:kern w:val="0"/>
          <w:sz w:val="32"/>
          <w:szCs w:val="32"/>
          <w:highlight w:val="none"/>
          <w:lang w:val="en-US" w:eastAsia="zh-CN"/>
        </w:rPr>
        <w:t>5</w:t>
      </w:r>
      <w:r>
        <w:rPr>
          <w:rFonts w:hint="default" w:ascii="Times New Roman" w:hAnsi="Times New Roman" w:eastAsia="仿宋_GB2312" w:cs="Times New Roman"/>
          <w:color w:val="000000"/>
          <w:kern w:val="0"/>
          <w:sz w:val="32"/>
          <w:szCs w:val="32"/>
          <w:highlight w:val="none"/>
        </w:rPr>
        <w:t>年财政重点绩效评价工作的通知》（阿州财监绩〔202</w:t>
      </w:r>
      <w:r>
        <w:rPr>
          <w:rFonts w:hint="default" w:ascii="Times New Roman" w:hAnsi="Times New Roman" w:eastAsia="仿宋_GB2312" w:cs="Times New Roman"/>
          <w:color w:val="000000"/>
          <w:kern w:val="0"/>
          <w:sz w:val="32"/>
          <w:szCs w:val="32"/>
          <w:highlight w:val="none"/>
          <w:lang w:val="en-US" w:eastAsia="zh-CN"/>
        </w:rPr>
        <w:t>5</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lang w:val="en-US" w:eastAsia="zh-CN"/>
        </w:rPr>
        <w:t>4</w:t>
      </w:r>
      <w:r>
        <w:rPr>
          <w:rFonts w:hint="default" w:ascii="Times New Roman" w:hAnsi="Times New Roman" w:eastAsia="仿宋_GB2312" w:cs="Times New Roman"/>
          <w:color w:val="000000"/>
          <w:kern w:val="0"/>
          <w:sz w:val="32"/>
          <w:szCs w:val="32"/>
          <w:highlight w:val="none"/>
        </w:rPr>
        <w:t>号）要求，我部将202</w:t>
      </w:r>
      <w:r>
        <w:rPr>
          <w:rFonts w:hint="default" w:ascii="Times New Roman" w:hAnsi="Times New Roman" w:eastAsia="仿宋_GB2312" w:cs="Times New Roman"/>
          <w:color w:val="000000"/>
          <w:kern w:val="0"/>
          <w:sz w:val="32"/>
          <w:szCs w:val="32"/>
          <w:highlight w:val="none"/>
          <w:lang w:val="en-US" w:eastAsia="zh-CN"/>
        </w:rPr>
        <w:t>4</w:t>
      </w:r>
      <w:r>
        <w:rPr>
          <w:rFonts w:hint="default" w:ascii="Times New Roman" w:hAnsi="Times New Roman" w:eastAsia="仿宋_GB2312" w:cs="Times New Roman"/>
          <w:color w:val="000000"/>
          <w:kern w:val="0"/>
          <w:sz w:val="32"/>
          <w:szCs w:val="32"/>
          <w:highlight w:val="none"/>
        </w:rPr>
        <w:t>年整体支出预算绩效工作开展情况汇报如下：</w:t>
      </w:r>
    </w:p>
    <w:p w14:paraId="4EE283E3">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rPr>
        <w:t>一、</w:t>
      </w:r>
      <w:r>
        <w:rPr>
          <w:rFonts w:hint="default" w:ascii="Times New Roman" w:hAnsi="Times New Roman" w:eastAsia="黑体" w:cs="Times New Roman"/>
          <w:color w:val="000000"/>
          <w:kern w:val="0"/>
          <w:sz w:val="32"/>
          <w:szCs w:val="32"/>
          <w:highlight w:val="none"/>
          <w:shd w:val="clear" w:color="auto" w:fill="FFFFFF"/>
          <w:lang w:val="zh-CN"/>
        </w:rPr>
        <w:t>部门概况</w:t>
      </w:r>
    </w:p>
    <w:p w14:paraId="1DDA66EB">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p>
    <w:p w14:paraId="54E63ABC">
      <w:pPr>
        <w:spacing w:line="560"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sz w:val="32"/>
          <w:szCs w:val="32"/>
          <w:highlight w:val="none"/>
        </w:rPr>
        <w:t>州委统战部属一级预算单位，下属二级预算单位为州归国华侨联合会。为正县级单位,列州委工作机关序列。统一领导民族宗教工作，归口领导州民族宗教事务委员会，统一管理侨务、台湾事务工作，挂州侨务办公室、州委台湾工作办公室牌子。内设科室11个：办公室、研究室、干部科、综合协调科、民族宗教一科、民族宗教二科、非公有制经济科、党外知识分子与新的社会阶层人士科、港澳台与侨务工作科、宣传文化科、对国外藏胞工作科。</w:t>
      </w:r>
    </w:p>
    <w:p w14:paraId="7D022B7A">
      <w:pPr>
        <w:spacing w:line="560" w:lineRule="exact"/>
        <w:ind w:firstLine="643"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p>
    <w:p w14:paraId="1835B04D">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州委统战部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38356074">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p>
    <w:p w14:paraId="4A0740C3">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州委统战部核定编制32名，其中：行政编制29名；参照公务员法管理行政工勤编制3名。在职31人，其中：公务员28人，行政工勤3人；退休人员11人。</w:t>
      </w:r>
    </w:p>
    <w:p w14:paraId="46862555">
      <w:pPr>
        <w:numPr>
          <w:ilvl w:val="0"/>
          <w:numId w:val="4"/>
        </w:numPr>
        <w:spacing w:line="560" w:lineRule="exact"/>
        <w:ind w:firstLine="640" w:firstLineChars="20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部门财政资金收支情况</w:t>
      </w:r>
    </w:p>
    <w:p w14:paraId="20B4DC4A">
      <w:pPr>
        <w:numPr>
          <w:ilvl w:val="0"/>
          <w:numId w:val="5"/>
        </w:numPr>
        <w:spacing w:line="560" w:lineRule="exact"/>
        <w:ind w:firstLine="643" w:firstLineChars="200"/>
        <w:rPr>
          <w:rFonts w:hint="default" w:ascii="Times New Roman" w:hAnsi="Times New Roman" w:eastAsia="方正仿宋_GBK"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部门财政资金收入情况</w:t>
      </w:r>
    </w:p>
    <w:p w14:paraId="2BC13E71">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部门财政拨款预算</w:t>
      </w:r>
      <w:r>
        <w:rPr>
          <w:rFonts w:hint="default" w:ascii="Times New Roman" w:hAnsi="Times New Roman" w:eastAsia="仿宋_GB2312" w:cs="Times New Roman"/>
          <w:color w:val="000000"/>
          <w:kern w:val="0"/>
          <w:sz w:val="32"/>
          <w:szCs w:val="32"/>
          <w:highlight w:val="none"/>
          <w:shd w:val="clear" w:color="auto" w:fill="FFFFFF"/>
        </w:rPr>
        <w:t>收入</w:t>
      </w:r>
      <w:r>
        <w:rPr>
          <w:rFonts w:hint="default" w:ascii="Times New Roman" w:hAnsi="Times New Roman" w:eastAsia="仿宋_GB2312" w:cs="Times New Roman"/>
          <w:color w:val="000000"/>
          <w:kern w:val="0"/>
          <w:sz w:val="32"/>
          <w:szCs w:val="32"/>
          <w:highlight w:val="none"/>
          <w:shd w:val="clear" w:color="auto" w:fill="FFFFFF"/>
          <w:lang w:val="zh-CN"/>
        </w:rPr>
        <w:t>数</w:t>
      </w:r>
      <w:r>
        <w:rPr>
          <w:rFonts w:hint="eastAsia" w:ascii="Times New Roman" w:hAnsi="Times New Roman" w:eastAsia="仿宋_GB2312" w:cs="Times New Roman"/>
          <w:color w:val="000000"/>
          <w:kern w:val="0"/>
          <w:sz w:val="32"/>
          <w:szCs w:val="32"/>
          <w:highlight w:val="none"/>
          <w:shd w:val="clear" w:color="auto" w:fill="FFFFFF"/>
          <w:lang w:val="en-US" w:eastAsia="zh-CN"/>
        </w:rPr>
        <w:t>1446.05</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其中：行政运行经费（支出功能分类代码：2013401）</w:t>
      </w:r>
      <w:r>
        <w:rPr>
          <w:rFonts w:hint="eastAsia" w:ascii="Times New Roman" w:hAnsi="Times New Roman" w:eastAsia="仿宋_GB2312" w:cs="Times New Roman"/>
          <w:sz w:val="32"/>
          <w:szCs w:val="32"/>
          <w:highlight w:val="none"/>
          <w:lang w:val="en-US" w:eastAsia="zh-CN"/>
        </w:rPr>
        <w:t>985.05</w:t>
      </w:r>
      <w:r>
        <w:rPr>
          <w:rFonts w:hint="default" w:ascii="Times New Roman" w:hAnsi="Times New Roman" w:eastAsia="仿宋_GB2312" w:cs="Times New Roman"/>
          <w:sz w:val="32"/>
          <w:szCs w:val="32"/>
          <w:highlight w:val="none"/>
          <w:lang w:val="zh-CN"/>
        </w:rPr>
        <w:t>万元，一般行政事务管理经费（支出功能分类代码：2013402）</w:t>
      </w:r>
      <w:r>
        <w:rPr>
          <w:rFonts w:hint="eastAsia" w:ascii="Times New Roman" w:hAnsi="Times New Roman" w:eastAsia="仿宋_GB2312" w:cs="Times New Roman"/>
          <w:sz w:val="32"/>
          <w:szCs w:val="32"/>
          <w:highlight w:val="none"/>
          <w:lang w:val="en-US" w:eastAsia="zh-CN"/>
        </w:rPr>
        <w:t>222.50</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其他统战事务支出(支出功能分类代码：2013499)</w:t>
      </w:r>
      <w:r>
        <w:rPr>
          <w:rFonts w:hint="eastAsia" w:ascii="Times New Roman" w:hAnsi="Times New Roman" w:eastAsia="仿宋_GB2312" w:cs="Times New Roman"/>
          <w:color w:val="000000"/>
          <w:kern w:val="0"/>
          <w:sz w:val="32"/>
          <w:szCs w:val="32"/>
          <w:highlight w:val="none"/>
          <w:shd w:val="clear" w:color="auto" w:fill="FFFFFF"/>
          <w:lang w:val="en-US" w:eastAsia="zh-CN"/>
        </w:rPr>
        <w:t>7.00</w:t>
      </w:r>
      <w:r>
        <w:rPr>
          <w:rFonts w:hint="default" w:ascii="Times New Roman" w:hAnsi="Times New Roman" w:eastAsia="仿宋_GB2312" w:cs="Times New Roman"/>
          <w:color w:val="000000"/>
          <w:kern w:val="0"/>
          <w:sz w:val="32"/>
          <w:szCs w:val="32"/>
          <w:highlight w:val="none"/>
          <w:shd w:val="clear" w:color="auto" w:fill="FFFFFF"/>
        </w:rPr>
        <w:t>万元</w:t>
      </w:r>
      <w:r>
        <w:rPr>
          <w:rFonts w:hint="eastAsia" w:ascii="Times New Roman" w:hAnsi="Times New Roman" w:eastAsia="仿宋_GB2312" w:cs="Times New Roman"/>
          <w:color w:val="000000"/>
          <w:kern w:val="0"/>
          <w:sz w:val="32"/>
          <w:szCs w:val="32"/>
          <w:highlight w:val="none"/>
          <w:shd w:val="clear" w:color="auto" w:fill="FFFFFF"/>
          <w:lang w:eastAsia="zh-CN"/>
        </w:rPr>
        <w:t>，</w:t>
      </w:r>
      <w:r>
        <w:rPr>
          <w:rFonts w:hint="default" w:ascii="Times New Roman" w:hAnsi="Times New Roman" w:eastAsia="仿宋_GB2312" w:cs="Times New Roman"/>
          <w:color w:val="000000"/>
          <w:kern w:val="0"/>
          <w:sz w:val="32"/>
          <w:szCs w:val="32"/>
          <w:highlight w:val="none"/>
          <w:shd w:val="clear" w:color="auto" w:fill="FFFFFF"/>
        </w:rPr>
        <w:t>其他教育支出(支出功能分类代码：2059999)0.4万元</w:t>
      </w:r>
      <w:r>
        <w:rPr>
          <w:rFonts w:hint="eastAsia" w:ascii="Times New Roman" w:hAnsi="Times New Roman" w:eastAsia="仿宋_GB2312" w:cs="Times New Roman"/>
          <w:color w:val="000000"/>
          <w:kern w:val="0"/>
          <w:sz w:val="32"/>
          <w:szCs w:val="32"/>
          <w:highlight w:val="none"/>
          <w:shd w:val="clear" w:color="auto" w:fill="FFFFFF"/>
          <w:lang w:eastAsia="zh-CN"/>
        </w:rPr>
        <w:t>，</w:t>
      </w:r>
      <w:r>
        <w:rPr>
          <w:rFonts w:hint="default" w:ascii="Times New Roman" w:hAnsi="Times New Roman" w:eastAsia="仿宋_GB2312" w:cs="Times New Roman"/>
          <w:sz w:val="32"/>
          <w:szCs w:val="32"/>
          <w:highlight w:val="none"/>
          <w:lang w:val="zh-CN"/>
        </w:rPr>
        <w:t>机关事业单位基本养老保险缴费（支出功能分类代码：2080505）</w:t>
      </w:r>
      <w:r>
        <w:rPr>
          <w:rFonts w:hint="eastAsia" w:ascii="Times New Roman" w:hAnsi="Times New Roman" w:eastAsia="仿宋_GB2312" w:cs="Times New Roman"/>
          <w:sz w:val="32"/>
          <w:szCs w:val="32"/>
          <w:highlight w:val="none"/>
          <w:lang w:val="en-US" w:eastAsia="zh-CN"/>
        </w:rPr>
        <w:t>78.80</w:t>
      </w:r>
      <w:r>
        <w:rPr>
          <w:rFonts w:hint="default" w:ascii="Times New Roman" w:hAnsi="Times New Roman" w:eastAsia="仿宋_GB2312" w:cs="Times New Roman"/>
          <w:sz w:val="32"/>
          <w:szCs w:val="32"/>
          <w:highlight w:val="none"/>
          <w:lang w:val="zh-CN"/>
        </w:rPr>
        <w:t>万元，机关事业单位职业年金缴费支出（支出功能分类代码：2080506）</w:t>
      </w:r>
      <w:r>
        <w:rPr>
          <w:rFonts w:hint="eastAsia" w:ascii="Times New Roman" w:hAnsi="Times New Roman" w:eastAsia="仿宋_GB2312" w:cs="Times New Roman"/>
          <w:sz w:val="32"/>
          <w:szCs w:val="32"/>
          <w:highlight w:val="none"/>
          <w:lang w:val="en-US" w:eastAsia="zh-CN"/>
        </w:rPr>
        <w:t>36.18</w:t>
      </w:r>
      <w:r>
        <w:rPr>
          <w:rFonts w:hint="default" w:ascii="Times New Roman" w:hAnsi="Times New Roman" w:eastAsia="仿宋_GB2312" w:cs="Times New Roman"/>
          <w:sz w:val="32"/>
          <w:szCs w:val="32"/>
          <w:highlight w:val="none"/>
          <w:lang w:val="zh-CN"/>
        </w:rPr>
        <w:t>万元，行政单位医疗（支出功能分类代码：2101101）</w:t>
      </w:r>
      <w:r>
        <w:rPr>
          <w:rFonts w:hint="eastAsia" w:ascii="Times New Roman" w:hAnsi="Times New Roman" w:eastAsia="仿宋_GB2312" w:cs="Times New Roman"/>
          <w:sz w:val="32"/>
          <w:szCs w:val="32"/>
          <w:highlight w:val="none"/>
          <w:lang w:val="en-US" w:eastAsia="zh-CN"/>
        </w:rPr>
        <w:t>38.27</w:t>
      </w:r>
      <w:r>
        <w:rPr>
          <w:rFonts w:hint="default" w:ascii="Times New Roman" w:hAnsi="Times New Roman" w:eastAsia="仿宋_GB2312" w:cs="Times New Roman"/>
          <w:sz w:val="32"/>
          <w:szCs w:val="32"/>
          <w:highlight w:val="none"/>
          <w:lang w:val="zh-CN"/>
        </w:rPr>
        <w:t>万元,公务员医疗补助（支出功能分类代码：2101103）</w:t>
      </w:r>
      <w:r>
        <w:rPr>
          <w:rFonts w:hint="eastAsia" w:ascii="Times New Roman" w:hAnsi="Times New Roman" w:eastAsia="仿宋_GB2312" w:cs="Times New Roman"/>
          <w:sz w:val="32"/>
          <w:szCs w:val="32"/>
          <w:highlight w:val="none"/>
          <w:lang w:val="en-US" w:eastAsia="zh-CN"/>
        </w:rPr>
        <w:t>9.09</w:t>
      </w:r>
      <w:r>
        <w:rPr>
          <w:rFonts w:hint="default" w:ascii="Times New Roman" w:hAnsi="Times New Roman" w:eastAsia="仿宋_GB2312" w:cs="Times New Roman"/>
          <w:sz w:val="32"/>
          <w:szCs w:val="32"/>
          <w:highlight w:val="none"/>
          <w:lang w:val="zh-CN"/>
        </w:rPr>
        <w:t>万元，住房公积金（支出功能分类代码：2210201）</w:t>
      </w:r>
      <w:r>
        <w:rPr>
          <w:rFonts w:hint="eastAsia" w:ascii="Times New Roman" w:hAnsi="Times New Roman" w:eastAsia="仿宋_GB2312" w:cs="Times New Roman"/>
          <w:sz w:val="32"/>
          <w:szCs w:val="32"/>
          <w:highlight w:val="none"/>
          <w:lang w:val="en-US" w:eastAsia="zh-CN"/>
        </w:rPr>
        <w:t>65.36</w:t>
      </w:r>
      <w:r>
        <w:rPr>
          <w:rFonts w:hint="default" w:ascii="Times New Roman" w:hAnsi="Times New Roman" w:eastAsia="仿宋_GB2312" w:cs="Times New Roman"/>
          <w:sz w:val="32"/>
          <w:szCs w:val="32"/>
          <w:highlight w:val="none"/>
          <w:lang w:val="zh-CN"/>
        </w:rPr>
        <w:t>万元</w:t>
      </w:r>
      <w:r>
        <w:rPr>
          <w:rFonts w:hint="eastAsia"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lang w:val="zh-CN"/>
        </w:rPr>
        <w:t>购房补贴(</w:t>
      </w:r>
      <w:r>
        <w:rPr>
          <w:rFonts w:hint="default" w:ascii="Times New Roman" w:hAnsi="Times New Roman" w:eastAsia="仿宋_GB2312" w:cs="Times New Roman"/>
          <w:color w:val="000000"/>
          <w:kern w:val="0"/>
          <w:sz w:val="32"/>
          <w:szCs w:val="32"/>
          <w:highlight w:val="none"/>
          <w:shd w:val="clear" w:color="auto" w:fill="FFFFFF"/>
          <w:lang w:val="zh-CN"/>
        </w:rPr>
        <w:t>支出功能分类代码：2210203)3.40万元。</w:t>
      </w:r>
    </w:p>
    <w:p w14:paraId="35D88F34">
      <w:pPr>
        <w:numPr>
          <w:ilvl w:val="0"/>
          <w:numId w:val="5"/>
        </w:numPr>
        <w:spacing w:line="560" w:lineRule="exact"/>
        <w:ind w:firstLine="643" w:firstLineChars="200"/>
        <w:rPr>
          <w:rFonts w:hint="default" w:ascii="Times New Roman" w:hAnsi="Times New Roman" w:eastAsia="方正仿宋_GBK" w:cs="Times New Roman"/>
          <w:b/>
          <w:bCs/>
          <w:color w:val="000000"/>
          <w:kern w:val="0"/>
          <w:sz w:val="32"/>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zh-CN"/>
        </w:rPr>
        <w:t>部门财政资金支出情况</w:t>
      </w:r>
    </w:p>
    <w:p w14:paraId="5A553A6D">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rPr>
        <w:t>预算支出数</w:t>
      </w:r>
      <w:r>
        <w:rPr>
          <w:rFonts w:hint="eastAsia" w:ascii="Times New Roman" w:hAnsi="Times New Roman" w:eastAsia="仿宋_GB2312" w:cs="Times New Roman"/>
          <w:color w:val="000000"/>
          <w:kern w:val="0"/>
          <w:sz w:val="32"/>
          <w:szCs w:val="32"/>
          <w:highlight w:val="none"/>
          <w:shd w:val="clear" w:color="auto" w:fill="FFFFFF"/>
          <w:lang w:val="en-US" w:eastAsia="zh-CN"/>
        </w:rPr>
        <w:t>1446.05</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sz w:val="32"/>
          <w:szCs w:val="32"/>
          <w:highlight w:val="none"/>
          <w:lang w:val="zh-CN"/>
        </w:rPr>
        <w:t>其中：行政运行经费（支出功能分类代码：2013401）</w:t>
      </w:r>
      <w:r>
        <w:rPr>
          <w:rFonts w:hint="eastAsia" w:ascii="Times New Roman" w:hAnsi="Times New Roman" w:eastAsia="仿宋_GB2312" w:cs="Times New Roman"/>
          <w:sz w:val="32"/>
          <w:szCs w:val="32"/>
          <w:highlight w:val="none"/>
          <w:lang w:val="en-US" w:eastAsia="zh-CN"/>
        </w:rPr>
        <w:t>985.05</w:t>
      </w:r>
      <w:r>
        <w:rPr>
          <w:rFonts w:hint="default" w:ascii="Times New Roman" w:hAnsi="Times New Roman" w:eastAsia="仿宋_GB2312" w:cs="Times New Roman"/>
          <w:sz w:val="32"/>
          <w:szCs w:val="32"/>
          <w:highlight w:val="none"/>
          <w:lang w:val="zh-CN"/>
        </w:rPr>
        <w:t>万元，一般行政事务管理经费（支出功能分类代码：2013402）</w:t>
      </w:r>
      <w:r>
        <w:rPr>
          <w:rFonts w:hint="eastAsia" w:ascii="Times New Roman" w:hAnsi="Times New Roman" w:eastAsia="仿宋_GB2312" w:cs="Times New Roman"/>
          <w:sz w:val="32"/>
          <w:szCs w:val="32"/>
          <w:highlight w:val="none"/>
          <w:lang w:val="en-US" w:eastAsia="zh-CN"/>
        </w:rPr>
        <w:t>222.50</w:t>
      </w:r>
      <w:r>
        <w:rPr>
          <w:rFonts w:hint="default" w:ascii="Times New Roman" w:hAnsi="Times New Roman" w:eastAsia="仿宋_GB2312" w:cs="Times New Roman"/>
          <w:sz w:val="32"/>
          <w:szCs w:val="32"/>
          <w:highlight w:val="none"/>
          <w:lang w:val="zh-CN"/>
        </w:rPr>
        <w:t>万元，</w:t>
      </w:r>
      <w:r>
        <w:rPr>
          <w:rFonts w:hint="default" w:ascii="Times New Roman" w:hAnsi="Times New Roman" w:eastAsia="仿宋_GB2312" w:cs="Times New Roman"/>
          <w:color w:val="000000"/>
          <w:kern w:val="0"/>
          <w:sz w:val="32"/>
          <w:szCs w:val="32"/>
          <w:highlight w:val="none"/>
          <w:shd w:val="clear" w:color="auto" w:fill="FFFFFF"/>
        </w:rPr>
        <w:t>其他统战事务支出(支出功能分类代码：2013499)</w:t>
      </w:r>
      <w:r>
        <w:rPr>
          <w:rFonts w:hint="eastAsia" w:ascii="Times New Roman" w:hAnsi="Times New Roman" w:eastAsia="仿宋_GB2312" w:cs="Times New Roman"/>
          <w:color w:val="000000"/>
          <w:kern w:val="0"/>
          <w:sz w:val="32"/>
          <w:szCs w:val="32"/>
          <w:highlight w:val="none"/>
          <w:shd w:val="clear" w:color="auto" w:fill="FFFFFF"/>
          <w:lang w:val="en-US" w:eastAsia="zh-CN"/>
        </w:rPr>
        <w:t>7.00</w:t>
      </w:r>
      <w:r>
        <w:rPr>
          <w:rFonts w:hint="default" w:ascii="Times New Roman" w:hAnsi="Times New Roman" w:eastAsia="仿宋_GB2312" w:cs="Times New Roman"/>
          <w:color w:val="000000"/>
          <w:kern w:val="0"/>
          <w:sz w:val="32"/>
          <w:szCs w:val="32"/>
          <w:highlight w:val="none"/>
          <w:shd w:val="clear" w:color="auto" w:fill="FFFFFF"/>
        </w:rPr>
        <w:t>万元</w:t>
      </w:r>
      <w:r>
        <w:rPr>
          <w:rFonts w:hint="eastAsia" w:ascii="Times New Roman" w:hAnsi="Times New Roman" w:eastAsia="仿宋_GB2312" w:cs="Times New Roman"/>
          <w:color w:val="000000"/>
          <w:kern w:val="0"/>
          <w:sz w:val="32"/>
          <w:szCs w:val="32"/>
          <w:highlight w:val="none"/>
          <w:shd w:val="clear" w:color="auto" w:fill="FFFFFF"/>
          <w:lang w:eastAsia="zh-CN"/>
        </w:rPr>
        <w:t>，</w:t>
      </w:r>
      <w:r>
        <w:rPr>
          <w:rFonts w:hint="default" w:ascii="Times New Roman" w:hAnsi="Times New Roman" w:eastAsia="仿宋_GB2312" w:cs="Times New Roman"/>
          <w:color w:val="000000"/>
          <w:kern w:val="0"/>
          <w:sz w:val="32"/>
          <w:szCs w:val="32"/>
          <w:highlight w:val="none"/>
          <w:shd w:val="clear" w:color="auto" w:fill="FFFFFF"/>
        </w:rPr>
        <w:t>其他教育支出(支出功能分类代码：2059999)0.4万元</w:t>
      </w:r>
      <w:r>
        <w:rPr>
          <w:rFonts w:hint="eastAsia" w:ascii="Times New Roman" w:hAnsi="Times New Roman" w:eastAsia="仿宋_GB2312" w:cs="Times New Roman"/>
          <w:color w:val="000000"/>
          <w:kern w:val="0"/>
          <w:sz w:val="32"/>
          <w:szCs w:val="32"/>
          <w:highlight w:val="none"/>
          <w:shd w:val="clear" w:color="auto" w:fill="FFFFFF"/>
          <w:lang w:eastAsia="zh-CN"/>
        </w:rPr>
        <w:t>，</w:t>
      </w:r>
      <w:r>
        <w:rPr>
          <w:rFonts w:hint="default" w:ascii="Times New Roman" w:hAnsi="Times New Roman" w:eastAsia="仿宋_GB2312" w:cs="Times New Roman"/>
          <w:sz w:val="32"/>
          <w:szCs w:val="32"/>
          <w:highlight w:val="none"/>
          <w:lang w:val="zh-CN"/>
        </w:rPr>
        <w:t>机关事业单位基本养老保险缴费（支出功能分类代码：2080505）</w:t>
      </w:r>
      <w:r>
        <w:rPr>
          <w:rFonts w:hint="eastAsia" w:ascii="Times New Roman" w:hAnsi="Times New Roman" w:eastAsia="仿宋_GB2312" w:cs="Times New Roman"/>
          <w:sz w:val="32"/>
          <w:szCs w:val="32"/>
          <w:highlight w:val="none"/>
          <w:lang w:val="en-US" w:eastAsia="zh-CN"/>
        </w:rPr>
        <w:t>78.80</w:t>
      </w:r>
      <w:r>
        <w:rPr>
          <w:rFonts w:hint="default" w:ascii="Times New Roman" w:hAnsi="Times New Roman" w:eastAsia="仿宋_GB2312" w:cs="Times New Roman"/>
          <w:sz w:val="32"/>
          <w:szCs w:val="32"/>
          <w:highlight w:val="none"/>
          <w:lang w:val="zh-CN"/>
        </w:rPr>
        <w:t>万元，机关事业单位职业年金缴费支出（支出功能分类代码：2080506）</w:t>
      </w:r>
      <w:r>
        <w:rPr>
          <w:rFonts w:hint="eastAsia" w:ascii="Times New Roman" w:hAnsi="Times New Roman" w:eastAsia="仿宋_GB2312" w:cs="Times New Roman"/>
          <w:sz w:val="32"/>
          <w:szCs w:val="32"/>
          <w:highlight w:val="none"/>
          <w:lang w:val="en-US" w:eastAsia="zh-CN"/>
        </w:rPr>
        <w:t>36.18</w:t>
      </w:r>
      <w:r>
        <w:rPr>
          <w:rFonts w:hint="default" w:ascii="Times New Roman" w:hAnsi="Times New Roman" w:eastAsia="仿宋_GB2312" w:cs="Times New Roman"/>
          <w:sz w:val="32"/>
          <w:szCs w:val="32"/>
          <w:highlight w:val="none"/>
          <w:lang w:val="zh-CN"/>
        </w:rPr>
        <w:t>万元，行政单位医疗（支出功能分类代码：2101101）</w:t>
      </w:r>
      <w:r>
        <w:rPr>
          <w:rFonts w:hint="eastAsia" w:ascii="Times New Roman" w:hAnsi="Times New Roman" w:eastAsia="仿宋_GB2312" w:cs="Times New Roman"/>
          <w:sz w:val="32"/>
          <w:szCs w:val="32"/>
          <w:highlight w:val="none"/>
          <w:lang w:val="en-US" w:eastAsia="zh-CN"/>
        </w:rPr>
        <w:t>38.27</w:t>
      </w:r>
      <w:r>
        <w:rPr>
          <w:rFonts w:hint="default" w:ascii="Times New Roman" w:hAnsi="Times New Roman" w:eastAsia="仿宋_GB2312" w:cs="Times New Roman"/>
          <w:sz w:val="32"/>
          <w:szCs w:val="32"/>
          <w:highlight w:val="none"/>
          <w:lang w:val="zh-CN"/>
        </w:rPr>
        <w:t>万元,公务员医疗补助（支出功能分类代码：2101103）</w:t>
      </w:r>
      <w:r>
        <w:rPr>
          <w:rFonts w:hint="eastAsia" w:ascii="Times New Roman" w:hAnsi="Times New Roman" w:eastAsia="仿宋_GB2312" w:cs="Times New Roman"/>
          <w:sz w:val="32"/>
          <w:szCs w:val="32"/>
          <w:highlight w:val="none"/>
          <w:lang w:val="en-US" w:eastAsia="zh-CN"/>
        </w:rPr>
        <w:t>9.09</w:t>
      </w:r>
      <w:r>
        <w:rPr>
          <w:rFonts w:hint="default" w:ascii="Times New Roman" w:hAnsi="Times New Roman" w:eastAsia="仿宋_GB2312" w:cs="Times New Roman"/>
          <w:sz w:val="32"/>
          <w:szCs w:val="32"/>
          <w:highlight w:val="none"/>
          <w:lang w:val="zh-CN"/>
        </w:rPr>
        <w:t>万元，住房公积金（支出功能分类代码：2210201）</w:t>
      </w:r>
      <w:r>
        <w:rPr>
          <w:rFonts w:hint="eastAsia" w:ascii="Times New Roman" w:hAnsi="Times New Roman" w:eastAsia="仿宋_GB2312" w:cs="Times New Roman"/>
          <w:sz w:val="32"/>
          <w:szCs w:val="32"/>
          <w:highlight w:val="none"/>
          <w:lang w:val="en-US" w:eastAsia="zh-CN"/>
        </w:rPr>
        <w:t>65.36</w:t>
      </w:r>
      <w:r>
        <w:rPr>
          <w:rFonts w:hint="default" w:ascii="Times New Roman" w:hAnsi="Times New Roman" w:eastAsia="仿宋_GB2312" w:cs="Times New Roman"/>
          <w:sz w:val="32"/>
          <w:szCs w:val="32"/>
          <w:highlight w:val="none"/>
          <w:lang w:val="zh-CN"/>
        </w:rPr>
        <w:t>万元</w:t>
      </w:r>
      <w:r>
        <w:rPr>
          <w:rFonts w:hint="eastAsia"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lang w:val="zh-CN"/>
        </w:rPr>
        <w:t>购房补贴(</w:t>
      </w:r>
      <w:r>
        <w:rPr>
          <w:rFonts w:hint="default" w:ascii="Times New Roman" w:hAnsi="Times New Roman" w:eastAsia="仿宋_GB2312" w:cs="Times New Roman"/>
          <w:color w:val="000000"/>
          <w:kern w:val="0"/>
          <w:sz w:val="32"/>
          <w:szCs w:val="32"/>
          <w:highlight w:val="none"/>
          <w:shd w:val="clear" w:color="auto" w:fill="FFFFFF"/>
          <w:lang w:val="zh-CN"/>
        </w:rPr>
        <w:t>支出功能分类代码：2210203)3.40万元。</w:t>
      </w:r>
    </w:p>
    <w:p w14:paraId="56D3CE73">
      <w:pPr>
        <w:spacing w:line="56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rPr>
        <w:t>结余分配和结转结余情况</w:t>
      </w:r>
    </w:p>
    <w:p w14:paraId="50E34BA9">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根据2024年度</w:t>
      </w:r>
      <w:r>
        <w:rPr>
          <w:rFonts w:hint="eastAsia" w:ascii="Times New Roman" w:hAnsi="Times New Roman" w:eastAsia="仿宋_GB2312" w:cs="Times New Roman"/>
          <w:color w:val="000000"/>
          <w:kern w:val="0"/>
          <w:sz w:val="32"/>
          <w:szCs w:val="32"/>
          <w:highlight w:val="none"/>
          <w:shd w:val="clear" w:color="auto" w:fill="FFFFFF"/>
          <w:lang w:val="en-US" w:eastAsia="zh-CN"/>
        </w:rPr>
        <w:t>州委统战部</w:t>
      </w:r>
      <w:r>
        <w:rPr>
          <w:rFonts w:hint="default" w:ascii="Times New Roman" w:hAnsi="Times New Roman" w:eastAsia="仿宋_GB2312" w:cs="Times New Roman"/>
          <w:color w:val="000000"/>
          <w:kern w:val="0"/>
          <w:sz w:val="32"/>
          <w:szCs w:val="32"/>
          <w:highlight w:val="none"/>
          <w:shd w:val="clear" w:color="auto" w:fill="FFFFFF"/>
        </w:rPr>
        <w:t>决算数据</w:t>
      </w:r>
      <w:r>
        <w:rPr>
          <w:rFonts w:hint="eastAsia" w:ascii="Times New Roman" w:hAnsi="Times New Roman" w:eastAsia="仿宋_GB2312" w:cs="Times New Roman"/>
          <w:color w:val="000000"/>
          <w:kern w:val="0"/>
          <w:sz w:val="32"/>
          <w:szCs w:val="32"/>
          <w:highlight w:val="none"/>
          <w:shd w:val="clear" w:color="auto" w:fill="FFFFFF"/>
          <w:lang w:eastAsia="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州委统战部</w:t>
      </w:r>
      <w:r>
        <w:rPr>
          <w:rFonts w:hint="default" w:ascii="Times New Roman" w:hAnsi="Times New Roman" w:eastAsia="仿宋_GB2312" w:cs="Times New Roman"/>
          <w:color w:val="000000"/>
          <w:kern w:val="0"/>
          <w:sz w:val="32"/>
          <w:szCs w:val="32"/>
          <w:highlight w:val="none"/>
          <w:shd w:val="clear" w:color="auto" w:fill="FFFFFF"/>
        </w:rPr>
        <w:t>2024年年末存在结转和结余,结转和结余数47.14万元</w:t>
      </w:r>
      <w:r>
        <w:rPr>
          <w:rFonts w:hint="default" w:ascii="Times New Roman" w:hAnsi="Times New Roman" w:eastAsia="仿宋_GB2312" w:cs="Times New Roman"/>
          <w:color w:val="000000"/>
          <w:kern w:val="0"/>
          <w:sz w:val="32"/>
          <w:szCs w:val="32"/>
          <w:highlight w:val="none"/>
        </w:rPr>
        <w:t>。</w:t>
      </w:r>
    </w:p>
    <w:p w14:paraId="08CBB44B">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三、部门整体预算绩效分析</w:t>
      </w:r>
    </w:p>
    <w:p w14:paraId="57101F00">
      <w:pPr>
        <w:widowControl/>
        <w:adjustRightInd w:val="0"/>
        <w:snapToGrid w:val="0"/>
        <w:spacing w:line="560" w:lineRule="exact"/>
        <w:ind w:firstLine="643" w:firstLineChars="200"/>
        <w:contextualSpacing/>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1E5FF55C">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是巩固完善大统战工作格局。坚持党对统一战线工作的集中统一领导，及时调整优化州委统一战线暨宗教工作领导小组，筹备召开州委统一战线暨宗教工作领导小组会议，压紧压实责任，构建完善党委统一领导、统战部门牵头协调、各有关方面各负其责的大统战工作格局。深刻认识贯彻落实《中国共产党统一战线工作条例》是做好新时代党的统一战线工作的内在要求，全面贯彻执行条例，不断提升统战工作科学化、制度化、规范化水平。</w:t>
      </w:r>
    </w:p>
    <w:p w14:paraId="28BA33A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rPr>
        <w:t>是持续铸牢中华民族共同体意识。坚持以铸牢中华民族共同体意识为主线，建立“七进+”常态机制，加大宣传教育力度，引导各民族休戚与共、荣辱与共、生死与共、命运与共。建立铸牢中华民族共同体意识与民族团结进步创建同步推进体系，与浙江省、青海省果洛州、黄南州以及省内成都市、绵阳市、甘孜州、凉山州等13个省、市（州）民宗部门签订协议，建立区域共建机制，提升工作质效。组建5个工作组，通过实地观摩、听取汇报、查阅资料、个别访谈等方式，对全州13县（市）、7个州级部门、70个示范点位进行互观互检，夯实工作基础、抓实整改提升，有效推进民族团结进步示范创建工作。红原县、九寨沟县、汶川中学被命名为第11批全国民族团结进步示范区示范单位，命名数量列全国市州第一方阵。四川若尔盖湿地国家级自然保护区管理局、汶川县特殊教育学校校长毛运兰分别被党中央、国务院表彰为全国民族团结进步模范集体和模范个人。民族事业全面发展，推动实施“各族青少年交流计划”“各族群众互嵌式发展计划”，有效促进各民族交流交往交融。</w:t>
      </w:r>
    </w:p>
    <w:p w14:paraId="07953C4B">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是党外知识分子和新阶人士工作取得实效。建成党外知识分子助力乡村振兴“千村共建”示范点44个，指导建立县级卫健系统党外知识分子联谊会13个、建立基层新阶人士联谊组织3个。举办14期州县党外知识分子和新阶人士专题培训、1100人次参加，选派10名党外知识分子、30名新阶人士参加省级培训。引导党外知识分子积极参与农特产品销售、文旅产品推介、招商引资等工作，开展义诊活动42次、受益群众5000余人，发放价值4.9万元药品；开展农技下乡活动5次，受益群众1000余人次。举办州委统战部部长与新阶人士代表沟通协商“面对面+键对键”活动，7位新阶人士代表面对面提出产业、企业发展面临的困难问题，州级相关部门负责同志现场进行答复；督促州级相关部门和县（市）对新阶代表人士提出的问题列出清单、限时办理。党外知识分子和新阶人士更加紧密团结在党和政府周围，在乡村振兴、产业发展等工作中发挥重要作用。</w:t>
      </w:r>
    </w:p>
    <w:p w14:paraId="129DEF79">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是促进民营经济“两个健康”。加强民营经济人士思想政治建设，举办培训班10余期，促进民营企业家始终与党同心同向。组织民营企业家代表开展汶川“5·12”特大地震追思活动、爱国主义理想信念教育，传承弘扬爱党爱国、艰苦奋斗、敢闯敢干、奉献社会的企业家精神。稳步推进阿商发展大会筹备工作。聚力乡村振兴，组织355家民营企业、22家商（协）会结对帮扶313个村，实施兴村项目407个、累计投资19.5亿元；开展欠发达县域托底性帮扶工作，促成项目落地4个，消费帮扶93.08万元，捐款捐物折资1337.82万元；开展“百城千校万企”促就业行动，促成300余家民营企业吸纳用工1400余人。举办州委统战部部长与民营经济人士沟通协商“面对面”活动，帮助民营企业家疏困解难、增添发展信心。加强工商联（商会）建设，召开州工商联六届二次执委会，充实班子队伍，落实《阿坝州工商业联合会（商会）兼职副主席（副会长）履职评价办法（试行）》，严格进行履职评价，增强工商联组织凝聚力、执行力。</w:t>
      </w:r>
    </w:p>
    <w:p w14:paraId="493C4C6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rPr>
        <w:t>是有序推进港澳台侨及海外统战工作。推动第五季“掌上蜀show”·寻美川藏线两岸新媒体体验采访活动走进马尔康、理县，向两岸新媒体展示了山川之美、文化之美、产业之美、天路之美。组织“第七届全球华语朗诵大赛四川集结营”在茂县参访，来自美国、澳大利亚、加拿大、法国等12个国家36名朗诵大赛选手深度体验茂县多姿多彩的羌族文化，深刻感受到各族群众在中华民族大家庭中交往交流交融，共同团结奋斗、共同繁荣发展。</w:t>
      </w:r>
    </w:p>
    <w:p w14:paraId="57999CCD">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六</w:t>
      </w:r>
      <w:bookmarkStart w:id="98" w:name="_GoBack"/>
      <w:bookmarkEnd w:id="98"/>
      <w:r>
        <w:rPr>
          <w:rFonts w:hint="default" w:ascii="Times New Roman" w:hAnsi="Times New Roman" w:eastAsia="仿宋_GB2312" w:cs="Times New Roman"/>
          <w:sz w:val="32"/>
          <w:szCs w:val="32"/>
          <w:highlight w:val="none"/>
        </w:rPr>
        <w:t>是抓细抓实宣传文化工作。上报各类信息稿件320余条，其中省委统战部采用89条、中国西藏网采用13条。加强意识形态工作，常态开展统战领域意识形态舆情分析研判，排查整改风险隐患。在小金县举办“同心同德拼经济、网上网下助小金”——四川统一战线助力民族地区数字经济发展和乡村振兴活动，免费为小金县8家企业搭建“小金优选”电商平台矩阵，全品类推广小金县农特产品。承办由省委组织部、省委宣传部、省委统战部、省委涉藏办主办的“在云端·我的援藏故事”涉藏州县行活动，7名援藏干部到我州10个县宣讲对口援藏工作取得的显著成绩和感人故事。</w:t>
      </w:r>
    </w:p>
    <w:p w14:paraId="0010D7AA">
      <w:pPr>
        <w:spacing w:line="56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rPr>
        <w:t>2024年部门圆满完成了年度任务,部门履职情况良好,综上,根据评分标准该项指标扣0分,得15分。</w:t>
      </w:r>
    </w:p>
    <w:p w14:paraId="4D726D31">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部门预算管理</w:t>
      </w:r>
    </w:p>
    <w:p w14:paraId="5286C40E">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（1）预算编制质量</w:t>
      </w:r>
    </w:p>
    <w:p w14:paraId="536C9D53">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该项指标得分=（1-财政拨款预算偏离度）×100%×4+（1-资产配置预算偏离度）×100%×2+（1-政府采购预算偏离度）×100%×2。偏离度=|预算执行数-年初预算数|÷年初预算数。</w:t>
      </w:r>
    </w:p>
    <w:p w14:paraId="7246EDAC">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我部门2024年预算执行数为</w:t>
      </w:r>
      <w:r>
        <w:rPr>
          <w:rFonts w:hint="eastAsia" w:ascii="Times New Roman" w:hAnsi="Times New Roman" w:eastAsia="仿宋_GB2312" w:cs="Times New Roman"/>
          <w:color w:val="000000"/>
          <w:kern w:val="0"/>
          <w:sz w:val="32"/>
          <w:szCs w:val="32"/>
          <w:highlight w:val="none"/>
          <w:shd w:val="clear" w:color="auto" w:fill="FFFFFF"/>
          <w:lang w:val="en-US" w:eastAsia="zh-CN"/>
        </w:rPr>
        <w:t>1446.05</w:t>
      </w:r>
      <w:r>
        <w:rPr>
          <w:rFonts w:hint="default" w:ascii="Times New Roman" w:hAnsi="Times New Roman" w:eastAsia="仿宋_GB2312" w:cs="Times New Roman"/>
          <w:color w:val="000000"/>
          <w:kern w:val="0"/>
          <w:sz w:val="32"/>
          <w:szCs w:val="32"/>
          <w:highlight w:val="none"/>
          <w:shd w:val="clear" w:color="auto" w:fill="FFFFFF"/>
          <w:lang w:val="zh-CN"/>
        </w:rPr>
        <w:t>万元，年初预算数为</w:t>
      </w:r>
      <w:r>
        <w:rPr>
          <w:rFonts w:hint="eastAsia" w:ascii="Times New Roman" w:hAnsi="Times New Roman" w:eastAsia="仿宋_GB2312" w:cs="Times New Roman"/>
          <w:color w:val="000000"/>
          <w:kern w:val="0"/>
          <w:sz w:val="32"/>
          <w:szCs w:val="32"/>
          <w:highlight w:val="none"/>
          <w:shd w:val="clear" w:color="auto" w:fill="FFFFFF"/>
          <w:lang w:val="en-US" w:eastAsia="zh-CN"/>
        </w:rPr>
        <w:t>1189.93</w:t>
      </w:r>
      <w:r>
        <w:rPr>
          <w:rFonts w:hint="default" w:ascii="Times New Roman" w:hAnsi="Times New Roman" w:eastAsia="仿宋_GB2312" w:cs="Times New Roman"/>
          <w:color w:val="000000"/>
          <w:kern w:val="0"/>
          <w:sz w:val="32"/>
          <w:szCs w:val="32"/>
          <w:highlight w:val="none"/>
          <w:shd w:val="clear" w:color="auto" w:fill="FFFFFF"/>
          <w:lang w:val="zh-CN"/>
        </w:rPr>
        <w:t>万元，预算偏离度=|</w:t>
      </w:r>
      <w:r>
        <w:rPr>
          <w:rFonts w:hint="eastAsia" w:ascii="Times New Roman" w:hAnsi="Times New Roman" w:eastAsia="仿宋_GB2312" w:cs="Times New Roman"/>
          <w:bCs/>
          <w:color w:val="000000"/>
          <w:kern w:val="0"/>
          <w:sz w:val="32"/>
          <w:szCs w:val="32"/>
          <w:highlight w:val="none"/>
          <w:shd w:val="clear" w:color="auto" w:fill="FFFFFF"/>
          <w:lang w:val="en-US" w:eastAsia="zh-CN"/>
        </w:rPr>
        <w:t>1446.05</w:t>
      </w:r>
      <w:r>
        <w:rPr>
          <w:rFonts w:hint="default" w:ascii="Times New Roman" w:hAnsi="Times New Roman" w:eastAsia="仿宋_GB2312" w:cs="Times New Roman"/>
          <w:bCs/>
          <w:color w:val="000000"/>
          <w:kern w:val="0"/>
          <w:sz w:val="32"/>
          <w:szCs w:val="32"/>
          <w:highlight w:val="none"/>
          <w:shd w:val="clear" w:color="auto" w:fill="FFFFFF"/>
          <w:lang w:val="zh-CN"/>
        </w:rPr>
        <w:t>-</w:t>
      </w:r>
      <w:r>
        <w:rPr>
          <w:rFonts w:hint="eastAsia" w:ascii="Times New Roman" w:hAnsi="Times New Roman" w:eastAsia="仿宋_GB2312" w:cs="Times New Roman"/>
          <w:bCs/>
          <w:color w:val="000000"/>
          <w:kern w:val="0"/>
          <w:sz w:val="32"/>
          <w:szCs w:val="32"/>
          <w:highlight w:val="none"/>
          <w:shd w:val="clear" w:color="auto" w:fill="FFFFFF"/>
          <w:lang w:val="en-US" w:eastAsia="zh-CN"/>
        </w:rPr>
        <w:t>1189.93</w:t>
      </w:r>
      <w:r>
        <w:rPr>
          <w:rFonts w:hint="default" w:ascii="Times New Roman" w:hAnsi="Times New Roman" w:eastAsia="仿宋_GB2312" w:cs="Times New Roman"/>
          <w:bCs/>
          <w:color w:val="000000"/>
          <w:kern w:val="0"/>
          <w:sz w:val="32"/>
          <w:szCs w:val="32"/>
          <w:highlight w:val="none"/>
          <w:shd w:val="clear" w:color="auto" w:fill="FFFFFF"/>
          <w:lang w:val="zh-CN"/>
        </w:rPr>
        <w:t>|÷</w:t>
      </w:r>
      <w:r>
        <w:rPr>
          <w:rFonts w:hint="eastAsia" w:ascii="Times New Roman" w:hAnsi="Times New Roman" w:eastAsia="仿宋_GB2312" w:cs="Times New Roman"/>
          <w:bCs/>
          <w:color w:val="000000"/>
          <w:kern w:val="0"/>
          <w:sz w:val="32"/>
          <w:szCs w:val="32"/>
          <w:highlight w:val="none"/>
          <w:shd w:val="clear" w:color="auto" w:fill="FFFFFF"/>
          <w:lang w:val="en-US" w:eastAsia="zh-CN"/>
        </w:rPr>
        <w:t>1446.05</w:t>
      </w:r>
      <w:r>
        <w:rPr>
          <w:rFonts w:hint="default" w:ascii="Times New Roman" w:hAnsi="Times New Roman" w:eastAsia="仿宋_GB2312" w:cs="Times New Roman"/>
          <w:bCs/>
          <w:color w:val="000000"/>
          <w:kern w:val="0"/>
          <w:sz w:val="32"/>
          <w:szCs w:val="32"/>
          <w:highlight w:val="none"/>
          <w:shd w:val="clear" w:color="auto" w:fill="FFFFFF"/>
          <w:lang w:val="zh-CN"/>
        </w:rPr>
        <w:t>=</w:t>
      </w:r>
      <w:r>
        <w:rPr>
          <w:rFonts w:hint="eastAsia" w:ascii="Times New Roman" w:hAnsi="Times New Roman" w:eastAsia="仿宋_GB2312" w:cs="Times New Roman"/>
          <w:bCs/>
          <w:color w:val="000000"/>
          <w:kern w:val="0"/>
          <w:sz w:val="32"/>
          <w:szCs w:val="32"/>
          <w:highlight w:val="none"/>
          <w:shd w:val="clear" w:color="auto" w:fill="FFFFFF"/>
          <w:lang w:val="en-US" w:eastAsia="zh-CN"/>
        </w:rPr>
        <w:t>0.18</w:t>
      </w:r>
      <w:r>
        <w:rPr>
          <w:rFonts w:hint="default" w:ascii="Times New Roman" w:hAnsi="Times New Roman" w:eastAsia="仿宋_GB2312" w:cs="Times New Roman"/>
          <w:bCs/>
          <w:color w:val="000000"/>
          <w:kern w:val="0"/>
          <w:sz w:val="32"/>
          <w:szCs w:val="32"/>
          <w:highlight w:val="none"/>
          <w:shd w:val="clear" w:color="auto" w:fill="FFFFFF"/>
          <w:lang w:val="zh-CN"/>
        </w:rPr>
        <w:t>；2024年资产预算数</w:t>
      </w:r>
      <w:r>
        <w:rPr>
          <w:rFonts w:hint="default" w:ascii="Times New Roman" w:hAnsi="Times New Roman" w:eastAsia="仿宋_GB2312"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万元，资产配置执行数</w:t>
      </w:r>
      <w:r>
        <w:rPr>
          <w:rFonts w:hint="default" w:ascii="Times New Roman" w:hAnsi="Times New Roman" w:eastAsia="仿宋_GB2312"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万元，故资产配置偏离度=</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w:t>
      </w:r>
      <w:r>
        <w:rPr>
          <w:rFonts w:hint="default" w:ascii="Times New Roman" w:hAnsi="Times New Roman" w:eastAsia="仿宋_GB2312" w:cs="Times New Roman"/>
          <w:bCs/>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政府采购年初预算数</w:t>
      </w:r>
      <w:r>
        <w:rPr>
          <w:rFonts w:hint="default" w:ascii="Times New Roman" w:hAnsi="Times New Roman" w:eastAsia="仿宋_GB2312" w:cs="Times New Roman"/>
          <w:color w:val="000000"/>
          <w:kern w:val="0"/>
          <w:sz w:val="32"/>
          <w:szCs w:val="32"/>
          <w:highlight w:val="none"/>
          <w:shd w:val="clear" w:color="auto" w:fill="FFFFFF"/>
          <w:lang w:val="en-US" w:eastAsia="zh-CN"/>
        </w:rPr>
        <w:t>27.00</w:t>
      </w:r>
      <w:r>
        <w:rPr>
          <w:rFonts w:hint="default" w:ascii="Times New Roman" w:hAnsi="Times New Roman" w:eastAsia="仿宋_GB2312" w:cs="Times New Roman"/>
          <w:color w:val="000000"/>
          <w:kern w:val="0"/>
          <w:sz w:val="32"/>
          <w:szCs w:val="32"/>
          <w:highlight w:val="none"/>
          <w:shd w:val="clear" w:color="auto" w:fill="FFFFFF"/>
          <w:lang w:val="zh-CN"/>
        </w:rPr>
        <w:t>万元，执行采购数</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万元，政府采购预算偏离度=</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lang w:val="en-US" w:eastAsia="zh-CN"/>
        </w:rPr>
        <w:t>27</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26.51</w:t>
      </w:r>
      <w:r>
        <w:rPr>
          <w:rFonts w:hint="default" w:ascii="Times New Roman" w:hAnsi="Times New Roman" w:eastAsia="微软雅黑" w:cs="Times New Roman"/>
          <w:bCs/>
          <w:color w:val="000000"/>
          <w:kern w:val="0"/>
          <w:sz w:val="32"/>
          <w:szCs w:val="32"/>
          <w:highlight w:val="none"/>
          <w:shd w:val="clear" w:color="auto" w:fill="FFFFFF"/>
          <w:lang w:val="zh-CN"/>
        </w:rPr>
        <w:t>∣</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27</w:t>
      </w:r>
      <w:r>
        <w:rPr>
          <w:rFonts w:hint="default" w:ascii="Times New Roman" w:hAnsi="Times New Roman" w:eastAsia="仿宋" w:cs="Times New Roman"/>
          <w:bCs/>
          <w:color w:val="000000"/>
          <w:kern w:val="0"/>
          <w:sz w:val="32"/>
          <w:szCs w:val="32"/>
          <w:highlight w:val="none"/>
          <w:shd w:val="clear" w:color="auto" w:fill="FFFFFF"/>
        </w:rPr>
        <w:t>=</w:t>
      </w:r>
      <w:r>
        <w:rPr>
          <w:rFonts w:hint="default" w:ascii="Times New Roman" w:hAnsi="Times New Roman" w:eastAsia="仿宋" w:cs="Times New Roman"/>
          <w:bCs/>
          <w:color w:val="000000"/>
          <w:kern w:val="0"/>
          <w:sz w:val="32"/>
          <w:szCs w:val="32"/>
          <w:highlight w:val="none"/>
          <w:shd w:val="clear" w:color="auto" w:fill="FFFFFF"/>
          <w:lang w:val="en-US" w:eastAsia="zh-CN"/>
        </w:rPr>
        <w:t>0.02</w:t>
      </w:r>
      <w:r>
        <w:rPr>
          <w:rFonts w:hint="default" w:ascii="Times New Roman" w:hAnsi="Times New Roman" w:eastAsia="仿宋_GB2312" w:cs="Times New Roman"/>
          <w:color w:val="000000"/>
          <w:kern w:val="0"/>
          <w:sz w:val="32"/>
          <w:szCs w:val="32"/>
          <w:highlight w:val="none"/>
          <w:shd w:val="clear" w:color="auto" w:fill="FFFFFF"/>
          <w:lang w:val="zh-CN"/>
        </w:rPr>
        <w:t>。该项指标得分=（1-财政拨款预算偏离度）*100%*4+（1-资产配置偏离度）*100%*2+（1-政府采购预算偏离度）*100%*2=</w:t>
      </w:r>
      <w:r>
        <w:rPr>
          <w:rFonts w:hint="default" w:ascii="Times New Roman" w:hAnsi="Times New Roman" w:eastAsia="仿宋_GB2312" w:cs="Times New Roman"/>
          <w:color w:val="000000"/>
          <w:kern w:val="0"/>
          <w:sz w:val="32"/>
          <w:szCs w:val="32"/>
          <w:highlight w:val="none"/>
          <w:shd w:val="clear" w:color="auto" w:fill="FFFFFF"/>
        </w:rPr>
        <w:t>0</w:t>
      </w:r>
      <w:r>
        <w:rPr>
          <w:rFonts w:hint="default" w:ascii="Times New Roman" w:hAnsi="Times New Roman" w:eastAsia="仿宋_GB2312" w:cs="Times New Roman"/>
          <w:color w:val="000000"/>
          <w:kern w:val="0"/>
          <w:sz w:val="32"/>
          <w:szCs w:val="32"/>
          <w:highlight w:val="none"/>
          <w:shd w:val="clear" w:color="auto" w:fill="FFFFFF"/>
          <w:lang w:val="zh-CN"/>
        </w:rPr>
        <w:t>分。</w:t>
      </w:r>
    </w:p>
    <w:p w14:paraId="4B81B82B">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综上根据评分标准，该项指标扣分</w:t>
      </w:r>
      <w:r>
        <w:rPr>
          <w:rFonts w:hint="eastAsia" w:ascii="Times New Roman" w:hAnsi="Times New Roman" w:eastAsia="仿宋_GB2312" w:cs="Times New Roman"/>
          <w:color w:val="000000"/>
          <w:kern w:val="0"/>
          <w:sz w:val="32"/>
          <w:szCs w:val="32"/>
          <w:highlight w:val="none"/>
          <w:shd w:val="clear" w:color="auto" w:fill="FFFFFF"/>
          <w:lang w:val="en-US" w:eastAsia="zh-CN"/>
        </w:rPr>
        <w:t>0.76</w:t>
      </w:r>
      <w:r>
        <w:rPr>
          <w:rFonts w:hint="default" w:ascii="Times New Roman" w:hAnsi="Times New Roman" w:eastAsia="仿宋_GB2312" w:cs="Times New Roman"/>
          <w:color w:val="000000"/>
          <w:kern w:val="0"/>
          <w:sz w:val="32"/>
          <w:szCs w:val="32"/>
          <w:highlight w:val="none"/>
          <w:shd w:val="clear" w:color="auto" w:fill="FFFFFF"/>
          <w:lang w:val="zh-CN"/>
        </w:rPr>
        <w:t>分，得</w:t>
      </w:r>
      <w:r>
        <w:rPr>
          <w:rFonts w:hint="eastAsia" w:ascii="Times New Roman" w:hAnsi="Times New Roman" w:eastAsia="仿宋_GB2312" w:cs="Times New Roman"/>
          <w:color w:val="000000"/>
          <w:kern w:val="0"/>
          <w:sz w:val="32"/>
          <w:szCs w:val="32"/>
          <w:highlight w:val="none"/>
          <w:shd w:val="clear" w:color="auto" w:fill="FFFFFF"/>
          <w:lang w:val="en-US" w:eastAsia="zh-CN"/>
        </w:rPr>
        <w:t>7.24</w:t>
      </w:r>
      <w:r>
        <w:rPr>
          <w:rFonts w:hint="default" w:ascii="Times New Roman" w:hAnsi="Times New Roman" w:eastAsia="仿宋_GB2312" w:cs="Times New Roman"/>
          <w:color w:val="000000"/>
          <w:kern w:val="0"/>
          <w:sz w:val="32"/>
          <w:szCs w:val="32"/>
          <w:highlight w:val="none"/>
          <w:shd w:val="clear" w:color="auto" w:fill="FFFFFF"/>
          <w:lang w:val="zh-CN"/>
        </w:rPr>
        <w:t>分。</w:t>
      </w:r>
    </w:p>
    <w:p w14:paraId="34DED262">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（2）单位收入统筹</w:t>
      </w:r>
    </w:p>
    <w:p w14:paraId="5C6A19E5">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我部门2024年自有收入全年执行数为0万元，自有收入年初预算数0万元，因我单位不涉及综合补助比例，</w:t>
      </w:r>
      <w:r>
        <w:rPr>
          <w:rFonts w:hint="default" w:ascii="Times New Roman" w:hAnsi="Times New Roman" w:eastAsia="仿宋_GB2312" w:cs="Times New Roman"/>
          <w:color w:val="000000"/>
          <w:kern w:val="0"/>
          <w:sz w:val="32"/>
          <w:szCs w:val="32"/>
          <w:highlight w:val="none"/>
          <w:shd w:val="clear" w:color="auto" w:fill="FFFFFF"/>
        </w:rPr>
        <w:t xml:space="preserve">                                                                                                                                                                                                                                                                                                                                                                                                                                                                                                                                                                                                                                                                                                                                                                                                                                                                                                                                                                                                                                                                                                                                                                                                                                                                                                                                                                                                                                                                                                                                                                                                                                                                                                                                                                                                                                                                                                                                                                                                                                                                                                                                                                                                                                                                                                                                                                                                                                                                                                                                                                                                                                                                                                                                                                                                                                                                                                                                                                                                                                                                                                                                                                                                                                                                                                                                                                                                                                                                                                                                                                                                                                                                                                                                                                                                                                                                                                                                                                                                                                                                                                                                                                                                              </w:t>
      </w:r>
      <w:r>
        <w:rPr>
          <w:rFonts w:hint="default" w:ascii="Times New Roman" w:hAnsi="Times New Roman" w:eastAsia="仿宋_GB2312" w:cs="Times New Roman"/>
          <w:color w:val="000000"/>
          <w:kern w:val="0"/>
          <w:sz w:val="32"/>
          <w:szCs w:val="32"/>
          <w:highlight w:val="none"/>
          <w:shd w:val="clear" w:color="auto" w:fill="FFFFFF"/>
          <w:lang w:val="zh-CN"/>
        </w:rPr>
        <w:t>故不扣分，该项得4分。</w:t>
      </w:r>
    </w:p>
    <w:p w14:paraId="316BD59E">
      <w:pPr>
        <w:widowControl/>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（3）支出执行进度</w:t>
      </w:r>
    </w:p>
    <w:p w14:paraId="51C7A29C">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我部门1-6月预算执行数</w:t>
      </w:r>
      <w:r>
        <w:rPr>
          <w:rFonts w:hint="eastAsia" w:ascii="Times New Roman" w:hAnsi="Times New Roman" w:eastAsia="仿宋_GB2312" w:cs="Times New Roman"/>
          <w:color w:val="000000"/>
          <w:kern w:val="0"/>
          <w:sz w:val="32"/>
          <w:szCs w:val="32"/>
          <w:highlight w:val="none"/>
          <w:shd w:val="clear" w:color="auto" w:fill="FFFFFF"/>
          <w:lang w:val="en-US" w:eastAsia="zh-CN"/>
        </w:rPr>
        <w:t>371.95</w:t>
      </w:r>
      <w:r>
        <w:rPr>
          <w:rFonts w:hint="default" w:ascii="Times New Roman" w:hAnsi="Times New Roman" w:eastAsia="仿宋_GB2312" w:cs="Times New Roman"/>
          <w:color w:val="000000"/>
          <w:kern w:val="0"/>
          <w:sz w:val="32"/>
          <w:szCs w:val="32"/>
          <w:highlight w:val="none"/>
          <w:shd w:val="clear" w:color="auto" w:fill="FFFFFF"/>
          <w:lang w:val="zh-CN"/>
        </w:rPr>
        <w:t>万元，部门预算数为</w:t>
      </w:r>
      <w:r>
        <w:rPr>
          <w:rFonts w:hint="eastAsia" w:ascii="Times New Roman" w:hAnsi="Times New Roman" w:eastAsia="仿宋_GB2312" w:cs="Times New Roman"/>
          <w:color w:val="000000"/>
          <w:kern w:val="0"/>
          <w:sz w:val="32"/>
          <w:szCs w:val="32"/>
          <w:highlight w:val="none"/>
          <w:shd w:val="clear" w:color="auto" w:fill="FFFFFF"/>
          <w:lang w:val="en-US" w:eastAsia="zh-CN"/>
        </w:rPr>
        <w:t>1189.93</w:t>
      </w:r>
      <w:r>
        <w:rPr>
          <w:rFonts w:hint="default" w:ascii="Times New Roman" w:hAnsi="Times New Roman" w:eastAsia="仿宋_GB2312" w:cs="Times New Roman"/>
          <w:color w:val="000000"/>
          <w:kern w:val="0"/>
          <w:sz w:val="32"/>
          <w:szCs w:val="32"/>
          <w:highlight w:val="none"/>
          <w:shd w:val="clear" w:color="auto" w:fill="FFFFFF"/>
          <w:lang w:val="zh-CN"/>
        </w:rPr>
        <w:t>万元，1-6月预警支出</w:t>
      </w:r>
      <w:r>
        <w:rPr>
          <w:rFonts w:hint="eastAsia" w:ascii="Times New Roman" w:hAnsi="Times New Roman" w:eastAsia="仿宋_GB2312" w:cs="Times New Roman"/>
          <w:color w:val="000000"/>
          <w:kern w:val="0"/>
          <w:sz w:val="32"/>
          <w:szCs w:val="32"/>
          <w:highlight w:val="none"/>
          <w:shd w:val="clear" w:color="auto" w:fill="FFFFFF"/>
          <w:lang w:val="en-US" w:eastAsia="zh-CN"/>
        </w:rPr>
        <w:t>0.28</w:t>
      </w:r>
      <w:r>
        <w:rPr>
          <w:rFonts w:hint="default" w:ascii="Times New Roman" w:hAnsi="Times New Roman" w:eastAsia="仿宋_GB2312" w:cs="Times New Roman"/>
          <w:color w:val="000000"/>
          <w:kern w:val="0"/>
          <w:sz w:val="32"/>
          <w:szCs w:val="32"/>
          <w:highlight w:val="none"/>
          <w:shd w:val="clear" w:color="auto" w:fill="FFFFFF"/>
          <w:lang w:val="zh-CN"/>
        </w:rPr>
        <w:t>万元，占比</w:t>
      </w:r>
      <w:r>
        <w:rPr>
          <w:rFonts w:hint="eastAsia" w:ascii="Times New Roman" w:hAnsi="Times New Roman" w:eastAsia="仿宋_GB2312" w:cs="Times New Roman"/>
          <w:color w:val="000000"/>
          <w:kern w:val="0"/>
          <w:sz w:val="32"/>
          <w:szCs w:val="32"/>
          <w:highlight w:val="none"/>
          <w:shd w:val="clear" w:color="auto" w:fill="FFFFFF"/>
          <w:lang w:val="en-US" w:eastAsia="zh-CN"/>
        </w:rPr>
        <w:t>0.07</w:t>
      </w:r>
      <w:r>
        <w:rPr>
          <w:rFonts w:hint="default" w:ascii="Times New Roman" w:hAnsi="Times New Roman" w:eastAsia="仿宋_GB2312" w:cs="Times New Roman"/>
          <w:color w:val="000000"/>
          <w:kern w:val="0"/>
          <w:sz w:val="32"/>
          <w:szCs w:val="32"/>
          <w:highlight w:val="none"/>
          <w:shd w:val="clear" w:color="auto" w:fill="FFFFFF"/>
          <w:lang w:val="zh-CN"/>
        </w:rPr>
        <w:t>%，1-6月无支出违规资金。</w:t>
      </w:r>
    </w:p>
    <w:p w14:paraId="31BB9B1C">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lang w:val="zh-CN"/>
        </w:rPr>
        <w:t>1-10月预算执行数</w:t>
      </w:r>
      <w:r>
        <w:rPr>
          <w:rFonts w:hint="eastAsia" w:ascii="Times New Roman" w:hAnsi="Times New Roman" w:eastAsia="仿宋_GB2312" w:cs="Times New Roman"/>
          <w:color w:val="000000"/>
          <w:kern w:val="0"/>
          <w:sz w:val="32"/>
          <w:szCs w:val="32"/>
          <w:highlight w:val="none"/>
          <w:shd w:val="clear" w:color="auto" w:fill="FFFFFF"/>
          <w:lang w:val="en-US" w:eastAsia="zh-CN"/>
        </w:rPr>
        <w:t>548.93</w:t>
      </w:r>
      <w:r>
        <w:rPr>
          <w:rFonts w:hint="default" w:ascii="Times New Roman" w:hAnsi="Times New Roman" w:eastAsia="仿宋_GB2312" w:cs="Times New Roman"/>
          <w:color w:val="000000"/>
          <w:kern w:val="0"/>
          <w:sz w:val="32"/>
          <w:szCs w:val="32"/>
          <w:highlight w:val="none"/>
          <w:shd w:val="clear" w:color="auto" w:fill="FFFFFF"/>
          <w:lang w:val="zh-CN"/>
        </w:rPr>
        <w:t>万元，部门预算数</w:t>
      </w:r>
      <w:r>
        <w:rPr>
          <w:rFonts w:hint="eastAsia" w:ascii="Times New Roman" w:hAnsi="Times New Roman" w:eastAsia="仿宋_GB2312" w:cs="Times New Roman"/>
          <w:color w:val="000000"/>
          <w:kern w:val="0"/>
          <w:sz w:val="32"/>
          <w:szCs w:val="32"/>
          <w:highlight w:val="none"/>
          <w:shd w:val="clear" w:color="auto" w:fill="FFFFFF"/>
          <w:lang w:val="en-US" w:eastAsia="zh-CN"/>
        </w:rPr>
        <w:t>1189.93</w:t>
      </w:r>
      <w:r>
        <w:rPr>
          <w:rFonts w:hint="default" w:ascii="Times New Roman" w:hAnsi="Times New Roman" w:eastAsia="仿宋_GB2312" w:cs="Times New Roman"/>
          <w:color w:val="000000"/>
          <w:kern w:val="0"/>
          <w:sz w:val="32"/>
          <w:szCs w:val="32"/>
          <w:highlight w:val="none"/>
          <w:shd w:val="clear" w:color="auto" w:fill="FFFFFF"/>
          <w:lang w:val="zh-CN"/>
        </w:rPr>
        <w:t>万元，1-10月预警支出</w:t>
      </w:r>
      <w:r>
        <w:rPr>
          <w:rFonts w:hint="eastAsia" w:ascii="Times New Roman" w:hAnsi="Times New Roman" w:eastAsia="仿宋_GB2312" w:cs="Times New Roman"/>
          <w:color w:val="000000"/>
          <w:kern w:val="0"/>
          <w:sz w:val="32"/>
          <w:szCs w:val="32"/>
          <w:highlight w:val="none"/>
          <w:shd w:val="clear" w:color="auto" w:fill="FFFFFF"/>
          <w:lang w:val="en-US" w:eastAsia="zh-CN"/>
        </w:rPr>
        <w:t>10.28</w:t>
      </w:r>
      <w:r>
        <w:rPr>
          <w:rFonts w:hint="default" w:ascii="Times New Roman" w:hAnsi="Times New Roman" w:eastAsia="仿宋_GB2312" w:cs="Times New Roman"/>
          <w:color w:val="000000"/>
          <w:kern w:val="0"/>
          <w:sz w:val="32"/>
          <w:szCs w:val="32"/>
          <w:highlight w:val="none"/>
          <w:shd w:val="clear" w:color="auto" w:fill="FFFFFF"/>
          <w:lang w:val="zh-CN"/>
        </w:rPr>
        <w:t>万元，占比</w:t>
      </w:r>
      <w:r>
        <w:rPr>
          <w:rFonts w:hint="eastAsia" w:ascii="Times New Roman" w:hAnsi="Times New Roman" w:eastAsia="仿宋_GB2312" w:cs="Times New Roman"/>
          <w:color w:val="000000"/>
          <w:kern w:val="0"/>
          <w:sz w:val="32"/>
          <w:szCs w:val="32"/>
          <w:highlight w:val="none"/>
          <w:shd w:val="clear" w:color="auto" w:fill="FFFFFF"/>
          <w:lang w:val="en-US" w:eastAsia="zh-CN"/>
        </w:rPr>
        <w:t>1.87</w:t>
      </w:r>
      <w:r>
        <w:rPr>
          <w:rFonts w:hint="default" w:ascii="Times New Roman" w:hAnsi="Times New Roman" w:eastAsia="仿宋_GB2312" w:cs="Times New Roman"/>
          <w:color w:val="000000"/>
          <w:kern w:val="0"/>
          <w:sz w:val="32"/>
          <w:szCs w:val="32"/>
          <w:highlight w:val="none"/>
          <w:shd w:val="clear" w:color="auto" w:fill="FFFFFF"/>
          <w:lang w:val="zh-CN"/>
        </w:rPr>
        <w:t>%，1-10月无违规支出资金。该项得分为该项指标得分=</w:t>
      </w:r>
      <w:r>
        <w:rPr>
          <w:rFonts w:hint="default" w:ascii="Times New Roman" w:hAnsi="Times New Roman" w:eastAsia="仿宋_GB2312" w:cs="Times New Roman"/>
          <w:color w:val="000000"/>
          <w:kern w:val="0"/>
          <w:sz w:val="32"/>
          <w:szCs w:val="32"/>
          <w:highlight w:val="none"/>
          <w:shd w:val="clear" w:color="auto" w:fill="FFFFFF"/>
        </w:rPr>
        <w:t>该项得分为该项指标得分=（1至6月预算执行数÷（部门预算数×50%）×2）+（1-1至6月支出预警金额占比×0.8-1至6月支出违规金额占比×0.2）+（1至10月预算执行数÷（部门预算数×83.33%）×2）+（1-1至10月支出预警金额占比×0.8-1至10月支出违规金额占比×0.2）=(</w:t>
      </w:r>
      <w:r>
        <w:rPr>
          <w:rFonts w:hint="eastAsia" w:ascii="Times New Roman" w:hAnsi="Times New Roman" w:eastAsia="仿宋_GB2312" w:cs="Times New Roman"/>
          <w:color w:val="000000"/>
          <w:kern w:val="0"/>
          <w:sz w:val="32"/>
          <w:szCs w:val="32"/>
          <w:highlight w:val="none"/>
          <w:shd w:val="clear" w:color="auto" w:fill="FFFFFF"/>
          <w:lang w:val="en-US" w:eastAsia="zh-CN"/>
        </w:rPr>
        <w:t>371.95</w:t>
      </w:r>
      <w:r>
        <w:rPr>
          <w:rFonts w:hint="default" w:ascii="Times New Roman" w:hAnsi="Times New Roman" w:eastAsia="仿宋_GB2312" w:cs="Times New Roman"/>
          <w:color w:val="000000"/>
          <w:kern w:val="0"/>
          <w:sz w:val="32"/>
          <w:szCs w:val="32"/>
          <w:highlight w:val="none"/>
          <w:shd w:val="clear" w:color="auto" w:fill="FFFFFF"/>
        </w:rPr>
        <w:t>÷(</w:t>
      </w:r>
      <w:r>
        <w:rPr>
          <w:rFonts w:hint="eastAsia" w:ascii="Times New Roman" w:hAnsi="Times New Roman" w:eastAsia="仿宋_GB2312" w:cs="Times New Roman"/>
          <w:color w:val="000000"/>
          <w:kern w:val="0"/>
          <w:sz w:val="32"/>
          <w:szCs w:val="32"/>
          <w:highlight w:val="none"/>
          <w:shd w:val="clear" w:color="auto" w:fill="FFFFFF"/>
          <w:lang w:val="en-US" w:eastAsia="zh-CN"/>
        </w:rPr>
        <w:t>1189.93</w:t>
      </w:r>
      <w:r>
        <w:rPr>
          <w:rFonts w:hint="default" w:ascii="Times New Roman" w:hAnsi="Times New Roman" w:eastAsia="仿宋_GB2312" w:cs="Times New Roman"/>
          <w:color w:val="000000"/>
          <w:kern w:val="0"/>
          <w:sz w:val="32"/>
          <w:szCs w:val="32"/>
          <w:highlight w:val="none"/>
          <w:shd w:val="clear" w:color="auto" w:fill="FFFFFF"/>
        </w:rPr>
        <w:t>×50%)×2+（1-</w:t>
      </w:r>
      <w:r>
        <w:rPr>
          <w:rFonts w:hint="eastAsia" w:ascii="Times New Roman" w:hAnsi="Times New Roman" w:eastAsia="仿宋_GB2312" w:cs="Times New Roman"/>
          <w:color w:val="000000"/>
          <w:kern w:val="0"/>
          <w:sz w:val="32"/>
          <w:szCs w:val="32"/>
          <w:highlight w:val="none"/>
          <w:shd w:val="clear" w:color="auto" w:fill="FFFFFF"/>
          <w:lang w:val="en-US" w:eastAsia="zh-CN"/>
        </w:rPr>
        <w:t>0.07</w:t>
      </w:r>
      <w:r>
        <w:rPr>
          <w:rFonts w:hint="default" w:ascii="Times New Roman" w:hAnsi="Times New Roman" w:eastAsia="仿宋_GB2312" w:cs="Times New Roman"/>
          <w:color w:val="000000"/>
          <w:kern w:val="0"/>
          <w:sz w:val="32"/>
          <w:szCs w:val="32"/>
          <w:highlight w:val="none"/>
          <w:shd w:val="clear" w:color="auto" w:fill="FFFFFF"/>
        </w:rPr>
        <w:t>%×0.8-0）+(</w:t>
      </w:r>
      <w:r>
        <w:rPr>
          <w:rFonts w:hint="eastAsia" w:ascii="Times New Roman" w:hAnsi="Times New Roman" w:eastAsia="仿宋_GB2312" w:cs="Times New Roman"/>
          <w:color w:val="000000"/>
          <w:kern w:val="0"/>
          <w:sz w:val="32"/>
          <w:szCs w:val="32"/>
          <w:highlight w:val="none"/>
          <w:shd w:val="clear" w:color="auto" w:fill="FFFFFF"/>
          <w:lang w:val="en-US" w:eastAsia="zh-CN"/>
        </w:rPr>
        <w:t>548.93</w:t>
      </w:r>
      <w:r>
        <w:rPr>
          <w:rFonts w:hint="default" w:ascii="Times New Roman" w:hAnsi="Times New Roman" w:eastAsia="仿宋_GB2312" w:cs="Times New Roman"/>
          <w:color w:val="000000"/>
          <w:kern w:val="0"/>
          <w:sz w:val="32"/>
          <w:szCs w:val="32"/>
          <w:highlight w:val="none"/>
          <w:shd w:val="clear" w:color="auto" w:fill="FFFFFF"/>
        </w:rPr>
        <w:t>÷(</w:t>
      </w:r>
      <w:r>
        <w:rPr>
          <w:rFonts w:hint="eastAsia" w:ascii="Times New Roman" w:hAnsi="Times New Roman" w:eastAsia="仿宋_GB2312" w:cs="Times New Roman"/>
          <w:color w:val="000000"/>
          <w:kern w:val="0"/>
          <w:sz w:val="32"/>
          <w:szCs w:val="32"/>
          <w:highlight w:val="none"/>
          <w:shd w:val="clear" w:color="auto" w:fill="FFFFFF"/>
          <w:lang w:val="en-US" w:eastAsia="zh-CN"/>
        </w:rPr>
        <w:t>1189.93</w:t>
      </w:r>
      <w:r>
        <w:rPr>
          <w:rFonts w:hint="default" w:ascii="Times New Roman" w:hAnsi="Times New Roman" w:eastAsia="仿宋_GB2312" w:cs="Times New Roman"/>
          <w:color w:val="000000"/>
          <w:kern w:val="0"/>
          <w:sz w:val="32"/>
          <w:szCs w:val="32"/>
          <w:highlight w:val="none"/>
          <w:shd w:val="clear" w:color="auto" w:fill="FFFFFF"/>
        </w:rPr>
        <w:t>×83.33%)×2+(1-</w:t>
      </w:r>
      <w:r>
        <w:rPr>
          <w:rFonts w:hint="eastAsia" w:ascii="Times New Roman" w:hAnsi="Times New Roman" w:eastAsia="仿宋_GB2312" w:cs="Times New Roman"/>
          <w:color w:val="000000"/>
          <w:kern w:val="0"/>
          <w:sz w:val="32"/>
          <w:szCs w:val="32"/>
          <w:highlight w:val="none"/>
          <w:shd w:val="clear" w:color="auto" w:fill="FFFFFF"/>
          <w:lang w:val="en-US" w:eastAsia="zh-CN"/>
        </w:rPr>
        <w:t>1.87</w:t>
      </w:r>
      <w:r>
        <w:rPr>
          <w:rFonts w:hint="default" w:ascii="Times New Roman" w:hAnsi="Times New Roman" w:eastAsia="仿宋_GB2312" w:cs="Times New Roman"/>
          <w:color w:val="000000"/>
          <w:kern w:val="0"/>
          <w:sz w:val="32"/>
          <w:szCs w:val="32"/>
          <w:highlight w:val="none"/>
          <w:shd w:val="clear" w:color="auto" w:fill="FFFFFF"/>
        </w:rPr>
        <w:t>%*0.8-0)=</w:t>
      </w:r>
      <w:r>
        <w:rPr>
          <w:rFonts w:hint="eastAsia" w:ascii="Times New Roman" w:hAnsi="Times New Roman" w:eastAsia="仿宋_GB2312" w:cs="Times New Roman"/>
          <w:color w:val="000000"/>
          <w:kern w:val="0"/>
          <w:sz w:val="32"/>
          <w:szCs w:val="32"/>
          <w:highlight w:val="none"/>
          <w:shd w:val="clear" w:color="auto" w:fill="FFFFFF"/>
          <w:lang w:val="en-US" w:eastAsia="zh-CN"/>
        </w:rPr>
        <w:t>4.35</w:t>
      </w:r>
      <w:r>
        <w:rPr>
          <w:rFonts w:hint="default" w:ascii="Times New Roman" w:hAnsi="Times New Roman" w:eastAsia="仿宋_GB2312" w:cs="Times New Roman"/>
          <w:color w:val="000000"/>
          <w:kern w:val="0"/>
          <w:sz w:val="32"/>
          <w:szCs w:val="32"/>
          <w:highlight w:val="none"/>
          <w:shd w:val="clear" w:color="auto" w:fill="FFFFFF"/>
        </w:rPr>
        <w:t>。</w:t>
      </w:r>
    </w:p>
    <w:p w14:paraId="34480C3A">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综上,根据评分标准该项扣分</w:t>
      </w:r>
      <w:r>
        <w:rPr>
          <w:rFonts w:hint="eastAsia" w:ascii="Times New Roman" w:hAnsi="Times New Roman" w:eastAsia="仿宋_GB2312" w:cs="Times New Roman"/>
          <w:color w:val="000000"/>
          <w:kern w:val="0"/>
          <w:sz w:val="32"/>
          <w:szCs w:val="32"/>
          <w:highlight w:val="none"/>
          <w:shd w:val="clear" w:color="auto" w:fill="FFFFFF"/>
          <w:lang w:val="en-US" w:eastAsia="zh-CN"/>
        </w:rPr>
        <w:t>1.65</w:t>
      </w:r>
      <w:r>
        <w:rPr>
          <w:rFonts w:hint="default" w:ascii="Times New Roman" w:hAnsi="Times New Roman" w:eastAsia="仿宋_GB2312" w:cs="Times New Roman"/>
          <w:color w:val="000000"/>
          <w:kern w:val="0"/>
          <w:sz w:val="32"/>
          <w:szCs w:val="32"/>
          <w:highlight w:val="none"/>
          <w:shd w:val="clear" w:color="auto" w:fill="FFFFFF"/>
        </w:rPr>
        <w:t>分,得</w:t>
      </w:r>
      <w:r>
        <w:rPr>
          <w:rFonts w:hint="eastAsia" w:ascii="Times New Roman" w:hAnsi="Times New Roman" w:eastAsia="仿宋_GB2312" w:cs="Times New Roman"/>
          <w:color w:val="000000"/>
          <w:kern w:val="0"/>
          <w:sz w:val="32"/>
          <w:szCs w:val="32"/>
          <w:highlight w:val="none"/>
          <w:shd w:val="clear" w:color="auto" w:fill="FFFFFF"/>
          <w:lang w:val="en-US" w:eastAsia="zh-CN"/>
        </w:rPr>
        <w:t>4.35</w:t>
      </w:r>
      <w:r>
        <w:rPr>
          <w:rFonts w:hint="default" w:ascii="Times New Roman" w:hAnsi="Times New Roman" w:eastAsia="仿宋_GB2312" w:cs="Times New Roman"/>
          <w:color w:val="000000"/>
          <w:kern w:val="0"/>
          <w:sz w:val="32"/>
          <w:szCs w:val="32"/>
          <w:highlight w:val="none"/>
          <w:shd w:val="clear" w:color="auto" w:fill="FFFFFF"/>
        </w:rPr>
        <w:t>分.</w:t>
      </w:r>
    </w:p>
    <w:p w14:paraId="2C863D62">
      <w:pPr>
        <w:widowControl/>
        <w:spacing w:line="560" w:lineRule="exact"/>
        <w:ind w:firstLine="643" w:firstLineChars="200"/>
        <w:outlineLvl w:val="3"/>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color w:val="000000"/>
          <w:kern w:val="0"/>
          <w:sz w:val="32"/>
          <w:szCs w:val="32"/>
          <w:highlight w:val="none"/>
          <w:shd w:val="clear" w:color="auto" w:fill="FFFFFF"/>
        </w:rPr>
        <w:t>部门整体年终预算结余情况</w:t>
      </w:r>
    </w:p>
    <w:p w14:paraId="7CCA75F0">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年我部门年终注销金额为0万元，年末结转结余金额为47.14万元，调整后全年预算数为</w:t>
      </w:r>
      <w:r>
        <w:rPr>
          <w:rFonts w:hint="eastAsia" w:ascii="Times New Roman" w:hAnsi="Times New Roman" w:eastAsia="仿宋_GB2312" w:cs="Times New Roman"/>
          <w:color w:val="000000"/>
          <w:kern w:val="0"/>
          <w:sz w:val="32"/>
          <w:szCs w:val="32"/>
          <w:highlight w:val="none"/>
          <w:shd w:val="clear" w:color="auto" w:fill="FFFFFF"/>
          <w:lang w:val="en-US" w:eastAsia="zh-CN"/>
        </w:rPr>
        <w:t>1446.05</w:t>
      </w:r>
      <w:r>
        <w:rPr>
          <w:rFonts w:hint="default" w:ascii="Times New Roman" w:hAnsi="Times New Roman" w:eastAsia="仿宋_GB2312" w:cs="Times New Roman"/>
          <w:color w:val="000000"/>
          <w:kern w:val="0"/>
          <w:sz w:val="32"/>
          <w:szCs w:val="32"/>
          <w:highlight w:val="none"/>
          <w:shd w:val="clear" w:color="auto" w:fill="FFFFFF"/>
        </w:rPr>
        <w:t>万元，部门整体预算结余率=（年终部门预算注销金额合计+年终部门预算结转金额合计）÷调整后的年度部门预算数=（0+47.14）÷</w:t>
      </w:r>
      <w:r>
        <w:rPr>
          <w:rFonts w:hint="eastAsia" w:ascii="Times New Roman" w:hAnsi="Times New Roman" w:eastAsia="仿宋_GB2312" w:cs="Times New Roman"/>
          <w:color w:val="000000"/>
          <w:kern w:val="0"/>
          <w:sz w:val="32"/>
          <w:szCs w:val="32"/>
          <w:highlight w:val="none"/>
          <w:shd w:val="clear" w:color="auto" w:fill="FFFFFF"/>
          <w:lang w:val="en-US" w:eastAsia="zh-CN"/>
        </w:rPr>
        <w:t>1446.05</w:t>
      </w:r>
      <w:r>
        <w:rPr>
          <w:rFonts w:hint="default" w:ascii="Times New Roman" w:hAnsi="Times New Roman" w:eastAsia="仿宋_GB2312" w:cs="Times New Roman"/>
          <w:color w:val="000000"/>
          <w:kern w:val="0"/>
          <w:sz w:val="32"/>
          <w:szCs w:val="32"/>
          <w:highlight w:val="none"/>
          <w:shd w:val="clear" w:color="auto" w:fill="FFFFFF"/>
        </w:rPr>
        <w:t>=</w:t>
      </w:r>
      <w:r>
        <w:rPr>
          <w:rFonts w:hint="eastAsia" w:ascii="Times New Roman" w:hAnsi="Times New Roman" w:eastAsia="仿宋_GB2312" w:cs="Times New Roman"/>
          <w:color w:val="000000"/>
          <w:kern w:val="0"/>
          <w:sz w:val="32"/>
          <w:szCs w:val="32"/>
          <w:highlight w:val="none"/>
          <w:shd w:val="clear" w:color="auto" w:fill="FFFFFF"/>
          <w:lang w:val="en-US" w:eastAsia="zh-CN"/>
        </w:rPr>
        <w:t>0.03</w:t>
      </w:r>
      <w:r>
        <w:rPr>
          <w:rFonts w:hint="default" w:ascii="Times New Roman" w:hAnsi="Times New Roman" w:eastAsia="仿宋_GB2312" w:cs="Times New Roman"/>
          <w:color w:val="000000"/>
          <w:kern w:val="0"/>
          <w:sz w:val="32"/>
          <w:szCs w:val="32"/>
          <w:highlight w:val="none"/>
          <w:shd w:val="clear" w:color="auto" w:fill="FFFFFF"/>
        </w:rPr>
        <w:t>，该项指标得分=（1-部门整体预算结余率）×100%×2=（1-0.0</w:t>
      </w:r>
      <w:r>
        <w:rPr>
          <w:rFonts w:hint="eastAsia"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rPr>
        <w:t>）*100%×2=1.9</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分。</w:t>
      </w:r>
    </w:p>
    <w:p w14:paraId="603FDF0D">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综上，根据评分标准，该项指标扣0.0</w:t>
      </w:r>
      <w:r>
        <w:rPr>
          <w:rFonts w:hint="eastAsia" w:ascii="Times New Roman" w:hAnsi="Times New Roman" w:eastAsia="仿宋_GB2312" w:cs="Times New Roman"/>
          <w:color w:val="000000"/>
          <w:kern w:val="0"/>
          <w:sz w:val="32"/>
          <w:szCs w:val="32"/>
          <w:highlight w:val="none"/>
          <w:shd w:val="clear" w:color="auto" w:fill="FFFFFF"/>
          <w:lang w:val="en-US" w:eastAsia="zh-CN"/>
        </w:rPr>
        <w:t>6</w:t>
      </w:r>
      <w:r>
        <w:rPr>
          <w:rFonts w:hint="default" w:ascii="Times New Roman" w:hAnsi="Times New Roman" w:eastAsia="仿宋_GB2312" w:cs="Times New Roman"/>
          <w:color w:val="000000"/>
          <w:kern w:val="0"/>
          <w:sz w:val="32"/>
          <w:szCs w:val="32"/>
          <w:highlight w:val="none"/>
          <w:shd w:val="clear" w:color="auto" w:fill="FFFFFF"/>
        </w:rPr>
        <w:t>分，得1.9</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分。</w:t>
      </w:r>
    </w:p>
    <w:p w14:paraId="3D240D80">
      <w:pPr>
        <w:widowControl/>
        <w:adjustRightInd w:val="0"/>
        <w:snapToGrid w:val="0"/>
        <w:spacing w:line="560" w:lineRule="exact"/>
        <w:ind w:firstLine="482" w:firstLineChars="15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3.部门严控“三公”经费、会议、培训、差旅、办节办展、办公设备购置、信息网络及软件购置更新、课题经费等8项一般性支出情况</w:t>
      </w:r>
    </w:p>
    <w:p w14:paraId="2A9D59B0">
      <w:pPr>
        <w:widowControl/>
        <w:adjustRightInd w:val="0"/>
        <w:snapToGrid w:val="0"/>
        <w:spacing w:line="560" w:lineRule="exact"/>
        <w:ind w:firstLine="480" w:firstLineChars="150"/>
        <w:contextualSpacing/>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4</w:t>
      </w:r>
      <w:r>
        <w:rPr>
          <w:rFonts w:hint="default" w:ascii="Times New Roman" w:hAnsi="Times New Roman" w:eastAsia="仿宋_GB2312" w:cs="Times New Roman"/>
          <w:sz w:val="32"/>
          <w:highlight w:val="none"/>
        </w:rPr>
        <w:t>年部门一般性支出年初预算</w:t>
      </w:r>
      <w:r>
        <w:rPr>
          <w:rFonts w:hint="eastAsia" w:ascii="Times New Roman" w:hAnsi="Times New Roman" w:eastAsia="仿宋_GB2312" w:cs="Times New Roman"/>
          <w:sz w:val="32"/>
          <w:highlight w:val="none"/>
          <w:lang w:val="en-US" w:eastAsia="zh-CN"/>
        </w:rPr>
        <w:t>222.89</w:t>
      </w:r>
      <w:r>
        <w:rPr>
          <w:rFonts w:hint="default" w:ascii="Times New Roman" w:hAnsi="Times New Roman" w:eastAsia="仿宋_GB2312" w:cs="Times New Roman"/>
          <w:sz w:val="32"/>
          <w:highlight w:val="none"/>
        </w:rPr>
        <w:t>万元，较上年一般性支出财政拨款预算数</w:t>
      </w:r>
      <w:r>
        <w:rPr>
          <w:rFonts w:hint="eastAsia" w:ascii="Times New Roman" w:hAnsi="Times New Roman" w:eastAsia="仿宋_GB2312" w:cs="Times New Roman"/>
          <w:sz w:val="32"/>
          <w:highlight w:val="none"/>
          <w:lang w:val="en-US" w:eastAsia="zh-CN"/>
        </w:rPr>
        <w:t>230.09</w:t>
      </w:r>
      <w:r>
        <w:rPr>
          <w:rFonts w:hint="default" w:ascii="Times New Roman" w:hAnsi="Times New Roman" w:eastAsia="仿宋_GB2312" w:cs="Times New Roman"/>
          <w:sz w:val="32"/>
          <w:highlight w:val="none"/>
        </w:rPr>
        <w:t>万元</w:t>
      </w:r>
      <w:r>
        <w:rPr>
          <w:rFonts w:hint="eastAsia" w:ascii="Times New Roman" w:hAnsi="Times New Roman" w:eastAsia="仿宋_GB2312" w:cs="Times New Roman"/>
          <w:sz w:val="32"/>
          <w:highlight w:val="none"/>
          <w:lang w:val="en-US" w:eastAsia="zh-CN"/>
        </w:rPr>
        <w:t>减少7.2</w:t>
      </w:r>
      <w:r>
        <w:rPr>
          <w:rFonts w:hint="default" w:ascii="Times New Roman" w:hAnsi="Times New Roman" w:eastAsia="仿宋_GB2312" w:cs="Times New Roman"/>
          <w:sz w:val="32"/>
          <w:highlight w:val="none"/>
        </w:rPr>
        <w:t>万元，</w:t>
      </w:r>
      <w:r>
        <w:rPr>
          <w:rFonts w:hint="eastAsia" w:ascii="Times New Roman" w:hAnsi="Times New Roman" w:eastAsia="仿宋_GB2312" w:cs="Times New Roman"/>
          <w:sz w:val="32"/>
          <w:highlight w:val="none"/>
          <w:lang w:val="en-US" w:eastAsia="zh-CN"/>
        </w:rPr>
        <w:t>减少3.13</w:t>
      </w: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4</w:t>
      </w:r>
      <w:r>
        <w:rPr>
          <w:rFonts w:hint="default" w:ascii="Times New Roman" w:hAnsi="Times New Roman" w:eastAsia="仿宋_GB2312" w:cs="Times New Roman"/>
          <w:sz w:val="32"/>
          <w:highlight w:val="none"/>
        </w:rPr>
        <w:t>年度一般性支出决算数为</w:t>
      </w:r>
      <w:r>
        <w:rPr>
          <w:rFonts w:hint="eastAsia" w:ascii="Times New Roman" w:hAnsi="Times New Roman" w:eastAsia="仿宋_GB2312" w:cs="Times New Roman"/>
          <w:sz w:val="32"/>
          <w:highlight w:val="none"/>
          <w:lang w:val="en-US" w:eastAsia="zh-CN"/>
        </w:rPr>
        <w:t>286.07</w:t>
      </w:r>
      <w:r>
        <w:rPr>
          <w:rFonts w:hint="default" w:ascii="Times New Roman" w:hAnsi="Times New Roman" w:eastAsia="仿宋_GB2312" w:cs="Times New Roman"/>
          <w:sz w:val="32"/>
          <w:highlight w:val="none"/>
        </w:rPr>
        <w:t>万元，较上年决算数</w:t>
      </w:r>
      <w:r>
        <w:rPr>
          <w:rFonts w:hint="eastAsia" w:ascii="Times New Roman" w:hAnsi="Times New Roman" w:eastAsia="仿宋_GB2312" w:cs="Times New Roman"/>
          <w:sz w:val="32"/>
          <w:highlight w:val="none"/>
          <w:lang w:val="en-US" w:eastAsia="zh-CN"/>
        </w:rPr>
        <w:t>270.62</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w:t>
      </w:r>
      <w:r>
        <w:rPr>
          <w:rFonts w:hint="eastAsia" w:ascii="Times New Roman" w:hAnsi="Times New Roman" w:eastAsia="仿宋_GB2312" w:cs="Times New Roman"/>
          <w:sz w:val="32"/>
          <w:highlight w:val="none"/>
          <w:lang w:val="en-US" w:eastAsia="zh-CN"/>
        </w:rPr>
        <w:t>15.45</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val="en-US" w:eastAsia="zh-CN"/>
        </w:rPr>
        <w:t>增加</w:t>
      </w:r>
      <w:r>
        <w:rPr>
          <w:rFonts w:hint="eastAsia" w:ascii="Times New Roman" w:hAnsi="Times New Roman" w:eastAsia="仿宋_GB2312" w:cs="Times New Roman"/>
          <w:sz w:val="32"/>
          <w:highlight w:val="none"/>
          <w:lang w:val="en-US" w:eastAsia="zh-CN"/>
        </w:rPr>
        <w:t>5.71</w:t>
      </w:r>
      <w:r>
        <w:rPr>
          <w:rFonts w:hint="default" w:ascii="Times New Roman" w:hAnsi="Times New Roman" w:eastAsia="仿宋_GB2312" w:cs="Times New Roman"/>
          <w:sz w:val="32"/>
          <w:highlight w:val="none"/>
        </w:rPr>
        <w:t>%。</w:t>
      </w:r>
    </w:p>
    <w:p w14:paraId="40B3B343">
      <w:pPr>
        <w:widowControl/>
        <w:adjustRightInd w:val="0"/>
        <w:snapToGrid w:val="0"/>
        <w:spacing w:line="560" w:lineRule="exact"/>
        <w:ind w:firstLine="480" w:firstLineChars="150"/>
        <w:contextualSpacing/>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综上按照评分标准得</w:t>
      </w:r>
      <w:r>
        <w:rPr>
          <w:rFonts w:hint="eastAsia" w:ascii="Times New Roman" w:hAnsi="Times New Roman" w:eastAsia="仿宋_GB2312" w:cs="Times New Roman"/>
          <w:sz w:val="32"/>
          <w:highlight w:val="none"/>
          <w:lang w:val="en-US" w:eastAsia="zh-CN"/>
        </w:rPr>
        <w:t>1.6</w:t>
      </w:r>
      <w:r>
        <w:rPr>
          <w:rFonts w:hint="default" w:ascii="Times New Roman" w:hAnsi="Times New Roman" w:eastAsia="仿宋_GB2312" w:cs="Times New Roman"/>
          <w:sz w:val="32"/>
          <w:highlight w:val="none"/>
        </w:rPr>
        <w:t>分。</w:t>
      </w:r>
    </w:p>
    <w:p w14:paraId="346F3181">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4.</w:t>
      </w:r>
      <w:r>
        <w:rPr>
          <w:rFonts w:hint="default" w:ascii="Times New Roman" w:hAnsi="Times New Roman" w:eastAsia="仿宋_GB2312" w:cs="Times New Roman"/>
          <w:b/>
          <w:bCs/>
          <w:color w:val="000000"/>
          <w:kern w:val="0"/>
          <w:sz w:val="32"/>
          <w:szCs w:val="32"/>
          <w:highlight w:val="none"/>
          <w:shd w:val="clear" w:color="auto" w:fill="FFFFFF"/>
          <w:lang w:val="zh-CN"/>
        </w:rPr>
        <w:t>财务管理</w:t>
      </w:r>
    </w:p>
    <w:p w14:paraId="67B4F0C4">
      <w:pPr>
        <w:widowControl/>
        <w:spacing w:before="0" w:beforeAutospacing="0" w:after="0" w:afterAutospacing="0" w:line="560"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我部</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不断完善财务运行机制，强化内控建设，规范会计行为，结合内控制度建设，紧盯核心业务和关键环节，加大对日常审批、预算管理、资金使用等重点领域、关键岗位、重要环节的风险排查，及时查漏补缺，强化制度约束。</w:t>
      </w:r>
      <w:r>
        <w:rPr>
          <w:rFonts w:hint="default" w:ascii="Times New Roman" w:hAnsi="Times New Roman" w:eastAsia="仿宋_GB2312" w:cs="Times New Roman"/>
          <w:kern w:val="2"/>
          <w:sz w:val="32"/>
          <w:szCs w:val="32"/>
          <w:highlight w:val="none"/>
          <w:lang w:val="en-US" w:eastAsia="zh-CN" w:bidi="ar-SA"/>
        </w:rPr>
        <w:t>根据相关法律法规，结合工作实际，不断修改完善内部管理制度，</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切实提高财务会计管理水平。</w:t>
      </w:r>
    </w:p>
    <w:p w14:paraId="7B26483C">
      <w:pPr>
        <w:widowControl w:val="0"/>
        <w:spacing w:line="560"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综上，根据评分标准，该项指标</w:t>
      </w:r>
      <w:r>
        <w:rPr>
          <w:rFonts w:hint="default" w:ascii="Times New Roman" w:hAnsi="Times New Roman" w:eastAsia="仿宋_GB2312" w:cs="Times New Roman"/>
          <w:color w:val="000000"/>
          <w:kern w:val="0"/>
          <w:sz w:val="32"/>
          <w:szCs w:val="32"/>
          <w:highlight w:val="none"/>
          <w:shd w:val="clear" w:color="auto" w:fill="FFFFFF"/>
          <w:lang w:val="en-US" w:eastAsia="zh-CN" w:bidi="ar-SA"/>
        </w:rPr>
        <w:t>扣0分，</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得4分。</w:t>
      </w:r>
    </w:p>
    <w:p w14:paraId="4524DE38">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5.</w:t>
      </w:r>
      <w:r>
        <w:rPr>
          <w:rFonts w:hint="default" w:ascii="Times New Roman" w:hAnsi="Times New Roman" w:eastAsia="仿宋_GB2312" w:cs="Times New Roman"/>
          <w:b/>
          <w:bCs/>
          <w:color w:val="000000"/>
          <w:kern w:val="0"/>
          <w:sz w:val="32"/>
          <w:szCs w:val="32"/>
          <w:highlight w:val="none"/>
          <w:shd w:val="clear" w:color="auto" w:fill="FFFFFF"/>
          <w:lang w:val="zh-CN"/>
        </w:rPr>
        <w:t>财务岗位设置</w:t>
      </w:r>
    </w:p>
    <w:p w14:paraId="26223B1E">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rPr>
        <w:t>我部已</w:t>
      </w:r>
      <w:r>
        <w:rPr>
          <w:rFonts w:hint="default" w:ascii="Times New Roman" w:hAnsi="Times New Roman" w:eastAsia="仿宋_GB2312" w:cs="Times New Roman"/>
          <w:color w:val="000000"/>
          <w:kern w:val="0"/>
          <w:sz w:val="32"/>
          <w:szCs w:val="32"/>
          <w:highlight w:val="none"/>
          <w:shd w:val="clear" w:color="auto" w:fill="FFFFFF"/>
          <w:lang w:val="zh-CN"/>
        </w:rPr>
        <w:t>科学设置财务岗位，严格实行不相容岗位分离，明确财务岗位设置，严格落实定员定岗，建立健全岗位责任制，审核与支付分设，会计与出纳分立，对资金支付、票据审核等财务管理关键环节，建立明确责任制度，形成了有效的制约机制，严控岗位风险，提升工作效率。</w:t>
      </w:r>
    </w:p>
    <w:p w14:paraId="04582684">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w:t>
      </w:r>
      <w:r>
        <w:rPr>
          <w:rFonts w:hint="default" w:ascii="Times New Roman" w:hAnsi="Times New Roman" w:eastAsia="仿宋_GB2312" w:cs="Times New Roman"/>
          <w:color w:val="000000"/>
          <w:kern w:val="0"/>
          <w:sz w:val="32"/>
          <w:szCs w:val="32"/>
          <w:highlight w:val="none"/>
          <w:shd w:val="clear" w:color="auto" w:fill="FFFFFF"/>
        </w:rPr>
        <w:t>不扣分，</w:t>
      </w:r>
      <w:r>
        <w:rPr>
          <w:rFonts w:hint="default" w:ascii="Times New Roman" w:hAnsi="Times New Roman" w:eastAsia="仿宋_GB2312" w:cs="Times New Roman"/>
          <w:color w:val="000000"/>
          <w:kern w:val="0"/>
          <w:sz w:val="32"/>
          <w:szCs w:val="32"/>
          <w:highlight w:val="none"/>
          <w:shd w:val="clear" w:color="auto" w:fill="FFFFFF"/>
          <w:lang w:val="zh-CN"/>
        </w:rPr>
        <w:t>得2分。</w:t>
      </w:r>
    </w:p>
    <w:p w14:paraId="38CC303B">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6.</w:t>
      </w:r>
      <w:r>
        <w:rPr>
          <w:rFonts w:hint="default" w:ascii="Times New Roman" w:hAnsi="Times New Roman" w:eastAsia="仿宋_GB2312" w:cs="Times New Roman"/>
          <w:b/>
          <w:bCs/>
          <w:color w:val="000000"/>
          <w:kern w:val="0"/>
          <w:sz w:val="32"/>
          <w:szCs w:val="32"/>
          <w:highlight w:val="none"/>
          <w:shd w:val="clear" w:color="auto" w:fill="FFFFFF"/>
          <w:lang w:val="zh-CN"/>
        </w:rPr>
        <w:t>资金使用规范</w:t>
      </w:r>
    </w:p>
    <w:p w14:paraId="043DFD95">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资金严格按照相关财务管理制度进行使用，坚持量入为出、确保重点、厉行节约、注重实效、重大经济事项支出由集体决策研究决定的原则，保证资金使用合法合规。</w:t>
      </w:r>
    </w:p>
    <w:p w14:paraId="3FE93ECD">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综上，根据评分标准，该项指标</w:t>
      </w:r>
      <w:r>
        <w:rPr>
          <w:rFonts w:hint="default" w:ascii="Times New Roman" w:hAnsi="Times New Roman" w:eastAsia="仿宋_GB2312" w:cs="Times New Roman"/>
          <w:color w:val="000000"/>
          <w:kern w:val="0"/>
          <w:sz w:val="32"/>
          <w:szCs w:val="32"/>
          <w:highlight w:val="none"/>
          <w:shd w:val="clear" w:color="auto" w:fill="FFFFFF"/>
        </w:rPr>
        <w:t>不扣分，</w:t>
      </w:r>
      <w:r>
        <w:rPr>
          <w:rFonts w:hint="default" w:ascii="Times New Roman" w:hAnsi="Times New Roman" w:eastAsia="仿宋_GB2312" w:cs="Times New Roman"/>
          <w:color w:val="000000"/>
          <w:kern w:val="0"/>
          <w:sz w:val="32"/>
          <w:szCs w:val="32"/>
          <w:highlight w:val="none"/>
          <w:shd w:val="clear" w:color="auto" w:fill="FFFFFF"/>
          <w:lang w:val="zh-CN"/>
        </w:rPr>
        <w:t>得4分。</w:t>
      </w:r>
    </w:p>
    <w:p w14:paraId="433CC06C">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7.</w:t>
      </w:r>
      <w:r>
        <w:rPr>
          <w:rFonts w:hint="default" w:ascii="Times New Roman" w:hAnsi="Times New Roman" w:eastAsia="仿宋_GB2312" w:cs="Times New Roman"/>
          <w:b/>
          <w:bCs/>
          <w:color w:val="000000"/>
          <w:kern w:val="0"/>
          <w:sz w:val="32"/>
          <w:szCs w:val="32"/>
          <w:highlight w:val="none"/>
          <w:shd w:val="clear" w:color="auto" w:fill="FFFFFF"/>
          <w:lang w:val="zh-CN"/>
        </w:rPr>
        <w:t>资产管理</w:t>
      </w:r>
    </w:p>
    <w:p w14:paraId="2BEEF17B">
      <w:pPr>
        <w:adjustRightInd w:val="0"/>
        <w:snapToGrid w:val="0"/>
        <w:spacing w:line="560" w:lineRule="exact"/>
        <w:ind w:firstLine="643" w:firstLineChars="200"/>
        <w:contextualSpacing/>
        <w:rPr>
          <w:rFonts w:hint="default" w:ascii="Times New Roman" w:hAnsi="Times New Roman" w:eastAsia="仿宋_GB2312" w:cs="Times New Roman"/>
          <w:b/>
          <w:bCs/>
          <w:kern w:val="0"/>
          <w:sz w:val="32"/>
          <w:szCs w:val="32"/>
          <w:highlight w:val="none"/>
          <w:shd w:val="clear" w:color="auto" w:fill="FFFFFF"/>
        </w:rPr>
      </w:pPr>
      <w:r>
        <w:rPr>
          <w:rFonts w:hint="default" w:ascii="Times New Roman" w:hAnsi="Times New Roman" w:eastAsia="仿宋_GB2312" w:cs="Times New Roman"/>
          <w:b/>
          <w:bCs/>
          <w:kern w:val="0"/>
          <w:sz w:val="32"/>
          <w:szCs w:val="32"/>
          <w:highlight w:val="none"/>
          <w:shd w:val="clear" w:color="auto" w:fill="FFFFFF"/>
        </w:rPr>
        <w:t>（1）人均资产变化率</w:t>
      </w:r>
    </w:p>
    <w:p w14:paraId="64A92E4A">
      <w:pPr>
        <w:spacing w:line="560" w:lineRule="exact"/>
        <w:ind w:firstLine="640" w:firstLineChars="200"/>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rPr>
        <w:t>我部</w:t>
      </w:r>
      <w:r>
        <w:rPr>
          <w:rFonts w:hint="default" w:ascii="Times New Roman" w:hAnsi="Times New Roman" w:eastAsia="仿宋_GB2312" w:cs="Times New Roman"/>
          <w:sz w:val="32"/>
          <w:szCs w:val="32"/>
          <w:highlight w:val="none"/>
          <w:lang w:val="zh-CN"/>
        </w:rPr>
        <w:t>2023年末实有人数为</w:t>
      </w:r>
      <w:r>
        <w:rPr>
          <w:rFonts w:hint="eastAsia" w:ascii="Times New Roman" w:hAnsi="Times New Roman" w:eastAsia="仿宋_GB2312" w:cs="Times New Roman"/>
          <w:sz w:val="32"/>
          <w:szCs w:val="32"/>
          <w:highlight w:val="none"/>
          <w:lang w:val="en-US" w:eastAsia="zh-CN"/>
        </w:rPr>
        <w:t>31</w:t>
      </w:r>
      <w:r>
        <w:rPr>
          <w:rFonts w:hint="default" w:ascii="Times New Roman" w:hAnsi="Times New Roman" w:eastAsia="仿宋_GB2312" w:cs="Times New Roman"/>
          <w:sz w:val="32"/>
          <w:szCs w:val="32"/>
          <w:highlight w:val="none"/>
          <w:lang w:val="zh-CN"/>
        </w:rPr>
        <w:t>人，固定资产和无形资产净值合</w:t>
      </w:r>
      <w:r>
        <w:rPr>
          <w:rFonts w:hint="eastAsia" w:ascii="Times New Roman" w:hAnsi="Times New Roman" w:eastAsia="仿宋_GB2312" w:cs="Times New Roman"/>
          <w:sz w:val="32"/>
          <w:szCs w:val="32"/>
          <w:highlight w:val="none"/>
          <w:lang w:val="en-US" w:eastAsia="zh-CN"/>
        </w:rPr>
        <w:t>197.91</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sz w:val="32"/>
          <w:szCs w:val="32"/>
          <w:highlight w:val="none"/>
          <w:lang w:val="zh-CN"/>
        </w:rPr>
        <w:t>元；2024年末实有人数为</w:t>
      </w:r>
      <w:r>
        <w:rPr>
          <w:rFonts w:hint="eastAsia" w:ascii="Times New Roman" w:hAnsi="Times New Roman" w:eastAsia="仿宋_GB2312" w:cs="Times New Roman"/>
          <w:sz w:val="32"/>
          <w:szCs w:val="32"/>
          <w:highlight w:val="none"/>
          <w:lang w:val="en-US" w:eastAsia="zh-CN"/>
        </w:rPr>
        <w:t>32</w:t>
      </w:r>
      <w:r>
        <w:rPr>
          <w:rFonts w:hint="default" w:ascii="Times New Roman" w:hAnsi="Times New Roman" w:eastAsia="仿宋_GB2312" w:cs="Times New Roman"/>
          <w:sz w:val="32"/>
          <w:szCs w:val="32"/>
          <w:highlight w:val="none"/>
          <w:lang w:val="zh-CN"/>
        </w:rPr>
        <w:t>人，固定资产和无形资产净值合计</w:t>
      </w:r>
      <w:r>
        <w:rPr>
          <w:rFonts w:hint="eastAsia" w:ascii="Times New Roman" w:hAnsi="Times New Roman" w:eastAsia="仿宋_GB2312" w:cs="Times New Roman"/>
          <w:sz w:val="32"/>
          <w:szCs w:val="32"/>
          <w:highlight w:val="none"/>
          <w:lang w:val="en-US" w:eastAsia="zh-CN"/>
        </w:rPr>
        <w:t>179.48</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sz w:val="32"/>
          <w:szCs w:val="32"/>
          <w:highlight w:val="none"/>
          <w:lang w:val="zh-CN"/>
        </w:rPr>
        <w:t>元。</w:t>
      </w:r>
    </w:p>
    <w:p w14:paraId="20880ED4">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2023年人均占有资产=</w:t>
      </w:r>
      <w:r>
        <w:rPr>
          <w:rFonts w:hint="eastAsia" w:ascii="Times New Roman" w:hAnsi="Times New Roman" w:eastAsia="仿宋_GB2312" w:cs="Times New Roman"/>
          <w:sz w:val="32"/>
          <w:szCs w:val="32"/>
          <w:highlight w:val="none"/>
          <w:lang w:val="en-US" w:eastAsia="zh-CN"/>
        </w:rPr>
        <w:t>197.91</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31</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6.38</w:t>
      </w:r>
      <w:r>
        <w:rPr>
          <w:rFonts w:hint="default" w:ascii="Times New Roman" w:hAnsi="Times New Roman" w:eastAsia="仿宋_GB2312" w:cs="Times New Roman"/>
          <w:sz w:val="32"/>
          <w:szCs w:val="32"/>
          <w:highlight w:val="none"/>
        </w:rPr>
        <w:t>（万元/人），2024年人均占有资产=</w:t>
      </w:r>
      <w:r>
        <w:rPr>
          <w:rFonts w:hint="eastAsia" w:ascii="Times New Roman" w:hAnsi="Times New Roman" w:eastAsia="仿宋_GB2312" w:cs="Times New Roman"/>
          <w:sz w:val="32"/>
          <w:szCs w:val="32"/>
          <w:highlight w:val="none"/>
          <w:lang w:val="en-US" w:eastAsia="zh-CN"/>
        </w:rPr>
        <w:t>179.48</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32</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5.61</w:t>
      </w:r>
      <w:r>
        <w:rPr>
          <w:rFonts w:hint="default" w:ascii="Times New Roman" w:hAnsi="Times New Roman" w:eastAsia="仿宋_GB2312" w:cs="Times New Roman"/>
          <w:sz w:val="32"/>
          <w:szCs w:val="32"/>
          <w:highlight w:val="none"/>
        </w:rPr>
        <w:t>（万元/人），2024年我部人均资产变化率=（当年单位人均占有资产-上年单位人均占有资产）÷上年单位人均占有资产=（</w:t>
      </w:r>
      <w:r>
        <w:rPr>
          <w:rFonts w:hint="eastAsia" w:ascii="Times New Roman" w:hAnsi="Times New Roman" w:eastAsia="仿宋_GB2312" w:cs="Times New Roman"/>
          <w:sz w:val="32"/>
          <w:szCs w:val="32"/>
          <w:highlight w:val="none"/>
          <w:lang w:val="en-US" w:eastAsia="zh-CN"/>
        </w:rPr>
        <w:t>5.61-6.38</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6.38</w:t>
      </w:r>
      <w:r>
        <w:rPr>
          <w:rFonts w:hint="default" w:ascii="Times New Roman" w:hAnsi="Times New Roman" w:eastAsia="仿宋_GB2312" w:cs="Times New Roman"/>
          <w:sz w:val="32"/>
          <w:szCs w:val="32"/>
          <w:highlight w:val="none"/>
        </w:rPr>
        <w:t>×100%=</w:t>
      </w:r>
      <w:r>
        <w:rPr>
          <w:rFonts w:hint="eastAsia" w:ascii="Times New Roman" w:hAnsi="Times New Roman" w:eastAsia="仿宋_GB2312" w:cs="Times New Roman"/>
          <w:sz w:val="32"/>
          <w:szCs w:val="32"/>
          <w:highlight w:val="none"/>
          <w:lang w:val="en-US" w:eastAsia="zh-CN"/>
        </w:rPr>
        <w:t>-12.07</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低于州直行政事业单位人均资产变化率24.28%，高于州级2024年财政收入增长率-30.5%</w:t>
      </w:r>
      <w:r>
        <w:rPr>
          <w:rFonts w:hint="default" w:ascii="Times New Roman" w:hAnsi="Times New Roman" w:eastAsia="仿宋_GB2312" w:cs="Times New Roman"/>
          <w:sz w:val="32"/>
          <w:szCs w:val="32"/>
          <w:highlight w:val="none"/>
        </w:rPr>
        <w:t>。</w:t>
      </w:r>
    </w:p>
    <w:p w14:paraId="01CAB41F">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综上，根据评分标准，该项指标扣</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分，得</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w:t>
      </w:r>
    </w:p>
    <w:p w14:paraId="14C89A67">
      <w:pPr>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（2）资产利用率</w:t>
      </w:r>
    </w:p>
    <w:p w14:paraId="525706AA">
      <w:pPr>
        <w:adjustRightInd w:val="0"/>
        <w:snapToGrid w:val="0"/>
        <w:spacing w:line="560" w:lineRule="exact"/>
        <w:ind w:firstLine="640" w:firstLineChars="200"/>
        <w:contextualSpacing/>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我部2024年办公家具账面价值为83.34万元，超最低使用年限的办公家具账面价值为2.75万元，故办公家具超最低使用年限资产利用率=超最低使用年限的办公家具账面价值÷办公家具账面价值×100%=2.75÷83.34×100%=3.30%，</w:t>
      </w:r>
      <w:r>
        <w:rPr>
          <w:rFonts w:hint="default" w:ascii="Times New Roman" w:hAnsi="Times New Roman" w:eastAsia="仿宋_GB2312" w:cs="Times New Roman"/>
          <w:sz w:val="32"/>
          <w:szCs w:val="32"/>
          <w:highlight w:val="none"/>
          <w:lang w:val="en-US" w:eastAsia="zh-CN"/>
        </w:rPr>
        <w:t>小于</w:t>
      </w:r>
      <w:r>
        <w:rPr>
          <w:rFonts w:hint="default" w:ascii="Times New Roman" w:hAnsi="Times New Roman" w:eastAsia="仿宋_GB2312" w:cs="Times New Roman"/>
          <w:sz w:val="32"/>
          <w:szCs w:val="32"/>
          <w:highlight w:val="none"/>
        </w:rPr>
        <w:t>州直行政事业单位平均值</w:t>
      </w:r>
      <w:r>
        <w:rPr>
          <w:rFonts w:hint="default" w:ascii="Times New Roman" w:hAnsi="Times New Roman" w:eastAsia="仿宋_GB2312" w:cs="Times New Roman"/>
          <w:sz w:val="32"/>
          <w:szCs w:val="32"/>
          <w:highlight w:val="none"/>
          <w:lang w:val="en-US" w:eastAsia="zh-CN"/>
        </w:rPr>
        <w:t>10.03</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年办公设备账面价值为</w:t>
      </w:r>
      <w:r>
        <w:rPr>
          <w:rFonts w:hint="default" w:ascii="Times New Roman" w:hAnsi="Times New Roman" w:eastAsia="仿宋_GB2312" w:cs="Times New Roman"/>
          <w:sz w:val="32"/>
          <w:szCs w:val="32"/>
          <w:highlight w:val="none"/>
          <w:lang w:val="en-US" w:eastAsia="zh-CN"/>
        </w:rPr>
        <w:t>517.31</w:t>
      </w:r>
      <w:r>
        <w:rPr>
          <w:rFonts w:hint="default" w:ascii="Times New Roman" w:hAnsi="Times New Roman" w:eastAsia="仿宋_GB2312" w:cs="Times New Roman"/>
          <w:sz w:val="32"/>
          <w:szCs w:val="32"/>
          <w:highlight w:val="none"/>
        </w:rPr>
        <w:t>万元，超最低使用年限的办公设备账面价值为</w:t>
      </w:r>
      <w:r>
        <w:rPr>
          <w:rFonts w:hint="default" w:ascii="Times New Roman" w:hAnsi="Times New Roman" w:eastAsia="仿宋_GB2312" w:cs="Times New Roman"/>
          <w:sz w:val="32"/>
          <w:szCs w:val="32"/>
          <w:highlight w:val="none"/>
          <w:lang w:val="en-US" w:eastAsia="zh-CN"/>
        </w:rPr>
        <w:t>255.82</w:t>
      </w:r>
      <w:r>
        <w:rPr>
          <w:rFonts w:hint="default" w:ascii="Times New Roman" w:hAnsi="Times New Roman" w:eastAsia="仿宋_GB2312" w:cs="Times New Roman"/>
          <w:sz w:val="32"/>
          <w:szCs w:val="32"/>
          <w:highlight w:val="none"/>
        </w:rPr>
        <w:t>万元，故办公设备超最低使用年限资产利用率=超最低使用年限的办公设备账面价值÷办公设备账面价值×100%=</w:t>
      </w:r>
      <w:r>
        <w:rPr>
          <w:rFonts w:hint="default" w:ascii="Times New Roman" w:hAnsi="Times New Roman" w:eastAsia="仿宋_GB2312" w:cs="Times New Roman"/>
          <w:sz w:val="32"/>
          <w:szCs w:val="32"/>
          <w:highlight w:val="none"/>
          <w:lang w:val="en-US" w:eastAsia="zh-CN"/>
        </w:rPr>
        <w:t>255.82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517.31</w:t>
      </w:r>
      <w:r>
        <w:rPr>
          <w:rFonts w:hint="default" w:ascii="Times New Roman" w:hAnsi="Times New Roman" w:eastAsia="仿宋_GB2312" w:cs="Times New Roman"/>
          <w:sz w:val="32"/>
          <w:szCs w:val="32"/>
          <w:highlight w:val="none"/>
        </w:rPr>
        <w:t>×100%=</w:t>
      </w:r>
      <w:r>
        <w:rPr>
          <w:rFonts w:hint="default" w:ascii="Times New Roman" w:hAnsi="Times New Roman" w:eastAsia="仿宋_GB2312" w:cs="Times New Roman"/>
          <w:sz w:val="32"/>
          <w:szCs w:val="32"/>
          <w:highlight w:val="none"/>
          <w:lang w:val="en-US" w:eastAsia="zh-CN"/>
        </w:rPr>
        <w:t>49.45</w:t>
      </w:r>
      <w:r>
        <w:rPr>
          <w:rFonts w:hint="default" w:ascii="Times New Roman" w:hAnsi="Times New Roman" w:eastAsia="仿宋_GB2312" w:cs="Times New Roman"/>
          <w:sz w:val="32"/>
          <w:szCs w:val="32"/>
          <w:highlight w:val="none"/>
        </w:rPr>
        <w:t>%，大于州直行政事业单位平均值</w:t>
      </w:r>
      <w:r>
        <w:rPr>
          <w:rFonts w:hint="default" w:ascii="Times New Roman" w:hAnsi="Times New Roman" w:eastAsia="仿宋_GB2312" w:cs="Times New Roman"/>
          <w:sz w:val="32"/>
          <w:szCs w:val="32"/>
          <w:highlight w:val="none"/>
          <w:lang w:val="en-US" w:eastAsia="zh-CN"/>
        </w:rPr>
        <w:t>47.86</w:t>
      </w:r>
      <w:r>
        <w:rPr>
          <w:rFonts w:hint="default" w:ascii="Times New Roman" w:hAnsi="Times New Roman" w:eastAsia="仿宋_GB2312" w:cs="Times New Roman"/>
          <w:sz w:val="32"/>
          <w:szCs w:val="32"/>
          <w:highlight w:val="none"/>
        </w:rPr>
        <w:t>%。</w:t>
      </w:r>
    </w:p>
    <w:p w14:paraId="4BFBC637">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综上，根据评分标准，该项指标扣</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分，得</w:t>
      </w:r>
      <w:r>
        <w:rPr>
          <w:rFonts w:hint="default" w:ascii="Times New Roman" w:hAnsi="Times New Roman"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rPr>
        <w:t>分。</w:t>
      </w:r>
    </w:p>
    <w:p w14:paraId="57627D6D">
      <w:pPr>
        <w:adjustRightInd w:val="0"/>
        <w:snapToGrid w:val="0"/>
        <w:spacing w:line="560" w:lineRule="exact"/>
        <w:ind w:firstLine="643" w:firstLineChars="200"/>
        <w:contextualSpacing/>
        <w:rPr>
          <w:rFonts w:hint="default" w:ascii="Times New Roman" w:hAnsi="Times New Roman" w:eastAsia="仿宋_GB2312" w:cs="Times New Roman"/>
          <w:b/>
          <w:bCs/>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shd w:val="clear" w:color="auto" w:fill="FFFFFF"/>
        </w:rPr>
        <w:t>（3）资产盘活率</w:t>
      </w:r>
    </w:p>
    <w:p w14:paraId="59775AE2">
      <w:pPr>
        <w:adjustRightInd w:val="0"/>
        <w:snapToGrid w:val="0"/>
        <w:spacing w:line="560" w:lineRule="exact"/>
        <w:ind w:firstLine="640" w:firstLineChars="200"/>
        <w:contextualSpacing/>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我部202</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rPr>
        <w:t>年、202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年均无闲置资产。</w:t>
      </w:r>
    </w:p>
    <w:p w14:paraId="6ACD86E4">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综上，根据评分标准，该项指标0扣分，得3分。</w:t>
      </w:r>
    </w:p>
    <w:p w14:paraId="06928A9B">
      <w:pPr>
        <w:widowControl/>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8.</w:t>
      </w:r>
      <w:r>
        <w:rPr>
          <w:rFonts w:hint="default" w:ascii="Times New Roman" w:hAnsi="Times New Roman" w:eastAsia="仿宋_GB2312" w:cs="Times New Roman"/>
          <w:b/>
          <w:bCs/>
          <w:color w:val="000000"/>
          <w:kern w:val="0"/>
          <w:sz w:val="32"/>
          <w:szCs w:val="32"/>
          <w:highlight w:val="none"/>
          <w:shd w:val="clear" w:color="auto" w:fill="FFFFFF"/>
          <w:lang w:val="zh-CN"/>
        </w:rPr>
        <w:t>采购管理</w:t>
      </w:r>
    </w:p>
    <w:p w14:paraId="623E4410">
      <w:pPr>
        <w:adjustRightInd w:val="0"/>
        <w:snapToGrid w:val="0"/>
        <w:spacing w:line="560" w:lineRule="exact"/>
        <w:ind w:firstLine="643" w:firstLineChars="200"/>
        <w:contextualSpacing/>
        <w:jc w:val="left"/>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）支持中小企业发展</w:t>
      </w:r>
    </w:p>
    <w:p w14:paraId="6C7865CD">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sz w:val="32"/>
          <w:szCs w:val="32"/>
          <w:highlight w:val="none"/>
        </w:rPr>
        <w:t>我部</w:t>
      </w:r>
      <w:r>
        <w:rPr>
          <w:rFonts w:hint="default" w:ascii="Times New Roman" w:hAnsi="Times New Roman" w:eastAsia="仿宋_GB2312" w:cs="Times New Roman"/>
          <w:color w:val="000000"/>
          <w:kern w:val="0"/>
          <w:sz w:val="32"/>
          <w:szCs w:val="32"/>
          <w:highlight w:val="none"/>
          <w:shd w:val="clear" w:color="auto" w:fill="FFFFFF"/>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rPr>
        <w:t>年严格执行政府采购促进中小企业发展相关管理办法，对适宜由中小企业提供的采购项目和采购包，预留采购份额专门面向中小企业采购，预留金额为</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rPr>
        <w:t>万元，并在采购预算中单独列示。</w:t>
      </w:r>
    </w:p>
    <w:p w14:paraId="4825B5B0">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综上，根据评分标准，该项指标扣0分，得3分。</w:t>
      </w:r>
    </w:p>
    <w:p w14:paraId="3D3837DC">
      <w:pPr>
        <w:spacing w:line="560" w:lineRule="exact"/>
        <w:ind w:firstLine="643" w:firstLineChars="200"/>
        <w:outlineLvl w:val="3"/>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b/>
          <w:bCs/>
          <w:color w:val="000000"/>
          <w:kern w:val="0"/>
          <w:sz w:val="32"/>
          <w:szCs w:val="32"/>
          <w:highlight w:val="none"/>
          <w:shd w:val="clear" w:color="auto" w:fill="FFFFFF"/>
        </w:rPr>
        <w:t>2</w:t>
      </w:r>
      <w:r>
        <w:rPr>
          <w:rFonts w:hint="default" w:ascii="Times New Roman" w:hAnsi="Times New Roman" w:eastAsia="仿宋_GB2312" w:cs="Times New Roman"/>
          <w:b/>
          <w:bCs/>
          <w:color w:val="000000"/>
          <w:kern w:val="0"/>
          <w:sz w:val="32"/>
          <w:szCs w:val="32"/>
          <w:highlight w:val="none"/>
          <w:shd w:val="clear" w:color="auto" w:fill="FFFFFF"/>
          <w:lang w:val="zh-CN"/>
        </w:rPr>
        <w:t>）采购执行率</w:t>
      </w:r>
    </w:p>
    <w:p w14:paraId="6363581C">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年我</w:t>
      </w:r>
      <w:r>
        <w:rPr>
          <w:rFonts w:hint="default" w:ascii="Times New Roman" w:hAnsi="Times New Roman" w:eastAsia="仿宋_GB2312" w:cs="Times New Roman"/>
          <w:color w:val="000000"/>
          <w:kern w:val="0"/>
          <w:sz w:val="32"/>
          <w:szCs w:val="32"/>
          <w:highlight w:val="none"/>
          <w:shd w:val="clear" w:color="auto" w:fill="FFFFFF"/>
        </w:rPr>
        <w:t>部</w:t>
      </w:r>
      <w:r>
        <w:rPr>
          <w:rFonts w:hint="default" w:ascii="Times New Roman" w:hAnsi="Times New Roman" w:eastAsia="仿宋_GB2312" w:cs="Times New Roman"/>
          <w:color w:val="000000"/>
          <w:kern w:val="0"/>
          <w:sz w:val="32"/>
          <w:szCs w:val="32"/>
          <w:highlight w:val="none"/>
          <w:shd w:val="clear" w:color="auto" w:fill="FFFFFF"/>
          <w:lang w:val="zh-CN"/>
        </w:rPr>
        <w:t>安排政府采购预算</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lang w:val="zh-CN"/>
        </w:rPr>
        <w:t>万元，</w:t>
      </w:r>
      <w:r>
        <w:rPr>
          <w:rFonts w:hint="default" w:ascii="Times New Roman" w:hAnsi="Times New Roman" w:eastAsia="仿宋_GB2312" w:cs="Times New Roman"/>
          <w:color w:val="000000"/>
          <w:kern w:val="0"/>
          <w:sz w:val="32"/>
          <w:szCs w:val="32"/>
          <w:highlight w:val="none"/>
          <w:shd w:val="clear" w:color="auto" w:fill="FFFFFF"/>
        </w:rPr>
        <w:t>实际</w:t>
      </w:r>
      <w:r>
        <w:rPr>
          <w:rFonts w:hint="default" w:ascii="Times New Roman" w:hAnsi="Times New Roman" w:eastAsia="仿宋_GB2312" w:cs="Times New Roman"/>
          <w:color w:val="000000"/>
          <w:kern w:val="0"/>
          <w:sz w:val="32"/>
          <w:szCs w:val="32"/>
          <w:highlight w:val="none"/>
          <w:shd w:val="clear" w:color="auto" w:fill="FFFFFF"/>
          <w:lang w:val="zh-CN"/>
        </w:rPr>
        <w:t>采购执行数为</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万元，该项得分=当年政府采购实际支付总金额÷（当年政府采购总预算数-当年已完成采购项目节约金额）×100%×3</w:t>
      </w:r>
      <w:r>
        <w:rPr>
          <w:rFonts w:hint="default" w:ascii="Times New Roman" w:hAnsi="Times New Roman" w:eastAsia="仿宋_GB2312" w:cs="Times New Roman"/>
          <w:color w:val="000000"/>
          <w:kern w:val="0"/>
          <w:sz w:val="32"/>
          <w:szCs w:val="32"/>
          <w:highlight w:val="none"/>
          <w:shd w:val="clear" w:color="auto" w:fill="FFFFFF"/>
        </w:rPr>
        <w:t>=</w:t>
      </w:r>
      <w:r>
        <w:rPr>
          <w:rFonts w:hint="default" w:ascii="Times New Roman" w:hAnsi="Times New Roman" w:eastAsia="仿宋_GB2312" w:cs="Times New Roman"/>
          <w:color w:val="000000"/>
          <w:kern w:val="0"/>
          <w:sz w:val="32"/>
          <w:szCs w:val="32"/>
          <w:highlight w:val="none"/>
          <w:shd w:val="clear" w:color="auto" w:fill="FFFFFF"/>
          <w:lang w:val="en-US" w:eastAsia="zh-CN"/>
        </w:rPr>
        <w:t>26.51</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27</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0.49</w:t>
      </w:r>
      <w:r>
        <w:rPr>
          <w:rFonts w:hint="default" w:ascii="Times New Roman" w:hAnsi="Times New Roman" w:eastAsia="仿宋_GB2312" w:cs="Times New Roman"/>
          <w:color w:val="000000"/>
          <w:kern w:val="0"/>
          <w:sz w:val="32"/>
          <w:szCs w:val="32"/>
          <w:highlight w:val="none"/>
          <w:shd w:val="clear" w:color="auto" w:fill="FFFFFF"/>
          <w:lang w:val="zh-CN"/>
        </w:rPr>
        <w:t>）*3=</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rPr>
        <w:t>分。</w:t>
      </w:r>
    </w:p>
    <w:p w14:paraId="40603899">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shd w:val="clear" w:color="auto" w:fill="FFFFFF"/>
        </w:rPr>
        <w:t>综上，根据评分标准，</w:t>
      </w:r>
      <w:r>
        <w:rPr>
          <w:rFonts w:hint="default" w:ascii="Times New Roman" w:hAnsi="Times New Roman" w:eastAsia="仿宋_GB2312" w:cs="Times New Roman"/>
          <w:color w:val="000000"/>
          <w:kern w:val="0"/>
          <w:sz w:val="32"/>
          <w:szCs w:val="32"/>
          <w:highlight w:val="none"/>
          <w:shd w:val="clear" w:color="auto" w:fill="FFFFFF"/>
          <w:lang w:val="zh-CN"/>
        </w:rPr>
        <w:t>该项</w:t>
      </w:r>
      <w:r>
        <w:rPr>
          <w:rFonts w:hint="default" w:ascii="Times New Roman" w:hAnsi="Times New Roman" w:eastAsia="仿宋_GB2312" w:cs="Times New Roman"/>
          <w:color w:val="000000"/>
          <w:kern w:val="0"/>
          <w:sz w:val="32"/>
          <w:szCs w:val="32"/>
          <w:highlight w:val="none"/>
          <w:shd w:val="clear" w:color="auto" w:fill="FFFFFF"/>
        </w:rPr>
        <w:t>扣</w:t>
      </w:r>
      <w:r>
        <w:rPr>
          <w:rFonts w:hint="default"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rPr>
        <w:t>分，</w:t>
      </w:r>
      <w:r>
        <w:rPr>
          <w:rFonts w:hint="default" w:ascii="Times New Roman" w:hAnsi="Times New Roman" w:eastAsia="仿宋_GB2312" w:cs="Times New Roman"/>
          <w:sz w:val="32"/>
          <w:szCs w:val="32"/>
          <w:highlight w:val="none"/>
        </w:rPr>
        <w:t>得</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分。</w:t>
      </w:r>
    </w:p>
    <w:p w14:paraId="75A3A34C">
      <w:pPr>
        <w:widowControl/>
        <w:spacing w:line="560" w:lineRule="exact"/>
        <w:ind w:firstLine="643" w:firstLineChars="200"/>
        <w:contextualSpacing/>
        <w:jc w:val="left"/>
        <w:outlineLvl w:val="1"/>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5C9C9F9B">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color w:val="000000"/>
          <w:kern w:val="0"/>
          <w:sz w:val="32"/>
          <w:szCs w:val="32"/>
          <w:highlight w:val="none"/>
          <w:shd w:val="clear" w:color="auto" w:fill="FFFFFF"/>
          <w:lang w:val="zh-CN"/>
        </w:rPr>
        <w:t>。</w:t>
      </w:r>
    </w:p>
    <w:p w14:paraId="67BC5FB7">
      <w:pPr>
        <w:adjustRightInd w:val="0"/>
        <w:snapToGrid w:val="0"/>
        <w:spacing w:line="560" w:lineRule="exact"/>
        <w:ind w:firstLine="643" w:firstLineChars="200"/>
        <w:contextualSpacing/>
        <w:jc w:val="left"/>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1.</w:t>
      </w:r>
      <w:r>
        <w:rPr>
          <w:rFonts w:hint="default" w:ascii="Times New Roman" w:hAnsi="Times New Roman" w:eastAsia="仿宋_GB2312" w:cs="Times New Roman"/>
          <w:b/>
          <w:bCs/>
          <w:color w:val="000000"/>
          <w:kern w:val="0"/>
          <w:sz w:val="32"/>
          <w:szCs w:val="32"/>
          <w:highlight w:val="none"/>
          <w:shd w:val="clear" w:color="auto" w:fill="FFFFFF"/>
          <w:lang w:val="zh-CN"/>
        </w:rPr>
        <w:t>项目决策</w:t>
      </w:r>
    </w:p>
    <w:p w14:paraId="36E05408">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）决策程序</w:t>
      </w:r>
    </w:p>
    <w:p w14:paraId="76F70B66">
      <w:pPr>
        <w:adjustRightInd w:val="0"/>
        <w:snapToGrid w:val="0"/>
        <w:spacing w:line="560" w:lineRule="exact"/>
        <w:ind w:firstLine="640" w:firstLineChars="200"/>
        <w:contextualSpacing/>
        <w:jc w:val="left"/>
        <w:rPr>
          <w:rFonts w:hint="eastAsia" w:ascii="Times New Roman" w:hAnsi="Times New Roman" w:eastAsia="仿宋_GB2312" w:cs="Times New Roman"/>
          <w:sz w:val="32"/>
          <w:highlight w:val="none"/>
          <w:lang w:val="en-US" w:eastAsia="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color w:val="000000"/>
          <w:kern w:val="0"/>
          <w:sz w:val="32"/>
          <w:szCs w:val="32"/>
          <w:highlight w:val="none"/>
          <w:shd w:val="clear" w:color="auto" w:fill="FFFFFF"/>
          <w:lang w:val="zh-CN"/>
        </w:rPr>
        <w:t>。</w:t>
      </w:r>
    </w:p>
    <w:p w14:paraId="4BB038DD">
      <w:pPr>
        <w:spacing w:line="560" w:lineRule="exact"/>
        <w:ind w:firstLine="643" w:firstLineChars="200"/>
        <w:outlineLvl w:val="2"/>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（2）目标设置</w:t>
      </w:r>
    </w:p>
    <w:p w14:paraId="6BB4BEB4">
      <w:pPr>
        <w:spacing w:line="560" w:lineRule="exact"/>
        <w:ind w:firstLine="640"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6D1014BF">
      <w:pPr>
        <w:spacing w:line="560" w:lineRule="exact"/>
        <w:ind w:firstLine="643" w:firstLineChars="200"/>
        <w:outlineLvl w:val="2"/>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（3）项目入库</w:t>
      </w:r>
    </w:p>
    <w:p w14:paraId="0227990D">
      <w:pPr>
        <w:spacing w:line="56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515CA067">
      <w:pPr>
        <w:adjustRightInd w:val="0"/>
        <w:snapToGrid w:val="0"/>
        <w:spacing w:line="560" w:lineRule="exact"/>
        <w:ind w:firstLine="643" w:firstLineChars="200"/>
        <w:contextualSpacing/>
        <w:jc w:val="left"/>
        <w:outlineLvl w:val="2"/>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2.项目执行</w:t>
      </w:r>
    </w:p>
    <w:p w14:paraId="21A203A3">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）执行同向</w:t>
      </w:r>
    </w:p>
    <w:p w14:paraId="1AA2FBC7">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4DA18E78">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sz w:val="32"/>
          <w:szCs w:val="32"/>
          <w:highlight w:val="none"/>
          <w:lang w:val="zh-CN"/>
        </w:rPr>
        <w:t>）项目调整</w:t>
      </w:r>
    </w:p>
    <w:p w14:paraId="286DE4E2">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407BA5F0">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3</w:t>
      </w:r>
      <w:r>
        <w:rPr>
          <w:rFonts w:hint="default" w:ascii="Times New Roman" w:hAnsi="Times New Roman" w:eastAsia="仿宋_GB2312" w:cs="Times New Roman"/>
          <w:b/>
          <w:bCs/>
          <w:sz w:val="32"/>
          <w:szCs w:val="32"/>
          <w:highlight w:val="none"/>
          <w:lang w:val="zh-CN"/>
        </w:rPr>
        <w:t>）执行结果</w:t>
      </w:r>
    </w:p>
    <w:p w14:paraId="4E7BF25B">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765DDC00">
      <w:pPr>
        <w:adjustRightInd w:val="0"/>
        <w:snapToGrid w:val="0"/>
        <w:spacing w:line="560" w:lineRule="exact"/>
        <w:ind w:firstLine="643" w:firstLineChars="200"/>
        <w:contextualSpacing/>
        <w:jc w:val="left"/>
        <w:outlineLvl w:val="2"/>
        <w:rPr>
          <w:rFonts w:hint="default" w:ascii="Times New Roman" w:hAnsi="Times New Roman" w:eastAsia="仿宋_GB2312" w:cs="Times New Roman"/>
          <w:b/>
          <w:bCs/>
          <w:color w:val="000000"/>
          <w:kern w:val="0"/>
          <w:sz w:val="32"/>
          <w:szCs w:val="32"/>
          <w:highlight w:val="none"/>
          <w:shd w:val="clear" w:color="auto" w:fill="FFFFFF"/>
          <w:lang w:val="zh-CN"/>
        </w:rPr>
      </w:pPr>
      <w:r>
        <w:rPr>
          <w:rFonts w:hint="default" w:ascii="Times New Roman" w:hAnsi="Times New Roman" w:eastAsia="仿宋_GB2312" w:cs="Times New Roman"/>
          <w:b/>
          <w:bCs/>
          <w:color w:val="000000"/>
          <w:kern w:val="0"/>
          <w:sz w:val="32"/>
          <w:szCs w:val="32"/>
          <w:highlight w:val="none"/>
          <w:shd w:val="clear" w:color="auto" w:fill="FFFFFF"/>
        </w:rPr>
        <w:t>3.</w:t>
      </w:r>
      <w:r>
        <w:rPr>
          <w:rFonts w:hint="default" w:ascii="Times New Roman" w:hAnsi="Times New Roman" w:eastAsia="仿宋_GB2312" w:cs="Times New Roman"/>
          <w:b/>
          <w:bCs/>
          <w:color w:val="000000"/>
          <w:kern w:val="0"/>
          <w:sz w:val="32"/>
          <w:szCs w:val="32"/>
          <w:highlight w:val="none"/>
          <w:shd w:val="clear" w:color="auto" w:fill="FFFFFF"/>
          <w:lang w:val="zh-CN"/>
        </w:rPr>
        <w:t>目标实现</w:t>
      </w:r>
    </w:p>
    <w:p w14:paraId="4B069338">
      <w:pPr>
        <w:spacing w:line="56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67B96635">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1</w:t>
      </w:r>
      <w:r>
        <w:rPr>
          <w:rFonts w:hint="default" w:ascii="Times New Roman" w:hAnsi="Times New Roman" w:eastAsia="仿宋_GB2312" w:cs="Times New Roman"/>
          <w:b/>
          <w:bCs/>
          <w:sz w:val="32"/>
          <w:szCs w:val="32"/>
          <w:highlight w:val="none"/>
          <w:lang w:val="zh-CN"/>
        </w:rPr>
        <w:t>）目标完成</w:t>
      </w:r>
    </w:p>
    <w:p w14:paraId="0CA2F631">
      <w:pPr>
        <w:spacing w:line="560" w:lineRule="exact"/>
        <w:ind w:firstLine="640" w:firstLineChars="200"/>
        <w:rPr>
          <w:rFonts w:hint="default" w:ascii="Times New Roman" w:hAnsi="Times New Roman" w:eastAsia="仿宋_GB2312" w:cs="Times New Roman"/>
          <w:sz w:val="32"/>
          <w:szCs w:val="32"/>
          <w:highlight w:val="none"/>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lang w:val="zh-CN"/>
        </w:rPr>
        <w:t>。</w:t>
      </w:r>
    </w:p>
    <w:p w14:paraId="19138FE2">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2</w:t>
      </w:r>
      <w:r>
        <w:rPr>
          <w:rFonts w:hint="default" w:ascii="Times New Roman" w:hAnsi="Times New Roman" w:eastAsia="仿宋_GB2312" w:cs="Times New Roman"/>
          <w:b/>
          <w:bCs/>
          <w:sz w:val="32"/>
          <w:szCs w:val="32"/>
          <w:highlight w:val="none"/>
          <w:lang w:val="zh-CN"/>
        </w:rPr>
        <w:t>）目标偏离</w:t>
      </w:r>
    </w:p>
    <w:p w14:paraId="706DEFB1">
      <w:pPr>
        <w:spacing w:line="560" w:lineRule="exact"/>
        <w:ind w:firstLine="640" w:firstLineChars="200"/>
        <w:rPr>
          <w:rFonts w:hint="default" w:ascii="Times New Roman" w:hAnsi="Times New Roman" w:eastAsia="仿宋_GB2312" w:cs="Times New Roman"/>
          <w:sz w:val="32"/>
          <w:szCs w:val="32"/>
          <w:highlight w:val="none"/>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3AE7C4D5">
      <w:pPr>
        <w:spacing w:line="560" w:lineRule="exact"/>
        <w:ind w:firstLine="643" w:firstLineChars="200"/>
        <w:outlineLvl w:val="2"/>
        <w:rPr>
          <w:rFonts w:hint="default" w:ascii="Times New Roman" w:hAnsi="Times New Roman" w:eastAsia="仿宋_GB2312" w:cs="Times New Roman"/>
          <w:b/>
          <w:bCs/>
          <w:sz w:val="32"/>
          <w:szCs w:val="32"/>
          <w:highlight w:val="none"/>
          <w:lang w:val="zh-CN"/>
        </w:rPr>
      </w:pPr>
      <w:r>
        <w:rPr>
          <w:rFonts w:hint="default" w:ascii="Times New Roman" w:hAnsi="Times New Roman" w:eastAsia="仿宋_GB2312" w:cs="Times New Roman"/>
          <w:b/>
          <w:bCs/>
          <w:sz w:val="32"/>
          <w:szCs w:val="32"/>
          <w:highlight w:val="none"/>
          <w:lang w:val="zh-CN"/>
        </w:rPr>
        <w:t>（</w:t>
      </w:r>
      <w:r>
        <w:rPr>
          <w:rFonts w:hint="default" w:ascii="Times New Roman" w:hAnsi="Times New Roman" w:eastAsia="仿宋_GB2312" w:cs="Times New Roman"/>
          <w:b/>
          <w:bCs/>
          <w:sz w:val="32"/>
          <w:szCs w:val="32"/>
          <w:highlight w:val="none"/>
        </w:rPr>
        <w:t>3</w:t>
      </w:r>
      <w:r>
        <w:rPr>
          <w:rFonts w:hint="default" w:ascii="Times New Roman" w:hAnsi="Times New Roman" w:eastAsia="仿宋_GB2312" w:cs="Times New Roman"/>
          <w:b/>
          <w:bCs/>
          <w:sz w:val="32"/>
          <w:szCs w:val="32"/>
          <w:highlight w:val="none"/>
          <w:lang w:val="zh-CN"/>
        </w:rPr>
        <w:t>）实现效果</w:t>
      </w:r>
    </w:p>
    <w:p w14:paraId="4E200D93">
      <w:pPr>
        <w:adjustRightInd w:val="0"/>
        <w:snapToGrid w:val="0"/>
        <w:spacing w:line="560" w:lineRule="exact"/>
        <w:ind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eastAsia="仿宋_GB2312" w:cs="Times New Roman"/>
          <w:color w:val="000000"/>
          <w:kern w:val="0"/>
          <w:sz w:val="32"/>
          <w:szCs w:val="32"/>
          <w:highlight w:val="none"/>
          <w:shd w:val="clear" w:color="auto" w:fill="FFFFFF"/>
          <w:lang w:val="en-US" w:eastAsia="zh-CN"/>
        </w:rPr>
        <w:t>涉密</w:t>
      </w:r>
      <w:r>
        <w:rPr>
          <w:rFonts w:hint="default" w:ascii="Times New Roman" w:hAnsi="Times New Roman" w:eastAsia="仿宋_GB2312" w:cs="Times New Roman"/>
          <w:sz w:val="32"/>
          <w:szCs w:val="32"/>
          <w:highlight w:val="none"/>
        </w:rPr>
        <w:t>。</w:t>
      </w:r>
    </w:p>
    <w:p w14:paraId="5EE20910">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（三）重点领域绩效分析</w:t>
      </w:r>
    </w:p>
    <w:p w14:paraId="2C7E5D40">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年度不涉及国有资本、债券资金，行政事业性国有资产、政府采购和政府购买服务等重点领域的绩效情况如下：</w:t>
      </w:r>
    </w:p>
    <w:p w14:paraId="44A54791">
      <w:pPr>
        <w:overflowPunct w:val="0"/>
        <w:adjustRightInd w:val="0"/>
        <w:snapToGrid w:val="0"/>
        <w:spacing w:line="560" w:lineRule="exact"/>
        <w:ind w:firstLine="643" w:firstLineChars="200"/>
        <w:contextualSpacing/>
        <w:jc w:val="left"/>
        <w:rPr>
          <w:rFonts w:hint="default" w:ascii="Times New Roman" w:hAnsi="Times New Roman" w:eastAsia="仿宋_GB2312" w:cs="Times New Roman"/>
          <w:sz w:val="32"/>
          <w:highlight w:val="none"/>
        </w:rPr>
      </w:pPr>
      <w:r>
        <w:rPr>
          <w:rFonts w:hint="default" w:ascii="Times New Roman" w:hAnsi="Times New Roman" w:eastAsia="仿宋_GB2312" w:cs="Times New Roman"/>
          <w:b/>
          <w:bCs/>
          <w:sz w:val="32"/>
          <w:highlight w:val="none"/>
        </w:rPr>
        <w:t>1.行政事业性国有资产</w:t>
      </w:r>
    </w:p>
    <w:p w14:paraId="66B72E85">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了加强国有资产管理，提高固定资产的使用效率，保证国有资产的完整，我部根据《行政单位国有资产管理暂行办法》（财政部令第35号）和《四川省省级机关国有资产管理暂行办法》（川办发〔2005〕45号）等文件规定，结合部门实际，制定了《固定资产管理办法》，并严格按照制度执行，具体情况如下：</w:t>
      </w:r>
    </w:p>
    <w:p w14:paraId="353B0A10">
      <w:pPr>
        <w:overflowPunct w:val="0"/>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我部认真实行资产配置计划预算管理，严格执行资产配置标准和资产购置程序，在年度内按计划顺利完成相关资产配置，并及时在资产管理系统中录入资产信息，确保资产卡片的完整性和准确性；严格按照《固定资产管理办法》要求，做好国有资产的清理盘点、统计报告及日常监督检查工作，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年度国有资产基础管理、日常管理、效率管理等方面整体效益较好，有效保障了国有资产安全，提高了国有资产利用率。</w:t>
      </w:r>
    </w:p>
    <w:p w14:paraId="0A4EB7D2">
      <w:pPr>
        <w:overflowPunct w:val="0"/>
        <w:adjustRightInd w:val="0"/>
        <w:snapToGrid w:val="0"/>
        <w:spacing w:line="560" w:lineRule="exact"/>
        <w:ind w:firstLine="643" w:firstLineChars="200"/>
        <w:contextualSpacing/>
        <w:jc w:val="left"/>
        <w:rPr>
          <w:rFonts w:hint="default" w:ascii="Times New Roman" w:hAnsi="Times New Roman" w:eastAsia="仿宋_GB2312" w:cs="Times New Roman"/>
          <w:b/>
          <w:bCs/>
          <w:sz w:val="32"/>
          <w:highlight w:val="none"/>
        </w:rPr>
      </w:pPr>
      <w:r>
        <w:rPr>
          <w:rFonts w:hint="default" w:ascii="Times New Roman" w:hAnsi="Times New Roman" w:eastAsia="仿宋_GB2312" w:cs="Times New Roman"/>
          <w:b/>
          <w:bCs/>
          <w:sz w:val="32"/>
          <w:highlight w:val="none"/>
        </w:rPr>
        <w:t>2.政府采购绩效分析</w:t>
      </w:r>
    </w:p>
    <w:p w14:paraId="76445EF0">
      <w:pPr>
        <w:overflowPunct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我部严格按照政府采购程序进行采购，政府采购预算执行率较高，所购服务和货物均达到质量要求，采购流程遵循相关规定，采购程序合理合规。政府采购完成情况如下表</w:t>
      </w:r>
    </w:p>
    <w:p w14:paraId="0FCEE362">
      <w:pPr>
        <w:widowControl w:val="0"/>
        <w:snapToGrid w:val="0"/>
        <w:jc w:val="left"/>
        <w:rPr>
          <w:rFonts w:hint="default" w:ascii="Times New Roman" w:hAnsi="Times New Roman" w:eastAsia="仿宋_GB2312" w:cs="Times New Roman"/>
          <w:kern w:val="2"/>
          <w:sz w:val="18"/>
          <w:szCs w:val="18"/>
          <w:highlight w:val="none"/>
          <w:lang w:val="en-US" w:eastAsia="zh-CN" w:bidi="ar-SA"/>
        </w:rPr>
      </w:pPr>
    </w:p>
    <w:tbl>
      <w:tblPr>
        <w:tblStyle w:val="18"/>
        <w:tblW w:w="5000" w:type="pct"/>
        <w:jc w:val="center"/>
        <w:tblLayout w:type="autofit"/>
        <w:tblCellMar>
          <w:top w:w="56" w:type="dxa"/>
          <w:left w:w="96" w:type="dxa"/>
          <w:bottom w:w="56" w:type="dxa"/>
          <w:right w:w="96" w:type="dxa"/>
        </w:tblCellMar>
      </w:tblPr>
      <w:tblGrid>
        <w:gridCol w:w="645"/>
        <w:gridCol w:w="1635"/>
        <w:gridCol w:w="1071"/>
        <w:gridCol w:w="1071"/>
        <w:gridCol w:w="1071"/>
        <w:gridCol w:w="1496"/>
        <w:gridCol w:w="1509"/>
      </w:tblGrid>
      <w:tr w14:paraId="205BF754">
        <w:tblPrEx>
          <w:tblCellMar>
            <w:top w:w="56" w:type="dxa"/>
            <w:left w:w="96" w:type="dxa"/>
            <w:bottom w:w="56" w:type="dxa"/>
            <w:right w:w="96" w:type="dxa"/>
          </w:tblCellMar>
        </w:tblPrEx>
        <w:trPr>
          <w:trHeight w:val="0" w:hRule="atLeast"/>
          <w:jc w:val="center"/>
        </w:trPr>
        <w:tc>
          <w:tcPr>
            <w:tcW w:w="5000" w:type="pct"/>
            <w:gridSpan w:val="7"/>
            <w:tcBorders>
              <w:top w:val="nil"/>
              <w:left w:val="nil"/>
              <w:bottom w:val="nil"/>
              <w:right w:val="nil"/>
            </w:tcBorders>
            <w:shd w:val="clear" w:color="auto" w:fill="auto"/>
            <w:noWrap/>
            <w:vAlign w:val="center"/>
          </w:tcPr>
          <w:p w14:paraId="136332B4">
            <w:pPr>
              <w:widowControl/>
              <w:snapToGrid w:val="0"/>
              <w:jc w:val="center"/>
              <w:rPr>
                <w:rFonts w:hint="default" w:ascii="Times New Roman" w:hAnsi="Times New Roman" w:eastAsia="宋体" w:cs="Times New Roman"/>
                <w:color w:val="C0504D"/>
                <w:kern w:val="0"/>
                <w:sz w:val="22"/>
                <w:szCs w:val="22"/>
                <w:highlight w:val="none"/>
              </w:rPr>
            </w:pPr>
            <w:r>
              <w:rPr>
                <w:rFonts w:hint="default" w:ascii="Times New Roman" w:hAnsi="Times New Roman" w:eastAsia="宋体" w:cs="Times New Roman"/>
                <w:color w:val="C0504D"/>
                <w:kern w:val="0"/>
                <w:sz w:val="22"/>
                <w:szCs w:val="22"/>
                <w:highlight w:val="none"/>
              </w:rPr>
              <w:t>2023年政府采购表</w:t>
            </w:r>
          </w:p>
        </w:tc>
      </w:tr>
      <w:tr w14:paraId="491BDB3B">
        <w:tblPrEx>
          <w:tblCellMar>
            <w:top w:w="56" w:type="dxa"/>
            <w:left w:w="96" w:type="dxa"/>
            <w:bottom w:w="56" w:type="dxa"/>
            <w:right w:w="96" w:type="dxa"/>
          </w:tblCellMar>
        </w:tblPrEx>
        <w:trPr>
          <w:trHeight w:val="0" w:hRule="atLeast"/>
          <w:jc w:val="center"/>
        </w:trPr>
        <w:tc>
          <w:tcPr>
            <w:tcW w:w="380" w:type="pc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6830C590">
            <w:pPr>
              <w:widowControl/>
              <w:snapToGrid w:val="0"/>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序号</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48419">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计划单号</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E96E2">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单位信息</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8C32F">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采购项目</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22972">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计划总额</w:t>
            </w:r>
          </w:p>
        </w:tc>
        <w:tc>
          <w:tcPr>
            <w:tcW w:w="8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C9BA3">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已下订单金额</w:t>
            </w:r>
          </w:p>
        </w:tc>
        <w:tc>
          <w:tcPr>
            <w:tcW w:w="88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C7732">
            <w:pPr>
              <w:widowControl/>
              <w:snapToGrid w:val="0"/>
              <w:jc w:val="center"/>
              <w:rPr>
                <w:rFonts w:hint="default" w:ascii="Times New Roman" w:hAnsi="Times New Roman" w:eastAsia="仿宋_GB2312" w:cs="Times New Roman"/>
                <w:b w:val="0"/>
                <w:color w:val="000000"/>
                <w:kern w:val="0"/>
                <w:sz w:val="18"/>
                <w:szCs w:val="18"/>
                <w:highlight w:val="none"/>
              </w:rPr>
            </w:pPr>
            <w:r>
              <w:rPr>
                <w:rFonts w:hint="default" w:ascii="Times New Roman" w:hAnsi="Times New Roman" w:eastAsia="仿宋_GB2312" w:cs="Times New Roman"/>
                <w:b w:val="0"/>
                <w:color w:val="000000"/>
                <w:kern w:val="0"/>
                <w:sz w:val="18"/>
                <w:szCs w:val="18"/>
                <w:highlight w:val="none"/>
              </w:rPr>
              <w:t>采购执行状态</w:t>
            </w:r>
          </w:p>
        </w:tc>
      </w:tr>
      <w:tr w14:paraId="26F7DD7C">
        <w:tblPrEx>
          <w:tblCellMar>
            <w:top w:w="56" w:type="dxa"/>
            <w:left w:w="96" w:type="dxa"/>
            <w:bottom w:w="56" w:type="dxa"/>
            <w:right w:w="96" w:type="dxa"/>
          </w:tblCellMar>
        </w:tblPrEx>
        <w:trPr>
          <w:trHeight w:val="0" w:hRule="atLeast"/>
          <w:jc w:val="center"/>
        </w:trPr>
        <w:tc>
          <w:tcPr>
            <w:tcW w:w="380" w:type="pct"/>
            <w:tcBorders>
              <w:top w:val="single" w:color="000000" w:sz="4" w:space="0"/>
              <w:left w:val="single" w:color="000000" w:sz="4" w:space="0"/>
              <w:bottom w:val="single" w:color="000000" w:sz="4" w:space="0"/>
              <w:right w:val="single" w:color="000000" w:sz="4" w:space="0"/>
            </w:tcBorders>
            <w:shd w:val="clear" w:color="auto" w:fill="FFFFFF"/>
            <w:noWrap/>
          </w:tcPr>
          <w:p w14:paraId="63075BB8">
            <w:pPr>
              <w:widowControl/>
              <w:snapToGrid w:val="0"/>
              <w:jc w:val="center"/>
              <w:rPr>
                <w:rFonts w:hint="default" w:ascii="Times New Roman" w:hAnsi="Times New Roman" w:eastAsia="宋体" w:cs="Times New Roman"/>
                <w:b w:val="0"/>
                <w:color w:val="000000"/>
                <w:kern w:val="0"/>
                <w:sz w:val="18"/>
                <w:szCs w:val="18"/>
                <w:highlight w:val="none"/>
              </w:rPr>
            </w:pPr>
            <w:r>
              <w:rPr>
                <w:rFonts w:hint="default" w:ascii="Times New Roman" w:hAnsi="Times New Roman" w:eastAsia="宋体" w:cs="Times New Roman"/>
                <w:b w:val="0"/>
                <w:color w:val="000000"/>
                <w:kern w:val="0"/>
                <w:sz w:val="18"/>
                <w:szCs w:val="18"/>
                <w:highlight w:val="none"/>
              </w:rPr>
              <w:t>1</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DC85F">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51320024210200004538</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1A0B3">
            <w:pPr>
              <w:widowControl/>
              <w:snapToGrid w:val="0"/>
              <w:jc w:val="left"/>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州委统战部</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496CC">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公务用车保险</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719A4">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0.46</w:t>
            </w:r>
          </w:p>
        </w:tc>
        <w:tc>
          <w:tcPr>
            <w:tcW w:w="8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FA5A0">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0.46</w:t>
            </w:r>
          </w:p>
        </w:tc>
        <w:tc>
          <w:tcPr>
            <w:tcW w:w="88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18394">
            <w:pPr>
              <w:widowControl/>
              <w:snapToGrid w:val="0"/>
              <w:jc w:val="left"/>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01140D95">
        <w:tblPrEx>
          <w:tblCellMar>
            <w:top w:w="56" w:type="dxa"/>
            <w:left w:w="96" w:type="dxa"/>
            <w:bottom w:w="56" w:type="dxa"/>
            <w:right w:w="96" w:type="dxa"/>
          </w:tblCellMar>
        </w:tblPrEx>
        <w:trPr>
          <w:trHeight w:val="0" w:hRule="atLeast"/>
          <w:jc w:val="center"/>
        </w:trPr>
        <w:tc>
          <w:tcPr>
            <w:tcW w:w="380" w:type="pct"/>
            <w:tcBorders>
              <w:top w:val="single" w:color="000000" w:sz="4" w:space="0"/>
              <w:left w:val="single" w:color="000000" w:sz="4" w:space="0"/>
              <w:bottom w:val="single" w:color="000000" w:sz="4" w:space="0"/>
              <w:right w:val="single" w:color="000000" w:sz="4" w:space="0"/>
            </w:tcBorders>
            <w:shd w:val="clear" w:color="auto" w:fill="FFFFFF"/>
            <w:noWrap/>
          </w:tcPr>
          <w:p w14:paraId="40A3971C">
            <w:pPr>
              <w:widowControl/>
              <w:snapToGrid w:val="0"/>
              <w:jc w:val="center"/>
              <w:rPr>
                <w:rFonts w:hint="default" w:ascii="Times New Roman" w:hAnsi="Times New Roman" w:eastAsia="宋体" w:cs="Times New Roman"/>
                <w:b w:val="0"/>
                <w:color w:val="000000"/>
                <w:kern w:val="0"/>
                <w:sz w:val="18"/>
                <w:szCs w:val="18"/>
                <w:highlight w:val="none"/>
              </w:rPr>
            </w:pPr>
            <w:r>
              <w:rPr>
                <w:rFonts w:hint="default" w:ascii="Times New Roman" w:hAnsi="Times New Roman" w:eastAsia="宋体" w:cs="Times New Roman"/>
                <w:b w:val="0"/>
                <w:color w:val="000000"/>
                <w:kern w:val="0"/>
                <w:sz w:val="18"/>
                <w:szCs w:val="18"/>
                <w:highlight w:val="none"/>
              </w:rPr>
              <w:t>2</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EBA7B">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51320024210200003935</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C7F5A">
            <w:pPr>
              <w:widowControl/>
              <w:snapToGrid w:val="0"/>
              <w:jc w:val="left"/>
              <w:rPr>
                <w:rFonts w:hint="default" w:ascii="Times New Roman" w:hAnsi="Times New Roman" w:eastAsia="宋体" w:cs="Times New Roman"/>
                <w:b w:val="0"/>
                <w:color w:val="000000"/>
                <w:kern w:val="0"/>
                <w:sz w:val="12"/>
                <w:szCs w:val="12"/>
                <w:highlight w:val="none"/>
                <w:lang w:eastAsia="zh-CN"/>
              </w:rPr>
            </w:pPr>
            <w:r>
              <w:rPr>
                <w:rFonts w:hint="default" w:ascii="Times New Roman" w:hAnsi="Times New Roman" w:eastAsia="宋体" w:cs="Times New Roman"/>
                <w:b w:val="0"/>
                <w:color w:val="000000"/>
                <w:kern w:val="0"/>
                <w:sz w:val="12"/>
                <w:szCs w:val="12"/>
                <w:highlight w:val="none"/>
                <w:lang w:val="en-US" w:eastAsia="zh-CN"/>
              </w:rPr>
              <w:t>州委统战部</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A54BA">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公务用车保险</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C403D">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0.1</w:t>
            </w:r>
          </w:p>
        </w:tc>
        <w:tc>
          <w:tcPr>
            <w:tcW w:w="8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95156">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0.1</w:t>
            </w:r>
          </w:p>
        </w:tc>
        <w:tc>
          <w:tcPr>
            <w:tcW w:w="88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0F023">
            <w:pPr>
              <w:widowControl/>
              <w:snapToGrid w:val="0"/>
              <w:jc w:val="left"/>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r w14:paraId="3F87376C">
        <w:tblPrEx>
          <w:tblCellMar>
            <w:top w:w="56" w:type="dxa"/>
            <w:left w:w="96" w:type="dxa"/>
            <w:bottom w:w="56" w:type="dxa"/>
            <w:right w:w="96" w:type="dxa"/>
          </w:tblCellMar>
        </w:tblPrEx>
        <w:trPr>
          <w:trHeight w:val="0" w:hRule="atLeast"/>
          <w:jc w:val="center"/>
        </w:trPr>
        <w:tc>
          <w:tcPr>
            <w:tcW w:w="380" w:type="pct"/>
            <w:tcBorders>
              <w:top w:val="single" w:color="000000" w:sz="4" w:space="0"/>
              <w:left w:val="single" w:color="000000" w:sz="4" w:space="0"/>
              <w:bottom w:val="single" w:color="000000" w:sz="4" w:space="0"/>
              <w:right w:val="single" w:color="000000" w:sz="4" w:space="0"/>
            </w:tcBorders>
            <w:shd w:val="clear" w:color="auto" w:fill="FFFFFF"/>
            <w:noWrap/>
          </w:tcPr>
          <w:p w14:paraId="2BB3C315">
            <w:pPr>
              <w:widowControl/>
              <w:snapToGrid w:val="0"/>
              <w:jc w:val="center"/>
              <w:rPr>
                <w:rFonts w:hint="default" w:ascii="Times New Roman" w:hAnsi="Times New Roman" w:eastAsia="宋体" w:cs="Times New Roman"/>
                <w:b w:val="0"/>
                <w:color w:val="000000"/>
                <w:kern w:val="0"/>
                <w:sz w:val="18"/>
                <w:szCs w:val="18"/>
                <w:highlight w:val="none"/>
                <w:lang w:val="en-US" w:eastAsia="zh-CN"/>
              </w:rPr>
            </w:pPr>
            <w:r>
              <w:rPr>
                <w:rFonts w:hint="default" w:ascii="Times New Roman" w:hAnsi="Times New Roman" w:eastAsia="宋体" w:cs="Times New Roman"/>
                <w:b w:val="0"/>
                <w:color w:val="000000"/>
                <w:kern w:val="0"/>
                <w:sz w:val="18"/>
                <w:szCs w:val="18"/>
                <w:highlight w:val="none"/>
                <w:lang w:val="en-US" w:eastAsia="zh-CN"/>
              </w:rPr>
              <w:t>3</w:t>
            </w:r>
          </w:p>
        </w:tc>
        <w:tc>
          <w:tcPr>
            <w:tcW w:w="96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28DAC">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51320024210200004210</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747E3">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州委统战部</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93405">
            <w:pPr>
              <w:widowControl/>
              <w:snapToGrid w:val="0"/>
              <w:jc w:val="lef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采购耗材</w:t>
            </w:r>
          </w:p>
        </w:tc>
        <w:tc>
          <w:tcPr>
            <w:tcW w:w="6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8244F">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w:t>
            </w:r>
          </w:p>
        </w:tc>
        <w:tc>
          <w:tcPr>
            <w:tcW w:w="8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3BB4B">
            <w:pPr>
              <w:widowControl/>
              <w:snapToGrid w:val="0"/>
              <w:jc w:val="right"/>
              <w:rPr>
                <w:rFonts w:hint="default" w:ascii="Times New Roman" w:hAnsi="Times New Roman" w:eastAsia="宋体" w:cs="Times New Roman"/>
                <w:b w:val="0"/>
                <w:color w:val="000000"/>
                <w:kern w:val="0"/>
                <w:sz w:val="12"/>
                <w:szCs w:val="12"/>
                <w:highlight w:val="none"/>
                <w:lang w:val="en-US" w:eastAsia="zh-CN"/>
              </w:rPr>
            </w:pPr>
            <w:r>
              <w:rPr>
                <w:rFonts w:hint="default" w:ascii="Times New Roman" w:hAnsi="Times New Roman" w:eastAsia="宋体" w:cs="Times New Roman"/>
                <w:b w:val="0"/>
                <w:color w:val="000000"/>
                <w:kern w:val="0"/>
                <w:sz w:val="12"/>
                <w:szCs w:val="12"/>
                <w:highlight w:val="none"/>
                <w:lang w:val="en-US" w:eastAsia="zh-CN"/>
              </w:rPr>
              <w:t>2</w:t>
            </w:r>
          </w:p>
        </w:tc>
        <w:tc>
          <w:tcPr>
            <w:tcW w:w="88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B1CBB">
            <w:pPr>
              <w:widowControl/>
              <w:snapToGrid w:val="0"/>
              <w:jc w:val="left"/>
              <w:rPr>
                <w:rFonts w:hint="default" w:ascii="Times New Roman" w:hAnsi="Times New Roman" w:eastAsia="宋体" w:cs="Times New Roman"/>
                <w:b w:val="0"/>
                <w:color w:val="000000"/>
                <w:kern w:val="0"/>
                <w:sz w:val="12"/>
                <w:szCs w:val="12"/>
                <w:highlight w:val="none"/>
              </w:rPr>
            </w:pPr>
            <w:r>
              <w:rPr>
                <w:rFonts w:hint="default" w:ascii="Times New Roman" w:hAnsi="Times New Roman" w:eastAsia="宋体" w:cs="Times New Roman"/>
                <w:b w:val="0"/>
                <w:color w:val="000000"/>
                <w:kern w:val="0"/>
                <w:sz w:val="12"/>
                <w:szCs w:val="12"/>
                <w:highlight w:val="none"/>
              </w:rPr>
              <w:t>外网已备案采购合同</w:t>
            </w:r>
          </w:p>
        </w:tc>
      </w:tr>
    </w:tbl>
    <w:p w14:paraId="4FF609B9">
      <w:pPr>
        <w:snapToGrid w:val="0"/>
        <w:spacing w:line="560" w:lineRule="exact"/>
        <w:ind w:firstLine="643" w:firstLineChars="200"/>
        <w:rPr>
          <w:rFonts w:hint="default" w:ascii="Times New Roman" w:hAnsi="Times New Roman" w:eastAsia="楷体_GB2312" w:cs="Times New Roman"/>
          <w:b/>
          <w:bCs/>
          <w:sz w:val="32"/>
          <w:szCs w:val="32"/>
          <w:highlight w:val="none"/>
          <w:lang w:val="zh-CN"/>
        </w:rPr>
      </w:pPr>
      <w:r>
        <w:rPr>
          <w:rFonts w:hint="default" w:ascii="Times New Roman" w:hAnsi="Times New Roman" w:eastAsia="楷体_GB2312" w:cs="Times New Roman"/>
          <w:b/>
          <w:bCs/>
          <w:sz w:val="32"/>
          <w:szCs w:val="32"/>
          <w:highlight w:val="none"/>
          <w:lang w:val="zh-CN"/>
        </w:rPr>
        <w:t>（四）绩效结果应用情况</w:t>
      </w:r>
    </w:p>
    <w:p w14:paraId="452FE673">
      <w:pPr>
        <w:snapToGrid w:val="0"/>
        <w:spacing w:line="560" w:lineRule="exact"/>
        <w:ind w:firstLine="616" w:firstLineChars="200"/>
        <w:rPr>
          <w:rFonts w:hint="default" w:ascii="Times New Roman" w:hAnsi="Times New Roman" w:eastAsia="仿宋_GB2312" w:cs="Times New Roman"/>
          <w:b/>
          <w:spacing w:val="-6"/>
          <w:sz w:val="32"/>
          <w:szCs w:val="32"/>
          <w:highlight w:val="none"/>
        </w:rPr>
      </w:pPr>
      <w:r>
        <w:rPr>
          <w:rFonts w:hint="default" w:ascii="Times New Roman" w:hAnsi="Times New Roman" w:eastAsia="仿宋_GB2312" w:cs="Times New Roman"/>
          <w:color w:val="000000"/>
          <w:spacing w:val="-6"/>
          <w:kern w:val="0"/>
          <w:sz w:val="32"/>
          <w:szCs w:val="32"/>
          <w:highlight w:val="none"/>
          <w:shd w:val="clear" w:color="auto" w:fill="FFFFFF"/>
          <w:lang w:val="zh-CN"/>
        </w:rPr>
        <w:t>为进一步提高行政事业单位内部管理水平和风险防范能力，规范内部控制，加强廉政风险防控机制建设，我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在对预算、收支、政府采购、资产、建设项目、合同等各类经济业务活动流程梳理的基础上，明确业务环节，系统分析经济活动风险，确定风险点，选择应对策略，形成了内部控制制度</w:t>
      </w:r>
      <w:r>
        <w:rPr>
          <w:rFonts w:hint="default" w:ascii="Times New Roman" w:hAnsi="Times New Roman" w:eastAsia="仿宋_GB2312" w:cs="Times New Roman"/>
          <w:color w:val="000000"/>
          <w:spacing w:val="-6"/>
          <w:kern w:val="0"/>
          <w:sz w:val="32"/>
          <w:szCs w:val="32"/>
          <w:highlight w:val="none"/>
          <w:shd w:val="clear" w:color="auto" w:fill="FFFFFF"/>
        </w:rPr>
        <w:t>流程手册</w:t>
      </w:r>
      <w:r>
        <w:rPr>
          <w:rFonts w:hint="default" w:ascii="Times New Roman" w:hAnsi="Times New Roman" w:eastAsia="仿宋_GB2312" w:cs="Times New Roman"/>
          <w:color w:val="000000"/>
          <w:spacing w:val="-6"/>
          <w:kern w:val="0"/>
          <w:sz w:val="32"/>
          <w:szCs w:val="32"/>
          <w:highlight w:val="none"/>
          <w:shd w:val="clear" w:color="auto" w:fill="FFFFFF"/>
          <w:lang w:val="zh-CN"/>
        </w:rPr>
        <w:t>，我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严格按照内控制度进行预算绩效管理，并按照相关要求将绩效信息随同</w:t>
      </w:r>
      <w:r>
        <w:rPr>
          <w:rFonts w:hint="default" w:ascii="Times New Roman" w:hAnsi="Times New Roman" w:eastAsia="仿宋_GB2312" w:cs="Times New Roman"/>
          <w:color w:val="000000"/>
          <w:spacing w:val="-6"/>
          <w:kern w:val="0"/>
          <w:sz w:val="32"/>
          <w:szCs w:val="32"/>
          <w:highlight w:val="none"/>
          <w:shd w:val="clear" w:color="auto" w:fill="FFFFFF"/>
        </w:rPr>
        <w:t>预</w:t>
      </w:r>
      <w:r>
        <w:rPr>
          <w:rFonts w:hint="default" w:ascii="Times New Roman" w:hAnsi="Times New Roman" w:eastAsia="仿宋_GB2312" w:cs="Times New Roman"/>
          <w:color w:val="000000"/>
          <w:spacing w:val="-6"/>
          <w:kern w:val="0"/>
          <w:sz w:val="32"/>
          <w:szCs w:val="32"/>
          <w:highlight w:val="none"/>
          <w:shd w:val="clear" w:color="auto" w:fill="FFFFFF"/>
          <w:lang w:val="zh-CN"/>
        </w:rPr>
        <w:t>决算公开。在</w:t>
      </w:r>
      <w:r>
        <w:rPr>
          <w:rFonts w:hint="default" w:ascii="Times New Roman" w:hAnsi="Times New Roman" w:eastAsia="仿宋_GB2312" w:cs="Times New Roman"/>
          <w:color w:val="000000"/>
          <w:spacing w:val="-6"/>
          <w:kern w:val="0"/>
          <w:sz w:val="32"/>
          <w:szCs w:val="32"/>
          <w:highlight w:val="none"/>
          <w:shd w:val="clear" w:color="auto" w:fill="FFFFFF"/>
        </w:rPr>
        <w:t>202</w:t>
      </w:r>
      <w:r>
        <w:rPr>
          <w:rFonts w:hint="default" w:ascii="Times New Roman" w:hAnsi="Times New Roman" w:eastAsia="仿宋_GB2312" w:cs="Times New Roman"/>
          <w:color w:val="000000"/>
          <w:spacing w:val="-6"/>
          <w:kern w:val="0"/>
          <w:sz w:val="32"/>
          <w:szCs w:val="32"/>
          <w:highlight w:val="none"/>
          <w:shd w:val="clear" w:color="auto" w:fill="FFFFFF"/>
          <w:lang w:val="en-US" w:eastAsia="zh-CN"/>
        </w:rPr>
        <w:t>4</w:t>
      </w:r>
      <w:r>
        <w:rPr>
          <w:rFonts w:hint="default" w:ascii="Times New Roman" w:hAnsi="Times New Roman" w:eastAsia="仿宋_GB2312" w:cs="Times New Roman"/>
          <w:color w:val="000000"/>
          <w:spacing w:val="-6"/>
          <w:kern w:val="0"/>
          <w:sz w:val="32"/>
          <w:szCs w:val="32"/>
          <w:highlight w:val="none"/>
          <w:shd w:val="clear" w:color="auto" w:fill="FFFFFF"/>
        </w:rPr>
        <w:t>年度的</w:t>
      </w:r>
      <w:r>
        <w:rPr>
          <w:rFonts w:hint="default" w:ascii="Times New Roman" w:hAnsi="Times New Roman" w:eastAsia="仿宋_GB2312" w:cs="Times New Roman"/>
          <w:color w:val="000000"/>
          <w:spacing w:val="-6"/>
          <w:kern w:val="0"/>
          <w:sz w:val="32"/>
          <w:szCs w:val="32"/>
          <w:highlight w:val="none"/>
          <w:shd w:val="clear" w:color="auto" w:fill="FFFFFF"/>
          <w:lang w:val="zh-CN"/>
        </w:rPr>
        <w:t>绩效管理过程中，未发现我</w:t>
      </w:r>
      <w:r>
        <w:rPr>
          <w:rFonts w:hint="default" w:ascii="Times New Roman" w:hAnsi="Times New Roman" w:eastAsia="仿宋_GB2312" w:cs="Times New Roman"/>
          <w:color w:val="000000"/>
          <w:spacing w:val="-6"/>
          <w:kern w:val="0"/>
          <w:sz w:val="32"/>
          <w:szCs w:val="32"/>
          <w:highlight w:val="none"/>
          <w:shd w:val="clear" w:color="auto" w:fill="FFFFFF"/>
        </w:rPr>
        <w:t>部</w:t>
      </w:r>
      <w:r>
        <w:rPr>
          <w:rFonts w:hint="default" w:ascii="Times New Roman" w:hAnsi="Times New Roman" w:eastAsia="仿宋_GB2312" w:cs="Times New Roman"/>
          <w:color w:val="000000"/>
          <w:spacing w:val="-6"/>
          <w:kern w:val="0"/>
          <w:sz w:val="32"/>
          <w:szCs w:val="32"/>
          <w:highlight w:val="none"/>
          <w:shd w:val="clear" w:color="auto" w:fill="FFFFFF"/>
          <w:lang w:val="zh-CN"/>
        </w:rPr>
        <w:t>存在相关问题。</w:t>
      </w:r>
    </w:p>
    <w:p w14:paraId="04FA79B9">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四、评价结论及建议</w:t>
      </w:r>
    </w:p>
    <w:p w14:paraId="743BB37F">
      <w:pPr>
        <w:snapToGrid w:val="0"/>
        <w:spacing w:line="560" w:lineRule="exact"/>
        <w:ind w:firstLine="643" w:firstLineChars="200"/>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年1-</w:t>
      </w:r>
      <w:r>
        <w:rPr>
          <w:rFonts w:hint="default" w:ascii="Times New Roman" w:hAnsi="Times New Roman" w:eastAsia="仿宋_GB2312" w:cs="Times New Roman"/>
          <w:color w:val="000000"/>
          <w:kern w:val="0"/>
          <w:sz w:val="32"/>
          <w:szCs w:val="32"/>
          <w:highlight w:val="none"/>
          <w:shd w:val="clear" w:color="auto" w:fill="FFFFFF"/>
        </w:rPr>
        <w:t>12</w:t>
      </w:r>
      <w:r>
        <w:rPr>
          <w:rFonts w:hint="default" w:ascii="Times New Roman" w:hAnsi="Times New Roman" w:eastAsia="仿宋_GB2312" w:cs="Times New Roman"/>
          <w:color w:val="000000"/>
          <w:kern w:val="0"/>
          <w:sz w:val="32"/>
          <w:szCs w:val="32"/>
          <w:highlight w:val="none"/>
          <w:shd w:val="clear" w:color="auto" w:fill="FFFFFF"/>
          <w:lang w:val="zh-CN"/>
        </w:rPr>
        <w:t>月，州委统战部力争做到每笔经费严格按经济活动事由支出，按财经制度要求积极调剂使用内部经费，杜绝资金沉淀和低效使用，在保障工作运转的同时节约高效使用每笔经费。</w:t>
      </w:r>
      <w:r>
        <w:rPr>
          <w:rFonts w:hint="default" w:ascii="Times New Roman" w:hAnsi="Times New Roman" w:eastAsia="仿宋_GB2312" w:cs="Times New Roman"/>
          <w:kern w:val="0"/>
          <w:sz w:val="32"/>
          <w:szCs w:val="32"/>
          <w:highlight w:val="none"/>
        </w:rPr>
        <w:t>以高度的政治责任和思想认识推进各项工作开展，切实履行了部门职责，部门预算管理、财务管理、资产管理和采购管理等规范有序，较好地完成了各项年度任务，部门预算支出使用效益达到预期，根据部门预算绩效评价指标体系，202</w:t>
      </w:r>
      <w:r>
        <w:rPr>
          <w:rFonts w:hint="default"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rPr>
        <w:t>年我部门预算绩效评价综合得分</w:t>
      </w:r>
      <w:r>
        <w:rPr>
          <w:rFonts w:hint="eastAsia" w:ascii="Times New Roman" w:hAnsi="Times New Roman" w:eastAsia="仿宋_GB2312" w:cs="Times New Roman"/>
          <w:kern w:val="0"/>
          <w:sz w:val="32"/>
          <w:szCs w:val="32"/>
          <w:highlight w:val="none"/>
          <w:lang w:val="en-US" w:eastAsia="zh-CN"/>
        </w:rPr>
        <w:t>89.33</w:t>
      </w:r>
      <w:r>
        <w:rPr>
          <w:rFonts w:hint="default" w:ascii="Times New Roman" w:hAnsi="Times New Roman" w:eastAsia="仿宋_GB2312" w:cs="Times New Roman"/>
          <w:kern w:val="0"/>
          <w:sz w:val="32"/>
          <w:szCs w:val="32"/>
          <w:highlight w:val="none"/>
        </w:rPr>
        <w:t>分。</w:t>
      </w:r>
    </w:p>
    <w:p w14:paraId="600671EE">
      <w:pPr>
        <w:widowControl/>
        <w:adjustRightInd w:val="0"/>
        <w:snapToGrid w:val="0"/>
        <w:spacing w:line="560" w:lineRule="exact"/>
        <w:ind w:firstLine="643" w:firstLineChars="200"/>
        <w:contextualSpacing/>
        <w:rPr>
          <w:rFonts w:hint="default" w:ascii="Times New Roman" w:hAnsi="Times New Roman" w:eastAsia="仿宋_GB2312" w:cs="Times New Roman"/>
          <w:color w:val="000000"/>
          <w:kern w:val="0"/>
          <w:sz w:val="32"/>
          <w:szCs w:val="32"/>
          <w:highlight w:val="none"/>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default" w:ascii="Times New Roman" w:hAnsi="Times New Roman" w:eastAsia="仿宋_GB2312" w:cs="Times New Roman"/>
          <w:b/>
          <w:bCs/>
          <w:color w:val="000000"/>
          <w:kern w:val="0"/>
          <w:sz w:val="32"/>
          <w:szCs w:val="32"/>
          <w:highlight w:val="none"/>
          <w:shd w:val="clear" w:color="auto" w:fill="FFFFFF"/>
        </w:rPr>
        <w:t>一是</w:t>
      </w:r>
      <w:r>
        <w:rPr>
          <w:rFonts w:hint="default" w:ascii="Times New Roman" w:hAnsi="Times New Roman" w:eastAsia="仿宋_GB2312" w:cs="Times New Roman"/>
          <w:kern w:val="0"/>
          <w:sz w:val="32"/>
          <w:szCs w:val="32"/>
          <w:highlight w:val="none"/>
        </w:rPr>
        <w:t>部门预算编制整体科学合理、符合实际，但仍存在年初编制资产配置预算和政府采购预算与实际执行不符合的问题，预算编制长远性谋划不足，对部门预算执行进度考核和部门整体绩效评价有一定影响。</w:t>
      </w:r>
      <w:r>
        <w:rPr>
          <w:rFonts w:hint="default" w:ascii="Times New Roman" w:hAnsi="Times New Roman" w:eastAsia="仿宋_GB2312" w:cs="Times New Roman"/>
          <w:b/>
          <w:bCs/>
          <w:color w:val="000000"/>
          <w:kern w:val="0"/>
          <w:sz w:val="32"/>
          <w:szCs w:val="32"/>
          <w:highlight w:val="none"/>
        </w:rPr>
        <w:t>二是</w:t>
      </w:r>
      <w:r>
        <w:rPr>
          <w:rFonts w:hint="default" w:ascii="Times New Roman" w:hAnsi="Times New Roman" w:eastAsia="仿宋_GB2312" w:cs="Times New Roman"/>
          <w:color w:val="000000"/>
          <w:kern w:val="0"/>
          <w:sz w:val="32"/>
          <w:szCs w:val="32"/>
          <w:highlight w:val="none"/>
        </w:rPr>
        <w:t>单位内控制度的执行有一定偏差，有待进一步提高，尚需在执行过程中不断补充、修订、完善。</w:t>
      </w:r>
    </w:p>
    <w:p w14:paraId="515F7131">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（三）改进建议。</w:t>
      </w:r>
    </w:p>
    <w:p w14:paraId="30F03E3D">
      <w:pPr>
        <w:widowControl/>
        <w:adjustRightInd w:val="0"/>
        <w:snapToGrid w:val="0"/>
        <w:spacing w:line="560" w:lineRule="exact"/>
        <w:ind w:firstLine="643" w:firstLineChars="200"/>
        <w:contextualSpacing/>
        <w:jc w:val="left"/>
        <w:rPr>
          <w:rFonts w:hint="default" w:ascii="Times New Roman" w:hAnsi="Times New Roman" w:eastAsia="仿宋_GB2312" w:cs="Times New Roman"/>
          <w:sz w:val="32"/>
          <w:highlight w:val="none"/>
        </w:rPr>
      </w:pPr>
      <w:r>
        <w:rPr>
          <w:rFonts w:hint="default" w:ascii="Times New Roman" w:hAnsi="Times New Roman" w:eastAsia="仿宋_GB2312" w:cs="Times New Roman"/>
          <w:b/>
          <w:bCs/>
          <w:sz w:val="32"/>
          <w:highlight w:val="none"/>
        </w:rPr>
        <w:t>1.合理进行预算测算，提高预算编制准确性</w:t>
      </w:r>
    </w:p>
    <w:p w14:paraId="7BFD4BF0">
      <w:pPr>
        <w:widowControl/>
        <w:adjustRightInd w:val="0"/>
        <w:snapToGrid w:val="0"/>
        <w:spacing w:line="560" w:lineRule="exact"/>
        <w:ind w:firstLine="596" w:firstLineChars="200"/>
        <w:contextualSpacing/>
        <w:jc w:val="left"/>
        <w:rPr>
          <w:rFonts w:hint="default" w:ascii="Times New Roman" w:hAnsi="Times New Roman" w:eastAsia="仿宋_GB2312" w:cs="Times New Roman"/>
          <w:spacing w:val="-11"/>
          <w:sz w:val="32"/>
          <w:highlight w:val="none"/>
        </w:rPr>
      </w:pPr>
      <w:r>
        <w:rPr>
          <w:rFonts w:hint="default" w:ascii="Times New Roman" w:hAnsi="Times New Roman" w:eastAsia="仿宋_GB2312" w:cs="Times New Roman"/>
          <w:spacing w:val="-11"/>
          <w:sz w:val="32"/>
          <w:highlight w:val="none"/>
        </w:rPr>
        <w:t>加强研究分析，夯实预算编制工作的基础，在编制部门预算时，深入调研和分析各部门的实际需求，根据事业发展规划、年度工作计划和履职需要，科学合理地预测未来一年的资产配置需求、政府采购规模和方向，并充分考虑市场变化、政策调整等因素对计划的影响，增强预算的计划性、前瞻性，提高预算编制的科学性、准确性。</w:t>
      </w:r>
    </w:p>
    <w:p w14:paraId="0331C157">
      <w:pPr>
        <w:widowControl/>
        <w:adjustRightInd w:val="0"/>
        <w:snapToGrid w:val="0"/>
        <w:spacing w:line="560" w:lineRule="exact"/>
        <w:ind w:firstLine="643" w:firstLineChars="200"/>
        <w:contextualSpacing/>
        <w:jc w:val="left"/>
        <w:rPr>
          <w:rFonts w:hint="default" w:ascii="Times New Roman" w:hAnsi="Times New Roman" w:eastAsia="仿宋_GB2312" w:cs="Times New Roman"/>
          <w:b/>
          <w:bCs/>
          <w:sz w:val="32"/>
          <w:highlight w:val="none"/>
        </w:rPr>
      </w:pPr>
      <w:r>
        <w:rPr>
          <w:rFonts w:hint="default" w:ascii="Times New Roman" w:hAnsi="Times New Roman" w:eastAsia="仿宋_GB2312" w:cs="Times New Roman"/>
          <w:b/>
          <w:bCs/>
          <w:sz w:val="32"/>
          <w:highlight w:val="none"/>
        </w:rPr>
        <w:t>2.厉行勤俭节约，压减一般性支出</w:t>
      </w:r>
    </w:p>
    <w:p w14:paraId="12ABF7D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u w:val="none"/>
          <w:lang w:val="en-US" w:eastAsia="zh-CN" w:bidi="ar"/>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r>
        <w:rPr>
          <w:rFonts w:hint="default" w:ascii="Times New Roman" w:hAnsi="Times New Roman" w:eastAsia="仿宋_GB2312" w:cs="Times New Roman"/>
          <w:sz w:val="32"/>
          <w:highlight w:val="none"/>
        </w:rPr>
        <w:t>牢固树立过紧日子思想，坚持严预算、提绩效，压缩非急需非刚性支出，严格控制“三公”经费支出，重点保障民生、工资、运转等重点领域支出，进一步提高资金配置效率，全面提高财政资金使用效益</w:t>
      </w:r>
      <w:r>
        <w:rPr>
          <w:rFonts w:hint="eastAsia" w:ascii="Times New Roman" w:hAnsi="Times New Roman" w:eastAsia="仿宋_GB2312" w:cs="Times New Roman"/>
          <w:sz w:val="32"/>
          <w:szCs w:val="32"/>
          <w:highlight w:val="none"/>
          <w:u w:val="none"/>
          <w:lang w:val="en-US" w:eastAsia="zh-CN" w:bidi="ar"/>
        </w:rPr>
        <w:t>。</w:t>
      </w:r>
    </w:p>
    <w:bookmarkEnd w:id="69"/>
    <w:p w14:paraId="281143F3">
      <w:pPr>
        <w:pStyle w:val="10"/>
        <w:keepNext w:val="0"/>
        <w:keepLines w:val="0"/>
        <w:pageBreakBefore w:val="0"/>
        <w:numPr>
          <w:ilvl w:val="0"/>
          <w:numId w:val="0"/>
        </w:numPr>
        <w:kinsoku/>
        <w:wordWrap/>
        <w:overflowPunct/>
        <w:topLinePunct w:val="0"/>
        <w:autoSpaceDE/>
        <w:autoSpaceDN/>
        <w:bidi w:val="0"/>
        <w:spacing w:line="560" w:lineRule="exact"/>
        <w:jc w:val="center"/>
        <w:textAlignment w:val="auto"/>
        <w:rPr>
          <w:rFonts w:hint="eastAsia" w:ascii="Times New Roman" w:hAnsi="Times New Roman" w:cs="Times New Roman"/>
          <w:sz w:val="32"/>
          <w:szCs w:val="32"/>
          <w:highlight w:val="none"/>
          <w:lang w:val="zh-CN" w:eastAsia="zh-CN"/>
        </w:rPr>
      </w:pPr>
      <w:r>
        <w:rPr>
          <w:rFonts w:hint="eastAsia" w:ascii="Times New Roman" w:hAnsi="Times New Roman" w:eastAsia="仿宋_GB2312" w:cs="Times New Roman"/>
          <w:kern w:val="2"/>
          <w:sz w:val="32"/>
          <w:szCs w:val="32"/>
          <w:highlight w:val="none"/>
          <w:u w:val="none"/>
          <w:lang w:val="zh-CN" w:eastAsia="zh-CN" w:bidi="ar"/>
        </w:rPr>
        <w:t>附表：</w:t>
      </w:r>
      <w:r>
        <w:rPr>
          <w:rFonts w:hint="eastAsia" w:ascii="Times New Roman" w:hAnsi="Times New Roman" w:eastAsia="仿宋_GB2312" w:cs="Times New Roman"/>
          <w:kern w:val="2"/>
          <w:sz w:val="32"/>
          <w:szCs w:val="32"/>
          <w:highlight w:val="none"/>
          <w:u w:val="none"/>
          <w:lang w:val="en-US" w:eastAsia="zh-CN" w:bidi="ar"/>
        </w:rPr>
        <w:t>部门预算项目支出绩效自评表（2024年度）</w:t>
      </w:r>
    </w:p>
    <w:p w14:paraId="1299CAEC">
      <w:pPr>
        <w:pStyle w:val="10"/>
        <w:keepNext w:val="0"/>
        <w:keepLines w:val="0"/>
        <w:pageBreakBefore w:val="0"/>
        <w:numPr>
          <w:ilvl w:val="0"/>
          <w:numId w:val="0"/>
        </w:numPr>
        <w:kinsoku/>
        <w:wordWrap/>
        <w:overflowPunct/>
        <w:topLinePunct w:val="0"/>
        <w:autoSpaceDE/>
        <w:autoSpaceDN/>
        <w:bidi w:val="0"/>
        <w:spacing w:line="560" w:lineRule="exact"/>
        <w:jc w:val="center"/>
        <w:textAlignment w:val="auto"/>
        <w:rPr>
          <w:rFonts w:hint="eastAsia" w:ascii="Times New Roman" w:hAnsi="Times New Roman" w:cs="Times New Roman"/>
          <w:sz w:val="32"/>
          <w:szCs w:val="32"/>
          <w:highlight w:val="none"/>
          <w:lang w:val="zh-CN" w:eastAsia="zh-CN"/>
        </w:rPr>
        <w:sectPr>
          <w:pgSz w:w="16838" w:h="11906" w:orient="landscape"/>
          <w:pgMar w:top="1800" w:right="1440" w:bottom="1800" w:left="1440" w:header="851" w:footer="992" w:gutter="0"/>
          <w:pgNumType w:fmt="decimal"/>
          <w:cols w:space="425" w:num="1"/>
          <w:titlePg/>
          <w:docGrid w:type="lines" w:linePitch="312" w:charSpace="0"/>
        </w:sectPr>
      </w:pPr>
      <w:r>
        <w:rPr>
          <w:rFonts w:hint="eastAsia" w:eastAsia="仿宋_GB2312" w:cs="Times New Roman"/>
          <w:color w:val="000000"/>
          <w:kern w:val="0"/>
          <w:sz w:val="32"/>
          <w:szCs w:val="32"/>
          <w:highlight w:val="none"/>
          <w:shd w:val="clear" w:color="auto" w:fill="FFFFFF"/>
          <w:lang w:val="en-US" w:eastAsia="zh-CN"/>
        </w:rPr>
        <w:t>涉密</w:t>
      </w:r>
    </w:p>
    <w:p w14:paraId="72F6FFC3">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511EC3B7">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C163041">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我单位不涉及专项预算项目绩效评价</w:t>
      </w:r>
    </w:p>
    <w:p w14:paraId="7EB4328C">
      <w:pPr>
        <w:widowControl/>
        <w:jc w:val="center"/>
        <w:outlineLvl w:val="0"/>
        <w:rPr>
          <w:rFonts w:hint="eastAsia" w:ascii="Times New Roman" w:hAnsi="Times New Roman" w:eastAsia="黑体"/>
          <w:color w:val="auto"/>
          <w:sz w:val="44"/>
          <w:szCs w:val="44"/>
          <w:highlight w:val="none"/>
        </w:rPr>
      </w:pPr>
      <w:bookmarkStart w:id="70" w:name="_Toc15396618"/>
      <w:bookmarkStart w:id="71" w:name="_Toc18328"/>
    </w:p>
    <w:p w14:paraId="03634C59">
      <w:pPr>
        <w:widowControl/>
        <w:jc w:val="center"/>
        <w:outlineLvl w:val="0"/>
        <w:rPr>
          <w:rFonts w:hint="eastAsia" w:ascii="Times New Roman" w:hAnsi="Times New Roman" w:eastAsia="黑体"/>
          <w:color w:val="auto"/>
          <w:sz w:val="44"/>
          <w:szCs w:val="44"/>
          <w:highlight w:val="none"/>
        </w:rPr>
      </w:pPr>
    </w:p>
    <w:p w14:paraId="240034AA">
      <w:pPr>
        <w:widowControl/>
        <w:jc w:val="center"/>
        <w:outlineLvl w:val="0"/>
        <w:rPr>
          <w:rFonts w:hint="eastAsia" w:ascii="Times New Roman" w:hAnsi="Times New Roman" w:eastAsia="黑体"/>
          <w:color w:val="auto"/>
          <w:sz w:val="44"/>
          <w:szCs w:val="44"/>
          <w:highlight w:val="none"/>
        </w:rPr>
      </w:pPr>
    </w:p>
    <w:p w14:paraId="483B2C17">
      <w:pPr>
        <w:widowControl/>
        <w:jc w:val="center"/>
        <w:outlineLvl w:val="0"/>
        <w:rPr>
          <w:rFonts w:hint="eastAsia" w:ascii="Times New Roman" w:hAnsi="Times New Roman" w:eastAsia="黑体"/>
          <w:color w:val="auto"/>
          <w:sz w:val="44"/>
          <w:szCs w:val="44"/>
          <w:highlight w:val="none"/>
        </w:rPr>
      </w:pPr>
    </w:p>
    <w:p w14:paraId="685792FE">
      <w:pPr>
        <w:widowControl/>
        <w:jc w:val="center"/>
        <w:outlineLvl w:val="0"/>
        <w:rPr>
          <w:rFonts w:hint="eastAsia" w:ascii="Times New Roman" w:hAnsi="Times New Roman" w:eastAsia="黑体"/>
          <w:color w:val="auto"/>
          <w:sz w:val="44"/>
          <w:szCs w:val="44"/>
          <w:highlight w:val="none"/>
        </w:rPr>
      </w:pPr>
    </w:p>
    <w:p w14:paraId="5C0F76F2">
      <w:pPr>
        <w:widowControl/>
        <w:jc w:val="center"/>
        <w:outlineLvl w:val="0"/>
        <w:rPr>
          <w:rFonts w:hint="eastAsia" w:ascii="Times New Roman" w:hAnsi="Times New Roman" w:eastAsia="黑体"/>
          <w:color w:val="auto"/>
          <w:sz w:val="44"/>
          <w:szCs w:val="44"/>
          <w:highlight w:val="none"/>
        </w:rPr>
      </w:pPr>
    </w:p>
    <w:p w14:paraId="65E39FBD">
      <w:pPr>
        <w:widowControl/>
        <w:jc w:val="center"/>
        <w:outlineLvl w:val="0"/>
        <w:rPr>
          <w:rFonts w:hint="eastAsia" w:ascii="Times New Roman" w:hAnsi="Times New Roman" w:eastAsia="黑体"/>
          <w:color w:val="auto"/>
          <w:sz w:val="44"/>
          <w:szCs w:val="44"/>
          <w:highlight w:val="none"/>
        </w:rPr>
      </w:pPr>
    </w:p>
    <w:p w14:paraId="713A564F">
      <w:pPr>
        <w:widowControl/>
        <w:jc w:val="center"/>
        <w:outlineLvl w:val="0"/>
        <w:rPr>
          <w:rFonts w:hint="eastAsia" w:ascii="Times New Roman" w:hAnsi="Times New Roman" w:eastAsia="黑体"/>
          <w:color w:val="auto"/>
          <w:sz w:val="44"/>
          <w:szCs w:val="44"/>
          <w:highlight w:val="none"/>
        </w:rPr>
      </w:pPr>
    </w:p>
    <w:p w14:paraId="3DDF7E16">
      <w:pPr>
        <w:widowControl/>
        <w:jc w:val="center"/>
        <w:outlineLvl w:val="0"/>
        <w:rPr>
          <w:rFonts w:hint="eastAsia" w:ascii="Times New Roman" w:hAnsi="Times New Roman" w:eastAsia="黑体"/>
          <w:color w:val="auto"/>
          <w:sz w:val="44"/>
          <w:szCs w:val="44"/>
          <w:highlight w:val="none"/>
        </w:rPr>
      </w:pPr>
    </w:p>
    <w:p w14:paraId="78F3507A">
      <w:pPr>
        <w:widowControl/>
        <w:jc w:val="center"/>
        <w:outlineLvl w:val="0"/>
        <w:rPr>
          <w:rFonts w:hint="eastAsia" w:ascii="Times New Roman" w:hAnsi="Times New Roman" w:eastAsia="黑体"/>
          <w:color w:val="auto"/>
          <w:sz w:val="44"/>
          <w:szCs w:val="44"/>
          <w:highlight w:val="none"/>
        </w:rPr>
      </w:pPr>
    </w:p>
    <w:p w14:paraId="72625EDB">
      <w:pPr>
        <w:widowControl/>
        <w:jc w:val="center"/>
        <w:outlineLvl w:val="0"/>
        <w:rPr>
          <w:rFonts w:hint="eastAsia" w:ascii="Times New Roman" w:hAnsi="Times New Roman" w:eastAsia="黑体"/>
          <w:color w:val="auto"/>
          <w:sz w:val="44"/>
          <w:szCs w:val="44"/>
          <w:highlight w:val="none"/>
        </w:rPr>
      </w:pPr>
    </w:p>
    <w:p w14:paraId="55B1ECE0">
      <w:pPr>
        <w:widowControl/>
        <w:jc w:val="center"/>
        <w:outlineLvl w:val="0"/>
        <w:rPr>
          <w:rFonts w:hint="eastAsia" w:ascii="Times New Roman" w:hAnsi="Times New Roman" w:eastAsia="黑体"/>
          <w:color w:val="auto"/>
          <w:sz w:val="44"/>
          <w:szCs w:val="44"/>
          <w:highlight w:val="none"/>
        </w:rPr>
      </w:pPr>
    </w:p>
    <w:p w14:paraId="206FDC25">
      <w:pPr>
        <w:widowControl/>
        <w:jc w:val="center"/>
        <w:outlineLvl w:val="0"/>
        <w:rPr>
          <w:rFonts w:hint="eastAsia" w:ascii="Times New Roman" w:hAnsi="Times New Roman" w:eastAsia="黑体"/>
          <w:color w:val="auto"/>
          <w:sz w:val="44"/>
          <w:szCs w:val="44"/>
          <w:highlight w:val="none"/>
        </w:rPr>
      </w:pPr>
    </w:p>
    <w:p w14:paraId="78656531">
      <w:pPr>
        <w:widowControl/>
        <w:jc w:val="center"/>
        <w:outlineLvl w:val="0"/>
        <w:rPr>
          <w:rFonts w:hint="eastAsia" w:ascii="Times New Roman" w:hAnsi="Times New Roman" w:eastAsia="黑体"/>
          <w:color w:val="auto"/>
          <w:sz w:val="44"/>
          <w:szCs w:val="44"/>
          <w:highlight w:val="none"/>
        </w:rPr>
      </w:pPr>
    </w:p>
    <w:p w14:paraId="1C018483">
      <w:pPr>
        <w:widowControl/>
        <w:jc w:val="center"/>
        <w:outlineLvl w:val="0"/>
        <w:rPr>
          <w:rFonts w:hint="eastAsia" w:ascii="Times New Roman" w:hAnsi="Times New Roman" w:eastAsia="黑体"/>
          <w:color w:val="auto"/>
          <w:sz w:val="44"/>
          <w:szCs w:val="44"/>
          <w:highlight w:val="none"/>
        </w:rPr>
      </w:pPr>
    </w:p>
    <w:p w14:paraId="260181F7">
      <w:pPr>
        <w:widowControl/>
        <w:jc w:val="center"/>
        <w:outlineLvl w:val="0"/>
        <w:rPr>
          <w:rFonts w:hint="eastAsia" w:ascii="Times New Roman" w:hAnsi="Times New Roman" w:eastAsia="黑体"/>
          <w:color w:val="auto"/>
          <w:sz w:val="44"/>
          <w:szCs w:val="44"/>
          <w:highlight w:val="none"/>
        </w:rPr>
      </w:pPr>
    </w:p>
    <w:p w14:paraId="54133B7E">
      <w:pPr>
        <w:widowControl/>
        <w:jc w:val="center"/>
        <w:outlineLvl w:val="0"/>
        <w:rPr>
          <w:rFonts w:hint="eastAsia" w:ascii="Times New Roman" w:hAnsi="Times New Roman" w:eastAsia="黑体"/>
          <w:color w:val="auto"/>
          <w:sz w:val="44"/>
          <w:szCs w:val="44"/>
          <w:highlight w:val="none"/>
        </w:rPr>
      </w:pPr>
    </w:p>
    <w:p w14:paraId="23170419">
      <w:pPr>
        <w:widowControl/>
        <w:jc w:val="center"/>
        <w:outlineLvl w:val="0"/>
        <w:rPr>
          <w:rFonts w:hint="eastAsia" w:ascii="Times New Roman" w:hAnsi="Times New Roman" w:eastAsia="黑体"/>
          <w:color w:val="auto"/>
          <w:sz w:val="44"/>
          <w:szCs w:val="44"/>
          <w:highlight w:val="none"/>
        </w:rPr>
      </w:pPr>
    </w:p>
    <w:p w14:paraId="123BFC57">
      <w:pPr>
        <w:widowControl/>
        <w:jc w:val="center"/>
        <w:outlineLvl w:val="0"/>
        <w:rPr>
          <w:rFonts w:hint="eastAsia" w:ascii="Times New Roman" w:hAnsi="Times New Roman" w:eastAsia="黑体"/>
          <w:color w:val="auto"/>
          <w:sz w:val="44"/>
          <w:szCs w:val="44"/>
          <w:highlight w:val="none"/>
        </w:rPr>
      </w:pPr>
    </w:p>
    <w:p w14:paraId="144B5A96">
      <w:pPr>
        <w:widowControl/>
        <w:jc w:val="center"/>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 xml:space="preserve">五部分 </w:t>
      </w:r>
      <w:r>
        <w:rPr>
          <w:rStyle w:val="31"/>
          <w:rFonts w:hint="eastAsia" w:eastAsia="黑体"/>
          <w:b w:val="0"/>
          <w:color w:val="auto"/>
          <w:highlight w:val="none"/>
          <w:lang w:val="en-US" w:eastAsia="zh-CN"/>
        </w:rPr>
        <w:t xml:space="preserve"> </w:t>
      </w:r>
      <w:r>
        <w:rPr>
          <w:rStyle w:val="31"/>
          <w:rFonts w:hint="eastAsia" w:ascii="Times New Roman" w:hAnsi="Times New Roman" w:eastAsia="黑体"/>
          <w:b w:val="0"/>
          <w:color w:val="auto"/>
          <w:highlight w:val="none"/>
        </w:rPr>
        <w:t>附表</w:t>
      </w:r>
      <w:bookmarkEnd w:id="66"/>
      <w:bookmarkEnd w:id="70"/>
      <w:bookmarkEnd w:id="71"/>
      <w:bookmarkStart w:id="72" w:name="_Toc15396619"/>
    </w:p>
    <w:p w14:paraId="5B76F92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3" w:name="_Toc3436"/>
      <w:r>
        <w:rPr>
          <w:rFonts w:hint="eastAsia" w:ascii="Times New Roman" w:hAnsi="Times New Roman" w:eastAsia="仿宋_GB2312" w:cs="仿宋_GB2312"/>
          <w:color w:val="auto"/>
          <w:sz w:val="32"/>
          <w:szCs w:val="32"/>
          <w:highlight w:val="none"/>
        </w:rPr>
        <w:t>一、收入支出决算总表</w:t>
      </w:r>
      <w:bookmarkEnd w:id="72"/>
      <w:bookmarkEnd w:id="73"/>
    </w:p>
    <w:p w14:paraId="585E52D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4" w:name="_Toc15396620"/>
      <w:bookmarkStart w:id="75" w:name="_Toc10614"/>
      <w:r>
        <w:rPr>
          <w:rFonts w:hint="eastAsia" w:ascii="Times New Roman" w:hAnsi="Times New Roman" w:eastAsia="仿宋_GB2312" w:cs="仿宋_GB2312"/>
          <w:color w:val="auto"/>
          <w:sz w:val="32"/>
          <w:szCs w:val="32"/>
          <w:highlight w:val="none"/>
        </w:rPr>
        <w:t>二、收入决算表</w:t>
      </w:r>
      <w:bookmarkEnd w:id="74"/>
      <w:bookmarkEnd w:id="75"/>
    </w:p>
    <w:p w14:paraId="61C5EB4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6" w:name="_Toc14774"/>
      <w:bookmarkStart w:id="77" w:name="_Toc15396621"/>
      <w:r>
        <w:rPr>
          <w:rFonts w:hint="eastAsia" w:ascii="Times New Roman" w:hAnsi="Times New Roman" w:eastAsia="仿宋_GB2312" w:cs="仿宋_GB2312"/>
          <w:color w:val="auto"/>
          <w:sz w:val="32"/>
          <w:szCs w:val="32"/>
          <w:highlight w:val="none"/>
        </w:rPr>
        <w:t>三、支出决算表</w:t>
      </w:r>
      <w:bookmarkEnd w:id="76"/>
      <w:bookmarkEnd w:id="77"/>
    </w:p>
    <w:p w14:paraId="2B40FB6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8" w:name="_Toc15396622"/>
      <w:bookmarkStart w:id="79" w:name="_Toc5392"/>
      <w:r>
        <w:rPr>
          <w:rFonts w:hint="eastAsia" w:ascii="Times New Roman" w:hAnsi="Times New Roman" w:eastAsia="仿宋_GB2312" w:cs="仿宋_GB2312"/>
          <w:color w:val="auto"/>
          <w:sz w:val="32"/>
          <w:szCs w:val="32"/>
          <w:highlight w:val="none"/>
        </w:rPr>
        <w:t>四、财政拨款收入支出决算总表</w:t>
      </w:r>
      <w:bookmarkEnd w:id="78"/>
      <w:bookmarkEnd w:id="79"/>
    </w:p>
    <w:p w14:paraId="0221BCA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0" w:name="_Toc15396623"/>
      <w:bookmarkStart w:id="81" w:name="_Toc29475"/>
      <w:r>
        <w:rPr>
          <w:rFonts w:hint="eastAsia" w:ascii="Times New Roman" w:hAnsi="Times New Roman" w:eastAsia="仿宋_GB2312" w:cs="仿宋_GB2312"/>
          <w:color w:val="auto"/>
          <w:sz w:val="32"/>
          <w:szCs w:val="32"/>
          <w:highlight w:val="none"/>
        </w:rPr>
        <w:t>五、财政拨款支出决算明细表</w:t>
      </w:r>
      <w:bookmarkEnd w:id="80"/>
      <w:bookmarkEnd w:id="81"/>
      <w:bookmarkStart w:id="82" w:name="_Toc15396624"/>
    </w:p>
    <w:p w14:paraId="53FD6F55">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3" w:name="_Toc2870"/>
      <w:r>
        <w:rPr>
          <w:rFonts w:hint="eastAsia" w:ascii="Times New Roman" w:hAnsi="Times New Roman" w:eastAsia="仿宋_GB2312" w:cs="仿宋_GB2312"/>
          <w:color w:val="auto"/>
          <w:sz w:val="32"/>
          <w:szCs w:val="32"/>
          <w:highlight w:val="none"/>
        </w:rPr>
        <w:t>六、一般公共预算财政拨款支出决算表</w:t>
      </w:r>
      <w:bookmarkEnd w:id="82"/>
      <w:bookmarkEnd w:id="83"/>
    </w:p>
    <w:p w14:paraId="2B8EE2E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4" w:name="_Toc15396625"/>
      <w:bookmarkStart w:id="85" w:name="_Toc25605"/>
      <w:r>
        <w:rPr>
          <w:rFonts w:hint="eastAsia" w:ascii="Times New Roman" w:hAnsi="Times New Roman" w:eastAsia="仿宋_GB2312" w:cs="仿宋_GB2312"/>
          <w:color w:val="auto"/>
          <w:sz w:val="32"/>
          <w:szCs w:val="32"/>
          <w:highlight w:val="none"/>
        </w:rPr>
        <w:t>七、一般公共预算财政拨款支出决算明细表</w:t>
      </w:r>
      <w:bookmarkEnd w:id="84"/>
      <w:bookmarkEnd w:id="85"/>
    </w:p>
    <w:p w14:paraId="7A3EDB4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6" w:name="_Toc3760"/>
      <w:bookmarkStart w:id="87" w:name="_Toc15396626"/>
      <w:r>
        <w:rPr>
          <w:rFonts w:hint="eastAsia" w:ascii="Times New Roman" w:hAnsi="Times New Roman" w:eastAsia="仿宋_GB2312" w:cs="仿宋_GB2312"/>
          <w:color w:val="auto"/>
          <w:sz w:val="32"/>
          <w:szCs w:val="32"/>
          <w:highlight w:val="none"/>
        </w:rPr>
        <w:t>八、一般公共预算财政拨款基本支出决算表</w:t>
      </w:r>
      <w:bookmarkEnd w:id="86"/>
      <w:bookmarkEnd w:id="87"/>
    </w:p>
    <w:p w14:paraId="71633B3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8" w:name="_Toc26330"/>
      <w:bookmarkStart w:id="89" w:name="_Toc15396627"/>
      <w:r>
        <w:rPr>
          <w:rFonts w:hint="eastAsia" w:ascii="Times New Roman" w:hAnsi="Times New Roman" w:eastAsia="仿宋_GB2312" w:cs="仿宋_GB2312"/>
          <w:color w:val="auto"/>
          <w:sz w:val="32"/>
          <w:szCs w:val="32"/>
          <w:highlight w:val="none"/>
        </w:rPr>
        <w:t>九、一般公共预算财政拨款项目支出决算表</w:t>
      </w:r>
      <w:bookmarkEnd w:id="88"/>
      <w:bookmarkEnd w:id="89"/>
    </w:p>
    <w:p w14:paraId="5C8191B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0" w:name="_Toc15396628"/>
      <w:bookmarkStart w:id="91" w:name="_Toc12171"/>
      <w:r>
        <w:rPr>
          <w:rFonts w:hint="eastAsia" w:ascii="Times New Roman" w:hAnsi="Times New Roman" w:eastAsia="仿宋_GB2312" w:cs="仿宋_GB2312"/>
          <w:color w:val="auto"/>
          <w:sz w:val="32"/>
          <w:szCs w:val="32"/>
          <w:highlight w:val="none"/>
        </w:rPr>
        <w:t>十、</w:t>
      </w:r>
      <w:bookmarkEnd w:id="90"/>
      <w:r>
        <w:rPr>
          <w:rFonts w:hint="eastAsia" w:ascii="Times New Roman" w:hAnsi="Times New Roman" w:eastAsia="仿宋_GB2312" w:cs="仿宋_GB2312"/>
          <w:color w:val="auto"/>
          <w:sz w:val="32"/>
          <w:szCs w:val="32"/>
          <w:highlight w:val="none"/>
        </w:rPr>
        <w:t>政府性基金预算财政拨款收入支出决算表</w:t>
      </w:r>
      <w:bookmarkEnd w:id="91"/>
    </w:p>
    <w:p w14:paraId="2554C6A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2" w:name="_Toc15396629"/>
      <w:bookmarkStart w:id="93" w:name="_Toc5335"/>
      <w:r>
        <w:rPr>
          <w:rFonts w:hint="eastAsia" w:ascii="Times New Roman" w:hAnsi="Times New Roman" w:eastAsia="仿宋_GB2312" w:cs="仿宋_GB2312"/>
          <w:color w:val="auto"/>
          <w:sz w:val="32"/>
          <w:szCs w:val="32"/>
          <w:highlight w:val="none"/>
        </w:rPr>
        <w:t>十一、</w:t>
      </w:r>
      <w:bookmarkEnd w:id="9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93"/>
    </w:p>
    <w:p w14:paraId="54F8AF3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4" w:name="_Toc15396630"/>
      <w:bookmarkStart w:id="95" w:name="_Toc19972"/>
      <w:r>
        <w:rPr>
          <w:rFonts w:hint="eastAsia" w:ascii="Times New Roman" w:hAnsi="Times New Roman" w:eastAsia="仿宋_GB2312" w:cs="仿宋_GB2312"/>
          <w:color w:val="auto"/>
          <w:sz w:val="32"/>
          <w:szCs w:val="32"/>
          <w:highlight w:val="none"/>
        </w:rPr>
        <w:t>十二、</w:t>
      </w:r>
      <w:bookmarkEnd w:id="94"/>
      <w:r>
        <w:rPr>
          <w:rFonts w:hint="eastAsia" w:ascii="Times New Roman" w:hAnsi="Times New Roman" w:eastAsia="仿宋_GB2312" w:cs="仿宋_GB2312"/>
          <w:color w:val="auto"/>
          <w:sz w:val="32"/>
          <w:szCs w:val="32"/>
          <w:highlight w:val="none"/>
          <w:lang w:eastAsia="zh-CN"/>
        </w:rPr>
        <w:t>国有资本经营预算财政拨款支出决算表</w:t>
      </w:r>
      <w:bookmarkEnd w:id="95"/>
    </w:p>
    <w:p w14:paraId="4790827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96" w:name="_Toc15396631"/>
      <w:bookmarkStart w:id="97" w:name="_Toc12736"/>
      <w:r>
        <w:rPr>
          <w:rFonts w:hint="eastAsia" w:ascii="Times New Roman" w:hAnsi="Times New Roman" w:eastAsia="仿宋_GB2312" w:cs="仿宋_GB2312"/>
          <w:color w:val="auto"/>
          <w:sz w:val="32"/>
          <w:szCs w:val="32"/>
          <w:highlight w:val="none"/>
        </w:rPr>
        <w:t>十三、</w:t>
      </w:r>
      <w:bookmarkEnd w:id="96"/>
      <w:r>
        <w:rPr>
          <w:rFonts w:hint="eastAsia" w:ascii="Times New Roman" w:hAnsi="Times New Roman" w:eastAsia="仿宋_GB2312" w:cs="仿宋_GB2312"/>
          <w:color w:val="auto"/>
          <w:sz w:val="32"/>
          <w:szCs w:val="32"/>
          <w:highlight w:val="none"/>
          <w:lang w:eastAsia="zh-CN"/>
        </w:rPr>
        <w:t>财政拨款“三公”经费支出决算表</w:t>
      </w:r>
      <w:bookmarkEnd w:id="97"/>
    </w:p>
    <w:p w14:paraId="08966D4F">
      <w:pPr>
        <w:rPr>
          <w:rFonts w:hint="eastAsia" w:ascii="Times New Roman" w:hAnsi="Times New Roman"/>
          <w:highlight w:val="none"/>
          <w:lang w:eastAsia="zh-CN"/>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D39CEE-30F5-40BB-BF17-073A044B61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224B539-04DB-4270-BF85-0265CFD39674}"/>
  </w:font>
  <w:font w:name="仿宋">
    <w:panose1 w:val="02010609060101010101"/>
    <w:charset w:val="86"/>
    <w:family w:val="modern"/>
    <w:pitch w:val="default"/>
    <w:sig w:usb0="800002BF" w:usb1="38CF7CFA" w:usb2="00000016" w:usb3="00000000" w:csb0="00040001" w:csb1="00000000"/>
    <w:embedRegular r:id="rId3" w:fontKey="{190465A8-B61E-45FC-93DA-9A58E3470ED7}"/>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4" w:fontKey="{B1782623-35AD-4B13-9FE8-66C1FA7B5C7D}"/>
  </w:font>
  <w:font w:name="楷体_GB2312">
    <w:panose1 w:val="02010609030101010101"/>
    <w:charset w:val="86"/>
    <w:family w:val="auto"/>
    <w:pitch w:val="default"/>
    <w:sig w:usb0="00000001" w:usb1="080E0000" w:usb2="00000000" w:usb3="00000000" w:csb0="00040000" w:csb1="00000000"/>
    <w:embedRegular r:id="rId5" w:fontKey="{25C81C27-2DA6-401B-A48A-E5AEA226ECD1}"/>
  </w:font>
  <w:font w:name="方正小标宋_GBK">
    <w:panose1 w:val="03000509000000000000"/>
    <w:charset w:val="86"/>
    <w:family w:val="auto"/>
    <w:pitch w:val="default"/>
    <w:sig w:usb0="00000001" w:usb1="080E0000" w:usb2="00000000" w:usb3="00000000" w:csb0="00040000" w:csb1="00000000"/>
    <w:embedRegular r:id="rId6" w:fontKey="{1E1BF371-CA59-4DA9-AC67-1B03F6A2B3CF}"/>
  </w:font>
  <w:font w:name="方正仿宋_GBK">
    <w:panose1 w:val="03000509000000000000"/>
    <w:charset w:val="86"/>
    <w:family w:val="auto"/>
    <w:pitch w:val="default"/>
    <w:sig w:usb0="00000001" w:usb1="080E0000" w:usb2="00000000" w:usb3="00000000" w:csb0="00040000" w:csb1="00000000"/>
    <w:embedRegular r:id="rId7" w:fontKey="{E3C9EC55-52C3-400B-A104-CD6CC82E6C59}"/>
  </w:font>
  <w:font w:name="微软雅黑">
    <w:panose1 w:val="020B0503020204020204"/>
    <w:charset w:val="86"/>
    <w:family w:val="auto"/>
    <w:pitch w:val="default"/>
    <w:sig w:usb0="80000287" w:usb1="2ACF3C50" w:usb2="00000016" w:usb3="00000000" w:csb0="0004001F" w:csb1="00000000"/>
    <w:embedRegular r:id="rId8" w:fontKey="{4B2F9BDB-2571-41AB-A620-34711B3393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124F0">
    <w:pPr>
      <w:pStyle w:val="13"/>
      <w:jc w:val="center"/>
    </w:pPr>
  </w:p>
  <w:p w14:paraId="3777894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46423">
    <w:pPr>
      <w:pStyle w:val="13"/>
      <w:jc w:val="center"/>
    </w:pPr>
  </w:p>
  <w:p w14:paraId="031821C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A7EFF">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1D2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F538B"/>
    <w:multiLevelType w:val="singleLevel"/>
    <w:tmpl w:val="834F538B"/>
    <w:lvl w:ilvl="0" w:tentative="0">
      <w:start w:val="1"/>
      <w:numFmt w:val="decimal"/>
      <w:suff w:val="nothing"/>
      <w:lvlText w:val="%1．"/>
      <w:lvlJc w:val="left"/>
      <w:pPr>
        <w:ind w:left="0" w:firstLine="400"/>
      </w:pPr>
      <w:rPr>
        <w:rFonts w:hint="default"/>
        <w:sz w:val="32"/>
        <w:szCs w:val="32"/>
      </w:rPr>
    </w:lvl>
  </w:abstractNum>
  <w:abstractNum w:abstractNumId="1">
    <w:nsid w:val="D5140A18"/>
    <w:multiLevelType w:val="singleLevel"/>
    <w:tmpl w:val="D5140A18"/>
    <w:lvl w:ilvl="0" w:tentative="0">
      <w:start w:val="1"/>
      <w:numFmt w:val="decimal"/>
      <w:suff w:val="nothing"/>
      <w:lvlText w:val="%1．"/>
      <w:lvlJc w:val="left"/>
      <w:pPr>
        <w:ind w:left="0" w:firstLine="400"/>
      </w:pPr>
      <w:rPr>
        <w:rFonts w:hint="default"/>
        <w:sz w:val="32"/>
        <w:szCs w:val="32"/>
      </w:rPr>
    </w:lvl>
  </w:abstractNum>
  <w:abstractNum w:abstractNumId="2">
    <w:nsid w:val="14871DE1"/>
    <w:multiLevelType w:val="singleLevel"/>
    <w:tmpl w:val="14871DE1"/>
    <w:lvl w:ilvl="0" w:tentative="0">
      <w:start w:val="2"/>
      <w:numFmt w:val="chineseCounting"/>
      <w:suff w:val="nothing"/>
      <w:lvlText w:val="%1、"/>
      <w:lvlJc w:val="left"/>
      <w:pPr>
        <w:ind w:left="0" w:firstLine="0"/>
      </w:pPr>
      <w:rPr>
        <w:rFonts w:hint="eastAsia"/>
      </w:rPr>
    </w:lvl>
  </w:abstractNum>
  <w:abstractNum w:abstractNumId="3">
    <w:nsid w:val="2EA573AD"/>
    <w:multiLevelType w:val="singleLevel"/>
    <w:tmpl w:val="2EA573AD"/>
    <w:lvl w:ilvl="0" w:tentative="0">
      <w:start w:val="1"/>
      <w:numFmt w:val="decimal"/>
      <w:lvlText w:val="%1."/>
      <w:lvlJc w:val="left"/>
      <w:pPr>
        <w:tabs>
          <w:tab w:val="left" w:pos="312"/>
        </w:tabs>
      </w:pPr>
    </w:lvl>
  </w:abstractNum>
  <w:abstractNum w:abstractNumId="4">
    <w:nsid w:val="564534B9"/>
    <w:multiLevelType w:val="singleLevel"/>
    <w:tmpl w:val="564534B9"/>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5743"/>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9C7664"/>
    <w:rsid w:val="02FEBE30"/>
    <w:rsid w:val="03030BB2"/>
    <w:rsid w:val="042A26E9"/>
    <w:rsid w:val="04916F1E"/>
    <w:rsid w:val="049C7DEF"/>
    <w:rsid w:val="04DB26FC"/>
    <w:rsid w:val="057228FE"/>
    <w:rsid w:val="061E35DE"/>
    <w:rsid w:val="06523F87"/>
    <w:rsid w:val="066E0107"/>
    <w:rsid w:val="07375BAD"/>
    <w:rsid w:val="07996F6E"/>
    <w:rsid w:val="07DFD8BA"/>
    <w:rsid w:val="0841638B"/>
    <w:rsid w:val="08713341"/>
    <w:rsid w:val="09257549"/>
    <w:rsid w:val="09867E8F"/>
    <w:rsid w:val="0A2032A3"/>
    <w:rsid w:val="0A670558"/>
    <w:rsid w:val="0ACA7DE1"/>
    <w:rsid w:val="0B6727D9"/>
    <w:rsid w:val="0BA457DB"/>
    <w:rsid w:val="0C7D16A3"/>
    <w:rsid w:val="0CA27F6D"/>
    <w:rsid w:val="0CA8290A"/>
    <w:rsid w:val="0CBB28B8"/>
    <w:rsid w:val="0D35B1ED"/>
    <w:rsid w:val="0DF54607"/>
    <w:rsid w:val="0E063231"/>
    <w:rsid w:val="0E254B6B"/>
    <w:rsid w:val="0F98263C"/>
    <w:rsid w:val="101860EC"/>
    <w:rsid w:val="101F47CC"/>
    <w:rsid w:val="10C055FF"/>
    <w:rsid w:val="11694EBD"/>
    <w:rsid w:val="11772AA4"/>
    <w:rsid w:val="118107EC"/>
    <w:rsid w:val="125C0BBE"/>
    <w:rsid w:val="12CD1ABC"/>
    <w:rsid w:val="12E24EE2"/>
    <w:rsid w:val="13390EFF"/>
    <w:rsid w:val="13D50BC4"/>
    <w:rsid w:val="146124BC"/>
    <w:rsid w:val="14B17F78"/>
    <w:rsid w:val="14EA283E"/>
    <w:rsid w:val="15397A06"/>
    <w:rsid w:val="165E0673"/>
    <w:rsid w:val="16AB2E5D"/>
    <w:rsid w:val="16B831D5"/>
    <w:rsid w:val="16BB723D"/>
    <w:rsid w:val="175400B6"/>
    <w:rsid w:val="175B488E"/>
    <w:rsid w:val="17E50567"/>
    <w:rsid w:val="18416A46"/>
    <w:rsid w:val="186504BB"/>
    <w:rsid w:val="188744BB"/>
    <w:rsid w:val="19A445FC"/>
    <w:rsid w:val="1BE8440E"/>
    <w:rsid w:val="1CBF06C7"/>
    <w:rsid w:val="1CC6347C"/>
    <w:rsid w:val="1D155CEE"/>
    <w:rsid w:val="1D1638FE"/>
    <w:rsid w:val="1DEA3522"/>
    <w:rsid w:val="1E312DEB"/>
    <w:rsid w:val="1E740ACF"/>
    <w:rsid w:val="1F413615"/>
    <w:rsid w:val="1F71101F"/>
    <w:rsid w:val="1FBC4A4A"/>
    <w:rsid w:val="1FF35744"/>
    <w:rsid w:val="1FF6BC77"/>
    <w:rsid w:val="208642F4"/>
    <w:rsid w:val="2186353C"/>
    <w:rsid w:val="218B501C"/>
    <w:rsid w:val="21DE16AF"/>
    <w:rsid w:val="22561186"/>
    <w:rsid w:val="22791318"/>
    <w:rsid w:val="23540202"/>
    <w:rsid w:val="23860B96"/>
    <w:rsid w:val="240371BF"/>
    <w:rsid w:val="241E5CD3"/>
    <w:rsid w:val="244F3473"/>
    <w:rsid w:val="24C97D99"/>
    <w:rsid w:val="250E6DEB"/>
    <w:rsid w:val="25A718F0"/>
    <w:rsid w:val="25BB59F6"/>
    <w:rsid w:val="260F557C"/>
    <w:rsid w:val="261E020C"/>
    <w:rsid w:val="26970054"/>
    <w:rsid w:val="27316648"/>
    <w:rsid w:val="277F117F"/>
    <w:rsid w:val="27FA446F"/>
    <w:rsid w:val="281408E2"/>
    <w:rsid w:val="28CC174E"/>
    <w:rsid w:val="29656152"/>
    <w:rsid w:val="29FD04D3"/>
    <w:rsid w:val="2ABD43F8"/>
    <w:rsid w:val="2BFF7BC6"/>
    <w:rsid w:val="2C715B69"/>
    <w:rsid w:val="2C8A61B5"/>
    <w:rsid w:val="2D185661"/>
    <w:rsid w:val="2DA41CE1"/>
    <w:rsid w:val="2DC27430"/>
    <w:rsid w:val="2DF04E50"/>
    <w:rsid w:val="2E184C68"/>
    <w:rsid w:val="2E586DFA"/>
    <w:rsid w:val="2F040D46"/>
    <w:rsid w:val="2F320885"/>
    <w:rsid w:val="2F5F53F2"/>
    <w:rsid w:val="2F6B035B"/>
    <w:rsid w:val="2FAE5751"/>
    <w:rsid w:val="2FB1A395"/>
    <w:rsid w:val="2FD9A7D8"/>
    <w:rsid w:val="2FDBF714"/>
    <w:rsid w:val="30AB6865"/>
    <w:rsid w:val="311C359A"/>
    <w:rsid w:val="315C7E3B"/>
    <w:rsid w:val="319F7F4E"/>
    <w:rsid w:val="31AB4AC2"/>
    <w:rsid w:val="32BD1EF1"/>
    <w:rsid w:val="3304709D"/>
    <w:rsid w:val="33A773CB"/>
    <w:rsid w:val="34665331"/>
    <w:rsid w:val="348E3489"/>
    <w:rsid w:val="349D6851"/>
    <w:rsid w:val="3521172E"/>
    <w:rsid w:val="35372B94"/>
    <w:rsid w:val="35D755E7"/>
    <w:rsid w:val="36637A9D"/>
    <w:rsid w:val="368F0CB2"/>
    <w:rsid w:val="36AA5135"/>
    <w:rsid w:val="36BE0DA7"/>
    <w:rsid w:val="376B6AA6"/>
    <w:rsid w:val="376D39B2"/>
    <w:rsid w:val="37C678CF"/>
    <w:rsid w:val="37E16F03"/>
    <w:rsid w:val="37F53A3B"/>
    <w:rsid w:val="389B6C89"/>
    <w:rsid w:val="38D469F0"/>
    <w:rsid w:val="3913458B"/>
    <w:rsid w:val="393A4D47"/>
    <w:rsid w:val="39627CCD"/>
    <w:rsid w:val="397BAF1F"/>
    <w:rsid w:val="39C80763"/>
    <w:rsid w:val="3A480984"/>
    <w:rsid w:val="3AB79AF3"/>
    <w:rsid w:val="3AD81A2B"/>
    <w:rsid w:val="3AE834C0"/>
    <w:rsid w:val="3AFB2473"/>
    <w:rsid w:val="3B7EF35A"/>
    <w:rsid w:val="3B9FDB6C"/>
    <w:rsid w:val="3BF5BC2F"/>
    <w:rsid w:val="3CAB7EC8"/>
    <w:rsid w:val="3CEBA265"/>
    <w:rsid w:val="3D98207C"/>
    <w:rsid w:val="3DEE7CF3"/>
    <w:rsid w:val="3E4707A5"/>
    <w:rsid w:val="3E740A63"/>
    <w:rsid w:val="3E78745D"/>
    <w:rsid w:val="3EE17838"/>
    <w:rsid w:val="3F536D21"/>
    <w:rsid w:val="3F55381A"/>
    <w:rsid w:val="3F7F7599"/>
    <w:rsid w:val="3F917849"/>
    <w:rsid w:val="3FE37CCF"/>
    <w:rsid w:val="3FF4CAE0"/>
    <w:rsid w:val="3FF7B227"/>
    <w:rsid w:val="3FFA719D"/>
    <w:rsid w:val="40416B7A"/>
    <w:rsid w:val="40A47108"/>
    <w:rsid w:val="412F2E76"/>
    <w:rsid w:val="4139769D"/>
    <w:rsid w:val="416F7D53"/>
    <w:rsid w:val="42B0448A"/>
    <w:rsid w:val="43164D0D"/>
    <w:rsid w:val="43236A0A"/>
    <w:rsid w:val="43911BC6"/>
    <w:rsid w:val="44E268DA"/>
    <w:rsid w:val="450D13D7"/>
    <w:rsid w:val="454C31E3"/>
    <w:rsid w:val="45506656"/>
    <w:rsid w:val="45B7168C"/>
    <w:rsid w:val="463902F3"/>
    <w:rsid w:val="472E597E"/>
    <w:rsid w:val="48131E90"/>
    <w:rsid w:val="48313923"/>
    <w:rsid w:val="483C5908"/>
    <w:rsid w:val="486A6C7A"/>
    <w:rsid w:val="49741B10"/>
    <w:rsid w:val="4A627F82"/>
    <w:rsid w:val="4B0E749A"/>
    <w:rsid w:val="4B2477C4"/>
    <w:rsid w:val="4B4F25DA"/>
    <w:rsid w:val="4BE068DB"/>
    <w:rsid w:val="4C854292"/>
    <w:rsid w:val="4D510618"/>
    <w:rsid w:val="4D577224"/>
    <w:rsid w:val="4DAF3530"/>
    <w:rsid w:val="4DBA7040"/>
    <w:rsid w:val="4DBF1CEB"/>
    <w:rsid w:val="4DF0007C"/>
    <w:rsid w:val="4E9378D5"/>
    <w:rsid w:val="4EAB630A"/>
    <w:rsid w:val="4ECE2238"/>
    <w:rsid w:val="4F477F24"/>
    <w:rsid w:val="4F833267"/>
    <w:rsid w:val="4FB862CC"/>
    <w:rsid w:val="4FE9BD67"/>
    <w:rsid w:val="4FFB052F"/>
    <w:rsid w:val="50E73B72"/>
    <w:rsid w:val="52D47D21"/>
    <w:rsid w:val="533B7DA0"/>
    <w:rsid w:val="537E6D0A"/>
    <w:rsid w:val="53F74C96"/>
    <w:rsid w:val="53FD0BB2"/>
    <w:rsid w:val="55170BA8"/>
    <w:rsid w:val="553218C9"/>
    <w:rsid w:val="55772500"/>
    <w:rsid w:val="55CB540B"/>
    <w:rsid w:val="567E1AA5"/>
    <w:rsid w:val="56E47B74"/>
    <w:rsid w:val="57175D52"/>
    <w:rsid w:val="57906374"/>
    <w:rsid w:val="57A7338F"/>
    <w:rsid w:val="57BD3DD4"/>
    <w:rsid w:val="584E2B8F"/>
    <w:rsid w:val="591C651C"/>
    <w:rsid w:val="5A0D6898"/>
    <w:rsid w:val="5A9F6E67"/>
    <w:rsid w:val="5AF92295"/>
    <w:rsid w:val="5B250254"/>
    <w:rsid w:val="5BDD79E6"/>
    <w:rsid w:val="5BF561CA"/>
    <w:rsid w:val="5BFF5DFC"/>
    <w:rsid w:val="5C7779C1"/>
    <w:rsid w:val="5C8D7611"/>
    <w:rsid w:val="5CD71FC4"/>
    <w:rsid w:val="5D1F11B5"/>
    <w:rsid w:val="5D695134"/>
    <w:rsid w:val="5DAE1B18"/>
    <w:rsid w:val="5DE7D9E5"/>
    <w:rsid w:val="5ECEC941"/>
    <w:rsid w:val="5F954394"/>
    <w:rsid w:val="5FBF9FF3"/>
    <w:rsid w:val="5FCD4E2C"/>
    <w:rsid w:val="5FEF394A"/>
    <w:rsid w:val="5FF67715"/>
    <w:rsid w:val="5FFB68ED"/>
    <w:rsid w:val="60BB7E2A"/>
    <w:rsid w:val="612E2892"/>
    <w:rsid w:val="62BF3928"/>
    <w:rsid w:val="632C3261"/>
    <w:rsid w:val="63B3701E"/>
    <w:rsid w:val="647F5392"/>
    <w:rsid w:val="651951E5"/>
    <w:rsid w:val="65E66580"/>
    <w:rsid w:val="664B1D71"/>
    <w:rsid w:val="664B4E8E"/>
    <w:rsid w:val="66547382"/>
    <w:rsid w:val="66B477F6"/>
    <w:rsid w:val="66D206EE"/>
    <w:rsid w:val="67277B67"/>
    <w:rsid w:val="674A63AC"/>
    <w:rsid w:val="675F3C06"/>
    <w:rsid w:val="678E7ECB"/>
    <w:rsid w:val="67AA3209"/>
    <w:rsid w:val="698D0931"/>
    <w:rsid w:val="69B01336"/>
    <w:rsid w:val="6A6F3CED"/>
    <w:rsid w:val="6A7FE5F3"/>
    <w:rsid w:val="6AD541DF"/>
    <w:rsid w:val="6B053271"/>
    <w:rsid w:val="6BDD78B3"/>
    <w:rsid w:val="6C4A05C8"/>
    <w:rsid w:val="6C8742B8"/>
    <w:rsid w:val="6D013069"/>
    <w:rsid w:val="6D9E65C6"/>
    <w:rsid w:val="6DBE0F5A"/>
    <w:rsid w:val="6DBF5E93"/>
    <w:rsid w:val="6DFF077E"/>
    <w:rsid w:val="6E714EF0"/>
    <w:rsid w:val="6E7E3605"/>
    <w:rsid w:val="6E7FDCC7"/>
    <w:rsid w:val="6EC46A44"/>
    <w:rsid w:val="6ED6A62E"/>
    <w:rsid w:val="6EE00B15"/>
    <w:rsid w:val="6F6FB3EB"/>
    <w:rsid w:val="6F8731EA"/>
    <w:rsid w:val="6F8F0CA2"/>
    <w:rsid w:val="6FCE6052"/>
    <w:rsid w:val="6FD57C00"/>
    <w:rsid w:val="6FEFFFD8"/>
    <w:rsid w:val="6FF5CC65"/>
    <w:rsid w:val="6FFB47EC"/>
    <w:rsid w:val="6FFF034A"/>
    <w:rsid w:val="70484440"/>
    <w:rsid w:val="70904E30"/>
    <w:rsid w:val="712A28F1"/>
    <w:rsid w:val="715C0E4B"/>
    <w:rsid w:val="71992E7C"/>
    <w:rsid w:val="72233669"/>
    <w:rsid w:val="72734D90"/>
    <w:rsid w:val="73160E6D"/>
    <w:rsid w:val="7332FE48"/>
    <w:rsid w:val="73AB61DA"/>
    <w:rsid w:val="73AD73D5"/>
    <w:rsid w:val="73B6EB34"/>
    <w:rsid w:val="73FA497D"/>
    <w:rsid w:val="74343D24"/>
    <w:rsid w:val="744731E5"/>
    <w:rsid w:val="74BBD01D"/>
    <w:rsid w:val="74ED5379"/>
    <w:rsid w:val="75DEEEC2"/>
    <w:rsid w:val="75E32345"/>
    <w:rsid w:val="76E3355F"/>
    <w:rsid w:val="76FF5125"/>
    <w:rsid w:val="776F6FFA"/>
    <w:rsid w:val="778769C8"/>
    <w:rsid w:val="77A75DCA"/>
    <w:rsid w:val="77DC22F5"/>
    <w:rsid w:val="783E271A"/>
    <w:rsid w:val="78616DE9"/>
    <w:rsid w:val="78C95383"/>
    <w:rsid w:val="78E35DB2"/>
    <w:rsid w:val="78E875D7"/>
    <w:rsid w:val="79086DAD"/>
    <w:rsid w:val="79B63DF5"/>
    <w:rsid w:val="79D7FD79"/>
    <w:rsid w:val="79EE5BA4"/>
    <w:rsid w:val="7A0174D5"/>
    <w:rsid w:val="7A5779CE"/>
    <w:rsid w:val="7A894339"/>
    <w:rsid w:val="7AD284E8"/>
    <w:rsid w:val="7AFF7572"/>
    <w:rsid w:val="7B264BB7"/>
    <w:rsid w:val="7B6C7DFB"/>
    <w:rsid w:val="7B8C6B3B"/>
    <w:rsid w:val="7BBFBED0"/>
    <w:rsid w:val="7BC3E394"/>
    <w:rsid w:val="7C1F3737"/>
    <w:rsid w:val="7CBFC87B"/>
    <w:rsid w:val="7CE8640F"/>
    <w:rsid w:val="7CFE0F48"/>
    <w:rsid w:val="7D272ABC"/>
    <w:rsid w:val="7D7EC23E"/>
    <w:rsid w:val="7DE70964"/>
    <w:rsid w:val="7DF84014"/>
    <w:rsid w:val="7E8ADEBF"/>
    <w:rsid w:val="7EEF11D3"/>
    <w:rsid w:val="7EFE4840"/>
    <w:rsid w:val="7F0971A6"/>
    <w:rsid w:val="7F1D62E7"/>
    <w:rsid w:val="7F3F679B"/>
    <w:rsid w:val="7F4FC4EF"/>
    <w:rsid w:val="7F5E4D54"/>
    <w:rsid w:val="7F6E0135"/>
    <w:rsid w:val="7F79F205"/>
    <w:rsid w:val="7FA30C79"/>
    <w:rsid w:val="7FA79C44"/>
    <w:rsid w:val="7FAF4BA7"/>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sz w:val="18"/>
      <w:szCs w:val="18"/>
    </w:rPr>
  </w:style>
  <w:style w:type="paragraph" w:styleId="6">
    <w:name w:val="index 8"/>
    <w:basedOn w:val="1"/>
    <w:next w:val="1"/>
    <w:qFormat/>
    <w:uiPriority w:val="0"/>
    <w:pPr>
      <w:ind w:left="1400" w:leftChars="1400"/>
    </w:pPr>
  </w:style>
  <w:style w:type="paragraph" w:styleId="7">
    <w:name w:val="Document Map"/>
    <w:basedOn w:val="1"/>
    <w:qFormat/>
    <w:uiPriority w:val="0"/>
    <w:rPr>
      <w:rFonts w:ascii="宋体" w:eastAsia="宋体"/>
      <w:sz w:val="18"/>
      <w:szCs w:val="18"/>
    </w:rPr>
  </w:style>
  <w:style w:type="paragraph" w:styleId="8">
    <w:name w:val="Body Text"/>
    <w:basedOn w:val="1"/>
    <w:next w:val="6"/>
    <w:link w:val="28"/>
    <w:qFormat/>
    <w:uiPriority w:val="99"/>
    <w:pPr>
      <w:spacing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4"/>
    <w:semiHidden/>
    <w:unhideWhenUsed/>
    <w:qFormat/>
    <w:uiPriority w:val="99"/>
    <w:rPr>
      <w:sz w:val="18"/>
      <w:szCs w:val="18"/>
    </w:rPr>
  </w:style>
  <w:style w:type="paragraph" w:styleId="13">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next w:val="7"/>
    <w:qFormat/>
    <w:uiPriority w:val="0"/>
    <w:pPr>
      <w:widowControl/>
      <w:spacing w:before="100" w:beforeAutospacing="1" w:after="100" w:afterAutospacing="1"/>
      <w:jc w:val="left"/>
    </w:pPr>
    <w:rPr>
      <w:rFonts w:ascii="宋体" w:eastAsia="宋体"/>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4"/>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3"/>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2"/>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1332.43</c:v>
                </c:pt>
                <c:pt idx="1">
                  <c:v>1446.05</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864c1da5-4ecf-4d98-a786-edb3ef3d0a63}"/>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一般公共预算财政收入</c:v>
                </c:pt>
                <c:pt idx="1">
                  <c:v>政府性基金收入</c:v>
                </c:pt>
              </c:strCache>
            </c:strRef>
          </c:cat>
          <c:val>
            <c:numRef>
              <c:f>Sheet1!$B$2:$B$3</c:f>
              <c:numCache>
                <c:formatCode>General</c:formatCode>
                <c:ptCount val="2"/>
                <c:pt idx="0">
                  <c:v>1446.05</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1216.15</c:v>
                </c:pt>
                <c:pt idx="1">
                  <c:v>229.9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1332.43</c:v>
                </c:pt>
                <c:pt idx="1">
                  <c:v>1446.05</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一般公共预算财政拨款支出（万元）</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1332.43</c:v>
                </c:pt>
                <c:pt idx="1">
                  <c:v>1446.05</c:v>
                </c:pt>
              </c:numCache>
            </c:numRef>
          </c:val>
        </c:ser>
        <c:dLbls>
          <c:showLegendKey val="0"/>
          <c:showVal val="1"/>
          <c:showCatName val="0"/>
          <c:showSerName val="0"/>
          <c:showPercent val="0"/>
          <c:showBubbleSize val="0"/>
        </c:dLbls>
        <c:gapWidth val="150"/>
        <c:overlap val="0"/>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ln>
                <a:noFill/>
              </a:ln>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ln>
                      <a:noFill/>
                    </a:ln>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公教育支出</c:v>
                </c:pt>
                <c:pt idx="2">
                  <c:v>社会保障和就业支出</c:v>
                </c:pt>
                <c:pt idx="3">
                  <c:v>卫生健康支出</c:v>
                </c:pt>
                <c:pt idx="4">
                  <c:v>住房保障支出</c:v>
                </c:pt>
              </c:strCache>
            </c:strRef>
          </c:cat>
          <c:val>
            <c:numRef>
              <c:f>Sheet1!$B$2:$B$6</c:f>
              <c:numCache>
                <c:formatCode>General</c:formatCode>
                <c:ptCount val="5"/>
                <c:pt idx="0">
                  <c:v>1214.55</c:v>
                </c:pt>
                <c:pt idx="1">
                  <c:v>0.4</c:v>
                </c:pt>
                <c:pt idx="2">
                  <c:v>114.98</c:v>
                </c:pt>
                <c:pt idx="3">
                  <c:v>47.36</c:v>
                </c:pt>
                <c:pt idx="4">
                  <c:v>68.76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46a54d-594c-40f2-b5cf-af3b2d5997e8}"/>
      </c:ext>
    </c:extLst>
  </c:chart>
  <c:spPr>
    <a:solidFill>
      <a:schemeClr val="bg1"/>
    </a:solidFill>
    <a:ln w="7620" cap="flat" cmpd="sng" algn="ctr">
      <a:solidFill>
        <a:schemeClr val="tx1"/>
      </a:solidFill>
      <a:round/>
    </a:ln>
    <a:effectLst/>
  </c:spPr>
  <c:txPr>
    <a:bodyPr/>
    <a:lstStyle/>
    <a:p>
      <a:pPr>
        <a:defRPr lang="zh-CN">
          <a:ln>
            <a:noFill/>
          </a:ln>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69</c:v>
                </c:pt>
                <c:pt idx="2">
                  <c:v>3.53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925bff-242a-4b51-a2bb-806cb12a3a27}"/>
      </c:ext>
    </c:extLst>
  </c:chart>
  <c:spPr>
    <a:solidFill>
      <a:schemeClr val="bg1"/>
    </a:solidFill>
    <a:ln w="7620"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6568</Words>
  <Characters>7192</Characters>
  <Lines>61</Lines>
  <Paragraphs>17</Paragraphs>
  <TotalTime>4</TotalTime>
  <ScaleCrop>false</ScaleCrop>
  <LinksUpToDate>false</LinksUpToDate>
  <CharactersWithSpaces>7308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陈延枫</cp:lastModifiedBy>
  <cp:lastPrinted>2025-08-06T17:34:00Z</cp:lastPrinted>
  <dcterms:modified xsi:type="dcterms:W3CDTF">2025-10-24T02:02:29Z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0E0020AF99A84D61AC6A5C0D381543E0_13</vt:lpwstr>
  </property>
  <property fmtid="{D5CDD505-2E9C-101B-9397-08002B2CF9AE}" pid="4" name="KSOTemplateDocerSaveRecord">
    <vt:lpwstr>eyJoZGlkIjoiOGQ4MjJiYjYwYWZmNjM2YjgyNjUxMDVmZjI5N2IxZjIiLCJ1c2VySWQiOiIxMTc5MTM2MzkzIn0=</vt:lpwstr>
  </property>
</Properties>
</file>