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0589A">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78441"/>
      <w:bookmarkStart w:id="1" w:name="_Toc15396475"/>
      <w:bookmarkStart w:id="2" w:name="_Toc15377193"/>
      <w:bookmarkStart w:id="3" w:name="_Toc15306267"/>
      <w:bookmarkStart w:id="4" w:name="_Toc15377425"/>
      <w:bookmarkStart w:id="5" w:name="_Toc15396597"/>
    </w:p>
    <w:p w14:paraId="2B81399B">
      <w:pPr>
        <w:pStyle w:val="6"/>
        <w:rPr>
          <w:rFonts w:hint="eastAsia" w:ascii="Times New Roman" w:hAnsi="Times New Roman" w:eastAsia="方正小标宋简体" w:cs="Times New Roman"/>
          <w:color w:val="auto"/>
          <w:kern w:val="2"/>
          <w:sz w:val="72"/>
          <w:szCs w:val="72"/>
          <w:highlight w:val="none"/>
          <w:lang w:val="en-US" w:eastAsia="zh-CN" w:bidi="ar-SA"/>
        </w:rPr>
      </w:pPr>
    </w:p>
    <w:p w14:paraId="017D3EFE">
      <w:pPr>
        <w:pStyle w:val="6"/>
        <w:rPr>
          <w:rFonts w:hint="eastAsia" w:ascii="Times New Roman" w:hAnsi="Times New Roman" w:eastAsia="方正小标宋简体" w:cs="Times New Roman"/>
          <w:color w:val="auto"/>
          <w:kern w:val="2"/>
          <w:sz w:val="72"/>
          <w:szCs w:val="72"/>
          <w:highlight w:val="none"/>
          <w:lang w:val="en-US" w:eastAsia="zh-CN" w:bidi="ar-SA"/>
        </w:rPr>
      </w:pPr>
    </w:p>
    <w:p w14:paraId="3E179DAE">
      <w:pPr>
        <w:pStyle w:val="6"/>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阿坝藏族羌族自治州归国华侨联合会</w:t>
      </w:r>
      <w:r>
        <w:rPr>
          <w:rFonts w:hint="eastAsia" w:ascii="Times New Roman" w:hAnsi="Times New Roman" w:eastAsia="方正小标宋简体" w:cs="Times New Roman"/>
          <w:color w:val="auto"/>
          <w:kern w:val="2"/>
          <w:sz w:val="44"/>
          <w:szCs w:val="44"/>
          <w:highlight w:val="none"/>
          <w:lang w:val="en-US" w:eastAsia="zh-CN" w:bidi="ar-SA"/>
        </w:rPr>
        <w:t>单位决算公开</w:t>
      </w:r>
    </w:p>
    <w:p w14:paraId="4C9B97CC">
      <w:pPr>
        <w:spacing w:line="600" w:lineRule="exact"/>
        <w:jc w:val="center"/>
        <w:outlineLvl w:val="0"/>
        <w:rPr>
          <w:rFonts w:ascii="Times New Roman" w:hAnsi="Times New Roman" w:eastAsia="方正小标宋简体"/>
          <w:color w:val="auto"/>
          <w:sz w:val="72"/>
          <w:szCs w:val="72"/>
          <w:highlight w:val="none"/>
        </w:rPr>
      </w:pPr>
    </w:p>
    <w:p w14:paraId="2201A393">
      <w:pPr>
        <w:pStyle w:val="20"/>
        <w:rPr>
          <w:rFonts w:ascii="Times New Roman" w:hAnsi="Times New Roman"/>
          <w:highlight w:val="none"/>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bookmarkEnd w:id="0"/>
    <w:bookmarkEnd w:id="1"/>
    <w:bookmarkEnd w:id="2"/>
    <w:bookmarkEnd w:id="3"/>
    <w:bookmarkEnd w:id="4"/>
    <w:bookmarkEnd w:id="5"/>
    <w:p w14:paraId="2E99E7A6">
      <w:pPr>
        <w:widowControl/>
        <w:jc w:val="center"/>
        <w:rPr>
          <w:rFonts w:ascii="Times New Roman" w:hAnsi="Times New Roman" w:eastAsia="黑体" w:cstheme="minorBidi"/>
          <w:color w:val="auto"/>
          <w:sz w:val="28"/>
          <w:szCs w:val="28"/>
          <w:highlight w:val="none"/>
        </w:rPr>
      </w:pPr>
      <w:r>
        <w:rPr>
          <w:rFonts w:hint="eastAsia" w:ascii="Times New Roman" w:hAnsi="Times New Roman" w:eastAsia="黑体"/>
          <w:color w:val="auto"/>
          <w:sz w:val="48"/>
          <w:szCs w:val="48"/>
          <w:highlight w:val="none"/>
        </w:rPr>
        <w:t>目录</w:t>
      </w:r>
    </w:p>
    <w:p w14:paraId="7E8FCCD0">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16</w:t>
      </w:r>
      <w:r>
        <w:rPr>
          <w:rFonts w:hint="eastAsia" w:ascii="Times New Roman" w:hAnsi="Times New Roman" w:eastAsia="仿宋_GB2312" w:cs="仿宋_GB2312"/>
          <w:color w:val="auto"/>
          <w:sz w:val="32"/>
          <w:szCs w:val="32"/>
          <w:highlight w:val="none"/>
        </w:rPr>
        <w:t>日</w:t>
      </w:r>
    </w:p>
    <w:sdt>
      <w:sdtPr>
        <w:rPr>
          <w:rFonts w:ascii="宋体" w:hAnsi="宋体" w:eastAsia="宋体" w:cs="Times New Roman"/>
          <w:kern w:val="2"/>
          <w:sz w:val="21"/>
          <w:szCs w:val="24"/>
          <w:highlight w:val="none"/>
          <w:lang w:val="en-US" w:eastAsia="zh-CN" w:bidi="ar-SA"/>
        </w:rPr>
        <w:id w:val="147468918"/>
        <w15:color w:val="DBDBDB"/>
        <w:docPartObj>
          <w:docPartGallery w:val="Table of Contents"/>
          <w:docPartUnique/>
        </w:docPartObj>
      </w:sdtPr>
      <w:sdtEndPr>
        <w:rPr>
          <w:rFonts w:ascii="Times New Roman" w:hAnsi="Times New Roman" w:eastAsia="宋体" w:cs="Times New Roman"/>
          <w:color w:val="auto"/>
          <w:kern w:val="2"/>
          <w:sz w:val="21"/>
          <w:szCs w:val="24"/>
          <w:highlight w:val="none"/>
          <w:lang w:val="en-US" w:eastAsia="zh-CN" w:bidi="ar-SA"/>
        </w:rPr>
      </w:sdtEndPr>
      <w:sdtContent>
        <w:p w14:paraId="30222DBC">
          <w:pPr>
            <w:spacing w:before="0" w:beforeLines="0" w:after="0" w:afterLines="0" w:line="240" w:lineRule="auto"/>
            <w:ind w:left="0" w:leftChars="0" w:right="0" w:rightChars="0" w:firstLine="0" w:firstLineChars="0"/>
            <w:jc w:val="both"/>
            <w:rPr>
              <w:highlight w:val="none"/>
            </w:rPr>
          </w:pPr>
        </w:p>
        <w:p w14:paraId="317749BC">
          <w:pPr>
            <w:pStyle w:val="13"/>
            <w:tabs>
              <w:tab w:val="right" w:leader="dot" w:pos="8306"/>
              <w:tab w:val="clear" w:pos="8296"/>
            </w:tabs>
            <w:jc w:val="both"/>
            <w:rPr>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TOC \o "1-2" \h \u </w:instrText>
          </w:r>
          <w:r>
            <w:rPr>
              <w:rFonts w:ascii="Times New Roman" w:hAnsi="Times New Roman"/>
              <w:color w:val="auto"/>
              <w:highlight w:val="none"/>
            </w:rPr>
            <w:fldChar w:fldCharType="separate"/>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_Toc1108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第一部分</w:t>
          </w:r>
          <w:r>
            <w:rPr>
              <w:rFonts w:hint="eastAsia" w:ascii="Times New Roman" w:hAnsi="Times New Roman" w:eastAsia="黑体" w:cs="黑体"/>
              <w:color w:val="auto"/>
              <w:sz w:val="32"/>
              <w:szCs w:val="32"/>
              <w:highlight w:val="none"/>
              <w:lang w:val="en-US" w:eastAsia="zh-CN"/>
            </w:rPr>
            <w:t xml:space="preserve"> </w:t>
          </w:r>
          <w:r>
            <w:rPr>
              <w:rFonts w:hint="eastAsia" w:ascii="Times New Roman" w:hAnsi="Times New Roman" w:eastAsia="黑体" w:cs="黑体"/>
              <w:color w:val="auto"/>
              <w:sz w:val="32"/>
              <w:szCs w:val="32"/>
              <w:highlight w:val="none"/>
            </w:rPr>
            <w:t xml:space="preserve"> </w:t>
          </w:r>
          <w:r>
            <w:rPr>
              <w:rFonts w:hint="eastAsia" w:ascii="Times New Roman" w:hAnsi="Times New Roman" w:eastAsia="黑体" w:cs="黑体"/>
              <w:color w:val="auto"/>
              <w:sz w:val="32"/>
              <w:szCs w:val="32"/>
              <w:highlight w:val="none"/>
              <w:lang w:val="en-US" w:eastAsia="zh-CN"/>
            </w:rPr>
            <w:t>单位</w:t>
          </w:r>
          <w:r>
            <w:rPr>
              <w:rFonts w:hint="eastAsia" w:ascii="Times New Roman" w:hAnsi="Times New Roman" w:eastAsia="黑体" w:cs="黑体"/>
              <w:color w:val="auto"/>
              <w:sz w:val="32"/>
              <w:szCs w:val="32"/>
              <w:highlight w:val="none"/>
            </w:rPr>
            <w:t>概况</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_Toc1108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4</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14:paraId="698AC64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_Toc13880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一、</w:t>
          </w:r>
          <w:r>
            <w:rPr>
              <w:rFonts w:hint="eastAsia" w:eastAsia="仿宋_GB2312" w:cs="仿宋_GB2312"/>
              <w:color w:val="auto"/>
              <w:sz w:val="32"/>
              <w:szCs w:val="32"/>
              <w:highlight w:val="none"/>
              <w:lang w:val="en-US" w:eastAsia="zh-CN"/>
            </w:rPr>
            <w:t>单位</w:t>
          </w:r>
          <w:r>
            <w:rPr>
              <w:rFonts w:hint="eastAsia" w:ascii="Times New Roman" w:hAnsi="Times New Roman" w:eastAsia="仿宋_GB2312" w:cs="仿宋_GB2312"/>
              <w:color w:val="auto"/>
              <w:sz w:val="32"/>
              <w:szCs w:val="32"/>
              <w:highlight w:val="none"/>
              <w:lang w:eastAsia="zh-CN"/>
            </w:rPr>
            <w:t>职责</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_Toc13880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12E37C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_Toc1296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二、机构设置</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_Toc1296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DA23601">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_Toc19438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w:t>
          </w:r>
          <w:r>
            <w:rPr>
              <w:rFonts w:hint="eastAsia" w:ascii="Times New Roman" w:hAnsi="Times New Roman" w:eastAsia="黑体" w:cs="黑体"/>
              <w:color w:val="auto"/>
              <w:sz w:val="32"/>
              <w:szCs w:val="32"/>
              <w:highlight w:val="none"/>
            </w:rPr>
            <w:t xml:space="preserve"> </w:t>
          </w:r>
          <w:r>
            <w:rPr>
              <w:rFonts w:hint="eastAsia" w:ascii="Times New Roman" w:hAnsi="Times New Roman" w:eastAsia="黑体" w:cs="黑体"/>
              <w:color w:val="auto"/>
              <w:sz w:val="32"/>
              <w:szCs w:val="32"/>
              <w:highlight w:val="none"/>
              <w:lang w:val="en-US" w:eastAsia="zh-CN"/>
            </w:rPr>
            <w:t>2024年度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_Toc19438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5</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14:paraId="7A10BC3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_Toc31314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lang w:eastAsia="zh-CN"/>
            </w:rPr>
            <w:t>一、</w:t>
          </w:r>
          <w:r>
            <w:rPr>
              <w:rFonts w:hint="eastAsia" w:ascii="Times New Roman" w:hAnsi="Times New Roman" w:eastAsia="仿宋_GB2312" w:cs="仿宋_GB2312"/>
              <w:color w:val="auto"/>
              <w:sz w:val="32"/>
              <w:szCs w:val="32"/>
              <w:highlight w:val="none"/>
            </w:rPr>
            <w:t>收入支出决算总体情况说明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_Toc31314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CC131C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_Toc20121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lang w:eastAsia="zh-CN"/>
            </w:rPr>
            <w:t>二、收入决算情况说明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_Toc20121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81A398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_Toc14877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lang w:eastAsia="zh-CN"/>
            </w:rPr>
            <w:t>三、</w:t>
          </w:r>
          <w:r>
            <w:rPr>
              <w:rFonts w:hint="eastAsia" w:ascii="Times New Roman" w:hAnsi="Times New Roman" w:eastAsia="仿宋_GB2312" w:cs="仿宋_GB2312"/>
              <w:color w:val="auto"/>
              <w:sz w:val="32"/>
              <w:szCs w:val="32"/>
              <w:highlight w:val="none"/>
            </w:rPr>
            <w:t>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_Toc14877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7E9AE4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_Toc27251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四、财政拨款收入支出决算总体情况说明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_Toc27251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4987E0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_Toc15614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五、一般公共预算财政拨款支出决算情况说明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_Toc15614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180EAC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_Toc9770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_Toc9770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10</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298928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_Toc26098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七、财政拨款“三公”经费支出决算情况说明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_Toc26098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BBD2C7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_Toc7073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八、政府性基金预算支出决算情况说明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_Toc7073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289E0B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_Toc9897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lang w:eastAsia="zh-CN"/>
            </w:rPr>
            <w:t>九、</w:t>
          </w:r>
          <w:r>
            <w:rPr>
              <w:rFonts w:hint="eastAsia" w:ascii="Times New Roman" w:hAnsi="Times New Roman" w:eastAsia="仿宋_GB2312" w:cs="仿宋_GB2312"/>
              <w:color w:val="auto"/>
              <w:sz w:val="32"/>
              <w:szCs w:val="32"/>
              <w:highlight w:val="none"/>
            </w:rPr>
            <w:t>国有资本经营预算支出决算情况说明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_Toc9897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338767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_Toc8130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_Toc8130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B1181B5">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_Toc19091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第</w:t>
          </w:r>
          <w:r>
            <w:rPr>
              <w:rFonts w:hint="eastAsia" w:ascii="Times New Roman" w:hAnsi="Times New Roman" w:eastAsia="黑体" w:cs="黑体"/>
              <w:color w:val="auto"/>
              <w:sz w:val="32"/>
              <w:szCs w:val="32"/>
              <w:highlight w:val="none"/>
              <w:lang w:eastAsia="zh-CN"/>
            </w:rPr>
            <w:t>三</w:t>
          </w:r>
          <w:r>
            <w:rPr>
              <w:rFonts w:hint="eastAsia" w:ascii="Times New Roman" w:hAnsi="Times New Roman" w:eastAsia="黑体" w:cs="黑体"/>
              <w:color w:val="auto"/>
              <w:sz w:val="32"/>
              <w:szCs w:val="32"/>
              <w:highlight w:val="none"/>
            </w:rPr>
            <w:t>部分</w:t>
          </w:r>
          <w:r>
            <w:rPr>
              <w:rFonts w:hint="eastAsia" w:ascii="Times New Roman" w:hAnsi="Times New Roman" w:eastAsia="黑体" w:cs="黑体"/>
              <w:color w:val="auto"/>
              <w:sz w:val="32"/>
              <w:szCs w:val="32"/>
              <w:highlight w:val="none"/>
              <w:lang w:val="en-US" w:eastAsia="zh-CN"/>
            </w:rPr>
            <w:t xml:space="preserve">  </w:t>
          </w:r>
          <w:r>
            <w:rPr>
              <w:rFonts w:hint="eastAsia" w:ascii="Times New Roman" w:hAnsi="Times New Roman" w:eastAsia="黑体" w:cs="黑体"/>
              <w:color w:val="auto"/>
              <w:sz w:val="32"/>
              <w:szCs w:val="32"/>
              <w:highlight w:val="none"/>
            </w:rPr>
            <w:t>名词解释</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_Toc19091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14</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14:paraId="0BA4C220">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_Toc6590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第四部分</w:t>
          </w:r>
          <w:r>
            <w:rPr>
              <w:rFonts w:hint="eastAsia" w:ascii="Times New Roman" w:hAnsi="Times New Roman" w:eastAsia="黑体" w:cs="黑体"/>
              <w:color w:val="auto"/>
              <w:sz w:val="32"/>
              <w:szCs w:val="32"/>
              <w:highlight w:val="none"/>
              <w:lang w:val="en-US" w:eastAsia="zh-CN"/>
            </w:rPr>
            <w:t xml:space="preserve"> </w:t>
          </w:r>
          <w:r>
            <w:rPr>
              <w:rFonts w:hint="eastAsia" w:ascii="Times New Roman" w:hAnsi="Times New Roman" w:eastAsia="黑体" w:cs="黑体"/>
              <w:color w:val="auto"/>
              <w:sz w:val="32"/>
              <w:szCs w:val="32"/>
              <w:highlight w:val="none"/>
            </w:rPr>
            <w:t xml:space="preserve"> 附件</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_Toc6590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17</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14:paraId="68290521">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_Toc18328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 xml:space="preserve">第五部分 </w:t>
          </w:r>
          <w:r>
            <w:rPr>
              <w:rFonts w:hint="eastAsia" w:ascii="Times New Roman" w:hAnsi="Times New Roman" w:eastAsia="黑体" w:cs="黑体"/>
              <w:color w:val="auto"/>
              <w:sz w:val="32"/>
              <w:szCs w:val="32"/>
              <w:highlight w:val="none"/>
              <w:lang w:val="en-US" w:eastAsia="zh-CN"/>
            </w:rPr>
            <w:t xml:space="preserve"> </w:t>
          </w:r>
          <w:r>
            <w:rPr>
              <w:rFonts w:hint="eastAsia" w:ascii="Times New Roman" w:hAnsi="Times New Roman" w:eastAsia="黑体" w:cs="黑体"/>
              <w:color w:val="auto"/>
              <w:sz w:val="32"/>
              <w:szCs w:val="32"/>
              <w:highlight w:val="none"/>
            </w:rPr>
            <w:t>附表</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_Toc18328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19</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14:paraId="7980F68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_Toc3436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一、收入支出决算总表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_Toc3436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3FA5E7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_Toc10614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二、收入决算表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_Toc10614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1E0465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_Toc14774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三、支出决算表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_Toc14774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69ED75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_Toc5392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四、财政拨款收入支出决算总表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_Toc5392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97D48B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_Toc29475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五、财政拨款支出决算明细表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_Toc29475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EA6C73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_Toc2870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六、一般公共预算财政拨款支出决算表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_Toc2870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371C2F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_Toc25605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七、一般公共预算财政拨款支出决算明细表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_Toc25605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237E43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_Toc3760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八、一般公共预算财政拨款基本支出决算表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_Toc3760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EE3167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_Toc26330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九、一般公共预算财政拨款项目支出决算表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_Toc26330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FAF1CF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_Toc12171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十、政府性基金预算财政拨款收入支出决算表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_Toc12171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B5B1C0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_Toc5335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十一、国有资本经营预算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_Toc5335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99EDF0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_Toc19972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eastAsia="zh-CN"/>
            </w:rPr>
            <w:t>国有资本经营预算财政拨款支出决算表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_Toc19972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9D3AC4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_Toc12736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十三、</w:t>
          </w:r>
          <w:r>
            <w:rPr>
              <w:rFonts w:hint="eastAsia" w:ascii="Times New Roman" w:hAnsi="Times New Roman" w:eastAsia="仿宋_GB2312" w:cs="仿宋_GB2312"/>
              <w:color w:val="auto"/>
              <w:sz w:val="32"/>
              <w:szCs w:val="32"/>
              <w:highlight w:val="none"/>
              <w:lang w:eastAsia="zh-CN"/>
            </w:rPr>
            <w:t>财政拨款“三公”经费支出决算表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_Toc12736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667E591">
          <w:pPr>
            <w:rPr>
              <w:rFonts w:ascii="Times New Roman" w:hAnsi="Times New Roman" w:eastAsia="宋体" w:cs="Times New Roman"/>
              <w:color w:val="auto"/>
              <w:kern w:val="2"/>
              <w:sz w:val="21"/>
              <w:szCs w:val="24"/>
              <w:highlight w:val="none"/>
              <w:lang w:val="en-US" w:eastAsia="zh-CN" w:bidi="ar-SA"/>
            </w:rPr>
          </w:pPr>
          <w:r>
            <w:rPr>
              <w:rFonts w:ascii="Times New Roman" w:hAnsi="Times New Roman"/>
              <w:color w:val="auto"/>
              <w:highlight w:val="none"/>
            </w:rPr>
            <w:fldChar w:fldCharType="end"/>
          </w:r>
        </w:p>
      </w:sdtContent>
    </w:sdt>
    <w:p w14:paraId="316C60DE">
      <w:pPr>
        <w:pStyle w:val="14"/>
        <w:rPr>
          <w:highlight w:val="none"/>
        </w:rPr>
      </w:pPr>
    </w:p>
    <w:p w14:paraId="742A448F">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77196"/>
      <w:bookmarkStart w:id="7" w:name="_Toc15396599"/>
      <w:r>
        <w:rPr>
          <w:rFonts w:hint="eastAsia" w:ascii="Times New Roman" w:hAnsi="Times New Roman" w:eastAsia="仿宋_GB2312" w:cs="仿宋_GB2312"/>
          <w:b/>
          <w:color w:val="auto"/>
          <w:sz w:val="32"/>
          <w:szCs w:val="32"/>
          <w:highlight w:val="none"/>
        </w:rPr>
        <w:br w:type="page"/>
      </w:r>
    </w:p>
    <w:p w14:paraId="47360B2C">
      <w:pPr>
        <w:pStyle w:val="2"/>
        <w:jc w:val="center"/>
        <w:outlineLvl w:val="0"/>
        <w:rPr>
          <w:rFonts w:ascii="Times New Roman" w:hAnsi="Times New Roman" w:eastAsia="黑体"/>
          <w:color w:val="auto"/>
          <w:sz w:val="32"/>
          <w:szCs w:val="32"/>
          <w:highlight w:val="none"/>
        </w:rPr>
      </w:pPr>
      <w:bookmarkStart w:id="8" w:name="_Toc1108"/>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eastAsia="方正小标宋简体" w:cs="方正小标宋简体"/>
          <w:b w:val="0"/>
          <w:bCs w:val="0"/>
          <w:color w:val="auto"/>
          <w:highlight w:val="none"/>
          <w:lang w:val="en-US" w:eastAsia="zh-CN"/>
        </w:rPr>
        <w:t>单位</w:t>
      </w:r>
      <w:r>
        <w:rPr>
          <w:rStyle w:val="29"/>
          <w:rFonts w:hint="eastAsia" w:ascii="Times New Roman" w:hAnsi="Times New Roman" w:eastAsia="方正小标宋简体" w:cs="方正小标宋简体"/>
          <w:b w:val="0"/>
          <w:bCs w:val="0"/>
          <w:color w:val="auto"/>
          <w:highlight w:val="none"/>
        </w:rPr>
        <w:t>概况</w:t>
      </w:r>
      <w:bookmarkEnd w:id="6"/>
      <w:bookmarkEnd w:id="7"/>
      <w:bookmarkEnd w:id="8"/>
    </w:p>
    <w:p w14:paraId="71FFFD2B">
      <w:pPr>
        <w:pStyle w:val="3"/>
        <w:outlineLvl w:val="1"/>
        <w:rPr>
          <w:rFonts w:hint="eastAsia" w:ascii="Times New Roman" w:hAnsi="Times New Roman" w:eastAsia="黑体"/>
          <w:b w:val="0"/>
          <w:color w:val="auto"/>
          <w:highlight w:val="none"/>
          <w:lang w:eastAsia="zh-CN"/>
        </w:rPr>
      </w:pPr>
      <w:bookmarkStart w:id="9" w:name="_Toc15396600"/>
      <w:bookmarkStart w:id="10" w:name="_Toc15377197"/>
      <w:bookmarkStart w:id="11" w:name="_Toc13880"/>
      <w:r>
        <w:rPr>
          <w:rFonts w:hint="eastAsia" w:ascii="Times New Roman" w:hAnsi="Times New Roman" w:eastAsia="黑体"/>
          <w:b w:val="0"/>
          <w:color w:val="auto"/>
          <w:highlight w:val="none"/>
        </w:rPr>
        <w:t>一、</w:t>
      </w:r>
      <w:bookmarkEnd w:id="9"/>
      <w:bookmarkEnd w:id="10"/>
      <w:r>
        <w:rPr>
          <w:rFonts w:hint="eastAsia" w:ascii="Times New Roman" w:hAnsi="Times New Roman" w:eastAsia="黑体"/>
          <w:b w:val="0"/>
          <w:color w:val="auto"/>
          <w:highlight w:val="none"/>
          <w:lang w:val="en-US" w:eastAsia="zh-CN"/>
        </w:rPr>
        <w:t>单位</w:t>
      </w:r>
      <w:r>
        <w:rPr>
          <w:rFonts w:hint="eastAsia" w:ascii="Times New Roman" w:hAnsi="Times New Roman" w:eastAsia="黑体"/>
          <w:b w:val="0"/>
          <w:color w:val="auto"/>
          <w:highlight w:val="none"/>
          <w:lang w:eastAsia="zh-CN"/>
        </w:rPr>
        <w:t>职责</w:t>
      </w:r>
      <w:bookmarkEnd w:id="11"/>
    </w:p>
    <w:p w14:paraId="1C721C1F">
      <w:pPr>
        <w:ind w:firstLine="800" w:firstLineChars="250"/>
        <w:outlineLvl w:val="9"/>
        <w:rPr>
          <w:rFonts w:hint="eastAsia" w:ascii="Times New Roman" w:hAnsi="Times New Roman" w:eastAsia="仿宋_GB2312" w:cs="仿宋_GB2312"/>
          <w:color w:val="auto"/>
          <w:sz w:val="32"/>
          <w:szCs w:val="32"/>
          <w:highlight w:val="none"/>
          <w:lang w:eastAsia="zh-CN"/>
        </w:rPr>
      </w:pPr>
      <w:r>
        <w:rPr>
          <w:rFonts w:hint="default" w:ascii="Times New Roman" w:hAnsi="Times New Roman" w:eastAsia="仿宋_GB2312" w:cs="仿宋_GB2312"/>
          <w:color w:val="auto"/>
          <w:sz w:val="32"/>
          <w:szCs w:val="32"/>
          <w:highlight w:val="none"/>
          <w:lang w:eastAsia="zh-CN"/>
        </w:rPr>
        <w:t>阿坝州归国华侨联合会主要职责是：依法维护归侨侨眷的合法权益；协助有关部门和单位开展引进海外侨胞的资金、技术、人才工作；开展对归侨侨眷、基层侨联组织和海外华侨、华人及其社团的联系、团结工作；配合有关部门和单位开展对外经济、文化、教育等方面的交流与合作；做好相关联络、宣传和接待服务工作；开展有关专题调研；参与涉侨部门组织的侨法调研；开展涉侨法律、法规、规章、政策咨询服务；承办涉侨信访工作；配合有关部门推荐侨界人大代表、政协委员人选等。</w:t>
      </w:r>
    </w:p>
    <w:p w14:paraId="25D58AC6">
      <w:pPr>
        <w:pStyle w:val="3"/>
        <w:outlineLvl w:val="1"/>
        <w:rPr>
          <w:rStyle w:val="30"/>
          <w:rFonts w:ascii="Times New Roman" w:hAnsi="Times New Roman"/>
          <w:b w:val="0"/>
          <w:bCs w:val="0"/>
          <w:color w:val="auto"/>
          <w:highlight w:val="none"/>
        </w:rPr>
      </w:pPr>
      <w:bookmarkStart w:id="12" w:name="_Toc15396601"/>
      <w:bookmarkStart w:id="13" w:name="_Toc1296"/>
      <w:bookmarkStart w:id="14" w:name="_Toc15377200"/>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12"/>
      <w:bookmarkEnd w:id="13"/>
      <w:bookmarkEnd w:id="14"/>
    </w:p>
    <w:p w14:paraId="062F61EF">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阿坝州归国华侨联合会为州委统战部下设二级预算单位。</w:t>
      </w:r>
    </w:p>
    <w:p w14:paraId="426D8746">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232534A1">
      <w:pPr>
        <w:pStyle w:val="2"/>
        <w:jc w:val="center"/>
        <w:outlineLvl w:val="0"/>
        <w:rPr>
          <w:rFonts w:hint="eastAsia" w:ascii="Times New Roman" w:hAnsi="Times New Roman" w:eastAsia="方正小标宋简体" w:cs="方正小标宋简体"/>
          <w:b w:val="0"/>
          <w:color w:val="auto"/>
          <w:highlight w:val="none"/>
        </w:rPr>
      </w:pPr>
      <w:bookmarkStart w:id="15" w:name="_Toc19438"/>
      <w:bookmarkStart w:id="16" w:name="_Toc15396602"/>
      <w:bookmarkStart w:id="17"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5"/>
      <w:bookmarkEnd w:id="16"/>
      <w:bookmarkEnd w:id="17"/>
    </w:p>
    <w:p w14:paraId="7545F8D8">
      <w:pPr>
        <w:rPr>
          <w:rFonts w:ascii="Times New Roman" w:hAnsi="Times New Roman"/>
          <w:color w:val="auto"/>
          <w:highlight w:val="none"/>
        </w:rPr>
      </w:pPr>
    </w:p>
    <w:p w14:paraId="08D37E5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8" w:name="_Toc15396603"/>
      <w:bookmarkStart w:id="19" w:name="_Toc31314"/>
      <w:bookmarkStart w:id="20"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8"/>
      <w:bookmarkEnd w:id="19"/>
      <w:bookmarkEnd w:id="20"/>
    </w:p>
    <w:p w14:paraId="0047674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59264" behindDoc="0" locked="0" layoutInCell="1" allowOverlap="1">
            <wp:simplePos x="0" y="0"/>
            <wp:positionH relativeFrom="column">
              <wp:posOffset>41275</wp:posOffset>
            </wp:positionH>
            <wp:positionV relativeFrom="paragraph">
              <wp:posOffset>1226820</wp:posOffset>
            </wp:positionV>
            <wp:extent cx="5256530" cy="2988310"/>
            <wp:effectExtent l="5080" t="4445" r="15240" b="1714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highlight w:val="none"/>
          <w:lang w:val="en-US" w:eastAsia="zh-CN"/>
        </w:rPr>
        <w:t>59.18</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ascii="仿宋_GB2312" w:hAnsi="仿宋_GB2312" w:eastAsia="仿宋_GB2312" w:cs="仿宋_GB2312"/>
          <w:sz w:val="32"/>
          <w:szCs w:val="32"/>
          <w:highlight w:val="none"/>
          <w:lang w:val="en-US" w:eastAsia="zh-CN"/>
        </w:rPr>
        <w:t>9.04</w:t>
      </w:r>
      <w:r>
        <w:rPr>
          <w:rFonts w:hint="eastAsia" w:ascii="Times New Roman" w:hAnsi="Times New Roman" w:eastAsia="仿宋_GB2312" w:cs="仿宋_GB2312"/>
          <w:color w:val="auto"/>
          <w:sz w:val="32"/>
          <w:szCs w:val="32"/>
          <w:highlight w:val="none"/>
        </w:rPr>
        <w:t>万元，增长</w:t>
      </w:r>
      <w:r>
        <w:rPr>
          <w:rFonts w:hint="eastAsia" w:ascii="仿宋_GB2312" w:hAnsi="仿宋_GB2312" w:eastAsia="仿宋_GB2312" w:cs="仿宋_GB2312"/>
          <w:sz w:val="32"/>
          <w:szCs w:val="32"/>
          <w:highlight w:val="none"/>
          <w:lang w:val="en-US" w:eastAsia="zh-CN"/>
        </w:rPr>
        <w:t>18.04</w:t>
      </w:r>
      <w:r>
        <w:rPr>
          <w:rFonts w:hint="eastAsia" w:ascii="Times New Roman" w:hAnsi="Times New Roman" w:eastAsia="仿宋_GB2312" w:cs="仿宋_GB2312"/>
          <w:color w:val="auto"/>
          <w:sz w:val="32"/>
          <w:szCs w:val="32"/>
          <w:highlight w:val="none"/>
        </w:rPr>
        <w:t>%。主要变动原因是</w:t>
      </w:r>
      <w:r>
        <w:rPr>
          <w:rFonts w:hint="eastAsia" w:ascii="仿宋_GB2312" w:hAnsi="仿宋_GB2312" w:eastAsia="仿宋_GB2312" w:cs="仿宋_GB2312"/>
          <w:sz w:val="32"/>
          <w:szCs w:val="32"/>
          <w:highlight w:val="none"/>
          <w:lang w:val="en-US" w:eastAsia="zh-CN"/>
        </w:rPr>
        <w:t>人员增加。</w:t>
      </w:r>
    </w:p>
    <w:p w14:paraId="4A78A499">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0506EA68">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1" w:name="_Toc15377206"/>
      <w:bookmarkStart w:id="22" w:name="_Toc15396604"/>
      <w:bookmarkStart w:id="23" w:name="_Toc20121"/>
      <w:r>
        <w:rPr>
          <w:rFonts w:hint="eastAsia" w:ascii="Times New Roman" w:hAnsi="Times New Roman" w:eastAsia="黑体"/>
          <w:color w:val="auto"/>
          <w:sz w:val="32"/>
          <w:szCs w:val="32"/>
          <w:highlight w:val="none"/>
          <w:lang w:eastAsia="zh-CN"/>
        </w:rPr>
        <w:t>二、收入决算情况说明</w:t>
      </w:r>
      <w:bookmarkEnd w:id="21"/>
      <w:bookmarkEnd w:id="22"/>
      <w:bookmarkEnd w:id="23"/>
    </w:p>
    <w:p w14:paraId="3911322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highlight w:val="none"/>
          <w:lang w:val="en-US" w:eastAsia="zh-CN"/>
        </w:rPr>
        <w:t>59.18</w:t>
      </w:r>
      <w:r>
        <w:rPr>
          <w:rFonts w:hint="eastAsia" w:ascii="仿宋_GB2312" w:hAnsi="仿宋_GB2312" w:eastAsia="仿宋_GB2312" w:cs="仿宋_GB2312"/>
          <w:sz w:val="32"/>
          <w:szCs w:val="32"/>
          <w:highlight w:val="none"/>
        </w:rPr>
        <w:t>万元，其中：一般公共预算财政拨款收入</w:t>
      </w:r>
      <w:r>
        <w:rPr>
          <w:rFonts w:hint="eastAsia" w:ascii="仿宋_GB2312" w:hAnsi="仿宋_GB2312" w:eastAsia="仿宋_GB2312" w:cs="仿宋_GB2312"/>
          <w:sz w:val="32"/>
          <w:szCs w:val="32"/>
          <w:highlight w:val="none"/>
          <w:lang w:val="en-US" w:eastAsia="zh-CN"/>
        </w:rPr>
        <w:t>59.18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sz w:val="32"/>
          <w:szCs w:val="32"/>
          <w:highlight w:val="none"/>
          <w:lang w:eastAsia="zh-CN"/>
        </w:rPr>
        <w:t>%。</w:t>
      </w:r>
    </w:p>
    <w:p w14:paraId="0BC7893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_GB2312" w:hAnsi="仿宋_GB2312" w:eastAsia="仿宋_GB2312" w:cs="仿宋_GB2312"/>
          <w:color w:val="auto"/>
          <w:sz w:val="32"/>
          <w:szCs w:val="32"/>
          <w:highlight w:val="none"/>
          <w:lang w:eastAsia="zh-CN"/>
        </w:rPr>
      </w:pPr>
    </w:p>
    <w:p w14:paraId="620BA40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仿宋_GB2312" w:cs="仿宋_GB2312"/>
          <w:color w:val="auto"/>
          <w:sz w:val="32"/>
          <w:szCs w:val="32"/>
          <w:highlight w:val="none"/>
          <w:lang w:eastAsia="zh-CN"/>
        </w:rPr>
      </w:pPr>
      <w:r>
        <w:rPr>
          <w:rFonts w:hint="default" w:ascii="仿宋" w:hAnsi="仿宋" w:eastAsia="仿宋"/>
          <w:color w:val="auto"/>
          <w:sz w:val="32"/>
          <w:szCs w:val="32"/>
          <w:highlight w:val="none"/>
          <w:lang w:val="en-US"/>
        </w:rPr>
        <w:drawing>
          <wp:anchor distT="0" distB="0" distL="114300" distR="114300" simplePos="0" relativeHeight="251660288" behindDoc="0" locked="0" layoutInCell="1" allowOverlap="1">
            <wp:simplePos x="0" y="0"/>
            <wp:positionH relativeFrom="column">
              <wp:posOffset>34290</wp:posOffset>
            </wp:positionH>
            <wp:positionV relativeFrom="paragraph">
              <wp:posOffset>33655</wp:posOffset>
            </wp:positionV>
            <wp:extent cx="5256530" cy="2988310"/>
            <wp:effectExtent l="5080" t="4445" r="15240" b="1714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Times New Roman" w:hAnsi="Times New Roman" w:eastAsia="仿宋_GB2312" w:cs="仿宋_GB2312"/>
          <w:color w:val="auto"/>
          <w:sz w:val="32"/>
          <w:szCs w:val="32"/>
          <w:highlight w:val="none"/>
          <w:lang w:eastAsia="zh-CN"/>
        </w:rPr>
        <w:t>（图2：收入决算结构图）（饼状图）</w:t>
      </w:r>
    </w:p>
    <w:p w14:paraId="59AFF39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4" w:name="_Toc15377207"/>
      <w:bookmarkStart w:id="25" w:name="_Toc15396605"/>
      <w:bookmarkStart w:id="26" w:name="_Toc1487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24"/>
      <w:bookmarkEnd w:id="25"/>
      <w:bookmarkEnd w:id="26"/>
    </w:p>
    <w:p w14:paraId="265AC5D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highlight w:val="none"/>
          <w:lang w:val="en-US" w:eastAsia="zh-CN"/>
        </w:rPr>
        <w:t>59.18</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highlight w:val="none"/>
          <w:lang w:val="en-US" w:eastAsia="zh-CN"/>
        </w:rPr>
        <w:t>59.18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sz w:val="32"/>
          <w:szCs w:val="32"/>
          <w:highlight w:val="none"/>
          <w:lang w:eastAsia="zh-CN"/>
        </w:rPr>
        <w:t>%。</w:t>
      </w:r>
    </w:p>
    <w:p w14:paraId="21FFD143">
      <w:pPr>
        <w:jc w:val="center"/>
        <w:outlineLvl w:val="9"/>
        <w:rPr>
          <w:rFonts w:hint="eastAsia" w:ascii="Times New Roman" w:hAnsi="Times New Roman" w:eastAsia="仿宋_GB2312" w:cs="仿宋_GB2312"/>
          <w:color w:val="auto"/>
          <w:sz w:val="32"/>
          <w:szCs w:val="32"/>
          <w:highlight w:val="none"/>
          <w:lang w:eastAsia="zh-CN"/>
        </w:rPr>
      </w:pPr>
      <w:r>
        <w:rPr>
          <w:rFonts w:hint="default" w:ascii="仿宋" w:hAnsi="仿宋" w:eastAsia="仿宋"/>
          <w:color w:val="auto"/>
          <w:sz w:val="32"/>
          <w:szCs w:val="32"/>
          <w:highlight w:val="none"/>
          <w:lang w:val="en-US"/>
        </w:rPr>
        <w:drawing>
          <wp:anchor distT="0" distB="0" distL="114300" distR="114300" simplePos="0" relativeHeight="251661312" behindDoc="0" locked="0" layoutInCell="1" allowOverlap="1">
            <wp:simplePos x="0" y="0"/>
            <wp:positionH relativeFrom="column">
              <wp:posOffset>43180</wp:posOffset>
            </wp:positionH>
            <wp:positionV relativeFrom="paragraph">
              <wp:posOffset>76200</wp:posOffset>
            </wp:positionV>
            <wp:extent cx="5256530" cy="2988310"/>
            <wp:effectExtent l="5080" t="4445" r="15240" b="1714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Times New Roman" w:hAnsi="Times New Roman" w:eastAsia="仿宋_GB2312" w:cs="仿宋_GB2312"/>
          <w:color w:val="auto"/>
          <w:sz w:val="32"/>
          <w:szCs w:val="32"/>
          <w:highlight w:val="none"/>
          <w:lang w:eastAsia="zh-CN"/>
        </w:rPr>
        <w:t>（图3：支出决算结构图）（饼状图）</w:t>
      </w:r>
    </w:p>
    <w:p w14:paraId="5A01262A">
      <w:pPr>
        <w:spacing w:line="600" w:lineRule="exact"/>
        <w:ind w:firstLine="640" w:firstLineChars="200"/>
        <w:outlineLvl w:val="1"/>
        <w:rPr>
          <w:rStyle w:val="30"/>
          <w:rFonts w:ascii="Times New Roman" w:hAnsi="Times New Roman" w:eastAsia="黑体"/>
          <w:b w:val="0"/>
          <w:color w:val="auto"/>
          <w:highlight w:val="none"/>
        </w:rPr>
      </w:pPr>
      <w:bookmarkStart w:id="27" w:name="_Toc15396606"/>
      <w:bookmarkStart w:id="28" w:name="_Toc27251"/>
      <w:bookmarkStart w:id="29" w:name="_Toc15377208"/>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27"/>
      <w:bookmarkEnd w:id="28"/>
      <w:bookmarkEnd w:id="29"/>
    </w:p>
    <w:p w14:paraId="06E577E6">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highlight w:val="none"/>
          <w:lang w:val="en-US" w:eastAsia="zh-CN"/>
        </w:rPr>
        <w:t>59.18</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r>
        <w:rPr>
          <w:rFonts w:hint="eastAsia" w:ascii="仿宋_GB2312" w:hAnsi="仿宋_GB2312" w:eastAsia="仿宋_GB2312" w:cs="仿宋_GB2312"/>
          <w:sz w:val="32"/>
          <w:szCs w:val="32"/>
          <w:highlight w:val="none"/>
          <w:lang w:val="en-US" w:eastAsia="zh-CN"/>
        </w:rPr>
        <w:t>9.04</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ascii="仿宋_GB2312" w:hAnsi="仿宋_GB2312" w:eastAsia="仿宋_GB2312" w:cs="仿宋_GB2312"/>
          <w:sz w:val="32"/>
          <w:szCs w:val="32"/>
          <w:highlight w:val="none"/>
          <w:lang w:val="en-US" w:eastAsia="zh-CN"/>
        </w:rPr>
        <w:t>18.04</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ascii="仿宋_GB2312" w:hAnsi="仿宋_GB2312" w:eastAsia="仿宋_GB2312" w:cs="仿宋_GB2312"/>
          <w:sz w:val="32"/>
          <w:szCs w:val="32"/>
          <w:highlight w:val="none"/>
          <w:lang w:val="en-US" w:eastAsia="zh-CN"/>
        </w:rPr>
        <w:t>人员增加。</w:t>
      </w:r>
    </w:p>
    <w:p w14:paraId="47B10279">
      <w:pPr>
        <w:pStyle w:val="14"/>
        <w:outlineLvl w:val="9"/>
        <w:rPr>
          <w:rFonts w:hint="eastAsia"/>
          <w:highlight w:val="none"/>
          <w:lang w:val="en-US" w:eastAsia="zh-CN"/>
        </w:rPr>
      </w:pPr>
    </w:p>
    <w:p w14:paraId="5774FC8E">
      <w:pPr>
        <w:spacing w:line="600" w:lineRule="exact"/>
        <w:jc w:val="center"/>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2336" behindDoc="0" locked="0" layoutInCell="1" allowOverlap="1">
            <wp:simplePos x="0" y="0"/>
            <wp:positionH relativeFrom="column">
              <wp:posOffset>43815</wp:posOffset>
            </wp:positionH>
            <wp:positionV relativeFrom="paragraph">
              <wp:posOffset>10795</wp:posOffset>
            </wp:positionV>
            <wp:extent cx="5256530" cy="2988310"/>
            <wp:effectExtent l="5080" t="4445" r="15240" b="1714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56DC149D">
      <w:pPr>
        <w:spacing w:line="600" w:lineRule="exact"/>
        <w:ind w:firstLine="640" w:firstLineChars="200"/>
        <w:outlineLvl w:val="1"/>
        <w:rPr>
          <w:rStyle w:val="30"/>
          <w:rFonts w:ascii="Times New Roman" w:hAnsi="Times New Roman" w:eastAsia="黑体"/>
          <w:b w:val="0"/>
          <w:color w:val="auto"/>
          <w:highlight w:val="none"/>
        </w:rPr>
      </w:pPr>
      <w:bookmarkStart w:id="30" w:name="_Toc15614"/>
      <w:bookmarkStart w:id="31" w:name="_Toc15396607"/>
      <w:bookmarkStart w:id="32"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30"/>
      <w:bookmarkEnd w:id="31"/>
      <w:bookmarkEnd w:id="32"/>
    </w:p>
    <w:p w14:paraId="48CD862A">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33"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3"/>
    </w:p>
    <w:p w14:paraId="2B99C60C">
      <w:pPr>
        <w:spacing w:line="600" w:lineRule="exact"/>
        <w:ind w:firstLine="640"/>
        <w:outlineLvl w:val="9"/>
        <w:rPr>
          <w:rFonts w:hint="default"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highlight w:val="none"/>
          <w:lang w:val="en-US" w:eastAsia="zh-CN"/>
        </w:rPr>
        <w:t>59.18</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w:t>
      </w:r>
      <w:r>
        <w:rPr>
          <w:rFonts w:hint="eastAsia" w:ascii="仿宋_GB2312" w:hAnsi="仿宋_GB2312" w:eastAsia="仿宋_GB2312" w:cs="仿宋_GB2312"/>
          <w:sz w:val="32"/>
          <w:szCs w:val="32"/>
          <w:highlight w:val="none"/>
          <w:lang w:val="en-US" w:eastAsia="zh-CN"/>
        </w:rPr>
        <w:t>9.04</w:t>
      </w:r>
      <w:r>
        <w:rPr>
          <w:rFonts w:hint="eastAsia" w:ascii="仿宋_GB2312" w:hAnsi="仿宋_GB2312" w:eastAsia="仿宋_GB2312" w:cs="仿宋_GB2312"/>
          <w:color w:val="auto"/>
          <w:kern w:val="2"/>
          <w:sz w:val="32"/>
          <w:szCs w:val="32"/>
          <w:highlight w:val="none"/>
          <w:lang w:val="en-US" w:eastAsia="zh-CN" w:bidi="ar-SA"/>
        </w:rPr>
        <w:t>万元，增长</w:t>
      </w:r>
      <w:r>
        <w:rPr>
          <w:rFonts w:hint="eastAsia" w:ascii="仿宋_GB2312" w:hAnsi="仿宋_GB2312" w:eastAsia="仿宋_GB2312" w:cs="仿宋_GB2312"/>
          <w:sz w:val="32"/>
          <w:szCs w:val="32"/>
          <w:highlight w:val="none"/>
          <w:lang w:val="en-US" w:eastAsia="zh-CN"/>
        </w:rPr>
        <w:t>18.04</w:t>
      </w:r>
      <w:r>
        <w:rPr>
          <w:rFonts w:hint="eastAsia" w:ascii="仿宋_GB2312" w:hAnsi="仿宋_GB2312" w:eastAsia="仿宋_GB2312" w:cs="仿宋_GB2312"/>
          <w:color w:val="auto"/>
          <w:kern w:val="2"/>
          <w:sz w:val="32"/>
          <w:szCs w:val="32"/>
          <w:highlight w:val="none"/>
          <w:lang w:val="en-US" w:eastAsia="zh-CN" w:bidi="ar-SA"/>
        </w:rPr>
        <w:t>%。主要变动原因是</w:t>
      </w:r>
      <w:r>
        <w:rPr>
          <w:rFonts w:hint="eastAsia" w:ascii="仿宋_GB2312" w:hAnsi="仿宋_GB2312" w:eastAsia="仿宋_GB2312" w:cs="仿宋_GB2312"/>
          <w:sz w:val="32"/>
          <w:szCs w:val="32"/>
          <w:highlight w:val="none"/>
          <w:lang w:val="en-US" w:eastAsia="zh-CN"/>
        </w:rPr>
        <w:t>人员增加。</w:t>
      </w:r>
    </w:p>
    <w:p w14:paraId="0911C3F2">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p>
    <w:p w14:paraId="33DBE715">
      <w:pPr>
        <w:spacing w:line="600" w:lineRule="exact"/>
        <w:jc w:val="center"/>
        <w:outlineLvl w:val="9"/>
        <w:rPr>
          <w:rFonts w:hint="eastAsia" w:ascii="Times New Roman" w:hAnsi="Times New Roman" w:eastAsia="仿宋_GB2312" w:cs="仿宋_GB2312"/>
          <w:color w:val="auto"/>
          <w:kern w:val="2"/>
          <w:sz w:val="32"/>
          <w:szCs w:val="32"/>
          <w:highlight w:val="none"/>
          <w:lang w:val="en-US" w:eastAsia="zh-CN" w:bidi="ar-SA"/>
        </w:rPr>
      </w:pPr>
    </w:p>
    <w:p w14:paraId="6AE4BCB4">
      <w:pPr>
        <w:spacing w:line="600" w:lineRule="exact"/>
        <w:jc w:val="center"/>
        <w:outlineLvl w:val="9"/>
        <w:rPr>
          <w:rFonts w:hint="eastAsia" w:ascii="Times New Roman" w:hAnsi="Times New Roman" w:eastAsia="仿宋_GB2312" w:cs="仿宋_GB2312"/>
          <w:color w:val="auto"/>
          <w:kern w:val="2"/>
          <w:sz w:val="32"/>
          <w:szCs w:val="32"/>
          <w:highlight w:val="none"/>
          <w:lang w:val="en-US" w:eastAsia="zh-CN" w:bidi="ar-SA"/>
        </w:rPr>
      </w:pPr>
    </w:p>
    <w:p w14:paraId="5EA93293">
      <w:pPr>
        <w:spacing w:line="600" w:lineRule="exact"/>
        <w:jc w:val="both"/>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3360" behindDoc="0" locked="0" layoutInCell="1" allowOverlap="1">
            <wp:simplePos x="0" y="0"/>
            <wp:positionH relativeFrom="column">
              <wp:posOffset>61595</wp:posOffset>
            </wp:positionH>
            <wp:positionV relativeFrom="paragraph">
              <wp:posOffset>42545</wp:posOffset>
            </wp:positionV>
            <wp:extent cx="5256530" cy="2988310"/>
            <wp:effectExtent l="5080" t="4445" r="15240" b="1714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5176ACCA">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p>
    <w:p w14:paraId="628C330E">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34"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4"/>
    </w:p>
    <w:p w14:paraId="469E755E">
      <w:pPr>
        <w:spacing w:line="600" w:lineRule="exact"/>
        <w:ind w:firstLine="640"/>
        <w:outlineLvl w:val="9"/>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highlight w:val="none"/>
          <w:lang w:val="en-US" w:eastAsia="zh-CN"/>
        </w:rPr>
        <w:t>59.18</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ascii="仿宋_GB2312" w:hAnsi="仿宋_GB2312" w:eastAsia="仿宋_GB2312" w:cs="仿宋_GB2312"/>
          <w:sz w:val="32"/>
          <w:szCs w:val="32"/>
          <w:highlight w:val="none"/>
          <w:lang w:val="en-US" w:eastAsia="zh-CN"/>
        </w:rPr>
        <w:t>45.99</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78</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ascii="仿宋_GB2312" w:hAnsi="仿宋_GB2312" w:eastAsia="仿宋_GB2312" w:cs="仿宋_GB2312"/>
          <w:sz w:val="32"/>
          <w:szCs w:val="32"/>
          <w:highlight w:val="none"/>
          <w:lang w:val="en-US" w:eastAsia="zh-CN"/>
        </w:rPr>
        <w:t>6.42</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ascii="仿宋_GB2312" w:hAnsi="仿宋_GB2312" w:eastAsia="仿宋_GB2312" w:cs="仿宋_GB2312"/>
          <w:sz w:val="32"/>
          <w:szCs w:val="32"/>
          <w:highlight w:val="none"/>
          <w:lang w:val="en-US" w:eastAsia="zh-CN"/>
        </w:rPr>
        <w:t>2.76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ascii="仿宋_GB2312" w:hAnsi="仿宋_GB2312" w:eastAsia="仿宋_GB2312" w:cs="仿宋_GB2312"/>
          <w:sz w:val="32"/>
          <w:szCs w:val="32"/>
          <w:highlight w:val="none"/>
          <w:lang w:val="en-US" w:eastAsia="zh-CN"/>
        </w:rPr>
        <w:t>4</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1128E98B">
      <w:pPr>
        <w:pStyle w:val="8"/>
        <w:ind w:left="0" w:leftChars="0" w:firstLine="0" w:firstLineChars="0"/>
        <w:outlineLvl w:val="9"/>
        <w:rPr>
          <w:rFonts w:hint="eastAsia"/>
          <w:highlight w:val="none"/>
          <w:lang w:val="en-US" w:eastAsia="zh-CN"/>
        </w:rPr>
      </w:pPr>
    </w:p>
    <w:p w14:paraId="360E76A0">
      <w:pPr>
        <w:pStyle w:val="8"/>
        <w:ind w:left="0" w:leftChars="0" w:firstLine="0" w:firstLineChars="0"/>
        <w:jc w:val="center"/>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s="仿宋"/>
          <w:color w:val="auto"/>
          <w:sz w:val="32"/>
          <w:szCs w:val="32"/>
          <w:highlight w:val="none"/>
          <w:lang w:val="zh-CN" w:eastAsia="zh-CN"/>
        </w:rPr>
        <w:drawing>
          <wp:inline distT="0" distB="0" distL="114300" distR="114300">
            <wp:extent cx="5256530" cy="2988310"/>
            <wp:effectExtent l="5080" t="4445" r="1524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57FBB1A0">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35"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5"/>
    </w:p>
    <w:p w14:paraId="32C683C3">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bookmarkStart w:id="36" w:name="_Toc15377213"/>
      <w:bookmarkStart w:id="37" w:name="_Toc15378460"/>
      <w:bookmarkStart w:id="38"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highlight w:val="none"/>
          <w:lang w:val="en-US" w:eastAsia="zh-CN"/>
        </w:rPr>
        <w:t>59.18</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6"/>
      <w:bookmarkEnd w:id="37"/>
      <w:bookmarkEnd w:id="38"/>
    </w:p>
    <w:p w14:paraId="7880CD78">
      <w:pPr>
        <w:numPr>
          <w:ilvl w:val="0"/>
          <w:numId w:val="1"/>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一般公共服务支出（20</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）统战事务（</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）事业运行（</w:t>
      </w:r>
      <w:r>
        <w:rPr>
          <w:rFonts w:hint="eastAsia" w:eastAsia="仿宋_GB2312" w:cs="仿宋_GB2312"/>
          <w:color w:val="auto"/>
          <w:kern w:val="2"/>
          <w:sz w:val="32"/>
          <w:szCs w:val="32"/>
          <w:highlight w:val="none"/>
          <w:lang w:val="en-US" w:eastAsia="zh-CN" w:bidi="ar-SA"/>
        </w:rPr>
        <w:t>50</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410.63</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r>
        <w:rPr>
          <w:rFonts w:hint="eastAsia" w:eastAsia="仿宋_GB2312" w:cs="仿宋_GB2312"/>
          <w:color w:val="auto"/>
          <w:kern w:val="2"/>
          <w:sz w:val="32"/>
          <w:szCs w:val="32"/>
          <w:highlight w:val="none"/>
          <w:lang w:val="en-US" w:eastAsia="zh-CN" w:bidi="ar-SA"/>
        </w:rPr>
        <w:t>。</w:t>
      </w:r>
    </w:p>
    <w:p w14:paraId="642693E7">
      <w:pPr>
        <w:numPr>
          <w:ilvl w:val="0"/>
          <w:numId w:val="1"/>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社会保障和就业支出（208）行政事业单位养老支出（05）机关事业单位基本养老保险缴费支出（05）:支出决算为</w:t>
      </w:r>
      <w:r>
        <w:rPr>
          <w:rFonts w:hint="eastAsia" w:eastAsia="仿宋_GB2312" w:cs="仿宋_GB2312"/>
          <w:color w:val="auto"/>
          <w:kern w:val="2"/>
          <w:sz w:val="32"/>
          <w:szCs w:val="32"/>
          <w:highlight w:val="none"/>
          <w:lang w:val="en-US" w:eastAsia="zh-CN" w:bidi="ar-SA"/>
        </w:rPr>
        <w:t>120.45</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14:paraId="6153036B">
      <w:pPr>
        <w:numPr>
          <w:ilvl w:val="0"/>
          <w:numId w:val="1"/>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社会保障和就业支出（208）行政事业单位养老支出（05）机关事业单位职业年金缴费支出（06）:支出决算为</w:t>
      </w:r>
      <w:r>
        <w:rPr>
          <w:rFonts w:hint="eastAsia" w:eastAsia="仿宋_GB2312" w:cs="仿宋_GB2312"/>
          <w:color w:val="auto"/>
          <w:kern w:val="2"/>
          <w:sz w:val="32"/>
          <w:szCs w:val="32"/>
          <w:highlight w:val="none"/>
          <w:lang w:val="en-US" w:eastAsia="zh-CN" w:bidi="ar-SA"/>
        </w:rPr>
        <w:t>55.85</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14:paraId="46FC252B">
      <w:pPr>
        <w:numPr>
          <w:ilvl w:val="0"/>
          <w:numId w:val="1"/>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卫生健康支出（210）行政事业单位医疗（11）事业单位医疗（</w:t>
      </w:r>
      <w:r>
        <w:rPr>
          <w:rFonts w:hint="eastAsia" w:eastAsia="仿宋_GB2312" w:cs="仿宋_GB2312"/>
          <w:color w:val="auto"/>
          <w:kern w:val="2"/>
          <w:sz w:val="32"/>
          <w:szCs w:val="32"/>
          <w:highlight w:val="none"/>
          <w:lang w:val="en-US" w:eastAsia="zh-CN" w:bidi="ar-SA"/>
        </w:rPr>
        <w:t>02</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19.59</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14:paraId="63957032">
      <w:pPr>
        <w:numPr>
          <w:ilvl w:val="0"/>
          <w:numId w:val="1"/>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卫生健康支出（210）行政事业单位医疗（11）其他行政事业单位医疗支出（</w:t>
      </w:r>
      <w:r>
        <w:rPr>
          <w:rFonts w:hint="eastAsia" w:eastAsia="仿宋_GB2312" w:cs="仿宋_GB2312"/>
          <w:color w:val="auto"/>
          <w:kern w:val="2"/>
          <w:sz w:val="32"/>
          <w:szCs w:val="32"/>
          <w:highlight w:val="none"/>
          <w:lang w:val="en-US" w:eastAsia="zh-CN" w:bidi="ar-SA"/>
        </w:rPr>
        <w:t>99</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4.61</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14:paraId="61FC5BB1">
      <w:pPr>
        <w:numPr>
          <w:ilvl w:val="0"/>
          <w:numId w:val="1"/>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住房保障支出（221）住房改革支出（02）住房公积金（01）:支出决算为</w:t>
      </w:r>
      <w:r>
        <w:rPr>
          <w:rFonts w:hint="eastAsia" w:eastAsia="仿宋_GB2312" w:cs="仿宋_GB2312"/>
          <w:color w:val="auto"/>
          <w:kern w:val="2"/>
          <w:sz w:val="32"/>
          <w:szCs w:val="32"/>
          <w:highlight w:val="none"/>
          <w:lang w:val="en-US" w:eastAsia="zh-CN" w:bidi="ar-SA"/>
        </w:rPr>
        <w:t>99.71</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r>
        <w:rPr>
          <w:rFonts w:hint="eastAsia" w:eastAsia="仿宋_GB2312" w:cs="仿宋_GB2312"/>
          <w:color w:val="auto"/>
          <w:kern w:val="2"/>
          <w:sz w:val="32"/>
          <w:szCs w:val="32"/>
          <w:highlight w:val="none"/>
          <w:lang w:val="en-US" w:eastAsia="zh-CN" w:bidi="ar-SA"/>
        </w:rPr>
        <w:t>。</w:t>
      </w:r>
    </w:p>
    <w:p w14:paraId="492899EA">
      <w:pPr>
        <w:tabs>
          <w:tab w:val="right" w:pos="8306"/>
        </w:tabs>
        <w:spacing w:line="600" w:lineRule="exact"/>
        <w:ind w:firstLine="640"/>
        <w:outlineLvl w:val="1"/>
        <w:rPr>
          <w:rStyle w:val="30"/>
          <w:rFonts w:ascii="Times New Roman" w:hAnsi="Times New Roman"/>
          <w:color w:val="auto"/>
          <w:highlight w:val="none"/>
        </w:rPr>
      </w:pPr>
      <w:bookmarkStart w:id="39" w:name="_Toc15396608"/>
      <w:bookmarkStart w:id="40" w:name="_Toc15377214"/>
      <w:bookmarkStart w:id="41" w:name="_Toc9770"/>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39"/>
      <w:bookmarkEnd w:id="40"/>
      <w:bookmarkEnd w:id="41"/>
      <w:r>
        <w:rPr>
          <w:rStyle w:val="30"/>
          <w:rFonts w:ascii="Times New Roman" w:hAnsi="Times New Roman" w:eastAsia="黑体"/>
          <w:b w:val="0"/>
          <w:color w:val="auto"/>
          <w:highlight w:val="none"/>
        </w:rPr>
        <w:tab/>
      </w:r>
    </w:p>
    <w:p w14:paraId="3F8DB63B">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highlight w:val="none"/>
          <w:lang w:val="en-US" w:eastAsia="zh-CN"/>
        </w:rPr>
        <w:t>59.18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bookmarkStart w:id="93" w:name="_GoBack"/>
      <w:bookmarkEnd w:id="93"/>
    </w:p>
    <w:p w14:paraId="652D97BC">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highlight w:val="none"/>
          <w:lang w:val="en-US" w:eastAsia="zh-CN"/>
        </w:rPr>
        <w:t>51.65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eastAsia="仿宋_GB2312" w:cs="仿宋_GB2312"/>
          <w:color w:val="auto"/>
          <w:kern w:val="2"/>
          <w:sz w:val="32"/>
          <w:szCs w:val="32"/>
          <w:highlight w:val="none"/>
          <w:lang w:val="en-US" w:eastAsia="zh-CN" w:bidi="ar-SA"/>
        </w:rPr>
        <w:t>主要包括：基本工资、津贴补贴、奖金、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highlight w:val="none"/>
          <w:lang w:val="en-US" w:eastAsia="zh-CN"/>
        </w:rPr>
        <w:t>7.53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eastAsia="仿宋_GB2312" w:cs="仿宋_GB2312"/>
          <w:color w:val="auto"/>
          <w:kern w:val="2"/>
          <w:sz w:val="32"/>
          <w:szCs w:val="32"/>
          <w:highlight w:val="none"/>
          <w:lang w:val="en-US" w:eastAsia="zh-CN" w:bidi="ar-SA"/>
        </w:rPr>
        <w:t>主要包括：办公费、印刷费、咨询费、手续费、水费、电费、邮电费、物业管理费、差旅费、维修（护）费、租赁费、会议费、培训费、公务接待费、劳务费、委托业务费、工会经费、福利费、公务用车运行维护费、其他交通费、其他商品和服务支出、办公设备购置、专用设备购置、信息网络及软件购置更新等。</w:t>
      </w:r>
    </w:p>
    <w:p w14:paraId="081D479E">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032232BB">
      <w:pPr>
        <w:spacing w:line="600" w:lineRule="exact"/>
        <w:ind w:firstLine="640"/>
        <w:outlineLvl w:val="1"/>
        <w:rPr>
          <w:rStyle w:val="30"/>
          <w:rFonts w:ascii="Times New Roman" w:hAnsi="Times New Roman" w:eastAsia="黑体"/>
          <w:b w:val="0"/>
          <w:color w:val="auto"/>
          <w:highlight w:val="none"/>
        </w:rPr>
      </w:pPr>
      <w:bookmarkStart w:id="42" w:name="_Toc15377215"/>
      <w:bookmarkStart w:id="43" w:name="_Toc26098"/>
      <w:bookmarkStart w:id="44" w:name="_Toc15396609"/>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42"/>
      <w:bookmarkEnd w:id="43"/>
      <w:bookmarkEnd w:id="44"/>
    </w:p>
    <w:p w14:paraId="3CCB4AC1">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45"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5"/>
    </w:p>
    <w:p w14:paraId="2370DED8">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%。决算数与预算数持平</w:t>
      </w:r>
      <w:r>
        <w:rPr>
          <w:rFonts w:hint="eastAsia" w:ascii="仿宋_GB2312" w:hAnsi="仿宋_GB2312" w:eastAsia="仿宋_GB2312" w:cs="仿宋_GB2312"/>
          <w:sz w:val="32"/>
          <w:szCs w:val="32"/>
          <w:highlight w:val="none"/>
          <w:lang w:val="en-US" w:eastAsia="zh-CN"/>
        </w:rPr>
        <w:t>。</w:t>
      </w:r>
    </w:p>
    <w:p w14:paraId="46323A85">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46"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6"/>
    </w:p>
    <w:p w14:paraId="67DF90F9">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万元，占0%；公务接待费支出决算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万元，占0%。</w:t>
      </w:r>
    </w:p>
    <w:p w14:paraId="5F9EB77E">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0A53B0D3">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b/>
          <w:bCs/>
          <w:color w:val="auto"/>
          <w:kern w:val="2"/>
          <w:sz w:val="32"/>
          <w:szCs w:val="32"/>
          <w:highlight w:val="none"/>
          <w:lang w:val="en-US" w:eastAsia="zh-CN" w:bidi="ar-SA"/>
        </w:rPr>
        <w:t>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highlight w:val="none"/>
          <w:lang w:val="en-US" w:eastAsia="zh-CN"/>
        </w:rPr>
        <w:t>。</w:t>
      </w:r>
    </w:p>
    <w:p w14:paraId="0CC9F587">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辆。</w:t>
      </w:r>
    </w:p>
    <w:p w14:paraId="4A38F644">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截至2024年12月31日，单位共有公务用车</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p>
    <w:p w14:paraId="425EFF96">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万元。</w:t>
      </w:r>
    </w:p>
    <w:p w14:paraId="5A264BEB">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b/>
          <w:bCs/>
          <w:color w:val="auto"/>
          <w:kern w:val="2"/>
          <w:sz w:val="32"/>
          <w:szCs w:val="32"/>
          <w:highlight w:val="none"/>
          <w:lang w:val="en-US" w:eastAsia="zh-CN" w:bidi="ar-SA"/>
        </w:rPr>
        <w:t>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%。其中：</w:t>
      </w:r>
    </w:p>
    <w:p w14:paraId="4D9B6310">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万元。</w:t>
      </w:r>
    </w:p>
    <w:p w14:paraId="609F30AC">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万元。外事接待</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人次（不包括陪同人员），共计支出0万</w:t>
      </w:r>
      <w:r>
        <w:rPr>
          <w:rFonts w:hint="eastAsia" w:ascii="Times New Roman" w:hAnsi="Times New Roman" w:eastAsia="仿宋_GB2312" w:cs="仿宋_GB2312"/>
          <w:color w:val="auto"/>
          <w:kern w:val="2"/>
          <w:sz w:val="32"/>
          <w:szCs w:val="32"/>
          <w:highlight w:val="none"/>
          <w:lang w:val="en-US" w:eastAsia="zh-CN" w:bidi="ar-SA"/>
        </w:rPr>
        <w:t>元。</w:t>
      </w:r>
      <w:bookmarkStart w:id="47" w:name="_Toc15396610"/>
      <w:bookmarkStart w:id="48" w:name="_Toc15377218"/>
    </w:p>
    <w:p w14:paraId="16B733E7">
      <w:pPr>
        <w:spacing w:line="600" w:lineRule="exact"/>
        <w:ind w:firstLine="640"/>
        <w:outlineLvl w:val="1"/>
        <w:rPr>
          <w:rStyle w:val="30"/>
          <w:rFonts w:ascii="Times New Roman" w:hAnsi="Times New Roman" w:eastAsia="黑体"/>
          <w:color w:val="auto"/>
          <w:highlight w:val="none"/>
        </w:rPr>
      </w:pPr>
      <w:bookmarkStart w:id="49" w:name="_Toc7073"/>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47"/>
      <w:bookmarkEnd w:id="48"/>
      <w:bookmarkEnd w:id="49"/>
    </w:p>
    <w:p w14:paraId="05B5037C">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w:t>
      </w:r>
    </w:p>
    <w:p w14:paraId="0116953A">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50" w:name="_Toc15377219"/>
      <w:bookmarkStart w:id="51" w:name="_Toc15396611"/>
      <w:bookmarkStart w:id="52" w:name="_Toc9897"/>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50"/>
      <w:bookmarkEnd w:id="51"/>
      <w:bookmarkEnd w:id="52"/>
    </w:p>
    <w:p w14:paraId="10E1E4C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4370398F">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53" w:name="_Toc15377221"/>
      <w:bookmarkStart w:id="54" w:name="_Toc8130"/>
      <w:bookmarkStart w:id="55" w:name="_Toc15396612"/>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53"/>
      <w:bookmarkEnd w:id="54"/>
      <w:bookmarkEnd w:id="55"/>
    </w:p>
    <w:p w14:paraId="0DCF67A4">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56" w:name="_Toc15377222"/>
      <w:r>
        <w:rPr>
          <w:rFonts w:hint="eastAsia" w:ascii="Times New Roman" w:hAnsi="Times New Roman" w:eastAsia="楷体_GB2312" w:cs="楷体_GB2312"/>
          <w:b/>
          <w:color w:val="auto"/>
          <w:sz w:val="32"/>
          <w:szCs w:val="32"/>
          <w:highlight w:val="none"/>
        </w:rPr>
        <w:t>（一）机关运行经费支出情况</w:t>
      </w:r>
      <w:bookmarkEnd w:id="56"/>
    </w:p>
    <w:p w14:paraId="3AA99B37">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highlight w:val="none"/>
          <w:lang w:val="en-US" w:eastAsia="zh-CN"/>
        </w:rPr>
        <w:t>阿坝藏族羌族自治州归国华侨联合会</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ascii="仿宋_GB2312" w:hAnsi="仿宋_GB2312" w:eastAsia="仿宋_GB2312" w:cs="仿宋_GB2312"/>
          <w:sz w:val="32"/>
          <w:szCs w:val="32"/>
          <w:highlight w:val="none"/>
          <w:lang w:val="en-US" w:eastAsia="zh-CN"/>
        </w:rPr>
        <w:t>0</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ascii="仿宋_GB2312" w:hAnsi="仿宋_GB2312" w:eastAsia="仿宋_GB2312" w:cs="仿宋_GB2312"/>
          <w:sz w:val="32"/>
          <w:szCs w:val="32"/>
          <w:highlight w:val="none"/>
          <w:lang w:val="en-US" w:eastAsia="zh-CN"/>
        </w:rPr>
        <w:t>。</w:t>
      </w:r>
    </w:p>
    <w:p w14:paraId="22965F37">
      <w:pPr>
        <w:spacing w:line="600" w:lineRule="exact"/>
        <w:ind w:firstLine="643" w:firstLineChars="200"/>
        <w:outlineLvl w:val="9"/>
        <w:rPr>
          <w:rFonts w:hint="eastAsia" w:ascii="Times New Roman" w:hAnsi="Times New Roman" w:eastAsia="楷体_GB2312" w:cs="楷体_GB2312"/>
          <w:b/>
          <w:color w:val="FF0000"/>
          <w:sz w:val="32"/>
          <w:szCs w:val="32"/>
          <w:highlight w:val="none"/>
          <w:lang w:eastAsia="zh-CN"/>
        </w:rPr>
      </w:pPr>
      <w:bookmarkStart w:id="57" w:name="_Toc15377223"/>
      <w:r>
        <w:rPr>
          <w:rFonts w:hint="eastAsia" w:ascii="Times New Roman" w:hAnsi="Times New Roman" w:eastAsia="楷体_GB2312" w:cs="楷体_GB2312"/>
          <w:b/>
          <w:color w:val="auto"/>
          <w:sz w:val="32"/>
          <w:szCs w:val="32"/>
          <w:highlight w:val="none"/>
        </w:rPr>
        <w:t>（二）政府采购支出情况</w:t>
      </w:r>
      <w:bookmarkEnd w:id="57"/>
    </w:p>
    <w:p w14:paraId="75840CD0">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highlight w:val="none"/>
          <w:lang w:val="en-US" w:eastAsia="zh-CN"/>
        </w:rPr>
        <w:t>阿坝藏族羌族自治州归国华侨联合会</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w:t>
      </w:r>
    </w:p>
    <w:p w14:paraId="5C24164F">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bookmarkStart w:id="58" w:name="_Toc15377224"/>
      <w:r>
        <w:rPr>
          <w:rFonts w:hint="eastAsia" w:ascii="Times New Roman" w:hAnsi="Times New Roman" w:eastAsia="楷体_GB2312" w:cs="楷体_GB2312"/>
          <w:b/>
          <w:color w:val="auto"/>
          <w:sz w:val="32"/>
          <w:szCs w:val="32"/>
          <w:highlight w:val="none"/>
        </w:rPr>
        <w:t>（三）国有资产占有使用情况</w:t>
      </w:r>
      <w:bookmarkEnd w:id="58"/>
    </w:p>
    <w:p w14:paraId="7CD4817E">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highlight w:val="none"/>
          <w:lang w:val="en-US" w:eastAsia="zh-CN"/>
        </w:rPr>
        <w:t>阿坝藏族羌族自治州归国华侨联合会</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辆、执法执勤用车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辆，其他用车主要是用于日常公务用车。单价100万元（含）以上设备（不含车辆）</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00986637">
      <w:pPr>
        <w:spacing w:line="600" w:lineRule="exact"/>
        <w:ind w:firstLine="643" w:firstLineChars="200"/>
        <w:outlineLvl w:val="9"/>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26D0C606">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ascii="仿宋_GB2312" w:hAnsi="仿宋_GB2312" w:eastAsia="仿宋_GB2312" w:cs="仿宋_GB2312"/>
          <w:sz w:val="32"/>
          <w:szCs w:val="32"/>
          <w:highlight w:val="none"/>
          <w:lang w:val="en-US" w:eastAsia="zh-CN"/>
        </w:rPr>
        <w:t>阿坝藏族羌族自治州归国华侨联合会</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6BD846FE">
      <w:pPr>
        <w:spacing w:line="600" w:lineRule="exact"/>
        <w:ind w:firstLine="640"/>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我单位为二级事业单位，不涉及任何的绩效评价</w:t>
      </w:r>
      <w:r>
        <w:rPr>
          <w:rFonts w:hint="eastAsia" w:ascii="Times New Roman" w:hAnsi="Times New Roman" w:eastAsia="仿宋_GB2312" w:cs="仿宋_GB2312"/>
          <w:color w:val="auto"/>
          <w:kern w:val="2"/>
          <w:sz w:val="32"/>
          <w:szCs w:val="32"/>
          <w:highlight w:val="none"/>
          <w:lang w:val="en-US" w:eastAsia="zh-CN" w:bidi="ar-SA"/>
        </w:rPr>
        <w:t>。</w:t>
      </w:r>
    </w:p>
    <w:p w14:paraId="6814729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0FE555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671B0B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EB8B49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D432EF4">
      <w:pPr>
        <w:pStyle w:val="14"/>
        <w:rPr>
          <w:rFonts w:hint="eastAsia" w:ascii="Times New Roman" w:hAnsi="Times New Roman" w:eastAsia="仿宋_GB2312" w:cs="仿宋_GB2312"/>
          <w:color w:val="auto"/>
          <w:kern w:val="2"/>
          <w:sz w:val="32"/>
          <w:szCs w:val="32"/>
          <w:highlight w:val="none"/>
          <w:lang w:val="en-US" w:eastAsia="zh-CN" w:bidi="ar-SA"/>
        </w:rPr>
      </w:pPr>
    </w:p>
    <w:p w14:paraId="73621C4F">
      <w:pPr>
        <w:pStyle w:val="8"/>
        <w:rPr>
          <w:rFonts w:hint="eastAsia" w:ascii="Times New Roman" w:hAnsi="Times New Roman" w:eastAsia="仿宋_GB2312" w:cs="仿宋_GB2312"/>
          <w:color w:val="auto"/>
          <w:kern w:val="2"/>
          <w:sz w:val="32"/>
          <w:szCs w:val="32"/>
          <w:highlight w:val="none"/>
          <w:lang w:val="en-US" w:eastAsia="zh-CN" w:bidi="ar-SA"/>
        </w:rPr>
      </w:pPr>
    </w:p>
    <w:p w14:paraId="3A02F0B8">
      <w:pPr>
        <w:pStyle w:val="8"/>
        <w:rPr>
          <w:rFonts w:hint="eastAsia" w:ascii="Times New Roman" w:hAnsi="Times New Roman" w:eastAsia="仿宋_GB2312" w:cs="仿宋_GB2312"/>
          <w:color w:val="auto"/>
          <w:kern w:val="2"/>
          <w:sz w:val="32"/>
          <w:szCs w:val="32"/>
          <w:highlight w:val="none"/>
          <w:lang w:val="en-US" w:eastAsia="zh-CN" w:bidi="ar-SA"/>
        </w:rPr>
      </w:pPr>
    </w:p>
    <w:p w14:paraId="1DCEC122">
      <w:pPr>
        <w:pStyle w:val="8"/>
        <w:rPr>
          <w:rFonts w:hint="eastAsia" w:ascii="Times New Roman" w:hAnsi="Times New Roman" w:eastAsia="仿宋_GB2312" w:cs="仿宋_GB2312"/>
          <w:color w:val="auto"/>
          <w:kern w:val="2"/>
          <w:sz w:val="32"/>
          <w:szCs w:val="32"/>
          <w:highlight w:val="none"/>
          <w:lang w:val="en-US" w:eastAsia="zh-CN" w:bidi="ar-SA"/>
        </w:rPr>
      </w:pPr>
    </w:p>
    <w:p w14:paraId="5100FC78">
      <w:pPr>
        <w:pStyle w:val="8"/>
        <w:rPr>
          <w:rFonts w:hint="eastAsia" w:ascii="Times New Roman" w:hAnsi="Times New Roman" w:eastAsia="仿宋_GB2312" w:cs="仿宋_GB2312"/>
          <w:color w:val="auto"/>
          <w:kern w:val="2"/>
          <w:sz w:val="32"/>
          <w:szCs w:val="32"/>
          <w:highlight w:val="none"/>
          <w:lang w:val="en-US" w:eastAsia="zh-CN" w:bidi="ar-SA"/>
        </w:rPr>
      </w:pPr>
    </w:p>
    <w:p w14:paraId="4DF8422F">
      <w:pPr>
        <w:numPr>
          <w:ilvl w:val="0"/>
          <w:numId w:val="0"/>
        </w:numPr>
        <w:spacing w:line="600" w:lineRule="exact"/>
        <w:jc w:val="center"/>
        <w:outlineLvl w:val="0"/>
        <w:rPr>
          <w:rFonts w:ascii="Times New Roman" w:hAnsi="Times New Roman"/>
          <w:b/>
          <w:color w:val="auto"/>
          <w:sz w:val="44"/>
          <w:szCs w:val="44"/>
          <w:highlight w:val="none"/>
        </w:rPr>
      </w:pPr>
      <w:bookmarkStart w:id="59" w:name="_Toc15377225"/>
      <w:bookmarkStart w:id="60" w:name="_Toc15396613"/>
      <w:bookmarkStart w:id="61" w:name="_Toc19091"/>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9"/>
      <w:bookmarkEnd w:id="60"/>
      <w:bookmarkEnd w:id="61"/>
    </w:p>
    <w:p w14:paraId="6B7BB26E">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财政拨款收入：指单位从同级财政部门取得的财政预算资金。</w:t>
      </w:r>
    </w:p>
    <w:p w14:paraId="6D922F47">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事业收入：指事业单位开展专业业务活动及辅助活动取得的收入。</w:t>
      </w:r>
    </w:p>
    <w:p w14:paraId="7EB7EED8">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经营收入：指事业单位在专业业务活动及其辅助活动之外开展非独立核算经营活动取得的收入。</w:t>
      </w:r>
    </w:p>
    <w:p w14:paraId="25AF3148">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其他收入：指单位取得的除上述收入以外的各项收入。</w:t>
      </w:r>
    </w:p>
    <w:p w14:paraId="232D4C9D">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使用非财政拨款结余（含专用结余）：指事业单位使用以前年度积累的非财政拨款结余弥补当年收支差额的金额。 </w:t>
      </w:r>
    </w:p>
    <w:p w14:paraId="438D32DC">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年初结转和结余：指以前年度尚未完成、结转到本年按有关规定继续使用的资金。 </w:t>
      </w:r>
    </w:p>
    <w:p w14:paraId="1D74F9F0">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结余分配：指事业单位按照会计制度规定缴纳的所得税、提取的专用结余以及转入非财政拨款结余的金额等。</w:t>
      </w:r>
    </w:p>
    <w:p w14:paraId="2B56474C">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年末结转和结余：指单位按有关规定结转到下年或以后年度继续使用的资金。</w:t>
      </w:r>
    </w:p>
    <w:p w14:paraId="2D0845DB">
      <w:pPr>
        <w:numPr>
          <w:ilvl w:val="0"/>
          <w:numId w:val="2"/>
        </w:numPr>
        <w:spacing w:line="600" w:lineRule="exact"/>
        <w:ind w:left="0" w:leftChars="0" w:firstLine="400" w:firstLineChars="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一般公共服务支出（20</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）统战事务（</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）事业运行（</w:t>
      </w:r>
      <w:r>
        <w:rPr>
          <w:rFonts w:hint="eastAsia" w:eastAsia="仿宋_GB2312" w:cs="仿宋_GB2312"/>
          <w:color w:val="auto"/>
          <w:kern w:val="2"/>
          <w:sz w:val="32"/>
          <w:szCs w:val="32"/>
          <w:highlight w:val="none"/>
          <w:lang w:val="en-US" w:eastAsia="zh-CN" w:bidi="ar-SA"/>
        </w:rPr>
        <w:t>50</w:t>
      </w:r>
      <w:r>
        <w:rPr>
          <w:rFonts w:hint="eastAsia" w:ascii="Times New Roman" w:hAnsi="Times New Roman" w:eastAsia="仿宋_GB2312" w:cs="仿宋_GB2312"/>
          <w:color w:val="auto"/>
          <w:kern w:val="2"/>
          <w:sz w:val="32"/>
          <w:szCs w:val="32"/>
          <w:highlight w:val="none"/>
          <w:lang w:val="en-US" w:eastAsia="zh-CN" w:bidi="ar-SA"/>
        </w:rPr>
        <w:t>）:反映事业单位的基本支出,不包括行政单位(包括实行公务员管理的事业单位)后勤服务中心、医务室等附属事业单位</w:t>
      </w:r>
      <w:r>
        <w:rPr>
          <w:rFonts w:hint="eastAsia" w:eastAsia="仿宋_GB2312" w:cs="仿宋_GB2312"/>
          <w:color w:val="auto"/>
          <w:kern w:val="2"/>
          <w:sz w:val="32"/>
          <w:szCs w:val="32"/>
          <w:highlight w:val="none"/>
          <w:lang w:val="en-US" w:eastAsia="zh-CN" w:bidi="ar-SA"/>
        </w:rPr>
        <w:t>。</w:t>
      </w:r>
    </w:p>
    <w:p w14:paraId="2C4DA0AD">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社会保障和就业支出（208）行政事业单位养老支出（05）机关事业单位基本养老保险缴费支出（05）:反映机关事业单位实施养老保险制度由单位缴纳的基本养老保险费支出。</w:t>
      </w:r>
    </w:p>
    <w:p w14:paraId="6191F470">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社会保障和就业支出（208）行政事业单位养老支出（05）机关事业单位职业年金缴费支出（06）:反映机关事业单位实施养老保险制度由单位实际缴纳的职业年金支出。</w:t>
      </w:r>
    </w:p>
    <w:p w14:paraId="1D7653A4">
      <w:pPr>
        <w:numPr>
          <w:ilvl w:val="0"/>
          <w:numId w:val="2"/>
        </w:numPr>
        <w:spacing w:line="600" w:lineRule="exact"/>
        <w:ind w:left="0" w:leftChars="0" w:firstLine="400" w:firstLineChars="0"/>
        <w:rPr>
          <w:rFonts w:hint="eastAsia"/>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卫生健康支出（210）行政事业单位医疗（11）事业单位医疗（0</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）:反映财政部门安排的事业单位基本医疗保险缴费经费，未参加医疗保险的事业单位的公费医疗经费，按国家规定享受离休人员待遇的医疗经费。</w:t>
      </w:r>
    </w:p>
    <w:p w14:paraId="55054284">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卫生健康支出（210）行政事业单位医疗（11）其他行政事业单位医疗支出（</w:t>
      </w:r>
      <w:r>
        <w:rPr>
          <w:rFonts w:hint="eastAsia" w:eastAsia="仿宋_GB2312" w:cs="仿宋_GB2312"/>
          <w:color w:val="auto"/>
          <w:kern w:val="2"/>
          <w:sz w:val="32"/>
          <w:szCs w:val="32"/>
          <w:highlight w:val="none"/>
          <w:lang w:val="en-US" w:eastAsia="zh-CN" w:bidi="ar-SA"/>
        </w:rPr>
        <w:t>99</w:t>
      </w:r>
      <w:r>
        <w:rPr>
          <w:rFonts w:hint="eastAsia" w:ascii="Times New Roman" w:hAnsi="Times New Roman" w:eastAsia="仿宋_GB2312" w:cs="仿宋_GB2312"/>
          <w:color w:val="auto"/>
          <w:kern w:val="2"/>
          <w:sz w:val="32"/>
          <w:szCs w:val="32"/>
          <w:highlight w:val="none"/>
          <w:lang w:val="en-US" w:eastAsia="zh-CN" w:bidi="ar-SA"/>
        </w:rPr>
        <w:t>）:反映除上述项目以外的其他用于行政事业单位医疗方面的</w:t>
      </w:r>
      <w:r>
        <w:rPr>
          <w:rFonts w:hint="eastAsia" w:eastAsia="仿宋_GB2312" w:cs="仿宋_GB2312"/>
          <w:color w:val="auto"/>
          <w:kern w:val="2"/>
          <w:sz w:val="32"/>
          <w:szCs w:val="32"/>
          <w:highlight w:val="none"/>
          <w:lang w:val="en-US" w:eastAsia="zh-CN" w:bidi="ar-SA"/>
        </w:rPr>
        <w:t>支出</w:t>
      </w:r>
      <w:r>
        <w:rPr>
          <w:rFonts w:hint="eastAsia" w:ascii="Times New Roman" w:hAnsi="Times New Roman" w:eastAsia="仿宋_GB2312" w:cs="仿宋_GB2312"/>
          <w:color w:val="auto"/>
          <w:kern w:val="2"/>
          <w:sz w:val="32"/>
          <w:szCs w:val="32"/>
          <w:highlight w:val="none"/>
          <w:lang w:val="en-US" w:eastAsia="zh-CN" w:bidi="ar-SA"/>
        </w:rPr>
        <w:t>。</w:t>
      </w:r>
    </w:p>
    <w:p w14:paraId="3A912973">
      <w:pPr>
        <w:numPr>
          <w:ilvl w:val="0"/>
          <w:numId w:val="2"/>
        </w:numPr>
        <w:spacing w:line="600" w:lineRule="exact"/>
        <w:ind w:left="0" w:leftChars="0" w:firstLine="400" w:firstLineChars="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住房保障支出（221）住房改革支出（02）住房公积金（01）:反映行政事业单位按人力资源和社会保障部、财政部规定的基本工资和津贴补贴以及规定比例为职工缴纳的住房公积金</w:t>
      </w:r>
      <w:r>
        <w:rPr>
          <w:rFonts w:hint="eastAsia" w:eastAsia="仿宋_GB2312" w:cs="仿宋_GB2312"/>
          <w:color w:val="auto"/>
          <w:kern w:val="2"/>
          <w:sz w:val="32"/>
          <w:szCs w:val="32"/>
          <w:highlight w:val="none"/>
          <w:lang w:val="en-US" w:eastAsia="zh-CN" w:bidi="ar-SA"/>
        </w:rPr>
        <w:t>。</w:t>
      </w:r>
    </w:p>
    <w:p w14:paraId="423C2645">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14:paraId="645B0735">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14:paraId="2EC48A33">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14:paraId="6BC477E5">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13F1420">
      <w:pPr>
        <w:numPr>
          <w:ilvl w:val="0"/>
          <w:numId w:val="2"/>
        </w:numPr>
        <w:spacing w:line="600" w:lineRule="exact"/>
        <w:ind w:left="0" w:leftChars="0" w:firstLine="40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525DCDB">
      <w:pPr>
        <w:spacing w:line="600" w:lineRule="exact"/>
        <w:jc w:val="center"/>
        <w:outlineLvl w:val="0"/>
        <w:rPr>
          <w:rFonts w:hint="eastAsia" w:ascii="Times New Roman" w:hAnsi="Times New Roman" w:eastAsia="黑体" w:cs="黑体"/>
          <w:color w:val="FF0000"/>
          <w:sz w:val="32"/>
          <w:szCs w:val="32"/>
          <w:highlight w:val="none"/>
        </w:rPr>
      </w:pPr>
      <w:bookmarkStart w:id="62"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63" w:name="_Toc6590"/>
      <w:bookmarkStart w:id="64"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63"/>
      <w:bookmarkEnd w:id="64"/>
    </w:p>
    <w:p w14:paraId="4FD69E6C">
      <w:pPr>
        <w:keepNext w:val="0"/>
        <w:keepLines w:val="0"/>
        <w:pageBreakBefore w:val="0"/>
        <w:kinsoku/>
        <w:wordWrap/>
        <w:overflowPunct/>
        <w:topLinePunct w:val="0"/>
        <w:autoSpaceDE/>
        <w:autoSpaceDN/>
        <w:bidi w:val="0"/>
        <w:spacing w:line="572" w:lineRule="exact"/>
        <w:jc w:val="left"/>
        <w:textAlignment w:val="auto"/>
        <w:outlineLvl w:val="9"/>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18979F7C">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2460F065">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r>
        <w:rPr>
          <w:rFonts w:hint="eastAsia" w:eastAsia="方正小标宋简体" w:cs="Times New Roman"/>
          <w:b w:val="0"/>
          <w:bCs/>
          <w:sz w:val="44"/>
          <w:szCs w:val="44"/>
          <w:highlight w:val="none"/>
          <w:shd w:val="clear" w:color="auto" w:fill="FFFFFF"/>
          <w:lang w:val="en-US" w:eastAsia="zh-CN"/>
        </w:rPr>
        <w:t>我单位不涉及</w:t>
      </w: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p>
    <w:p w14:paraId="53F39CCB">
      <w:pPr>
        <w:pStyle w:val="6"/>
        <w:rPr>
          <w:rFonts w:hint="eastAsia" w:ascii="Times New Roman" w:hAnsi="Times New Roman" w:eastAsia="黑体" w:cs="黑体"/>
          <w:color w:val="auto"/>
          <w:kern w:val="0"/>
          <w:sz w:val="32"/>
          <w:szCs w:val="32"/>
          <w:highlight w:val="none"/>
          <w:shd w:val="clear" w:color="auto" w:fill="FFFFFF"/>
          <w:lang w:val="zh-CN"/>
        </w:rPr>
      </w:pPr>
    </w:p>
    <w:p w14:paraId="2622346A">
      <w:pPr>
        <w:pStyle w:val="6"/>
        <w:rPr>
          <w:rFonts w:hint="eastAsia" w:ascii="Times New Roman" w:hAnsi="Times New Roman" w:eastAsia="黑体" w:cs="黑体"/>
          <w:color w:val="auto"/>
          <w:kern w:val="0"/>
          <w:sz w:val="32"/>
          <w:szCs w:val="32"/>
          <w:highlight w:val="none"/>
          <w:shd w:val="clear" w:color="auto" w:fill="FFFFFF"/>
          <w:lang w:val="zh-CN"/>
        </w:rPr>
      </w:pPr>
    </w:p>
    <w:p w14:paraId="1BBBB1F7">
      <w:pPr>
        <w:pStyle w:val="6"/>
        <w:rPr>
          <w:rFonts w:hint="eastAsia" w:ascii="Times New Roman" w:hAnsi="Times New Roman" w:eastAsia="黑体" w:cs="黑体"/>
          <w:color w:val="auto"/>
          <w:kern w:val="0"/>
          <w:sz w:val="32"/>
          <w:szCs w:val="32"/>
          <w:highlight w:val="none"/>
          <w:shd w:val="clear" w:color="auto" w:fill="FFFFFF"/>
          <w:lang w:val="zh-CN"/>
        </w:rPr>
      </w:pPr>
    </w:p>
    <w:p w14:paraId="3C5087F5">
      <w:pPr>
        <w:pStyle w:val="6"/>
        <w:rPr>
          <w:rFonts w:hint="eastAsia" w:ascii="Times New Roman" w:hAnsi="Times New Roman" w:eastAsia="黑体" w:cs="黑体"/>
          <w:color w:val="auto"/>
          <w:kern w:val="0"/>
          <w:sz w:val="32"/>
          <w:szCs w:val="32"/>
          <w:highlight w:val="none"/>
          <w:shd w:val="clear" w:color="auto" w:fill="FFFFFF"/>
          <w:lang w:val="zh-CN"/>
        </w:rPr>
      </w:pPr>
    </w:p>
    <w:p w14:paraId="7CBDDB3F">
      <w:pPr>
        <w:pStyle w:val="6"/>
        <w:rPr>
          <w:rFonts w:hint="eastAsia" w:ascii="Times New Roman" w:hAnsi="Times New Roman" w:eastAsia="黑体" w:cs="黑体"/>
          <w:color w:val="auto"/>
          <w:kern w:val="0"/>
          <w:sz w:val="32"/>
          <w:szCs w:val="32"/>
          <w:highlight w:val="none"/>
          <w:shd w:val="clear" w:color="auto" w:fill="FFFFFF"/>
          <w:lang w:val="zh-CN"/>
        </w:rPr>
      </w:pPr>
    </w:p>
    <w:p w14:paraId="72448693">
      <w:pPr>
        <w:pStyle w:val="6"/>
        <w:rPr>
          <w:rFonts w:hint="eastAsia" w:ascii="Times New Roman" w:hAnsi="Times New Roman" w:eastAsia="黑体" w:cs="黑体"/>
          <w:color w:val="auto"/>
          <w:kern w:val="0"/>
          <w:sz w:val="32"/>
          <w:szCs w:val="32"/>
          <w:highlight w:val="none"/>
          <w:shd w:val="clear" w:color="auto" w:fill="FFFFFF"/>
          <w:lang w:val="zh-CN"/>
        </w:rPr>
      </w:pPr>
    </w:p>
    <w:p w14:paraId="723E1EAF">
      <w:pPr>
        <w:pStyle w:val="6"/>
        <w:rPr>
          <w:rFonts w:hint="eastAsia" w:ascii="Times New Roman" w:hAnsi="Times New Roman" w:eastAsia="黑体" w:cs="黑体"/>
          <w:color w:val="auto"/>
          <w:kern w:val="0"/>
          <w:sz w:val="32"/>
          <w:szCs w:val="32"/>
          <w:highlight w:val="none"/>
          <w:shd w:val="clear" w:color="auto" w:fill="FFFFFF"/>
          <w:lang w:val="zh-CN"/>
        </w:rPr>
      </w:pPr>
    </w:p>
    <w:p w14:paraId="6D214031">
      <w:pPr>
        <w:pStyle w:val="6"/>
        <w:rPr>
          <w:rFonts w:hint="eastAsia" w:ascii="Times New Roman" w:hAnsi="Times New Roman" w:eastAsia="黑体" w:cs="黑体"/>
          <w:color w:val="auto"/>
          <w:kern w:val="0"/>
          <w:sz w:val="32"/>
          <w:szCs w:val="32"/>
          <w:highlight w:val="none"/>
          <w:shd w:val="clear" w:color="auto" w:fill="FFFFFF"/>
          <w:lang w:val="zh-CN"/>
        </w:rPr>
      </w:pPr>
    </w:p>
    <w:p w14:paraId="32616116">
      <w:pPr>
        <w:pStyle w:val="6"/>
        <w:rPr>
          <w:rFonts w:hint="eastAsia" w:ascii="Times New Roman" w:hAnsi="Times New Roman" w:eastAsia="黑体" w:cs="黑体"/>
          <w:color w:val="auto"/>
          <w:kern w:val="0"/>
          <w:sz w:val="32"/>
          <w:szCs w:val="32"/>
          <w:highlight w:val="none"/>
          <w:shd w:val="clear" w:color="auto" w:fill="FFFFFF"/>
          <w:lang w:val="zh-CN"/>
        </w:rPr>
      </w:pPr>
    </w:p>
    <w:p w14:paraId="5CC889A6">
      <w:pPr>
        <w:pStyle w:val="6"/>
        <w:rPr>
          <w:rFonts w:hint="eastAsia" w:ascii="Times New Roman" w:hAnsi="Times New Roman" w:eastAsia="黑体" w:cs="黑体"/>
          <w:color w:val="auto"/>
          <w:kern w:val="0"/>
          <w:sz w:val="32"/>
          <w:szCs w:val="32"/>
          <w:highlight w:val="none"/>
          <w:shd w:val="clear" w:color="auto" w:fill="FFFFFF"/>
          <w:lang w:val="zh-CN"/>
        </w:rPr>
      </w:pPr>
    </w:p>
    <w:p w14:paraId="538BACBB">
      <w:pPr>
        <w:pStyle w:val="6"/>
        <w:rPr>
          <w:rFonts w:hint="eastAsia" w:ascii="Times New Roman" w:hAnsi="Times New Roman" w:eastAsia="黑体" w:cs="黑体"/>
          <w:color w:val="auto"/>
          <w:kern w:val="0"/>
          <w:sz w:val="32"/>
          <w:szCs w:val="32"/>
          <w:highlight w:val="none"/>
          <w:shd w:val="clear" w:color="auto" w:fill="FFFFFF"/>
          <w:lang w:val="zh-CN"/>
        </w:rPr>
      </w:pPr>
    </w:p>
    <w:p w14:paraId="3BE29B1C">
      <w:pPr>
        <w:pStyle w:val="6"/>
        <w:rPr>
          <w:rFonts w:hint="eastAsia" w:ascii="Times New Roman" w:hAnsi="Times New Roman" w:eastAsia="黑体" w:cs="黑体"/>
          <w:color w:val="auto"/>
          <w:kern w:val="0"/>
          <w:sz w:val="32"/>
          <w:szCs w:val="32"/>
          <w:highlight w:val="none"/>
          <w:shd w:val="clear" w:color="auto" w:fill="FFFFFF"/>
          <w:lang w:val="zh-CN"/>
        </w:rPr>
      </w:pPr>
    </w:p>
    <w:p w14:paraId="5EC39ED4">
      <w:pPr>
        <w:pStyle w:val="6"/>
        <w:rPr>
          <w:rFonts w:hint="eastAsia" w:ascii="Times New Roman" w:hAnsi="Times New Roman" w:eastAsia="黑体" w:cs="黑体"/>
          <w:color w:val="auto"/>
          <w:kern w:val="0"/>
          <w:sz w:val="32"/>
          <w:szCs w:val="32"/>
          <w:highlight w:val="none"/>
          <w:shd w:val="clear" w:color="auto" w:fill="FFFFFF"/>
          <w:lang w:val="zh-CN"/>
        </w:rPr>
      </w:pPr>
    </w:p>
    <w:p w14:paraId="586D2056">
      <w:pPr>
        <w:pStyle w:val="6"/>
        <w:rPr>
          <w:rFonts w:hint="eastAsia" w:ascii="Times New Roman" w:hAnsi="Times New Roman" w:eastAsia="黑体" w:cs="黑体"/>
          <w:color w:val="auto"/>
          <w:kern w:val="0"/>
          <w:sz w:val="32"/>
          <w:szCs w:val="32"/>
          <w:highlight w:val="none"/>
          <w:shd w:val="clear" w:color="auto" w:fill="FFFFFF"/>
          <w:lang w:val="zh-CN"/>
        </w:rPr>
      </w:pPr>
    </w:p>
    <w:p w14:paraId="221E77B2">
      <w:pPr>
        <w:pStyle w:val="6"/>
        <w:rPr>
          <w:rFonts w:hint="eastAsia" w:ascii="Times New Roman" w:hAnsi="Times New Roman" w:eastAsia="黑体" w:cs="黑体"/>
          <w:color w:val="auto"/>
          <w:kern w:val="0"/>
          <w:sz w:val="32"/>
          <w:szCs w:val="32"/>
          <w:highlight w:val="none"/>
          <w:shd w:val="clear" w:color="auto" w:fill="FFFFFF"/>
          <w:lang w:val="zh-CN"/>
        </w:rPr>
      </w:pPr>
    </w:p>
    <w:p w14:paraId="5080A813">
      <w:pPr>
        <w:pStyle w:val="6"/>
        <w:rPr>
          <w:rFonts w:hint="eastAsia" w:ascii="Times New Roman" w:hAnsi="Times New Roman" w:eastAsia="黑体" w:cs="黑体"/>
          <w:color w:val="auto"/>
          <w:kern w:val="0"/>
          <w:sz w:val="32"/>
          <w:szCs w:val="32"/>
          <w:highlight w:val="none"/>
          <w:shd w:val="clear" w:color="auto" w:fill="FFFFFF"/>
          <w:lang w:val="zh-CN"/>
        </w:rPr>
      </w:pPr>
    </w:p>
    <w:p w14:paraId="72F6FFC3">
      <w:pPr>
        <w:pStyle w:val="6"/>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511EC3B7">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5C163041">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我单位不涉及专项预算项目</w:t>
      </w:r>
    </w:p>
    <w:p w14:paraId="4D024B4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6D1411D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326C28B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65"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144B5A96">
      <w:pPr>
        <w:widowControl/>
        <w:jc w:val="center"/>
        <w:outlineLvl w:val="0"/>
        <w:rPr>
          <w:rFonts w:hint="eastAsia" w:ascii="Times New Roman" w:hAnsi="Times New Roman" w:eastAsia="仿宋_GB2312" w:cs="仿宋_GB2312"/>
          <w:color w:val="auto"/>
          <w:sz w:val="32"/>
          <w:szCs w:val="32"/>
          <w:highlight w:val="none"/>
        </w:rPr>
      </w:pPr>
      <w:bookmarkStart w:id="66" w:name="_Toc18328"/>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 xml:space="preserve">五部分 </w:t>
      </w:r>
      <w:r>
        <w:rPr>
          <w:rStyle w:val="29"/>
          <w:rFonts w:hint="eastAsia" w:eastAsia="黑体"/>
          <w:b w:val="0"/>
          <w:color w:val="auto"/>
          <w:highlight w:val="none"/>
          <w:lang w:val="en-US" w:eastAsia="zh-CN"/>
        </w:rPr>
        <w:t xml:space="preserve"> </w:t>
      </w:r>
      <w:r>
        <w:rPr>
          <w:rStyle w:val="29"/>
          <w:rFonts w:hint="eastAsia" w:ascii="Times New Roman" w:hAnsi="Times New Roman" w:eastAsia="黑体"/>
          <w:b w:val="0"/>
          <w:color w:val="auto"/>
          <w:highlight w:val="none"/>
        </w:rPr>
        <w:t>附表</w:t>
      </w:r>
      <w:bookmarkEnd w:id="62"/>
      <w:bookmarkEnd w:id="65"/>
      <w:bookmarkEnd w:id="66"/>
      <w:bookmarkStart w:id="67" w:name="_Toc15396619"/>
    </w:p>
    <w:p w14:paraId="5B76F92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68" w:name="_Toc3436"/>
      <w:r>
        <w:rPr>
          <w:rFonts w:hint="eastAsia" w:ascii="Times New Roman" w:hAnsi="Times New Roman" w:eastAsia="仿宋_GB2312" w:cs="仿宋_GB2312"/>
          <w:color w:val="auto"/>
          <w:sz w:val="32"/>
          <w:szCs w:val="32"/>
          <w:highlight w:val="none"/>
        </w:rPr>
        <w:t>一、收入支出决算总表</w:t>
      </w:r>
      <w:bookmarkEnd w:id="67"/>
      <w:bookmarkEnd w:id="68"/>
    </w:p>
    <w:p w14:paraId="585E52D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69" w:name="_Toc10614"/>
      <w:bookmarkStart w:id="70" w:name="_Toc15396620"/>
      <w:r>
        <w:rPr>
          <w:rFonts w:hint="eastAsia" w:ascii="Times New Roman" w:hAnsi="Times New Roman" w:eastAsia="仿宋_GB2312" w:cs="仿宋_GB2312"/>
          <w:color w:val="auto"/>
          <w:sz w:val="32"/>
          <w:szCs w:val="32"/>
          <w:highlight w:val="none"/>
        </w:rPr>
        <w:t>二、收入决算表</w:t>
      </w:r>
      <w:bookmarkEnd w:id="69"/>
      <w:bookmarkEnd w:id="70"/>
    </w:p>
    <w:p w14:paraId="61C5EB4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1" w:name="_Toc15396621"/>
      <w:bookmarkStart w:id="72" w:name="_Toc14774"/>
      <w:r>
        <w:rPr>
          <w:rFonts w:hint="eastAsia" w:ascii="Times New Roman" w:hAnsi="Times New Roman" w:eastAsia="仿宋_GB2312" w:cs="仿宋_GB2312"/>
          <w:color w:val="auto"/>
          <w:sz w:val="32"/>
          <w:szCs w:val="32"/>
          <w:highlight w:val="none"/>
        </w:rPr>
        <w:t>三、支出决算表</w:t>
      </w:r>
      <w:bookmarkEnd w:id="71"/>
      <w:bookmarkEnd w:id="72"/>
    </w:p>
    <w:p w14:paraId="2B40FB6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3" w:name="_Toc15396622"/>
      <w:bookmarkStart w:id="74" w:name="_Toc5392"/>
      <w:r>
        <w:rPr>
          <w:rFonts w:hint="eastAsia" w:ascii="Times New Roman" w:hAnsi="Times New Roman" w:eastAsia="仿宋_GB2312" w:cs="仿宋_GB2312"/>
          <w:color w:val="auto"/>
          <w:sz w:val="32"/>
          <w:szCs w:val="32"/>
          <w:highlight w:val="none"/>
        </w:rPr>
        <w:t>四、财政拨款收入支出决算总表</w:t>
      </w:r>
      <w:bookmarkEnd w:id="73"/>
      <w:bookmarkEnd w:id="74"/>
    </w:p>
    <w:p w14:paraId="0221BCA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5" w:name="_Toc29475"/>
      <w:bookmarkStart w:id="76" w:name="_Toc15396623"/>
      <w:r>
        <w:rPr>
          <w:rFonts w:hint="eastAsia" w:ascii="Times New Roman" w:hAnsi="Times New Roman" w:eastAsia="仿宋_GB2312" w:cs="仿宋_GB2312"/>
          <w:color w:val="auto"/>
          <w:sz w:val="32"/>
          <w:szCs w:val="32"/>
          <w:highlight w:val="none"/>
        </w:rPr>
        <w:t>五、财政拨款支出决算明细表</w:t>
      </w:r>
      <w:bookmarkEnd w:id="75"/>
      <w:bookmarkEnd w:id="76"/>
      <w:bookmarkStart w:id="77" w:name="_Toc15396624"/>
    </w:p>
    <w:p w14:paraId="53FD6F5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8" w:name="_Toc2870"/>
      <w:r>
        <w:rPr>
          <w:rFonts w:hint="eastAsia" w:ascii="Times New Roman" w:hAnsi="Times New Roman" w:eastAsia="仿宋_GB2312" w:cs="仿宋_GB2312"/>
          <w:color w:val="auto"/>
          <w:sz w:val="32"/>
          <w:szCs w:val="32"/>
          <w:highlight w:val="none"/>
        </w:rPr>
        <w:t>六、一般公共预算财政拨款支出决算表</w:t>
      </w:r>
      <w:bookmarkEnd w:id="77"/>
      <w:bookmarkEnd w:id="78"/>
    </w:p>
    <w:p w14:paraId="2B8EE2E2">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79" w:name="_Toc15396625"/>
      <w:bookmarkStart w:id="80" w:name="_Toc25605"/>
      <w:r>
        <w:rPr>
          <w:rFonts w:hint="eastAsia" w:ascii="Times New Roman" w:hAnsi="Times New Roman" w:eastAsia="仿宋_GB2312" w:cs="仿宋_GB2312"/>
          <w:color w:val="auto"/>
          <w:sz w:val="32"/>
          <w:szCs w:val="32"/>
          <w:highlight w:val="none"/>
        </w:rPr>
        <w:t>七、一般公共预算财政拨款支出决算明细表</w:t>
      </w:r>
      <w:bookmarkEnd w:id="79"/>
      <w:bookmarkEnd w:id="80"/>
    </w:p>
    <w:p w14:paraId="7A3EDB4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1" w:name="_Toc3760"/>
      <w:bookmarkStart w:id="82" w:name="_Toc15396626"/>
      <w:r>
        <w:rPr>
          <w:rFonts w:hint="eastAsia" w:ascii="Times New Roman" w:hAnsi="Times New Roman" w:eastAsia="仿宋_GB2312" w:cs="仿宋_GB2312"/>
          <w:color w:val="auto"/>
          <w:sz w:val="32"/>
          <w:szCs w:val="32"/>
          <w:highlight w:val="none"/>
        </w:rPr>
        <w:t>八、一般公共预算财政拨款基本支出决算表</w:t>
      </w:r>
      <w:bookmarkEnd w:id="81"/>
      <w:bookmarkEnd w:id="82"/>
    </w:p>
    <w:p w14:paraId="71633B3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3" w:name="_Toc26330"/>
      <w:bookmarkStart w:id="84" w:name="_Toc15396627"/>
      <w:r>
        <w:rPr>
          <w:rFonts w:hint="eastAsia" w:ascii="Times New Roman" w:hAnsi="Times New Roman" w:eastAsia="仿宋_GB2312" w:cs="仿宋_GB2312"/>
          <w:color w:val="auto"/>
          <w:sz w:val="32"/>
          <w:szCs w:val="32"/>
          <w:highlight w:val="none"/>
        </w:rPr>
        <w:t>九、一般公共预算财政拨款项目支出决算表</w:t>
      </w:r>
      <w:bookmarkEnd w:id="83"/>
      <w:bookmarkEnd w:id="84"/>
    </w:p>
    <w:p w14:paraId="5C8191B7">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5" w:name="_Toc15396628"/>
      <w:bookmarkStart w:id="86" w:name="_Toc12171"/>
      <w:r>
        <w:rPr>
          <w:rFonts w:hint="eastAsia" w:ascii="Times New Roman" w:hAnsi="Times New Roman" w:eastAsia="仿宋_GB2312" w:cs="仿宋_GB2312"/>
          <w:color w:val="auto"/>
          <w:sz w:val="32"/>
          <w:szCs w:val="32"/>
          <w:highlight w:val="none"/>
        </w:rPr>
        <w:t>十、</w:t>
      </w:r>
      <w:bookmarkEnd w:id="85"/>
      <w:r>
        <w:rPr>
          <w:rFonts w:hint="eastAsia" w:ascii="Times New Roman" w:hAnsi="Times New Roman" w:eastAsia="仿宋_GB2312" w:cs="仿宋_GB2312"/>
          <w:color w:val="auto"/>
          <w:sz w:val="32"/>
          <w:szCs w:val="32"/>
          <w:highlight w:val="none"/>
        </w:rPr>
        <w:t>政府性基金预算财政拨款收入支出决算表</w:t>
      </w:r>
      <w:bookmarkEnd w:id="86"/>
    </w:p>
    <w:p w14:paraId="2554C6A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7" w:name="_Toc15396629"/>
      <w:bookmarkStart w:id="88" w:name="_Toc5335"/>
      <w:r>
        <w:rPr>
          <w:rFonts w:hint="eastAsia" w:ascii="Times New Roman" w:hAnsi="Times New Roman" w:eastAsia="仿宋_GB2312" w:cs="仿宋_GB2312"/>
          <w:color w:val="auto"/>
          <w:sz w:val="32"/>
          <w:szCs w:val="32"/>
          <w:highlight w:val="none"/>
        </w:rPr>
        <w:t>十一、</w:t>
      </w:r>
      <w:bookmarkEnd w:id="87"/>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bookmarkEnd w:id="88"/>
    </w:p>
    <w:p w14:paraId="54F8AF3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9" w:name="_Toc15396630"/>
      <w:bookmarkStart w:id="90" w:name="_Toc19972"/>
      <w:r>
        <w:rPr>
          <w:rFonts w:hint="eastAsia" w:ascii="Times New Roman" w:hAnsi="Times New Roman" w:eastAsia="仿宋_GB2312" w:cs="仿宋_GB2312"/>
          <w:color w:val="auto"/>
          <w:sz w:val="32"/>
          <w:szCs w:val="32"/>
          <w:highlight w:val="none"/>
        </w:rPr>
        <w:t>十二、</w:t>
      </w:r>
      <w:bookmarkEnd w:id="89"/>
      <w:r>
        <w:rPr>
          <w:rFonts w:hint="eastAsia" w:ascii="Times New Roman" w:hAnsi="Times New Roman" w:eastAsia="仿宋_GB2312" w:cs="仿宋_GB2312"/>
          <w:color w:val="auto"/>
          <w:sz w:val="32"/>
          <w:szCs w:val="32"/>
          <w:highlight w:val="none"/>
          <w:lang w:eastAsia="zh-CN"/>
        </w:rPr>
        <w:t>国有资本经营预算财政拨款支出决算表</w:t>
      </w:r>
      <w:bookmarkEnd w:id="90"/>
    </w:p>
    <w:p w14:paraId="47908272">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lang w:eastAsia="zh-CN"/>
        </w:rPr>
      </w:pPr>
      <w:bookmarkStart w:id="91" w:name="_Toc15396631"/>
      <w:bookmarkStart w:id="92" w:name="_Toc12736"/>
      <w:r>
        <w:rPr>
          <w:rFonts w:hint="eastAsia" w:ascii="Times New Roman" w:hAnsi="Times New Roman" w:eastAsia="仿宋_GB2312" w:cs="仿宋_GB2312"/>
          <w:color w:val="auto"/>
          <w:sz w:val="32"/>
          <w:szCs w:val="32"/>
          <w:highlight w:val="none"/>
        </w:rPr>
        <w:t>十三、</w:t>
      </w:r>
      <w:bookmarkEnd w:id="91"/>
      <w:r>
        <w:rPr>
          <w:rFonts w:hint="eastAsia" w:ascii="Times New Roman" w:hAnsi="Times New Roman" w:eastAsia="仿宋_GB2312" w:cs="仿宋_GB2312"/>
          <w:color w:val="auto"/>
          <w:sz w:val="32"/>
          <w:szCs w:val="32"/>
          <w:highlight w:val="none"/>
          <w:lang w:eastAsia="zh-CN"/>
        </w:rPr>
        <w:t>财政拨款“三公”经费支出决算表</w:t>
      </w:r>
      <w:bookmarkEnd w:id="92"/>
    </w:p>
    <w:p w14:paraId="08966D4F">
      <w:pPr>
        <w:rPr>
          <w:rFonts w:hint="eastAsia" w:ascii="Times New Roman" w:hAnsi="Times New Roman"/>
          <w:highlight w:val="none"/>
          <w:lang w:eastAsia="zh-CN"/>
        </w:rPr>
      </w:pPr>
    </w:p>
    <w:sectPr>
      <w:footerReference r:id="rId6" w:type="first"/>
      <w:footerReference r:id="rId5"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F039F8E-464E-4B0F-B817-F2F3318176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EA1D875A-425E-409C-86D5-B53874D55C71}"/>
  </w:font>
  <w:font w:name="仿宋">
    <w:panose1 w:val="02010609060101010101"/>
    <w:charset w:val="86"/>
    <w:family w:val="modern"/>
    <w:pitch w:val="default"/>
    <w:sig w:usb0="800002BF" w:usb1="38CF7CFA" w:usb2="00000016" w:usb3="00000000" w:csb0="00040001" w:csb1="00000000"/>
    <w:embedRegular r:id="rId3" w:fontKey="{C05EA320-FF34-425B-B7FD-0741F35CA64E}"/>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embedRegular r:id="rId4" w:fontKey="{C8282CEA-9ECA-4B53-9D2A-E729B56EBAF0}"/>
  </w:font>
  <w:font w:name="楷体_GB2312">
    <w:panose1 w:val="02010609030101010101"/>
    <w:charset w:val="86"/>
    <w:family w:val="auto"/>
    <w:pitch w:val="default"/>
    <w:sig w:usb0="00000001" w:usb1="080E0000" w:usb2="00000000" w:usb3="00000000" w:csb0="00040000" w:csb1="00000000"/>
    <w:embedRegular r:id="rId5" w:fontKey="{2D9A5066-1706-4A28-B23E-E87B9C67F5D8}"/>
  </w:font>
  <w:font w:name="方正仿宋_GBK">
    <w:panose1 w:val="03000509000000000000"/>
    <w:charset w:val="86"/>
    <w:family w:val="auto"/>
    <w:pitch w:val="default"/>
    <w:sig w:usb0="00000001" w:usb1="080E0000" w:usb2="00000000" w:usb3="00000000" w:csb0="00040000" w:csb1="00000000"/>
    <w:embedRegular r:id="rId6" w:fontKey="{22B1B116-2CA2-445C-9F54-2907B490F7D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124F0">
    <w:pPr>
      <w:pStyle w:val="11"/>
      <w:jc w:val="center"/>
    </w:pPr>
  </w:p>
  <w:p w14:paraId="3777894B">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46423">
    <w:pPr>
      <w:pStyle w:val="11"/>
      <w:jc w:val="center"/>
    </w:pPr>
  </w:p>
  <w:p w14:paraId="031821C6">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A7EFF">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31D20">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F538B"/>
    <w:multiLevelType w:val="singleLevel"/>
    <w:tmpl w:val="834F538B"/>
    <w:lvl w:ilvl="0" w:tentative="0">
      <w:start w:val="1"/>
      <w:numFmt w:val="decimal"/>
      <w:suff w:val="nothing"/>
      <w:lvlText w:val="%1．"/>
      <w:lvlJc w:val="left"/>
      <w:pPr>
        <w:ind w:left="0" w:firstLine="400"/>
      </w:pPr>
      <w:rPr>
        <w:rFonts w:hint="default"/>
        <w:sz w:val="32"/>
        <w:szCs w:val="32"/>
      </w:rPr>
    </w:lvl>
  </w:abstractNum>
  <w:abstractNum w:abstractNumId="1">
    <w:nsid w:val="C4F92BB0"/>
    <w:multiLevelType w:val="singleLevel"/>
    <w:tmpl w:val="C4F92BB0"/>
    <w:lvl w:ilvl="0" w:tentative="0">
      <w:start w:val="1"/>
      <w:numFmt w:val="decimal"/>
      <w:suff w:val="nothing"/>
      <w:lvlText w:val="%1．"/>
      <w:lvlJc w:val="left"/>
      <w:pPr>
        <w:ind w:left="0" w:firstLine="400"/>
      </w:pPr>
      <w:rPr>
        <w:rFonts w:hint="default"/>
        <w:sz w:val="32"/>
        <w:szCs w:val="3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E5743"/>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9C7664"/>
    <w:rsid w:val="02FEBE30"/>
    <w:rsid w:val="03030BB2"/>
    <w:rsid w:val="04916F1E"/>
    <w:rsid w:val="04DB26FC"/>
    <w:rsid w:val="057228FE"/>
    <w:rsid w:val="061E35DE"/>
    <w:rsid w:val="06523F87"/>
    <w:rsid w:val="066E0107"/>
    <w:rsid w:val="07375BAD"/>
    <w:rsid w:val="07996F6E"/>
    <w:rsid w:val="07DFD8BA"/>
    <w:rsid w:val="0841638B"/>
    <w:rsid w:val="08713341"/>
    <w:rsid w:val="09257549"/>
    <w:rsid w:val="09867E8F"/>
    <w:rsid w:val="0A2032A3"/>
    <w:rsid w:val="0A670558"/>
    <w:rsid w:val="0BA457DB"/>
    <w:rsid w:val="0C7D16A3"/>
    <w:rsid w:val="0CA8290A"/>
    <w:rsid w:val="0CBB28B8"/>
    <w:rsid w:val="0D35B1ED"/>
    <w:rsid w:val="0DCB05E4"/>
    <w:rsid w:val="0DF54607"/>
    <w:rsid w:val="0E063231"/>
    <w:rsid w:val="0E254B6B"/>
    <w:rsid w:val="0F615EBD"/>
    <w:rsid w:val="0F98263C"/>
    <w:rsid w:val="101860EC"/>
    <w:rsid w:val="101F47CC"/>
    <w:rsid w:val="10C055FF"/>
    <w:rsid w:val="11694EBD"/>
    <w:rsid w:val="11772AA4"/>
    <w:rsid w:val="118107EC"/>
    <w:rsid w:val="125C0BBE"/>
    <w:rsid w:val="12E24EE2"/>
    <w:rsid w:val="13390EFF"/>
    <w:rsid w:val="13D50BC4"/>
    <w:rsid w:val="14B17F78"/>
    <w:rsid w:val="15397A06"/>
    <w:rsid w:val="165E0673"/>
    <w:rsid w:val="16AB2E5D"/>
    <w:rsid w:val="16B831D5"/>
    <w:rsid w:val="16BB723D"/>
    <w:rsid w:val="175400B6"/>
    <w:rsid w:val="175B488E"/>
    <w:rsid w:val="17E50567"/>
    <w:rsid w:val="186504BB"/>
    <w:rsid w:val="188744BB"/>
    <w:rsid w:val="19A445FC"/>
    <w:rsid w:val="1AF165FE"/>
    <w:rsid w:val="1BE8440E"/>
    <w:rsid w:val="1CBF06C7"/>
    <w:rsid w:val="1CC6347C"/>
    <w:rsid w:val="1D155CEE"/>
    <w:rsid w:val="1D1638FE"/>
    <w:rsid w:val="1DEA3522"/>
    <w:rsid w:val="1E312DEB"/>
    <w:rsid w:val="1E740ACF"/>
    <w:rsid w:val="1F121817"/>
    <w:rsid w:val="1F413615"/>
    <w:rsid w:val="1FF35744"/>
    <w:rsid w:val="1FF6BC77"/>
    <w:rsid w:val="208642F4"/>
    <w:rsid w:val="2186353C"/>
    <w:rsid w:val="21DE16AF"/>
    <w:rsid w:val="22791318"/>
    <w:rsid w:val="23540202"/>
    <w:rsid w:val="23860B96"/>
    <w:rsid w:val="240371BF"/>
    <w:rsid w:val="241E5CD3"/>
    <w:rsid w:val="244F3473"/>
    <w:rsid w:val="24C97D99"/>
    <w:rsid w:val="250E6DEB"/>
    <w:rsid w:val="25A718F0"/>
    <w:rsid w:val="25BB59F6"/>
    <w:rsid w:val="260F557C"/>
    <w:rsid w:val="261E020C"/>
    <w:rsid w:val="26970054"/>
    <w:rsid w:val="26B741BD"/>
    <w:rsid w:val="27316648"/>
    <w:rsid w:val="277F117F"/>
    <w:rsid w:val="27FA446F"/>
    <w:rsid w:val="281408E2"/>
    <w:rsid w:val="29656152"/>
    <w:rsid w:val="29FD04D3"/>
    <w:rsid w:val="2ABD43F8"/>
    <w:rsid w:val="2BFF7BC6"/>
    <w:rsid w:val="2C715B69"/>
    <w:rsid w:val="2C8A61B5"/>
    <w:rsid w:val="2DA41CE1"/>
    <w:rsid w:val="2DC27430"/>
    <w:rsid w:val="2DF04E50"/>
    <w:rsid w:val="2E184C68"/>
    <w:rsid w:val="2E586DFA"/>
    <w:rsid w:val="2F040D46"/>
    <w:rsid w:val="2F320885"/>
    <w:rsid w:val="2F5F53F2"/>
    <w:rsid w:val="2F6B035B"/>
    <w:rsid w:val="2FAE5751"/>
    <w:rsid w:val="2FB1A395"/>
    <w:rsid w:val="2FD9A7D8"/>
    <w:rsid w:val="2FDBF714"/>
    <w:rsid w:val="30AB6865"/>
    <w:rsid w:val="311C359A"/>
    <w:rsid w:val="315C7E3B"/>
    <w:rsid w:val="319F7F4E"/>
    <w:rsid w:val="31AB4AC2"/>
    <w:rsid w:val="3293062C"/>
    <w:rsid w:val="32BD1EF1"/>
    <w:rsid w:val="3304709D"/>
    <w:rsid w:val="334D0383"/>
    <w:rsid w:val="33A773CB"/>
    <w:rsid w:val="34665331"/>
    <w:rsid w:val="349D6851"/>
    <w:rsid w:val="3521172E"/>
    <w:rsid w:val="35D755E7"/>
    <w:rsid w:val="36637A9D"/>
    <w:rsid w:val="368F0CB2"/>
    <w:rsid w:val="36AA5135"/>
    <w:rsid w:val="36BE0DA7"/>
    <w:rsid w:val="376B6AA6"/>
    <w:rsid w:val="376D39B2"/>
    <w:rsid w:val="37C678CF"/>
    <w:rsid w:val="37E16F03"/>
    <w:rsid w:val="37F53A3B"/>
    <w:rsid w:val="389B6C89"/>
    <w:rsid w:val="38D469F0"/>
    <w:rsid w:val="3913458B"/>
    <w:rsid w:val="393A4D47"/>
    <w:rsid w:val="39627CCD"/>
    <w:rsid w:val="397BAF1F"/>
    <w:rsid w:val="39C80763"/>
    <w:rsid w:val="3AB79AF3"/>
    <w:rsid w:val="3AD81A2B"/>
    <w:rsid w:val="3AE834C0"/>
    <w:rsid w:val="3AFB2473"/>
    <w:rsid w:val="3B7EF35A"/>
    <w:rsid w:val="3B9FDB6C"/>
    <w:rsid w:val="3BF5BC2F"/>
    <w:rsid w:val="3CAB7EC8"/>
    <w:rsid w:val="3CEBA265"/>
    <w:rsid w:val="3D98207C"/>
    <w:rsid w:val="3DEE7CF3"/>
    <w:rsid w:val="3E4707A5"/>
    <w:rsid w:val="3E740A63"/>
    <w:rsid w:val="3E78745D"/>
    <w:rsid w:val="3EE17838"/>
    <w:rsid w:val="3F536D21"/>
    <w:rsid w:val="3F55381A"/>
    <w:rsid w:val="3F7F7599"/>
    <w:rsid w:val="3FE37CCF"/>
    <w:rsid w:val="3FF4CAE0"/>
    <w:rsid w:val="3FF7B227"/>
    <w:rsid w:val="40416B7A"/>
    <w:rsid w:val="40A47108"/>
    <w:rsid w:val="412F2E76"/>
    <w:rsid w:val="416F7D53"/>
    <w:rsid w:val="42B0448A"/>
    <w:rsid w:val="43164D0D"/>
    <w:rsid w:val="43911BC6"/>
    <w:rsid w:val="440E1469"/>
    <w:rsid w:val="44E268DA"/>
    <w:rsid w:val="450D13D7"/>
    <w:rsid w:val="454C31E3"/>
    <w:rsid w:val="45506656"/>
    <w:rsid w:val="45B7168C"/>
    <w:rsid w:val="45C95632"/>
    <w:rsid w:val="463902F3"/>
    <w:rsid w:val="48131E90"/>
    <w:rsid w:val="48313923"/>
    <w:rsid w:val="483C5908"/>
    <w:rsid w:val="486A6C7A"/>
    <w:rsid w:val="4A627F82"/>
    <w:rsid w:val="4B0E749A"/>
    <w:rsid w:val="4B2477C4"/>
    <w:rsid w:val="4B4F25DA"/>
    <w:rsid w:val="4BE068DB"/>
    <w:rsid w:val="4D510618"/>
    <w:rsid w:val="4D577224"/>
    <w:rsid w:val="4DBA7040"/>
    <w:rsid w:val="4DBF1CEB"/>
    <w:rsid w:val="4DF0007C"/>
    <w:rsid w:val="4EAB630A"/>
    <w:rsid w:val="4ECE2238"/>
    <w:rsid w:val="4F477F24"/>
    <w:rsid w:val="4F833267"/>
    <w:rsid w:val="4FB862CC"/>
    <w:rsid w:val="4FE9BD67"/>
    <w:rsid w:val="4FFB052F"/>
    <w:rsid w:val="52D47D21"/>
    <w:rsid w:val="533B7DA0"/>
    <w:rsid w:val="537E6D0A"/>
    <w:rsid w:val="53F74C96"/>
    <w:rsid w:val="53FD0BB2"/>
    <w:rsid w:val="54E762B6"/>
    <w:rsid w:val="55170BA8"/>
    <w:rsid w:val="553218C9"/>
    <w:rsid w:val="55772500"/>
    <w:rsid w:val="55CB540B"/>
    <w:rsid w:val="567E1AA5"/>
    <w:rsid w:val="56E47B74"/>
    <w:rsid w:val="57175D52"/>
    <w:rsid w:val="57906374"/>
    <w:rsid w:val="57A7338F"/>
    <w:rsid w:val="57BD3DD4"/>
    <w:rsid w:val="584E2B8F"/>
    <w:rsid w:val="592A069B"/>
    <w:rsid w:val="5A0D6898"/>
    <w:rsid w:val="5A9F6E67"/>
    <w:rsid w:val="5AF92295"/>
    <w:rsid w:val="5B250254"/>
    <w:rsid w:val="5B81656C"/>
    <w:rsid w:val="5BDD79E6"/>
    <w:rsid w:val="5BF561CA"/>
    <w:rsid w:val="5BFF5DFC"/>
    <w:rsid w:val="5C7779C1"/>
    <w:rsid w:val="5C8D7611"/>
    <w:rsid w:val="5CD71FC4"/>
    <w:rsid w:val="5D1F11B5"/>
    <w:rsid w:val="5D695134"/>
    <w:rsid w:val="5DAE1B18"/>
    <w:rsid w:val="5DE7D9E5"/>
    <w:rsid w:val="5ECEC941"/>
    <w:rsid w:val="5FBF9FF3"/>
    <w:rsid w:val="5FCD4E2C"/>
    <w:rsid w:val="5FEF394A"/>
    <w:rsid w:val="5FF67715"/>
    <w:rsid w:val="5FFB68ED"/>
    <w:rsid w:val="60BB7E2A"/>
    <w:rsid w:val="612E2892"/>
    <w:rsid w:val="62BF3928"/>
    <w:rsid w:val="632C3261"/>
    <w:rsid w:val="63B3701E"/>
    <w:rsid w:val="647F5392"/>
    <w:rsid w:val="651951E5"/>
    <w:rsid w:val="65E66580"/>
    <w:rsid w:val="664B1D71"/>
    <w:rsid w:val="664B4E8E"/>
    <w:rsid w:val="66547382"/>
    <w:rsid w:val="66B477F6"/>
    <w:rsid w:val="66D206EE"/>
    <w:rsid w:val="67277B67"/>
    <w:rsid w:val="674A63AC"/>
    <w:rsid w:val="675F3C06"/>
    <w:rsid w:val="678E7ECB"/>
    <w:rsid w:val="67AA3209"/>
    <w:rsid w:val="69280027"/>
    <w:rsid w:val="69492CB0"/>
    <w:rsid w:val="698D0931"/>
    <w:rsid w:val="6A6F3CED"/>
    <w:rsid w:val="6A7FE5F3"/>
    <w:rsid w:val="6AD541DF"/>
    <w:rsid w:val="6B053271"/>
    <w:rsid w:val="6BDD78B3"/>
    <w:rsid w:val="6C4A05C8"/>
    <w:rsid w:val="6C8742B8"/>
    <w:rsid w:val="6D013069"/>
    <w:rsid w:val="6DBF5E93"/>
    <w:rsid w:val="6DFF077E"/>
    <w:rsid w:val="6E714EF0"/>
    <w:rsid w:val="6E7E3605"/>
    <w:rsid w:val="6E7FDCC7"/>
    <w:rsid w:val="6EC46A44"/>
    <w:rsid w:val="6ED6A62E"/>
    <w:rsid w:val="6EE00B15"/>
    <w:rsid w:val="6EE36ECA"/>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343D24"/>
    <w:rsid w:val="744731E5"/>
    <w:rsid w:val="74BBD01D"/>
    <w:rsid w:val="74E120FE"/>
    <w:rsid w:val="74ED5379"/>
    <w:rsid w:val="75DEEEC2"/>
    <w:rsid w:val="75E32345"/>
    <w:rsid w:val="76E3355F"/>
    <w:rsid w:val="76FF5125"/>
    <w:rsid w:val="776F6FFA"/>
    <w:rsid w:val="778769C8"/>
    <w:rsid w:val="77A75DCA"/>
    <w:rsid w:val="77DC22F5"/>
    <w:rsid w:val="783E271A"/>
    <w:rsid w:val="78616DE9"/>
    <w:rsid w:val="78C95383"/>
    <w:rsid w:val="78E35DB2"/>
    <w:rsid w:val="78E875D7"/>
    <w:rsid w:val="79086DAD"/>
    <w:rsid w:val="79D7FD79"/>
    <w:rsid w:val="79EE5BA4"/>
    <w:rsid w:val="7A0174D5"/>
    <w:rsid w:val="7A5779CE"/>
    <w:rsid w:val="7A894339"/>
    <w:rsid w:val="7AD284E8"/>
    <w:rsid w:val="7AEC35AA"/>
    <w:rsid w:val="7AFF7572"/>
    <w:rsid w:val="7B264BB7"/>
    <w:rsid w:val="7B6C7DFB"/>
    <w:rsid w:val="7B8C6B3B"/>
    <w:rsid w:val="7BBFBED0"/>
    <w:rsid w:val="7BC3E394"/>
    <w:rsid w:val="7C1F3737"/>
    <w:rsid w:val="7C9C20EA"/>
    <w:rsid w:val="7CBFC87B"/>
    <w:rsid w:val="7CE8640F"/>
    <w:rsid w:val="7CFE0F48"/>
    <w:rsid w:val="7D272ABC"/>
    <w:rsid w:val="7D7EC23E"/>
    <w:rsid w:val="7DE70964"/>
    <w:rsid w:val="7DF84014"/>
    <w:rsid w:val="7E8ADEBF"/>
    <w:rsid w:val="7EEF11D3"/>
    <w:rsid w:val="7EFE4840"/>
    <w:rsid w:val="7F0971A6"/>
    <w:rsid w:val="7F1D62E7"/>
    <w:rsid w:val="7F3F679B"/>
    <w:rsid w:val="7F4FC4EF"/>
    <w:rsid w:val="7F5E4D54"/>
    <w:rsid w:val="7F6E0135"/>
    <w:rsid w:val="7F79F205"/>
    <w:rsid w:val="7FA30C79"/>
    <w:rsid w:val="7FA79C44"/>
    <w:rsid w:val="7FAF4BA7"/>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index 8"/>
    <w:basedOn w:val="1"/>
    <w:next w:val="1"/>
    <w:qFormat/>
    <w:uiPriority w:val="0"/>
    <w:pPr>
      <w:ind w:left="1400" w:leftChars="1400"/>
    </w:p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2"/>
    <w:qFormat/>
    <w:uiPriority w:val="9"/>
    <w:rPr>
      <w:rFonts w:ascii="Times New Roman" w:hAnsi="Times New Roman"/>
      <w:b/>
      <w:bCs/>
      <w:kern w:val="44"/>
      <w:sz w:val="44"/>
      <w:szCs w:val="44"/>
    </w:rPr>
  </w:style>
  <w:style w:type="character" w:customStyle="1" w:styleId="30">
    <w:name w:val="标题 2 Char"/>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4"/>
    <w:qFormat/>
    <w:uiPriority w:val="9"/>
    <w:rPr>
      <w:rFonts w:ascii="Times New Roman" w:hAnsi="Times New Roman"/>
      <w:b/>
      <w:bCs/>
      <w:kern w:val="2"/>
      <w:sz w:val="32"/>
      <w:szCs w:val="32"/>
    </w:rPr>
  </w:style>
  <w:style w:type="paragraph" w:customStyle="1" w:styleId="34">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收入、支出决算总计变动（万元）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50.14</c:v>
                </c:pt>
                <c:pt idx="1">
                  <c:v>59.18</c:v>
                </c:pt>
              </c:numCache>
            </c:numRef>
          </c:val>
        </c:ser>
        <c:dLbls>
          <c:showLegendKey val="0"/>
          <c:showVal val="1"/>
          <c:showCatName val="0"/>
          <c:showSerName val="0"/>
          <c:showPercent val="0"/>
          <c:showBubbleSize val="0"/>
        </c:dLbls>
        <c:gapWidth val="150"/>
        <c:overlap val="-25"/>
        <c:axId val="692456381"/>
        <c:axId val="494984204"/>
      </c:barChart>
      <c:catAx>
        <c:axId val="69245638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4984204"/>
        <c:crosses val="autoZero"/>
        <c:auto val="1"/>
        <c:lblAlgn val="ctr"/>
        <c:lblOffset val="100"/>
        <c:noMultiLvlLbl val="0"/>
      </c:catAx>
      <c:valAx>
        <c:axId val="49498420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2456381"/>
        <c:crosses val="autoZero"/>
        <c:crossBetween val="between"/>
      </c:valAx>
      <c:spPr>
        <a:noFill/>
        <a:ln>
          <a:noFill/>
        </a:ln>
        <a:effectLst/>
      </c:spPr>
    </c:plotArea>
    <c:plotVisOnly val="1"/>
    <c:dispBlanksAs val="gap"/>
    <c:showDLblsOverMax val="0"/>
    <c:extLst>
      <c:ext uri="{0b15fc19-7d7d-44ad-8c2d-2c3a37ce22c3}">
        <chartProps xmlns="https://web.wps.cn/et/2018/main" chartId="{8f2f69c1-faaf-4ebd-8f39-35d1893a73f3}"/>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一般公共预算财政收入</c:v>
                </c:pt>
                <c:pt idx="1">
                  <c:v>政府性基金收入</c:v>
                </c:pt>
              </c:strCache>
            </c:strRef>
          </c:cat>
          <c:val>
            <c:numRef>
              <c:f>Sheet1!$B$2:$B$3</c:f>
              <c:numCache>
                <c:formatCode>General</c:formatCode>
                <c:ptCount val="2"/>
                <c:pt idx="0">
                  <c:v>59.18</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c056e32-2964-45c7-a869-d26d0f6fa347}"/>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支出决算图（万元）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59.18</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c056e32-2964-45c7-a869-d26d0f6fa347}"/>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财政拨款收、支决算总计变动（万元）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50.14</c:v>
                </c:pt>
                <c:pt idx="1">
                  <c:v>59.18</c:v>
                </c:pt>
              </c:numCache>
            </c:numRef>
          </c:val>
        </c:ser>
        <c:dLbls>
          <c:showLegendKey val="0"/>
          <c:showVal val="1"/>
          <c:showCatName val="0"/>
          <c:showSerName val="0"/>
          <c:showPercent val="0"/>
          <c:showBubbleSize val="0"/>
        </c:dLbls>
        <c:gapWidth val="150"/>
        <c:overlap val="-25"/>
        <c:axId val="692456381"/>
        <c:axId val="494984204"/>
      </c:barChart>
      <c:catAx>
        <c:axId val="69245638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4984204"/>
        <c:crosses val="autoZero"/>
        <c:auto val="1"/>
        <c:lblAlgn val="ctr"/>
        <c:lblOffset val="100"/>
        <c:noMultiLvlLbl val="0"/>
      </c:catAx>
      <c:valAx>
        <c:axId val="49498420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2456381"/>
        <c:crosses val="autoZero"/>
        <c:crossBetween val="between"/>
      </c:valAx>
      <c:spPr>
        <a:noFill/>
        <a:ln>
          <a:noFill/>
        </a:ln>
        <a:effectLst/>
      </c:spPr>
    </c:plotArea>
    <c:plotVisOnly val="1"/>
    <c:dispBlanksAs val="gap"/>
    <c:showDLblsOverMax val="0"/>
    <c:extLst>
      <c:ext uri="{0b15fc19-7d7d-44ad-8c2d-2c3a37ce22c3}">
        <chartProps xmlns="https://web.wps.cn/et/2018/main" chartId="{363ae6a0-7dbe-4e07-9fdd-e74f50175fe2}"/>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一般公共预算财政拨款支出（万元）</c:v>
                </c:pt>
              </c:strCache>
            </c:strRef>
          </c:tx>
          <c:spPr>
            <a:solidFill>
              <a:schemeClr val="accent1"/>
            </a:solidFill>
            <a:ln>
              <a:noFill/>
            </a:ln>
            <a:effectLst/>
          </c:spPr>
          <c:invertIfNegative val="0"/>
          <c:dLbls>
            <c:delete val="1"/>
          </c:dLbls>
          <c:cat>
            <c:strRef>
              <c:f>Sheet1!$A$2:$A$3</c:f>
              <c:strCache>
                <c:ptCount val="2"/>
                <c:pt idx="0">
                  <c:v>2023年</c:v>
                </c:pt>
                <c:pt idx="1">
                  <c:v>2024年</c:v>
                </c:pt>
              </c:strCache>
            </c:strRef>
          </c:cat>
          <c:val>
            <c:numRef>
              <c:f>Sheet1!$B$2:$B$3</c:f>
              <c:numCache>
                <c:formatCode>General</c:formatCode>
                <c:ptCount val="2"/>
                <c:pt idx="0">
                  <c:v>50.14</c:v>
                </c:pt>
                <c:pt idx="1">
                  <c:v>59.18</c:v>
                </c:pt>
              </c:numCache>
            </c:numRef>
          </c:val>
        </c:ser>
        <c:dLbls>
          <c:showLegendKey val="0"/>
          <c:showVal val="1"/>
          <c:showCatName val="0"/>
          <c:showSerName val="0"/>
          <c:showPercent val="0"/>
          <c:showBubbleSize val="0"/>
        </c:dLbls>
        <c:gapWidth val="150"/>
        <c:overlap val="0"/>
        <c:axId val="692456381"/>
        <c:axId val="494984204"/>
      </c:barChart>
      <c:catAx>
        <c:axId val="69245638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4984204"/>
        <c:crosses val="autoZero"/>
        <c:auto val="1"/>
        <c:lblAlgn val="ctr"/>
        <c:lblOffset val="100"/>
        <c:noMultiLvlLbl val="0"/>
      </c:catAx>
      <c:valAx>
        <c:axId val="49498420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2456381"/>
        <c:crosses val="autoZero"/>
        <c:crossBetween val="between"/>
      </c:valAx>
      <c:spPr>
        <a:noFill/>
        <a:ln>
          <a:noFill/>
        </a:ln>
        <a:effectLst/>
      </c:spPr>
    </c:plotArea>
    <c:plotVisOnly val="1"/>
    <c:dispBlanksAs val="gap"/>
    <c:showDLblsOverMax val="0"/>
    <c:extLst>
      <c:ext uri="{0b15fc19-7d7d-44ad-8c2d-2c3a37ce22c3}">
        <chartProps xmlns="https://web.wps.cn/et/2018/main" chartId="{363ae6a0-7dbe-4e07-9fdd-e74f50175fe2}"/>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ln>
                <a:noFill/>
              </a:ln>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ln>
                      <a:noFill/>
                    </a:ln>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45.99</c:v>
                </c:pt>
                <c:pt idx="1">
                  <c:v>6.42</c:v>
                </c:pt>
                <c:pt idx="2">
                  <c:v>2.76</c:v>
                </c:pt>
                <c:pt idx="3">
                  <c:v>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ln>
                  <a:noFill/>
                </a:ln>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ln>
                  <a:noFill/>
                </a:ln>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ln>
                  <a:noFill/>
                </a:ln>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900" b="0" i="0" u="none" strike="noStrike" kern="1200" baseline="0">
                <a:ln>
                  <a:noFill/>
                </a:ln>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ln>
                <a:noFill/>
              </a:ln>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c46a54d-594c-40f2-b5cf-af3b2d5997e8}"/>
      </c:ext>
    </c:extLst>
  </c:chart>
  <c:spPr>
    <a:solidFill>
      <a:schemeClr val="bg1"/>
    </a:solidFill>
    <a:ln w="7620" cap="flat" cmpd="sng" algn="ctr">
      <a:solidFill>
        <a:schemeClr val="tx1"/>
      </a:solidFill>
      <a:round/>
    </a:ln>
    <a:effectLst/>
  </c:spPr>
  <c:txPr>
    <a:bodyPr/>
    <a:lstStyle/>
    <a:p>
      <a:pPr>
        <a:defRPr lang="zh-CN">
          <a:ln>
            <a:noFill/>
          </a:ln>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4812</Words>
  <Characters>5154</Characters>
  <Lines>61</Lines>
  <Paragraphs>17</Paragraphs>
  <TotalTime>1</TotalTime>
  <ScaleCrop>false</ScaleCrop>
  <LinksUpToDate>false</LinksUpToDate>
  <CharactersWithSpaces>5272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陈延枫</cp:lastModifiedBy>
  <cp:lastPrinted>2025-08-06T17:34:00Z</cp:lastPrinted>
  <dcterms:modified xsi:type="dcterms:W3CDTF">2025-09-28T03:32:57Z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CCBF13AE900B444B827DCEF8185F3411_13</vt:lpwstr>
  </property>
  <property fmtid="{D5CDD505-2E9C-101B-9397-08002B2CF9AE}" pid="4" name="KSOTemplateDocerSaveRecord">
    <vt:lpwstr>eyJoZGlkIjoiOGQ4MjJiYjYwYWZmNjM2YjgyNjUxMDVmZjI5N2IxZjIiLCJ1c2VySWQiOiIxMTc5MTM2MzkzIn0=</vt:lpwstr>
  </property>
</Properties>
</file>