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5"/>
        <w:jc w:val="center"/>
        <w:rPr>
          <w:rFonts w:ascii="方正小标宋简体" w:eastAsia="方正小标宋简体" w:cs="Times New Roman" w:hint="eastAsia"/>
          <w:color w:val="auto"/>
          <w:kern w:val="2"/>
          <w:sz w:val="44"/>
          <w:szCs w:val="44"/>
          <w:lang w:val="en-US" w:eastAsia="zh-CN" w:bidi="ar-SA"/>
          <w:highlight w:val="auto"/>
        </w:rPr>
      </w:pPr>
    </w:p>
    <w:p>
      <w:pPr>
        <w:pStyle w:val="15"/>
        <w:jc w:val="center"/>
        <w:rPr>
          <w:rFonts w:ascii="方正小标宋_GBK" w:eastAsia="方正小标宋_GBK" w:cs="方正小标宋_GBK" w:hint="eastAsia"/>
          <w:b/>
          <w:bCs/>
          <w:color w:val="auto"/>
          <w:kern w:val="2"/>
          <w:sz w:val="52"/>
          <w:szCs w:val="52"/>
          <w:lang w:val="en-US" w:eastAsia="zh-CN" w:bidi="ar-SA"/>
          <w:highlight w:val="auto"/>
        </w:rPr>
      </w:pPr>
      <w:r>
        <w:rPr>
          <w:rFonts w:ascii="方正小标宋_GBK" w:eastAsia="方正小标宋_GBK" w:cs="方正小标宋_GBK" w:hint="eastAsia"/>
          <w:b/>
          <w:bCs/>
          <w:color w:val="auto"/>
          <w:kern w:val="2"/>
          <w:sz w:val="52"/>
          <w:szCs w:val="52"/>
          <w:lang w:val="en-US" w:eastAsia="zh-CN" w:bidi="ar-SA"/>
          <w:highlight w:val="auto"/>
        </w:rPr>
        <w:t>2023年度四川藏语佛学院阿坝分院</w:t>
      </w:r>
    </w:p>
    <w:p>
      <w:pPr>
        <w:pStyle w:val="15"/>
        <w:jc w:val="center"/>
        <w:rPr>
          <w:rFonts w:ascii="方正小标宋_GBK" w:eastAsia="方正小标宋_GBK" w:cs="方正小标宋_GBK" w:hint="eastAsia"/>
          <w:b/>
          <w:bCs/>
          <w:color w:val="auto"/>
          <w:kern w:val="2"/>
          <w:sz w:val="52"/>
          <w:szCs w:val="52"/>
          <w:lang w:val="en-US" w:eastAsia="zh-CN" w:bidi="ar-SA"/>
          <w:highlight w:val="auto"/>
        </w:rPr>
      </w:pPr>
      <w:r>
        <w:rPr>
          <w:rFonts w:ascii="方正小标宋_GBK" w:eastAsia="方正小标宋_GBK" w:cs="方正小标宋_GBK" w:hint="eastAsia"/>
          <w:b/>
          <w:bCs/>
          <w:color w:val="auto"/>
          <w:kern w:val="2"/>
          <w:sz w:val="52"/>
          <w:szCs w:val="52"/>
          <w:lang w:val="en-US" w:eastAsia="zh-CN" w:bidi="ar-SA"/>
          <w:highlight w:val="auto"/>
        </w:rPr>
        <w:t>单位决算</w:t>
      </w:r>
    </w:p>
    <w:p>
      <w:pPr>
        <w:widowControl/>
        <w:jc w:val="center"/>
        <w:rPr>
          <w:rFonts w:ascii="方正黑体_GBK" w:eastAsia="方正黑体_GBK" w:cs="方正黑体_GBK" w:hint="eastAsia"/>
          <w:color w:val="auto"/>
          <w:sz w:val="52"/>
          <w:szCs w:val="52"/>
          <w:highlight w:val="auto"/>
        </w:rPr>
      </w:pPr>
    </w:p>
    <w:p>
      <w:pPr>
        <w:widowControl/>
        <w:jc w:val="center"/>
        <w:rPr>
          <w:rFonts w:ascii="方正黑体_GBK" w:eastAsia="方正黑体_GBK" w:cs="方正黑体_GBK" w:hint="eastAsia"/>
          <w:color w:val="auto"/>
          <w:sz w:val="52"/>
          <w:szCs w:val="52"/>
          <w:highlight w:val="auto"/>
        </w:rPr>
      </w:pPr>
    </w:p>
    <w:p>
      <w:pPr>
        <w:widowControl/>
        <w:jc w:val="center"/>
        <w:rPr>
          <w:rFonts w:ascii="方正黑体_GBK" w:eastAsia="方正黑体_GBK" w:cs="方正黑体_GBK" w:hint="eastAsia"/>
          <w:color w:val="auto"/>
          <w:sz w:val="52"/>
          <w:szCs w:val="52"/>
          <w:highlight w:val="auto"/>
        </w:rPr>
      </w:pPr>
    </w:p>
    <w:p>
      <w:pPr>
        <w:pStyle w:val="15"/>
        <w:spacing w:beforeLines="0" w:before="93"/>
        <w:jc w:val="center"/>
      </w:pPr>
      <w:r>
        <w:rPr>
          <w:rFonts w:cs="仿宋_GB2312" w:hint="eastAsia"/>
          <w:sz w:val="32"/>
          <w:szCs w:val="32"/>
        </w:rPr>
        <w:t>已经保密审查、内容审定，同意对外公开</w:t>
      </w:r>
    </w:p>
    <w:p>
      <w:pPr>
        <w:widowControl/>
        <w:jc w:val="both"/>
        <w:rPr>
          <w:rFonts w:ascii="黑体" w:eastAsia="黑体"/>
          <w:color w:val="auto"/>
          <w:sz w:val="48"/>
          <w:szCs w:val="48"/>
          <w:highlight w:val="auto"/>
        </w:rPr>
      </w:pPr>
      <w:r>
        <w:rPr>
          <w:rFonts w:ascii="方正黑体_GBK" w:eastAsia="方正黑体_GBK" w:cs="方正黑体_GBK" w:hint="eastAsia"/>
          <w:color w:val="auto"/>
          <w:sz w:val="52"/>
          <w:szCs w:val="52"/>
          <w:highlight w:val="auto"/>
        </w:rPr>
        <w:br w:type="page"/>
      </w:r>
      <w:r>
        <w:rPr>
          <w:rFonts w:ascii="方正黑体_GBK" w:eastAsia="方正黑体_GBK" w:cs="方正黑体_GBK" w:hint="eastAsia"/>
          <w:color w:val="auto"/>
          <w:sz w:val="52"/>
          <w:szCs w:val="52"/>
          <w:lang w:val="en-US" w:eastAsia="zh-CN"/>
          <w:highlight w:val="auto"/>
        </w:rPr>
        <w:t xml:space="preserve">            </w:t>
      </w:r>
      <w:r>
        <w:rPr>
          <w:rFonts w:ascii="黑体" w:eastAsia="黑体" w:hint="eastAsia"/>
          <w:color w:val="auto"/>
          <w:sz w:val="48"/>
          <w:szCs w:val="48"/>
          <w:highlight w:val="auto"/>
        </w:rPr>
        <w:t>目</w:t>
      </w:r>
      <w:r>
        <w:rPr>
          <w:rFonts w:ascii="黑体" w:eastAsia="黑体" w:hint="eastAsia"/>
          <w:color w:val="auto"/>
          <w:sz w:val="48"/>
          <w:szCs w:val="48"/>
          <w:lang w:val="en-US" w:eastAsia="zh-CN"/>
          <w:highlight w:val="auto"/>
        </w:rPr>
        <w:t xml:space="preserve">  </w:t>
      </w:r>
      <w:r>
        <w:rPr>
          <w:rFonts w:ascii="黑体" w:eastAsia="黑体" w:hint="eastAsia"/>
          <w:color w:val="auto"/>
          <w:sz w:val="48"/>
          <w:szCs w:val="48"/>
          <w:highlight w:val="auto"/>
        </w:rPr>
        <w:t>录</w:t>
      </w:r>
    </w:p>
    <w:p>
      <w:pPr>
        <w:widowControl/>
        <w:jc w:val="center"/>
        <w:rPr>
          <w:rFonts w:ascii="黑体" w:eastAsia="黑体" w:cs="Arial"/>
          <w:color w:val="auto"/>
          <w:sz w:val="28"/>
          <w:szCs w:val="28"/>
          <w:highlight w:val="auto"/>
        </w:rPr>
      </w:pPr>
    </w:p>
    <w:p>
      <w:pPr>
        <w:pStyle w:val="19"/>
        <w:tabs>
          <w:tab w:val="right" w:leader="dot" w:pos="8296"/>
        </w:tabs>
        <w:rPr>
          <w:color w:val="auto"/>
          <w:highlight w:val="auto"/>
        </w:rPr>
      </w:pPr>
      <w:r>
        <w:rPr>
          <w:rFonts w:hint="eastAsia"/>
          <w:color w:val="auto"/>
          <w:highlight w:val="auto"/>
        </w:rPr>
        <w:t>公开时间：20</w:t>
      </w:r>
      <w:r>
        <w:rPr>
          <w:rFonts w:hint="eastAsia"/>
          <w:color w:val="auto"/>
          <w:lang w:val="en-US" w:eastAsia="zh-CN"/>
          <w:highlight w:val="auto"/>
        </w:rPr>
        <w:t>24</w:t>
      </w:r>
      <w:r>
        <w:rPr>
          <w:rFonts w:hint="eastAsia"/>
          <w:color w:val="auto"/>
          <w:highlight w:val="auto"/>
        </w:rPr>
        <w:t>年</w:t>
      </w:r>
      <w:r>
        <w:rPr>
          <w:rFonts w:hint="eastAsia"/>
          <w:color w:val="auto"/>
          <w:lang w:val="en-US" w:eastAsia="zh-CN"/>
          <w:highlight w:val="auto"/>
        </w:rPr>
        <w:t>9</w:t>
      </w:r>
      <w:r>
        <w:rPr>
          <w:rFonts w:hint="eastAsia"/>
          <w:color w:val="auto"/>
          <w:highlight w:val="auto"/>
        </w:rPr>
        <w:t>月</w:t>
      </w:r>
      <w:r>
        <w:rPr>
          <w:rFonts w:hint="eastAsia"/>
          <w:color w:val="auto"/>
          <w:lang w:val="en-US" w:eastAsia="zh-CN"/>
          <w:highlight w:val="auto"/>
        </w:rPr>
        <w:t>9</w:t>
      </w:r>
      <w:r>
        <w:rPr>
          <w:rFonts w:hint="eastAsia"/>
          <w:color w:val="auto"/>
          <w:highlight w:val="auto"/>
        </w:rPr>
        <w:t>日</w:t>
      </w:r>
    </w:p>
    <w:sdt>
      <w:sdtPr>
        <w:rPr>
          <w:rFonts w:ascii="宋体" w:eastAsia="宋体" w:cs="Times New Roman"/>
          <w:kern w:val="2"/>
          <w:sz w:val="21"/>
          <w:szCs w:val="24"/>
          <w:lang w:val="en-US" w:eastAsia="zh-CN" w:bidi="ar-SA"/>
        </w:rPr>
        <w:id w:val="-1536491818"/>
        <w15:color w:val="DBDBDB"/>
        <w:docPartObj>
          <w:docPartGallery w:val="Table of Contents"/>
          <w:docPartUnique/>
        </w:docPartObj>
      </w:sdtPr>
      <w:sdtEndPr>
        <w:rPr>
          <w:b/>
        </w:rPr>
      </w:sdtEndPr>
      <w:sdtContent>
        <w:p>
          <w:pPr>
            <w:spacing w:before="0" w:after="0" w:line="240" w:lineRule="auto"/>
            <w:ind w:left="0" w:right="0" w:firstLine="0"/>
            <w:jc w:val="center"/>
          </w:pPr>
        </w:p>
        <w:p>
          <w:pPr>
            <w:pStyle w:val="25"/>
            <w:tabs>
              <w:tab w:val="right" w:leader="dot" w:pos="8306"/>
            </w:tabs>
            <w:rPr>
              <w:rFonts w:ascii="仿宋" w:eastAsia="仿宋" w:cs="仿宋" w:hint="eastAsia"/>
              <w:b/>
              <w:sz w:val="28"/>
              <w:szCs w:val="28"/>
            </w:rPr>
          </w:pPr>
          <w:r>
            <w:fldChar w:fldCharType="begin"/>
          </w:r>
          <w:r>
            <w:instrText xml:space="preserve">TOC \o "1-2" \h \u </w:instrText>
          </w:r>
          <w:r>
            <w:fldChar w:fldCharType="separate"/>
          </w:r>
          <w:r>
            <w:rPr>
              <w:rFonts w:ascii="仿宋" w:eastAsia="仿宋" w:cs="仿宋" w:hint="eastAsia"/>
              <w:b/>
              <w:sz w:val="28"/>
              <w:szCs w:val="28"/>
            </w:rPr>
            <w:fldChar w:fldCharType="begin"/>
          </w:r>
          <w:r>
            <w:rPr>
              <w:rFonts w:ascii="仿宋" w:eastAsia="仿宋" w:cs="仿宋" w:hint="eastAsia"/>
              <w:b/>
              <w:sz w:val="28"/>
              <w:szCs w:val="28"/>
            </w:rPr>
            <w:instrText xml:space="preserve"> HYPERLINK \l _Toc25957 </w:instrText>
          </w:r>
          <w:r>
            <w:rPr>
              <w:rFonts w:ascii="仿宋" w:eastAsia="仿宋" w:cs="仿宋" w:hint="eastAsia"/>
              <w:b/>
              <w:sz w:val="28"/>
              <w:szCs w:val="28"/>
            </w:rPr>
            <w:fldChar w:fldCharType="separate"/>
          </w:r>
          <w:r>
            <w:rPr>
              <w:rFonts w:ascii="仿宋" w:eastAsia="仿宋" w:cs="仿宋" w:hint="eastAsia"/>
              <w:b/>
              <w:sz w:val="28"/>
              <w:szCs w:val="28"/>
              <w:highlight w:val="auto"/>
            </w:rPr>
            <w:t xml:space="preserve">第一部分 </w:t>
          </w:r>
          <w:r>
            <w:rPr>
              <w:rFonts w:ascii="仿宋" w:eastAsia="仿宋" w:cs="仿宋" w:hint="eastAsia"/>
              <w:b/>
              <w:sz w:val="28"/>
              <w:szCs w:val="28"/>
              <w:lang w:eastAsia="zh-CN"/>
              <w:highlight w:val="auto"/>
            </w:rPr>
            <w:t>单位</w:t>
          </w:r>
          <w:r>
            <w:rPr>
              <w:rFonts w:ascii="仿宋" w:eastAsia="仿宋" w:cs="仿宋" w:hint="eastAsia"/>
              <w:b/>
              <w:bCs w:val="0"/>
              <w:sz w:val="28"/>
              <w:szCs w:val="28"/>
              <w:highlight w:val="auto"/>
            </w:rPr>
            <w:t>概况</w:t>
          </w:r>
          <w:r>
            <w:rPr>
              <w:rFonts w:ascii="仿宋" w:eastAsia="仿宋" w:cs="仿宋" w:hint="eastAsia"/>
              <w:b/>
              <w:sz w:val="28"/>
              <w:szCs w:val="28"/>
            </w:rPr>
            <w:tab/>
          </w:r>
          <w:r>
            <w:rPr>
              <w:rFonts w:ascii="仿宋" w:eastAsia="仿宋" w:cs="仿宋" w:hint="eastAsia"/>
              <w:b/>
              <w:sz w:val="28"/>
              <w:szCs w:val="28"/>
            </w:rPr>
            <w:fldChar w:fldCharType="begin"/>
          </w:r>
          <w:r>
            <w:rPr>
              <w:rFonts w:ascii="仿宋" w:eastAsia="仿宋" w:cs="仿宋" w:hint="eastAsia"/>
              <w:b/>
              <w:sz w:val="28"/>
              <w:szCs w:val="28"/>
            </w:rPr>
            <w:instrText xml:space="preserve"> PAGEREF _Toc25957 \h </w:instrText>
          </w:r>
          <w:r>
            <w:rPr>
              <w:rFonts w:ascii="仿宋" w:eastAsia="仿宋" w:cs="仿宋" w:hint="eastAsia"/>
              <w:b/>
              <w:sz w:val="28"/>
              <w:szCs w:val="28"/>
            </w:rPr>
            <w:fldChar w:fldCharType="separate"/>
          </w:r>
          <w:r>
            <w:rPr>
              <w:rFonts w:ascii="仿宋" w:eastAsia="仿宋" w:cs="仿宋" w:hint="eastAsia"/>
              <w:b/>
              <w:sz w:val="28"/>
              <w:szCs w:val="28"/>
            </w:rPr>
            <w:t>- 1 -</w:t>
          </w:r>
          <w:r>
            <w:rPr>
              <w:rFonts w:ascii="仿宋" w:eastAsia="仿宋" w:cs="仿宋" w:hint="eastAsia"/>
              <w:b/>
              <w:sz w:val="28"/>
              <w:szCs w:val="28"/>
            </w:rPr>
            <w:fldChar w:fldCharType="end"/>
          </w:r>
          <w:r>
            <w:rPr>
              <w:rFonts w:ascii="仿宋" w:eastAsia="仿宋" w:cs="仿宋" w:hint="eastAsia"/>
              <w:b/>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_Toc21050 </w:instrText>
          </w:r>
          <w:r>
            <w:rPr>
              <w:rFonts w:ascii="仿宋" w:eastAsia="仿宋" w:cs="仿宋" w:hint="eastAsia"/>
              <w:sz w:val="28"/>
              <w:szCs w:val="28"/>
            </w:rPr>
            <w:fldChar w:fldCharType="separate"/>
          </w:r>
          <w:r>
            <w:rPr>
              <w:rFonts w:ascii="仿宋" w:eastAsia="仿宋" w:cs="仿宋" w:hint="eastAsia"/>
              <w:bCs w:val="0"/>
              <w:sz w:val="28"/>
              <w:szCs w:val="28"/>
              <w:lang w:eastAsia="zh-CN"/>
            </w:rPr>
            <w:t xml:space="preserve">一、 </w:t>
          </w:r>
          <w:r>
            <w:rPr>
              <w:rFonts w:ascii="仿宋" w:eastAsia="仿宋" w:cs="仿宋" w:hint="eastAsia"/>
              <w:bCs w:val="0"/>
              <w:sz w:val="28"/>
              <w:szCs w:val="28"/>
              <w:lang w:eastAsia="zh-CN"/>
              <w:highlight w:val="auto"/>
            </w:rPr>
            <w:t>主要职责</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_Toc21050 \h </w:instrText>
          </w:r>
          <w:r>
            <w:rPr>
              <w:rFonts w:ascii="仿宋" w:eastAsia="仿宋" w:cs="仿宋" w:hint="eastAsia"/>
              <w:sz w:val="28"/>
              <w:szCs w:val="28"/>
            </w:rPr>
            <w:fldChar w:fldCharType="separate"/>
          </w:r>
          <w:r>
            <w:rPr>
              <w:rFonts w:ascii="仿宋" w:eastAsia="仿宋" w:cs="仿宋" w:hint="eastAsia"/>
              <w:sz w:val="28"/>
              <w:szCs w:val="28"/>
            </w:rPr>
            <w:t>- 1 -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_Toc14576 </w:instrText>
          </w:r>
          <w:r>
            <w:rPr>
              <w:rFonts w:ascii="仿宋" w:eastAsia="仿宋" w:cs="仿宋" w:hint="eastAsia"/>
              <w:sz w:val="28"/>
              <w:szCs w:val="28"/>
            </w:rPr>
            <w:fldChar w:fldCharType="separate"/>
          </w:r>
          <w:r>
            <w:rPr>
              <w:rFonts w:ascii="仿宋" w:eastAsia="仿宋" w:cs="仿宋" w:hint="eastAsia"/>
              <w:sz w:val="28"/>
              <w:szCs w:val="28"/>
              <w:lang w:val="en-US" w:eastAsia="zh-CN"/>
              <w:highlight w:val="auto"/>
            </w:rPr>
            <w:t>二、机构设置</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_Toc14576 \h </w:instrText>
          </w:r>
          <w:r>
            <w:rPr>
              <w:rFonts w:ascii="仿宋" w:eastAsia="仿宋" w:cs="仿宋" w:hint="eastAsia"/>
              <w:sz w:val="28"/>
              <w:szCs w:val="28"/>
            </w:rPr>
            <w:fldChar w:fldCharType="separate"/>
          </w:r>
          <w:r>
            <w:rPr>
              <w:rFonts w:ascii="仿宋" w:eastAsia="仿宋" w:cs="仿宋" w:hint="eastAsia"/>
              <w:sz w:val="28"/>
              <w:szCs w:val="28"/>
            </w:rPr>
            <w:t>- 1 -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5"/>
            <w:tabs>
              <w:tab w:val="right" w:leader="dot" w:pos="8306"/>
            </w:tabs>
            <w:rPr>
              <w:rFonts w:ascii="仿宋" w:eastAsia="仿宋" w:cs="仿宋" w:hint="eastAsia"/>
              <w:b/>
              <w:sz w:val="28"/>
              <w:szCs w:val="28"/>
            </w:rPr>
          </w:pPr>
          <w:r>
            <w:rPr>
              <w:rFonts w:ascii="仿宋" w:eastAsia="仿宋" w:cs="仿宋" w:hint="eastAsia"/>
              <w:b/>
              <w:sz w:val="28"/>
              <w:szCs w:val="28"/>
            </w:rPr>
            <w:fldChar w:fldCharType="begin"/>
          </w:r>
          <w:r>
            <w:rPr>
              <w:rFonts w:ascii="仿宋" w:eastAsia="仿宋" w:cs="仿宋" w:hint="eastAsia"/>
              <w:b/>
              <w:sz w:val="28"/>
              <w:szCs w:val="28"/>
            </w:rPr>
            <w:instrText xml:space="preserve"> HYPERLINK \l _Toc18461 </w:instrText>
          </w:r>
          <w:r>
            <w:rPr>
              <w:rFonts w:ascii="仿宋" w:eastAsia="仿宋" w:cs="仿宋" w:hint="eastAsia"/>
              <w:b/>
              <w:sz w:val="28"/>
              <w:szCs w:val="28"/>
            </w:rPr>
            <w:fldChar w:fldCharType="separate"/>
          </w:r>
          <w:r>
            <w:rPr>
              <w:rFonts w:ascii="仿宋" w:eastAsia="仿宋" w:cs="仿宋" w:hint="eastAsia"/>
              <w:b/>
              <w:bCs/>
              <w:sz w:val="28"/>
              <w:szCs w:val="28"/>
              <w:highlight w:val="auto"/>
            </w:rPr>
            <w:t xml:space="preserve">第二部分 </w:t>
          </w:r>
          <w:r>
            <w:rPr>
              <w:rFonts w:ascii="仿宋" w:eastAsia="仿宋" w:cs="仿宋" w:hint="eastAsia"/>
              <w:b/>
              <w:bCs/>
              <w:sz w:val="28"/>
              <w:szCs w:val="28"/>
              <w:lang w:val="en-US" w:eastAsia="zh-CN"/>
              <w:highlight w:val="auto"/>
            </w:rPr>
            <w:t>2023年度</w:t>
          </w:r>
          <w:r>
            <w:rPr>
              <w:rFonts w:ascii="仿宋" w:eastAsia="仿宋" w:cs="仿宋" w:hint="eastAsia"/>
              <w:b/>
              <w:bCs/>
              <w:sz w:val="28"/>
              <w:szCs w:val="28"/>
              <w:lang w:eastAsia="zh-CN"/>
              <w:highlight w:val="auto"/>
            </w:rPr>
            <w:t>单位</w:t>
          </w:r>
          <w:r>
            <w:rPr>
              <w:rFonts w:ascii="仿宋" w:eastAsia="仿宋" w:cs="仿宋" w:hint="eastAsia"/>
              <w:b/>
              <w:bCs/>
              <w:sz w:val="28"/>
              <w:szCs w:val="28"/>
              <w:highlight w:val="auto"/>
            </w:rPr>
            <w:t>决算情况说明</w:t>
          </w:r>
          <w:r>
            <w:rPr>
              <w:rFonts w:ascii="仿宋" w:eastAsia="仿宋" w:cs="仿宋" w:hint="eastAsia"/>
              <w:b/>
              <w:sz w:val="28"/>
              <w:szCs w:val="28"/>
            </w:rPr>
            <w:tab/>
          </w:r>
          <w:r>
            <w:rPr>
              <w:rFonts w:ascii="仿宋" w:eastAsia="仿宋" w:cs="仿宋" w:hint="eastAsia"/>
              <w:b/>
              <w:sz w:val="28"/>
              <w:szCs w:val="28"/>
            </w:rPr>
            <w:fldChar w:fldCharType="begin"/>
          </w:r>
          <w:r>
            <w:rPr>
              <w:rFonts w:ascii="仿宋" w:eastAsia="仿宋" w:cs="仿宋" w:hint="eastAsia"/>
              <w:b/>
              <w:sz w:val="28"/>
              <w:szCs w:val="28"/>
            </w:rPr>
            <w:instrText xml:space="preserve"> PAGEREF _Toc18461 \h </w:instrText>
          </w:r>
          <w:r>
            <w:rPr>
              <w:rFonts w:ascii="仿宋" w:eastAsia="仿宋" w:cs="仿宋" w:hint="eastAsia"/>
              <w:b/>
              <w:sz w:val="28"/>
              <w:szCs w:val="28"/>
            </w:rPr>
            <w:fldChar w:fldCharType="separate"/>
          </w:r>
          <w:r>
            <w:rPr>
              <w:rFonts w:ascii="仿宋" w:eastAsia="仿宋" w:cs="仿宋" w:hint="eastAsia"/>
              <w:b/>
              <w:sz w:val="28"/>
              <w:szCs w:val="28"/>
            </w:rPr>
            <w:t>- 2 -</w:t>
          </w:r>
          <w:r>
            <w:rPr>
              <w:rFonts w:ascii="仿宋" w:eastAsia="仿宋" w:cs="仿宋" w:hint="eastAsia"/>
              <w:b/>
              <w:sz w:val="28"/>
              <w:szCs w:val="28"/>
            </w:rPr>
            <w:fldChar w:fldCharType="end"/>
          </w:r>
          <w:r>
            <w:rPr>
              <w:rFonts w:ascii="仿宋" w:eastAsia="仿宋" w:cs="仿宋" w:hint="eastAsia"/>
              <w:b/>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_Toc12251 </w:instrText>
          </w:r>
          <w:r>
            <w:rPr>
              <w:rFonts w:ascii="仿宋" w:eastAsia="仿宋" w:cs="仿宋" w:hint="eastAsia"/>
              <w:sz w:val="28"/>
              <w:szCs w:val="28"/>
            </w:rPr>
            <w:fldChar w:fldCharType="separate"/>
          </w:r>
          <w:r>
            <w:rPr>
              <w:rFonts w:ascii="仿宋" w:eastAsia="仿宋" w:cs="仿宋" w:hint="eastAsia"/>
              <w:sz w:val="28"/>
              <w:szCs w:val="28"/>
              <w:lang w:eastAsia="zh-CN"/>
              <w:highlight w:val="auto"/>
            </w:rPr>
            <w:t>一、</w:t>
          </w:r>
          <w:r>
            <w:rPr>
              <w:rFonts w:ascii="仿宋" w:eastAsia="仿宋" w:cs="仿宋" w:hint="eastAsia"/>
              <w:sz w:val="28"/>
              <w:szCs w:val="28"/>
              <w:highlight w:val="auto"/>
            </w:rPr>
            <w:t>收入支出决算总体情况说明</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_Toc12251 \h </w:instrText>
          </w:r>
          <w:r>
            <w:rPr>
              <w:rFonts w:ascii="仿宋" w:eastAsia="仿宋" w:cs="仿宋" w:hint="eastAsia"/>
              <w:sz w:val="28"/>
              <w:szCs w:val="28"/>
            </w:rPr>
            <w:fldChar w:fldCharType="separate"/>
          </w:r>
          <w:r>
            <w:rPr>
              <w:rFonts w:ascii="仿宋" w:eastAsia="仿宋" w:cs="仿宋" w:hint="eastAsia"/>
              <w:sz w:val="28"/>
              <w:szCs w:val="28"/>
            </w:rPr>
            <w:t>- 2 -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_Toc23361 </w:instrText>
          </w:r>
          <w:r>
            <w:rPr>
              <w:rFonts w:ascii="仿宋" w:eastAsia="仿宋" w:cs="仿宋" w:hint="eastAsia"/>
              <w:sz w:val="28"/>
              <w:szCs w:val="28"/>
            </w:rPr>
            <w:fldChar w:fldCharType="separate"/>
          </w:r>
          <w:r>
            <w:rPr>
              <w:rFonts w:ascii="仿宋" w:eastAsia="仿宋" w:cs="仿宋" w:hint="eastAsia"/>
              <w:sz w:val="28"/>
              <w:szCs w:val="28"/>
              <w:lang w:eastAsia="zh-CN"/>
              <w:highlight w:val="auto"/>
            </w:rPr>
            <w:t>二、</w:t>
          </w:r>
          <w:r>
            <w:rPr>
              <w:rFonts w:ascii="仿宋" w:eastAsia="仿宋" w:cs="仿宋" w:hint="eastAsia"/>
              <w:sz w:val="28"/>
              <w:szCs w:val="28"/>
              <w:highlight w:val="auto"/>
            </w:rPr>
            <w:t>收入决算情况说明</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_Toc23361 \h </w:instrText>
          </w:r>
          <w:r>
            <w:rPr>
              <w:rFonts w:ascii="仿宋" w:eastAsia="仿宋" w:cs="仿宋" w:hint="eastAsia"/>
              <w:sz w:val="28"/>
              <w:szCs w:val="28"/>
            </w:rPr>
            <w:fldChar w:fldCharType="separate"/>
          </w:r>
          <w:r>
            <w:rPr>
              <w:rFonts w:ascii="仿宋" w:eastAsia="仿宋" w:cs="仿宋" w:hint="eastAsia"/>
              <w:sz w:val="28"/>
              <w:szCs w:val="28"/>
            </w:rPr>
            <w:t>- 2 -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_Toc3748 </w:instrText>
          </w:r>
          <w:r>
            <w:rPr>
              <w:rFonts w:ascii="仿宋" w:eastAsia="仿宋" w:cs="仿宋" w:hint="eastAsia"/>
              <w:sz w:val="28"/>
              <w:szCs w:val="28"/>
            </w:rPr>
            <w:fldChar w:fldCharType="separate"/>
          </w:r>
          <w:r>
            <w:rPr>
              <w:rFonts w:ascii="仿宋" w:eastAsia="仿宋" w:cs="仿宋" w:hint="eastAsia"/>
              <w:sz w:val="28"/>
              <w:szCs w:val="28"/>
              <w:lang w:eastAsia="zh-CN"/>
              <w:highlight w:val="auto"/>
            </w:rPr>
            <w:t>三、</w:t>
          </w:r>
          <w:r>
            <w:rPr>
              <w:rFonts w:ascii="仿宋" w:eastAsia="仿宋" w:cs="仿宋" w:hint="eastAsia"/>
              <w:sz w:val="28"/>
              <w:szCs w:val="28"/>
              <w:highlight w:val="auto"/>
            </w:rPr>
            <w:t>支出决算情况说明</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_Toc3748 \h </w:instrText>
          </w:r>
          <w:r>
            <w:rPr>
              <w:rFonts w:ascii="仿宋" w:eastAsia="仿宋" w:cs="仿宋" w:hint="eastAsia"/>
              <w:sz w:val="28"/>
              <w:szCs w:val="28"/>
            </w:rPr>
            <w:fldChar w:fldCharType="separate"/>
          </w:r>
          <w:r>
            <w:rPr>
              <w:rFonts w:ascii="仿宋" w:eastAsia="仿宋" w:cs="仿宋" w:hint="eastAsia"/>
              <w:sz w:val="28"/>
              <w:szCs w:val="28"/>
            </w:rPr>
            <w:t>- 3 -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_Toc13588 </w:instrText>
          </w:r>
          <w:r>
            <w:rPr>
              <w:rFonts w:ascii="仿宋" w:eastAsia="仿宋" w:cs="仿宋" w:hint="eastAsia"/>
              <w:sz w:val="28"/>
              <w:szCs w:val="28"/>
            </w:rPr>
            <w:fldChar w:fldCharType="separate"/>
          </w:r>
          <w:r>
            <w:rPr>
              <w:rFonts w:ascii="仿宋" w:eastAsia="仿宋" w:cs="仿宋" w:hint="eastAsia"/>
              <w:sz w:val="28"/>
              <w:szCs w:val="28"/>
              <w:highlight w:val="auto"/>
            </w:rPr>
            <w:t>四、财政拨款收入支出决算总体情况说明</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_Toc13588 \h </w:instrText>
          </w:r>
          <w:r>
            <w:rPr>
              <w:rFonts w:ascii="仿宋" w:eastAsia="仿宋" w:cs="仿宋" w:hint="eastAsia"/>
              <w:sz w:val="28"/>
              <w:szCs w:val="28"/>
            </w:rPr>
            <w:fldChar w:fldCharType="separate"/>
          </w:r>
          <w:r>
            <w:rPr>
              <w:rFonts w:ascii="仿宋" w:eastAsia="仿宋" w:cs="仿宋" w:hint="eastAsia"/>
              <w:sz w:val="28"/>
              <w:szCs w:val="28"/>
            </w:rPr>
            <w:t>- 4 -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_Toc26451 </w:instrText>
          </w:r>
          <w:r>
            <w:rPr>
              <w:rFonts w:ascii="仿宋" w:eastAsia="仿宋" w:cs="仿宋" w:hint="eastAsia"/>
              <w:sz w:val="28"/>
              <w:szCs w:val="28"/>
            </w:rPr>
            <w:fldChar w:fldCharType="separate"/>
          </w:r>
          <w:r>
            <w:rPr>
              <w:rFonts w:ascii="仿宋" w:eastAsia="仿宋" w:cs="仿宋" w:hint="eastAsia"/>
              <w:sz w:val="28"/>
              <w:szCs w:val="28"/>
              <w:highlight w:val="auto"/>
            </w:rPr>
            <w:t>五、一般公共预算财政拨款支出决算情况说明</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_Toc26451 \h </w:instrText>
          </w:r>
          <w:r>
            <w:rPr>
              <w:rFonts w:ascii="仿宋" w:eastAsia="仿宋" w:cs="仿宋" w:hint="eastAsia"/>
              <w:sz w:val="28"/>
              <w:szCs w:val="28"/>
            </w:rPr>
            <w:fldChar w:fldCharType="separate"/>
          </w:r>
          <w:r>
            <w:rPr>
              <w:rFonts w:ascii="仿宋" w:eastAsia="仿宋" w:cs="仿宋" w:hint="eastAsia"/>
              <w:sz w:val="28"/>
              <w:szCs w:val="28"/>
            </w:rPr>
            <w:t>- 4 -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_Toc4676 </w:instrText>
          </w:r>
          <w:r>
            <w:rPr>
              <w:rFonts w:ascii="仿宋" w:eastAsia="仿宋" w:cs="仿宋" w:hint="eastAsia"/>
              <w:sz w:val="28"/>
              <w:szCs w:val="28"/>
            </w:rPr>
            <w:fldChar w:fldCharType="separate"/>
          </w:r>
          <w:r>
            <w:rPr>
              <w:rFonts w:ascii="仿宋" w:eastAsia="仿宋" w:cs="仿宋" w:hint="eastAsia"/>
              <w:sz w:val="28"/>
              <w:szCs w:val="28"/>
              <w:highlight w:val="auto"/>
            </w:rPr>
            <w:t>六、一般公共预算财政拨款基本支出决算情况说明</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_Toc4676 \h </w:instrText>
          </w:r>
          <w:r>
            <w:rPr>
              <w:rFonts w:ascii="仿宋" w:eastAsia="仿宋" w:cs="仿宋" w:hint="eastAsia"/>
              <w:sz w:val="28"/>
              <w:szCs w:val="28"/>
            </w:rPr>
            <w:fldChar w:fldCharType="separate"/>
          </w:r>
          <w:r>
            <w:rPr>
              <w:rFonts w:ascii="仿宋" w:eastAsia="仿宋" w:cs="仿宋" w:hint="eastAsia"/>
              <w:sz w:val="28"/>
              <w:szCs w:val="28"/>
            </w:rPr>
            <w:t>- 7 -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_Toc17174 </w:instrText>
          </w:r>
          <w:r>
            <w:rPr>
              <w:rFonts w:ascii="仿宋" w:eastAsia="仿宋" w:cs="仿宋" w:hint="eastAsia"/>
              <w:sz w:val="28"/>
              <w:szCs w:val="28"/>
            </w:rPr>
            <w:fldChar w:fldCharType="separate"/>
          </w:r>
          <w:r>
            <w:rPr>
              <w:rFonts w:ascii="仿宋" w:eastAsia="仿宋" w:cs="仿宋" w:hint="eastAsia"/>
              <w:sz w:val="28"/>
              <w:szCs w:val="28"/>
              <w:highlight w:val="auto"/>
            </w:rPr>
            <w:t>七、财政拨款“三公”经费支出决算情况说明</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_Toc17174 \h </w:instrText>
          </w:r>
          <w:r>
            <w:rPr>
              <w:rFonts w:ascii="仿宋" w:eastAsia="仿宋" w:cs="仿宋" w:hint="eastAsia"/>
              <w:sz w:val="28"/>
              <w:szCs w:val="28"/>
            </w:rPr>
            <w:fldChar w:fldCharType="separate"/>
          </w:r>
          <w:r>
            <w:rPr>
              <w:rFonts w:ascii="仿宋" w:eastAsia="仿宋" w:cs="仿宋" w:hint="eastAsia"/>
              <w:sz w:val="28"/>
              <w:szCs w:val="28"/>
            </w:rPr>
            <w:t>- 8 -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_Toc30621 </w:instrText>
          </w:r>
          <w:r>
            <w:rPr>
              <w:rFonts w:ascii="仿宋" w:eastAsia="仿宋" w:cs="仿宋" w:hint="eastAsia"/>
              <w:sz w:val="28"/>
              <w:szCs w:val="28"/>
            </w:rPr>
            <w:fldChar w:fldCharType="separate"/>
          </w:r>
          <w:r>
            <w:rPr>
              <w:rFonts w:ascii="仿宋" w:eastAsia="仿宋" w:cs="仿宋" w:hint="eastAsia"/>
              <w:sz w:val="28"/>
              <w:szCs w:val="28"/>
              <w:highlight w:val="auto"/>
            </w:rPr>
            <w:t>八、政府性基金预算支出决算情况说明</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_Toc30621 \h </w:instrText>
          </w:r>
          <w:r>
            <w:rPr>
              <w:rFonts w:ascii="仿宋" w:eastAsia="仿宋" w:cs="仿宋" w:hint="eastAsia"/>
              <w:sz w:val="28"/>
              <w:szCs w:val="28"/>
            </w:rPr>
            <w:fldChar w:fldCharType="separate"/>
          </w:r>
          <w:r>
            <w:rPr>
              <w:rFonts w:ascii="仿宋" w:eastAsia="仿宋" w:cs="仿宋" w:hint="eastAsia"/>
              <w:sz w:val="28"/>
              <w:szCs w:val="28"/>
            </w:rPr>
            <w:t>- 9 -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_Toc12609 </w:instrText>
          </w:r>
          <w:r>
            <w:rPr>
              <w:rFonts w:ascii="仿宋" w:eastAsia="仿宋" w:cs="仿宋" w:hint="eastAsia"/>
              <w:sz w:val="28"/>
              <w:szCs w:val="28"/>
            </w:rPr>
            <w:fldChar w:fldCharType="separate"/>
          </w:r>
          <w:r>
            <w:rPr>
              <w:rFonts w:ascii="仿宋" w:eastAsia="仿宋" w:cs="仿宋" w:hint="eastAsia"/>
              <w:sz w:val="28"/>
              <w:szCs w:val="28"/>
              <w:lang w:eastAsia="zh-CN"/>
              <w:highlight w:val="auto"/>
            </w:rPr>
            <w:t>九、</w:t>
          </w:r>
          <w:r>
            <w:rPr>
              <w:rFonts w:ascii="仿宋" w:eastAsia="仿宋" w:cs="仿宋" w:hint="eastAsia"/>
              <w:sz w:val="28"/>
              <w:szCs w:val="28"/>
              <w:highlight w:val="auto"/>
            </w:rPr>
            <w:t>国有资本经营预算支出决算情况说明</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_Toc12609 \h </w:instrText>
          </w:r>
          <w:r>
            <w:rPr>
              <w:rFonts w:ascii="仿宋" w:eastAsia="仿宋" w:cs="仿宋" w:hint="eastAsia"/>
              <w:sz w:val="28"/>
              <w:szCs w:val="28"/>
            </w:rPr>
            <w:fldChar w:fldCharType="separate"/>
          </w:r>
          <w:r>
            <w:rPr>
              <w:rFonts w:ascii="仿宋" w:eastAsia="仿宋" w:cs="仿宋" w:hint="eastAsia"/>
              <w:sz w:val="28"/>
              <w:szCs w:val="28"/>
            </w:rPr>
            <w:t>- 10 -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_Toc14878 </w:instrText>
          </w:r>
          <w:r>
            <w:rPr>
              <w:rFonts w:ascii="仿宋" w:eastAsia="仿宋" w:cs="仿宋" w:hint="eastAsia"/>
              <w:sz w:val="28"/>
              <w:szCs w:val="28"/>
            </w:rPr>
            <w:fldChar w:fldCharType="separate"/>
          </w:r>
          <w:r>
            <w:rPr>
              <w:rFonts w:ascii="仿宋" w:eastAsia="仿宋" w:cs="仿宋" w:hint="eastAsia"/>
              <w:sz w:val="28"/>
              <w:szCs w:val="28"/>
              <w:lang w:eastAsia="zh-CN"/>
              <w:highlight w:val="auto"/>
            </w:rPr>
            <w:t>十、</w:t>
          </w:r>
          <w:r>
            <w:rPr>
              <w:rFonts w:ascii="仿宋" w:eastAsia="仿宋" w:cs="仿宋" w:hint="eastAsia"/>
              <w:sz w:val="28"/>
              <w:szCs w:val="28"/>
              <w:highlight w:val="auto"/>
            </w:rPr>
            <w:t>其他重要事项的情况说明</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_Toc14878 \h </w:instrText>
          </w:r>
          <w:r>
            <w:rPr>
              <w:rFonts w:ascii="仿宋" w:eastAsia="仿宋" w:cs="仿宋" w:hint="eastAsia"/>
              <w:sz w:val="28"/>
              <w:szCs w:val="28"/>
            </w:rPr>
            <w:fldChar w:fldCharType="separate"/>
          </w:r>
          <w:r>
            <w:rPr>
              <w:rFonts w:ascii="仿宋" w:eastAsia="仿宋" w:cs="仿宋" w:hint="eastAsia"/>
              <w:sz w:val="28"/>
              <w:szCs w:val="28"/>
            </w:rPr>
            <w:t>- 10 -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5"/>
            <w:tabs>
              <w:tab w:val="right" w:leader="dot" w:pos="8306"/>
            </w:tabs>
            <w:rPr>
              <w:rFonts w:ascii="仿宋" w:eastAsia="仿宋" w:cs="仿宋" w:hint="eastAsia"/>
              <w:b/>
              <w:sz w:val="28"/>
              <w:szCs w:val="28"/>
            </w:rPr>
          </w:pPr>
          <w:r>
            <w:rPr>
              <w:rFonts w:ascii="仿宋" w:eastAsia="仿宋" w:cs="仿宋" w:hint="eastAsia"/>
              <w:b/>
              <w:sz w:val="28"/>
              <w:szCs w:val="28"/>
            </w:rPr>
            <w:fldChar w:fldCharType="begin"/>
          </w:r>
          <w:r>
            <w:rPr>
              <w:rFonts w:ascii="仿宋" w:eastAsia="仿宋" w:cs="仿宋" w:hint="eastAsia"/>
              <w:b/>
              <w:sz w:val="28"/>
              <w:szCs w:val="28"/>
            </w:rPr>
            <w:instrText xml:space="preserve"> HYPERLINK \l _Toc3040 </w:instrText>
          </w:r>
          <w:r>
            <w:rPr>
              <w:rFonts w:ascii="仿宋" w:eastAsia="仿宋" w:cs="仿宋" w:hint="eastAsia"/>
              <w:b/>
              <w:sz w:val="28"/>
              <w:szCs w:val="28"/>
            </w:rPr>
            <w:fldChar w:fldCharType="separate"/>
          </w:r>
          <w:r>
            <w:rPr>
              <w:rFonts w:ascii="仿宋" w:eastAsia="仿宋" w:cs="仿宋" w:hint="eastAsia"/>
              <w:b/>
              <w:sz w:val="28"/>
              <w:szCs w:val="28"/>
              <w:lang w:eastAsia="zh-CN"/>
              <w:highlight w:val="auto"/>
            </w:rPr>
            <w:t>第三部分</w:t>
          </w:r>
          <w:r>
            <w:rPr>
              <w:rFonts w:ascii="仿宋" w:eastAsia="仿宋" w:cs="仿宋" w:hint="eastAsia"/>
              <w:b/>
              <w:sz w:val="28"/>
              <w:szCs w:val="28"/>
              <w:lang w:val="en-US" w:eastAsia="zh-CN"/>
              <w:highlight w:val="auto"/>
            </w:rPr>
            <w:t xml:space="preserve">  </w:t>
          </w:r>
          <w:r>
            <w:rPr>
              <w:rFonts w:ascii="仿宋" w:eastAsia="仿宋" w:cs="仿宋" w:hint="eastAsia"/>
              <w:b/>
              <w:sz w:val="28"/>
              <w:szCs w:val="28"/>
              <w:highlight w:val="auto"/>
            </w:rPr>
            <w:t>名词解释</w:t>
          </w:r>
          <w:r>
            <w:rPr>
              <w:rFonts w:ascii="仿宋" w:eastAsia="仿宋" w:cs="仿宋" w:hint="eastAsia"/>
              <w:b/>
              <w:sz w:val="28"/>
              <w:szCs w:val="28"/>
            </w:rPr>
            <w:tab/>
          </w:r>
          <w:r>
            <w:rPr>
              <w:rFonts w:ascii="仿宋" w:eastAsia="仿宋" w:cs="仿宋" w:hint="eastAsia"/>
              <w:b/>
              <w:sz w:val="28"/>
              <w:szCs w:val="28"/>
            </w:rPr>
            <w:fldChar w:fldCharType="begin"/>
          </w:r>
          <w:r>
            <w:rPr>
              <w:rFonts w:ascii="仿宋" w:eastAsia="仿宋" w:cs="仿宋" w:hint="eastAsia"/>
              <w:b/>
              <w:sz w:val="28"/>
              <w:szCs w:val="28"/>
            </w:rPr>
            <w:instrText xml:space="preserve"> PAGEREF _Toc3040 \h </w:instrText>
          </w:r>
          <w:r>
            <w:rPr>
              <w:rFonts w:ascii="仿宋" w:eastAsia="仿宋" w:cs="仿宋" w:hint="eastAsia"/>
              <w:b/>
              <w:sz w:val="28"/>
              <w:szCs w:val="28"/>
            </w:rPr>
            <w:fldChar w:fldCharType="separate"/>
          </w:r>
          <w:r>
            <w:rPr>
              <w:rFonts w:ascii="仿宋" w:eastAsia="仿宋" w:cs="仿宋" w:hint="eastAsia"/>
              <w:b/>
              <w:sz w:val="28"/>
              <w:szCs w:val="28"/>
            </w:rPr>
            <w:t>- 12 -</w:t>
          </w:r>
          <w:r>
            <w:rPr>
              <w:rFonts w:ascii="仿宋" w:eastAsia="仿宋" w:cs="仿宋" w:hint="eastAsia"/>
              <w:b/>
              <w:sz w:val="28"/>
              <w:szCs w:val="28"/>
            </w:rPr>
            <w:fldChar w:fldCharType="end"/>
          </w:r>
          <w:r>
            <w:rPr>
              <w:rFonts w:ascii="仿宋" w:eastAsia="仿宋" w:cs="仿宋" w:hint="eastAsia"/>
              <w:b/>
              <w:sz w:val="28"/>
              <w:szCs w:val="28"/>
            </w:rPr>
            <w:fldChar w:fldCharType="end"/>
          </w:r>
        </w:p>
        <w:p>
          <w:pPr>
            <w:pStyle w:val="25"/>
            <w:tabs>
              <w:tab w:val="right" w:leader="dot" w:pos="8306"/>
            </w:tabs>
            <w:rPr>
              <w:rFonts w:ascii="仿宋" w:eastAsia="仿宋" w:cs="仿宋" w:hint="eastAsia"/>
              <w:sz w:val="28"/>
              <w:szCs w:val="28"/>
            </w:rPr>
          </w:pPr>
          <w:r>
            <w:rPr>
              <w:rFonts w:ascii="仿宋" w:eastAsia="仿宋" w:cs="仿宋" w:hint="eastAsia"/>
              <w:b/>
              <w:sz w:val="28"/>
              <w:szCs w:val="28"/>
            </w:rPr>
            <w:fldChar w:fldCharType="begin"/>
          </w:r>
          <w:r>
            <w:rPr>
              <w:rFonts w:ascii="仿宋" w:eastAsia="仿宋" w:cs="仿宋" w:hint="eastAsia"/>
              <w:b/>
              <w:sz w:val="28"/>
              <w:szCs w:val="28"/>
            </w:rPr>
            <w:instrText xml:space="preserve"> HYPERLINK \l _Toc18208 </w:instrText>
          </w:r>
          <w:r>
            <w:rPr>
              <w:rFonts w:ascii="仿宋" w:eastAsia="仿宋" w:cs="仿宋" w:hint="eastAsia"/>
              <w:b/>
              <w:sz w:val="28"/>
              <w:szCs w:val="28"/>
            </w:rPr>
            <w:fldChar w:fldCharType="separate"/>
          </w:r>
          <w:r>
            <w:rPr>
              <w:rFonts w:ascii="仿宋" w:eastAsia="仿宋" w:cs="仿宋" w:hint="eastAsia"/>
              <w:b/>
              <w:sz w:val="28"/>
              <w:szCs w:val="28"/>
              <w:highlight w:val="auto"/>
            </w:rPr>
            <w:t>第四部分 附件</w:t>
          </w:r>
          <w:r>
            <w:rPr>
              <w:rFonts w:ascii="仿宋" w:eastAsia="仿宋" w:cs="仿宋" w:hint="eastAsia"/>
              <w:b/>
              <w:sz w:val="28"/>
              <w:szCs w:val="28"/>
            </w:rPr>
            <w:tab/>
          </w:r>
          <w:r>
            <w:rPr>
              <w:rFonts w:ascii="仿宋" w:eastAsia="仿宋" w:cs="仿宋" w:hint="eastAsia"/>
              <w:b/>
              <w:sz w:val="28"/>
              <w:szCs w:val="28"/>
            </w:rPr>
            <w:fldChar w:fldCharType="begin"/>
          </w:r>
          <w:r>
            <w:rPr>
              <w:rFonts w:ascii="仿宋" w:eastAsia="仿宋" w:cs="仿宋" w:hint="eastAsia"/>
              <w:b/>
              <w:sz w:val="28"/>
              <w:szCs w:val="28"/>
            </w:rPr>
            <w:instrText xml:space="preserve"> PAGEREF _Toc18208 \h </w:instrText>
          </w:r>
          <w:r>
            <w:rPr>
              <w:rFonts w:ascii="仿宋" w:eastAsia="仿宋" w:cs="仿宋" w:hint="eastAsia"/>
              <w:b/>
              <w:sz w:val="28"/>
              <w:szCs w:val="28"/>
            </w:rPr>
            <w:fldChar w:fldCharType="separate"/>
          </w:r>
          <w:r>
            <w:rPr>
              <w:rFonts w:ascii="仿宋" w:eastAsia="仿宋" w:cs="仿宋" w:hint="eastAsia"/>
              <w:b/>
              <w:sz w:val="28"/>
              <w:szCs w:val="28"/>
            </w:rPr>
            <w:t>- 15 -</w:t>
          </w:r>
          <w:r>
            <w:rPr>
              <w:rFonts w:ascii="仿宋" w:eastAsia="仿宋" w:cs="仿宋" w:hint="eastAsia"/>
              <w:b/>
              <w:sz w:val="28"/>
              <w:szCs w:val="28"/>
            </w:rPr>
            <w:fldChar w:fldCharType="end"/>
          </w:r>
          <w:r>
            <w:rPr>
              <w:rFonts w:ascii="仿宋" w:eastAsia="仿宋" w:cs="仿宋" w:hint="eastAsia"/>
              <w:b/>
              <w:sz w:val="28"/>
              <w:szCs w:val="28"/>
            </w:rPr>
            <w:fldChar w:fldCharType="end"/>
          </w:r>
        </w:p>
        <w:p>
          <w:pPr>
            <w:pStyle w:val="25"/>
            <w:tabs>
              <w:tab w:val="right" w:leader="dot" w:pos="8306"/>
            </w:tabs>
            <w:rPr>
              <w:rFonts w:ascii="仿宋" w:eastAsia="仿宋" w:cs="仿宋" w:hint="eastAsia"/>
              <w:b/>
              <w:sz w:val="28"/>
              <w:szCs w:val="28"/>
            </w:rPr>
          </w:pPr>
          <w:r>
            <w:rPr>
              <w:rFonts w:ascii="仿宋" w:eastAsia="仿宋" w:cs="仿宋" w:hint="eastAsia"/>
              <w:b/>
              <w:sz w:val="28"/>
              <w:szCs w:val="28"/>
            </w:rPr>
            <w:fldChar w:fldCharType="begin"/>
          </w:r>
          <w:r>
            <w:rPr>
              <w:rFonts w:ascii="仿宋" w:eastAsia="仿宋" w:cs="仿宋" w:hint="eastAsia"/>
              <w:b/>
              <w:sz w:val="28"/>
              <w:szCs w:val="28"/>
            </w:rPr>
            <w:instrText xml:space="preserve"> HYPERLINK \l _Toc7280 </w:instrText>
          </w:r>
          <w:r>
            <w:rPr>
              <w:rFonts w:ascii="仿宋" w:eastAsia="仿宋" w:cs="仿宋" w:hint="eastAsia"/>
              <w:b/>
              <w:sz w:val="28"/>
              <w:szCs w:val="28"/>
            </w:rPr>
            <w:fldChar w:fldCharType="separate"/>
          </w:r>
          <w:r>
            <w:rPr>
              <w:rFonts w:ascii="仿宋" w:eastAsia="仿宋" w:cs="仿宋" w:hint="eastAsia"/>
              <w:b/>
              <w:sz w:val="28"/>
              <w:szCs w:val="28"/>
              <w:highlight w:val="auto"/>
            </w:rPr>
            <w:t>第五部分 附表</w:t>
          </w:r>
          <w:r>
            <w:rPr>
              <w:rFonts w:ascii="仿宋" w:eastAsia="仿宋" w:cs="仿宋" w:hint="eastAsia"/>
              <w:b/>
              <w:sz w:val="28"/>
              <w:szCs w:val="28"/>
            </w:rPr>
            <w:tab/>
          </w:r>
          <w:r>
            <w:rPr>
              <w:rFonts w:ascii="仿宋" w:eastAsia="仿宋" w:cs="仿宋" w:hint="eastAsia"/>
              <w:b/>
              <w:sz w:val="28"/>
              <w:szCs w:val="28"/>
            </w:rPr>
            <w:fldChar w:fldCharType="begin"/>
          </w:r>
          <w:r>
            <w:rPr>
              <w:rFonts w:ascii="仿宋" w:eastAsia="仿宋" w:cs="仿宋" w:hint="eastAsia"/>
              <w:b/>
              <w:sz w:val="28"/>
              <w:szCs w:val="28"/>
            </w:rPr>
            <w:instrText xml:space="preserve"> PAGEREF _Toc7280 \h </w:instrText>
          </w:r>
          <w:r>
            <w:rPr>
              <w:rFonts w:ascii="仿宋" w:eastAsia="仿宋" w:cs="仿宋" w:hint="eastAsia"/>
              <w:b/>
              <w:sz w:val="28"/>
              <w:szCs w:val="28"/>
            </w:rPr>
            <w:fldChar w:fldCharType="separate"/>
          </w:r>
          <w:r>
            <w:rPr>
              <w:rFonts w:ascii="仿宋" w:eastAsia="仿宋" w:cs="仿宋" w:hint="eastAsia"/>
              <w:b/>
              <w:sz w:val="28"/>
              <w:szCs w:val="28"/>
            </w:rPr>
            <w:t>- 21 -</w:t>
          </w:r>
          <w:r>
            <w:rPr>
              <w:rFonts w:ascii="仿宋" w:eastAsia="仿宋" w:cs="仿宋" w:hint="eastAsia"/>
              <w:b/>
              <w:sz w:val="28"/>
              <w:szCs w:val="28"/>
            </w:rPr>
            <w:fldChar w:fldCharType="end"/>
          </w:r>
          <w:r>
            <w:rPr>
              <w:rFonts w:ascii="仿宋" w:eastAsia="仿宋" w:cs="仿宋" w:hint="eastAsia"/>
              <w:b/>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_Toc11491 </w:instrText>
          </w:r>
          <w:r>
            <w:rPr>
              <w:rFonts w:ascii="仿宋" w:eastAsia="仿宋" w:cs="仿宋" w:hint="eastAsia"/>
              <w:sz w:val="28"/>
              <w:szCs w:val="28"/>
            </w:rPr>
            <w:fldChar w:fldCharType="separate"/>
          </w:r>
          <w:r>
            <w:rPr>
              <w:rFonts w:ascii="仿宋" w:eastAsia="仿宋" w:cs="仿宋" w:hint="eastAsia"/>
              <w:sz w:val="28"/>
              <w:szCs w:val="28"/>
              <w:highlight w:val="auto"/>
            </w:rPr>
            <w:t>一、收</w:t>
          </w:r>
          <w:r>
            <w:rPr>
              <w:rFonts w:ascii="仿宋" w:eastAsia="仿宋" w:cs="仿宋" w:hint="eastAsia"/>
              <w:bCs w:val="0"/>
              <w:sz w:val="28"/>
              <w:szCs w:val="28"/>
              <w:highlight w:val="auto"/>
            </w:rPr>
            <w:t>入支出决算总表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_Toc11491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_Toc22887 </w:instrText>
          </w:r>
          <w:r>
            <w:rPr>
              <w:rFonts w:ascii="仿宋" w:eastAsia="仿宋" w:cs="仿宋" w:hint="eastAsia"/>
              <w:sz w:val="28"/>
              <w:szCs w:val="28"/>
            </w:rPr>
            <w:fldChar w:fldCharType="separate"/>
          </w:r>
          <w:r>
            <w:rPr>
              <w:rFonts w:ascii="仿宋" w:eastAsia="仿宋" w:cs="仿宋" w:hint="eastAsia"/>
              <w:sz w:val="28"/>
              <w:szCs w:val="28"/>
              <w:highlight w:val="auto"/>
            </w:rPr>
            <w:t>二、收</w:t>
          </w:r>
          <w:r>
            <w:rPr>
              <w:rFonts w:ascii="仿宋" w:eastAsia="仿宋" w:cs="仿宋" w:hint="eastAsia"/>
              <w:bCs w:val="0"/>
              <w:sz w:val="28"/>
              <w:szCs w:val="28"/>
              <w:highlight w:val="auto"/>
            </w:rPr>
            <w:t>入决算表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_Toc22887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_Toc1518 </w:instrText>
          </w:r>
          <w:r>
            <w:rPr>
              <w:rFonts w:ascii="仿宋" w:eastAsia="仿宋" w:cs="仿宋" w:hint="eastAsia"/>
              <w:sz w:val="28"/>
              <w:szCs w:val="28"/>
            </w:rPr>
            <w:fldChar w:fldCharType="separate"/>
          </w:r>
          <w:r>
            <w:rPr>
              <w:rFonts w:ascii="仿宋" w:eastAsia="仿宋" w:cs="仿宋" w:hint="eastAsia"/>
              <w:bCs w:val="0"/>
              <w:sz w:val="28"/>
              <w:szCs w:val="28"/>
              <w:highlight w:val="auto"/>
            </w:rPr>
            <w:t>三、</w:t>
          </w:r>
          <w:r>
            <w:rPr>
              <w:rFonts w:ascii="仿宋" w:eastAsia="仿宋" w:cs="仿宋" w:hint="eastAsia"/>
              <w:sz w:val="28"/>
              <w:szCs w:val="28"/>
              <w:highlight w:val="auto"/>
            </w:rPr>
            <w:t>支</w:t>
          </w:r>
          <w:r>
            <w:rPr>
              <w:rFonts w:ascii="仿宋" w:eastAsia="仿宋" w:cs="仿宋" w:hint="eastAsia"/>
              <w:bCs w:val="0"/>
              <w:sz w:val="28"/>
              <w:szCs w:val="28"/>
              <w:highlight w:val="auto"/>
            </w:rPr>
            <w:t>出决算表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_Toc1518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_Toc18195 </w:instrText>
          </w:r>
          <w:r>
            <w:rPr>
              <w:rFonts w:ascii="仿宋" w:eastAsia="仿宋" w:cs="仿宋" w:hint="eastAsia"/>
              <w:sz w:val="28"/>
              <w:szCs w:val="28"/>
            </w:rPr>
            <w:fldChar w:fldCharType="separate"/>
          </w:r>
          <w:r>
            <w:rPr>
              <w:rFonts w:ascii="仿宋" w:eastAsia="仿宋" w:cs="仿宋" w:hint="eastAsia"/>
              <w:bCs w:val="0"/>
              <w:sz w:val="28"/>
              <w:szCs w:val="28"/>
              <w:highlight w:val="auto"/>
            </w:rPr>
            <w:t>四、</w:t>
          </w:r>
          <w:r>
            <w:rPr>
              <w:rFonts w:ascii="仿宋" w:eastAsia="仿宋" w:cs="仿宋" w:hint="eastAsia"/>
              <w:sz w:val="28"/>
              <w:szCs w:val="28"/>
              <w:highlight w:val="auto"/>
            </w:rPr>
            <w:t>财</w:t>
          </w:r>
          <w:r>
            <w:rPr>
              <w:rFonts w:ascii="仿宋" w:eastAsia="仿宋" w:cs="仿宋" w:hint="eastAsia"/>
              <w:bCs w:val="0"/>
              <w:sz w:val="28"/>
              <w:szCs w:val="28"/>
              <w:highlight w:val="auto"/>
            </w:rPr>
            <w:t>政拨款收入支出决算总表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_Toc18195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_Toc22697 </w:instrText>
          </w:r>
          <w:r>
            <w:rPr>
              <w:rFonts w:ascii="仿宋" w:eastAsia="仿宋" w:cs="仿宋" w:hint="eastAsia"/>
              <w:sz w:val="28"/>
              <w:szCs w:val="28"/>
            </w:rPr>
            <w:fldChar w:fldCharType="separate"/>
          </w:r>
          <w:r>
            <w:rPr>
              <w:rFonts w:ascii="仿宋" w:eastAsia="仿宋" w:cs="仿宋" w:hint="eastAsia"/>
              <w:bCs w:val="0"/>
              <w:sz w:val="28"/>
              <w:szCs w:val="28"/>
              <w:highlight w:val="auto"/>
            </w:rPr>
            <w:t>五、</w:t>
          </w:r>
          <w:r>
            <w:rPr>
              <w:rFonts w:ascii="仿宋" w:eastAsia="仿宋" w:cs="仿宋" w:hint="eastAsia"/>
              <w:sz w:val="28"/>
              <w:szCs w:val="28"/>
              <w:highlight w:val="auto"/>
            </w:rPr>
            <w:t>财</w:t>
          </w:r>
          <w:r>
            <w:rPr>
              <w:rFonts w:ascii="仿宋" w:eastAsia="仿宋" w:cs="仿宋" w:hint="eastAsia"/>
              <w:bCs w:val="0"/>
              <w:sz w:val="28"/>
              <w:szCs w:val="28"/>
              <w:highlight w:val="auto"/>
            </w:rPr>
            <w:t>政拨款支出决算明细表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_Toc22697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_Toc26948 </w:instrText>
          </w:r>
          <w:r>
            <w:rPr>
              <w:rFonts w:ascii="仿宋" w:eastAsia="仿宋" w:cs="仿宋" w:hint="eastAsia"/>
              <w:sz w:val="28"/>
              <w:szCs w:val="28"/>
            </w:rPr>
            <w:fldChar w:fldCharType="separate"/>
          </w:r>
          <w:r>
            <w:rPr>
              <w:rFonts w:ascii="仿宋" w:eastAsia="仿宋" w:cs="仿宋" w:hint="eastAsia"/>
              <w:bCs w:val="0"/>
              <w:sz w:val="28"/>
              <w:szCs w:val="28"/>
              <w:highlight w:val="auto"/>
            </w:rPr>
            <w:t>六、</w:t>
          </w:r>
          <w:r>
            <w:rPr>
              <w:rFonts w:ascii="仿宋" w:eastAsia="仿宋" w:cs="仿宋" w:hint="eastAsia"/>
              <w:sz w:val="28"/>
              <w:szCs w:val="28"/>
              <w:highlight w:val="auto"/>
            </w:rPr>
            <w:t>一</w:t>
          </w:r>
          <w:r>
            <w:rPr>
              <w:rFonts w:ascii="仿宋" w:eastAsia="仿宋" w:cs="仿宋" w:hint="eastAsia"/>
              <w:bCs w:val="0"/>
              <w:sz w:val="28"/>
              <w:szCs w:val="28"/>
              <w:highlight w:val="auto"/>
            </w:rPr>
            <w:t>般公共预算财政拨款支出决算表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_Toc26948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_Toc23052 </w:instrText>
          </w:r>
          <w:r>
            <w:rPr>
              <w:rFonts w:ascii="仿宋" w:eastAsia="仿宋" w:cs="仿宋" w:hint="eastAsia"/>
              <w:sz w:val="28"/>
              <w:szCs w:val="28"/>
            </w:rPr>
            <w:fldChar w:fldCharType="separate"/>
          </w:r>
          <w:r>
            <w:rPr>
              <w:rFonts w:ascii="仿宋" w:eastAsia="仿宋" w:cs="仿宋" w:hint="eastAsia"/>
              <w:bCs w:val="0"/>
              <w:sz w:val="28"/>
              <w:szCs w:val="28"/>
              <w:highlight w:val="auto"/>
            </w:rPr>
            <w:t>七、</w:t>
          </w:r>
          <w:r>
            <w:rPr>
              <w:rFonts w:ascii="仿宋" w:eastAsia="仿宋" w:cs="仿宋" w:hint="eastAsia"/>
              <w:sz w:val="28"/>
              <w:szCs w:val="28"/>
              <w:highlight w:val="auto"/>
            </w:rPr>
            <w:t>一</w:t>
          </w:r>
          <w:r>
            <w:rPr>
              <w:rFonts w:ascii="仿宋" w:eastAsia="仿宋" w:cs="仿宋" w:hint="eastAsia"/>
              <w:bCs w:val="0"/>
              <w:sz w:val="28"/>
              <w:szCs w:val="28"/>
              <w:highlight w:val="auto"/>
            </w:rPr>
            <w:t>般公共预算财政拨款支出决算明细表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_Toc23052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_Toc2008 </w:instrText>
          </w:r>
          <w:r>
            <w:rPr>
              <w:rFonts w:ascii="仿宋" w:eastAsia="仿宋" w:cs="仿宋" w:hint="eastAsia"/>
              <w:sz w:val="28"/>
              <w:szCs w:val="28"/>
            </w:rPr>
            <w:fldChar w:fldCharType="separate"/>
          </w:r>
          <w:r>
            <w:rPr>
              <w:rFonts w:ascii="仿宋" w:eastAsia="仿宋" w:cs="仿宋" w:hint="eastAsia"/>
              <w:bCs w:val="0"/>
              <w:sz w:val="28"/>
              <w:szCs w:val="28"/>
              <w:highlight w:val="auto"/>
            </w:rPr>
            <w:t>八、</w:t>
          </w:r>
          <w:r>
            <w:rPr>
              <w:rFonts w:ascii="仿宋" w:eastAsia="仿宋" w:cs="仿宋" w:hint="eastAsia"/>
              <w:sz w:val="28"/>
              <w:szCs w:val="28"/>
              <w:highlight w:val="auto"/>
            </w:rPr>
            <w:t>一</w:t>
          </w:r>
          <w:r>
            <w:rPr>
              <w:rFonts w:ascii="仿宋" w:eastAsia="仿宋" w:cs="仿宋" w:hint="eastAsia"/>
              <w:bCs w:val="0"/>
              <w:sz w:val="28"/>
              <w:szCs w:val="28"/>
              <w:highlight w:val="auto"/>
            </w:rPr>
            <w:t>般公共预算财政拨款基本支出决算表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_Toc2008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_Toc1593 </w:instrText>
          </w:r>
          <w:r>
            <w:rPr>
              <w:rFonts w:ascii="仿宋" w:eastAsia="仿宋" w:cs="仿宋" w:hint="eastAsia"/>
              <w:sz w:val="28"/>
              <w:szCs w:val="28"/>
            </w:rPr>
            <w:fldChar w:fldCharType="separate"/>
          </w:r>
          <w:r>
            <w:rPr>
              <w:rFonts w:ascii="仿宋" w:eastAsia="仿宋" w:cs="仿宋" w:hint="eastAsia"/>
              <w:bCs w:val="0"/>
              <w:sz w:val="28"/>
              <w:szCs w:val="28"/>
              <w:highlight w:val="auto"/>
            </w:rPr>
            <w:t>九、</w:t>
          </w:r>
          <w:r>
            <w:rPr>
              <w:rFonts w:ascii="仿宋" w:eastAsia="仿宋" w:cs="仿宋" w:hint="eastAsia"/>
              <w:sz w:val="28"/>
              <w:szCs w:val="28"/>
              <w:highlight w:val="auto"/>
            </w:rPr>
            <w:t>一</w:t>
          </w:r>
          <w:r>
            <w:rPr>
              <w:rFonts w:ascii="仿宋" w:eastAsia="仿宋" w:cs="仿宋" w:hint="eastAsia"/>
              <w:bCs w:val="0"/>
              <w:sz w:val="28"/>
              <w:szCs w:val="28"/>
              <w:highlight w:val="auto"/>
            </w:rPr>
            <w:t>般公共预算财政拨款项目支出决算表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_Toc1593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_Toc6973 </w:instrText>
          </w:r>
          <w:r>
            <w:rPr>
              <w:rFonts w:ascii="仿宋" w:eastAsia="仿宋" w:cs="仿宋" w:hint="eastAsia"/>
              <w:sz w:val="28"/>
              <w:szCs w:val="28"/>
            </w:rPr>
            <w:fldChar w:fldCharType="separate"/>
          </w:r>
          <w:r>
            <w:rPr>
              <w:rFonts w:ascii="仿宋" w:eastAsia="仿宋" w:cs="仿宋" w:hint="eastAsia"/>
              <w:bCs w:val="0"/>
              <w:sz w:val="28"/>
              <w:szCs w:val="28"/>
              <w:highlight w:val="auto"/>
            </w:rPr>
            <w:t>十、</w:t>
          </w:r>
          <w:r>
            <w:rPr>
              <w:rFonts w:ascii="仿宋" w:eastAsia="仿宋" w:cs="仿宋" w:hint="eastAsia"/>
              <w:sz w:val="28"/>
              <w:szCs w:val="28"/>
              <w:highlight w:val="auto"/>
            </w:rPr>
            <w:t>政</w:t>
          </w:r>
          <w:r>
            <w:rPr>
              <w:rFonts w:ascii="仿宋" w:eastAsia="仿宋" w:cs="仿宋" w:hint="eastAsia"/>
              <w:bCs w:val="0"/>
              <w:sz w:val="28"/>
              <w:szCs w:val="28"/>
              <w:highlight w:val="auto"/>
            </w:rPr>
            <w:t>府性基金预算财政拨款收入支出决算表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_Toc6973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_Toc30059 </w:instrText>
          </w:r>
          <w:r>
            <w:rPr>
              <w:rFonts w:ascii="仿宋" w:eastAsia="仿宋" w:cs="仿宋" w:hint="eastAsia"/>
              <w:sz w:val="28"/>
              <w:szCs w:val="28"/>
            </w:rPr>
            <w:fldChar w:fldCharType="separate"/>
          </w:r>
          <w:r>
            <w:rPr>
              <w:rFonts w:ascii="仿宋" w:eastAsia="仿宋" w:cs="仿宋" w:hint="eastAsia"/>
              <w:bCs w:val="0"/>
              <w:sz w:val="28"/>
              <w:szCs w:val="28"/>
              <w:highlight w:val="auto"/>
            </w:rPr>
            <w:t>十一、</w:t>
          </w:r>
          <w:r>
            <w:rPr>
              <w:rFonts w:ascii="仿宋" w:eastAsia="仿宋" w:cs="仿宋" w:hint="eastAsia"/>
              <w:sz w:val="28"/>
              <w:szCs w:val="28"/>
              <w:highlight w:val="auto"/>
            </w:rPr>
            <w:t>国</w:t>
          </w:r>
          <w:r>
            <w:rPr>
              <w:rFonts w:ascii="仿宋" w:eastAsia="仿宋" w:cs="仿宋" w:hint="eastAsia"/>
              <w:bCs w:val="0"/>
              <w:sz w:val="28"/>
              <w:szCs w:val="28"/>
              <w:highlight w:val="auto"/>
            </w:rPr>
            <w:t>有资本经营预算</w:t>
          </w:r>
          <w:r>
            <w:rPr>
              <w:rFonts w:ascii="仿宋" w:eastAsia="仿宋" w:cs="仿宋" w:hint="eastAsia"/>
              <w:bCs w:val="0"/>
              <w:sz w:val="28"/>
              <w:szCs w:val="28"/>
              <w:lang w:eastAsia="zh-CN"/>
              <w:highlight w:val="auto"/>
            </w:rPr>
            <w:t>财政拨款收入</w:t>
          </w:r>
          <w:r>
            <w:rPr>
              <w:rFonts w:ascii="仿宋" w:eastAsia="仿宋" w:cs="仿宋" w:hint="eastAsia"/>
              <w:bCs w:val="0"/>
              <w:sz w:val="28"/>
              <w:szCs w:val="28"/>
              <w:highlight w:val="auto"/>
            </w:rPr>
            <w:t>支出决算表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_Toc30059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rPr>
              <w:rFonts w:ascii="仿宋" w:eastAsia="仿宋" w:cs="仿宋" w:hint="eastAsia"/>
              <w:sz w:val="28"/>
              <w:szCs w:val="28"/>
            </w:rPr>
          </w:pPr>
          <w:r>
            <w:rPr>
              <w:rFonts w:ascii="仿宋" w:eastAsia="仿宋" w:cs="仿宋" w:hint="eastAsia"/>
              <w:sz w:val="28"/>
              <w:szCs w:val="28"/>
            </w:rPr>
            <w:fldChar w:fldCharType="begin"/>
          </w:r>
          <w:r>
            <w:rPr>
              <w:rFonts w:ascii="仿宋" w:eastAsia="仿宋" w:cs="仿宋" w:hint="eastAsia"/>
              <w:sz w:val="28"/>
              <w:szCs w:val="28"/>
            </w:rPr>
            <w:instrText xml:space="preserve"> HYPERLINK \l _Toc32286 </w:instrText>
          </w:r>
          <w:r>
            <w:rPr>
              <w:rFonts w:ascii="仿宋" w:eastAsia="仿宋" w:cs="仿宋" w:hint="eastAsia"/>
              <w:sz w:val="28"/>
              <w:szCs w:val="28"/>
            </w:rPr>
            <w:fldChar w:fldCharType="separate"/>
          </w:r>
          <w:r>
            <w:rPr>
              <w:rFonts w:ascii="仿宋" w:eastAsia="仿宋" w:cs="仿宋" w:hint="eastAsia"/>
              <w:bCs w:val="0"/>
              <w:sz w:val="28"/>
              <w:szCs w:val="28"/>
              <w:highlight w:val="auto"/>
            </w:rPr>
            <w:t>十二、</w:t>
          </w:r>
          <w:r>
            <w:rPr>
              <w:rFonts w:ascii="仿宋" w:eastAsia="仿宋" w:cs="仿宋" w:hint="eastAsia"/>
              <w:bCs w:val="0"/>
              <w:sz w:val="28"/>
              <w:szCs w:val="28"/>
              <w:lang w:eastAsia="zh-CN"/>
              <w:highlight w:val="auto"/>
            </w:rPr>
            <w:t>国有资本经营预算财政拨款支出决算表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_Toc32286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pStyle w:val="26"/>
            <w:tabs>
              <w:tab w:val="right" w:leader="dot" w:pos="8306"/>
            </w:tabs>
          </w:pPr>
          <w:r>
            <w:rPr>
              <w:rFonts w:ascii="仿宋" w:eastAsia="仿宋" w:cs="仿宋" w:hint="eastAsia"/>
              <w:sz w:val="28"/>
              <w:szCs w:val="28"/>
            </w:rPr>
            <w:fldChar w:fldCharType="begin"/>
          </w:r>
          <w:r>
            <w:rPr>
              <w:rFonts w:ascii="仿宋" w:eastAsia="仿宋" w:cs="仿宋" w:hint="eastAsia"/>
              <w:sz w:val="28"/>
              <w:szCs w:val="28"/>
            </w:rPr>
            <w:instrText xml:space="preserve"> HYPERLINK \l _Toc13697 </w:instrText>
          </w:r>
          <w:r>
            <w:rPr>
              <w:rFonts w:ascii="仿宋" w:eastAsia="仿宋" w:cs="仿宋" w:hint="eastAsia"/>
              <w:sz w:val="28"/>
              <w:szCs w:val="28"/>
            </w:rPr>
            <w:fldChar w:fldCharType="separate"/>
          </w:r>
          <w:r>
            <w:rPr>
              <w:rFonts w:ascii="仿宋" w:eastAsia="仿宋" w:cs="仿宋" w:hint="eastAsia"/>
              <w:bCs w:val="0"/>
              <w:sz w:val="28"/>
              <w:szCs w:val="28"/>
              <w:highlight w:val="auto"/>
            </w:rPr>
            <w:t>十三、</w:t>
          </w:r>
          <w:r>
            <w:rPr>
              <w:rFonts w:ascii="仿宋" w:eastAsia="仿宋" w:cs="仿宋" w:hint="eastAsia"/>
              <w:bCs w:val="0"/>
              <w:sz w:val="28"/>
              <w:szCs w:val="28"/>
              <w:lang w:eastAsia="zh-CN"/>
              <w:highlight w:val="auto"/>
            </w:rPr>
            <w:t>财政拨款“三公”经费支出决算表</w:t>
          </w:r>
          <w:r>
            <w:rPr>
              <w:rFonts w:ascii="仿宋" w:eastAsia="仿宋" w:cs="仿宋" w:hint="eastAsia"/>
              <w:sz w:val="28"/>
              <w:szCs w:val="28"/>
            </w:rPr>
            <w:tab/>
          </w:r>
          <w:r>
            <w:rPr>
              <w:rFonts w:ascii="仿宋" w:eastAsia="仿宋" w:cs="仿宋" w:hint="eastAsia"/>
              <w:sz w:val="28"/>
              <w:szCs w:val="28"/>
            </w:rPr>
            <w:fldChar w:fldCharType="begin"/>
          </w:r>
          <w:r>
            <w:rPr>
              <w:rFonts w:ascii="仿宋" w:eastAsia="仿宋" w:cs="仿宋" w:hint="eastAsia"/>
              <w:sz w:val="28"/>
              <w:szCs w:val="28"/>
            </w:rPr>
            <w:instrText xml:space="preserve"> PAGEREF _Toc13697 \h </w:instrText>
          </w:r>
          <w:r>
            <w:rPr>
              <w:rFonts w:ascii="仿宋" w:eastAsia="仿宋" w:cs="仿宋" w:hint="eastAsia"/>
              <w:sz w:val="28"/>
              <w:szCs w:val="28"/>
            </w:rPr>
            <w:fldChar w:fldCharType="separate"/>
          </w:r>
          <w:r>
            <w:rPr>
              <w:rFonts w:ascii="仿宋" w:eastAsia="仿宋" w:cs="仿宋" w:hint="eastAsia"/>
              <w:sz w:val="28"/>
              <w:szCs w:val="28"/>
            </w:rPr>
            <w:t>- 21 -</w:t>
          </w:r>
          <w:r>
            <w:rPr>
              <w:rFonts w:ascii="仿宋" w:eastAsia="仿宋" w:cs="仿宋" w:hint="eastAsia"/>
              <w:sz w:val="28"/>
              <w:szCs w:val="28"/>
            </w:rPr>
            <w:fldChar w:fldCharType="end"/>
          </w:r>
          <w:r>
            <w:rPr>
              <w:rFonts w:ascii="仿宋" w:eastAsia="仿宋" w:cs="仿宋" w:hint="eastAsia"/>
              <w:sz w:val="28"/>
              <w:szCs w:val="28"/>
            </w:rPr>
            <w:fldChar w:fldCharType="end"/>
          </w:r>
        </w:p>
        <w:p>
          <w:pPr>
            <w:rPr>
              <w:b/>
            </w:rPr>
            <w:sectPr>
              <w:footerReference w:type="default" r:id="rId2"/>
              <w:footerReference w:type="first" r:id="rId3"/>
              <w:pgSz w:w="11906" w:h="16838"/>
              <w:pgMar w:top="1440" w:right="1800" w:bottom="1440" w:left="1800" w:header="851" w:footer="992" w:gutter="0"/>
              <w:pgNumType w:fmt="numberInDash" w:start="1"/>
              <w:titlePg/>
              <w:docGrid w:type="lines" w:linePitch="312" w:charSpace="0"/>
            </w:sectPr>
          </w:pPr>
          <w:r>
            <w:rPr>
              <w:b/>
            </w:rPr>
            <w:fldChar w:fldCharType="end"/>
          </w:r>
        </w:p>
      </w:sdtContent>
    </w:sdt>
    <w:p>
      <w:pPr>
        <w:pStyle w:val="1"/>
        <w:jc w:val="center"/>
        <w:rPr>
          <w:rStyle w:val="1Char"/>
          <w:rFonts w:ascii="黑体" w:eastAsia="黑体"/>
          <w:b/>
          <w:bCs w:val="0"/>
          <w:color w:val="auto"/>
          <w:highlight w:val="auto"/>
        </w:rPr>
      </w:pPr>
      <w:bookmarkStart w:id="0" w:name="_Toc25957"/>
      <w:r>
        <w:rPr>
          <w:rFonts w:ascii="黑体" w:eastAsia="黑体" w:hint="eastAsia"/>
          <w:b w:val="0"/>
          <w:color w:val="auto"/>
          <w:highlight w:val="auto"/>
        </w:rPr>
        <w:t xml:space="preserve">第一部分 </w:t>
      </w:r>
      <w:r>
        <w:rPr>
          <w:rFonts w:ascii="黑体" w:eastAsia="黑体" w:hint="eastAsia"/>
          <w:b w:val="0"/>
          <w:color w:val="auto"/>
          <w:lang w:eastAsia="zh-CN"/>
          <w:highlight w:val="auto"/>
        </w:rPr>
        <w:t>单位</w:t>
      </w:r>
      <w:r>
        <w:rPr>
          <w:rStyle w:val="1Char"/>
          <w:rFonts w:ascii="黑体" w:eastAsia="黑体" w:hint="eastAsia"/>
          <w:b w:val="0"/>
          <w:bCs w:val="0"/>
          <w:color w:val="auto"/>
          <w:highlight w:val="auto"/>
        </w:rPr>
        <w:t>概况</w:t>
      </w:r>
      <w:bookmarkEnd w:id="0"/>
    </w:p>
    <w:p>
      <w:pPr>
        <w:widowControl/>
        <w:jc w:val="left"/>
        <w:rPr>
          <w:rFonts w:ascii="黑体" w:eastAsia="黑体"/>
          <w:color w:val="auto"/>
          <w:sz w:val="32"/>
          <w:szCs w:val="32"/>
          <w:highlight w:val="auto"/>
        </w:rPr>
      </w:pPr>
    </w:p>
    <w:p>
      <w:pPr>
        <w:pStyle w:val="2"/>
        <w:rPr>
          <w:rFonts w:ascii="黑体" w:eastAsia="黑体" w:hint="eastAsia"/>
          <w:b w:val="0"/>
          <w:color w:val="auto"/>
          <w:lang w:val="en-US" w:eastAsia="zh-CN"/>
          <w:highlight w:val="auto"/>
        </w:rPr>
      </w:pPr>
      <w:bookmarkStart w:id="1" w:name="_Toc21050"/>
      <w:r>
        <w:rPr>
          <w:rFonts w:ascii="黑体" w:eastAsia="黑体" w:hint="eastAsia"/>
          <w:b w:val="0"/>
          <w:color w:val="auto"/>
          <w:lang w:val="en-US" w:eastAsia="zh-CN"/>
          <w:highlight w:val="auto"/>
        </w:rPr>
        <w:t>一、主要职责</w:t>
      </w:r>
      <w:bookmarkEnd w:id="1"/>
    </w:p>
    <w:p>
      <w:pPr>
        <w:spacing w:line="600" w:lineRule="exact"/>
        <w:ind w:firstLineChars="200" w:firstLine="640"/>
        <w:rPr>
          <w:rFonts w:ascii="仿宋" w:eastAsia="仿宋" w:cs="Times New Roman" w:hint="eastAsia"/>
          <w:color w:val="auto"/>
          <w:sz w:val="32"/>
          <w:szCs w:val="32"/>
          <w:lang w:eastAsia="zh-CN"/>
          <w:highlight w:val="auto"/>
        </w:rPr>
      </w:pPr>
      <w:r>
        <w:rPr>
          <w:rFonts w:ascii="仿宋" w:eastAsia="仿宋" w:cs="Times New Roman" w:hint="eastAsia"/>
          <w:color w:val="auto"/>
          <w:sz w:val="32"/>
          <w:szCs w:val="32"/>
          <w:lang w:val="en-US" w:eastAsia="zh-CN"/>
          <w:highlight w:val="auto"/>
        </w:rPr>
        <w:t>四川藏语佛学院阿坝分院由州统战部管理公益性一类事业单位。主要负责藏传佛教界人士学历教学和教育培训；承担藏传佛教学衔授予，承担藏传佛教文化研究，承接涉藏干部培训任务等工作。</w:t>
      </w:r>
    </w:p>
    <w:p>
      <w:pPr>
        <w:pStyle w:val="2"/>
        <w:rPr>
          <w:rFonts w:ascii="黑体" w:eastAsia="黑体" w:hint="eastAsia"/>
          <w:b w:val="0"/>
          <w:color w:val="auto"/>
          <w:lang w:val="en-US" w:eastAsia="zh-CN"/>
          <w:highlight w:val="auto"/>
        </w:rPr>
      </w:pPr>
      <w:bookmarkStart w:id="2" w:name="_Toc14576"/>
      <w:r>
        <w:rPr>
          <w:rFonts w:ascii="黑体" w:eastAsia="黑体" w:hint="eastAsia"/>
          <w:b w:val="0"/>
          <w:color w:val="auto"/>
          <w:lang w:val="en-US" w:eastAsia="zh-CN"/>
          <w:highlight w:val="auto"/>
        </w:rPr>
        <w:t>二、机构设置</w:t>
      </w:r>
      <w:bookmarkEnd w:id="2"/>
    </w:p>
    <w:p>
      <w:pPr>
        <w:spacing w:line="600" w:lineRule="exact"/>
        <w:ind w:firstLineChars="200" w:firstLine="640"/>
        <w:rPr>
          <w:rFonts w:ascii="仿宋" w:eastAsia="仿宋" w:cs="Times New Roman" w:hint="eastAsia"/>
          <w:color w:val="auto"/>
          <w:sz w:val="32"/>
          <w:szCs w:val="32"/>
          <w:lang w:val="en-US" w:eastAsia="zh-CN"/>
          <w:highlight w:val="auto"/>
        </w:rPr>
      </w:pPr>
      <w:r>
        <w:rPr>
          <w:rFonts w:ascii="仿宋" w:eastAsia="仿宋" w:cs="Times New Roman" w:hint="eastAsia"/>
          <w:color w:val="auto"/>
          <w:sz w:val="32"/>
          <w:szCs w:val="32"/>
          <w:lang w:val="en-US" w:eastAsia="zh-CN"/>
          <w:highlight w:val="auto"/>
        </w:rPr>
        <w:t>机构人员情况：四川藏语佛学院阿坝分院属财政二级预算单位，本部门内设机构6个。总编制20名，均属于事业编制。人员实有人数为20人。其中党委书记、第一副院长1名，党委委员、副院长2人名。</w:t>
      </w:r>
    </w:p>
    <w:p>
      <w:pPr>
        <w:widowControl/>
        <w:jc w:val="left"/>
        <w:rPr>
          <w:rFonts w:ascii="仿宋" w:eastAsia="仿宋"/>
          <w:color w:val="auto"/>
          <w:kern w:val="0"/>
          <w:sz w:val="32"/>
          <w:szCs w:val="32"/>
          <w:highlight w:val="auto"/>
        </w:rPr>
      </w:pPr>
      <w:r>
        <w:rPr>
          <w:rFonts w:ascii="仿宋" w:eastAsia="仿宋"/>
          <w:color w:val="auto"/>
          <w:sz w:val="32"/>
          <w:szCs w:val="32"/>
          <w:highlight w:val="auto"/>
        </w:rPr>
        <w:br w:type="page"/>
      </w:r>
    </w:p>
    <w:p>
      <w:pPr>
        <w:pStyle w:val="1"/>
        <w:ind w:right="440"/>
        <w:jc w:val="center"/>
        <w:rPr>
          <w:rStyle w:val="1Char"/>
          <w:rFonts w:ascii="黑体" w:eastAsia="黑体"/>
          <w:b w:val="0"/>
          <w:bCs/>
          <w:color w:val="auto"/>
          <w:highlight w:val="auto"/>
        </w:rPr>
      </w:pPr>
      <w:bookmarkStart w:id="3" w:name="_Toc18461"/>
      <w:r>
        <w:rPr>
          <w:rFonts w:ascii="黑体" w:eastAsia="黑体" w:hint="eastAsia"/>
          <w:b w:val="0"/>
          <w:bCs/>
          <w:color w:val="auto"/>
          <w:highlight w:val="auto"/>
        </w:rPr>
        <w:t xml:space="preserve">第二部分 </w:t>
      </w:r>
      <w:r>
        <w:rPr>
          <w:rFonts w:ascii="黑体" w:eastAsia="黑体" w:hint="eastAsia"/>
          <w:b w:val="0"/>
          <w:bCs/>
          <w:color w:val="auto"/>
          <w:lang w:val="en-US" w:eastAsia="zh-CN"/>
          <w:highlight w:val="auto"/>
        </w:rPr>
        <w:t>2023年度</w:t>
      </w:r>
      <w:r>
        <w:rPr>
          <w:rStyle w:val="1Char"/>
          <w:rFonts w:ascii="黑体" w:eastAsia="黑体" w:hint="eastAsia"/>
          <w:b w:val="0"/>
          <w:bCs/>
          <w:color w:val="auto"/>
          <w:lang w:eastAsia="zh-CN"/>
          <w:highlight w:val="auto"/>
        </w:rPr>
        <w:t>单位</w:t>
      </w:r>
      <w:r>
        <w:rPr>
          <w:rStyle w:val="1Char"/>
          <w:rFonts w:ascii="黑体" w:eastAsia="黑体" w:hint="eastAsia"/>
          <w:b w:val="0"/>
          <w:bCs/>
          <w:color w:val="auto"/>
          <w:highlight w:val="auto"/>
        </w:rPr>
        <w:t>决算情况说明</w:t>
      </w:r>
      <w:bookmarkEnd w:id="3"/>
    </w:p>
    <w:p>
      <w:pPr>
        <w:rPr>
          <w:color w:val="auto"/>
          <w:highlight w:val="auto"/>
        </w:rPr>
      </w:pPr>
    </w:p>
    <w:p>
      <w:pPr>
        <w:pStyle w:val="23"/>
        <w:spacing w:line="600" w:lineRule="exact"/>
        <w:ind w:left="640"/>
        <w:outlineLvl w:val="1"/>
        <w:rPr>
          <w:rStyle w:val="2Char"/>
          <w:rFonts w:ascii="黑体" w:eastAsia="黑体"/>
          <w:b w:val="0"/>
          <w:color w:val="auto"/>
          <w:highlight w:val="auto"/>
        </w:rPr>
      </w:pPr>
      <w:bookmarkStart w:id="4" w:name="_Toc12251"/>
      <w:r>
        <w:rPr>
          <w:rFonts w:ascii="黑体" w:eastAsia="黑体" w:hint="eastAsia"/>
          <w:color w:val="auto"/>
          <w:sz w:val="32"/>
          <w:szCs w:val="32"/>
          <w:lang w:eastAsia="zh-CN"/>
          <w:highlight w:val="auto"/>
        </w:rPr>
        <w:t>一、</w:t>
      </w:r>
      <w:r>
        <w:rPr>
          <w:rFonts w:ascii="黑体" w:eastAsia="黑体" w:hint="eastAsia"/>
          <w:color w:val="auto"/>
          <w:sz w:val="32"/>
          <w:szCs w:val="32"/>
          <w:highlight w:val="auto"/>
        </w:rPr>
        <w:t>收</w:t>
      </w:r>
      <w:r>
        <w:rPr>
          <w:rStyle w:val="2Char"/>
          <w:rFonts w:ascii="黑体" w:eastAsia="黑体" w:hint="eastAsia"/>
          <w:b w:val="0"/>
          <w:color w:val="auto"/>
          <w:highlight w:val="auto"/>
        </w:rPr>
        <w:t>入支出决算总体情况说明</w:t>
      </w:r>
      <w:bookmarkEnd w:id="4"/>
    </w:p>
    <w:p>
      <w:pPr>
        <w:spacing w:line="600" w:lineRule="exact"/>
        <w:ind w:firstLineChars="200" w:firstLine="640"/>
        <w:rPr>
          <w:rFonts w:ascii="仿宋" w:eastAsia="仿宋" w:hint="eastAsia"/>
          <w:color w:val="auto"/>
          <w:sz w:val="32"/>
          <w:szCs w:val="32"/>
          <w:lang w:eastAsia="zh-CN"/>
          <w:highlight w:val="auto"/>
        </w:rPr>
      </w:pPr>
      <w:r>
        <w:rPr>
          <w:rFonts w:ascii="仿宋" w:eastAsia="仿宋" w:hint="eastAsia"/>
          <w:color w:val="auto"/>
          <w:sz w:val="32"/>
          <w:szCs w:val="32"/>
          <w:lang w:eastAsia="zh-CN"/>
          <w:highlight w:val="auto"/>
        </w:rPr>
        <w:t>2023</w:t>
      </w:r>
      <w:r>
        <w:rPr>
          <w:rFonts w:ascii="仿宋" w:eastAsia="仿宋" w:hint="eastAsia"/>
          <w:color w:val="auto"/>
          <w:sz w:val="32"/>
          <w:szCs w:val="32"/>
          <w:highlight w:val="auto"/>
        </w:rPr>
        <w:t>年度收、支总计</w:t>
      </w:r>
      <w:r>
        <w:rPr>
          <w:rFonts w:ascii="仿宋" w:eastAsia="仿宋" w:hint="eastAsia"/>
          <w:color w:val="auto"/>
          <w:sz w:val="32"/>
          <w:szCs w:val="32"/>
          <w:lang w:eastAsia="zh-CN"/>
          <w:highlight w:val="auto"/>
        </w:rPr>
        <w:t>均为1,044.00</w:t>
      </w:r>
      <w:r>
        <w:rPr>
          <w:rFonts w:ascii="仿宋" w:eastAsia="仿宋" w:hint="eastAsia"/>
          <w:color w:val="auto"/>
          <w:sz w:val="32"/>
          <w:szCs w:val="32"/>
          <w:highlight w:val="auto"/>
        </w:rPr>
        <w:t>万元。与</w:t>
      </w:r>
      <w:r>
        <w:rPr>
          <w:rFonts w:ascii="仿宋" w:eastAsia="仿宋" w:hint="eastAsia"/>
          <w:color w:val="auto"/>
          <w:sz w:val="32"/>
          <w:szCs w:val="32"/>
          <w:lang w:eastAsia="zh-CN"/>
          <w:highlight w:val="auto"/>
        </w:rPr>
        <w:t>2022</w:t>
      </w:r>
      <w:r>
        <w:rPr>
          <w:rFonts w:ascii="仿宋" w:eastAsia="仿宋" w:hint="eastAsia"/>
          <w:color w:val="auto"/>
          <w:sz w:val="32"/>
          <w:szCs w:val="32"/>
          <w:highlight w:val="auto"/>
        </w:rPr>
        <w:t>年</w:t>
      </w:r>
      <w:r>
        <w:rPr>
          <w:rFonts w:ascii="仿宋" w:eastAsia="仿宋" w:hint="eastAsia"/>
          <w:color w:val="auto"/>
          <w:sz w:val="32"/>
          <w:szCs w:val="32"/>
          <w:lang w:eastAsia="zh-CN"/>
          <w:highlight w:val="auto"/>
        </w:rPr>
        <w:t>度</w:t>
      </w:r>
      <w:r>
        <w:rPr>
          <w:rFonts w:ascii="仿宋" w:eastAsia="仿宋" w:hint="eastAsia"/>
          <w:color w:val="auto"/>
          <w:sz w:val="32"/>
          <w:szCs w:val="32"/>
          <w:highlight w:val="auto"/>
        </w:rPr>
        <w:t>相比，收、支总计各增加436.84万元，增长</w:t>
      </w:r>
      <w:r>
        <w:rPr>
          <w:rFonts w:ascii="仿宋" w:eastAsia="仿宋" w:hint="eastAsia"/>
          <w:color w:val="auto"/>
          <w:sz w:val="32"/>
          <w:szCs w:val="32"/>
          <w:lang w:val="en-US" w:eastAsia="zh-CN"/>
          <w:highlight w:val="auto"/>
        </w:rPr>
        <w:t>71.95</w:t>
      </w:r>
      <w:r>
        <w:rPr>
          <w:rFonts w:ascii="仿宋" w:eastAsia="仿宋"/>
          <w:color w:val="auto"/>
          <w:sz w:val="32"/>
          <w:szCs w:val="32"/>
          <w:highlight w:val="auto"/>
        </w:rPr>
        <w:t>%</w:t>
      </w:r>
      <w:r>
        <w:rPr>
          <w:rFonts w:ascii="仿宋" w:eastAsia="仿宋" w:hint="eastAsia"/>
          <w:color w:val="auto"/>
          <w:sz w:val="32"/>
          <w:szCs w:val="32"/>
          <w:highlight w:val="auto"/>
        </w:rPr>
        <w:t>。主要变动原因是</w:t>
      </w:r>
      <w:r>
        <w:rPr>
          <w:rFonts w:ascii="仿宋" w:eastAsia="仿宋" w:hint="eastAsia"/>
          <w:color w:val="auto"/>
          <w:sz w:val="32"/>
          <w:szCs w:val="32"/>
          <w:lang w:val="en-US" w:eastAsia="zh-CN"/>
          <w:highlight w:val="auto"/>
        </w:rPr>
        <w:t>本年度新进人员11人，导致人员经费比去年增加。新开办了宁玛班，学员人数也较去年增多，导致办学经费的增加。所以总的财政拨款增幅较大</w:t>
      </w:r>
      <w:r>
        <w:rPr>
          <w:rFonts w:ascii="仿宋" w:eastAsia="仿宋" w:hint="eastAsia"/>
          <w:color w:val="auto"/>
          <w:sz w:val="32"/>
          <w:szCs w:val="32"/>
          <w:lang w:eastAsia="zh-CN"/>
          <w:highlight w:val="auto"/>
        </w:rPr>
        <w:t>。</w:t>
      </w:r>
    </w:p>
    <w:p>
      <w:pPr>
        <w:pStyle w:val="15"/>
        <w:rPr>
          <w:rFonts w:hint="eastAsia"/>
          <w:lang w:eastAsia="zh-CN"/>
        </w:rPr>
      </w:pPr>
      <w:r>
        <w:rPr>
          <w:rFonts w:hint="eastAsia"/>
          <w:lang w:eastAsia="zh-CN"/>
        </w:rPr>
        <w:drawing>
          <wp:inline distT="0" distB="0" distL="114300" distR="114300">
            <wp:extent cx="5256530" cy="2988310"/>
            <wp:effectExtent l="0" t="0" r="0" b="0"/>
            <wp:docPr id="7" name="图表 3"/>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jc w:val="center"/>
        <w:rPr>
          <w:rFonts w:ascii="仿宋" w:eastAsia="仿宋"/>
          <w:color w:val="auto"/>
          <w:sz w:val="32"/>
          <w:szCs w:val="32"/>
          <w:highlight w:val="auto"/>
        </w:rPr>
      </w:pPr>
      <w:r>
        <w:rPr>
          <w:rFonts w:ascii="仿宋" w:eastAsia="仿宋" w:hint="eastAsia"/>
          <w:color w:val="auto"/>
          <w:sz w:val="32"/>
          <w:szCs w:val="32"/>
          <w:highlight w:val="auto"/>
        </w:rPr>
        <w:t>（图</w:t>
      </w:r>
      <w:r>
        <w:rPr>
          <w:rFonts w:ascii="仿宋" w:eastAsia="仿宋"/>
          <w:color w:val="auto"/>
          <w:sz w:val="32"/>
          <w:szCs w:val="32"/>
          <w:highlight w:val="auto"/>
        </w:rPr>
        <w:t>1</w:t>
      </w:r>
      <w:r>
        <w:rPr>
          <w:rFonts w:ascii="仿宋" w:eastAsia="仿宋" w:hint="eastAsia"/>
          <w:color w:val="auto"/>
          <w:sz w:val="32"/>
          <w:szCs w:val="32"/>
          <w:highlight w:val="auto"/>
        </w:rPr>
        <w:t>：收、支决算总计变动情况图）</w:t>
      </w:r>
    </w:p>
    <w:p>
      <w:pPr>
        <w:spacing w:line="600" w:lineRule="exact"/>
        <w:ind w:firstLineChars="200" w:firstLine="640"/>
        <w:jc w:val="left"/>
        <w:rPr>
          <w:rFonts w:ascii="仿宋_GB2312" w:eastAsia="仿宋_GB2312"/>
          <w:color w:val="auto"/>
          <w:sz w:val="32"/>
          <w:szCs w:val="32"/>
          <w:highlight w:val="auto"/>
        </w:rPr>
      </w:pPr>
    </w:p>
    <w:p>
      <w:pPr>
        <w:pStyle w:val="23"/>
        <w:spacing w:line="600" w:lineRule="exact"/>
        <w:ind w:left="640"/>
        <w:outlineLvl w:val="1"/>
        <w:rPr>
          <w:rStyle w:val="2Char"/>
          <w:rFonts w:ascii="黑体" w:eastAsia="黑体"/>
          <w:b w:val="0"/>
          <w:color w:val="auto"/>
          <w:highlight w:val="auto"/>
        </w:rPr>
      </w:pPr>
      <w:bookmarkStart w:id="5" w:name="_Toc23361"/>
      <w:r>
        <w:rPr>
          <w:rFonts w:ascii="黑体" w:eastAsia="黑体" w:hint="eastAsia"/>
          <w:color w:val="auto"/>
          <w:sz w:val="32"/>
          <w:szCs w:val="32"/>
          <w:lang w:eastAsia="zh-CN"/>
          <w:highlight w:val="auto"/>
        </w:rPr>
        <w:t>二、</w:t>
      </w:r>
      <w:r>
        <w:rPr>
          <w:rFonts w:ascii="黑体" w:eastAsia="黑体" w:hint="eastAsia"/>
          <w:color w:val="auto"/>
          <w:sz w:val="32"/>
          <w:szCs w:val="32"/>
          <w:highlight w:val="auto"/>
        </w:rPr>
        <w:t>收</w:t>
      </w:r>
      <w:r>
        <w:rPr>
          <w:rStyle w:val="2Char"/>
          <w:rFonts w:ascii="黑体" w:eastAsia="黑体" w:hint="eastAsia"/>
          <w:b w:val="0"/>
          <w:color w:val="auto"/>
          <w:highlight w:val="auto"/>
        </w:rPr>
        <w:t>入决算情况说明</w:t>
      </w:r>
      <w:bookmarkEnd w:id="5"/>
    </w:p>
    <w:p>
      <w:pPr>
        <w:spacing w:line="600" w:lineRule="exact"/>
        <w:ind w:firstLineChars="200" w:firstLine="640"/>
        <w:rPr>
          <w:rFonts w:ascii="仿宋" w:eastAsia="仿宋" w:cs="Times New Roman" w:hint="eastAsia"/>
          <w:color w:val="auto"/>
          <w:sz w:val="32"/>
          <w:szCs w:val="32"/>
          <w:lang w:eastAsia="zh-CN"/>
          <w:highlight w:val="auto"/>
        </w:rPr>
      </w:pPr>
      <w:bookmarkStart w:id="6" w:name="_Toc2531"/>
      <w:r>
        <w:rPr>
          <w:rFonts w:ascii="仿宋" w:eastAsia="仿宋" w:cs="Times New Roman" w:hint="eastAsia"/>
          <w:color w:val="auto"/>
          <w:sz w:val="32"/>
          <w:szCs w:val="32"/>
          <w:lang w:eastAsia="zh-CN"/>
          <w:highlight w:val="auto"/>
        </w:rPr>
        <w:t>2023年度本年收入合计1,044.00万元，其中：一般公共预算财政拨款收入1,044.00万元，占</w:t>
      </w:r>
      <w:r>
        <w:rPr>
          <w:rFonts w:ascii="仿宋" w:eastAsia="仿宋" w:cs="Times New Roman" w:hint="eastAsia"/>
          <w:color w:val="auto"/>
          <w:sz w:val="32"/>
          <w:szCs w:val="32"/>
          <w:lang w:val="en-US" w:eastAsia="zh-CN"/>
          <w:highlight w:val="auto"/>
        </w:rPr>
        <w:t>100.00</w:t>
      </w:r>
      <w:r>
        <w:rPr>
          <w:rFonts w:ascii="仿宋" w:eastAsia="仿宋" w:cs="Times New Roman" w:hint="eastAsia"/>
          <w:color w:val="auto"/>
          <w:sz w:val="32"/>
          <w:szCs w:val="32"/>
          <w:lang w:eastAsia="zh-CN"/>
          <w:highlight w:val="auto"/>
        </w:rPr>
        <w:t>%。</w:t>
      </w:r>
      <w:bookmarkEnd w:id="6"/>
    </w:p>
    <w:p>
      <w:pPr>
        <w:spacing w:line="240" w:lineRule="auto"/>
        <w:ind w:firstLine="0"/>
        <w:outlineLvl w:val="9"/>
        <w:rPr>
          <w:rFonts w:ascii="仿宋" w:eastAsia="仿宋" w:hint="eastAsia"/>
          <w:color w:val="auto"/>
          <w:sz w:val="32"/>
          <w:szCs w:val="32"/>
          <w:lang w:eastAsia="zh-CN"/>
          <w:highlight w:val="auto"/>
        </w:rPr>
      </w:pPr>
      <w:r>
        <w:rPr>
          <w:rFonts w:ascii="仿宋" w:eastAsia="仿宋" w:hint="eastAsia"/>
          <w:color w:val="auto"/>
          <w:sz w:val="32"/>
          <w:szCs w:val="32"/>
          <w:lang w:eastAsia="zh-CN"/>
          <w:highlight w:val="auto"/>
        </w:rPr>
        <w:drawing>
          <wp:inline distT="0" distB="0" distL="114300" distR="114300">
            <wp:extent cx="5256530" cy="2988310"/>
            <wp:effectExtent l="0" t="0" r="0" b="0"/>
            <wp:docPr id="8" name="图表 4"/>
            <wp:cNvGraphicFramePr>
              <a:graphicFrameLocks noChangeAspect="0"/>
            </wp:cNvGraphicFramePr>
            <a:graphic>
              <a:graphicData uri="http://schemas.openxmlformats.org/drawingml/2006/chart">
                <c:chart xmlns:c="http://schemas.openxmlformats.org/drawingml/2006/chart" r:id="rId5"/>
              </a:graphicData>
            </a:graphic>
          </wp:inline>
        </w:drawing>
      </w:r>
    </w:p>
    <w:p>
      <w:pPr>
        <w:spacing w:line="600" w:lineRule="exact"/>
        <w:jc w:val="center"/>
        <w:rPr>
          <w:rFonts w:ascii="仿宋" w:eastAsia="仿宋"/>
          <w:color w:val="auto"/>
          <w:sz w:val="32"/>
          <w:szCs w:val="32"/>
          <w:highlight w:val="auto"/>
        </w:rPr>
      </w:pPr>
      <w:r>
        <w:rPr>
          <w:rFonts w:ascii="仿宋" w:eastAsia="仿宋" w:hint="eastAsia"/>
          <w:color w:val="auto"/>
          <w:sz w:val="32"/>
          <w:szCs w:val="32"/>
          <w:highlight w:val="auto"/>
        </w:rPr>
        <w:t>（图2：收入决算结构图）</w:t>
      </w:r>
    </w:p>
    <w:p>
      <w:pPr>
        <w:pStyle w:val="23"/>
        <w:spacing w:line="600" w:lineRule="exact"/>
        <w:ind w:left="640"/>
        <w:outlineLvl w:val="1"/>
        <w:rPr>
          <w:rStyle w:val="2Char"/>
          <w:rFonts w:ascii="黑体" w:eastAsia="黑体"/>
          <w:b w:val="0"/>
          <w:color w:val="auto"/>
          <w:highlight w:val="auto"/>
        </w:rPr>
      </w:pPr>
      <w:bookmarkStart w:id="7" w:name="_Toc3748"/>
      <w:r>
        <w:rPr>
          <w:rFonts w:ascii="黑体" w:eastAsia="黑体" w:hint="eastAsia"/>
          <w:color w:val="auto"/>
          <w:sz w:val="32"/>
          <w:szCs w:val="32"/>
          <w:lang w:eastAsia="zh-CN"/>
          <w:highlight w:val="auto"/>
        </w:rPr>
        <w:t>三、</w:t>
      </w:r>
      <w:r>
        <w:rPr>
          <w:rFonts w:ascii="黑体" w:eastAsia="黑体" w:hint="eastAsia"/>
          <w:color w:val="auto"/>
          <w:sz w:val="32"/>
          <w:szCs w:val="32"/>
          <w:highlight w:val="auto"/>
        </w:rPr>
        <w:t>支</w:t>
      </w:r>
      <w:r>
        <w:rPr>
          <w:rStyle w:val="2Char"/>
          <w:rFonts w:ascii="黑体" w:eastAsia="黑体" w:hint="eastAsia"/>
          <w:b w:val="0"/>
          <w:color w:val="auto"/>
          <w:highlight w:val="auto"/>
        </w:rPr>
        <w:t>出决算情况说明</w:t>
      </w:r>
      <w:bookmarkEnd w:id="7"/>
    </w:p>
    <w:p>
      <w:pPr>
        <w:spacing w:line="600" w:lineRule="exact"/>
        <w:ind w:firstLineChars="200" w:firstLine="640"/>
        <w:rPr>
          <w:rFonts w:ascii="仿宋" w:eastAsia="仿宋"/>
          <w:color w:val="auto"/>
          <w:sz w:val="32"/>
          <w:szCs w:val="32"/>
          <w:highlight w:val="auto"/>
        </w:rPr>
      </w:pPr>
      <w:bookmarkStart w:id="8" w:name="_Toc4326"/>
      <w:r>
        <w:rPr>
          <w:rFonts w:ascii="仿宋" w:eastAsia="仿宋" w:hint="eastAsia"/>
          <w:color w:val="auto"/>
          <w:sz w:val="32"/>
          <w:szCs w:val="32"/>
          <w:lang w:eastAsia="zh-CN"/>
          <w:highlight w:val="auto"/>
        </w:rPr>
        <w:t>2023</w:t>
      </w:r>
      <w:r>
        <w:rPr>
          <w:rFonts w:ascii="仿宋" w:eastAsia="仿宋" w:hint="eastAsia"/>
          <w:color w:val="auto"/>
          <w:sz w:val="32"/>
          <w:szCs w:val="32"/>
          <w:highlight w:val="auto"/>
        </w:rPr>
        <w:t>年</w:t>
      </w:r>
      <w:r>
        <w:rPr>
          <w:rFonts w:ascii="仿宋" w:eastAsia="仿宋" w:hint="eastAsia"/>
          <w:color w:val="auto"/>
          <w:sz w:val="32"/>
          <w:szCs w:val="32"/>
          <w:lang w:eastAsia="zh-CN"/>
          <w:highlight w:val="auto"/>
        </w:rPr>
        <w:t>度</w:t>
      </w:r>
      <w:r>
        <w:rPr>
          <w:rFonts w:ascii="仿宋" w:eastAsia="仿宋" w:hint="eastAsia"/>
          <w:color w:val="auto"/>
          <w:sz w:val="32"/>
          <w:szCs w:val="32"/>
          <w:highlight w:val="auto"/>
        </w:rPr>
        <w:t>本年支出合计1,044.00万元，其中：基本支出345.99万元，占</w:t>
      </w:r>
      <w:r>
        <w:rPr>
          <w:rFonts w:ascii="仿宋" w:eastAsia="仿宋" w:hint="eastAsia"/>
          <w:color w:val="auto"/>
          <w:sz w:val="32"/>
          <w:szCs w:val="32"/>
          <w:lang w:val="en-US" w:eastAsia="zh-CN"/>
          <w:highlight w:val="auto"/>
        </w:rPr>
        <w:t>33.14</w:t>
      </w:r>
      <w:r>
        <w:rPr>
          <w:rFonts w:ascii="仿宋" w:eastAsia="仿宋"/>
          <w:color w:val="auto"/>
          <w:sz w:val="32"/>
          <w:szCs w:val="32"/>
          <w:highlight w:val="auto"/>
        </w:rPr>
        <w:t>%</w:t>
      </w:r>
      <w:r>
        <w:rPr>
          <w:rFonts w:ascii="仿宋" w:eastAsia="仿宋" w:hint="eastAsia"/>
          <w:color w:val="auto"/>
          <w:sz w:val="32"/>
          <w:szCs w:val="32"/>
          <w:highlight w:val="auto"/>
        </w:rPr>
        <w:t>；项目支出</w:t>
      </w:r>
      <w:bookmarkStart w:id="9" w:name="OLE_LINK1"/>
      <w:r>
        <w:rPr>
          <w:rFonts w:ascii="仿宋" w:eastAsia="仿宋" w:hint="eastAsia"/>
          <w:color w:val="auto"/>
          <w:sz w:val="32"/>
          <w:szCs w:val="32"/>
          <w:highlight w:val="auto"/>
        </w:rPr>
        <w:t>698.01</w:t>
      </w:r>
      <w:bookmarkEnd w:id="9"/>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66.86</w:t>
      </w:r>
      <w:r>
        <w:rPr>
          <w:rFonts w:ascii="仿宋" w:eastAsia="仿宋"/>
          <w:color w:val="auto"/>
          <w:sz w:val="32"/>
          <w:szCs w:val="32"/>
          <w:highlight w:val="auto"/>
        </w:rPr>
        <w:t>%</w:t>
      </w:r>
      <w:r>
        <w:rPr>
          <w:rFonts w:ascii="仿宋" w:eastAsia="仿宋" w:hint="eastAsia"/>
          <w:color w:val="auto"/>
          <w:sz w:val="32"/>
          <w:szCs w:val="32"/>
          <w:highlight w:val="auto"/>
        </w:rPr>
        <w:t>。</w:t>
      </w:r>
      <w:bookmarkEnd w:id="8"/>
    </w:p>
    <w:p>
      <w:pPr>
        <w:spacing w:line="240" w:lineRule="auto"/>
        <w:ind w:firstLine="0"/>
        <w:rPr>
          <w:rFonts w:ascii="仿宋" w:eastAsia="仿宋" w:hint="eastAsia"/>
          <w:color w:val="auto"/>
          <w:sz w:val="32"/>
          <w:szCs w:val="32"/>
          <w:shd w:val="pct10" w:color="auto" w:fill="FFFFFF"/>
          <w:lang w:eastAsia="zh-CN"/>
          <w:highlight w:val="auto"/>
        </w:rPr>
      </w:pPr>
      <w:r>
        <w:rPr>
          <w:rFonts w:ascii="仿宋" w:eastAsia="仿宋" w:hint="eastAsia"/>
          <w:color w:val="auto"/>
          <w:sz w:val="32"/>
          <w:szCs w:val="32"/>
          <w:shd w:val="pct10" w:color="auto" w:fill="FFFFFF"/>
          <w:lang w:eastAsia="zh-CN"/>
          <w:highlight w:val="auto"/>
        </w:rPr>
        <w:drawing>
          <wp:inline distT="0" distB="0" distL="114300" distR="114300">
            <wp:extent cx="5256530" cy="2988310"/>
            <wp:effectExtent l="0" t="0" r="0" b="0"/>
            <wp:docPr id="9" name="图表 5"/>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600" w:lineRule="exact"/>
        <w:jc w:val="center"/>
        <w:rPr>
          <w:rFonts w:ascii="仿宋" w:eastAsia="仿宋"/>
          <w:color w:val="auto"/>
          <w:sz w:val="32"/>
          <w:szCs w:val="32"/>
          <w:highlight w:val="auto"/>
        </w:rPr>
      </w:pPr>
      <w:r>
        <w:rPr>
          <w:rFonts w:ascii="仿宋" w:eastAsia="仿宋" w:hint="eastAsia"/>
          <w:color w:val="auto"/>
          <w:sz w:val="32"/>
          <w:szCs w:val="32"/>
          <w:highlight w:val="auto"/>
        </w:rPr>
        <w:t>（图3：支出决算结构图）</w:t>
      </w:r>
    </w:p>
    <w:p>
      <w:pPr>
        <w:spacing w:line="600" w:lineRule="exact"/>
        <w:ind w:firstLineChars="200" w:firstLine="640"/>
        <w:rPr>
          <w:rFonts w:ascii="仿宋_GB2312" w:eastAsia="仿宋_GB2312"/>
          <w:color w:val="auto"/>
          <w:sz w:val="32"/>
          <w:szCs w:val="32"/>
          <w:highlight w:val="auto"/>
        </w:rPr>
      </w:pPr>
    </w:p>
    <w:p>
      <w:pPr>
        <w:spacing w:line="600" w:lineRule="exact"/>
        <w:ind w:firstLineChars="200" w:firstLine="640"/>
        <w:outlineLvl w:val="1"/>
        <w:rPr>
          <w:rStyle w:val="2Char"/>
          <w:rFonts w:ascii="黑体" w:eastAsia="黑体"/>
          <w:b w:val="0"/>
          <w:color w:val="auto"/>
          <w:highlight w:val="auto"/>
        </w:rPr>
      </w:pPr>
      <w:bookmarkStart w:id="10" w:name="_Toc13588"/>
      <w:r>
        <w:rPr>
          <w:rFonts w:ascii="黑体" w:eastAsia="黑体" w:hint="eastAsia"/>
          <w:color w:val="auto"/>
          <w:sz w:val="32"/>
          <w:szCs w:val="32"/>
          <w:highlight w:val="auto"/>
        </w:rPr>
        <w:t>四、财</w:t>
      </w:r>
      <w:r>
        <w:rPr>
          <w:rStyle w:val="2Char"/>
          <w:rFonts w:ascii="黑体" w:eastAsia="黑体" w:hint="eastAsia"/>
          <w:b w:val="0"/>
          <w:color w:val="auto"/>
          <w:highlight w:val="auto"/>
        </w:rPr>
        <w:t>政拨款收入支出决算总体情况说明</w:t>
      </w:r>
      <w:bookmarkEnd w:id="10"/>
    </w:p>
    <w:p>
      <w:pPr>
        <w:spacing w:line="600" w:lineRule="exact"/>
        <w:ind w:firstLine="640"/>
        <w:rPr>
          <w:rFonts w:ascii="仿宋" w:eastAsia="仿宋"/>
          <w:color w:val="auto"/>
          <w:sz w:val="32"/>
          <w:szCs w:val="32"/>
          <w:highlight w:val="auto"/>
        </w:rPr>
      </w:pPr>
      <w:r>
        <w:rPr>
          <w:rFonts w:ascii="仿宋" w:eastAsia="仿宋" w:hint="eastAsia"/>
          <w:color w:val="auto"/>
          <w:sz w:val="32"/>
          <w:szCs w:val="32"/>
          <w:lang w:eastAsia="zh-CN"/>
          <w:highlight w:val="auto"/>
        </w:rPr>
        <w:t>2023</w:t>
      </w:r>
      <w:r>
        <w:rPr>
          <w:rFonts w:ascii="仿宋" w:eastAsia="仿宋" w:hint="eastAsia"/>
          <w:color w:val="auto"/>
          <w:sz w:val="32"/>
          <w:szCs w:val="32"/>
          <w:highlight w:val="auto"/>
        </w:rPr>
        <w:t>年</w:t>
      </w:r>
      <w:r>
        <w:rPr>
          <w:rFonts w:ascii="仿宋" w:eastAsia="仿宋" w:hint="eastAsia"/>
          <w:color w:val="auto"/>
          <w:sz w:val="32"/>
          <w:szCs w:val="32"/>
          <w:lang w:eastAsia="zh-CN"/>
          <w:highlight w:val="auto"/>
        </w:rPr>
        <w:t>度</w:t>
      </w:r>
      <w:r>
        <w:rPr>
          <w:rFonts w:ascii="仿宋" w:eastAsia="仿宋" w:hint="eastAsia"/>
          <w:color w:val="auto"/>
          <w:sz w:val="32"/>
          <w:szCs w:val="32"/>
          <w:highlight w:val="auto"/>
        </w:rPr>
        <w:t>财政拨款收、支总计</w:t>
      </w:r>
      <w:r>
        <w:rPr>
          <w:rFonts w:ascii="仿宋" w:eastAsia="仿宋" w:hint="eastAsia"/>
          <w:color w:val="auto"/>
          <w:sz w:val="32"/>
          <w:szCs w:val="32"/>
          <w:lang w:eastAsia="zh-CN"/>
          <w:highlight w:val="auto"/>
        </w:rPr>
        <w:t>均为</w:t>
      </w:r>
      <w:r>
        <w:rPr>
          <w:rFonts w:ascii="仿宋" w:eastAsia="仿宋" w:hint="eastAsia"/>
          <w:color w:val="auto"/>
          <w:sz w:val="32"/>
          <w:szCs w:val="32"/>
          <w:highlight w:val="auto"/>
        </w:rPr>
        <w:t>1,044.00万元。与</w:t>
      </w:r>
      <w:r>
        <w:rPr>
          <w:rFonts w:ascii="仿宋" w:eastAsia="仿宋" w:hint="eastAsia"/>
          <w:color w:val="auto"/>
          <w:sz w:val="32"/>
          <w:szCs w:val="32"/>
          <w:lang w:eastAsia="zh-CN"/>
          <w:highlight w:val="auto"/>
        </w:rPr>
        <w:t>2022</w:t>
      </w:r>
      <w:r>
        <w:rPr>
          <w:rFonts w:ascii="仿宋" w:eastAsia="仿宋" w:hint="eastAsia"/>
          <w:color w:val="auto"/>
          <w:sz w:val="32"/>
          <w:szCs w:val="32"/>
          <w:highlight w:val="auto"/>
        </w:rPr>
        <w:t>年</w:t>
      </w:r>
      <w:r>
        <w:rPr>
          <w:rFonts w:ascii="仿宋" w:eastAsia="仿宋" w:hint="eastAsia"/>
          <w:color w:val="auto"/>
          <w:sz w:val="32"/>
          <w:szCs w:val="32"/>
          <w:lang w:eastAsia="zh-CN"/>
          <w:highlight w:val="auto"/>
        </w:rPr>
        <w:t>度</w:t>
      </w:r>
      <w:r>
        <w:rPr>
          <w:rFonts w:ascii="仿宋" w:eastAsia="仿宋" w:hint="eastAsia"/>
          <w:color w:val="auto"/>
          <w:sz w:val="32"/>
          <w:szCs w:val="32"/>
          <w:highlight w:val="auto"/>
        </w:rPr>
        <w:t>相比，财政拨款收、支总计各增加436.84万元，增长</w:t>
      </w:r>
      <w:r>
        <w:rPr>
          <w:rFonts w:ascii="仿宋" w:eastAsia="仿宋" w:hint="eastAsia"/>
          <w:color w:val="auto"/>
          <w:sz w:val="32"/>
          <w:szCs w:val="32"/>
          <w:lang w:val="en-US" w:eastAsia="zh-CN"/>
          <w:highlight w:val="auto"/>
        </w:rPr>
        <w:t>71.95</w:t>
      </w:r>
      <w:r>
        <w:rPr>
          <w:rFonts w:ascii="仿宋" w:eastAsia="仿宋"/>
          <w:color w:val="auto"/>
          <w:sz w:val="32"/>
          <w:szCs w:val="32"/>
          <w:highlight w:val="auto"/>
        </w:rPr>
        <w:t>%</w:t>
      </w:r>
      <w:r>
        <w:rPr>
          <w:rFonts w:ascii="仿宋" w:eastAsia="仿宋" w:hint="eastAsia"/>
          <w:color w:val="auto"/>
          <w:sz w:val="32"/>
          <w:szCs w:val="32"/>
          <w:highlight w:val="auto"/>
        </w:rPr>
        <w:t>。主要变动原因是</w:t>
      </w:r>
      <w:r>
        <w:rPr>
          <w:rFonts w:ascii="仿宋" w:eastAsia="仿宋" w:hint="eastAsia"/>
          <w:color w:val="auto"/>
          <w:sz w:val="32"/>
          <w:szCs w:val="32"/>
          <w:lang w:val="en-US" w:eastAsia="zh-CN"/>
          <w:highlight w:val="auto"/>
        </w:rPr>
        <w:t>项目增加，社保调标。</w:t>
      </w:r>
    </w:p>
    <w:p>
      <w:pPr>
        <w:spacing w:line="240" w:lineRule="auto"/>
        <w:rPr>
          <w:rFonts w:ascii="仿宋" w:eastAsia="仿宋"/>
          <w:color w:val="auto"/>
          <w:sz w:val="32"/>
          <w:szCs w:val="32"/>
          <w:highlight w:val="auto"/>
        </w:rPr>
      </w:pPr>
      <w:r>
        <w:rPr>
          <w:rFonts w:hint="eastAsia"/>
          <w:lang w:eastAsia="zh-CN"/>
        </w:rPr>
        <w:drawing>
          <wp:inline distT="0" distB="0" distL="114300" distR="114300">
            <wp:extent cx="5256530" cy="2988310"/>
            <wp:effectExtent l="0" t="0" r="0" b="0"/>
            <wp:docPr id="10" name="图表 6"/>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jc w:val="center"/>
        <w:rPr>
          <w:rFonts w:ascii="仿宋" w:eastAsia="仿宋"/>
          <w:color w:val="auto"/>
          <w:sz w:val="32"/>
          <w:szCs w:val="32"/>
          <w:highlight w:val="auto"/>
        </w:rPr>
      </w:pPr>
      <w:r>
        <w:rPr>
          <w:rFonts w:ascii="仿宋" w:eastAsia="仿宋" w:hint="eastAsia"/>
          <w:color w:val="auto"/>
          <w:sz w:val="32"/>
          <w:szCs w:val="32"/>
          <w:highlight w:val="auto"/>
        </w:rPr>
        <w:t>（图4：财政拨款收、支决算总计变动情况）</w:t>
      </w:r>
    </w:p>
    <w:p>
      <w:pPr>
        <w:spacing w:line="600" w:lineRule="exact"/>
        <w:ind w:firstLine="640"/>
        <w:rPr>
          <w:rFonts w:ascii="仿宋" w:eastAsia="仿宋"/>
          <w:b/>
          <w:color w:val="auto"/>
          <w:sz w:val="32"/>
          <w:szCs w:val="32"/>
          <w:highlight w:val="auto"/>
        </w:rPr>
      </w:pPr>
    </w:p>
    <w:p>
      <w:pPr>
        <w:spacing w:line="600" w:lineRule="exact"/>
        <w:ind w:firstLineChars="200" w:firstLine="640"/>
        <w:outlineLvl w:val="1"/>
        <w:rPr>
          <w:rStyle w:val="2Char"/>
          <w:rFonts w:ascii="黑体" w:eastAsia="黑体"/>
          <w:b w:val="0"/>
          <w:color w:val="auto"/>
          <w:highlight w:val="auto"/>
        </w:rPr>
      </w:pPr>
      <w:bookmarkStart w:id="11" w:name="_Toc26451"/>
      <w:r>
        <w:rPr>
          <w:rFonts w:ascii="黑体" w:eastAsia="黑体" w:hint="eastAsia"/>
          <w:color w:val="auto"/>
          <w:sz w:val="32"/>
          <w:szCs w:val="32"/>
          <w:highlight w:val="auto"/>
        </w:rPr>
        <w:t>五、</w:t>
      </w:r>
      <w:r>
        <w:rPr>
          <w:rFonts w:ascii="黑体" w:eastAsia="黑体" w:hint="eastAsia"/>
          <w:b/>
          <w:color w:val="auto"/>
          <w:sz w:val="32"/>
          <w:szCs w:val="32"/>
          <w:highlight w:val="auto"/>
        </w:rPr>
        <w:t>一</w:t>
      </w:r>
      <w:r>
        <w:rPr>
          <w:rStyle w:val="2Char"/>
          <w:rFonts w:ascii="黑体" w:eastAsia="黑体" w:hint="eastAsia"/>
          <w:b w:val="0"/>
          <w:color w:val="auto"/>
          <w:highlight w:val="auto"/>
        </w:rPr>
        <w:t>般公共预算财政拨款支出决算情况说明</w:t>
      </w:r>
      <w:bookmarkEnd w:id="11"/>
    </w:p>
    <w:p>
      <w:pPr>
        <w:spacing w:line="600" w:lineRule="exact"/>
        <w:ind w:firstLineChars="200" w:firstLine="640"/>
        <w:outlineLvl w:val="2"/>
        <w:rPr>
          <w:rFonts w:ascii="仿宋" w:eastAsia="仿宋"/>
          <w:b/>
          <w:color w:val="auto"/>
          <w:sz w:val="32"/>
          <w:szCs w:val="32"/>
          <w:highlight w:val="auto"/>
        </w:rPr>
      </w:pPr>
      <w:r>
        <w:rPr>
          <w:rFonts w:ascii="仿宋" w:eastAsia="仿宋" w:hint="eastAsia"/>
          <w:b/>
          <w:color w:val="auto"/>
          <w:sz w:val="32"/>
          <w:szCs w:val="32"/>
          <w:highlight w:val="auto"/>
        </w:rPr>
        <w:t>（一）一般公共预算财政拨款支出决算总体情况</w:t>
      </w:r>
    </w:p>
    <w:p>
      <w:pPr>
        <w:spacing w:line="600" w:lineRule="exact"/>
        <w:ind w:firstLineChars="200" w:firstLine="640"/>
        <w:rPr>
          <w:rFonts w:ascii="仿宋" w:eastAsia="仿宋"/>
          <w:color w:val="auto"/>
          <w:sz w:val="32"/>
          <w:szCs w:val="32"/>
          <w:highlight w:val="auto"/>
        </w:rPr>
      </w:pPr>
      <w:r>
        <w:rPr>
          <w:rFonts w:ascii="仿宋" w:eastAsia="仿宋" w:hint="eastAsia"/>
          <w:color w:val="auto"/>
          <w:sz w:val="32"/>
          <w:szCs w:val="32"/>
          <w:lang w:eastAsia="zh-CN"/>
          <w:highlight w:val="auto"/>
        </w:rPr>
        <w:t>2023</w:t>
      </w:r>
      <w:r>
        <w:rPr>
          <w:rFonts w:ascii="仿宋" w:eastAsia="仿宋" w:hint="eastAsia"/>
          <w:color w:val="auto"/>
          <w:sz w:val="32"/>
          <w:szCs w:val="32"/>
          <w:highlight w:val="auto"/>
        </w:rPr>
        <w:t>年</w:t>
      </w:r>
      <w:r>
        <w:rPr>
          <w:rFonts w:ascii="仿宋" w:eastAsia="仿宋" w:hint="eastAsia"/>
          <w:color w:val="auto"/>
          <w:sz w:val="32"/>
          <w:szCs w:val="32"/>
          <w:lang w:eastAsia="zh-CN"/>
          <w:highlight w:val="auto"/>
        </w:rPr>
        <w:t>度</w:t>
      </w:r>
      <w:r>
        <w:rPr>
          <w:rFonts w:ascii="仿宋" w:eastAsia="仿宋" w:hint="eastAsia"/>
          <w:color w:val="auto"/>
          <w:sz w:val="32"/>
          <w:szCs w:val="32"/>
          <w:highlight w:val="auto"/>
        </w:rPr>
        <w:t>一般公共预算财政拨款支出1,044.00万元，占本年支出合计的</w:t>
      </w:r>
      <w:r>
        <w:rPr>
          <w:rFonts w:ascii="仿宋" w:eastAsia="仿宋" w:hint="eastAsia"/>
          <w:color w:val="auto"/>
          <w:sz w:val="32"/>
          <w:szCs w:val="32"/>
          <w:lang w:val="en-US" w:eastAsia="zh-CN"/>
          <w:highlight w:val="auto"/>
        </w:rPr>
        <w:t>100</w:t>
      </w:r>
      <w:r>
        <w:rPr>
          <w:rFonts w:ascii="仿宋" w:eastAsia="仿宋"/>
          <w:color w:val="auto"/>
          <w:sz w:val="32"/>
          <w:szCs w:val="32"/>
          <w:highlight w:val="auto"/>
        </w:rPr>
        <w:t>%</w:t>
      </w:r>
      <w:r>
        <w:rPr>
          <w:rFonts w:ascii="仿宋" w:eastAsia="仿宋" w:hint="eastAsia"/>
          <w:color w:val="auto"/>
          <w:sz w:val="32"/>
          <w:szCs w:val="32"/>
          <w:highlight w:val="auto"/>
        </w:rPr>
        <w:t>。与</w:t>
      </w:r>
      <w:r>
        <w:rPr>
          <w:rFonts w:ascii="仿宋" w:eastAsia="仿宋" w:hint="eastAsia"/>
          <w:color w:val="auto"/>
          <w:sz w:val="32"/>
          <w:szCs w:val="32"/>
          <w:lang w:eastAsia="zh-CN"/>
          <w:highlight w:val="auto"/>
        </w:rPr>
        <w:t>2022</w:t>
      </w:r>
      <w:r>
        <w:rPr>
          <w:rFonts w:ascii="仿宋" w:eastAsia="仿宋" w:hint="eastAsia"/>
          <w:color w:val="auto"/>
          <w:sz w:val="32"/>
          <w:szCs w:val="32"/>
          <w:highlight w:val="auto"/>
        </w:rPr>
        <w:t>年</w:t>
      </w:r>
      <w:r>
        <w:rPr>
          <w:rFonts w:ascii="仿宋" w:eastAsia="仿宋" w:hint="eastAsia"/>
          <w:color w:val="auto"/>
          <w:sz w:val="32"/>
          <w:szCs w:val="32"/>
          <w:lang w:eastAsia="zh-CN"/>
          <w:highlight w:val="auto"/>
        </w:rPr>
        <w:t>度</w:t>
      </w:r>
      <w:r>
        <w:rPr>
          <w:rFonts w:ascii="仿宋" w:eastAsia="仿宋" w:hint="eastAsia"/>
          <w:color w:val="auto"/>
          <w:sz w:val="32"/>
          <w:szCs w:val="32"/>
          <w:highlight w:val="auto"/>
        </w:rPr>
        <w:t>相比，一般公共预算财政拨款</w:t>
      </w:r>
      <w:r>
        <w:rPr>
          <w:rFonts w:ascii="仿宋" w:eastAsia="仿宋" w:hint="eastAsia"/>
          <w:color w:val="auto"/>
          <w:sz w:val="32"/>
          <w:szCs w:val="32"/>
          <w:lang w:eastAsia="zh-CN"/>
          <w:highlight w:val="auto"/>
        </w:rPr>
        <w:t>支出</w:t>
      </w:r>
      <w:r>
        <w:rPr>
          <w:rFonts w:ascii="仿宋" w:eastAsia="仿宋" w:hint="eastAsia"/>
          <w:color w:val="auto"/>
          <w:sz w:val="32"/>
          <w:szCs w:val="32"/>
          <w:highlight w:val="auto"/>
        </w:rPr>
        <w:t>增加436.84万元，增长71.95</w:t>
      </w:r>
      <w:r>
        <w:rPr>
          <w:rFonts w:ascii="仿宋" w:eastAsia="仿宋"/>
          <w:color w:val="auto"/>
          <w:sz w:val="32"/>
          <w:szCs w:val="32"/>
          <w:highlight w:val="auto"/>
        </w:rPr>
        <w:t>%</w:t>
      </w:r>
      <w:r>
        <w:rPr>
          <w:rFonts w:ascii="仿宋" w:eastAsia="仿宋" w:hint="eastAsia"/>
          <w:color w:val="auto"/>
          <w:sz w:val="32"/>
          <w:szCs w:val="32"/>
          <w:highlight w:val="auto"/>
        </w:rPr>
        <w:t>。主要变动原因是</w:t>
      </w:r>
      <w:r>
        <w:rPr>
          <w:rFonts w:ascii="仿宋" w:eastAsia="仿宋" w:hint="eastAsia"/>
          <w:color w:val="auto"/>
          <w:sz w:val="32"/>
          <w:szCs w:val="32"/>
          <w:lang w:val="en-US" w:eastAsia="zh-CN"/>
          <w:highlight w:val="auto"/>
        </w:rPr>
        <w:t>本年度新进人员11人，导致人员经费比去年增加。新开办了宁玛班，学员人数也较去年增多，导致办学经费的增加。所以总的财政拨款增幅较大。</w:t>
      </w:r>
    </w:p>
    <w:p>
      <w:pPr>
        <w:spacing w:line="240" w:lineRule="auto"/>
        <w:ind w:firstLine="0"/>
        <w:rPr>
          <w:rFonts w:ascii="仿宋" w:eastAsia="仿宋"/>
          <w:color w:val="auto"/>
          <w:sz w:val="32"/>
          <w:szCs w:val="32"/>
          <w:highlight w:val="auto"/>
        </w:rPr>
      </w:pPr>
      <w:r>
        <w:rPr>
          <w:rFonts w:hint="eastAsia"/>
          <w:lang w:eastAsia="zh-CN"/>
        </w:rPr>
        <w:drawing>
          <wp:inline distT="0" distB="0" distL="114300" distR="114300">
            <wp:extent cx="5256530" cy="2988310"/>
            <wp:effectExtent l="0" t="0" r="0" b="0"/>
            <wp:docPr id="11" name="图表 8"/>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ind w:firstLineChars="200" w:firstLine="640"/>
        <w:rPr>
          <w:rFonts w:ascii="仿宋" w:eastAsia="仿宋"/>
          <w:color w:val="auto"/>
          <w:sz w:val="32"/>
          <w:szCs w:val="32"/>
          <w:highlight w:val="auto"/>
        </w:rPr>
      </w:pPr>
      <w:r>
        <w:rPr>
          <w:rFonts w:ascii="仿宋" w:eastAsia="仿宋" w:hint="eastAsia"/>
          <w:color w:val="auto"/>
          <w:sz w:val="32"/>
          <w:szCs w:val="32"/>
          <w:highlight w:val="auto"/>
        </w:rPr>
        <w:t>（图5：一般公共预算财政拨款支出决算变动情况）</w:t>
      </w:r>
    </w:p>
    <w:p>
      <w:pPr>
        <w:spacing w:line="600" w:lineRule="exact"/>
        <w:ind w:firstLineChars="200" w:firstLine="640"/>
        <w:rPr>
          <w:rFonts w:ascii="仿宋" w:eastAsia="仿宋"/>
          <w:color w:val="auto"/>
          <w:sz w:val="32"/>
          <w:szCs w:val="32"/>
          <w:highlight w:val="auto"/>
        </w:rPr>
      </w:pPr>
    </w:p>
    <w:p>
      <w:pPr>
        <w:spacing w:line="600" w:lineRule="exact"/>
        <w:ind w:firstLineChars="200" w:firstLine="640"/>
        <w:outlineLvl w:val="2"/>
        <w:rPr>
          <w:rFonts w:ascii="仿宋" w:eastAsia="仿宋"/>
          <w:b/>
          <w:color w:val="auto"/>
          <w:sz w:val="32"/>
          <w:szCs w:val="32"/>
          <w:highlight w:val="auto"/>
        </w:rPr>
      </w:pPr>
      <w:r>
        <w:rPr>
          <w:rFonts w:ascii="仿宋" w:eastAsia="仿宋" w:hint="eastAsia"/>
          <w:b/>
          <w:color w:val="auto"/>
          <w:sz w:val="32"/>
          <w:szCs w:val="32"/>
          <w:highlight w:val="auto"/>
        </w:rPr>
        <w:t>（二）一般公共预算财政拨款支出决算结构情况</w:t>
      </w:r>
    </w:p>
    <w:p>
      <w:pPr>
        <w:spacing w:line="600" w:lineRule="exact"/>
        <w:ind w:firstLine="640"/>
        <w:rPr>
          <w:rFonts w:ascii="仿宋" w:eastAsia="仿宋" w:hint="eastAsia"/>
          <w:b/>
          <w:color w:val="auto"/>
          <w:sz w:val="32"/>
          <w:szCs w:val="32"/>
          <w:highlight w:val="auto"/>
        </w:rPr>
      </w:pPr>
      <w:r>
        <w:rPr>
          <w:rFonts w:ascii="仿宋" w:eastAsia="仿宋" w:hint="eastAsia"/>
          <w:color w:val="auto"/>
          <w:sz w:val="32"/>
          <w:szCs w:val="32"/>
          <w:lang w:eastAsia="zh-CN"/>
          <w:highlight w:val="auto"/>
        </w:rPr>
        <w:t>2023</w:t>
      </w:r>
      <w:r>
        <w:rPr>
          <w:rFonts w:ascii="仿宋" w:eastAsia="仿宋" w:hint="eastAsia"/>
          <w:color w:val="auto"/>
          <w:sz w:val="32"/>
          <w:szCs w:val="32"/>
          <w:highlight w:val="auto"/>
        </w:rPr>
        <w:t>年</w:t>
      </w:r>
      <w:r>
        <w:rPr>
          <w:rFonts w:ascii="仿宋" w:eastAsia="仿宋" w:hint="eastAsia"/>
          <w:color w:val="auto"/>
          <w:sz w:val="32"/>
          <w:szCs w:val="32"/>
          <w:lang w:eastAsia="zh-CN"/>
          <w:highlight w:val="auto"/>
        </w:rPr>
        <w:t>度</w:t>
      </w:r>
      <w:r>
        <w:rPr>
          <w:rFonts w:ascii="仿宋" w:eastAsia="仿宋" w:hint="eastAsia"/>
          <w:color w:val="auto"/>
          <w:sz w:val="32"/>
          <w:szCs w:val="32"/>
          <w:highlight w:val="auto"/>
        </w:rPr>
        <w:t>一般公共预算财政拨款支出1,044.00万元，主要用于以下方面</w:t>
      </w:r>
      <w:r>
        <w:rPr>
          <w:rFonts w:ascii="仿宋" w:eastAsia="仿宋" w:hint="eastAsia"/>
          <w:color w:val="auto"/>
          <w:sz w:val="32"/>
          <w:szCs w:val="32"/>
          <w:lang w:eastAsia="zh-CN"/>
          <w:highlight w:val="auto"/>
        </w:rPr>
        <w:t>：</w:t>
      </w:r>
      <w:bookmarkStart w:id="12" w:name="OLE_LINK3"/>
      <w:r>
        <w:rPr>
          <w:rFonts w:ascii="仿宋" w:eastAsia="仿宋" w:hint="eastAsia"/>
          <w:b/>
          <w:bCs/>
          <w:color w:val="auto"/>
          <w:sz w:val="32"/>
          <w:szCs w:val="32"/>
          <w:lang w:eastAsia="zh-CN"/>
          <w:highlight w:val="auto"/>
        </w:rPr>
        <w:t>一般公共服务支出</w:t>
      </w:r>
      <w:bookmarkStart w:id="13" w:name="OLE_LINK2"/>
      <w:bookmarkEnd w:id="12"/>
      <w:r>
        <w:rPr>
          <w:rFonts w:ascii="仿宋" w:eastAsia="仿宋" w:hint="eastAsia"/>
          <w:b/>
          <w:bCs/>
          <w:color w:val="auto"/>
          <w:sz w:val="32"/>
          <w:szCs w:val="32"/>
          <w:lang w:eastAsia="zh-CN"/>
          <w:highlight w:val="auto"/>
        </w:rPr>
        <w:t>964.29</w:t>
      </w:r>
      <w:bookmarkEnd w:id="13"/>
      <w:r>
        <w:rPr>
          <w:rFonts w:ascii="仿宋" w:eastAsia="仿宋" w:hint="eastAsia"/>
          <w:b w:val="0"/>
          <w:bCs w:val="0"/>
          <w:color w:val="auto"/>
          <w:sz w:val="32"/>
          <w:szCs w:val="32"/>
          <w:lang w:val="en-US" w:eastAsia="zh-CN"/>
          <w:highlight w:val="auto"/>
        </w:rPr>
        <w:t>万元，占比92.36%；</w:t>
      </w:r>
      <w:bookmarkStart w:id="14" w:name="OLE_LINK4"/>
      <w:r>
        <w:rPr>
          <w:rFonts w:ascii="仿宋" w:eastAsia="仿宋" w:hint="eastAsia"/>
          <w:b/>
          <w:color w:val="auto"/>
          <w:sz w:val="32"/>
          <w:szCs w:val="32"/>
          <w:highlight w:val="auto"/>
        </w:rPr>
        <w:t>社会保障和就业支出</w:t>
      </w:r>
      <w:bookmarkEnd w:id="14"/>
      <w:r>
        <w:rPr>
          <w:rFonts w:ascii="仿宋" w:eastAsia="仿宋" w:hint="eastAsia"/>
          <w:b/>
          <w:bCs/>
          <w:color w:val="auto"/>
          <w:sz w:val="32"/>
          <w:szCs w:val="32"/>
          <w:highlight w:val="auto"/>
        </w:rPr>
        <w:t>42.31</w:t>
      </w:r>
      <w:r>
        <w:rPr>
          <w:rFonts w:ascii="仿宋" w:eastAsia="仿宋" w:hint="eastAsia"/>
          <w:color w:val="auto"/>
          <w:sz w:val="32"/>
          <w:szCs w:val="32"/>
          <w:highlight w:val="auto"/>
        </w:rPr>
        <w:t>万元，占4.05%；</w:t>
      </w:r>
      <w:bookmarkStart w:id="15" w:name="OLE_LINK5"/>
      <w:r>
        <w:rPr>
          <w:rFonts w:ascii="仿宋" w:eastAsia="仿宋" w:hint="eastAsia"/>
          <w:b/>
          <w:color w:val="auto"/>
          <w:sz w:val="32"/>
          <w:szCs w:val="32"/>
          <w:highlight w:val="auto"/>
        </w:rPr>
        <w:t>卫生健康支出</w:t>
      </w:r>
      <w:bookmarkEnd w:id="15"/>
      <w:r>
        <w:rPr>
          <w:rFonts w:ascii="仿宋" w:eastAsia="仿宋" w:hint="eastAsia"/>
          <w:b/>
          <w:color w:val="auto"/>
          <w:sz w:val="32"/>
          <w:szCs w:val="32"/>
          <w:highlight w:val="auto"/>
        </w:rPr>
        <w:t>17.45</w:t>
      </w:r>
      <w:r>
        <w:rPr>
          <w:rFonts w:ascii="仿宋" w:eastAsia="仿宋" w:hint="eastAsia"/>
          <w:color w:val="auto"/>
          <w:sz w:val="32"/>
          <w:szCs w:val="32"/>
          <w:highlight w:val="auto"/>
        </w:rPr>
        <w:t>万元，占1.67%；</w:t>
      </w:r>
      <w:r>
        <w:rPr>
          <w:rFonts w:ascii="仿宋" w:eastAsia="仿宋" w:hint="eastAsia"/>
          <w:b/>
          <w:bCs/>
          <w:color w:val="auto"/>
          <w:sz w:val="32"/>
          <w:szCs w:val="32"/>
          <w:highlight w:val="auto"/>
        </w:rPr>
        <w:t>住房保障支出</w:t>
      </w:r>
      <w:bookmarkStart w:id="16" w:name="OLE_LINK6"/>
      <w:r>
        <w:rPr>
          <w:rFonts w:ascii="仿宋" w:eastAsia="仿宋" w:hint="eastAsia"/>
          <w:b/>
          <w:bCs/>
          <w:color w:val="auto"/>
          <w:sz w:val="32"/>
          <w:szCs w:val="32"/>
          <w:highlight w:val="auto"/>
        </w:rPr>
        <w:t>19.94</w:t>
      </w:r>
      <w:bookmarkEnd w:id="16"/>
      <w:r>
        <w:rPr>
          <w:rFonts w:ascii="仿宋" w:eastAsia="仿宋" w:hint="eastAsia"/>
          <w:color w:val="auto"/>
          <w:sz w:val="32"/>
          <w:szCs w:val="32"/>
          <w:highlight w:val="auto"/>
        </w:rPr>
        <w:t>万元，占1.91%。</w:t>
      </w:r>
    </w:p>
    <w:p>
      <w:pPr>
        <w:spacing w:line="240" w:lineRule="auto"/>
        <w:ind w:firstLine="0"/>
        <w:rPr>
          <w:rFonts w:ascii="仿宋" w:eastAsia="仿宋" w:hint="eastAsia"/>
          <w:color w:val="auto"/>
          <w:sz w:val="32"/>
          <w:szCs w:val="32"/>
          <w:lang w:eastAsia="zh-CN"/>
          <w:highlight w:val="auto"/>
        </w:rPr>
      </w:pPr>
      <w:r>
        <w:rPr>
          <w:rFonts w:ascii="仿宋" w:eastAsia="仿宋" w:hint="eastAsia"/>
          <w:color w:val="auto"/>
          <w:sz w:val="32"/>
          <w:szCs w:val="32"/>
          <w:lang w:eastAsia="zh-CN"/>
          <w:highlight w:val="auto"/>
        </w:rPr>
        <w:drawing>
          <wp:inline distT="0" distB="0" distL="114300" distR="114300">
            <wp:extent cx="5256530" cy="2988310"/>
            <wp:effectExtent l="0" t="0" r="0" b="0"/>
            <wp:docPr id="12" name="图表 9"/>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jc w:val="center"/>
        <w:rPr>
          <w:rFonts w:ascii="仿宋" w:eastAsia="仿宋"/>
          <w:color w:val="auto"/>
          <w:sz w:val="32"/>
          <w:szCs w:val="32"/>
          <w:highlight w:val="auto"/>
        </w:rPr>
      </w:pPr>
      <w:r>
        <w:rPr>
          <w:rFonts w:ascii="仿宋" w:eastAsia="仿宋" w:hint="eastAsia"/>
          <w:color w:val="auto"/>
          <w:sz w:val="32"/>
          <w:szCs w:val="32"/>
          <w:highlight w:val="auto"/>
        </w:rPr>
        <w:t>（图6：一般公共预算财政拨款支出决算结构）</w:t>
      </w:r>
    </w:p>
    <w:p>
      <w:pPr>
        <w:spacing w:line="600" w:lineRule="exact"/>
        <w:ind w:firstLineChars="200" w:firstLine="640"/>
        <w:rPr>
          <w:rFonts w:ascii="仿宋" w:eastAsia="仿宋"/>
          <w:color w:val="auto"/>
          <w:sz w:val="32"/>
          <w:szCs w:val="32"/>
          <w:highlight w:val="auto"/>
        </w:rPr>
      </w:pPr>
    </w:p>
    <w:p>
      <w:pPr>
        <w:spacing w:line="600" w:lineRule="exact"/>
        <w:ind w:firstLineChars="200" w:firstLine="640"/>
        <w:outlineLvl w:val="2"/>
        <w:rPr>
          <w:rFonts w:ascii="仿宋" w:eastAsia="仿宋"/>
          <w:b/>
          <w:color w:val="auto"/>
          <w:sz w:val="32"/>
          <w:szCs w:val="32"/>
          <w:highlight w:val="auto"/>
        </w:rPr>
      </w:pPr>
      <w:r>
        <w:rPr>
          <w:rFonts w:ascii="仿宋" w:eastAsia="仿宋" w:hint="eastAsia"/>
          <w:b/>
          <w:color w:val="auto"/>
          <w:sz w:val="32"/>
          <w:szCs w:val="32"/>
          <w:highlight w:val="auto"/>
        </w:rPr>
        <w:t>（三）一般公共预算财政拨款支出决算具体情况</w:t>
      </w:r>
    </w:p>
    <w:p>
      <w:pPr>
        <w:spacing w:line="600" w:lineRule="exact"/>
        <w:ind w:firstLineChars="200" w:firstLine="640"/>
        <w:rPr>
          <w:rFonts w:ascii="仿宋" w:eastAsia="仿宋"/>
          <w:color w:val="auto"/>
          <w:sz w:val="32"/>
          <w:szCs w:val="32"/>
          <w:highlight w:val="auto"/>
        </w:rPr>
      </w:pPr>
      <w:r>
        <w:rPr>
          <w:rFonts w:ascii="仿宋" w:eastAsia="仿宋" w:hint="eastAsia"/>
          <w:b/>
          <w:color w:val="auto"/>
          <w:sz w:val="32"/>
          <w:szCs w:val="32"/>
          <w:lang w:eastAsia="zh-CN"/>
          <w:highlight w:val="auto"/>
        </w:rPr>
        <w:t>2023</w:t>
      </w:r>
      <w:r>
        <w:rPr>
          <w:rFonts w:ascii="仿宋" w:eastAsia="仿宋" w:hint="eastAsia"/>
          <w:b/>
          <w:color w:val="auto"/>
          <w:sz w:val="32"/>
          <w:szCs w:val="32"/>
          <w:highlight w:val="auto"/>
        </w:rPr>
        <w:t>年</w:t>
      </w:r>
      <w:r>
        <w:rPr>
          <w:rFonts w:ascii="仿宋" w:eastAsia="仿宋" w:hint="eastAsia"/>
          <w:b/>
          <w:color w:val="auto"/>
          <w:sz w:val="32"/>
          <w:szCs w:val="32"/>
          <w:lang w:eastAsia="zh-CN"/>
          <w:highlight w:val="auto"/>
        </w:rPr>
        <w:t>度一</w:t>
      </w:r>
      <w:r>
        <w:rPr>
          <w:rFonts w:ascii="仿宋" w:eastAsia="仿宋" w:hint="eastAsia"/>
          <w:b/>
          <w:color w:val="auto"/>
          <w:sz w:val="32"/>
          <w:szCs w:val="32"/>
          <w:highlight w:val="auto"/>
        </w:rPr>
        <w:t>般公共预算支出决算数为1,044.00</w:t>
      </w:r>
      <w:r>
        <w:rPr>
          <w:rFonts w:ascii="仿宋" w:eastAsia="仿宋" w:hint="eastAsia"/>
          <w:b/>
          <w:color w:val="auto"/>
          <w:sz w:val="32"/>
          <w:szCs w:val="32"/>
          <w:lang w:val="en-US" w:eastAsia="zh-CN"/>
          <w:highlight w:val="auto"/>
        </w:rPr>
        <w:t>万元</w:t>
      </w:r>
      <w:r>
        <w:rPr>
          <w:rFonts w:ascii="仿宋" w:eastAsia="仿宋" w:hint="eastAsia"/>
          <w:color w:val="auto"/>
          <w:sz w:val="32"/>
          <w:szCs w:val="32"/>
          <w:highlight w:val="auto"/>
        </w:rPr>
        <w:t>，</w:t>
      </w:r>
      <w:r>
        <w:rPr>
          <w:rStyle w:val="22"/>
          <w:rFonts w:ascii="仿宋" w:eastAsia="仿宋" w:hint="eastAsia"/>
          <w:bCs/>
          <w:color w:val="auto"/>
          <w:sz w:val="32"/>
          <w:szCs w:val="32"/>
          <w:highlight w:val="auto"/>
        </w:rPr>
        <w:t>完成预算</w:t>
      </w:r>
      <w:r>
        <w:rPr>
          <w:rStyle w:val="22"/>
          <w:rFonts w:ascii="仿宋" w:eastAsia="仿宋" w:hint="eastAsia"/>
          <w:bCs/>
          <w:color w:val="auto"/>
          <w:sz w:val="32"/>
          <w:szCs w:val="32"/>
          <w:lang w:val="en-US" w:eastAsia="zh-CN"/>
          <w:highlight w:val="auto"/>
        </w:rPr>
        <w:t>100.00</w:t>
      </w:r>
      <w:r>
        <w:rPr>
          <w:rStyle w:val="22"/>
          <w:rFonts w:ascii="仿宋" w:eastAsia="仿宋"/>
          <w:bCs/>
          <w:color w:val="auto"/>
          <w:sz w:val="32"/>
          <w:szCs w:val="32"/>
          <w:highlight w:val="auto"/>
        </w:rPr>
        <w:t>%</w:t>
      </w:r>
      <w:r>
        <w:rPr>
          <w:rStyle w:val="22"/>
          <w:rFonts w:ascii="仿宋" w:eastAsia="仿宋" w:hint="eastAsia"/>
          <w:bCs/>
          <w:color w:val="auto"/>
          <w:sz w:val="32"/>
          <w:szCs w:val="32"/>
          <w:highlight w:val="auto"/>
        </w:rPr>
        <w:t>。其中：</w:t>
      </w:r>
    </w:p>
    <w:p>
      <w:pPr>
        <w:numPr>
          <w:ilvl w:val="0"/>
          <w:numId w:val="1"/>
        </w:numPr>
        <w:spacing w:line="600" w:lineRule="exact"/>
        <w:ind w:left="0" w:firstLineChars="200" w:firstLine="640"/>
        <w:rPr>
          <w:rFonts w:ascii="仿宋" w:eastAsia="仿宋"/>
          <w:b/>
          <w:color w:val="auto"/>
          <w:sz w:val="32"/>
          <w:szCs w:val="32"/>
          <w:highlight w:val="auto"/>
        </w:rPr>
      </w:pPr>
      <w:r>
        <w:rPr>
          <w:rStyle w:val="22"/>
          <w:rFonts w:ascii="仿宋" w:eastAsia="仿宋" w:hint="eastAsia"/>
          <w:bCs/>
          <w:color w:val="auto"/>
          <w:sz w:val="32"/>
          <w:szCs w:val="32"/>
          <w:highlight w:val="auto"/>
        </w:rPr>
        <w:t>一般公共服务支出（类）统战事务（款）宗教事务（项）</w:t>
      </w:r>
      <w:r>
        <w:rPr>
          <w:rStyle w:val="22"/>
          <w:rFonts w:ascii="仿宋" w:eastAsia="仿宋" w:hint="eastAsia"/>
          <w:bCs/>
          <w:color w:val="auto"/>
          <w:sz w:val="32"/>
          <w:szCs w:val="32"/>
          <w:lang w:eastAsia="zh-CN"/>
          <w:highlight w:val="auto"/>
        </w:rPr>
        <w:t>：</w:t>
      </w:r>
      <w:r>
        <w:rPr>
          <w:rStyle w:val="22"/>
          <w:rFonts w:ascii="仿宋" w:eastAsia="仿宋" w:hint="eastAsia"/>
          <w:b w:val="0"/>
          <w:bCs/>
          <w:color w:val="auto"/>
          <w:sz w:val="32"/>
          <w:szCs w:val="32"/>
          <w:highlight w:val="auto"/>
        </w:rPr>
        <w:t>支出决算为20.00万元，完成预算</w:t>
      </w:r>
      <w:r>
        <w:rPr>
          <w:rStyle w:val="22"/>
          <w:rFonts w:ascii="仿宋" w:eastAsia="仿宋" w:hint="eastAsia"/>
          <w:b w:val="0"/>
          <w:bCs/>
          <w:color w:val="auto"/>
          <w:sz w:val="32"/>
          <w:szCs w:val="32"/>
          <w:lang w:val="en-US" w:eastAsia="zh-CN"/>
          <w:highlight w:val="auto"/>
        </w:rPr>
        <w:t>100.00</w:t>
      </w:r>
      <w:r>
        <w:rPr>
          <w:rStyle w:val="22"/>
          <w:rFonts w:ascii="仿宋" w:eastAsia="仿宋"/>
          <w:b w:val="0"/>
          <w:bCs/>
          <w:color w:val="auto"/>
          <w:sz w:val="32"/>
          <w:szCs w:val="32"/>
          <w:highlight w:val="auto"/>
        </w:rPr>
        <w:t>%</w:t>
      </w:r>
      <w:r>
        <w:rPr>
          <w:rStyle w:val="22"/>
          <w:rFonts w:ascii="仿宋" w:eastAsia="仿宋" w:hint="eastAsia"/>
          <w:b w:val="0"/>
          <w:bCs/>
          <w:color w:val="auto"/>
          <w:sz w:val="32"/>
          <w:szCs w:val="32"/>
          <w:highlight w:val="auto"/>
        </w:rPr>
        <w:t>。</w:t>
      </w:r>
    </w:p>
    <w:p>
      <w:pPr>
        <w:numPr>
          <w:ilvl w:val="0"/>
          <w:numId w:val="1"/>
        </w:numPr>
        <w:spacing w:line="600" w:lineRule="exact"/>
        <w:ind w:left="0" w:firstLineChars="200" w:firstLine="640"/>
        <w:rPr>
          <w:rFonts w:ascii="仿宋" w:eastAsia="仿宋"/>
          <w:b/>
          <w:color w:val="auto"/>
          <w:sz w:val="32"/>
          <w:szCs w:val="32"/>
          <w:highlight w:val="auto"/>
        </w:rPr>
      </w:pPr>
      <w:r>
        <w:rPr>
          <w:rStyle w:val="22"/>
          <w:rFonts w:ascii="仿宋" w:eastAsia="仿宋" w:hint="eastAsia"/>
          <w:bCs/>
          <w:color w:val="auto"/>
          <w:sz w:val="32"/>
          <w:szCs w:val="32"/>
          <w:highlight w:val="auto"/>
        </w:rPr>
        <w:t>一般公共服务支出（类）统战事务（款）事业运行（项）</w:t>
      </w:r>
      <w:r>
        <w:rPr>
          <w:rStyle w:val="22"/>
          <w:rFonts w:ascii="仿宋" w:eastAsia="仿宋" w:hint="eastAsia"/>
          <w:bCs/>
          <w:color w:val="auto"/>
          <w:sz w:val="32"/>
          <w:szCs w:val="32"/>
          <w:lang w:eastAsia="zh-CN"/>
          <w:highlight w:val="auto"/>
        </w:rPr>
        <w:t>：</w:t>
      </w:r>
      <w:r>
        <w:rPr>
          <w:rStyle w:val="22"/>
          <w:rFonts w:ascii="仿宋" w:eastAsia="仿宋" w:hint="eastAsia"/>
          <w:b w:val="0"/>
          <w:bCs/>
          <w:color w:val="auto"/>
          <w:sz w:val="32"/>
          <w:szCs w:val="32"/>
          <w:highlight w:val="auto"/>
        </w:rPr>
        <w:t>支出决算为266.28万元，完成预算</w:t>
      </w:r>
      <w:r>
        <w:rPr>
          <w:rStyle w:val="22"/>
          <w:rFonts w:ascii="仿宋" w:eastAsia="仿宋" w:hint="eastAsia"/>
          <w:b w:val="0"/>
          <w:bCs/>
          <w:color w:val="auto"/>
          <w:sz w:val="32"/>
          <w:szCs w:val="32"/>
          <w:lang w:val="en-US" w:eastAsia="zh-CN"/>
          <w:highlight w:val="auto"/>
        </w:rPr>
        <w:t>100.00</w:t>
      </w:r>
      <w:r>
        <w:rPr>
          <w:rStyle w:val="22"/>
          <w:rFonts w:ascii="仿宋" w:eastAsia="仿宋"/>
          <w:b w:val="0"/>
          <w:bCs/>
          <w:color w:val="auto"/>
          <w:sz w:val="32"/>
          <w:szCs w:val="32"/>
          <w:highlight w:val="auto"/>
        </w:rPr>
        <w:t>%</w:t>
      </w:r>
      <w:r>
        <w:rPr>
          <w:rStyle w:val="22"/>
          <w:rFonts w:ascii="仿宋" w:eastAsia="仿宋" w:hint="eastAsia"/>
          <w:b w:val="0"/>
          <w:bCs/>
          <w:color w:val="auto"/>
          <w:sz w:val="32"/>
          <w:szCs w:val="32"/>
          <w:highlight w:val="auto"/>
        </w:rPr>
        <w:t>。</w:t>
      </w:r>
    </w:p>
    <w:p>
      <w:pPr>
        <w:numPr>
          <w:ilvl w:val="0"/>
          <w:numId w:val="1"/>
        </w:numPr>
        <w:spacing w:line="600" w:lineRule="exact"/>
        <w:ind w:left="0" w:firstLineChars="200" w:firstLine="640"/>
        <w:rPr>
          <w:rFonts w:ascii="仿宋" w:eastAsia="仿宋"/>
          <w:b/>
          <w:color w:val="auto"/>
          <w:sz w:val="32"/>
          <w:szCs w:val="32"/>
          <w:highlight w:val="auto"/>
        </w:rPr>
      </w:pPr>
      <w:r>
        <w:rPr>
          <w:rStyle w:val="22"/>
          <w:rFonts w:ascii="仿宋" w:eastAsia="仿宋" w:hint="eastAsia"/>
          <w:bCs/>
          <w:color w:val="auto"/>
          <w:sz w:val="32"/>
          <w:szCs w:val="32"/>
          <w:highlight w:val="auto"/>
        </w:rPr>
        <w:t>一般公共服务支出（类）统战事务（款）其他统战事务支出（项）</w:t>
      </w:r>
      <w:r>
        <w:rPr>
          <w:rStyle w:val="22"/>
          <w:rFonts w:ascii="仿宋" w:eastAsia="仿宋" w:hint="eastAsia"/>
          <w:bCs/>
          <w:color w:val="auto"/>
          <w:sz w:val="32"/>
          <w:szCs w:val="32"/>
          <w:lang w:eastAsia="zh-CN"/>
          <w:highlight w:val="auto"/>
        </w:rPr>
        <w:t>：</w:t>
      </w:r>
      <w:r>
        <w:rPr>
          <w:rStyle w:val="22"/>
          <w:rFonts w:ascii="仿宋" w:eastAsia="仿宋" w:hint="eastAsia"/>
          <w:b w:val="0"/>
          <w:bCs/>
          <w:color w:val="auto"/>
          <w:sz w:val="32"/>
          <w:szCs w:val="32"/>
          <w:highlight w:val="auto"/>
        </w:rPr>
        <w:t>支出决算为678.01万元，完成预算</w:t>
      </w:r>
      <w:r>
        <w:rPr>
          <w:rStyle w:val="22"/>
          <w:rFonts w:ascii="仿宋" w:eastAsia="仿宋" w:hint="eastAsia"/>
          <w:b w:val="0"/>
          <w:bCs/>
          <w:color w:val="auto"/>
          <w:sz w:val="32"/>
          <w:szCs w:val="32"/>
          <w:lang w:val="en-US" w:eastAsia="zh-CN"/>
          <w:highlight w:val="auto"/>
        </w:rPr>
        <w:t>100.00</w:t>
      </w:r>
      <w:r>
        <w:rPr>
          <w:rStyle w:val="22"/>
          <w:rFonts w:ascii="仿宋" w:eastAsia="仿宋"/>
          <w:b w:val="0"/>
          <w:bCs/>
          <w:color w:val="auto"/>
          <w:sz w:val="32"/>
          <w:szCs w:val="32"/>
          <w:highlight w:val="auto"/>
        </w:rPr>
        <w:t>%</w:t>
      </w:r>
      <w:r>
        <w:rPr>
          <w:rStyle w:val="22"/>
          <w:rFonts w:ascii="仿宋" w:eastAsia="仿宋" w:hint="eastAsia"/>
          <w:b w:val="0"/>
          <w:bCs/>
          <w:color w:val="auto"/>
          <w:sz w:val="32"/>
          <w:szCs w:val="32"/>
          <w:highlight w:val="auto"/>
        </w:rPr>
        <w:t>。</w:t>
      </w:r>
    </w:p>
    <w:p>
      <w:pPr>
        <w:numPr>
          <w:ilvl w:val="0"/>
          <w:numId w:val="1"/>
        </w:numPr>
        <w:spacing w:line="600" w:lineRule="exact"/>
        <w:ind w:left="0" w:firstLineChars="200" w:firstLine="640"/>
        <w:rPr>
          <w:rFonts w:ascii="仿宋" w:eastAsia="仿宋"/>
          <w:b/>
          <w:color w:val="auto"/>
          <w:sz w:val="32"/>
          <w:szCs w:val="32"/>
          <w:highlight w:val="auto"/>
        </w:rPr>
      </w:pPr>
      <w:r>
        <w:rPr>
          <w:rStyle w:val="22"/>
          <w:rFonts w:ascii="仿宋" w:eastAsia="仿宋" w:hint="eastAsia"/>
          <w:bCs/>
          <w:color w:val="auto"/>
          <w:sz w:val="32"/>
          <w:szCs w:val="32"/>
          <w:highlight w:val="auto"/>
        </w:rPr>
        <w:t>社会保障和就业支出（类）行政事业单位养老支出（款）机关事业单位基本养老保险缴费支出（项）</w:t>
      </w:r>
      <w:r>
        <w:rPr>
          <w:rStyle w:val="22"/>
          <w:rFonts w:ascii="仿宋" w:eastAsia="仿宋" w:hint="eastAsia"/>
          <w:bCs/>
          <w:color w:val="auto"/>
          <w:sz w:val="32"/>
          <w:szCs w:val="32"/>
          <w:lang w:eastAsia="zh-CN"/>
          <w:highlight w:val="auto"/>
        </w:rPr>
        <w:t>：</w:t>
      </w:r>
      <w:r>
        <w:rPr>
          <w:rStyle w:val="22"/>
          <w:rFonts w:ascii="仿宋" w:eastAsia="仿宋" w:hint="eastAsia"/>
          <w:b w:val="0"/>
          <w:bCs/>
          <w:color w:val="auto"/>
          <w:sz w:val="32"/>
          <w:szCs w:val="32"/>
          <w:highlight w:val="auto"/>
        </w:rPr>
        <w:t>支出决算为28.21万元，完成预算</w:t>
      </w:r>
      <w:r>
        <w:rPr>
          <w:rStyle w:val="22"/>
          <w:rFonts w:ascii="仿宋" w:eastAsia="仿宋" w:hint="eastAsia"/>
          <w:b w:val="0"/>
          <w:bCs/>
          <w:color w:val="auto"/>
          <w:sz w:val="32"/>
          <w:szCs w:val="32"/>
          <w:lang w:val="en-US" w:eastAsia="zh-CN"/>
          <w:highlight w:val="auto"/>
        </w:rPr>
        <w:t>100.00</w:t>
      </w:r>
      <w:r>
        <w:rPr>
          <w:rStyle w:val="22"/>
          <w:rFonts w:ascii="仿宋" w:eastAsia="仿宋"/>
          <w:b w:val="0"/>
          <w:bCs/>
          <w:color w:val="auto"/>
          <w:sz w:val="32"/>
          <w:szCs w:val="32"/>
          <w:highlight w:val="auto"/>
        </w:rPr>
        <w:t>%</w:t>
      </w:r>
      <w:r>
        <w:rPr>
          <w:rStyle w:val="22"/>
          <w:rFonts w:ascii="仿宋" w:eastAsia="仿宋" w:hint="eastAsia"/>
          <w:b w:val="0"/>
          <w:bCs/>
          <w:color w:val="auto"/>
          <w:sz w:val="32"/>
          <w:szCs w:val="32"/>
          <w:highlight w:val="auto"/>
        </w:rPr>
        <w:t>。</w:t>
      </w:r>
    </w:p>
    <w:p>
      <w:pPr>
        <w:numPr>
          <w:ilvl w:val="0"/>
          <w:numId w:val="1"/>
        </w:numPr>
        <w:spacing w:line="600" w:lineRule="exact"/>
        <w:ind w:left="0" w:firstLineChars="200" w:firstLine="640"/>
        <w:rPr>
          <w:rFonts w:ascii="仿宋" w:eastAsia="仿宋"/>
          <w:b/>
          <w:color w:val="auto"/>
          <w:sz w:val="32"/>
          <w:szCs w:val="32"/>
          <w:highlight w:val="auto"/>
        </w:rPr>
      </w:pPr>
      <w:r>
        <w:rPr>
          <w:rStyle w:val="22"/>
          <w:rFonts w:ascii="仿宋" w:eastAsia="仿宋" w:hint="eastAsia"/>
          <w:bCs/>
          <w:color w:val="auto"/>
          <w:sz w:val="32"/>
          <w:szCs w:val="32"/>
          <w:highlight w:val="auto"/>
        </w:rPr>
        <w:t>社会保障和就业支出（类）行政事业单位养老支出（款）机关事业单位职业年金缴费支出（项）</w:t>
      </w:r>
      <w:r>
        <w:rPr>
          <w:rStyle w:val="22"/>
          <w:rFonts w:ascii="仿宋" w:eastAsia="仿宋" w:hint="eastAsia"/>
          <w:bCs/>
          <w:color w:val="auto"/>
          <w:sz w:val="32"/>
          <w:szCs w:val="32"/>
          <w:lang w:eastAsia="zh-CN"/>
          <w:highlight w:val="auto"/>
        </w:rPr>
        <w:t>：</w:t>
      </w:r>
      <w:r>
        <w:rPr>
          <w:rStyle w:val="22"/>
          <w:rFonts w:ascii="仿宋" w:eastAsia="仿宋"/>
          <w:b w:val="0"/>
          <w:bCs/>
          <w:color w:val="auto"/>
          <w:sz w:val="32"/>
          <w:szCs w:val="32"/>
          <w:highlight w:val="auto"/>
        </w:rPr>
        <w:t xml:space="preserve"> </w:t>
      </w:r>
      <w:r>
        <w:rPr>
          <w:rStyle w:val="22"/>
          <w:rFonts w:ascii="仿宋" w:eastAsia="仿宋" w:hint="eastAsia"/>
          <w:b w:val="0"/>
          <w:bCs/>
          <w:color w:val="auto"/>
          <w:sz w:val="32"/>
          <w:szCs w:val="32"/>
          <w:highlight w:val="auto"/>
        </w:rPr>
        <w:t>支出决算为14.10万元，完成预算</w:t>
      </w:r>
      <w:r>
        <w:rPr>
          <w:rStyle w:val="22"/>
          <w:rFonts w:ascii="仿宋" w:eastAsia="仿宋" w:hint="eastAsia"/>
          <w:b w:val="0"/>
          <w:bCs/>
          <w:color w:val="auto"/>
          <w:sz w:val="32"/>
          <w:szCs w:val="32"/>
          <w:lang w:val="en-US" w:eastAsia="zh-CN"/>
          <w:highlight w:val="auto"/>
        </w:rPr>
        <w:t>100.00</w:t>
      </w:r>
      <w:r>
        <w:rPr>
          <w:rStyle w:val="22"/>
          <w:rFonts w:ascii="仿宋" w:eastAsia="仿宋"/>
          <w:b w:val="0"/>
          <w:bCs/>
          <w:color w:val="auto"/>
          <w:sz w:val="32"/>
          <w:szCs w:val="32"/>
          <w:highlight w:val="auto"/>
        </w:rPr>
        <w:t>%</w:t>
      </w:r>
      <w:r>
        <w:rPr>
          <w:rStyle w:val="22"/>
          <w:rFonts w:ascii="仿宋" w:eastAsia="仿宋" w:hint="eastAsia"/>
          <w:b w:val="0"/>
          <w:bCs/>
          <w:color w:val="auto"/>
          <w:sz w:val="32"/>
          <w:szCs w:val="32"/>
          <w:highlight w:val="auto"/>
        </w:rPr>
        <w:t>。</w:t>
      </w:r>
    </w:p>
    <w:p>
      <w:pPr>
        <w:numPr>
          <w:ilvl w:val="0"/>
          <w:numId w:val="1"/>
        </w:numPr>
        <w:spacing w:line="600" w:lineRule="exact"/>
        <w:ind w:left="0" w:firstLineChars="200" w:firstLine="640"/>
        <w:rPr>
          <w:rFonts w:ascii="仿宋" w:eastAsia="仿宋"/>
          <w:b/>
          <w:color w:val="auto"/>
          <w:sz w:val="32"/>
          <w:szCs w:val="32"/>
          <w:highlight w:val="auto"/>
        </w:rPr>
      </w:pPr>
      <w:r>
        <w:rPr>
          <w:rStyle w:val="22"/>
          <w:rFonts w:ascii="仿宋" w:eastAsia="仿宋" w:hint="eastAsia"/>
          <w:bCs/>
          <w:color w:val="auto"/>
          <w:sz w:val="32"/>
          <w:szCs w:val="32"/>
          <w:highlight w:val="auto"/>
        </w:rPr>
        <w:t>卫生健康支出（类）行政事业单位医疗（款）事业单位医疗（项）</w:t>
      </w:r>
      <w:r>
        <w:rPr>
          <w:rStyle w:val="22"/>
          <w:rFonts w:ascii="仿宋" w:eastAsia="仿宋" w:hint="eastAsia"/>
          <w:bCs/>
          <w:color w:val="auto"/>
          <w:sz w:val="32"/>
          <w:szCs w:val="32"/>
          <w:lang w:eastAsia="zh-CN"/>
          <w:highlight w:val="auto"/>
        </w:rPr>
        <w:t>：</w:t>
      </w:r>
      <w:r>
        <w:rPr>
          <w:rStyle w:val="22"/>
          <w:rFonts w:ascii="仿宋" w:eastAsia="仿宋"/>
          <w:b w:val="0"/>
          <w:bCs/>
          <w:color w:val="auto"/>
          <w:sz w:val="32"/>
          <w:szCs w:val="32"/>
          <w:highlight w:val="auto"/>
        </w:rPr>
        <w:t xml:space="preserve"> </w:t>
      </w:r>
      <w:r>
        <w:rPr>
          <w:rStyle w:val="22"/>
          <w:rFonts w:ascii="仿宋" w:eastAsia="仿宋" w:hint="eastAsia"/>
          <w:b w:val="0"/>
          <w:bCs/>
          <w:color w:val="auto"/>
          <w:sz w:val="32"/>
          <w:szCs w:val="32"/>
          <w:highlight w:val="auto"/>
        </w:rPr>
        <w:t>支出决算为14.12万元，完成预算</w:t>
      </w:r>
      <w:r>
        <w:rPr>
          <w:rStyle w:val="22"/>
          <w:rFonts w:ascii="仿宋" w:eastAsia="仿宋" w:hint="eastAsia"/>
          <w:b w:val="0"/>
          <w:bCs/>
          <w:color w:val="auto"/>
          <w:sz w:val="32"/>
          <w:szCs w:val="32"/>
          <w:lang w:val="en-US" w:eastAsia="zh-CN"/>
          <w:highlight w:val="auto"/>
        </w:rPr>
        <w:t>100.00</w:t>
      </w:r>
      <w:r>
        <w:rPr>
          <w:rStyle w:val="22"/>
          <w:rFonts w:ascii="仿宋" w:eastAsia="仿宋"/>
          <w:b w:val="0"/>
          <w:bCs/>
          <w:color w:val="auto"/>
          <w:sz w:val="32"/>
          <w:szCs w:val="32"/>
          <w:highlight w:val="auto"/>
        </w:rPr>
        <w:t>%</w:t>
      </w:r>
      <w:r>
        <w:rPr>
          <w:rStyle w:val="22"/>
          <w:rFonts w:ascii="仿宋" w:eastAsia="仿宋" w:hint="eastAsia"/>
          <w:b w:val="0"/>
          <w:bCs/>
          <w:color w:val="auto"/>
          <w:sz w:val="32"/>
          <w:szCs w:val="32"/>
          <w:highlight w:val="auto"/>
        </w:rPr>
        <w:t>。</w:t>
      </w:r>
    </w:p>
    <w:p>
      <w:pPr>
        <w:numPr>
          <w:ilvl w:val="0"/>
          <w:numId w:val="1"/>
        </w:numPr>
        <w:spacing w:line="600" w:lineRule="exact"/>
        <w:ind w:left="0" w:firstLineChars="200" w:firstLine="640"/>
        <w:rPr>
          <w:rFonts w:ascii="仿宋" w:eastAsia="仿宋"/>
          <w:b/>
          <w:color w:val="auto"/>
          <w:sz w:val="32"/>
          <w:szCs w:val="32"/>
          <w:highlight w:val="auto"/>
        </w:rPr>
      </w:pPr>
      <w:r>
        <w:rPr>
          <w:rStyle w:val="22"/>
          <w:rFonts w:ascii="仿宋" w:eastAsia="仿宋" w:hint="eastAsia"/>
          <w:bCs/>
          <w:color w:val="auto"/>
          <w:sz w:val="32"/>
          <w:szCs w:val="32"/>
          <w:highlight w:val="auto"/>
        </w:rPr>
        <w:t>卫生健康支出（类）行政事业单位医疗（款）其他行政事业单位医疗支出（项）</w:t>
      </w:r>
      <w:r>
        <w:rPr>
          <w:rStyle w:val="22"/>
          <w:rFonts w:ascii="仿宋" w:eastAsia="仿宋" w:hint="eastAsia"/>
          <w:bCs/>
          <w:color w:val="auto"/>
          <w:sz w:val="32"/>
          <w:szCs w:val="32"/>
          <w:lang w:eastAsia="zh-CN"/>
          <w:highlight w:val="auto"/>
        </w:rPr>
        <w:t>：</w:t>
      </w:r>
      <w:r>
        <w:rPr>
          <w:rStyle w:val="22"/>
          <w:rFonts w:ascii="仿宋" w:eastAsia="仿宋" w:hint="eastAsia"/>
          <w:b w:val="0"/>
          <w:bCs/>
          <w:color w:val="auto"/>
          <w:sz w:val="32"/>
          <w:szCs w:val="32"/>
          <w:highlight w:val="auto"/>
        </w:rPr>
        <w:t>支出决算为3.34万元，完成预算</w:t>
      </w:r>
      <w:r>
        <w:rPr>
          <w:rStyle w:val="22"/>
          <w:rFonts w:ascii="仿宋" w:eastAsia="仿宋" w:hint="eastAsia"/>
          <w:b w:val="0"/>
          <w:bCs/>
          <w:color w:val="auto"/>
          <w:sz w:val="32"/>
          <w:szCs w:val="32"/>
          <w:lang w:val="en-US" w:eastAsia="zh-CN"/>
          <w:highlight w:val="auto"/>
        </w:rPr>
        <w:t>100.00</w:t>
      </w:r>
      <w:r>
        <w:rPr>
          <w:rStyle w:val="22"/>
          <w:rFonts w:ascii="仿宋" w:eastAsia="仿宋"/>
          <w:b w:val="0"/>
          <w:bCs/>
          <w:color w:val="auto"/>
          <w:sz w:val="32"/>
          <w:szCs w:val="32"/>
          <w:highlight w:val="auto"/>
        </w:rPr>
        <w:t>%</w:t>
      </w:r>
      <w:r>
        <w:rPr>
          <w:rStyle w:val="22"/>
          <w:rFonts w:ascii="仿宋" w:eastAsia="仿宋" w:hint="eastAsia"/>
          <w:b w:val="0"/>
          <w:bCs/>
          <w:color w:val="auto"/>
          <w:sz w:val="32"/>
          <w:szCs w:val="32"/>
          <w:highlight w:val="auto"/>
        </w:rPr>
        <w:t>。</w:t>
      </w:r>
    </w:p>
    <w:p>
      <w:pPr>
        <w:numPr>
          <w:ilvl w:val="0"/>
          <w:numId w:val="1"/>
        </w:numPr>
        <w:spacing w:line="600" w:lineRule="exact"/>
        <w:ind w:left="0" w:firstLineChars="200" w:firstLine="640"/>
        <w:rPr>
          <w:rFonts w:ascii="仿宋" w:eastAsia="仿宋" w:hint="eastAsia"/>
          <w:color w:val="auto"/>
          <w:sz w:val="32"/>
          <w:szCs w:val="32"/>
          <w:lang w:eastAsia="zh-CN"/>
          <w:highlight w:val="auto"/>
        </w:rPr>
      </w:pPr>
      <w:r>
        <w:rPr>
          <w:rStyle w:val="22"/>
          <w:rFonts w:ascii="仿宋" w:eastAsia="仿宋" w:cs="Times New Roman" w:hint="eastAsia"/>
          <w:bCs/>
          <w:color w:val="auto"/>
          <w:sz w:val="32"/>
          <w:szCs w:val="32"/>
          <w:highlight w:val="auto"/>
        </w:rPr>
        <w:t>住房保障支出</w:t>
      </w:r>
      <w:r>
        <w:rPr>
          <w:rStyle w:val="22"/>
          <w:rFonts w:ascii="仿宋" w:eastAsia="仿宋" w:hint="eastAsia"/>
          <w:bCs/>
          <w:color w:val="auto"/>
          <w:sz w:val="32"/>
          <w:szCs w:val="32"/>
          <w:highlight w:val="auto"/>
        </w:rPr>
        <w:t>（类）住房改革支出（款）住房公积金（项）</w:t>
      </w:r>
      <w:r>
        <w:rPr>
          <w:rStyle w:val="22"/>
          <w:rFonts w:ascii="仿宋" w:eastAsia="仿宋" w:hint="eastAsia"/>
          <w:bCs/>
          <w:color w:val="auto"/>
          <w:sz w:val="32"/>
          <w:szCs w:val="32"/>
          <w:lang w:eastAsia="zh-CN"/>
          <w:highlight w:val="auto"/>
        </w:rPr>
        <w:t>：</w:t>
      </w:r>
      <w:r>
        <w:rPr>
          <w:rStyle w:val="22"/>
          <w:rFonts w:ascii="仿宋" w:eastAsia="仿宋" w:hint="eastAsia"/>
          <w:b w:val="0"/>
          <w:bCs/>
          <w:color w:val="auto"/>
          <w:sz w:val="32"/>
          <w:szCs w:val="32"/>
          <w:highlight w:val="auto"/>
        </w:rPr>
        <w:t>支出决算为19.94万元，完成预算</w:t>
      </w:r>
      <w:r>
        <w:rPr>
          <w:rStyle w:val="22"/>
          <w:rFonts w:ascii="仿宋" w:eastAsia="仿宋" w:hint="eastAsia"/>
          <w:b w:val="0"/>
          <w:bCs/>
          <w:color w:val="auto"/>
          <w:sz w:val="32"/>
          <w:szCs w:val="32"/>
          <w:lang w:val="en-US" w:eastAsia="zh-CN"/>
          <w:highlight w:val="auto"/>
        </w:rPr>
        <w:t>100.00</w:t>
      </w:r>
      <w:r>
        <w:rPr>
          <w:rStyle w:val="22"/>
          <w:rFonts w:ascii="仿宋" w:eastAsia="仿宋"/>
          <w:b w:val="0"/>
          <w:bCs/>
          <w:color w:val="auto"/>
          <w:sz w:val="32"/>
          <w:szCs w:val="32"/>
          <w:highlight w:val="auto"/>
        </w:rPr>
        <w:t>%</w:t>
      </w:r>
      <w:r>
        <w:rPr>
          <w:rFonts w:ascii="仿宋" w:eastAsia="仿宋" w:hint="eastAsia"/>
          <w:color w:val="auto"/>
          <w:sz w:val="32"/>
          <w:szCs w:val="32"/>
          <w:lang w:eastAsia="zh-CN"/>
          <w:highlight w:val="auto"/>
        </w:rPr>
        <w:t>。</w:t>
      </w:r>
    </w:p>
    <w:p>
      <w:pPr>
        <w:spacing w:line="600" w:lineRule="exact"/>
        <w:ind w:firstLine="640"/>
        <w:rPr>
          <w:rFonts w:ascii="仿宋" w:eastAsia="仿宋"/>
          <w:b/>
          <w:color w:val="auto"/>
          <w:sz w:val="32"/>
          <w:szCs w:val="32"/>
          <w:highlight w:val="auto"/>
        </w:rPr>
      </w:pPr>
    </w:p>
    <w:p>
      <w:pPr>
        <w:tabs>
          <w:tab w:val="right" w:pos="8306"/>
        </w:tabs>
        <w:spacing w:line="600" w:lineRule="exact"/>
        <w:ind w:firstLine="640"/>
        <w:outlineLvl w:val="1"/>
        <w:rPr>
          <w:rStyle w:val="2Char"/>
          <w:color w:val="auto"/>
          <w:highlight w:val="auto"/>
        </w:rPr>
      </w:pPr>
      <w:bookmarkStart w:id="17" w:name="_Toc4676"/>
      <w:r>
        <w:rPr>
          <w:rFonts w:ascii="黑体" w:eastAsia="黑体" w:hint="eastAsia"/>
          <w:color w:val="auto"/>
          <w:sz w:val="32"/>
          <w:szCs w:val="32"/>
          <w:highlight w:val="auto"/>
        </w:rPr>
        <w:t>六</w:t>
      </w:r>
      <w:r>
        <w:rPr>
          <w:rFonts w:ascii="黑体" w:eastAsia="黑体" w:hint="eastAsia"/>
          <w:b/>
          <w:color w:val="auto"/>
          <w:sz w:val="32"/>
          <w:szCs w:val="32"/>
          <w:highlight w:val="auto"/>
        </w:rPr>
        <w:t>、一</w:t>
      </w:r>
      <w:r>
        <w:rPr>
          <w:rStyle w:val="2Char"/>
          <w:rFonts w:ascii="黑体" w:eastAsia="黑体" w:hint="eastAsia"/>
          <w:b w:val="0"/>
          <w:color w:val="auto"/>
          <w:highlight w:val="auto"/>
        </w:rPr>
        <w:t>般公共预算财政拨款基本支出决算情况说明</w:t>
      </w:r>
      <w:bookmarkEnd w:id="17"/>
      <w:r>
        <w:rPr>
          <w:rStyle w:val="2Char"/>
          <w:rFonts w:ascii="黑体" w:eastAsia="黑体"/>
          <w:b w:val="0"/>
          <w:color w:val="auto"/>
          <w:highlight w:val="auto"/>
        </w:rPr>
        <w:tab/>
      </w:r>
    </w:p>
    <w:p>
      <w:pPr>
        <w:spacing w:line="600" w:lineRule="exact"/>
        <w:ind w:firstLine="645"/>
        <w:rPr>
          <w:rFonts w:ascii="仿宋" w:eastAsia="仿宋"/>
          <w:color w:val="auto"/>
          <w:sz w:val="32"/>
          <w:szCs w:val="32"/>
          <w:highlight w:val="auto"/>
        </w:rPr>
      </w:pPr>
      <w:r>
        <w:rPr>
          <w:rFonts w:ascii="仿宋" w:eastAsia="仿宋" w:hint="eastAsia"/>
          <w:color w:val="auto"/>
          <w:sz w:val="32"/>
          <w:szCs w:val="32"/>
          <w:lang w:eastAsia="zh-CN"/>
          <w:highlight w:val="auto"/>
        </w:rPr>
        <w:t>2023</w:t>
      </w:r>
      <w:r>
        <w:rPr>
          <w:rFonts w:ascii="仿宋" w:eastAsia="仿宋" w:hint="eastAsia"/>
          <w:color w:val="auto"/>
          <w:sz w:val="32"/>
          <w:szCs w:val="32"/>
          <w:highlight w:val="auto"/>
        </w:rPr>
        <w:t>年</w:t>
      </w:r>
      <w:r>
        <w:rPr>
          <w:rFonts w:ascii="仿宋" w:eastAsia="仿宋" w:hint="eastAsia"/>
          <w:color w:val="auto"/>
          <w:sz w:val="32"/>
          <w:szCs w:val="32"/>
          <w:lang w:eastAsia="zh-CN"/>
          <w:highlight w:val="auto"/>
        </w:rPr>
        <w:t>度</w:t>
      </w:r>
      <w:r>
        <w:rPr>
          <w:rFonts w:ascii="仿宋" w:eastAsia="仿宋" w:hint="eastAsia"/>
          <w:color w:val="auto"/>
          <w:sz w:val="32"/>
          <w:szCs w:val="32"/>
          <w:highlight w:val="auto"/>
        </w:rPr>
        <w:t>一般公共预算财政拨款基本支出345.99万元，其中：</w:t>
      </w:r>
    </w:p>
    <w:p>
      <w:pPr>
        <w:spacing w:line="600" w:lineRule="exact"/>
        <w:ind w:firstLine="645"/>
        <w:rPr>
          <w:rFonts w:ascii="仿宋" w:eastAsia="仿宋" w:hint="eastAsia"/>
          <w:color w:val="auto"/>
          <w:sz w:val="32"/>
          <w:szCs w:val="32"/>
          <w:lang w:eastAsia="zh-CN"/>
          <w:highlight w:val="auto"/>
        </w:rPr>
      </w:pPr>
      <w:r>
        <w:rPr>
          <w:rFonts w:ascii="仿宋" w:eastAsia="仿宋" w:hint="eastAsia"/>
          <w:color w:val="auto"/>
          <w:sz w:val="32"/>
          <w:szCs w:val="32"/>
          <w:highlight w:val="auto"/>
        </w:rPr>
        <w:t>人员经费299.11万元，主要包括：基本工资、津贴补贴、奖金、绩效工资、机关事业单位基本养老保险缴费、职业年金缴费、职工基本医疗保险缴费</w:t>
      </w:r>
      <w:r>
        <w:rPr>
          <w:rFonts w:ascii="仿宋" w:eastAsia="仿宋" w:hint="eastAsia"/>
          <w:color w:val="auto"/>
          <w:sz w:val="32"/>
          <w:szCs w:val="32"/>
          <w:lang w:eastAsia="zh-CN"/>
          <w:highlight w:val="auto"/>
        </w:rPr>
        <w:t>、其他社会保障缴费</w:t>
      </w:r>
      <w:r>
        <w:rPr>
          <w:rFonts w:ascii="仿宋" w:eastAsia="仿宋" w:hint="eastAsia"/>
          <w:color w:val="auto"/>
          <w:sz w:val="32"/>
          <w:szCs w:val="32"/>
          <w:highlight w:val="auto"/>
        </w:rPr>
        <w:t>、其他工资福利支出、生活补助、奖励金、住房公积金等。</w:t>
      </w:r>
    </w:p>
    <w:p>
      <w:pPr>
        <w:spacing w:line="600" w:lineRule="exact"/>
        <w:ind w:firstLine="645"/>
        <w:rPr>
          <w:rFonts w:ascii="仿宋" w:eastAsia="仿宋"/>
          <w:color w:val="auto"/>
          <w:sz w:val="32"/>
          <w:szCs w:val="32"/>
          <w:highlight w:val="auto"/>
        </w:rPr>
      </w:pPr>
      <w:r>
        <w:rPr>
          <w:rFonts w:ascii="仿宋" w:eastAsia="仿宋" w:hint="eastAsia"/>
          <w:color w:val="auto"/>
          <w:sz w:val="32"/>
          <w:szCs w:val="32"/>
          <w:highlight w:val="auto"/>
        </w:rPr>
        <w:t>　　公用经费46.88万元，主要包括：办公费、邮电费、差旅费、维修（护）费、培训费、公务接待费、福利费、公务用车运行维护费、其他商品和服务支出。</w:t>
      </w:r>
    </w:p>
    <w:p>
      <w:pPr>
        <w:spacing w:line="600" w:lineRule="exact"/>
        <w:ind w:firstLine="640"/>
        <w:rPr>
          <w:rFonts w:ascii="仿宋" w:eastAsia="仿宋"/>
          <w:b/>
          <w:color w:val="auto"/>
          <w:sz w:val="32"/>
          <w:szCs w:val="32"/>
          <w:highlight w:val="auto"/>
        </w:rPr>
      </w:pPr>
    </w:p>
    <w:p>
      <w:pPr>
        <w:pStyle w:val="20"/>
      </w:pPr>
    </w:p>
    <w:p>
      <w:pPr>
        <w:spacing w:line="600" w:lineRule="exact"/>
        <w:ind w:firstLine="640"/>
        <w:outlineLvl w:val="1"/>
        <w:rPr>
          <w:rStyle w:val="2Char"/>
          <w:rFonts w:ascii="黑体" w:eastAsia="黑体"/>
          <w:b w:val="0"/>
          <w:color w:val="auto"/>
          <w:highlight w:val="auto"/>
        </w:rPr>
      </w:pPr>
      <w:bookmarkStart w:id="18" w:name="_Toc17174"/>
      <w:r>
        <w:rPr>
          <w:rFonts w:ascii="黑体" w:eastAsia="黑体" w:hint="eastAsia"/>
          <w:color w:val="auto"/>
          <w:sz w:val="32"/>
          <w:szCs w:val="32"/>
          <w:highlight w:val="auto"/>
        </w:rPr>
        <w:t>七、</w:t>
      </w:r>
      <w:r>
        <w:rPr>
          <w:rStyle w:val="2Char"/>
          <w:rFonts w:ascii="黑体" w:eastAsia="黑体" w:hint="eastAsia"/>
          <w:b w:val="0"/>
          <w:color w:val="auto"/>
          <w:highlight w:val="auto"/>
        </w:rPr>
        <w:t>财政拨款</w:t>
      </w:r>
      <w:r>
        <w:rPr>
          <w:rStyle w:val="2Char"/>
          <w:rFonts w:ascii="黑体" w:eastAsia="黑体" w:hint="eastAsia"/>
          <w:color w:val="auto"/>
          <w:highlight w:val="auto"/>
        </w:rPr>
        <w:t>“</w:t>
      </w:r>
      <w:r>
        <w:rPr>
          <w:rStyle w:val="2Char"/>
          <w:rFonts w:ascii="黑体" w:eastAsia="黑体" w:hint="eastAsia"/>
          <w:b w:val="0"/>
          <w:color w:val="auto"/>
          <w:highlight w:val="auto"/>
        </w:rPr>
        <w:t>三公”经费支出决算情况说明</w:t>
      </w:r>
      <w:bookmarkEnd w:id="18"/>
    </w:p>
    <w:p>
      <w:pPr>
        <w:spacing w:line="600" w:lineRule="exact"/>
        <w:ind w:firstLine="640"/>
        <w:outlineLvl w:val="2"/>
        <w:rPr>
          <w:rFonts w:ascii="仿宋" w:eastAsia="仿宋"/>
          <w:b/>
          <w:color w:val="auto"/>
          <w:sz w:val="32"/>
          <w:szCs w:val="32"/>
          <w:highlight w:val="auto"/>
        </w:rPr>
      </w:pPr>
      <w:r>
        <w:rPr>
          <w:rFonts w:ascii="仿宋" w:eastAsia="仿宋" w:hint="eastAsia"/>
          <w:b/>
          <w:color w:val="auto"/>
          <w:sz w:val="32"/>
          <w:szCs w:val="32"/>
          <w:highlight w:val="auto"/>
        </w:rPr>
        <w:t>（一）“三公”经费财政拨款支出决算总体情况说明</w:t>
      </w:r>
    </w:p>
    <w:p>
      <w:pPr>
        <w:spacing w:line="600" w:lineRule="exact"/>
        <w:ind w:firstLine="640"/>
        <w:rPr>
          <w:rFonts w:ascii="仿宋" w:eastAsia="仿宋"/>
          <w:b/>
          <w:color w:val="auto"/>
          <w:sz w:val="32"/>
          <w:szCs w:val="32"/>
          <w:highlight w:val="auto"/>
        </w:rPr>
      </w:pPr>
      <w:r>
        <w:rPr>
          <w:rFonts w:ascii="仿宋" w:eastAsia="仿宋" w:hint="eastAsia"/>
          <w:color w:val="auto"/>
          <w:sz w:val="32"/>
          <w:szCs w:val="32"/>
          <w:lang w:eastAsia="zh-CN"/>
          <w:highlight w:val="auto"/>
        </w:rPr>
        <w:t>2023</w:t>
      </w:r>
      <w:r>
        <w:rPr>
          <w:rFonts w:ascii="仿宋" w:eastAsia="仿宋" w:hint="eastAsia"/>
          <w:color w:val="auto"/>
          <w:sz w:val="32"/>
          <w:szCs w:val="32"/>
          <w:highlight w:val="auto"/>
        </w:rPr>
        <w:t>年</w:t>
      </w:r>
      <w:r>
        <w:rPr>
          <w:rFonts w:ascii="仿宋" w:eastAsia="仿宋" w:hint="eastAsia"/>
          <w:color w:val="auto"/>
          <w:sz w:val="32"/>
          <w:szCs w:val="32"/>
          <w:lang w:eastAsia="zh-CN"/>
          <w:highlight w:val="auto"/>
        </w:rPr>
        <w:t>度</w:t>
      </w:r>
      <w:r>
        <w:rPr>
          <w:rFonts w:ascii="仿宋" w:eastAsia="仿宋" w:hint="eastAsia"/>
          <w:color w:val="auto"/>
          <w:sz w:val="32"/>
          <w:szCs w:val="32"/>
          <w:highlight w:val="auto"/>
        </w:rPr>
        <w:t>“三公”经费财政拨款支出决算为</w:t>
      </w:r>
      <w:r>
        <w:rPr>
          <w:rFonts w:ascii="仿宋" w:eastAsia="仿宋" w:hint="eastAsia"/>
          <w:color w:val="auto"/>
          <w:sz w:val="32"/>
          <w:szCs w:val="32"/>
          <w:lang w:val="en-US" w:eastAsia="zh-CN"/>
          <w:highlight w:val="auto"/>
        </w:rPr>
        <w:t>17.54</w:t>
      </w:r>
      <w:r>
        <w:rPr>
          <w:rFonts w:ascii="仿宋" w:eastAsia="仿宋" w:hint="eastAsia"/>
          <w:color w:val="auto"/>
          <w:sz w:val="32"/>
          <w:szCs w:val="32"/>
          <w:highlight w:val="auto"/>
        </w:rPr>
        <w:t>万元，完成预算</w:t>
      </w:r>
      <w:r>
        <w:rPr>
          <w:rFonts w:ascii="仿宋" w:eastAsia="仿宋" w:hint="eastAsia"/>
          <w:color w:val="auto"/>
          <w:sz w:val="32"/>
          <w:szCs w:val="32"/>
          <w:lang w:val="en-US" w:eastAsia="zh-CN"/>
          <w:highlight w:val="auto"/>
        </w:rPr>
        <w:t>96.64</w:t>
      </w:r>
      <w:r>
        <w:rPr>
          <w:rFonts w:ascii="仿宋" w:eastAsia="仿宋"/>
          <w:color w:val="auto"/>
          <w:sz w:val="32"/>
          <w:szCs w:val="32"/>
          <w:highlight w:val="auto"/>
        </w:rPr>
        <w:t>%</w:t>
      </w:r>
      <w:r>
        <w:rPr>
          <w:rFonts w:ascii="仿宋" w:eastAsia="仿宋" w:hint="eastAsia"/>
          <w:color w:val="auto"/>
          <w:sz w:val="32"/>
          <w:szCs w:val="32"/>
          <w:highlight w:val="auto"/>
        </w:rPr>
        <w:t>，</w:t>
      </w:r>
      <w:r>
        <w:rPr>
          <w:rFonts w:ascii="仿宋" w:eastAsia="仿宋" w:hint="eastAsia"/>
          <w:color w:val="auto"/>
          <w:sz w:val="32"/>
          <w:szCs w:val="32"/>
          <w:lang w:eastAsia="zh-CN"/>
          <w:highlight w:val="auto"/>
        </w:rPr>
        <w:t>较上年度</w:t>
      </w:r>
      <w:r>
        <w:rPr>
          <w:rFonts w:ascii="仿宋" w:eastAsia="仿宋" w:hint="eastAsia"/>
          <w:color w:val="auto"/>
          <w:sz w:val="32"/>
          <w:szCs w:val="32"/>
          <w:lang w:val="en-US" w:eastAsia="zh-CN"/>
          <w:highlight w:val="auto"/>
        </w:rPr>
        <w:t>增加6.54万元，增长59.41%。</w:t>
      </w:r>
      <w:r>
        <w:rPr>
          <w:rFonts w:ascii="仿宋" w:eastAsia="仿宋" w:hint="eastAsia"/>
          <w:color w:val="auto"/>
          <w:sz w:val="32"/>
          <w:szCs w:val="32"/>
          <w:highlight w:val="auto"/>
        </w:rPr>
        <w:t>决算数小于预算数的主要原因是本年度减少了公务接待。</w:t>
      </w:r>
    </w:p>
    <w:p>
      <w:pPr>
        <w:spacing w:line="600" w:lineRule="exact"/>
        <w:ind w:firstLine="640"/>
        <w:outlineLvl w:val="2"/>
        <w:rPr>
          <w:rFonts w:ascii="仿宋" w:eastAsia="仿宋"/>
          <w:b/>
          <w:color w:val="auto"/>
          <w:sz w:val="32"/>
          <w:szCs w:val="32"/>
          <w:highlight w:val="auto"/>
        </w:rPr>
      </w:pPr>
      <w:r>
        <w:rPr>
          <w:rFonts w:ascii="仿宋" w:eastAsia="仿宋" w:hint="eastAsia"/>
          <w:b/>
          <w:color w:val="auto"/>
          <w:sz w:val="32"/>
          <w:szCs w:val="32"/>
          <w:highlight w:val="auto"/>
        </w:rPr>
        <w:t>（二）“三公”经费财政拨款支出决算具体情况说明</w:t>
      </w:r>
    </w:p>
    <w:p>
      <w:pPr>
        <w:spacing w:line="600" w:lineRule="exact"/>
        <w:ind w:firstLine="640"/>
        <w:rPr>
          <w:rFonts w:ascii="仿宋" w:eastAsia="仿宋" w:hint="eastAsia"/>
          <w:color w:val="auto"/>
          <w:sz w:val="32"/>
          <w:szCs w:val="32"/>
          <w:highlight w:val="auto"/>
        </w:rPr>
      </w:pPr>
      <w:r>
        <w:rPr>
          <w:rFonts w:ascii="仿宋" w:eastAsia="仿宋" w:hint="eastAsia"/>
          <w:color w:val="auto"/>
          <w:sz w:val="32"/>
          <w:szCs w:val="32"/>
          <w:lang w:eastAsia="zh-CN"/>
          <w:highlight w:val="auto"/>
        </w:rPr>
        <w:t>2023</w:t>
      </w:r>
      <w:r>
        <w:rPr>
          <w:rFonts w:ascii="仿宋" w:eastAsia="仿宋" w:hint="eastAsia"/>
          <w:color w:val="auto"/>
          <w:sz w:val="32"/>
          <w:szCs w:val="32"/>
          <w:highlight w:val="auto"/>
        </w:rPr>
        <w:t>年</w:t>
      </w:r>
      <w:r>
        <w:rPr>
          <w:rFonts w:ascii="仿宋" w:eastAsia="仿宋" w:hint="eastAsia"/>
          <w:color w:val="auto"/>
          <w:sz w:val="32"/>
          <w:szCs w:val="32"/>
          <w:lang w:eastAsia="zh-CN"/>
          <w:highlight w:val="auto"/>
        </w:rPr>
        <w:t>度</w:t>
      </w:r>
      <w:r>
        <w:rPr>
          <w:rFonts w:ascii="仿宋" w:eastAsia="仿宋" w:hint="eastAsia"/>
          <w:color w:val="auto"/>
          <w:sz w:val="32"/>
          <w:szCs w:val="32"/>
          <w:highlight w:val="auto"/>
        </w:rPr>
        <w:t>“三公”经费财政拨款支出决算中，因公出国（境）费支出决算</w:t>
      </w:r>
      <w:r>
        <w:rPr>
          <w:rFonts w:ascii="仿宋" w:eastAsia="仿宋" w:hint="eastAsia"/>
          <w:color w:val="auto"/>
          <w:sz w:val="32"/>
          <w:szCs w:val="32"/>
          <w:lang w:val="en-US" w:eastAsia="zh-CN"/>
          <w:highlight w:val="auto"/>
        </w:rPr>
        <w:t>0</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0</w:t>
      </w:r>
      <w:r>
        <w:rPr>
          <w:rFonts w:ascii="仿宋" w:eastAsia="仿宋"/>
          <w:color w:val="auto"/>
          <w:sz w:val="32"/>
          <w:szCs w:val="32"/>
          <w:highlight w:val="auto"/>
        </w:rPr>
        <w:t>%</w:t>
      </w:r>
      <w:r>
        <w:rPr>
          <w:rFonts w:ascii="仿宋" w:eastAsia="仿宋" w:hint="eastAsia"/>
          <w:color w:val="auto"/>
          <w:sz w:val="32"/>
          <w:szCs w:val="32"/>
          <w:highlight w:val="auto"/>
        </w:rPr>
        <w:t>；公务用车购置及运行维护费支出决算</w:t>
      </w:r>
      <w:r>
        <w:rPr>
          <w:rFonts w:ascii="仿宋" w:eastAsia="仿宋" w:hint="eastAsia"/>
          <w:color w:val="auto"/>
          <w:sz w:val="32"/>
          <w:szCs w:val="32"/>
          <w:lang w:val="en-US" w:eastAsia="zh-CN"/>
          <w:highlight w:val="auto"/>
        </w:rPr>
        <w:t>17.28</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98.52</w:t>
      </w:r>
      <w:r>
        <w:rPr>
          <w:rFonts w:ascii="仿宋" w:eastAsia="仿宋"/>
          <w:color w:val="auto"/>
          <w:sz w:val="32"/>
          <w:szCs w:val="32"/>
          <w:highlight w:val="auto"/>
        </w:rPr>
        <w:t>%</w:t>
      </w:r>
      <w:r>
        <w:rPr>
          <w:rFonts w:ascii="仿宋" w:eastAsia="仿宋" w:hint="eastAsia"/>
          <w:color w:val="auto"/>
          <w:sz w:val="32"/>
          <w:szCs w:val="32"/>
          <w:highlight w:val="auto"/>
        </w:rPr>
        <w:t xml:space="preserve">；公务接待费支出决算 </w:t>
      </w:r>
      <w:r>
        <w:rPr>
          <w:rFonts w:ascii="仿宋" w:eastAsia="仿宋" w:hint="eastAsia"/>
          <w:color w:val="auto"/>
          <w:sz w:val="32"/>
          <w:szCs w:val="32"/>
          <w:lang w:val="en-US" w:eastAsia="zh-CN"/>
          <w:highlight w:val="auto"/>
        </w:rPr>
        <w:t>0.26</w:t>
      </w:r>
      <w:r>
        <w:rPr>
          <w:rFonts w:ascii="仿宋" w:eastAsia="仿宋" w:hint="eastAsia"/>
          <w:color w:val="auto"/>
          <w:sz w:val="32"/>
          <w:szCs w:val="32"/>
          <w:highlight w:val="auto"/>
        </w:rPr>
        <w:t>万元，占</w:t>
      </w:r>
      <w:r>
        <w:rPr>
          <w:rFonts w:ascii="仿宋" w:eastAsia="仿宋" w:hint="eastAsia"/>
          <w:color w:val="auto"/>
          <w:sz w:val="32"/>
          <w:szCs w:val="32"/>
          <w:lang w:val="en-US" w:eastAsia="zh-CN"/>
          <w:highlight w:val="auto"/>
        </w:rPr>
        <w:t>1.48</w:t>
      </w:r>
      <w:r>
        <w:rPr>
          <w:rFonts w:ascii="仿宋" w:eastAsia="仿宋"/>
          <w:color w:val="auto"/>
          <w:sz w:val="32"/>
          <w:szCs w:val="32"/>
          <w:highlight w:val="auto"/>
        </w:rPr>
        <w:t>%</w:t>
      </w:r>
      <w:r>
        <w:rPr>
          <w:rFonts w:ascii="仿宋" w:eastAsia="仿宋" w:hint="eastAsia"/>
          <w:color w:val="auto"/>
          <w:sz w:val="32"/>
          <w:szCs w:val="32"/>
          <w:highlight w:val="auto"/>
        </w:rPr>
        <w:t>。具体情况如下：</w:t>
      </w:r>
    </w:p>
    <w:p>
      <w:pPr>
        <w:pStyle w:val="15"/>
        <w:rPr>
          <w:rFonts w:eastAsia="仿宋" w:hint="eastAsia"/>
          <w:lang w:eastAsia="zh-CN"/>
        </w:rPr>
      </w:pPr>
      <w:r>
        <w:rPr>
          <w:rFonts w:eastAsia="仿宋" w:hint="eastAsia"/>
          <w:lang w:eastAsia="zh-CN"/>
        </w:rPr>
        <w:drawing>
          <wp:inline distT="0" distB="0" distL="114300" distR="114300">
            <wp:extent cx="5256530" cy="2988310"/>
            <wp:effectExtent l="0" t="0" r="0" b="0"/>
            <wp:docPr id="13" name="图表 10"/>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jc w:val="center"/>
        <w:rPr>
          <w:rFonts w:ascii="仿宋" w:eastAsia="仿宋"/>
          <w:color w:val="auto"/>
          <w:sz w:val="32"/>
          <w:szCs w:val="32"/>
          <w:highlight w:val="auto"/>
        </w:rPr>
      </w:pPr>
      <w:r>
        <w:rPr>
          <w:rFonts w:ascii="仿宋" w:eastAsia="仿宋" w:hint="eastAsia"/>
          <w:color w:val="auto"/>
          <w:sz w:val="32"/>
          <w:szCs w:val="32"/>
          <w:highlight w:val="auto"/>
        </w:rPr>
        <w:t>（图7：“三公”经费财政拨款支出结构）</w:t>
      </w:r>
    </w:p>
    <w:p>
      <w:pPr>
        <w:spacing w:line="600" w:lineRule="exact"/>
        <w:ind w:firstLine="640"/>
        <w:rPr>
          <w:rFonts w:ascii="仿宋_GB2312" w:eastAsia="仿宋_GB2312"/>
          <w:color w:val="auto"/>
          <w:sz w:val="32"/>
          <w:szCs w:val="32"/>
          <w:highlight w:val="auto"/>
        </w:rPr>
      </w:pPr>
      <w:r>
        <w:rPr>
          <w:rFonts w:ascii="仿宋_GB2312" w:eastAsia="仿宋_GB2312"/>
          <w:b/>
          <w:color w:val="auto"/>
          <w:sz w:val="32"/>
          <w:szCs w:val="32"/>
          <w:highlight w:val="auto"/>
        </w:rPr>
        <w:t>1.</w:t>
      </w:r>
      <w:r>
        <w:rPr>
          <w:rFonts w:ascii="仿宋_GB2312" w:eastAsia="仿宋_GB2312" w:hint="eastAsia"/>
          <w:b/>
          <w:color w:val="auto"/>
          <w:sz w:val="32"/>
          <w:szCs w:val="32"/>
          <w:highlight w:val="auto"/>
        </w:rPr>
        <w:t>因公出国（境）经费支出</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r>
        <w:rPr>
          <w:rStyle w:val="22"/>
          <w:rFonts w:ascii="仿宋" w:eastAsia="仿宋" w:hint="eastAsia"/>
          <w:b w:val="0"/>
          <w:bCs/>
          <w:color w:val="auto"/>
          <w:sz w:val="32"/>
          <w:szCs w:val="32"/>
          <w:highlight w:val="auto"/>
        </w:rPr>
        <w:t>完成预算</w:t>
      </w:r>
      <w:r>
        <w:rPr>
          <w:rStyle w:val="22"/>
          <w:rFonts w:ascii="仿宋" w:eastAsia="仿宋" w:hint="eastAsia"/>
          <w:b w:val="0"/>
          <w:bCs/>
          <w:color w:val="auto"/>
          <w:sz w:val="32"/>
          <w:szCs w:val="32"/>
          <w:lang w:val="en-US" w:eastAsia="zh-CN"/>
          <w:highlight w:val="auto"/>
        </w:rPr>
        <w:t>0</w:t>
      </w:r>
      <w:r>
        <w:rPr>
          <w:rStyle w:val="22"/>
          <w:rFonts w:ascii="仿宋" w:eastAsia="仿宋"/>
          <w:b w:val="0"/>
          <w:bCs/>
          <w:color w:val="auto"/>
          <w:sz w:val="32"/>
          <w:szCs w:val="32"/>
          <w:highlight w:val="auto"/>
        </w:rPr>
        <w:t>%</w:t>
      </w:r>
      <w:r>
        <w:rPr>
          <w:rFonts w:ascii="仿宋_GB2312" w:eastAsia="仿宋_GB2312" w:hint="eastAsia"/>
          <w:color w:val="auto"/>
          <w:sz w:val="32"/>
          <w:szCs w:val="32"/>
          <w:highlight w:val="auto"/>
        </w:rPr>
        <w:t>。</w:t>
      </w:r>
    </w:p>
    <w:p>
      <w:pPr>
        <w:spacing w:line="600" w:lineRule="exact"/>
        <w:ind w:firstLine="640"/>
        <w:rPr>
          <w:rFonts w:ascii="仿宋_GB2312" w:eastAsia="仿宋_GB2312"/>
          <w:b/>
          <w:color w:val="auto"/>
          <w:sz w:val="32"/>
          <w:szCs w:val="32"/>
          <w:highlight w:val="auto"/>
        </w:rPr>
      </w:pPr>
      <w:r>
        <w:rPr>
          <w:rFonts w:ascii="仿宋_GB2312" w:eastAsia="仿宋_GB2312"/>
          <w:b/>
          <w:color w:val="auto"/>
          <w:sz w:val="32"/>
          <w:szCs w:val="32"/>
          <w:highlight w:val="auto"/>
        </w:rPr>
        <w:t>2.</w:t>
      </w:r>
      <w:r>
        <w:rPr>
          <w:rFonts w:ascii="仿宋_GB2312" w:eastAsia="仿宋_GB2312" w:hint="eastAsia"/>
          <w:b/>
          <w:color w:val="auto"/>
          <w:sz w:val="32"/>
          <w:szCs w:val="32"/>
          <w:highlight w:val="auto"/>
        </w:rPr>
        <w:t>公务用车购置及运行维护费支出</w:t>
      </w:r>
      <w:r>
        <w:rPr>
          <w:rFonts w:ascii="仿宋_GB2312" w:eastAsia="仿宋_GB2312" w:hint="eastAsia"/>
          <w:color w:val="auto"/>
          <w:sz w:val="32"/>
          <w:szCs w:val="32"/>
          <w:lang w:val="en-US" w:eastAsia="zh-CN"/>
          <w:highlight w:val="auto"/>
        </w:rPr>
        <w:t>17.28</w:t>
      </w:r>
      <w:r>
        <w:rPr>
          <w:rFonts w:ascii="仿宋_GB2312" w:eastAsia="仿宋_GB2312" w:hint="eastAsia"/>
          <w:color w:val="auto"/>
          <w:sz w:val="32"/>
          <w:szCs w:val="32"/>
          <w:highlight w:val="auto"/>
        </w:rPr>
        <w:t>万元</w:t>
      </w:r>
      <w:r>
        <w:rPr>
          <w:rFonts w:ascii="仿宋_GB2312" w:eastAsia="仿宋_GB2312" w:hint="eastAsia"/>
          <w:color w:val="auto"/>
          <w:sz w:val="32"/>
          <w:szCs w:val="32"/>
          <w:lang w:eastAsia="zh-CN"/>
          <w:highlight w:val="auto"/>
        </w:rPr>
        <w:t>，</w:t>
      </w:r>
      <w:r>
        <w:rPr>
          <w:rStyle w:val="22"/>
          <w:rFonts w:ascii="仿宋" w:eastAsia="仿宋" w:hint="eastAsia"/>
          <w:b w:val="0"/>
          <w:bCs/>
          <w:color w:val="auto"/>
          <w:sz w:val="32"/>
          <w:szCs w:val="32"/>
          <w:highlight w:val="auto"/>
        </w:rPr>
        <w:t>完成预算</w:t>
      </w:r>
      <w:r>
        <w:rPr>
          <w:rStyle w:val="22"/>
          <w:rFonts w:ascii="仿宋" w:eastAsia="仿宋" w:hint="eastAsia"/>
          <w:b w:val="0"/>
          <w:bCs/>
          <w:color w:val="auto"/>
          <w:sz w:val="32"/>
          <w:szCs w:val="32"/>
          <w:lang w:val="en-US" w:eastAsia="zh-CN"/>
          <w:highlight w:val="auto"/>
        </w:rPr>
        <w:t>100.00</w:t>
      </w:r>
      <w:r>
        <w:rPr>
          <w:rStyle w:val="22"/>
          <w:rFonts w:ascii="仿宋" w:eastAsia="仿宋"/>
          <w:b w:val="0"/>
          <w:bCs/>
          <w:color w:val="auto"/>
          <w:sz w:val="32"/>
          <w:szCs w:val="32"/>
          <w:highlight w:val="auto"/>
        </w:rPr>
        <w:t>%</w:t>
      </w:r>
      <w:r>
        <w:rPr>
          <w:rStyle w:val="22"/>
          <w:rFonts w:ascii="仿宋" w:eastAsia="仿宋" w:hint="eastAsia"/>
          <w:b w:val="0"/>
          <w:bCs/>
          <w:color w:val="auto"/>
          <w:sz w:val="32"/>
          <w:szCs w:val="32"/>
          <w:highlight w:val="auto"/>
        </w:rPr>
        <w:t>。</w:t>
      </w:r>
      <w:r>
        <w:rPr>
          <w:rFonts w:ascii="仿宋_GB2312" w:eastAsia="仿宋_GB2312" w:hint="eastAsia"/>
          <w:color w:val="auto"/>
          <w:sz w:val="32"/>
          <w:szCs w:val="32"/>
          <w:highlight w:val="auto"/>
        </w:rPr>
        <w:t>公务用车购置及运行维护费支出决算比</w:t>
      </w:r>
      <w:r>
        <w:rPr>
          <w:rFonts w:ascii="仿宋_GB2312" w:eastAsia="仿宋_GB2312" w:hint="eastAsia"/>
          <w:color w:val="auto"/>
          <w:sz w:val="32"/>
          <w:szCs w:val="32"/>
          <w:lang w:eastAsia="zh-CN"/>
          <w:highlight w:val="auto"/>
        </w:rPr>
        <w:t>2022</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lang w:val="en-US" w:eastAsia="zh-CN"/>
          <w:highlight w:val="auto"/>
        </w:rPr>
        <w:t>增加6.28</w:t>
      </w:r>
      <w:r>
        <w:rPr>
          <w:rFonts w:ascii="仿宋_GB2312" w:eastAsia="仿宋_GB2312" w:hint="eastAsia"/>
          <w:color w:val="auto"/>
          <w:sz w:val="32"/>
          <w:szCs w:val="32"/>
          <w:highlight w:val="auto"/>
        </w:rPr>
        <w:t>万元，</w:t>
      </w:r>
      <w:r>
        <w:rPr>
          <w:rFonts w:ascii="仿宋_GB2312" w:eastAsia="仿宋_GB2312" w:hint="eastAsia"/>
          <w:color w:val="auto"/>
          <w:sz w:val="32"/>
          <w:szCs w:val="32"/>
          <w:lang w:val="en-US" w:eastAsia="zh-CN"/>
          <w:highlight w:val="auto"/>
        </w:rPr>
        <w:t>增长57.09</w:t>
      </w:r>
      <w:r>
        <w:rPr>
          <w:rFonts w:ascii="仿宋_GB2312" w:eastAsia="仿宋_GB2312"/>
          <w:color w:val="auto"/>
          <w:sz w:val="32"/>
          <w:szCs w:val="32"/>
          <w:highlight w:val="auto"/>
        </w:rPr>
        <w:t>%</w:t>
      </w:r>
      <w:r>
        <w:rPr>
          <w:rFonts w:ascii="仿宋_GB2312" w:eastAsia="仿宋_GB2312" w:hint="eastAsia"/>
          <w:color w:val="auto"/>
          <w:sz w:val="32"/>
          <w:szCs w:val="32"/>
          <w:highlight w:val="auto"/>
        </w:rPr>
        <w:t>。主要原因是由于我院驻地在理县，很多工作业务对接在马尔康州上，所以导致公务用车购置及运行维护费的增加。</w:t>
      </w:r>
    </w:p>
    <w:p>
      <w:pPr>
        <w:spacing w:line="600" w:lineRule="exact"/>
        <w:ind w:firstLineChars="200" w:firstLine="640"/>
        <w:rPr>
          <w:rFonts w:ascii="仿宋_GB2312" w:eastAsia="仿宋_GB2312"/>
          <w:b/>
          <w:color w:val="auto"/>
          <w:sz w:val="32"/>
          <w:szCs w:val="32"/>
          <w:highlight w:val="auto"/>
        </w:rPr>
      </w:pPr>
      <w:r>
        <w:rPr>
          <w:rFonts w:ascii="仿宋_GB2312" w:eastAsia="仿宋_GB2312" w:hint="eastAsia"/>
          <w:color w:val="auto"/>
          <w:sz w:val="32"/>
          <w:szCs w:val="32"/>
          <w:highlight w:val="auto"/>
        </w:rPr>
        <w:t>其中：</w:t>
      </w:r>
      <w:r>
        <w:rPr>
          <w:rFonts w:ascii="仿宋_GB2312" w:eastAsia="仿宋_GB2312" w:hint="eastAsia"/>
          <w:b/>
          <w:color w:val="auto"/>
          <w:sz w:val="32"/>
          <w:szCs w:val="32"/>
          <w:highlight w:val="auto"/>
        </w:rPr>
        <w:t>公务用车购置支出</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万元。截至</w:t>
      </w:r>
      <w:r>
        <w:rPr>
          <w:rFonts w:ascii="仿宋_GB2312" w:eastAsia="仿宋_GB2312" w:hint="eastAsia"/>
          <w:color w:val="auto"/>
          <w:sz w:val="32"/>
          <w:szCs w:val="32"/>
          <w:lang w:eastAsia="zh-CN"/>
          <w:highlight w:val="auto"/>
        </w:rPr>
        <w:t>2023</w:t>
      </w:r>
      <w:r>
        <w:rPr>
          <w:rFonts w:ascii="仿宋_GB2312" w:eastAsia="仿宋_GB2312" w:hint="eastAsia"/>
          <w:color w:val="auto"/>
          <w:sz w:val="32"/>
          <w:szCs w:val="32"/>
          <w:highlight w:val="auto"/>
        </w:rPr>
        <w:t>年</w:t>
      </w:r>
      <w:r>
        <w:rPr>
          <w:rFonts w:ascii="仿宋_GB2312" w:eastAsia="仿宋_GB2312"/>
          <w:color w:val="auto"/>
          <w:sz w:val="32"/>
          <w:szCs w:val="32"/>
          <w:highlight w:val="auto"/>
        </w:rPr>
        <w:t>12</w:t>
      </w:r>
      <w:r>
        <w:rPr>
          <w:rFonts w:ascii="仿宋_GB2312" w:eastAsia="仿宋_GB2312" w:hint="eastAsia"/>
          <w:color w:val="auto"/>
          <w:sz w:val="32"/>
          <w:szCs w:val="32"/>
          <w:highlight w:val="auto"/>
        </w:rPr>
        <w:t>月</w:t>
      </w:r>
      <w:r>
        <w:rPr>
          <w:rFonts w:ascii="仿宋_GB2312" w:eastAsia="仿宋_GB2312" w:hint="eastAsia"/>
          <w:color w:val="auto"/>
          <w:sz w:val="32"/>
          <w:szCs w:val="32"/>
          <w:lang w:val="en-US" w:eastAsia="zh-CN"/>
          <w:highlight w:val="auto"/>
        </w:rPr>
        <w:t>31日</w:t>
      </w:r>
      <w:r>
        <w:rPr>
          <w:rFonts w:ascii="仿宋_GB2312" w:eastAsia="仿宋_GB2312" w:hint="eastAsia"/>
          <w:color w:val="auto"/>
          <w:sz w:val="32"/>
          <w:szCs w:val="32"/>
          <w:highlight w:val="auto"/>
        </w:rPr>
        <w:t>，单位共有公务用车</w:t>
      </w:r>
      <w:r>
        <w:rPr>
          <w:rFonts w:ascii="仿宋_GB2312" w:eastAsia="仿宋_GB2312" w:hint="eastAsia"/>
          <w:color w:val="auto"/>
          <w:sz w:val="32"/>
          <w:szCs w:val="32"/>
          <w:lang w:val="en-US" w:eastAsia="zh-CN"/>
          <w:highlight w:val="auto"/>
        </w:rPr>
        <w:t>3</w:t>
      </w:r>
      <w:r>
        <w:rPr>
          <w:rFonts w:ascii="仿宋_GB2312" w:eastAsia="仿宋_GB2312" w:hint="eastAsia"/>
          <w:color w:val="auto"/>
          <w:sz w:val="32"/>
          <w:szCs w:val="32"/>
          <w:highlight w:val="auto"/>
        </w:rPr>
        <w:t>辆，其中：</w:t>
      </w:r>
      <w:r>
        <w:rPr>
          <w:rFonts w:ascii="仿宋_GB2312" w:eastAsia="仿宋_GB2312" w:hint="eastAsia"/>
          <w:color w:val="auto"/>
          <w:sz w:val="32"/>
          <w:szCs w:val="32"/>
          <w:lang w:val="en-US" w:eastAsia="zh-CN"/>
          <w:highlight w:val="auto"/>
        </w:rPr>
        <w:t>越野车2辆，其他车型1辆</w:t>
      </w:r>
      <w:r>
        <w:rPr>
          <w:rFonts w:ascii="仿宋_GB2312" w:eastAsia="仿宋_GB2312" w:hint="eastAsia"/>
          <w:color w:val="auto"/>
          <w:sz w:val="32"/>
          <w:szCs w:val="32"/>
          <w:highlight w:val="auto"/>
        </w:rPr>
        <w:t>。</w:t>
      </w:r>
    </w:p>
    <w:p>
      <w:pPr>
        <w:spacing w:line="600" w:lineRule="exact"/>
        <w:ind w:firstLine="640"/>
        <w:rPr>
          <w:rFonts w:ascii="仿宋_GB2312" w:eastAsia="仿宋_GB2312"/>
          <w:color w:val="auto"/>
          <w:sz w:val="32"/>
          <w:szCs w:val="32"/>
          <w:highlight w:val="auto"/>
        </w:rPr>
      </w:pPr>
      <w:r>
        <w:rPr>
          <w:rFonts w:ascii="仿宋_GB2312" w:eastAsia="仿宋_GB2312" w:hint="eastAsia"/>
          <w:b/>
          <w:color w:val="auto"/>
          <w:sz w:val="32"/>
          <w:szCs w:val="32"/>
          <w:highlight w:val="auto"/>
        </w:rPr>
        <w:t>公务用车运行维护费支出</w:t>
      </w:r>
      <w:r>
        <w:rPr>
          <w:rFonts w:ascii="仿宋_GB2312" w:eastAsia="仿宋_GB2312" w:hint="eastAsia"/>
          <w:color w:val="auto"/>
          <w:sz w:val="32"/>
          <w:szCs w:val="32"/>
          <w:lang w:val="en-US" w:eastAsia="zh-CN"/>
          <w:highlight w:val="auto"/>
        </w:rPr>
        <w:t>17.28</w:t>
      </w:r>
      <w:r>
        <w:rPr>
          <w:rFonts w:ascii="仿宋_GB2312" w:eastAsia="仿宋_GB2312" w:hint="eastAsia"/>
          <w:color w:val="auto"/>
          <w:sz w:val="32"/>
          <w:szCs w:val="32"/>
          <w:highlight w:val="auto"/>
        </w:rPr>
        <w:t>万元。主要用于</w:t>
      </w:r>
      <w:r>
        <w:rPr>
          <w:rFonts w:ascii="仿宋_GB2312" w:eastAsia="仿宋_GB2312" w:hint="eastAsia"/>
          <w:color w:val="auto"/>
          <w:sz w:val="32"/>
          <w:szCs w:val="32"/>
          <w:lang w:val="en-US" w:eastAsia="zh-CN"/>
          <w:highlight w:val="auto"/>
        </w:rPr>
        <w:t>公务接待及公务维护等工作</w:t>
      </w:r>
      <w:r>
        <w:rPr>
          <w:rFonts w:ascii="仿宋_GB2312" w:eastAsia="仿宋_GB2312" w:hint="eastAsia"/>
          <w:color w:val="auto"/>
          <w:sz w:val="32"/>
          <w:szCs w:val="32"/>
          <w:highlight w:val="auto"/>
        </w:rPr>
        <w:t>所需的公务用车燃料费、维修费、过路过桥费、保险费等支出。</w:t>
      </w:r>
    </w:p>
    <w:p>
      <w:pPr>
        <w:spacing w:line="600" w:lineRule="exact"/>
        <w:ind w:firstLine="640"/>
        <w:rPr>
          <w:rFonts w:ascii="仿宋_GB2312" w:eastAsia="仿宋_GB2312"/>
          <w:color w:val="auto"/>
          <w:sz w:val="32"/>
          <w:szCs w:val="32"/>
          <w:highlight w:val="auto"/>
        </w:rPr>
      </w:pPr>
      <w:r>
        <w:rPr>
          <w:rFonts w:ascii="仿宋_GB2312" w:eastAsia="仿宋_GB2312"/>
          <w:b/>
          <w:color w:val="auto"/>
          <w:sz w:val="32"/>
          <w:szCs w:val="32"/>
          <w:highlight w:val="auto"/>
        </w:rPr>
        <w:t>3.</w:t>
      </w:r>
      <w:r>
        <w:rPr>
          <w:rFonts w:ascii="仿宋_GB2312" w:eastAsia="仿宋_GB2312" w:hint="eastAsia"/>
          <w:b/>
          <w:color w:val="auto"/>
          <w:sz w:val="32"/>
          <w:szCs w:val="32"/>
          <w:highlight w:val="auto"/>
        </w:rPr>
        <w:t>公务接待费支出</w:t>
      </w:r>
      <w:r>
        <w:rPr>
          <w:rFonts w:ascii="仿宋_GB2312" w:eastAsia="仿宋_GB2312" w:hint="eastAsia"/>
          <w:color w:val="auto"/>
          <w:sz w:val="32"/>
          <w:szCs w:val="32"/>
          <w:lang w:val="en-US" w:eastAsia="zh-CN"/>
          <w:highlight w:val="auto"/>
        </w:rPr>
        <w:t>0.26</w:t>
      </w:r>
      <w:r>
        <w:rPr>
          <w:rFonts w:ascii="仿宋_GB2312" w:eastAsia="仿宋_GB2312" w:hint="eastAsia"/>
          <w:color w:val="auto"/>
          <w:sz w:val="32"/>
          <w:szCs w:val="32"/>
          <w:highlight w:val="auto"/>
        </w:rPr>
        <w:t>万元，</w:t>
      </w:r>
      <w:r>
        <w:rPr>
          <w:rStyle w:val="22"/>
          <w:rFonts w:ascii="仿宋" w:eastAsia="仿宋" w:hint="eastAsia"/>
          <w:b w:val="0"/>
          <w:bCs/>
          <w:color w:val="auto"/>
          <w:sz w:val="32"/>
          <w:szCs w:val="32"/>
          <w:highlight w:val="auto"/>
        </w:rPr>
        <w:t>完成预算</w:t>
      </w:r>
      <w:r>
        <w:rPr>
          <w:rStyle w:val="22"/>
          <w:rFonts w:ascii="仿宋" w:eastAsia="仿宋" w:hint="eastAsia"/>
          <w:b w:val="0"/>
          <w:bCs/>
          <w:color w:val="auto"/>
          <w:sz w:val="32"/>
          <w:szCs w:val="32"/>
          <w:lang w:val="en-US" w:eastAsia="zh-CN"/>
          <w:highlight w:val="auto"/>
        </w:rPr>
        <w:t>29.89</w:t>
      </w:r>
      <w:r>
        <w:rPr>
          <w:rStyle w:val="22"/>
          <w:rFonts w:ascii="仿宋" w:eastAsia="仿宋"/>
          <w:b w:val="0"/>
          <w:bCs/>
          <w:color w:val="auto"/>
          <w:sz w:val="32"/>
          <w:szCs w:val="32"/>
          <w:highlight w:val="auto"/>
        </w:rPr>
        <w:t>%</w:t>
      </w:r>
      <w:r>
        <w:rPr>
          <w:rStyle w:val="22"/>
          <w:rFonts w:ascii="仿宋" w:eastAsia="仿宋" w:hint="eastAsia"/>
          <w:b w:val="0"/>
          <w:bCs/>
          <w:color w:val="auto"/>
          <w:sz w:val="32"/>
          <w:szCs w:val="32"/>
          <w:highlight w:val="auto"/>
        </w:rPr>
        <w:t>。</w:t>
      </w:r>
      <w:r>
        <w:rPr>
          <w:rFonts w:ascii="仿宋_GB2312" w:eastAsia="仿宋_GB2312" w:hint="eastAsia"/>
          <w:color w:val="auto"/>
          <w:sz w:val="32"/>
          <w:szCs w:val="32"/>
          <w:highlight w:val="auto"/>
        </w:rPr>
        <w:t>公务接待费支出决算比</w:t>
      </w:r>
      <w:r>
        <w:rPr>
          <w:rFonts w:ascii="仿宋_GB2312" w:eastAsia="仿宋_GB2312" w:hint="eastAsia"/>
          <w:color w:val="auto"/>
          <w:sz w:val="32"/>
          <w:szCs w:val="32"/>
          <w:lang w:eastAsia="zh-CN"/>
          <w:highlight w:val="auto"/>
        </w:rPr>
        <w:t>2022</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lang w:val="en-US" w:eastAsia="zh-CN"/>
          <w:highlight w:val="auto"/>
        </w:rPr>
        <w:t>增加0.26</w:t>
      </w:r>
      <w:r>
        <w:rPr>
          <w:rFonts w:ascii="仿宋_GB2312" w:eastAsia="仿宋_GB2312" w:hint="eastAsia"/>
          <w:color w:val="auto"/>
          <w:sz w:val="32"/>
          <w:szCs w:val="32"/>
          <w:highlight w:val="auto"/>
        </w:rPr>
        <w:t>万元，</w:t>
      </w:r>
      <w:r>
        <w:rPr>
          <w:rFonts w:ascii="仿宋_GB2312" w:eastAsia="仿宋_GB2312" w:hint="eastAsia"/>
          <w:color w:val="auto"/>
          <w:sz w:val="32"/>
          <w:szCs w:val="32"/>
          <w:lang w:val="en-US" w:eastAsia="zh-CN"/>
          <w:highlight w:val="auto"/>
        </w:rPr>
        <w:t>增长100.00</w:t>
      </w:r>
      <w:r>
        <w:rPr>
          <w:rFonts w:ascii="仿宋_GB2312" w:eastAsia="仿宋_GB2312"/>
          <w:color w:val="auto"/>
          <w:sz w:val="32"/>
          <w:szCs w:val="32"/>
          <w:highlight w:val="auto"/>
        </w:rPr>
        <w:t>%</w:t>
      </w:r>
      <w:r>
        <w:rPr>
          <w:rFonts w:ascii="仿宋_GB2312" w:eastAsia="仿宋_GB2312" w:hint="eastAsia"/>
          <w:color w:val="auto"/>
          <w:sz w:val="32"/>
          <w:szCs w:val="32"/>
          <w:highlight w:val="auto"/>
        </w:rPr>
        <w:t>。主要原因是由于我院是宗教性质的单位，承办僧人的学衔工作，有很多省级和州级领导莅临指导。所以产生了公务接待费。其中：</w:t>
      </w:r>
    </w:p>
    <w:p>
      <w:pPr>
        <w:spacing w:line="600" w:lineRule="exact"/>
        <w:ind w:firstLine="640"/>
        <w:rPr>
          <w:rFonts w:ascii="仿宋_GB2312" w:eastAsia="仿宋_GB2312"/>
          <w:color w:val="auto"/>
          <w:sz w:val="32"/>
          <w:szCs w:val="32"/>
          <w:highlight w:val="auto"/>
        </w:rPr>
      </w:pPr>
      <w:r>
        <w:rPr>
          <w:rFonts w:ascii="仿宋" w:eastAsia="仿宋" w:hint="eastAsia"/>
          <w:b/>
          <w:color w:val="auto"/>
          <w:sz w:val="32"/>
          <w:szCs w:val="32"/>
          <w:highlight w:val="auto"/>
        </w:rPr>
        <w:t>国内公务接待支出</w:t>
      </w:r>
      <w:r>
        <w:rPr>
          <w:rFonts w:ascii="仿宋" w:eastAsia="仿宋" w:hint="eastAsia"/>
          <w:color w:val="auto"/>
          <w:sz w:val="32"/>
          <w:szCs w:val="32"/>
          <w:lang w:val="en-US" w:eastAsia="zh-CN"/>
          <w:highlight w:val="auto"/>
        </w:rPr>
        <w:t>0.26</w:t>
      </w:r>
      <w:r>
        <w:rPr>
          <w:rFonts w:ascii="仿宋_GB2312" w:eastAsia="仿宋_GB2312" w:hint="eastAsia"/>
          <w:color w:val="auto"/>
          <w:sz w:val="32"/>
          <w:szCs w:val="32"/>
          <w:highlight w:val="auto"/>
        </w:rPr>
        <w:t>万元，主要用于承办僧人的学衔工作</w:t>
      </w:r>
      <w:r>
        <w:rPr>
          <w:rFonts w:ascii="仿宋_GB2312" w:eastAsia="仿宋_GB2312" w:hint="eastAsia"/>
          <w:color w:val="auto"/>
          <w:sz w:val="32"/>
          <w:szCs w:val="32"/>
          <w:lang w:val="en-US" w:eastAsia="zh-CN"/>
          <w:highlight w:val="auto"/>
        </w:rPr>
        <w:t>等</w:t>
      </w:r>
      <w:r>
        <w:rPr>
          <w:rFonts w:ascii="仿宋_GB2312" w:eastAsia="仿宋_GB2312" w:hint="eastAsia"/>
          <w:color w:val="auto"/>
          <w:sz w:val="32"/>
          <w:szCs w:val="32"/>
          <w:highlight w:val="auto"/>
        </w:rPr>
        <w:t>活动开支的交通费、住宿费、用餐费等。国内公务接待</w:t>
      </w:r>
      <w:r>
        <w:rPr>
          <w:rFonts w:ascii="仿宋_GB2312" w:eastAsia="仿宋_GB2312" w:hint="eastAsia"/>
          <w:color w:val="auto"/>
          <w:sz w:val="32"/>
          <w:szCs w:val="32"/>
          <w:lang w:val="en-US" w:eastAsia="zh-CN"/>
          <w:highlight w:val="auto"/>
        </w:rPr>
        <w:t>2</w:t>
        <w:tab/>
      </w:r>
      <w:r>
        <w:rPr>
          <w:rFonts w:ascii="仿宋_GB2312" w:eastAsia="仿宋_GB2312" w:hint="eastAsia"/>
          <w:color w:val="auto"/>
          <w:sz w:val="32"/>
          <w:szCs w:val="32"/>
          <w:highlight w:val="auto"/>
        </w:rPr>
        <w:t>批次，</w:t>
      </w:r>
      <w:r>
        <w:rPr>
          <w:rFonts w:ascii="仿宋_GB2312" w:eastAsia="仿宋_GB2312" w:hint="eastAsia"/>
          <w:color w:val="auto"/>
          <w:sz w:val="32"/>
          <w:szCs w:val="32"/>
          <w:lang w:val="en-US" w:eastAsia="zh-CN"/>
          <w:highlight w:val="auto"/>
        </w:rPr>
        <w:t>15</w:t>
      </w:r>
      <w:r>
        <w:rPr>
          <w:rFonts w:ascii="仿宋_GB2312" w:eastAsia="仿宋_GB2312" w:hint="eastAsia"/>
          <w:color w:val="auto"/>
          <w:sz w:val="32"/>
          <w:szCs w:val="32"/>
          <w:highlight w:val="auto"/>
        </w:rPr>
        <w:t>人次（不包括陪同人员），共计支出</w:t>
      </w:r>
      <w:r>
        <w:rPr>
          <w:rFonts w:ascii="仿宋_GB2312" w:eastAsia="仿宋_GB2312" w:hint="eastAsia"/>
          <w:color w:val="auto"/>
          <w:sz w:val="32"/>
          <w:szCs w:val="32"/>
          <w:lang w:val="en-US" w:eastAsia="zh-CN"/>
          <w:highlight w:val="auto"/>
        </w:rPr>
        <w:t>0.26</w:t>
      </w:r>
      <w:r>
        <w:rPr>
          <w:rFonts w:ascii="仿宋_GB2312" w:eastAsia="仿宋_GB2312" w:hint="eastAsia"/>
          <w:color w:val="auto"/>
          <w:sz w:val="32"/>
          <w:szCs w:val="32"/>
          <w:highlight w:val="auto"/>
        </w:rPr>
        <w:t>万元，具体内容包括：承办僧人的学衔工作，省级和州级领导莅临指导</w:t>
      </w:r>
      <w:r>
        <w:rPr>
          <w:rFonts w:ascii="仿宋_GB2312" w:eastAsia="仿宋_GB2312" w:hint="eastAsia"/>
          <w:color w:val="auto"/>
          <w:sz w:val="32"/>
          <w:szCs w:val="32"/>
          <w:lang w:val="en-US" w:eastAsia="zh-CN"/>
          <w:highlight w:val="auto"/>
        </w:rPr>
        <w:t>等</w:t>
      </w:r>
      <w:r>
        <w:rPr>
          <w:rFonts w:ascii="仿宋_GB2312" w:eastAsia="仿宋_GB2312" w:hint="eastAsia"/>
          <w:color w:val="auto"/>
          <w:sz w:val="32"/>
          <w:szCs w:val="32"/>
          <w:highlight w:val="auto"/>
        </w:rPr>
        <w:t>。</w:t>
      </w:r>
    </w:p>
    <w:p>
      <w:pPr>
        <w:spacing w:line="600" w:lineRule="exact"/>
        <w:ind w:firstLineChars="200" w:firstLine="640"/>
        <w:rPr>
          <w:rFonts w:ascii="仿宋_GB2312" w:eastAsia="仿宋_GB2312"/>
          <w:color w:val="auto"/>
          <w:sz w:val="32"/>
          <w:szCs w:val="32"/>
          <w:highlight w:val="auto"/>
        </w:rPr>
      </w:pPr>
      <w:r>
        <w:rPr>
          <w:rFonts w:ascii="仿宋" w:eastAsia="仿宋" w:hint="eastAsia"/>
          <w:b/>
          <w:color w:val="auto"/>
          <w:sz w:val="32"/>
          <w:szCs w:val="32"/>
          <w:highlight w:val="auto"/>
        </w:rPr>
        <w:t>外事接待支出</w:t>
      </w:r>
      <w:r>
        <w:rPr>
          <w:rFonts w:ascii="仿宋" w:eastAsia="仿宋" w:hint="eastAsia"/>
          <w:color w:val="auto"/>
          <w:sz w:val="32"/>
          <w:szCs w:val="32"/>
          <w:lang w:val="en-US" w:eastAsia="zh-CN"/>
          <w:highlight w:val="auto"/>
        </w:rPr>
        <w:t>0</w:t>
      </w:r>
      <w:r>
        <w:rPr>
          <w:rFonts w:ascii="仿宋_GB2312" w:eastAsia="仿宋_GB2312" w:hint="eastAsia"/>
          <w:color w:val="auto"/>
          <w:sz w:val="32"/>
          <w:szCs w:val="32"/>
          <w:highlight w:val="auto"/>
        </w:rPr>
        <w:t>万元。</w:t>
      </w:r>
    </w:p>
    <w:p>
      <w:pPr>
        <w:spacing w:line="600" w:lineRule="exact"/>
        <w:outlineLvl w:val="9"/>
        <w:rPr>
          <w:rFonts w:ascii="黑体" w:eastAsia="黑体"/>
          <w:color w:val="auto"/>
          <w:sz w:val="32"/>
          <w:szCs w:val="32"/>
          <w:highlight w:val="auto"/>
        </w:rPr>
      </w:pPr>
    </w:p>
    <w:p>
      <w:pPr>
        <w:spacing w:line="600" w:lineRule="exact"/>
        <w:ind w:firstLine="640"/>
        <w:outlineLvl w:val="1"/>
        <w:rPr>
          <w:rStyle w:val="2Char"/>
          <w:rFonts w:ascii="黑体" w:eastAsia="黑体"/>
          <w:color w:val="auto"/>
          <w:highlight w:val="auto"/>
        </w:rPr>
      </w:pPr>
      <w:bookmarkStart w:id="19" w:name="_Toc30621"/>
      <w:r>
        <w:rPr>
          <w:rFonts w:ascii="黑体" w:eastAsia="黑体" w:hint="eastAsia"/>
          <w:color w:val="auto"/>
          <w:sz w:val="32"/>
          <w:szCs w:val="32"/>
          <w:highlight w:val="auto"/>
        </w:rPr>
        <w:t>八、</w:t>
      </w:r>
      <w:r>
        <w:rPr>
          <w:rStyle w:val="2Char"/>
          <w:rFonts w:ascii="黑体" w:eastAsia="黑体" w:hint="eastAsia"/>
          <w:b w:val="0"/>
          <w:color w:val="auto"/>
          <w:highlight w:val="auto"/>
        </w:rPr>
        <w:t>政府性基金预算支出决算情况说明</w:t>
      </w:r>
      <w:bookmarkEnd w:id="19"/>
    </w:p>
    <w:p>
      <w:pPr>
        <w:spacing w:line="600" w:lineRule="exact"/>
        <w:ind w:firstLine="640"/>
        <w:rPr>
          <w:rFonts w:ascii="仿宋_GB2312" w:eastAsia="仿宋_GB2312"/>
          <w:color w:val="auto"/>
          <w:sz w:val="32"/>
          <w:szCs w:val="32"/>
          <w:highlight w:val="auto"/>
        </w:rPr>
      </w:pPr>
      <w:r>
        <w:rPr>
          <w:rFonts w:ascii="仿宋_GB2312" w:eastAsia="仿宋_GB2312" w:hint="eastAsia"/>
          <w:color w:val="auto"/>
          <w:sz w:val="32"/>
          <w:szCs w:val="32"/>
          <w:lang w:eastAsia="zh-CN"/>
          <w:highlight w:val="auto"/>
        </w:rPr>
        <w:t>2023</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highlight w:val="auto"/>
        </w:rPr>
        <w:t>政府性基金预算</w:t>
      </w:r>
      <w:r>
        <w:rPr>
          <w:rFonts w:ascii="仿宋_GB2312" w:eastAsia="仿宋_GB2312" w:hint="eastAsia"/>
          <w:color w:val="auto"/>
          <w:sz w:val="32"/>
          <w:szCs w:val="32"/>
          <w:lang w:eastAsia="zh-CN"/>
          <w:highlight w:val="auto"/>
        </w:rPr>
        <w:t>财政</w:t>
      </w:r>
      <w:r>
        <w:rPr>
          <w:rFonts w:ascii="仿宋_GB2312" w:eastAsia="仿宋_GB2312" w:hint="eastAsia"/>
          <w:color w:val="auto"/>
          <w:sz w:val="32"/>
          <w:szCs w:val="32"/>
          <w:highlight w:val="auto"/>
        </w:rPr>
        <w:t>拨款支出</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万元。</w:t>
      </w:r>
    </w:p>
    <w:p>
      <w:pPr>
        <w:spacing w:line="600" w:lineRule="exact"/>
        <w:ind w:firstLine="640"/>
        <w:rPr>
          <w:rFonts w:ascii="仿宋_GB2312" w:eastAsia="仿宋_GB2312"/>
          <w:color w:val="auto"/>
          <w:sz w:val="32"/>
          <w:szCs w:val="32"/>
          <w:highlight w:val="auto"/>
        </w:rPr>
      </w:pP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黑体" w:eastAsia="黑体"/>
          <w:b w:val="0"/>
          <w:color w:val="auto"/>
          <w:highlight w:val="auto"/>
        </w:rPr>
      </w:pPr>
      <w:bookmarkStart w:id="20" w:name="_Toc12609"/>
      <w:r>
        <w:rPr>
          <w:rStyle w:val="2Char"/>
          <w:rFonts w:ascii="黑体" w:eastAsia="黑体" w:hint="eastAsia"/>
          <w:b w:val="0"/>
          <w:color w:val="auto"/>
          <w:lang w:eastAsia="zh-CN"/>
          <w:highlight w:val="auto"/>
        </w:rPr>
        <w:t>九、</w:t>
      </w:r>
      <w:r>
        <w:rPr>
          <w:rStyle w:val="2Char"/>
          <w:rFonts w:ascii="黑体" w:eastAsia="黑体" w:hint="eastAsia"/>
          <w:b w:val="0"/>
          <w:color w:val="auto"/>
          <w:highlight w:val="auto"/>
        </w:rPr>
        <w:t>国有资本经营预算支出决算情况说明</w:t>
      </w:r>
      <w:bookmarkEnd w:id="20"/>
    </w:p>
    <w:p>
      <w:pPr>
        <w:spacing w:line="600" w:lineRule="exact"/>
        <w:ind w:firstLine="640"/>
        <w:rPr>
          <w:rFonts w:ascii="仿宋_GB2312" w:eastAsia="仿宋_GB2312"/>
          <w:color w:val="auto"/>
          <w:sz w:val="32"/>
          <w:szCs w:val="32"/>
          <w:highlight w:val="auto"/>
        </w:rPr>
      </w:pPr>
      <w:r>
        <w:rPr>
          <w:rFonts w:ascii="仿宋_GB2312" w:eastAsia="仿宋_GB2312" w:hint="eastAsia"/>
          <w:color w:val="auto"/>
          <w:sz w:val="32"/>
          <w:szCs w:val="32"/>
          <w:lang w:eastAsia="zh-CN"/>
          <w:highlight w:val="auto"/>
        </w:rPr>
        <w:t>2023</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highlight w:val="auto"/>
        </w:rPr>
        <w:t>国有资本经营预算</w:t>
      </w:r>
      <w:r>
        <w:rPr>
          <w:rFonts w:ascii="仿宋_GB2312" w:eastAsia="仿宋_GB2312" w:hint="eastAsia"/>
          <w:color w:val="auto"/>
          <w:sz w:val="32"/>
          <w:szCs w:val="32"/>
          <w:lang w:eastAsia="zh-CN"/>
          <w:highlight w:val="auto"/>
        </w:rPr>
        <w:t>财政</w:t>
      </w:r>
      <w:r>
        <w:rPr>
          <w:rFonts w:ascii="仿宋_GB2312" w:eastAsia="仿宋_GB2312" w:hint="eastAsia"/>
          <w:color w:val="auto"/>
          <w:sz w:val="32"/>
          <w:szCs w:val="32"/>
          <w:highlight w:val="auto"/>
        </w:rPr>
        <w:t>拨款支出</w:t>
      </w:r>
      <w:r>
        <w:rPr>
          <w:rFonts w:ascii="仿宋_GB2312" w:eastAsia="仿宋_GB2312" w:hint="eastAsia"/>
          <w:color w:val="auto"/>
          <w:sz w:val="32"/>
          <w:szCs w:val="32"/>
          <w:lang w:val="en-US" w:eastAsia="zh-CN"/>
          <w:highlight w:val="auto"/>
        </w:rPr>
        <w:t>0.00</w:t>
      </w:r>
      <w:r>
        <w:rPr>
          <w:rFonts w:ascii="仿宋_GB2312" w:eastAsia="仿宋_GB2312" w:hint="eastAsia"/>
          <w:color w:val="auto"/>
          <w:sz w:val="32"/>
          <w:szCs w:val="32"/>
          <w:highlight w:val="auto"/>
        </w:rPr>
        <w:t>万元。</w:t>
      </w:r>
    </w:p>
    <w:p>
      <w:pPr>
        <w:keepNext w:val="0"/>
        <w:keepLines w:val="0"/>
        <w:pageBreakBefore w:val="0"/>
        <w:widowControl w:val="0"/>
        <w:kinsoku/>
        <w:wordWrap/>
        <w:overflowPunct/>
        <w:topLinePunct w:val="0"/>
        <w:autoSpaceDE/>
        <w:autoSpaceDN/>
        <w:bidi w:val="0"/>
        <w:adjustRightInd/>
        <w:snapToGrid/>
        <w:spacing w:line="580" w:lineRule="exact"/>
        <w:ind w:firstLineChars="200" w:firstLine="880"/>
        <w:jc w:val="center"/>
        <w:textAlignment w:val="auto"/>
        <w:rPr>
          <w:rFonts w:ascii="方正小标宋简体" w:eastAsia="方正小标宋简体" w:cs="方正小标宋简体"/>
          <w:color w:val="auto"/>
          <w:sz w:val="44"/>
          <w:szCs w:val="44"/>
          <w:highlight w:val="auto"/>
        </w:rPr>
      </w:pP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Style w:val="2Char"/>
          <w:rFonts w:ascii="黑体" w:eastAsia="黑体" w:hint="eastAsia"/>
          <w:b w:val="0"/>
          <w:color w:val="auto"/>
          <w:highlight w:val="auto"/>
        </w:rPr>
      </w:pPr>
      <w:bookmarkStart w:id="21" w:name="_Toc14878"/>
      <w:r>
        <w:rPr>
          <w:rStyle w:val="2Char"/>
          <w:rFonts w:ascii="黑体" w:eastAsia="黑体" w:hint="eastAsia"/>
          <w:b w:val="0"/>
          <w:color w:val="auto"/>
          <w:lang w:eastAsia="zh-CN"/>
          <w:highlight w:val="auto"/>
        </w:rPr>
        <w:t>十、</w:t>
      </w:r>
      <w:r>
        <w:rPr>
          <w:rStyle w:val="2Char"/>
          <w:rFonts w:ascii="黑体" w:eastAsia="黑体" w:hint="eastAsia"/>
          <w:b w:val="0"/>
          <w:color w:val="auto"/>
          <w:highlight w:val="auto"/>
        </w:rPr>
        <w:t>其他重要事项的情况说明</w:t>
      </w:r>
      <w:bookmarkStart w:id="22" w:name="_GoBack"/>
      <w:bookmarkEnd w:id="21"/>
      <w:bookmarkEnd w:id="22"/>
    </w:p>
    <w:p>
      <w:pPr>
        <w:spacing w:line="600" w:lineRule="exact"/>
        <w:ind w:firstLineChars="200" w:firstLine="640"/>
        <w:outlineLvl w:val="2"/>
        <w:rPr>
          <w:rFonts w:ascii="仿宋" w:eastAsia="仿宋"/>
          <w:color w:val="auto"/>
          <w:sz w:val="32"/>
          <w:szCs w:val="32"/>
          <w:highlight w:val="auto"/>
        </w:rPr>
      </w:pPr>
      <w:r>
        <w:rPr>
          <w:rFonts w:ascii="仿宋" w:eastAsia="仿宋" w:hint="eastAsia"/>
          <w:b/>
          <w:color w:val="auto"/>
          <w:sz w:val="32"/>
          <w:szCs w:val="32"/>
          <w:highlight w:val="auto"/>
        </w:rPr>
        <w:t>（一）机关运行经费支出情况</w:t>
      </w:r>
    </w:p>
    <w:p>
      <w:pPr>
        <w:spacing w:line="600" w:lineRule="exact"/>
        <w:ind w:firstLineChars="200" w:firstLine="640"/>
        <w:rPr>
          <w:rFonts w:ascii="仿宋_GB2312" w:eastAsia="仿宋_GB2312"/>
          <w:color w:val="auto"/>
          <w:sz w:val="32"/>
          <w:szCs w:val="32"/>
          <w:highlight w:val="auto"/>
        </w:rPr>
      </w:pPr>
      <w:r>
        <w:rPr>
          <w:rFonts w:ascii="仿宋_GB2312" w:eastAsia="仿宋_GB2312" w:hint="eastAsia"/>
          <w:color w:val="auto"/>
          <w:sz w:val="32"/>
          <w:szCs w:val="32"/>
          <w:lang w:eastAsia="zh-CN"/>
          <w:highlight w:val="auto"/>
        </w:rPr>
        <w:t>2023</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highlight w:val="auto"/>
        </w:rPr>
        <w:t>，</w:t>
      </w:r>
      <w:r>
        <w:rPr>
          <w:rFonts w:ascii="仿宋_GB2312" w:eastAsia="仿宋_GB2312" w:hint="eastAsia"/>
          <w:color w:val="auto"/>
          <w:sz w:val="32"/>
          <w:szCs w:val="32"/>
          <w:lang w:val="en-US" w:eastAsia="zh-CN"/>
          <w:highlight w:val="auto"/>
        </w:rPr>
        <w:t>本单位</w:t>
      </w:r>
      <w:r>
        <w:rPr>
          <w:rFonts w:ascii="仿宋_GB2312" w:eastAsia="仿宋_GB2312" w:hint="eastAsia"/>
          <w:color w:val="auto"/>
          <w:sz w:val="32"/>
          <w:szCs w:val="32"/>
          <w:highlight w:val="auto"/>
        </w:rPr>
        <w:t>机关运行经费支出</w:t>
      </w:r>
      <w:r>
        <w:rPr>
          <w:rFonts w:ascii="仿宋_GB2312" w:eastAsia="仿宋_GB2312" w:hint="eastAsia"/>
          <w:color w:val="auto"/>
          <w:sz w:val="32"/>
          <w:szCs w:val="32"/>
          <w:lang w:val="en-US" w:eastAsia="zh-CN"/>
          <w:highlight w:val="auto"/>
        </w:rPr>
        <w:t>0.00</w:t>
      </w:r>
      <w:r>
        <w:rPr>
          <w:rFonts w:ascii="仿宋_GB2312" w:eastAsia="仿宋_GB2312" w:hint="eastAsia"/>
          <w:color w:val="auto"/>
          <w:sz w:val="32"/>
          <w:szCs w:val="32"/>
          <w:highlight w:val="auto"/>
        </w:rPr>
        <w:t>万元</w:t>
      </w:r>
    </w:p>
    <w:p>
      <w:pPr>
        <w:autoSpaceDE w:val="0"/>
        <w:autoSpaceDN w:val="0"/>
        <w:adjustRightInd w:val="0"/>
        <w:spacing w:line="600" w:lineRule="exact"/>
        <w:ind w:firstLineChars="200" w:firstLine="640"/>
        <w:jc w:val="left"/>
        <w:outlineLvl w:val="2"/>
        <w:rPr>
          <w:rFonts w:ascii="仿宋" w:eastAsia="仿宋"/>
          <w:b/>
          <w:color w:val="auto"/>
          <w:sz w:val="32"/>
          <w:szCs w:val="32"/>
          <w:highlight w:val="auto"/>
        </w:rPr>
      </w:pPr>
      <w:r>
        <w:rPr>
          <w:rFonts w:ascii="仿宋" w:eastAsia="仿宋" w:hint="eastAsia"/>
          <w:b/>
          <w:color w:val="auto"/>
          <w:sz w:val="32"/>
          <w:szCs w:val="32"/>
          <w:highlight w:val="auto"/>
        </w:rPr>
        <w:t>（二）政府采购支出情况</w:t>
      </w:r>
    </w:p>
    <w:p>
      <w:pPr>
        <w:spacing w:line="600" w:lineRule="exact"/>
        <w:ind w:firstLineChars="200" w:firstLine="640"/>
        <w:rPr>
          <w:rFonts w:ascii="仿宋_GB2312" w:eastAsia="仿宋_GB2312"/>
          <w:color w:val="auto"/>
          <w:sz w:val="32"/>
          <w:szCs w:val="32"/>
          <w:highlight w:val="auto"/>
        </w:rPr>
      </w:pPr>
      <w:r>
        <w:rPr>
          <w:rFonts w:ascii="仿宋_GB2312" w:eastAsia="仿宋_GB2312" w:hint="eastAsia"/>
          <w:color w:val="auto"/>
          <w:sz w:val="32"/>
          <w:szCs w:val="32"/>
          <w:lang w:eastAsia="zh-CN"/>
          <w:highlight w:val="auto"/>
        </w:rPr>
        <w:t>2023</w:t>
      </w:r>
      <w:r>
        <w:rPr>
          <w:rFonts w:ascii="仿宋_GB2312" w:eastAsia="仿宋_GB2312" w:hint="eastAsia"/>
          <w:color w:val="auto"/>
          <w:sz w:val="32"/>
          <w:szCs w:val="32"/>
          <w:highlight w:val="auto"/>
        </w:rPr>
        <w:t>年</w:t>
      </w:r>
      <w:r>
        <w:rPr>
          <w:rFonts w:ascii="仿宋_GB2312" w:eastAsia="仿宋_GB2312" w:hint="eastAsia"/>
          <w:color w:val="auto"/>
          <w:sz w:val="32"/>
          <w:szCs w:val="32"/>
          <w:lang w:eastAsia="zh-CN"/>
          <w:highlight w:val="auto"/>
        </w:rPr>
        <w:t>度</w:t>
      </w:r>
      <w:r>
        <w:rPr>
          <w:rFonts w:ascii="仿宋_GB2312" w:eastAsia="仿宋_GB2312" w:hint="eastAsia"/>
          <w:color w:val="auto"/>
          <w:sz w:val="32"/>
          <w:szCs w:val="32"/>
          <w:highlight w:val="auto"/>
        </w:rPr>
        <w:t>，</w:t>
      </w:r>
      <w:r>
        <w:rPr>
          <w:rFonts w:ascii="仿宋_GB2312" w:eastAsia="仿宋_GB2312" w:hint="eastAsia"/>
          <w:color w:val="auto"/>
          <w:sz w:val="32"/>
          <w:szCs w:val="32"/>
          <w:lang w:val="en-US" w:eastAsia="zh-CN"/>
          <w:highlight w:val="auto"/>
        </w:rPr>
        <w:t>本单位</w:t>
      </w:r>
      <w:r>
        <w:rPr>
          <w:rFonts w:ascii="仿宋_GB2312" w:eastAsia="仿宋_GB2312" w:hint="eastAsia"/>
          <w:color w:val="auto"/>
          <w:sz w:val="32"/>
          <w:szCs w:val="32"/>
          <w:highlight w:val="auto"/>
        </w:rPr>
        <w:t>政府采购支出总额</w:t>
      </w:r>
      <w:r>
        <w:rPr>
          <w:rFonts w:ascii="仿宋_GB2312" w:eastAsia="仿宋_GB2312" w:hint="eastAsia"/>
          <w:color w:val="auto"/>
          <w:sz w:val="32"/>
          <w:szCs w:val="32"/>
          <w:lang w:val="en-US" w:eastAsia="zh-CN"/>
          <w:highlight w:val="auto"/>
        </w:rPr>
        <w:t>172.36</w:t>
      </w:r>
      <w:r>
        <w:rPr>
          <w:rFonts w:ascii="仿宋_GB2312" w:eastAsia="仿宋_GB2312" w:hint="eastAsia"/>
          <w:color w:val="auto"/>
          <w:sz w:val="32"/>
          <w:szCs w:val="32"/>
          <w:highlight w:val="auto"/>
        </w:rPr>
        <w:t>万元</w:t>
      </w:r>
      <w:r>
        <w:rPr>
          <w:rFonts w:ascii="仿宋_GB2312" w:eastAsia="仿宋_GB2312" w:hint="eastAsia"/>
          <w:color w:val="auto"/>
          <w:sz w:val="32"/>
          <w:szCs w:val="32"/>
          <w:lang w:eastAsia="zh-CN"/>
          <w:highlight w:val="auto"/>
        </w:rPr>
        <w:t>，</w:t>
      </w:r>
      <w:r>
        <w:rPr>
          <w:rFonts w:ascii="仿宋_GB2312" w:eastAsia="仿宋_GB2312" w:hint="eastAsia"/>
          <w:color w:val="auto"/>
          <w:sz w:val="32"/>
          <w:szCs w:val="32"/>
          <w:highlight w:val="auto"/>
        </w:rPr>
        <w:t>其中：政府采购货物支出50.97万元、政府采购工程支出</w:t>
      </w:r>
      <w:r>
        <w:rPr>
          <w:rFonts w:ascii="仿宋_GB2312" w:eastAsia="仿宋_GB2312" w:hint="eastAsia"/>
          <w:color w:val="auto"/>
          <w:sz w:val="32"/>
          <w:szCs w:val="32"/>
          <w:lang w:val="en-US" w:eastAsia="zh-CN"/>
          <w:highlight w:val="auto"/>
        </w:rPr>
        <w:t>0.00</w:t>
      </w:r>
      <w:r>
        <w:rPr>
          <w:rFonts w:ascii="仿宋_GB2312" w:eastAsia="仿宋_GB2312" w:hint="eastAsia"/>
          <w:color w:val="auto"/>
          <w:sz w:val="32"/>
          <w:szCs w:val="32"/>
          <w:highlight w:val="auto"/>
        </w:rPr>
        <w:t>万元、政府采购服务支出121.39万元。主要用于</w:t>
      </w:r>
      <w:r>
        <w:rPr>
          <w:rFonts w:ascii="仿宋_GB2312" w:eastAsia="仿宋_GB2312" w:hint="eastAsia"/>
          <w:color w:val="auto"/>
          <w:sz w:val="32"/>
          <w:szCs w:val="32"/>
          <w:lang w:val="en-US" w:eastAsia="zh-CN"/>
          <w:highlight w:val="auto"/>
        </w:rPr>
        <w:t>办公设备采购，</w:t>
      </w:r>
      <w:r>
        <w:rPr>
          <w:rFonts w:ascii="仿宋_GB2312" w:eastAsia="仿宋_GB2312" w:cs="仿宋_GB2312" w:hint="eastAsia"/>
          <w:kern w:val="0"/>
          <w:sz w:val="32"/>
          <w:szCs w:val="32"/>
          <w:shd w:val="clear" w:color="auto" w:fill="FFFFFF"/>
          <w:lang w:val="en-US" w:eastAsia="zh-CN" w:bidi="ar-SA"/>
        </w:rPr>
        <w:t>学院餐厅人员劳务费以及学员外出考察学习费用</w:t>
      </w:r>
      <w:r>
        <w:rPr>
          <w:rFonts w:ascii="仿宋_GB2312" w:eastAsia="仿宋_GB2312" w:hint="eastAsia"/>
          <w:color w:val="auto"/>
          <w:sz w:val="32"/>
          <w:szCs w:val="32"/>
          <w:highlight w:val="auto"/>
        </w:rPr>
        <w:t>。授予中小企业合同金额</w:t>
      </w:r>
      <w:r>
        <w:rPr>
          <w:rFonts w:ascii="仿宋_GB2312" w:eastAsia="仿宋_GB2312" w:hint="eastAsia"/>
          <w:color w:val="auto"/>
          <w:sz w:val="32"/>
          <w:szCs w:val="32"/>
          <w:lang w:val="en-US" w:eastAsia="zh-CN"/>
          <w:highlight w:val="auto"/>
        </w:rPr>
        <w:t>0.00</w:t>
      </w:r>
      <w:r>
        <w:rPr>
          <w:rFonts w:ascii="仿宋_GB2312" w:eastAsia="仿宋_GB2312" w:hint="eastAsia"/>
          <w:color w:val="auto"/>
          <w:sz w:val="32"/>
          <w:szCs w:val="32"/>
          <w:highlight w:val="auto"/>
        </w:rPr>
        <w:t>万元，其中：授予小微企业合同金额</w:t>
      </w:r>
      <w:r>
        <w:rPr>
          <w:rFonts w:ascii="仿宋_GB2312" w:eastAsia="仿宋_GB2312" w:hint="eastAsia"/>
          <w:color w:val="auto"/>
          <w:sz w:val="32"/>
          <w:szCs w:val="32"/>
          <w:lang w:val="en-US" w:eastAsia="zh-CN"/>
          <w:highlight w:val="auto"/>
        </w:rPr>
        <w:t>0.00</w:t>
      </w:r>
      <w:r>
        <w:rPr>
          <w:rFonts w:ascii="仿宋_GB2312" w:eastAsia="仿宋_GB2312" w:hint="eastAsia"/>
          <w:color w:val="auto"/>
          <w:sz w:val="32"/>
          <w:szCs w:val="32"/>
          <w:highlight w:val="auto"/>
        </w:rPr>
        <w:t>万元。</w:t>
      </w:r>
    </w:p>
    <w:p>
      <w:pPr>
        <w:autoSpaceDE w:val="0"/>
        <w:autoSpaceDN w:val="0"/>
        <w:adjustRightInd w:val="0"/>
        <w:spacing w:line="600" w:lineRule="exact"/>
        <w:ind w:firstLineChars="200" w:firstLine="640"/>
        <w:jc w:val="left"/>
        <w:outlineLvl w:val="2"/>
        <w:rPr>
          <w:rFonts w:ascii="仿宋" w:eastAsia="仿宋"/>
          <w:b/>
          <w:color w:val="auto"/>
          <w:sz w:val="32"/>
          <w:szCs w:val="32"/>
          <w:highlight w:val="auto"/>
        </w:rPr>
      </w:pPr>
      <w:r>
        <w:rPr>
          <w:rFonts w:ascii="仿宋" w:eastAsia="仿宋" w:hint="eastAsia"/>
          <w:b/>
          <w:color w:val="auto"/>
          <w:sz w:val="32"/>
          <w:szCs w:val="32"/>
          <w:highlight w:val="auto"/>
        </w:rPr>
        <w:t>（三）国有资产占有使用情况</w:t>
      </w:r>
    </w:p>
    <w:p>
      <w:pPr>
        <w:autoSpaceDE w:val="0"/>
        <w:autoSpaceDN w:val="0"/>
        <w:adjustRightInd w:val="0"/>
        <w:spacing w:line="600" w:lineRule="exact"/>
        <w:ind w:firstLineChars="200" w:firstLine="640"/>
        <w:jc w:val="left"/>
        <w:rPr>
          <w:rFonts w:ascii="仿宋_GB2312" w:eastAsia="仿宋_GB2312" w:hint="eastAsia"/>
          <w:color w:val="auto"/>
          <w:sz w:val="32"/>
          <w:szCs w:val="32"/>
          <w:highlight w:val="auto"/>
        </w:rPr>
      </w:pPr>
      <w:r>
        <w:rPr>
          <w:rFonts w:ascii="仿宋_GB2312" w:eastAsia="仿宋_GB2312" w:hint="eastAsia"/>
          <w:color w:val="auto"/>
          <w:sz w:val="32"/>
          <w:szCs w:val="32"/>
          <w:highlight w:val="auto"/>
        </w:rPr>
        <w:t>截至</w:t>
      </w:r>
      <w:r>
        <w:rPr>
          <w:rFonts w:ascii="仿宋_GB2312" w:eastAsia="仿宋_GB2312" w:hint="eastAsia"/>
          <w:color w:val="auto"/>
          <w:sz w:val="32"/>
          <w:szCs w:val="32"/>
          <w:lang w:eastAsia="zh-CN"/>
          <w:highlight w:val="auto"/>
        </w:rPr>
        <w:t>2023</w:t>
      </w:r>
      <w:r>
        <w:rPr>
          <w:rFonts w:ascii="仿宋_GB2312" w:eastAsia="仿宋_GB2312" w:hint="eastAsia"/>
          <w:color w:val="auto"/>
          <w:sz w:val="32"/>
          <w:szCs w:val="32"/>
          <w:highlight w:val="auto"/>
        </w:rPr>
        <w:t>年</w:t>
      </w:r>
      <w:r>
        <w:rPr>
          <w:rFonts w:ascii="仿宋_GB2312" w:eastAsia="仿宋_GB2312"/>
          <w:color w:val="auto"/>
          <w:sz w:val="32"/>
          <w:szCs w:val="32"/>
          <w:highlight w:val="auto"/>
        </w:rPr>
        <w:t>12</w:t>
      </w:r>
      <w:r>
        <w:rPr>
          <w:rFonts w:ascii="仿宋_GB2312" w:eastAsia="仿宋_GB2312" w:hint="eastAsia"/>
          <w:color w:val="auto"/>
          <w:sz w:val="32"/>
          <w:szCs w:val="32"/>
          <w:highlight w:val="auto"/>
        </w:rPr>
        <w:t>月</w:t>
      </w:r>
      <w:r>
        <w:rPr>
          <w:rFonts w:ascii="仿宋_GB2312" w:eastAsia="仿宋_GB2312"/>
          <w:color w:val="auto"/>
          <w:sz w:val="32"/>
          <w:szCs w:val="32"/>
          <w:highlight w:val="auto"/>
        </w:rPr>
        <w:t>31</w:t>
      </w:r>
      <w:r>
        <w:rPr>
          <w:rFonts w:ascii="仿宋_GB2312" w:eastAsia="仿宋_GB2312" w:hint="eastAsia"/>
          <w:color w:val="auto"/>
          <w:sz w:val="32"/>
          <w:szCs w:val="32"/>
          <w:highlight w:val="auto"/>
        </w:rPr>
        <w:t>日，</w:t>
      </w:r>
      <w:r>
        <w:rPr>
          <w:rFonts w:ascii="仿宋_GB2312" w:eastAsia="仿宋_GB2312" w:hint="eastAsia"/>
          <w:color w:val="auto"/>
          <w:sz w:val="32"/>
          <w:szCs w:val="32"/>
          <w:lang w:val="en-US" w:eastAsia="zh-CN"/>
          <w:highlight w:val="auto"/>
        </w:rPr>
        <w:t>本单位</w:t>
      </w:r>
      <w:r>
        <w:rPr>
          <w:rFonts w:ascii="仿宋_GB2312" w:eastAsia="仿宋_GB2312" w:hint="eastAsia"/>
          <w:color w:val="auto"/>
          <w:sz w:val="32"/>
          <w:szCs w:val="32"/>
          <w:highlight w:val="auto"/>
        </w:rPr>
        <w:t>共有车辆</w:t>
      </w:r>
      <w:r>
        <w:rPr>
          <w:rFonts w:ascii="仿宋_GB2312" w:eastAsia="仿宋_GB2312" w:hint="eastAsia"/>
          <w:color w:val="auto"/>
          <w:sz w:val="32"/>
          <w:szCs w:val="32"/>
          <w:lang w:val="en-US" w:eastAsia="zh-CN"/>
          <w:highlight w:val="auto"/>
        </w:rPr>
        <w:t>3</w:t>
      </w:r>
      <w:r>
        <w:rPr>
          <w:rFonts w:ascii="仿宋_GB2312" w:eastAsia="仿宋_GB2312" w:hint="eastAsia"/>
          <w:color w:val="auto"/>
          <w:sz w:val="32"/>
          <w:szCs w:val="32"/>
          <w:highlight w:val="auto"/>
        </w:rPr>
        <w:t>辆，其中：主要领导干部用车</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辆、机要通信用车</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辆、应急保障用车</w:t>
      </w:r>
      <w:r>
        <w:rPr>
          <w:rFonts w:ascii="仿宋_GB2312" w:eastAsia="仿宋_GB2312" w:hint="eastAsia"/>
          <w:color w:val="auto"/>
          <w:sz w:val="32"/>
          <w:szCs w:val="32"/>
          <w:lang w:val="en-US" w:eastAsia="zh-CN"/>
          <w:highlight w:val="auto"/>
        </w:rPr>
        <w:t>3</w:t>
      </w:r>
      <w:r>
        <w:rPr>
          <w:rFonts w:ascii="仿宋_GB2312" w:eastAsia="仿宋_GB2312" w:hint="eastAsia"/>
          <w:color w:val="auto"/>
          <w:sz w:val="32"/>
          <w:szCs w:val="32"/>
          <w:highlight w:val="auto"/>
        </w:rPr>
        <w:t>辆、其他用车</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辆</w:t>
      </w:r>
      <w:r>
        <w:rPr>
          <w:rFonts w:ascii="仿宋_GB2312" w:eastAsia="仿宋_GB2312" w:hint="eastAsia"/>
          <w:color w:val="auto"/>
          <w:sz w:val="32"/>
          <w:szCs w:val="32"/>
          <w:lang w:eastAsia="zh-CN"/>
          <w:highlight w:val="auto"/>
        </w:rPr>
        <w:t>。</w:t>
      </w:r>
      <w:r>
        <w:rPr>
          <w:rFonts w:ascii="仿宋_GB2312" w:eastAsia="仿宋_GB2312" w:hint="eastAsia"/>
          <w:color w:val="auto"/>
          <w:sz w:val="32"/>
          <w:szCs w:val="32"/>
          <w:highlight w:val="auto"/>
        </w:rPr>
        <w:t>单价</w:t>
      </w:r>
      <w:r>
        <w:rPr>
          <w:rFonts w:ascii="仿宋_GB2312" w:eastAsia="仿宋_GB2312"/>
          <w:color w:val="auto"/>
          <w:sz w:val="32"/>
          <w:szCs w:val="32"/>
          <w:highlight w:val="auto"/>
        </w:rPr>
        <w:t>50</w:t>
      </w:r>
      <w:r>
        <w:rPr>
          <w:rFonts w:ascii="仿宋_GB2312" w:eastAsia="仿宋_GB2312" w:hint="eastAsia"/>
          <w:color w:val="auto"/>
          <w:sz w:val="32"/>
          <w:szCs w:val="32"/>
          <w:highlight w:val="auto"/>
        </w:rPr>
        <w:t>万元以上通用设备</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台（套），单价</w:t>
      </w:r>
      <w:r>
        <w:rPr>
          <w:rFonts w:ascii="仿宋_GB2312" w:eastAsia="仿宋_GB2312"/>
          <w:color w:val="auto"/>
          <w:sz w:val="32"/>
          <w:szCs w:val="32"/>
          <w:highlight w:val="auto"/>
        </w:rPr>
        <w:t>100</w:t>
      </w:r>
      <w:r>
        <w:rPr>
          <w:rFonts w:ascii="仿宋_GB2312" w:eastAsia="仿宋_GB2312" w:hint="eastAsia"/>
          <w:color w:val="auto"/>
          <w:sz w:val="32"/>
          <w:szCs w:val="32"/>
          <w:highlight w:val="auto"/>
        </w:rPr>
        <w:t>万元以上专用设备</w:t>
      </w:r>
      <w:r>
        <w:rPr>
          <w:rFonts w:ascii="仿宋_GB2312" w:eastAsia="仿宋_GB2312" w:hint="eastAsia"/>
          <w:color w:val="auto"/>
          <w:sz w:val="32"/>
          <w:szCs w:val="32"/>
          <w:lang w:eastAsia="zh-CN"/>
          <w:highlight w:val="auto"/>
        </w:rPr>
        <w:t>（不含车辆）</w:t>
      </w:r>
      <w:r>
        <w:rPr>
          <w:rFonts w:ascii="仿宋_GB2312" w:eastAsia="仿宋_GB2312" w:hint="eastAsia"/>
          <w:color w:val="auto"/>
          <w:sz w:val="32"/>
          <w:szCs w:val="32"/>
          <w:lang w:val="en-US" w:eastAsia="zh-CN"/>
          <w:highlight w:val="auto"/>
        </w:rPr>
        <w:t>0</w:t>
      </w:r>
      <w:r>
        <w:rPr>
          <w:rFonts w:ascii="仿宋_GB2312" w:eastAsia="仿宋_GB2312" w:hint="eastAsia"/>
          <w:color w:val="auto"/>
          <w:sz w:val="32"/>
          <w:szCs w:val="32"/>
          <w:highlight w:val="auto"/>
        </w:rPr>
        <w:t>台（套）。</w:t>
      </w:r>
    </w:p>
    <w:p>
      <w:pPr>
        <w:autoSpaceDE w:val="0"/>
        <w:autoSpaceDN w:val="0"/>
        <w:adjustRightInd w:val="0"/>
        <w:spacing w:line="600" w:lineRule="exact"/>
        <w:ind w:firstLineChars="200" w:firstLine="640"/>
        <w:jc w:val="left"/>
        <w:outlineLvl w:val="2"/>
        <w:rPr>
          <w:rFonts w:ascii="仿宋" w:eastAsia="仿宋" w:hint="eastAsia"/>
          <w:b/>
          <w:color w:val="auto"/>
          <w:sz w:val="32"/>
          <w:szCs w:val="32"/>
          <w:lang w:eastAsia="zh-CN"/>
          <w:highlight w:val="auto"/>
        </w:rPr>
      </w:pPr>
      <w:r>
        <w:rPr>
          <w:rFonts w:ascii="仿宋" w:eastAsia="仿宋" w:hint="eastAsia"/>
          <w:b/>
          <w:color w:val="auto"/>
          <w:sz w:val="32"/>
          <w:szCs w:val="32"/>
          <w:highlight w:val="auto"/>
        </w:rPr>
        <w:t>（四）预算绩效管理情况</w:t>
      </w:r>
    </w:p>
    <w:p>
      <w:pPr>
        <w:spacing w:line="600" w:lineRule="exact"/>
        <w:ind w:firstLineChars="200" w:firstLine="640"/>
        <w:rPr>
          <w:rFonts w:ascii="仿宋_GB2312" w:eastAsia="仿宋_GB2312" w:cs="Times New Roman" w:hint="eastAsia"/>
          <w:color w:val="auto"/>
          <w:sz w:val="32"/>
          <w:szCs w:val="32"/>
          <w:lang w:val="en-US" w:eastAsia="zh-CN"/>
          <w:highlight w:val="auto"/>
        </w:rPr>
      </w:pPr>
      <w:r>
        <w:rPr>
          <w:rFonts w:ascii="仿宋_GB2312" w:eastAsia="仿宋_GB2312" w:cs="Times New Roman" w:hint="eastAsia"/>
          <w:color w:val="auto"/>
          <w:sz w:val="32"/>
          <w:szCs w:val="32"/>
          <w:lang w:eastAsia="zh-CN"/>
          <w:highlight w:val="auto"/>
        </w:rPr>
        <w:t>根据预算绩效管理要求，本单位在</w:t>
      </w:r>
      <w:r>
        <w:rPr>
          <w:rFonts w:ascii="仿宋_GB2312" w:eastAsia="仿宋_GB2312" w:cs="Times New Roman" w:hint="eastAsia"/>
          <w:color w:val="auto"/>
          <w:sz w:val="32"/>
          <w:szCs w:val="32"/>
          <w:lang w:val="en-US" w:eastAsia="zh-CN"/>
          <w:highlight w:val="auto"/>
        </w:rPr>
        <w:t>2023年度</w:t>
      </w:r>
      <w:r>
        <w:rPr>
          <w:rFonts w:ascii="仿宋_GB2312" w:eastAsia="仿宋_GB2312" w:cs="Times New Roman" w:hint="eastAsia"/>
          <w:color w:val="auto"/>
          <w:sz w:val="32"/>
          <w:szCs w:val="32"/>
          <w:lang w:eastAsia="zh-CN"/>
          <w:highlight w:val="auto"/>
        </w:rPr>
        <w:t>预算编制阶段，组织对四川藏语佛学院阿坝分院办学经费、四川藏语佛学院阿坝分院后勤运转经费、硕博进阿坝人才安家费</w:t>
      </w:r>
      <w:r>
        <w:rPr>
          <w:rFonts w:ascii="仿宋_GB2312" w:eastAsia="仿宋_GB2312" w:cs="Times New Roman" w:hint="eastAsia"/>
          <w:color w:val="auto"/>
          <w:sz w:val="32"/>
          <w:szCs w:val="32"/>
          <w:lang w:val="en-US" w:eastAsia="zh-CN"/>
          <w:highlight w:val="auto"/>
        </w:rPr>
        <w:t>3个项目</w:t>
      </w:r>
      <w:r>
        <w:rPr>
          <w:rFonts w:ascii="仿宋_GB2312" w:eastAsia="仿宋_GB2312" w:cs="Times New Roman" w:hint="eastAsia"/>
          <w:color w:val="auto"/>
          <w:sz w:val="32"/>
          <w:szCs w:val="32"/>
          <w:lang w:eastAsia="zh-CN"/>
          <w:highlight w:val="auto"/>
        </w:rPr>
        <w:t>开展了预算事前绩效评估，对</w:t>
      </w:r>
      <w:r>
        <w:rPr>
          <w:rFonts w:ascii="仿宋_GB2312" w:eastAsia="仿宋_GB2312" w:cs="Times New Roman" w:hint="eastAsia"/>
          <w:color w:val="auto"/>
          <w:sz w:val="32"/>
          <w:szCs w:val="32"/>
          <w:lang w:val="en-US" w:eastAsia="zh-CN"/>
          <w:highlight w:val="auto"/>
        </w:rPr>
        <w:t>3</w:t>
      </w:r>
      <w:r>
        <w:rPr>
          <w:rFonts w:ascii="仿宋_GB2312" w:eastAsia="仿宋_GB2312" w:cs="Times New Roman" w:hint="eastAsia"/>
          <w:color w:val="auto"/>
          <w:sz w:val="32"/>
          <w:szCs w:val="32"/>
          <w:lang w:eastAsia="zh-CN"/>
          <w:highlight w:val="auto"/>
        </w:rPr>
        <w:t>个项目编制了绩效目标，预算执行过程中，选取</w:t>
      </w:r>
      <w:r>
        <w:rPr>
          <w:rFonts w:ascii="仿宋_GB2312" w:eastAsia="仿宋_GB2312" w:cs="Times New Roman" w:hint="eastAsia"/>
          <w:color w:val="auto"/>
          <w:sz w:val="32"/>
          <w:szCs w:val="32"/>
          <w:lang w:val="en-US" w:eastAsia="zh-CN"/>
          <w:highlight w:val="auto"/>
        </w:rPr>
        <w:t>3</w:t>
      </w:r>
      <w:r>
        <w:rPr>
          <w:rFonts w:ascii="仿宋_GB2312" w:eastAsia="仿宋_GB2312" w:cs="Times New Roman" w:hint="eastAsia"/>
          <w:color w:val="auto"/>
          <w:sz w:val="32"/>
          <w:szCs w:val="32"/>
          <w:lang w:eastAsia="zh-CN"/>
          <w:highlight w:val="auto"/>
        </w:rPr>
        <w:t>个项目开展绩效监控，组织对</w:t>
      </w:r>
      <w:r>
        <w:rPr>
          <w:rFonts w:ascii="仿宋_GB2312" w:eastAsia="仿宋_GB2312" w:cs="Times New Roman" w:hint="eastAsia"/>
          <w:color w:val="auto"/>
          <w:sz w:val="32"/>
          <w:szCs w:val="32"/>
          <w:lang w:val="en-US" w:eastAsia="zh-CN"/>
          <w:highlight w:val="auto"/>
        </w:rPr>
        <w:t>3个项目开展绩效自评，绩效自评表详见第四部分附件。</w:t>
      </w:r>
    </w:p>
    <w:p>
      <w:pPr>
        <w:spacing w:line="600" w:lineRule="exact"/>
        <w:ind w:firstLineChars="200" w:firstLine="640"/>
        <w:rPr>
          <w:rFonts w:ascii="仿宋_GB2312" w:eastAsia="仿宋_GB2312" w:cs="Times New Roman" w:hint="eastAsia"/>
          <w:color w:val="auto"/>
          <w:sz w:val="32"/>
          <w:szCs w:val="32"/>
          <w:lang w:eastAsia="zh-CN"/>
          <w:highlight w:val="auto"/>
        </w:rPr>
      </w:pPr>
      <w:r>
        <w:rPr>
          <w:rFonts w:ascii="仿宋_GB2312" w:eastAsia="仿宋_GB2312" w:cs="Times New Roman" w:hint="eastAsia"/>
          <w:color w:val="auto"/>
          <w:sz w:val="32"/>
          <w:szCs w:val="32"/>
          <w:lang w:eastAsia="zh-CN"/>
          <w:highlight w:val="auto"/>
        </w:rPr>
        <w:br w:type="page"/>
      </w:r>
    </w:p>
    <w:p>
      <w:pPr>
        <w:spacing w:line="600" w:lineRule="exact"/>
        <w:jc w:val="center"/>
        <w:outlineLvl w:val="0"/>
        <w:rPr>
          <w:rStyle w:val="1Char"/>
          <w:rFonts w:ascii="黑体" w:eastAsia="黑体"/>
          <w:b w:val="0"/>
          <w:color w:val="auto"/>
          <w:highlight w:val="auto"/>
        </w:rPr>
      </w:pPr>
      <w:bookmarkStart w:id="23" w:name="_Toc3040"/>
      <w:r>
        <w:rPr>
          <w:rFonts w:ascii="黑体" w:eastAsia="黑体" w:hint="eastAsia"/>
          <w:color w:val="auto"/>
          <w:sz w:val="44"/>
          <w:szCs w:val="44"/>
          <w:lang w:eastAsia="zh-CN"/>
          <w:highlight w:val="auto"/>
        </w:rPr>
        <w:t>第三部分</w:t>
      </w:r>
      <w:r>
        <w:rPr>
          <w:rFonts w:ascii="黑体" w:eastAsia="黑体" w:hint="eastAsia"/>
          <w:color w:val="auto"/>
          <w:sz w:val="44"/>
          <w:szCs w:val="44"/>
          <w:lang w:val="en-US" w:eastAsia="zh-CN"/>
          <w:highlight w:val="auto"/>
        </w:rPr>
        <w:t xml:space="preserve">  </w:t>
      </w:r>
      <w:r>
        <w:rPr>
          <w:rFonts w:ascii="黑体" w:eastAsia="黑体" w:hint="eastAsia"/>
          <w:color w:val="auto"/>
          <w:sz w:val="44"/>
          <w:szCs w:val="44"/>
          <w:highlight w:val="auto"/>
        </w:rPr>
        <w:t>名</w:t>
      </w:r>
      <w:r>
        <w:rPr>
          <w:rStyle w:val="1Char"/>
          <w:rFonts w:ascii="黑体" w:eastAsia="黑体" w:hint="eastAsia"/>
          <w:b w:val="0"/>
          <w:color w:val="auto"/>
          <w:highlight w:val="auto"/>
        </w:rPr>
        <w:t>词解释</w:t>
      </w:r>
      <w:bookmarkEnd w:id="23"/>
    </w:p>
    <w:p>
      <w:pPr>
        <w:spacing w:line="600" w:lineRule="exact"/>
        <w:jc w:val="left"/>
        <w:rPr>
          <w:rFonts w:ascii="宋体"/>
          <w:b/>
          <w:color w:val="auto"/>
          <w:sz w:val="44"/>
          <w:szCs w:val="44"/>
          <w:highlight w:val="auto"/>
        </w:rPr>
      </w:pPr>
    </w:p>
    <w:p>
      <w:pPr>
        <w:spacing w:line="600" w:lineRule="exact"/>
        <w:ind w:firstLineChars="200" w:firstLine="640"/>
        <w:rPr>
          <w:rFonts w:ascii="仿宋_GB2312" w:eastAsia="仿宋_GB2312"/>
          <w:color w:val="auto"/>
          <w:sz w:val="32"/>
          <w:szCs w:val="32"/>
          <w:highlight w:val="auto"/>
        </w:rPr>
      </w:pPr>
      <w:bookmarkStart w:id="24" w:name="_Toc26750"/>
      <w:r>
        <w:rPr>
          <w:rFonts w:ascii="仿宋_GB2312" w:eastAsia="仿宋_GB2312"/>
          <w:color w:val="auto"/>
          <w:sz w:val="32"/>
          <w:szCs w:val="32"/>
          <w:highlight w:val="auto"/>
        </w:rPr>
        <w:t>1.</w:t>
      </w:r>
      <w:r>
        <w:rPr>
          <w:rFonts w:ascii="仿宋_GB2312" w:eastAsia="仿宋_GB2312" w:hint="eastAsia"/>
          <w:color w:val="auto"/>
          <w:sz w:val="32"/>
          <w:szCs w:val="32"/>
          <w:highlight w:val="auto"/>
        </w:rPr>
        <w:t>财政拨款收入：指单位从同级财政</w:t>
      </w:r>
      <w:r>
        <w:rPr>
          <w:rFonts w:ascii="仿宋_GB2312" w:eastAsia="仿宋_GB2312" w:hint="eastAsia"/>
          <w:color w:val="auto"/>
          <w:sz w:val="32"/>
          <w:szCs w:val="32"/>
          <w:lang w:eastAsia="zh-CN"/>
          <w:highlight w:val="auto"/>
        </w:rPr>
        <w:t>单位</w:t>
      </w:r>
      <w:r>
        <w:rPr>
          <w:rFonts w:ascii="仿宋_GB2312" w:eastAsia="仿宋_GB2312" w:hint="eastAsia"/>
          <w:color w:val="auto"/>
          <w:sz w:val="32"/>
          <w:szCs w:val="32"/>
          <w:highlight w:val="auto"/>
        </w:rPr>
        <w:t>取得的财政预算资金。</w:t>
      </w:r>
      <w:bookmarkEnd w:id="24"/>
    </w:p>
    <w:p>
      <w:pPr>
        <w:pStyle w:val="24"/>
        <w:spacing w:line="560" w:lineRule="exact"/>
        <w:ind w:firstLineChars="200" w:firstLine="640"/>
        <w:rPr>
          <w:rFonts w:ascii="仿宋_GB2312" w:eastAsia="仿宋_GB2312"/>
          <w:color w:val="auto"/>
          <w:sz w:val="32"/>
          <w:szCs w:val="32"/>
          <w:highlight w:val="auto"/>
        </w:rPr>
      </w:pPr>
      <w:r>
        <w:rPr>
          <w:rFonts w:ascii="仿宋_GB2312" w:eastAsia="仿宋_GB2312"/>
          <w:color w:val="auto"/>
          <w:sz w:val="32"/>
          <w:szCs w:val="32"/>
          <w:highlight w:val="auto"/>
        </w:rPr>
        <w:t>2.</w:t>
      </w:r>
      <w:r>
        <w:rPr>
          <w:rFonts w:ascii="仿宋_GB2312" w:eastAsia="仿宋_GB2312" w:hint="eastAsia"/>
          <w:color w:val="auto"/>
          <w:sz w:val="32"/>
          <w:szCs w:val="32"/>
          <w:highlight w:val="auto"/>
        </w:rPr>
        <w:t>事业收入：指事业单位开展专业业务活动及辅助活动取得的收入。</w:t>
      </w:r>
    </w:p>
    <w:p>
      <w:pPr>
        <w:pStyle w:val="24"/>
        <w:spacing w:line="560" w:lineRule="exact"/>
        <w:ind w:firstLineChars="200" w:firstLine="640"/>
        <w:rPr>
          <w:rFonts w:ascii="仿宋_GB2312" w:eastAsia="仿宋_GB2312"/>
          <w:color w:val="auto"/>
          <w:sz w:val="32"/>
          <w:szCs w:val="32"/>
          <w:highlight w:val="auto"/>
        </w:rPr>
      </w:pPr>
      <w:r>
        <w:rPr>
          <w:rFonts w:ascii="仿宋_GB2312" w:eastAsia="仿宋_GB2312"/>
          <w:color w:val="auto"/>
          <w:sz w:val="32"/>
          <w:szCs w:val="32"/>
          <w:highlight w:val="auto"/>
        </w:rPr>
        <w:t>3.</w:t>
      </w:r>
      <w:r>
        <w:rPr>
          <w:rFonts w:ascii="仿宋_GB2312" w:eastAsia="仿宋_GB2312" w:hint="eastAsia"/>
          <w:color w:val="auto"/>
          <w:sz w:val="32"/>
          <w:szCs w:val="32"/>
          <w:highlight w:val="auto"/>
        </w:rPr>
        <w:t>经营收入：指事业单位在专业业务活动及其辅助活动之外开展非独立核算经营活动取得的收入。</w:t>
      </w:r>
    </w:p>
    <w:p>
      <w:pPr>
        <w:spacing w:line="600" w:lineRule="exact"/>
        <w:ind w:firstLineChars="200" w:firstLine="640"/>
        <w:rPr>
          <w:rFonts w:ascii="仿宋_GB2312" w:eastAsia="仿宋_GB2312"/>
          <w:color w:val="auto"/>
          <w:sz w:val="32"/>
          <w:szCs w:val="32"/>
          <w:highlight w:val="auto"/>
        </w:rPr>
      </w:pPr>
      <w:bookmarkStart w:id="25" w:name="_Toc22564"/>
      <w:r>
        <w:rPr>
          <w:rFonts w:ascii="仿宋_GB2312" w:eastAsia="仿宋_GB2312"/>
          <w:color w:val="auto"/>
          <w:sz w:val="32"/>
          <w:szCs w:val="32"/>
          <w:highlight w:val="auto"/>
        </w:rPr>
        <w:t>4.</w:t>
      </w:r>
      <w:r>
        <w:rPr>
          <w:rFonts w:ascii="仿宋_GB2312" w:eastAsia="仿宋_GB2312" w:hint="eastAsia"/>
          <w:color w:val="auto"/>
          <w:sz w:val="32"/>
          <w:szCs w:val="32"/>
          <w:highlight w:val="auto"/>
        </w:rPr>
        <w:t>其他收入：指单位取得的除上述收入以外的各项收入。</w:t>
      </w:r>
      <w:bookmarkEnd w:id="25"/>
      <w:r>
        <w:rPr>
          <w:rFonts w:ascii="仿宋_GB2312" w:eastAsia="仿宋_GB2312"/>
          <w:color w:val="auto"/>
          <w:sz w:val="32"/>
          <w:szCs w:val="32"/>
          <w:highlight w:val="auto"/>
        </w:rPr>
        <w:t xml:space="preserve"> </w:t>
      </w:r>
    </w:p>
    <w:p>
      <w:pPr>
        <w:pStyle w:val="24"/>
        <w:spacing w:line="560" w:lineRule="exact"/>
        <w:ind w:firstLineChars="200" w:firstLine="640"/>
        <w:rPr>
          <w:rFonts w:ascii="仿宋_GB2312" w:eastAsia="仿宋_GB2312"/>
          <w:color w:val="auto"/>
          <w:sz w:val="32"/>
          <w:szCs w:val="32"/>
          <w:highlight w:val="auto"/>
        </w:rPr>
      </w:pPr>
      <w:r>
        <w:rPr>
          <w:rFonts w:ascii="仿宋_GB2312" w:eastAsia="仿宋_GB2312"/>
          <w:color w:val="auto"/>
          <w:sz w:val="32"/>
          <w:szCs w:val="32"/>
          <w:highlight w:val="auto"/>
        </w:rPr>
        <w:t>5.</w:t>
      </w:r>
      <w:r>
        <w:rPr>
          <w:rFonts w:ascii="仿宋_GB2312" w:eastAsia="仿宋_GB2312" w:hint="eastAsia"/>
          <w:sz w:val="32"/>
          <w:szCs w:val="32"/>
          <w:u w:val="none"/>
          <w:lang w:eastAsia="zh-CN"/>
        </w:rPr>
        <w:t>使用非财政拨款结余（含专用结余）</w:t>
      </w:r>
      <w:r>
        <w:rPr>
          <w:rFonts w:ascii="仿宋_GB2312" w:eastAsia="仿宋_GB2312" w:hint="eastAsia"/>
          <w:color w:val="auto"/>
          <w:sz w:val="32"/>
          <w:szCs w:val="32"/>
          <w:highlight w:val="auto"/>
        </w:rPr>
        <w:t>：指事业单位</w:t>
      </w:r>
      <w:r>
        <w:rPr>
          <w:rFonts w:ascii="仿宋_GB2312" w:eastAsia="仿宋_GB2312" w:hint="eastAsia"/>
          <w:color w:val="auto"/>
          <w:sz w:val="32"/>
          <w:szCs w:val="32"/>
          <w:lang w:eastAsia="zh-CN"/>
          <w:highlight w:val="auto"/>
        </w:rPr>
        <w:t>使用以前年度积累的非财政拨款结余弥补当年收支差额的金额。</w:t>
      </w:r>
      <w:r>
        <w:rPr>
          <w:rFonts w:ascii="仿宋_GB2312" w:eastAsia="仿宋_GB2312"/>
          <w:color w:val="auto"/>
          <w:sz w:val="32"/>
          <w:szCs w:val="32"/>
          <w:highlight w:val="auto"/>
        </w:rPr>
        <w:t xml:space="preserve"> </w:t>
      </w:r>
    </w:p>
    <w:p>
      <w:pPr>
        <w:pStyle w:val="24"/>
        <w:spacing w:line="560" w:lineRule="exact"/>
        <w:ind w:firstLineChars="200" w:firstLine="640"/>
        <w:rPr>
          <w:rFonts w:ascii="仿宋_GB2312" w:eastAsia="仿宋_GB2312"/>
          <w:color w:val="auto"/>
          <w:sz w:val="32"/>
          <w:szCs w:val="32"/>
          <w:highlight w:val="auto"/>
        </w:rPr>
      </w:pPr>
      <w:r>
        <w:rPr>
          <w:rFonts w:ascii="仿宋_GB2312" w:eastAsia="仿宋_GB2312"/>
          <w:color w:val="auto"/>
          <w:sz w:val="32"/>
          <w:szCs w:val="32"/>
          <w:highlight w:val="auto"/>
        </w:rPr>
        <w:t>6.</w:t>
      </w:r>
      <w:r>
        <w:rPr>
          <w:rFonts w:ascii="仿宋_GB2312" w:eastAsia="仿宋_GB2312" w:hint="eastAsia"/>
          <w:color w:val="auto"/>
          <w:sz w:val="32"/>
          <w:szCs w:val="32"/>
          <w:highlight w:val="auto"/>
        </w:rPr>
        <w:t>年初结转和结余：指以前年度尚未完成、结转到本年按有关规定继续使用的资金。</w:t>
      </w:r>
      <w:r>
        <w:rPr>
          <w:rFonts w:ascii="仿宋_GB2312" w:eastAsia="仿宋_GB2312"/>
          <w:color w:val="auto"/>
          <w:sz w:val="32"/>
          <w:szCs w:val="32"/>
          <w:highlight w:val="auto"/>
        </w:rPr>
        <w:t xml:space="preserve"> </w:t>
      </w:r>
    </w:p>
    <w:p>
      <w:pPr>
        <w:pStyle w:val="24"/>
        <w:spacing w:line="560" w:lineRule="exact"/>
        <w:ind w:firstLineChars="200" w:firstLine="640"/>
        <w:rPr>
          <w:rFonts w:ascii="仿宋_GB2312" w:eastAsia="仿宋_GB2312"/>
          <w:color w:val="auto"/>
          <w:sz w:val="32"/>
          <w:szCs w:val="32"/>
          <w:highlight w:val="auto"/>
        </w:rPr>
      </w:pPr>
      <w:r>
        <w:rPr>
          <w:rFonts w:ascii="仿宋_GB2312" w:eastAsia="仿宋_GB2312"/>
          <w:color w:val="auto"/>
          <w:sz w:val="32"/>
          <w:szCs w:val="32"/>
          <w:highlight w:val="auto"/>
        </w:rPr>
        <w:t>7.</w:t>
      </w:r>
      <w:r>
        <w:rPr>
          <w:rFonts w:ascii="仿宋_GB2312" w:eastAsia="仿宋_GB2312" w:hint="eastAsia"/>
          <w:color w:val="auto"/>
          <w:sz w:val="32"/>
          <w:szCs w:val="32"/>
          <w:highlight w:val="auto"/>
        </w:rPr>
        <w:t>结余分配：指事业单位按照会计制度规定</w:t>
      </w:r>
      <w:r>
        <w:rPr>
          <w:rFonts w:ascii="仿宋_GB2312" w:eastAsia="仿宋_GB2312" w:hint="eastAsia"/>
          <w:color w:val="auto"/>
          <w:sz w:val="32"/>
          <w:szCs w:val="32"/>
          <w:lang w:eastAsia="zh-CN"/>
          <w:highlight w:val="auto"/>
        </w:rPr>
        <w:t>缴纳的所得税、提取的专用结余以及转入非财政拨款结余的金额</w:t>
      </w:r>
      <w:r>
        <w:rPr>
          <w:rFonts w:ascii="仿宋_GB2312" w:eastAsia="仿宋_GB2312" w:hint="eastAsia"/>
          <w:color w:val="auto"/>
          <w:sz w:val="32"/>
          <w:szCs w:val="32"/>
          <w:highlight w:val="auto"/>
        </w:rPr>
        <w:t>等。</w:t>
      </w:r>
    </w:p>
    <w:p>
      <w:pPr>
        <w:pStyle w:val="24"/>
        <w:spacing w:line="560" w:lineRule="exact"/>
        <w:ind w:firstLineChars="200" w:firstLine="640"/>
        <w:rPr>
          <w:rFonts w:ascii="仿宋_GB2312" w:eastAsia="仿宋_GB2312"/>
          <w:color w:val="auto"/>
          <w:sz w:val="32"/>
          <w:szCs w:val="32"/>
          <w:highlight w:val="auto"/>
        </w:rPr>
      </w:pPr>
      <w:r>
        <w:rPr>
          <w:rFonts w:ascii="仿宋_GB2312" w:eastAsia="仿宋_GB2312"/>
          <w:color w:val="auto"/>
          <w:sz w:val="32"/>
          <w:szCs w:val="32"/>
          <w:highlight w:val="auto"/>
        </w:rPr>
        <w:t>8</w:t>
      </w:r>
      <w:r>
        <w:rPr>
          <w:rFonts w:ascii="仿宋_GB2312" w:eastAsia="仿宋_GB2312" w:hint="eastAsia"/>
          <w:color w:val="auto"/>
          <w:sz w:val="32"/>
          <w:szCs w:val="32"/>
          <w:lang w:val="en-US" w:eastAsia="zh-CN"/>
          <w:highlight w:val="auto"/>
        </w:rPr>
        <w:t>.</w:t>
      </w:r>
      <w:r>
        <w:rPr>
          <w:rFonts w:ascii="仿宋_GB2312" w:eastAsia="仿宋_GB2312" w:hint="eastAsia"/>
          <w:color w:val="auto"/>
          <w:sz w:val="32"/>
          <w:szCs w:val="32"/>
          <w:highlight w:val="auto"/>
        </w:rPr>
        <w:t>年末结转和结余：指单位按有关规定结转到下年或以后年度继续使用的资金。</w:t>
      </w:r>
    </w:p>
    <w:p>
      <w:pPr>
        <w:ind w:firstLineChars="200" w:firstLine="640"/>
        <w:rPr>
          <w:rFonts w:ascii="仿宋_GB2312" w:eastAsia="仿宋_GB2312" w:hint="eastAsia"/>
          <w:color w:val="auto"/>
          <w:sz w:val="32"/>
          <w:szCs w:val="32"/>
          <w:lang w:val="en-US" w:eastAsia="zh-CN"/>
          <w:highlight w:val="auto"/>
        </w:rPr>
      </w:pPr>
      <w:r>
        <w:rPr>
          <w:rFonts w:ascii="仿宋_GB2312" w:eastAsia="仿宋_GB2312" w:hint="eastAsia"/>
          <w:color w:val="auto"/>
          <w:sz w:val="32"/>
          <w:szCs w:val="32"/>
          <w:lang w:val="en-US" w:eastAsia="zh-CN"/>
          <w:highlight w:val="auto"/>
        </w:rPr>
        <w:t>9.一般公共服务支出（类）统战事务（款）宗教事务（项）：反映用于宗教事务管理方面的支出。</w:t>
      </w:r>
    </w:p>
    <w:p>
      <w:pPr>
        <w:ind w:firstLineChars="200" w:firstLine="640"/>
        <w:rPr>
          <w:rFonts w:ascii="仿宋_GB2312" w:eastAsia="仿宋_GB2312"/>
          <w:color w:val="auto"/>
          <w:sz w:val="32"/>
          <w:szCs w:val="32"/>
          <w:lang w:val="en-US" w:eastAsia="zh-CN"/>
          <w:highlight w:val="auto"/>
        </w:rPr>
      </w:pPr>
      <w:r>
        <w:rPr>
          <w:rFonts w:ascii="仿宋_GB2312" w:eastAsia="仿宋_GB2312" w:hint="eastAsia"/>
          <w:color w:val="auto"/>
          <w:sz w:val="32"/>
          <w:szCs w:val="32"/>
          <w:lang w:val="en-US" w:eastAsia="zh-CN"/>
          <w:highlight w:val="auto"/>
        </w:rPr>
        <w:t>10.</w:t>
      </w:r>
      <w:r>
        <w:rPr>
          <w:rFonts w:ascii="仿宋_GB2312" w:eastAsia="仿宋_GB2312"/>
          <w:color w:val="auto"/>
          <w:sz w:val="32"/>
          <w:szCs w:val="32"/>
          <w:lang w:val="en-US" w:eastAsia="zh-CN"/>
          <w:highlight w:val="auto"/>
        </w:rPr>
        <w:t>一般公共服务支出（类）统战事务（款）事业运行（项）：反映事业单位的基本支出，不包括行政单位(包括实行公务  员管理的事业单位)后勤服务中心、医务室等附属事业单位。</w:t>
      </w:r>
    </w:p>
    <w:p>
      <w:pPr>
        <w:ind w:firstLineChars="200" w:firstLine="640"/>
        <w:rPr>
          <w:rFonts w:ascii="仿宋_GB2312" w:eastAsia="仿宋_GB2312"/>
          <w:color w:val="auto"/>
          <w:sz w:val="32"/>
          <w:szCs w:val="32"/>
          <w:lang w:val="en-US" w:eastAsia="zh-CN"/>
          <w:highlight w:val="auto"/>
        </w:rPr>
      </w:pPr>
      <w:r>
        <w:rPr>
          <w:rFonts w:ascii="仿宋_GB2312" w:eastAsia="仿宋_GB2312" w:hint="eastAsia"/>
          <w:color w:val="auto"/>
          <w:sz w:val="32"/>
          <w:szCs w:val="32"/>
          <w:lang w:val="en-US" w:eastAsia="zh-CN"/>
          <w:highlight w:val="auto"/>
        </w:rPr>
        <w:t>11.一般公共服务支出（类）统战事务（款）其他统战事务支出（项）：反映除上述项目以外其他用于中国共产党统战部门的事务支出。</w:t>
      </w:r>
    </w:p>
    <w:p>
      <w:pPr>
        <w:ind w:firstLineChars="200" w:firstLine="640"/>
        <w:rPr>
          <w:rFonts w:ascii="仿宋_GB2312" w:eastAsia="仿宋_GB2312" w:hint="eastAsia"/>
          <w:color w:val="auto"/>
          <w:sz w:val="32"/>
          <w:szCs w:val="32"/>
          <w:highlight w:val="auto"/>
        </w:rPr>
      </w:pPr>
      <w:r>
        <w:rPr>
          <w:rFonts w:ascii="仿宋_GB2312" w:eastAsia="仿宋_GB2312" w:hint="eastAsia"/>
          <w:color w:val="auto"/>
          <w:sz w:val="32"/>
          <w:szCs w:val="32"/>
          <w:lang w:val="en-US" w:eastAsia="zh-CN"/>
          <w:highlight w:val="auto"/>
        </w:rPr>
        <w:t>12</w:t>
      </w:r>
      <w:r>
        <w:rPr>
          <w:rFonts w:ascii="仿宋_GB2312" w:eastAsia="仿宋_GB2312"/>
          <w:color w:val="auto"/>
          <w:sz w:val="32"/>
          <w:szCs w:val="32"/>
          <w:highlight w:val="auto"/>
        </w:rPr>
        <w:t>.</w:t>
      </w:r>
      <w:r>
        <w:rPr>
          <w:rFonts w:ascii="仿宋_GB2312" w:eastAsia="仿宋_GB2312" w:hint="eastAsia"/>
          <w:color w:val="auto"/>
          <w:sz w:val="32"/>
          <w:szCs w:val="32"/>
          <w:highlight w:val="auto"/>
        </w:rPr>
        <w:t>社会保障和就业支出（类）行政事业单位养老支出（款）机关事业单位基本养老保险缴费支出（项）</w:t>
      </w:r>
      <w:r>
        <w:rPr>
          <w:rFonts w:ascii="仿宋_GB2312" w:eastAsia="仿宋_GB2312" w:hint="eastAsia"/>
          <w:color w:val="auto"/>
          <w:sz w:val="32"/>
          <w:szCs w:val="32"/>
          <w:lang w:eastAsia="zh-CN"/>
          <w:highlight w:val="auto"/>
        </w:rPr>
        <w:t>：</w:t>
      </w:r>
      <w:r>
        <w:rPr>
          <w:rFonts w:ascii="仿宋_GB2312" w:eastAsia="仿宋_GB2312" w:hint="eastAsia"/>
          <w:color w:val="auto"/>
          <w:sz w:val="32"/>
          <w:szCs w:val="32"/>
          <w:highlight w:val="auto"/>
        </w:rPr>
        <w:t xml:space="preserve"> </w:t>
      </w:r>
      <w:r>
        <w:rPr>
          <w:rFonts w:ascii="仿宋_GB2312" w:eastAsia="仿宋_GB2312" w:hint="eastAsia"/>
          <w:color w:val="auto"/>
          <w:sz w:val="32"/>
          <w:szCs w:val="32"/>
          <w:lang w:val="en-US" w:eastAsia="zh-CN"/>
          <w:highlight w:val="auto"/>
        </w:rPr>
        <w:t>指</w:t>
      </w:r>
      <w:r>
        <w:rPr>
          <w:rFonts w:ascii="仿宋_GB2312" w:eastAsia="仿宋_GB2312" w:hint="eastAsia"/>
          <w:color w:val="auto"/>
          <w:sz w:val="32"/>
          <w:szCs w:val="32"/>
          <w:highlight w:val="auto"/>
        </w:rPr>
        <w:t>反映机关事业单位实施养老保险制度由单位缴纳的基本养老 保险费支出。</w:t>
      </w:r>
    </w:p>
    <w:p>
      <w:pPr>
        <w:ind w:firstLineChars="200" w:firstLine="640"/>
        <w:rPr>
          <w:rFonts w:ascii="仿宋_GB2312" w:eastAsia="仿宋_GB2312" w:hint="eastAsia"/>
          <w:color w:val="auto"/>
          <w:sz w:val="32"/>
          <w:szCs w:val="32"/>
          <w:highlight w:val="auto"/>
        </w:rPr>
      </w:pPr>
      <w:r>
        <w:rPr>
          <w:rFonts w:ascii="仿宋_GB2312" w:eastAsia="仿宋_GB2312" w:hint="eastAsia"/>
          <w:color w:val="auto"/>
          <w:sz w:val="32"/>
          <w:szCs w:val="32"/>
          <w:lang w:val="en-US" w:eastAsia="zh-CN"/>
          <w:highlight w:val="auto"/>
        </w:rPr>
        <w:t>13</w:t>
      </w:r>
      <w:r>
        <w:rPr>
          <w:rFonts w:ascii="仿宋_GB2312" w:eastAsia="仿宋_GB2312" w:hint="eastAsia"/>
          <w:color w:val="auto"/>
          <w:sz w:val="32"/>
          <w:szCs w:val="32"/>
          <w:highlight w:val="auto"/>
        </w:rPr>
        <w:t>.社会保障和就业支出（类）行政事业单位养老支出（款）机关事业单位职业年金缴费支出（项）</w:t>
      </w:r>
      <w:r>
        <w:rPr>
          <w:rFonts w:ascii="仿宋_GB2312" w:eastAsia="仿宋_GB2312" w:hint="eastAsia"/>
          <w:color w:val="auto"/>
          <w:sz w:val="32"/>
          <w:szCs w:val="32"/>
          <w:lang w:eastAsia="zh-CN"/>
          <w:highlight w:val="auto"/>
        </w:rPr>
        <w:t>：</w:t>
      </w:r>
      <w:r>
        <w:rPr>
          <w:rFonts w:ascii="仿宋_GB2312" w:eastAsia="仿宋_GB2312" w:hint="eastAsia"/>
          <w:color w:val="auto"/>
          <w:sz w:val="32"/>
          <w:szCs w:val="32"/>
          <w:highlight w:val="auto"/>
        </w:rPr>
        <w:t xml:space="preserve"> </w:t>
      </w:r>
      <w:r>
        <w:rPr>
          <w:rFonts w:ascii="仿宋_GB2312" w:eastAsia="仿宋_GB2312" w:hint="eastAsia"/>
          <w:color w:val="auto"/>
          <w:sz w:val="32"/>
          <w:szCs w:val="32"/>
          <w:lang w:val="en-US" w:eastAsia="zh-CN"/>
          <w:highlight w:val="auto"/>
        </w:rPr>
        <w:t>指反映机关事业单位实施养老保险制度由单位实际缴纳的职业 年金支出</w:t>
      </w:r>
      <w:r>
        <w:rPr>
          <w:rFonts w:ascii="仿宋_GB2312" w:eastAsia="仿宋_GB2312" w:hint="eastAsia"/>
          <w:color w:val="auto"/>
          <w:sz w:val="32"/>
          <w:szCs w:val="32"/>
          <w:highlight w:val="auto"/>
        </w:rPr>
        <w:t>。</w:t>
      </w:r>
    </w:p>
    <w:p>
      <w:pPr>
        <w:ind w:firstLineChars="200" w:firstLine="640"/>
        <w:rPr>
          <w:rFonts w:ascii="仿宋_GB2312" w:eastAsia="仿宋_GB2312" w:hint="eastAsia"/>
          <w:color w:val="auto"/>
          <w:sz w:val="32"/>
          <w:szCs w:val="32"/>
          <w:highlight w:val="auto"/>
        </w:rPr>
      </w:pPr>
      <w:r>
        <w:rPr>
          <w:rFonts w:ascii="仿宋_GB2312" w:eastAsia="仿宋_GB2312" w:hint="eastAsia"/>
          <w:color w:val="auto"/>
          <w:sz w:val="32"/>
          <w:szCs w:val="32"/>
          <w:lang w:val="en-US" w:eastAsia="zh-CN"/>
          <w:highlight w:val="auto"/>
        </w:rPr>
        <w:t>14</w:t>
      </w:r>
      <w:r>
        <w:rPr>
          <w:rFonts w:ascii="仿宋_GB2312" w:eastAsia="仿宋_GB2312" w:hint="eastAsia"/>
          <w:color w:val="auto"/>
          <w:sz w:val="32"/>
          <w:szCs w:val="32"/>
          <w:highlight w:val="auto"/>
        </w:rPr>
        <w:t>.卫生健康支出（类）行政事业单位医疗（款）事业单位医疗（项）</w:t>
      </w:r>
      <w:r>
        <w:rPr>
          <w:rFonts w:ascii="仿宋_GB2312" w:eastAsia="仿宋_GB2312" w:hint="eastAsia"/>
          <w:color w:val="auto"/>
          <w:sz w:val="32"/>
          <w:szCs w:val="32"/>
          <w:lang w:eastAsia="zh-CN"/>
          <w:highlight w:val="auto"/>
        </w:rPr>
        <w:t>：</w:t>
      </w:r>
      <w:r>
        <w:rPr>
          <w:rFonts w:ascii="仿宋_GB2312" w:eastAsia="仿宋_GB2312" w:hint="eastAsia"/>
          <w:color w:val="auto"/>
          <w:sz w:val="32"/>
          <w:szCs w:val="32"/>
          <w:highlight w:val="auto"/>
        </w:rPr>
        <w:t xml:space="preserve"> </w:t>
      </w:r>
      <w:r>
        <w:rPr>
          <w:rFonts w:ascii="仿宋_GB2312" w:eastAsia="仿宋_GB2312" w:hint="eastAsia"/>
          <w:color w:val="auto"/>
          <w:sz w:val="32"/>
          <w:szCs w:val="32"/>
          <w:lang w:val="en-US" w:eastAsia="zh-CN"/>
          <w:highlight w:val="auto"/>
        </w:rPr>
        <w:t>指</w:t>
      </w:r>
      <w:r>
        <w:rPr>
          <w:rFonts w:ascii="仿宋_GB2312" w:eastAsia="仿宋_GB2312" w:hint="eastAsia"/>
          <w:color w:val="auto"/>
          <w:sz w:val="32"/>
          <w:szCs w:val="32"/>
          <w:highlight w:val="auto"/>
        </w:rPr>
        <w:t>反映财政部门安排的事业单位基本医疗保险缴费经费，未参 加医疗保险的事业单位的公费医疗经费，按国家规定享受离休 人员待遇的医疗经费。</w:t>
      </w:r>
    </w:p>
    <w:p>
      <w:pPr>
        <w:ind w:firstLineChars="200" w:firstLine="640"/>
        <w:rPr>
          <w:rFonts w:ascii="仿宋_GB2312" w:eastAsia="仿宋_GB2312" w:hint="eastAsia"/>
          <w:color w:val="auto"/>
          <w:sz w:val="32"/>
          <w:szCs w:val="32"/>
          <w:highlight w:val="auto"/>
        </w:rPr>
      </w:pPr>
      <w:r>
        <w:rPr>
          <w:rFonts w:ascii="仿宋_GB2312" w:eastAsia="仿宋_GB2312" w:hint="eastAsia"/>
          <w:color w:val="auto"/>
          <w:sz w:val="32"/>
          <w:szCs w:val="32"/>
          <w:lang w:val="en-US" w:eastAsia="zh-CN"/>
          <w:highlight w:val="auto"/>
        </w:rPr>
        <w:t>15</w:t>
      </w:r>
      <w:r>
        <w:rPr>
          <w:rFonts w:ascii="仿宋_GB2312" w:eastAsia="仿宋_GB2312" w:hint="eastAsia"/>
          <w:color w:val="auto"/>
          <w:sz w:val="32"/>
          <w:szCs w:val="32"/>
          <w:highlight w:val="auto"/>
        </w:rPr>
        <w:t>.卫生健康支出（类）行政事业单位医疗（款）其他行政事业单位医疗支出（项）</w:t>
      </w:r>
      <w:r>
        <w:rPr>
          <w:rFonts w:ascii="仿宋_GB2312" w:eastAsia="仿宋_GB2312" w:hint="eastAsia"/>
          <w:color w:val="auto"/>
          <w:sz w:val="32"/>
          <w:szCs w:val="32"/>
          <w:lang w:eastAsia="zh-CN"/>
          <w:highlight w:val="auto"/>
        </w:rPr>
        <w:t>：</w:t>
      </w:r>
      <w:r>
        <w:rPr>
          <w:rFonts w:ascii="仿宋_GB2312" w:eastAsia="仿宋_GB2312" w:hint="eastAsia"/>
          <w:color w:val="auto"/>
          <w:sz w:val="32"/>
          <w:szCs w:val="32"/>
          <w:lang w:val="en-US" w:eastAsia="zh-CN"/>
          <w:highlight w:val="auto"/>
        </w:rPr>
        <w:t>指</w:t>
      </w:r>
      <w:r>
        <w:rPr>
          <w:rFonts w:ascii="仿宋_GB2312" w:eastAsia="仿宋_GB2312" w:hint="eastAsia"/>
          <w:color w:val="auto"/>
          <w:sz w:val="32"/>
          <w:szCs w:val="32"/>
          <w:highlight w:val="auto"/>
        </w:rPr>
        <w:t>反映除上述项目以外的其他用于行政事业单位医疗方面的 支 出。</w:t>
      </w:r>
    </w:p>
    <w:p>
      <w:pPr>
        <w:ind w:firstLineChars="200" w:firstLine="640"/>
        <w:rPr>
          <w:rFonts w:ascii="仿宋_GB2312" w:eastAsia="仿宋_GB2312" w:hint="eastAsia"/>
          <w:color w:val="auto"/>
          <w:sz w:val="32"/>
          <w:szCs w:val="32"/>
          <w:highlight w:val="auto"/>
        </w:rPr>
      </w:pPr>
      <w:r>
        <w:rPr>
          <w:rFonts w:ascii="仿宋_GB2312" w:eastAsia="仿宋_GB2312" w:hint="eastAsia"/>
          <w:color w:val="auto"/>
          <w:sz w:val="32"/>
          <w:szCs w:val="32"/>
          <w:lang w:val="en-US" w:eastAsia="zh-CN"/>
          <w:highlight w:val="auto"/>
        </w:rPr>
        <w:t>16.</w:t>
      </w:r>
      <w:r>
        <w:rPr>
          <w:rFonts w:ascii="仿宋_GB2312" w:eastAsia="仿宋_GB2312" w:hint="eastAsia"/>
          <w:color w:val="auto"/>
          <w:sz w:val="32"/>
          <w:szCs w:val="32"/>
          <w:highlight w:val="auto"/>
        </w:rPr>
        <w:t>住房保障支出（类）住房改革支出（款）住房公积金（项）</w:t>
      </w:r>
      <w:r>
        <w:rPr>
          <w:rFonts w:ascii="仿宋_GB2312" w:eastAsia="仿宋_GB2312" w:hint="eastAsia"/>
          <w:color w:val="auto"/>
          <w:sz w:val="32"/>
          <w:szCs w:val="32"/>
          <w:lang w:eastAsia="zh-CN"/>
          <w:highlight w:val="auto"/>
        </w:rPr>
        <w:t>：</w:t>
      </w:r>
      <w:r>
        <w:rPr>
          <w:rFonts w:ascii="仿宋_GB2312" w:eastAsia="仿宋_GB2312" w:hint="eastAsia"/>
          <w:color w:val="auto"/>
          <w:sz w:val="32"/>
          <w:szCs w:val="32"/>
          <w:lang w:val="en-US" w:eastAsia="zh-CN"/>
          <w:highlight w:val="auto"/>
        </w:rPr>
        <w:t>指</w:t>
      </w:r>
      <w:r>
        <w:rPr>
          <w:rFonts w:ascii="仿宋_GB2312" w:eastAsia="仿宋_GB2312" w:hint="eastAsia"/>
          <w:color w:val="auto"/>
          <w:sz w:val="32"/>
          <w:szCs w:val="32"/>
          <w:highlight w:val="auto"/>
        </w:rPr>
        <w:t>反映行政事业单位按人力资源和社会保障部、财政部规定的 基本工资和津贴补贴以及规定比例为职工缴纳的住房公积金。</w:t>
      </w:r>
    </w:p>
    <w:p>
      <w:pPr>
        <w:ind w:firstLineChars="200" w:firstLine="640"/>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1</w:t>
      </w:r>
      <w:r>
        <w:rPr>
          <w:rFonts w:ascii="仿宋_GB2312" w:eastAsia="仿宋_GB2312"/>
          <w:color w:val="auto"/>
          <w:sz w:val="32"/>
          <w:szCs w:val="32"/>
          <w:highlight w:val="auto"/>
        </w:rPr>
        <w:t>7.</w:t>
      </w:r>
      <w:r>
        <w:rPr>
          <w:rFonts w:ascii="仿宋_GB2312" w:eastAsia="仿宋_GB2312" w:hint="eastAsia"/>
          <w:color w:val="auto"/>
          <w:sz w:val="32"/>
          <w:szCs w:val="32"/>
          <w:highlight w:val="auto"/>
        </w:rPr>
        <w:t>基本支出：指为保障机构正常运转、完成日常工作任务而发生的人员支出和公用支出。</w:t>
      </w:r>
    </w:p>
    <w:p>
      <w:pPr>
        <w:ind w:firstLineChars="200" w:firstLine="640"/>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1</w:t>
      </w:r>
      <w:r>
        <w:rPr>
          <w:rFonts w:ascii="仿宋_GB2312" w:eastAsia="仿宋_GB2312"/>
          <w:color w:val="auto"/>
          <w:sz w:val="32"/>
          <w:szCs w:val="32"/>
          <w:highlight w:val="auto"/>
        </w:rPr>
        <w:t>8.</w:t>
      </w:r>
      <w:r>
        <w:rPr>
          <w:rFonts w:ascii="仿宋_GB2312" w:eastAsia="仿宋_GB2312" w:hint="eastAsia"/>
          <w:color w:val="auto"/>
          <w:sz w:val="32"/>
          <w:szCs w:val="32"/>
          <w:highlight w:val="auto"/>
        </w:rPr>
        <w:t>项目支出：指在基本支出之外为完成特定行政任务和事业发展目标所发生的支出。</w:t>
      </w:r>
      <w:r>
        <w:rPr>
          <w:rFonts w:ascii="仿宋_GB2312" w:eastAsia="仿宋_GB2312"/>
          <w:color w:val="auto"/>
          <w:sz w:val="32"/>
          <w:szCs w:val="32"/>
          <w:highlight w:val="auto"/>
        </w:rPr>
        <w:t xml:space="preserve"> </w:t>
      </w:r>
    </w:p>
    <w:p>
      <w:pPr>
        <w:pStyle w:val="24"/>
        <w:spacing w:line="560" w:lineRule="exact"/>
        <w:ind w:firstLineChars="200" w:firstLine="640"/>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2</w:t>
      </w:r>
      <w:r>
        <w:rPr>
          <w:rFonts w:ascii="仿宋_GB2312" w:eastAsia="仿宋_GB2312"/>
          <w:color w:val="auto"/>
          <w:sz w:val="32"/>
          <w:szCs w:val="32"/>
          <w:highlight w:val="auto"/>
        </w:rPr>
        <w:t>0.</w:t>
      </w:r>
      <w:r>
        <w:rPr>
          <w:rFonts w:ascii="仿宋_GB2312" w:eastAsia="仿宋_GB2312" w:hint="eastAsia"/>
          <w:color w:val="auto"/>
          <w:sz w:val="32"/>
          <w:szCs w:val="32"/>
          <w:highlight w:val="auto"/>
        </w:rPr>
        <w:t>“三公”经费：指</w:t>
      </w:r>
      <w:r>
        <w:rPr>
          <w:rFonts w:ascii="仿宋_GB2312" w:eastAsia="仿宋_GB2312" w:hint="eastAsia"/>
          <w:color w:val="auto"/>
          <w:sz w:val="32"/>
          <w:szCs w:val="32"/>
          <w:lang w:eastAsia="zh-CN"/>
          <w:highlight w:val="auto"/>
        </w:rPr>
        <w:t>单位</w:t>
      </w:r>
      <w:r>
        <w:rPr>
          <w:rFonts w:ascii="仿宋_GB2312" w:eastAsia="仿宋_GB2312" w:hint="eastAsia"/>
          <w:color w:val="auto"/>
          <w:sz w:val="32"/>
          <w:szCs w:val="32"/>
          <w:highlight w:val="auto"/>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Chars="200" w:firstLine="640"/>
        <w:rPr>
          <w:rFonts w:ascii="仿宋_GB2312" w:eastAsia="仿宋_GB2312"/>
          <w:color w:val="auto"/>
          <w:sz w:val="32"/>
          <w:szCs w:val="32"/>
          <w:highlight w:val="auto"/>
        </w:rPr>
      </w:pPr>
      <w:r>
        <w:rPr>
          <w:rFonts w:ascii="仿宋_GB2312" w:eastAsia="仿宋_GB2312" w:hint="eastAsia"/>
          <w:color w:val="auto"/>
          <w:sz w:val="32"/>
          <w:szCs w:val="32"/>
          <w:lang w:val="en-US" w:eastAsia="zh-CN"/>
          <w:highlight w:val="auto"/>
        </w:rPr>
        <w:t>2</w:t>
      </w:r>
      <w:r>
        <w:rPr>
          <w:rFonts w:ascii="仿宋_GB2312" w:eastAsia="仿宋_GB2312"/>
          <w:color w:val="auto"/>
          <w:sz w:val="32"/>
          <w:szCs w:val="32"/>
          <w:highlight w:val="auto"/>
        </w:rPr>
        <w:t>1.</w:t>
      </w:r>
      <w:r>
        <w:rPr>
          <w:rFonts w:ascii="仿宋_GB2312" w:eastAsia="仿宋_GB2312" w:hint="eastAsia"/>
          <w:color w:val="auto"/>
          <w:sz w:val="32"/>
          <w:szCs w:val="32"/>
          <w:highlight w:val="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黑体" w:eastAsia="黑体"/>
          <w:b w:val="0"/>
          <w:color w:val="auto"/>
          <w:highlight w:val="auto"/>
        </w:rPr>
      </w:pPr>
      <w:r>
        <w:rPr>
          <w:rFonts w:ascii="宋体"/>
          <w:b/>
          <w:color w:val="auto"/>
          <w:sz w:val="44"/>
          <w:szCs w:val="44"/>
          <w:highlight w:val="auto"/>
        </w:rPr>
        <w:br w:type="page"/>
      </w:r>
      <w:bookmarkStart w:id="26" w:name="_Toc18208"/>
      <w:r>
        <w:rPr>
          <w:rFonts w:ascii="黑体" w:eastAsia="黑体" w:hint="eastAsia"/>
          <w:color w:val="auto"/>
          <w:sz w:val="44"/>
          <w:szCs w:val="44"/>
          <w:highlight w:val="auto"/>
        </w:rPr>
        <w:t>第</w:t>
      </w:r>
      <w:r>
        <w:rPr>
          <w:rStyle w:val="1Char"/>
          <w:rFonts w:ascii="黑体" w:eastAsia="黑体" w:hint="eastAsia"/>
          <w:b w:val="0"/>
          <w:color w:val="auto"/>
          <w:highlight w:val="auto"/>
        </w:rPr>
        <w:t>四部分 附件</w:t>
      </w:r>
      <w:bookmarkEnd w:id="26"/>
    </w:p>
    <w:p>
      <w:pPr>
        <w:pStyle w:val="17"/>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cs="Times New Roman"/>
          <w:sz w:val="32"/>
          <w:szCs w:val="32"/>
          <w:lang w:val="en-US" w:eastAsia="zh-CN"/>
          <w:highlight w:val="auto"/>
        </w:rPr>
      </w:pPr>
      <w:r>
        <w:rPr>
          <w:rFonts w:cs="Times New Roman" w:hint="eastAsia"/>
          <w:sz w:val="32"/>
          <w:szCs w:val="32"/>
          <w:lang w:val="en-US" w:eastAsia="zh-CN"/>
          <w:highlight w:val="auto"/>
        </w:rPr>
        <w:t>附件1</w:t>
      </w:r>
    </w:p>
    <w:tbl>
      <w:tblPr>
        <w:jc w:val="left"/>
        <w:tblInd w:w="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632"/>
        <w:gridCol w:w="728"/>
        <w:gridCol w:w="1062"/>
        <w:gridCol w:w="1062"/>
        <w:gridCol w:w="1062"/>
        <w:gridCol w:w="1062"/>
        <w:gridCol w:w="1062"/>
        <w:gridCol w:w="435"/>
        <w:gridCol w:w="250"/>
        <w:gridCol w:w="203"/>
        <w:gridCol w:w="851"/>
      </w:tblGrid>
      <w:tr>
        <w:trPr>
          <w:trHeight w:val="390"/>
        </w:trPr>
        <w:tc>
          <w:tcPr>
            <w:tcW w:w="841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部门预算项目支出绩效自评表（2023年度）</w:t>
            </w:r>
          </w:p>
        </w:tc>
      </w:tr>
      <w:tr>
        <w:trPr>
          <w:trHeight w:val="270"/>
        </w:trPr>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0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51320023T000007972150-四川藏语佛学院阿坝分院办学经费</w:t>
            </w:r>
          </w:p>
        </w:tc>
      </w:tr>
      <w:tr>
        <w:trPr>
          <w:trHeight w:val="450"/>
        </w:trPr>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53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州委统战部部门</w:t>
            </w:r>
          </w:p>
        </w:tc>
        <w:tc>
          <w:tcPr>
            <w:tcW w:w="53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20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四川藏语佛学院阿坝分院</w:t>
            </w:r>
          </w:p>
        </w:tc>
      </w:tr>
      <w:tr>
        <w:trPr>
          <w:trHeight w:val="270"/>
        </w:trPr>
        <w:tc>
          <w:tcPr>
            <w:tcW w:w="6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72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53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174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660"/>
        </w:trPr>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3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严格执行财经纪律要求，合理、合规、合法使用后勤保障经费，实行预算编制科学合理，减少结余资金。严格执行教育行政法规，规范办学行为，按规定开展好佛教僧人培训，创建平安和谐校园。</w:t>
            </w:r>
          </w:p>
        </w:tc>
        <w:tc>
          <w:tcPr>
            <w:tcW w:w="174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对照年度目标，说明相关任务目标的完成情况（100字以内）</w:t>
            </w:r>
          </w:p>
        </w:tc>
      </w:tr>
      <w:tr>
        <w:trPr>
          <w:trHeight w:val="675"/>
        </w:trPr>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0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0"/>
        </w:trPr>
        <w:tc>
          <w:tcPr>
            <w:tcW w:w="6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270"/>
        </w:trPr>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455.36</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311.75</w:t>
            </w: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311.75</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预算执行率100%</w:t>
            </w:r>
          </w:p>
        </w:tc>
      </w:tr>
      <w:tr>
        <w:trPr>
          <w:trHeight w:val="450"/>
        </w:trPr>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455.36</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311.75</w:t>
            </w: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311.75</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0"/>
        </w:trPr>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70"/>
        </w:trPr>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70"/>
        </w:trPr>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0"/>
        </w:trPr>
        <w:tc>
          <w:tcPr>
            <w:tcW w:w="63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810"/>
        </w:trPr>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完成在校学生的初级学前教育</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年初绩效目标度量单位未设置准确。</w:t>
            </w:r>
          </w:p>
        </w:tc>
      </w:tr>
      <w:tr>
        <w:trPr>
          <w:trHeight w:val="675"/>
        </w:trPr>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保障本院学生教育设施的顺利开展</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75"/>
        </w:trPr>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经济成本指标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保障本校学生学前教育学习的完成</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万元</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70"/>
        </w:trPr>
        <w:tc>
          <w:tcPr>
            <w:tcW w:w="7205"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88</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1160"/>
        </w:trPr>
        <w:tc>
          <w:tcPr>
            <w:tcW w:w="6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77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评价小组在经过调研，对项目决策管理、绩效监管等工作计划进行梳理后，制定了评价方案。本项目的实施为办学提供了保障，并顺利完成了学校办学、教学任务。但在项目绩效目标设置方面有待进一步提升。</w:t>
            </w:r>
          </w:p>
        </w:tc>
      </w:tr>
      <w:tr>
        <w:trPr>
          <w:trHeight w:val="980"/>
        </w:trPr>
        <w:tc>
          <w:tcPr>
            <w:tcW w:w="6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77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绩效目标设置有待加强。通过本次自评过程中发现该项目绩效目标表中社会效益指标的指标性质不科学，不便于量化考核，未设置质量指标、时效指标等重要指标。质量指标和时效指标的三级指标设置不够准确，未体成本指标、数量指标等。</w:t>
            </w:r>
          </w:p>
        </w:tc>
      </w:tr>
      <w:tr>
        <w:trPr>
          <w:trHeight w:val="1100"/>
        </w:trPr>
        <w:tc>
          <w:tcPr>
            <w:tcW w:w="6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77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加强对各职能部门，尤其是业务部门领导干部的绩效管理培训。为保障项目总体绩效目标的达成，年初绩效目标设置要科学合理，目标要量化细化，有具体的指标值，切合实际，不可过高或过低。定量的指标应说明计算方式方法、数据采集获取方式及渠道等。</w:t>
            </w:r>
          </w:p>
        </w:tc>
      </w:tr>
      <w:tr>
        <w:trPr>
          <w:trHeight w:val="270"/>
        </w:trPr>
        <w:tc>
          <w:tcPr>
            <w:tcW w:w="454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项目负责人：高攀</w:t>
            </w:r>
          </w:p>
        </w:tc>
        <w:tc>
          <w:tcPr>
            <w:tcW w:w="386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财务负责人：李德骏</w:t>
            </w:r>
          </w:p>
        </w:tc>
      </w:tr>
    </w:tbl>
    <w:p>
      <w:pPr>
        <w:rPr>
          <w:rFonts w:ascii="宋体" w:eastAsia="宋体" w:cs="宋体" w:hint="eastAsia"/>
          <w:i w:val="0"/>
          <w:iCs w:val="0"/>
          <w:color w:val="000000"/>
          <w:sz w:val="18"/>
          <w:szCs w:val="18"/>
          <w:u w:val="none"/>
        </w:rPr>
      </w:pPr>
      <w:r>
        <w:rPr>
          <w:rFonts w:ascii="宋体" w:eastAsia="宋体" w:cs="宋体" w:hint="eastAsia"/>
          <w:i w:val="0"/>
          <w:iCs w:val="0"/>
          <w:color w:val="000000"/>
          <w:sz w:val="18"/>
          <w:szCs w:val="18"/>
          <w:u w:val="none"/>
        </w:rPr>
        <w:br w:type="page"/>
      </w:r>
    </w:p>
    <w:p>
      <w:pPr>
        <w:pStyle w:val="17"/>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eastAsia="仿宋_GB2312" w:cs="仿宋" w:hint="eastAsia"/>
          <w:color w:val="auto"/>
          <w:sz w:val="32"/>
          <w:szCs w:val="32"/>
          <w:lang w:val="en-US" w:eastAsia="zh-CN" w:bidi="ar-SA"/>
          <w:highlight w:val="auto"/>
        </w:rPr>
      </w:pPr>
      <w:r>
        <w:rPr>
          <w:rFonts w:eastAsia="仿宋_GB2312" w:cs="仿宋" w:hint="eastAsia"/>
          <w:color w:val="auto"/>
          <w:sz w:val="32"/>
          <w:szCs w:val="32"/>
          <w:lang w:val="en-US" w:eastAsia="zh-CN" w:bidi="ar-SA"/>
          <w:highlight w:val="auto"/>
        </w:rPr>
        <w:t>附件2</w:t>
      </w:r>
    </w:p>
    <w:tbl>
      <w:tblPr>
        <w:jc w:val="left"/>
        <w:tblInd w:w="93"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640"/>
        <w:gridCol w:w="738"/>
        <w:gridCol w:w="1062"/>
        <w:gridCol w:w="1129"/>
        <w:gridCol w:w="1062"/>
        <w:gridCol w:w="1062"/>
        <w:gridCol w:w="1062"/>
        <w:gridCol w:w="398"/>
        <w:gridCol w:w="229"/>
        <w:gridCol w:w="271"/>
        <w:gridCol w:w="663"/>
      </w:tblGrid>
      <w:tr>
        <w:trPr>
          <w:trHeight w:val="390"/>
        </w:trPr>
        <w:tc>
          <w:tcPr>
            <w:tcW w:w="8318"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部门预算项目支出绩效自评表（2023年度）</w:t>
            </w:r>
          </w:p>
        </w:tc>
      </w:tr>
      <w:tr>
        <w:trPr>
          <w:trHeight w:val="270"/>
        </w:trPr>
        <w:tc>
          <w:tcPr>
            <w:tcW w:w="137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694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51320023T000007972196-四川藏语佛学院阿坝分院后勤运转经费</w:t>
            </w:r>
          </w:p>
        </w:tc>
      </w:tr>
      <w:tr>
        <w:trPr>
          <w:trHeight w:val="450"/>
        </w:trPr>
        <w:tc>
          <w:tcPr>
            <w:tcW w:w="137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537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州委统战部部门</w:t>
            </w:r>
          </w:p>
        </w:tc>
        <w:tc>
          <w:tcPr>
            <w:tcW w:w="5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02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四川藏语佛学院阿坝分院</w:t>
            </w:r>
          </w:p>
        </w:tc>
      </w:tr>
      <w:tr>
        <w:trPr>
          <w:trHeight w:val="270"/>
        </w:trPr>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537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15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270"/>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537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严格执行相关政策，严格执行财经纪律要求，合理、合规、合法使用后勤保障经费，实行预算编制科学合理，减少结余资金。严格执行教育行政法规，规范办学行为，按规定开展好佛教僧人培训，创建平安和谐校园。</w:t>
            </w:r>
          </w:p>
        </w:tc>
        <w:tc>
          <w:tcPr>
            <w:tcW w:w="15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对照年度目标，说明相关任务目标的完成情况（100字以内）</w:t>
            </w:r>
          </w:p>
        </w:tc>
      </w:tr>
      <w:tr>
        <w:trPr>
          <w:trHeight w:val="675"/>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694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0"/>
        </w:trPr>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270"/>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619.86</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366.25</w:t>
            </w: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366.25</w:t>
            </w: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6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预算执行率100%</w:t>
            </w:r>
          </w:p>
        </w:tc>
      </w:tr>
      <w:tr>
        <w:trPr>
          <w:trHeight w:val="450"/>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619.86</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366.25</w:t>
            </w: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366.25</w:t>
            </w: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0"/>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70"/>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70"/>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31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0"/>
        </w:trPr>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900"/>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教师学员共同推动能源教育（培育成果率）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28</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指标值设置准确性有待提高</w:t>
            </w:r>
          </w:p>
        </w:tc>
      </w:tr>
      <w:tr>
        <w:trPr>
          <w:trHeight w:val="450"/>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保障办学后勤</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w:t>
            </w: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75"/>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创新人才培育模式（推动成效率）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75"/>
        </w:trPr>
        <w:tc>
          <w:tcPr>
            <w:tcW w:w="6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提升人才素养人才培育（成效率）</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5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70"/>
        </w:trPr>
        <w:tc>
          <w:tcPr>
            <w:tcW w:w="729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1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97.7</w:t>
            </w:r>
          </w:p>
        </w:tc>
        <w:tc>
          <w:tcPr>
            <w:tcW w:w="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1060"/>
        </w:trPr>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767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评价小组在经过调研，对项目决策管理、绩效监管等工作计划进行梳理后，制定了评价方案。本项目的实施为后勤的正常运转提供了保障，并顺利完成了学校教学任务。</w:t>
            </w:r>
          </w:p>
        </w:tc>
      </w:tr>
      <w:tr>
        <w:trPr>
          <w:trHeight w:val="740"/>
        </w:trPr>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767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但在项目绩效目标设置方面有待进一步提升。绩效目标表中质量指标和时效指标的三级指标设置不够准确，未体成本指标、数量指标等。绩效管理意识和水平有待加强。</w:t>
            </w:r>
          </w:p>
        </w:tc>
      </w:tr>
      <w:tr>
        <w:trPr>
          <w:trHeight w:val="800"/>
        </w:trPr>
        <w:tc>
          <w:tcPr>
            <w:tcW w:w="6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767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加强对各职能部门，尤其是业务部门领导干部的绩效管理培训。为保障项目总体绩效目标的达成，年初绩效目标设置要科学合理，目标要量化细化，有具体的指标值，切合实际，不可过高或过低。</w:t>
            </w:r>
          </w:p>
        </w:tc>
      </w:tr>
      <w:tr>
        <w:trPr>
          <w:trHeight w:val="270"/>
        </w:trPr>
        <w:tc>
          <w:tcPr>
            <w:tcW w:w="463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项目负责人：张伟</w:t>
            </w:r>
          </w:p>
        </w:tc>
        <w:tc>
          <w:tcPr>
            <w:tcW w:w="3687"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财务负责人：李德骏</w:t>
            </w:r>
          </w:p>
        </w:tc>
      </w:tr>
    </w:tbl>
    <w:p>
      <w:pPr>
        <w:pStyle w:val="17"/>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ascii="仿宋_GB2312" w:eastAsia="仿宋_GB2312" w:cs="仿宋"/>
          <w:color w:val="auto"/>
          <w:sz w:val="32"/>
          <w:szCs w:val="32"/>
          <w:lang w:val="en-US" w:eastAsia="zh-CN" w:bidi="ar-SA"/>
          <w:highlight w:val="auto"/>
        </w:rPr>
      </w:pPr>
    </w:p>
    <w:p>
      <w:pPr>
        <w:rPr>
          <w:rFonts w:ascii="仿宋_GB2312" w:eastAsia="仿宋_GB2312" w:cs="仿宋" w:hint="eastAsia"/>
          <w:color w:val="auto"/>
          <w:kern w:val="0"/>
          <w:sz w:val="32"/>
          <w:szCs w:val="32"/>
          <w:lang w:val="en-US" w:eastAsia="zh-CN" w:bidi="ar-SA"/>
          <w:highlight w:val="auto"/>
        </w:rPr>
      </w:pPr>
      <w:r>
        <w:rPr>
          <w:rFonts w:ascii="仿宋_GB2312" w:eastAsia="仿宋_GB2312" w:cs="仿宋" w:hint="eastAsia"/>
          <w:color w:val="auto"/>
          <w:kern w:val="0"/>
          <w:sz w:val="32"/>
          <w:szCs w:val="32"/>
          <w:lang w:val="en-US" w:eastAsia="zh-CN" w:bidi="ar-SA"/>
          <w:highlight w:val="auto"/>
        </w:rPr>
        <w:br w:type="page"/>
      </w:r>
    </w:p>
    <w:p>
      <w:pPr>
        <w:pStyle w:val="17"/>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eastAsia="仿宋_GB2312" w:cs="仿宋" w:hint="eastAsia"/>
          <w:color w:val="auto"/>
          <w:sz w:val="32"/>
          <w:szCs w:val="32"/>
          <w:lang w:val="en-US" w:eastAsia="zh-CN" w:bidi="ar-SA"/>
          <w:highlight w:val="auto"/>
        </w:rPr>
      </w:pPr>
      <w:r>
        <w:rPr>
          <w:rFonts w:eastAsia="仿宋_GB2312" w:cs="仿宋" w:hint="eastAsia"/>
          <w:color w:val="auto"/>
          <w:sz w:val="32"/>
          <w:szCs w:val="32"/>
          <w:lang w:val="en-US" w:eastAsia="zh-CN" w:bidi="ar-SA"/>
          <w:highlight w:val="auto"/>
        </w:rPr>
        <w:t>附件3</w:t>
      </w: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764"/>
        <w:gridCol w:w="764"/>
        <w:gridCol w:w="764"/>
        <w:gridCol w:w="764"/>
        <w:gridCol w:w="764"/>
        <w:gridCol w:w="764"/>
        <w:gridCol w:w="767"/>
        <w:gridCol w:w="764"/>
        <w:gridCol w:w="764"/>
        <w:gridCol w:w="764"/>
        <w:gridCol w:w="770"/>
      </w:tblGrid>
      <w:tr>
        <w:trPr>
          <w:trHeight w:val="39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部门预算项目支出绩效自评表（2023年度）</w:t>
            </w:r>
          </w:p>
        </w:tc>
      </w:tr>
      <w:tr>
        <w:trPr>
          <w:trHeight w:val="270"/>
        </w:trPr>
        <w:tc>
          <w:tcPr>
            <w:tcW w:w="90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409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51320023T000009570786-硕博进阿坝人才安家费</w:t>
            </w:r>
          </w:p>
        </w:tc>
      </w:tr>
      <w:tr>
        <w:trPr>
          <w:trHeight w:val="450"/>
        </w:trPr>
        <w:tc>
          <w:tcPr>
            <w:tcW w:w="90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2272"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州委统战部部门</w:t>
            </w:r>
          </w:p>
        </w:tc>
        <w:tc>
          <w:tcPr>
            <w:tcW w:w="45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1365"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四川藏语佛学院阿坝分院</w:t>
            </w:r>
          </w:p>
        </w:tc>
      </w:tr>
      <w:tr>
        <w:trPr>
          <w:trHeight w:val="270"/>
        </w:trPr>
        <w:tc>
          <w:tcPr>
            <w:tcW w:w="45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45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2272"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1819"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270"/>
        </w:trPr>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272"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硕博进阿坝人才引进目标已完成</w:t>
            </w:r>
          </w:p>
        </w:tc>
        <w:tc>
          <w:tcPr>
            <w:tcW w:w="1819"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对照年度目标，说明相关任务目标的完成情况（100字以内）</w:t>
            </w:r>
          </w:p>
        </w:tc>
      </w:tr>
      <w:tr>
        <w:trPr>
          <w:trHeight w:val="675"/>
        </w:trPr>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4091"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450"/>
        </w:trPr>
        <w:tc>
          <w:tcPr>
            <w:tcW w:w="45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36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270"/>
        </w:trPr>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20.00</w:t>
            </w:r>
          </w:p>
        </w:tc>
        <w:tc>
          <w:tcPr>
            <w:tcW w:w="136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7"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预算执行率100%</w:t>
            </w:r>
          </w:p>
        </w:tc>
      </w:tr>
      <w:tr>
        <w:trPr>
          <w:trHeight w:val="450"/>
        </w:trPr>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20.00</w:t>
            </w:r>
          </w:p>
        </w:tc>
        <w:tc>
          <w:tcPr>
            <w:tcW w:w="136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0"/>
        </w:trPr>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6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70"/>
        </w:trPr>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36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70"/>
        </w:trPr>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36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7"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0"/>
        </w:trPr>
        <w:tc>
          <w:tcPr>
            <w:tcW w:w="45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4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度量单位</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540"/>
        </w:trPr>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2名硕博进阿坝人才</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50</w:t>
            </w:r>
          </w:p>
        </w:tc>
        <w:tc>
          <w:tcPr>
            <w:tcW w:w="4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人数</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36</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绩效指标值设置不合理</w:t>
            </w:r>
          </w:p>
        </w:tc>
      </w:tr>
      <w:tr>
        <w:trPr>
          <w:trHeight w:val="675"/>
        </w:trPr>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保障职工正常开展日常工作</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30</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75"/>
        </w:trPr>
        <w:tc>
          <w:tcPr>
            <w:tcW w:w="45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成本指标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经济成本指标</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大力推展硕博进阿坝人才福利保障</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万元/个</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度量单位不准确</w:t>
            </w:r>
          </w:p>
        </w:tc>
      </w:tr>
      <w:tr>
        <w:trPr>
          <w:trHeight w:val="270"/>
        </w:trPr>
        <w:tc>
          <w:tcPr>
            <w:tcW w:w="3634" w:type="pct"/>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95</w:t>
            </w:r>
          </w:p>
        </w:tc>
        <w:tc>
          <w:tcPr>
            <w:tcW w:w="45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1260"/>
        </w:trPr>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4545"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评价小组在经过调研，对项目决策管理、绩效监管等工作计划进行梳理后，制定了评价方案。本项目通过战略人才集聚工程，聚焦高精尖缺项目的实施，有效解决了我单位人才的储备不足的问题，安家费的发放为尖端人才也提供了生活保障。但在项目绩效目标设置方面有待进一步提升。</w:t>
            </w:r>
          </w:p>
        </w:tc>
      </w:tr>
      <w:tr>
        <w:trPr>
          <w:trHeight w:val="840"/>
        </w:trPr>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4545"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绩效目标设置有待加强。通过本次自评，我单位绩效目标表中涉及引进人才数2人，绩效目标申报表中产出数量指标值和成本指标中的度量单位设置不准确；此外绩效目标设置数量较少，未体现质量指标、时效指标等。</w:t>
            </w:r>
          </w:p>
        </w:tc>
      </w:tr>
      <w:tr>
        <w:trPr>
          <w:trHeight w:val="860"/>
        </w:trPr>
        <w:tc>
          <w:tcPr>
            <w:tcW w:w="45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4545" w:type="pct"/>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rPr>
              <w:t>加强对各职能部门，尤其是业务部门领导干部的绩效管理培训。为保障项目总体绩效目标的达成，年初绩效目标设置要科学合理，目标要量化细化，有具体的指标值，切合实际，不可过高或过低。</w:t>
            </w:r>
          </w:p>
        </w:tc>
      </w:tr>
      <w:tr>
        <w:trPr>
          <w:trHeight w:val="270"/>
        </w:trPr>
        <w:tc>
          <w:tcPr>
            <w:tcW w:w="227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项目负责人：许哲理</w:t>
            </w:r>
          </w:p>
        </w:tc>
        <w:tc>
          <w:tcPr>
            <w:tcW w:w="2729"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财务负责人：李德骏</w:t>
            </w:r>
          </w:p>
        </w:tc>
      </w:tr>
    </w:tbl>
    <w:p>
      <w:pPr>
        <w:rPr>
          <w:lang w:val="en-US" w:eastAsia="zh-CN"/>
        </w:rPr>
      </w:pPr>
    </w:p>
    <w:p>
      <w:pPr>
        <w:pStyle w:val="15"/>
        <w:rPr>
          <w:rFonts w:ascii="仿宋_GB2312" w:eastAsia="仿宋_GB2312" w:cs="仿宋" w:hint="eastAsia"/>
          <w:color w:val="auto"/>
          <w:kern w:val="0"/>
          <w:sz w:val="32"/>
          <w:szCs w:val="32"/>
          <w:lang w:val="en-US" w:eastAsia="zh-CN" w:bidi="ar-SA"/>
          <w:highlight w:val="auto"/>
        </w:rPr>
      </w:pPr>
    </w:p>
    <w:p>
      <w:pPr>
        <w:pStyle w:val="15"/>
        <w:rPr>
          <w:rFonts w:ascii="仿宋_GB2312" w:eastAsia="仿宋_GB2312" w:cs="仿宋" w:hint="eastAsia"/>
          <w:color w:val="auto"/>
          <w:kern w:val="0"/>
          <w:sz w:val="32"/>
          <w:szCs w:val="32"/>
          <w:lang w:val="en-US" w:eastAsia="zh-CN" w:bidi="ar-SA"/>
          <w:highlight w:val="auto"/>
        </w:rPr>
      </w:pPr>
    </w:p>
    <w:p>
      <w:pPr>
        <w:pStyle w:val="15"/>
        <w:rPr>
          <w:rFonts w:ascii="仿宋_GB2312" w:eastAsia="仿宋_GB2312" w:cs="仿宋" w:hint="eastAsia"/>
          <w:color w:val="auto"/>
          <w:kern w:val="0"/>
          <w:sz w:val="32"/>
          <w:szCs w:val="32"/>
          <w:lang w:val="en-US" w:eastAsia="zh-CN" w:bidi="ar-SA"/>
          <w:highlight w:val="auto"/>
        </w:rPr>
      </w:pPr>
    </w:p>
    <w:p>
      <w:pPr>
        <w:pStyle w:val="15"/>
        <w:rPr>
          <w:rFonts w:ascii="仿宋_GB2312" w:eastAsia="仿宋_GB2312" w:cs="仿宋" w:hint="eastAsia"/>
          <w:color w:val="auto"/>
          <w:kern w:val="0"/>
          <w:sz w:val="32"/>
          <w:szCs w:val="32"/>
          <w:lang w:val="en-US" w:eastAsia="zh-CN" w:bidi="ar-SA"/>
          <w:highlight w:val="auto"/>
        </w:rPr>
      </w:pPr>
    </w:p>
    <w:p>
      <w:pPr>
        <w:pStyle w:val="15"/>
        <w:rPr>
          <w:rFonts w:ascii="仿宋_GB2312" w:eastAsia="仿宋_GB2312" w:cs="仿宋" w:hint="eastAsia"/>
          <w:color w:val="auto"/>
          <w:kern w:val="0"/>
          <w:sz w:val="32"/>
          <w:szCs w:val="32"/>
          <w:lang w:val="en-US" w:eastAsia="zh-CN" w:bidi="ar-SA"/>
          <w:highlight w:val="auto"/>
        </w:rPr>
      </w:pPr>
    </w:p>
    <w:p>
      <w:pPr>
        <w:pStyle w:val="15"/>
        <w:rPr>
          <w:rFonts w:ascii="仿宋_GB2312" w:eastAsia="仿宋_GB2312" w:cs="仿宋" w:hint="eastAsia"/>
          <w:color w:val="auto"/>
          <w:kern w:val="0"/>
          <w:sz w:val="32"/>
          <w:szCs w:val="32"/>
          <w:lang w:val="en-US" w:eastAsia="zh-CN" w:bidi="ar-SA"/>
          <w:highlight w:val="auto"/>
        </w:rPr>
      </w:pPr>
    </w:p>
    <w:p>
      <w:pPr>
        <w:pStyle w:val="15"/>
        <w:rPr>
          <w:rFonts w:ascii="仿宋_GB2312" w:eastAsia="仿宋_GB2312" w:cs="仿宋" w:hint="eastAsia"/>
          <w:color w:val="auto"/>
          <w:kern w:val="0"/>
          <w:sz w:val="32"/>
          <w:szCs w:val="32"/>
          <w:lang w:val="en-US" w:eastAsia="zh-CN" w:bidi="ar-SA"/>
          <w:highlight w:val="auto"/>
        </w:rPr>
      </w:pPr>
    </w:p>
    <w:p>
      <w:pPr>
        <w:pStyle w:val="15"/>
        <w:rPr>
          <w:rFonts w:ascii="仿宋_GB2312" w:eastAsia="仿宋_GB2312" w:cs="仿宋" w:hint="eastAsia"/>
          <w:color w:val="auto"/>
          <w:kern w:val="0"/>
          <w:sz w:val="32"/>
          <w:szCs w:val="32"/>
          <w:lang w:val="en-US" w:eastAsia="zh-CN" w:bidi="ar-SA"/>
          <w:highlight w:val="auto"/>
        </w:rPr>
      </w:pPr>
    </w:p>
    <w:p>
      <w:pPr>
        <w:pStyle w:val="15"/>
        <w:rPr>
          <w:rFonts w:ascii="仿宋_GB2312" w:eastAsia="仿宋_GB2312" w:cs="仿宋" w:hint="eastAsia"/>
          <w:color w:val="auto"/>
          <w:kern w:val="0"/>
          <w:sz w:val="32"/>
          <w:szCs w:val="32"/>
          <w:lang w:val="en-US" w:eastAsia="zh-CN" w:bidi="ar-SA"/>
          <w:highlight w:val="auto"/>
        </w:rPr>
      </w:pPr>
    </w:p>
    <w:p>
      <w:pPr>
        <w:pStyle w:val="15"/>
        <w:rPr>
          <w:rFonts w:ascii="仿宋_GB2312" w:eastAsia="仿宋_GB2312" w:cs="仿宋" w:hint="eastAsia"/>
          <w:color w:val="auto"/>
          <w:kern w:val="0"/>
          <w:sz w:val="32"/>
          <w:szCs w:val="32"/>
          <w:lang w:val="en-US" w:eastAsia="zh-CN" w:bidi="ar-SA"/>
          <w:highlight w:val="auto"/>
        </w:rPr>
      </w:pPr>
    </w:p>
    <w:p>
      <w:pPr>
        <w:pStyle w:val="15"/>
        <w:rPr>
          <w:rFonts w:ascii="仿宋_GB2312" w:eastAsia="仿宋_GB2312" w:cs="仿宋" w:hint="eastAsia"/>
          <w:color w:val="auto"/>
          <w:kern w:val="0"/>
          <w:sz w:val="32"/>
          <w:szCs w:val="32"/>
          <w:lang w:val="en-US" w:eastAsia="zh-CN" w:bidi="ar-SA"/>
          <w:highlight w:val="auto"/>
        </w:rPr>
      </w:pPr>
    </w:p>
    <w:p>
      <w:pPr>
        <w:rPr>
          <w:rFonts w:ascii="黑体" w:eastAsia="黑体" w:hint="eastAsia"/>
          <w:color w:val="auto"/>
          <w:sz w:val="44"/>
          <w:szCs w:val="44"/>
          <w:highlight w:val="auto"/>
        </w:rPr>
      </w:pPr>
      <w:r>
        <w:rPr>
          <w:rFonts w:ascii="黑体" w:eastAsia="黑体" w:hint="eastAsia"/>
          <w:color w:val="auto"/>
          <w:sz w:val="44"/>
          <w:szCs w:val="44"/>
          <w:highlight w:val="auto"/>
        </w:rPr>
        <w:br w:type="page"/>
      </w:r>
    </w:p>
    <w:p>
      <w:pPr>
        <w:spacing w:line="600" w:lineRule="exact"/>
        <w:jc w:val="center"/>
        <w:outlineLvl w:val="0"/>
        <w:rPr>
          <w:rFonts w:ascii="仿宋" w:eastAsia="仿宋" w:hint="eastAsia"/>
          <w:b w:val="0"/>
          <w:color w:val="auto"/>
          <w:highlight w:val="auto"/>
        </w:rPr>
      </w:pPr>
      <w:bookmarkStart w:id="27" w:name="_Toc7280"/>
      <w:r>
        <w:rPr>
          <w:rFonts w:ascii="黑体" w:eastAsia="黑体" w:hint="eastAsia"/>
          <w:color w:val="auto"/>
          <w:sz w:val="44"/>
          <w:szCs w:val="44"/>
          <w:highlight w:val="auto"/>
        </w:rPr>
        <w:t>第</w:t>
      </w:r>
      <w:r>
        <w:rPr>
          <w:rStyle w:val="1Char"/>
          <w:rFonts w:ascii="黑体" w:eastAsia="黑体" w:hint="eastAsia"/>
          <w:b w:val="0"/>
          <w:color w:val="auto"/>
          <w:highlight w:val="auto"/>
        </w:rPr>
        <w:t>五部分 附表</w:t>
      </w:r>
      <w:bookmarkEnd w:id="27"/>
    </w:p>
    <w:p>
      <w:pPr>
        <w:pStyle w:val="2"/>
        <w:rPr>
          <w:rFonts w:ascii="仿宋" w:eastAsia="仿宋"/>
          <w:color w:val="auto"/>
          <w:highlight w:val="auto"/>
        </w:rPr>
      </w:pPr>
      <w:bookmarkStart w:id="28" w:name="_Toc11491"/>
      <w:r>
        <w:rPr>
          <w:rFonts w:ascii="仿宋" w:eastAsia="仿宋" w:hint="eastAsia"/>
          <w:b w:val="0"/>
          <w:color w:val="auto"/>
          <w:highlight w:val="auto"/>
        </w:rPr>
        <w:t>一、收</w:t>
      </w:r>
      <w:r>
        <w:rPr>
          <w:rStyle w:val="2Char"/>
          <w:rFonts w:ascii="仿宋" w:eastAsia="仿宋" w:hint="eastAsia"/>
          <w:b w:val="0"/>
          <w:bCs w:val="0"/>
          <w:color w:val="auto"/>
          <w:highlight w:val="auto"/>
        </w:rPr>
        <w:t>入支出决算总表</w:t>
      </w:r>
      <w:bookmarkEnd w:id="28"/>
    </w:p>
    <w:p>
      <w:pPr>
        <w:pStyle w:val="2"/>
        <w:rPr>
          <w:rFonts w:ascii="仿宋" w:eastAsia="仿宋"/>
          <w:color w:val="auto"/>
          <w:highlight w:val="auto"/>
        </w:rPr>
      </w:pPr>
      <w:bookmarkStart w:id="29" w:name="_Toc22887"/>
      <w:r>
        <w:rPr>
          <w:rFonts w:ascii="仿宋" w:eastAsia="仿宋" w:hint="eastAsia"/>
          <w:b w:val="0"/>
          <w:color w:val="auto"/>
          <w:highlight w:val="auto"/>
        </w:rPr>
        <w:t>二、收</w:t>
      </w:r>
      <w:r>
        <w:rPr>
          <w:rStyle w:val="2Char"/>
          <w:rFonts w:ascii="仿宋" w:eastAsia="仿宋" w:hint="eastAsia"/>
          <w:b w:val="0"/>
          <w:bCs w:val="0"/>
          <w:color w:val="auto"/>
          <w:highlight w:val="auto"/>
        </w:rPr>
        <w:t>入决算表</w:t>
      </w:r>
      <w:bookmarkEnd w:id="29"/>
    </w:p>
    <w:p>
      <w:pPr>
        <w:pStyle w:val="2"/>
        <w:rPr>
          <w:rFonts w:ascii="仿宋" w:eastAsia="仿宋"/>
          <w:color w:val="auto"/>
          <w:highlight w:val="auto"/>
        </w:rPr>
      </w:pPr>
      <w:bookmarkStart w:id="30" w:name="_Toc1518"/>
      <w:r>
        <w:rPr>
          <w:rStyle w:val="2Char"/>
          <w:rFonts w:ascii="仿宋" w:eastAsia="仿宋" w:hint="eastAsia"/>
          <w:b w:val="0"/>
          <w:bCs w:val="0"/>
          <w:color w:val="auto"/>
          <w:highlight w:val="auto"/>
        </w:rPr>
        <w:t>三、</w:t>
      </w:r>
      <w:r>
        <w:rPr>
          <w:rFonts w:ascii="仿宋" w:eastAsia="仿宋" w:hint="eastAsia"/>
          <w:b w:val="0"/>
          <w:color w:val="auto"/>
          <w:highlight w:val="auto"/>
        </w:rPr>
        <w:t>支</w:t>
      </w:r>
      <w:r>
        <w:rPr>
          <w:rStyle w:val="2Char"/>
          <w:rFonts w:ascii="仿宋" w:eastAsia="仿宋" w:hint="eastAsia"/>
          <w:b w:val="0"/>
          <w:bCs w:val="0"/>
          <w:color w:val="auto"/>
          <w:highlight w:val="auto"/>
        </w:rPr>
        <w:t>出决算表</w:t>
      </w:r>
      <w:bookmarkEnd w:id="30"/>
    </w:p>
    <w:p>
      <w:pPr>
        <w:pStyle w:val="2"/>
        <w:rPr>
          <w:rFonts w:ascii="仿宋" w:eastAsia="仿宋"/>
          <w:b w:val="0"/>
          <w:color w:val="auto"/>
          <w:highlight w:val="auto"/>
        </w:rPr>
      </w:pPr>
      <w:bookmarkStart w:id="31" w:name="_Toc18195"/>
      <w:r>
        <w:rPr>
          <w:rStyle w:val="2Char"/>
          <w:rFonts w:ascii="仿宋" w:eastAsia="仿宋" w:hint="eastAsia"/>
          <w:b w:val="0"/>
          <w:bCs w:val="0"/>
          <w:color w:val="auto"/>
          <w:highlight w:val="auto"/>
        </w:rPr>
        <w:t>四、</w:t>
      </w:r>
      <w:r>
        <w:rPr>
          <w:rFonts w:ascii="仿宋" w:eastAsia="仿宋" w:hint="eastAsia"/>
          <w:b w:val="0"/>
          <w:color w:val="auto"/>
          <w:highlight w:val="auto"/>
        </w:rPr>
        <w:t>财</w:t>
      </w:r>
      <w:r>
        <w:rPr>
          <w:rStyle w:val="2Char"/>
          <w:rFonts w:ascii="仿宋" w:eastAsia="仿宋" w:hint="eastAsia"/>
          <w:b w:val="0"/>
          <w:bCs w:val="0"/>
          <w:color w:val="auto"/>
          <w:highlight w:val="auto"/>
        </w:rPr>
        <w:t>政拨款收入支出决算总表</w:t>
      </w:r>
      <w:bookmarkEnd w:id="31"/>
    </w:p>
    <w:p>
      <w:pPr>
        <w:pStyle w:val="2"/>
        <w:rPr>
          <w:rStyle w:val="2Char"/>
          <w:rFonts w:ascii="仿宋" w:eastAsia="仿宋"/>
          <w:b w:val="0"/>
          <w:bCs w:val="0"/>
          <w:color w:val="auto"/>
          <w:highlight w:val="auto"/>
        </w:rPr>
      </w:pPr>
      <w:bookmarkStart w:id="32" w:name="_Toc22697"/>
      <w:r>
        <w:rPr>
          <w:rStyle w:val="2Char"/>
          <w:rFonts w:ascii="仿宋" w:eastAsia="仿宋" w:hint="eastAsia"/>
          <w:b w:val="0"/>
          <w:bCs w:val="0"/>
          <w:color w:val="auto"/>
          <w:highlight w:val="auto"/>
        </w:rPr>
        <w:t>五、</w:t>
      </w:r>
      <w:r>
        <w:rPr>
          <w:rFonts w:ascii="仿宋" w:eastAsia="仿宋" w:hint="eastAsia"/>
          <w:b w:val="0"/>
          <w:color w:val="auto"/>
          <w:highlight w:val="auto"/>
        </w:rPr>
        <w:t>财</w:t>
      </w:r>
      <w:r>
        <w:rPr>
          <w:rStyle w:val="2Char"/>
          <w:rFonts w:ascii="仿宋" w:eastAsia="仿宋" w:hint="eastAsia"/>
          <w:b w:val="0"/>
          <w:bCs w:val="0"/>
          <w:color w:val="auto"/>
          <w:highlight w:val="auto"/>
        </w:rPr>
        <w:t>政拨款支出决算明细表</w:t>
      </w:r>
      <w:bookmarkEnd w:id="32"/>
    </w:p>
    <w:p>
      <w:pPr>
        <w:pStyle w:val="2"/>
        <w:rPr>
          <w:rFonts w:ascii="仿宋" w:eastAsia="仿宋"/>
          <w:color w:val="auto"/>
          <w:highlight w:val="auto"/>
        </w:rPr>
      </w:pPr>
      <w:bookmarkStart w:id="33" w:name="_Toc26948"/>
      <w:r>
        <w:rPr>
          <w:rStyle w:val="2Char"/>
          <w:rFonts w:ascii="仿宋" w:eastAsia="仿宋" w:hint="eastAsia"/>
          <w:b w:val="0"/>
          <w:bCs w:val="0"/>
          <w:color w:val="auto"/>
          <w:highlight w:val="auto"/>
        </w:rPr>
        <w:t>六、</w:t>
      </w:r>
      <w:r>
        <w:rPr>
          <w:rFonts w:ascii="仿宋" w:eastAsia="仿宋" w:hint="eastAsia"/>
          <w:b w:val="0"/>
          <w:color w:val="auto"/>
          <w:highlight w:val="auto"/>
        </w:rPr>
        <w:t>一</w:t>
      </w:r>
      <w:r>
        <w:rPr>
          <w:rStyle w:val="2Char"/>
          <w:rFonts w:ascii="仿宋" w:eastAsia="仿宋" w:hint="eastAsia"/>
          <w:b w:val="0"/>
          <w:bCs w:val="0"/>
          <w:color w:val="auto"/>
          <w:highlight w:val="auto"/>
        </w:rPr>
        <w:t>般公共预算财政拨款支出决算表</w:t>
      </w:r>
      <w:bookmarkEnd w:id="33"/>
    </w:p>
    <w:p>
      <w:pPr>
        <w:pStyle w:val="2"/>
        <w:rPr>
          <w:rFonts w:ascii="仿宋" w:eastAsia="仿宋"/>
          <w:color w:val="auto"/>
          <w:highlight w:val="auto"/>
        </w:rPr>
      </w:pPr>
      <w:bookmarkStart w:id="34" w:name="_Toc23052"/>
      <w:r>
        <w:rPr>
          <w:rStyle w:val="2Char"/>
          <w:rFonts w:ascii="仿宋" w:eastAsia="仿宋" w:hint="eastAsia"/>
          <w:b w:val="0"/>
          <w:bCs w:val="0"/>
          <w:color w:val="auto"/>
          <w:highlight w:val="auto"/>
        </w:rPr>
        <w:t>七、</w:t>
      </w:r>
      <w:r>
        <w:rPr>
          <w:rFonts w:ascii="仿宋" w:eastAsia="仿宋" w:hint="eastAsia"/>
          <w:b w:val="0"/>
          <w:color w:val="auto"/>
          <w:highlight w:val="auto"/>
        </w:rPr>
        <w:t>一</w:t>
      </w:r>
      <w:r>
        <w:rPr>
          <w:rStyle w:val="2Char"/>
          <w:rFonts w:ascii="仿宋" w:eastAsia="仿宋" w:hint="eastAsia"/>
          <w:b w:val="0"/>
          <w:bCs w:val="0"/>
          <w:color w:val="auto"/>
          <w:highlight w:val="auto"/>
        </w:rPr>
        <w:t>般公共预算财政拨款支出决算明细表</w:t>
      </w:r>
      <w:bookmarkEnd w:id="34"/>
    </w:p>
    <w:p>
      <w:pPr>
        <w:pStyle w:val="2"/>
        <w:rPr>
          <w:rFonts w:ascii="仿宋" w:eastAsia="仿宋"/>
          <w:color w:val="auto"/>
          <w:highlight w:val="auto"/>
        </w:rPr>
      </w:pPr>
      <w:bookmarkStart w:id="35" w:name="_Toc2008"/>
      <w:r>
        <w:rPr>
          <w:rStyle w:val="2Char"/>
          <w:rFonts w:ascii="仿宋" w:eastAsia="仿宋" w:hint="eastAsia"/>
          <w:b w:val="0"/>
          <w:bCs w:val="0"/>
          <w:color w:val="auto"/>
          <w:highlight w:val="auto"/>
        </w:rPr>
        <w:t>八、</w:t>
      </w:r>
      <w:r>
        <w:rPr>
          <w:rFonts w:ascii="仿宋" w:eastAsia="仿宋" w:hint="eastAsia"/>
          <w:b w:val="0"/>
          <w:color w:val="auto"/>
          <w:highlight w:val="auto"/>
        </w:rPr>
        <w:t>一</w:t>
      </w:r>
      <w:r>
        <w:rPr>
          <w:rStyle w:val="2Char"/>
          <w:rFonts w:ascii="仿宋" w:eastAsia="仿宋" w:hint="eastAsia"/>
          <w:b w:val="0"/>
          <w:bCs w:val="0"/>
          <w:color w:val="auto"/>
          <w:highlight w:val="auto"/>
        </w:rPr>
        <w:t>般公共预算财政拨款基本支出决算表</w:t>
      </w:r>
      <w:bookmarkEnd w:id="35"/>
    </w:p>
    <w:p>
      <w:pPr>
        <w:pStyle w:val="2"/>
        <w:rPr>
          <w:rFonts w:ascii="仿宋" w:eastAsia="仿宋"/>
          <w:color w:val="auto"/>
          <w:highlight w:val="auto"/>
        </w:rPr>
      </w:pPr>
      <w:bookmarkStart w:id="36" w:name="_Toc1593"/>
      <w:r>
        <w:rPr>
          <w:rStyle w:val="2Char"/>
          <w:rFonts w:ascii="仿宋" w:eastAsia="仿宋" w:hint="eastAsia"/>
          <w:b w:val="0"/>
          <w:bCs w:val="0"/>
          <w:color w:val="auto"/>
          <w:highlight w:val="auto"/>
        </w:rPr>
        <w:t>九、</w:t>
      </w:r>
      <w:r>
        <w:rPr>
          <w:rFonts w:ascii="仿宋" w:eastAsia="仿宋" w:hint="eastAsia"/>
          <w:b w:val="0"/>
          <w:color w:val="auto"/>
          <w:highlight w:val="auto"/>
        </w:rPr>
        <w:t>一</w:t>
      </w:r>
      <w:r>
        <w:rPr>
          <w:rStyle w:val="2Char"/>
          <w:rFonts w:ascii="仿宋" w:eastAsia="仿宋" w:hint="eastAsia"/>
          <w:b w:val="0"/>
          <w:bCs w:val="0"/>
          <w:color w:val="auto"/>
          <w:highlight w:val="auto"/>
        </w:rPr>
        <w:t>般公共预算财政拨款项目支出决算表</w:t>
      </w:r>
      <w:bookmarkEnd w:id="36"/>
    </w:p>
    <w:p>
      <w:pPr>
        <w:pStyle w:val="2"/>
        <w:rPr>
          <w:rFonts w:ascii="仿宋" w:eastAsia="仿宋"/>
          <w:color w:val="auto"/>
          <w:highlight w:val="auto"/>
        </w:rPr>
      </w:pPr>
      <w:bookmarkStart w:id="37" w:name="_Toc6973"/>
      <w:r>
        <w:rPr>
          <w:rStyle w:val="2Char"/>
          <w:rFonts w:ascii="仿宋" w:eastAsia="仿宋" w:hint="eastAsia"/>
          <w:b w:val="0"/>
          <w:bCs w:val="0"/>
          <w:color w:val="auto"/>
          <w:highlight w:val="auto"/>
        </w:rPr>
        <w:t>十、</w:t>
      </w:r>
      <w:r>
        <w:rPr>
          <w:rFonts w:ascii="仿宋" w:eastAsia="仿宋" w:hint="eastAsia"/>
          <w:b w:val="0"/>
          <w:color w:val="auto"/>
          <w:highlight w:val="auto"/>
        </w:rPr>
        <w:t>政</w:t>
      </w:r>
      <w:r>
        <w:rPr>
          <w:rStyle w:val="2Char"/>
          <w:rFonts w:ascii="仿宋" w:eastAsia="仿宋" w:hint="eastAsia"/>
          <w:b w:val="0"/>
          <w:bCs w:val="0"/>
          <w:color w:val="auto"/>
          <w:highlight w:val="auto"/>
        </w:rPr>
        <w:t>府性基金预算财政拨款收入支出决算表</w:t>
      </w:r>
      <w:bookmarkEnd w:id="37"/>
    </w:p>
    <w:p>
      <w:pPr>
        <w:pStyle w:val="2"/>
        <w:rPr>
          <w:rFonts w:ascii="仿宋" w:eastAsia="仿宋"/>
          <w:color w:val="auto"/>
          <w:highlight w:val="auto"/>
        </w:rPr>
      </w:pPr>
      <w:bookmarkStart w:id="38" w:name="_Toc30059"/>
      <w:r>
        <w:rPr>
          <w:rStyle w:val="2Char"/>
          <w:rFonts w:ascii="仿宋" w:eastAsia="仿宋" w:hint="eastAsia"/>
          <w:b w:val="0"/>
          <w:bCs w:val="0"/>
          <w:color w:val="auto"/>
          <w:highlight w:val="auto"/>
        </w:rPr>
        <w:t>十一、</w:t>
      </w:r>
      <w:r>
        <w:rPr>
          <w:rFonts w:ascii="仿宋" w:eastAsia="仿宋" w:hint="eastAsia"/>
          <w:b w:val="0"/>
          <w:color w:val="auto"/>
          <w:highlight w:val="auto"/>
        </w:rPr>
        <w:t>国</w:t>
      </w:r>
      <w:r>
        <w:rPr>
          <w:rStyle w:val="2Char"/>
          <w:rFonts w:ascii="仿宋" w:eastAsia="仿宋" w:hint="eastAsia"/>
          <w:b w:val="0"/>
          <w:bCs w:val="0"/>
          <w:color w:val="auto"/>
          <w:highlight w:val="auto"/>
        </w:rPr>
        <w:t>有资本经营预算</w:t>
      </w:r>
      <w:r>
        <w:rPr>
          <w:rStyle w:val="2Char"/>
          <w:rFonts w:ascii="仿宋" w:eastAsia="仿宋" w:hint="eastAsia"/>
          <w:b w:val="0"/>
          <w:bCs w:val="0"/>
          <w:color w:val="auto"/>
          <w:lang w:eastAsia="zh-CN"/>
          <w:highlight w:val="auto"/>
        </w:rPr>
        <w:t>财政拨款收入</w:t>
      </w:r>
      <w:r>
        <w:rPr>
          <w:rStyle w:val="2Char"/>
          <w:rFonts w:ascii="仿宋" w:eastAsia="仿宋" w:hint="eastAsia"/>
          <w:b w:val="0"/>
          <w:bCs w:val="0"/>
          <w:color w:val="auto"/>
          <w:highlight w:val="auto"/>
        </w:rPr>
        <w:t>支出决算表</w:t>
      </w:r>
      <w:bookmarkEnd w:id="38"/>
    </w:p>
    <w:p>
      <w:pPr>
        <w:pStyle w:val="2"/>
        <w:rPr>
          <w:rFonts w:ascii="仿宋" w:eastAsia="仿宋"/>
          <w:color w:val="auto"/>
          <w:highlight w:val="auto"/>
        </w:rPr>
      </w:pPr>
      <w:bookmarkStart w:id="39" w:name="_Toc32286"/>
      <w:r>
        <w:rPr>
          <w:rStyle w:val="2Char"/>
          <w:rFonts w:ascii="仿宋" w:eastAsia="仿宋" w:hint="eastAsia"/>
          <w:b w:val="0"/>
          <w:bCs w:val="0"/>
          <w:color w:val="auto"/>
          <w:highlight w:val="auto"/>
        </w:rPr>
        <w:t>十二、</w:t>
      </w:r>
      <w:r>
        <w:rPr>
          <w:rStyle w:val="2Char"/>
          <w:rFonts w:ascii="仿宋" w:eastAsia="仿宋" w:hint="eastAsia"/>
          <w:b w:val="0"/>
          <w:bCs w:val="0"/>
          <w:color w:val="auto"/>
          <w:lang w:eastAsia="zh-CN"/>
          <w:highlight w:val="auto"/>
        </w:rPr>
        <w:t>国有资本经营预算财政拨款支出决算表</w:t>
      </w:r>
      <w:bookmarkEnd w:id="39"/>
    </w:p>
    <w:p>
      <w:pPr>
        <w:pStyle w:val="2"/>
        <w:rPr>
          <w:rFonts w:eastAsia="仿宋" w:hint="eastAsia"/>
          <w:color w:val="auto"/>
          <w:lang w:eastAsia="zh-CN"/>
          <w:highlight w:val="auto"/>
        </w:rPr>
      </w:pPr>
      <w:bookmarkStart w:id="40" w:name="_Toc13697"/>
      <w:r>
        <w:rPr>
          <w:rStyle w:val="2Char"/>
          <w:rFonts w:ascii="仿宋" w:eastAsia="仿宋" w:hint="eastAsia"/>
          <w:b w:val="0"/>
          <w:bCs w:val="0"/>
          <w:color w:val="auto"/>
          <w:highlight w:val="auto"/>
        </w:rPr>
        <w:t>十三、</w:t>
      </w:r>
      <w:r>
        <w:rPr>
          <w:rStyle w:val="2Char"/>
          <w:rFonts w:ascii="仿宋" w:eastAsia="仿宋" w:hint="eastAsia"/>
          <w:b w:val="0"/>
          <w:bCs w:val="0"/>
          <w:color w:val="auto"/>
          <w:lang w:eastAsia="zh-CN"/>
          <w:highlight w:val="auto"/>
        </w:rPr>
        <w:t>财政拨款“三公”经费支出决算表</w:t>
      </w:r>
      <w:bookmarkEnd w:id="40"/>
    </w:p>
    <w:p>
      <w:pPr>
        <w:rPr>
          <w:rFonts w:hint="eastAsia"/>
          <w:lang w:eastAsia="zh-CN"/>
        </w:rPr>
      </w:pPr>
    </w:p>
    <w:p/>
    <w:sectPr>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203" w:usb1="288F0000" w:usb2="00000006" w:usb3="00000000" w:csb0="00040001" w:csb1="00000000"/>
  </w:font>
  <w:font w:name="方正小标宋简体">
    <w:altName w:val="方正舒体"/>
    <w:panose1 w:val="02010601030101010101"/>
    <w:charset w:val="86"/>
    <w:family w:val="script"/>
    <w:pitch w:val="variable"/>
    <w:sig w:usb0="00000000" w:usb1="00000000" w:usb2="00000000" w:usb3="00000000" w:csb0="00040000" w:csb1="00000000"/>
  </w:font>
  <w:font w:name="Times New Roman">
    <w:panose1 w:val="02020603050405020304"/>
    <w:charset w:val="01"/>
    <w:family w:val="auto"/>
    <w:pitch w:val="variable"/>
    <w:sig w:usb0="E0002EFF" w:usb1="C000785B" w:usb2="00000009" w:usb3="00000000" w:csb0="400001FF" w:csb1="FFFF0000"/>
  </w:font>
  <w:font w:name="方正小标宋_GBK">
    <w:altName w:val="微软雅黑"/>
    <w:panose1 w:val="03000509000000000000"/>
    <w:charset w:val="86"/>
    <w:family w:val="auto"/>
    <w:pitch w:val="variable"/>
    <w:sig w:usb0="00000000" w:usb1="00000000" w:usb2="00000000" w:usb3="00000000" w:csb0="00040000" w:csb1="00000000"/>
  </w:font>
  <w:font w:name="方正黑体_GBK">
    <w:altName w:val="微软雅黑"/>
    <w:panose1 w:val="03000509000000000000"/>
    <w:charset w:val="86"/>
    <w:family w:val="auto"/>
    <w:pitch w:val="variable"/>
    <w:sig w:usb0="00000000" w:usb1="00000000" w:usb2="00000000" w:usb3="00000000" w:csb0="00040000" w:csb1="00000000"/>
  </w:font>
  <w:font w:name="仿宋_GB2312">
    <w:altName w:val="仿宋"/>
    <w:panose1 w:val="02010609030101010101"/>
    <w:charset w:val="86"/>
    <w:family w:val="modern"/>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仿宋">
    <w:panose1 w:val="02010609060101010101"/>
    <w:charset w:val="86"/>
    <w:family w:val="modern"/>
    <w:pitch w:val="variable"/>
    <w:sig w:usb0="800002BF" w:usb1="38CF7CFA" w:usb2="00000016" w:usb3="00000000" w:csb0="00040001" w:csb1="00000000"/>
  </w:font>
  <w:font w:name="微软雅黑">
    <w:altName w:val="宋体"/>
    <w:panose1 w:val="020B0503020204020204"/>
    <w:charset w:val="86"/>
    <w:family w:val="auto"/>
    <w:pitch w:val="variable"/>
    <w:sig w:usb0="80000287" w:usb1="2ACF3C50" w:usb2="00000016" w:usb3="00000000" w:csb0="0004001F" w:csb1="00000000"/>
  </w:font>
  <w:font w:name="Calibri Light">
    <w:altName w:val="DejaVu Sans"/>
    <w:panose1 w:val="020F0302020204030204"/>
    <w:charset w:val="00"/>
    <w:family w:val="auto"/>
    <w:pitch w:val="variable"/>
    <w:sig w:usb0="E4002EFF" w:usb1="C200247B" w:usb2="00000009" w:usb3="00000000" w:csb0="200001FF" w:csb1="00000000"/>
  </w:font>
  <w:font w:name="Calibri">
    <w:altName w:val="Times New Roman"/>
    <w:panose1 w:val="020F0502020204030204"/>
    <w:charset w:val="00"/>
    <w:family w:val="swiss"/>
    <w:pitch w:val="variable"/>
    <w:sig w:usb0="E4002EFF" w:usb1="C2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jc w:val="center"/>
    </w:pPr>
    <w:r>
      <w:rPr>
        <w:sz w:val="18"/>
      </w:rPr>
      <mc:AlternateContent>
        <mc:Choice Requires="wps">
          <w:drawing>
            <wp:anchor distT="0" distB="0" distL="114298" distR="114298" simplePos="0" relativeHeight="34" behindDoc="0" locked="0" layoutInCell="1" hidden="0" allowOverlap="1">
              <wp:simplePos x="0" y="0"/>
              <wp:positionH relativeFrom="margin">
                <wp:align>center</wp:align>
              </wp:positionH>
              <wp:positionV relativeFrom="paragraph">
                <wp:posOffset>0</wp:posOffset>
              </wp:positionV>
              <wp:extent cx="385114" cy="336206"/>
              <wp:effectExtent l="0" t="0" r="0" b="0"/>
              <wp:wrapNone/>
              <wp:docPr id="1" name="文本框 1"/>
              <wp:cNvGraphicFramePr>
                <a:graphicFrameLocks noChangeAspect="0"/>
              </wp:cNvGraphicFramePr>
              <a:graphic>
                <a:graphicData uri="http://schemas.microsoft.com/office/word/2010/wordprocessingShape">
                  <wps:wsp>
                    <wps:cNvSpPr/>
                    <wps:spPr>
                      <a:xfrm rot="0">
                        <a:off x="0" y="0"/>
                        <a:ext cx="385114" cy="336206"/>
                      </a:xfrm>
                      <a:prstGeom prst="rect"/>
                      <a:noFill/>
                      <a:ln w="6350" cmpd="sng" cap="flat">
                        <a:noFill/>
                        <a:prstDash val="solid"/>
                        <a:round/>
                      </a:ln>
                    </wps:spPr>
                    <wps:txbx id="2">
                      <w:txbxContent>
                        <w:sdt>
                          <w:sdtPr>
                            <w:id w:val="639556215"/>
                          </w:sdtPr>
                          <w:sdtContent>
                            <w:p>
                              <w:pPr>
                                <w:pStyle w:val="18"/>
                                <w:tabs>
                                  <w:tab w:val="center" w:pos="4153"/>
                                  <w:tab w:val="right" w:pos="8306"/>
                                </w:tabs>
                                <w:jc w:val="center"/>
                              </w:pPr>
                              <w:r>
                                <w:rPr>
                                  <w:sz w:val="28"/>
                                </w:rPr>
                                <w:fldChar w:fldCharType="begin"/>
                              </w:r>
                              <w:r>
                                <w:rPr>
                                  <w:sz w:val="28"/>
                                </w:rPr>
                                <w:instrText>PAGE   \* MERGEFORMAT</w:instrText>
                              </w:r>
                              <w:r>
                                <w:rPr>
                                  <w:sz w:val="28"/>
                                </w:rPr>
                                <w:fldChar w:fldCharType="separate"/>
                              </w:r>
                              <w:r>
                                <w:rPr>
                                  <w:sz w:val="28"/>
                                  <w:lang w:val="zh-CN"/>
                                </w:rPr>
                                <w:t>8</w:t>
                              </w:r>
                              <w:r>
                                <w:rPr>
                                  <w:sz w:val="28"/>
                                </w:rPr>
                                <w:fldChar w:fldCharType="end"/>
                              </w:r>
                            </w:p>
                          </w:sdtContent>
                        </w:sdt>
                        <w:p>
                          <w:pPr>
                            <w:pStyle w:val="20"/>
                          </w:pP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30.324001pt;height:26.472986pt;z-index:34;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sdt>
                    <w:sdtPr>
                      <w:id w:val="639556215"/>
                    </w:sdtPr>
                    <w:sdtContent>
                      <w:p>
                        <w:pPr>
                          <w:pStyle w:val="18"/>
                          <w:tabs>
                            <w:tab w:val="center" w:pos="4153"/>
                            <w:tab w:val="right" w:pos="8306"/>
                          </w:tabs>
                          <w:jc w:val="center"/>
                        </w:pPr>
                        <w:r>
                          <w:rPr>
                            <w:sz w:val="28"/>
                          </w:rPr>
                          <w:fldChar w:fldCharType="begin"/>
                        </w:r>
                        <w:r>
                          <w:rPr>
                            <w:sz w:val="28"/>
                          </w:rPr>
                          <w:instrText>PAGE   \* MERGEFORMAT</w:instrText>
                        </w:r>
                        <w:r>
                          <w:rPr>
                            <w:sz w:val="28"/>
                          </w:rPr>
                          <w:fldChar w:fldCharType="separate"/>
                        </w:r>
                        <w:r>
                          <w:rPr>
                            <w:sz w:val="28"/>
                            <w:lang w:val="zh-CN"/>
                          </w:rPr>
                          <w:t>8</w:t>
                        </w:r>
                        <w:r>
                          <w:rPr>
                            <w:sz w:val="28"/>
                          </w:rPr>
                          <w:fldChar w:fldCharType="end"/>
                        </w:r>
                      </w:p>
                    </w:sdtContent>
                  </w:sdt>
                  <w:p>
                    <w:pPr>
                      <w:pStyle w:val="20"/>
                    </w:pPr>
                  </w:p>
                </w:txbxContent>
              </v:textbox>
            </v:shape>
          </w:pict>
        </mc:Fallback>
      </mc:AlternateContent>
    </w:r>
  </w:p>
  <w:p>
    <w:pPr>
      <w:pStyle w:val="18"/>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r>
      <w:rPr>
        <w:sz w:val="18"/>
      </w:rPr>
      <mc:AlternateContent>
        <mc:Choice Requires="wps">
          <w:drawing>
            <wp:anchor distT="0" distB="0" distL="114298" distR="114298" simplePos="0" relativeHeight="36" behindDoc="0" locked="0" layoutInCell="1" hidden="0" allowOverlap="1">
              <wp:simplePos x="0" y="0"/>
              <wp:positionH relativeFrom="margin">
                <wp:align>center</wp:align>
              </wp:positionH>
              <wp:positionV relativeFrom="paragraph">
                <wp:posOffset>-16510</wp:posOffset>
              </wp:positionV>
              <wp:extent cx="296214" cy="204648"/>
              <wp:effectExtent l="0" t="0" r="0" b="0"/>
              <wp:wrapNone/>
              <wp:docPr id="4" name="文本框 2"/>
              <wp:cNvGraphicFramePr>
                <a:graphicFrameLocks noChangeAspect="0"/>
              </wp:cNvGraphicFramePr>
              <a:graphic>
                <a:graphicData uri="http://schemas.microsoft.com/office/word/2010/wordprocessingShape">
                  <wps:wsp>
                    <wps:cNvSpPr/>
                    <wps:spPr>
                      <a:xfrm rot="0">
                        <a:off x="0" y="0"/>
                        <a:ext cx="296214" cy="204648"/>
                      </a:xfrm>
                      <a:prstGeom prst="rect"/>
                      <a:noFill/>
                      <a:ln w="6350" cmpd="sng" cap="flat">
                        <a:noFill/>
                        <a:prstDash val="solid"/>
                        <a:round/>
                      </a:ln>
                    </wps:spPr>
                    <wps:txbx id="5">
                      <w:txbxContent>
                        <w:p>
                          <w:pPr>
                            <w:pStyle w:val="18"/>
                            <w:tabs>
                              <w:tab w:val="center" w:pos="4153"/>
                              <w:tab w:val="right" w:pos="8306"/>
                            </w:tabs>
                            <w:rPr>
                              <w:rFonts w:eastAsia="宋体" w:hint="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2 6" o:spid="_x0000_s6" filled="f" stroked="f" strokeweight="0.5pt" style="position:absolute;margin-left:0.0pt;margin-top:-1.300029pt;width:23.323986pt;height:16.114042pt;z-index:36;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18"/>
                      <w:tabs>
                        <w:tab w:val="center" w:pos="4153"/>
                        <w:tab w:val="right" w:pos="8306"/>
                      </w:tabs>
                      <w:rPr>
                        <w:rFonts w:eastAsia="宋体" w:hint="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1A78BB7"/>
    <w:multiLevelType w:val="singleLevel"/>
    <w:tmpl w:val="E1A78BB7"/>
    <w:lvl w:ilvl="0">
      <w:start w:val="1"/>
      <w:numFmt w:val="decimal"/>
      <w:lvlRestart w:val="0"/>
      <w:suff w:val="nothing"/>
      <w:lvlText w:val="%1．"/>
      <w:lvlJc w:val="left"/>
      <w:pPr>
        <w:ind w:left="0" w:firstLine="400"/>
      </w:pPr>
      <w:rPr>
        <w:rFont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zBkOGVjMTg4MmM3NDc2MWZiY2IyNDFmOTU4Y2E3ODUifQ=="/>
    <w:docVar w:name="KSO_WPS_MARK_KEY" w:val="8ba5263e-4aa0-4779-a4d5-632cfd272c38"/>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libri Light" w:eastAsia="宋体" w:cs="Times New Roman" w:hAnsi="Calibri Light"/>
      <w:b/>
      <w:bCs/>
      <w:sz w:val="32"/>
      <w:szCs w:val="32"/>
    </w:rPr>
  </w:style>
  <w:style w:type="character" w:customStyle="1" w:styleId="2Char">
    <w:name w:val="heading 2 Char"/>
    <w:basedOn w:val="10"/>
    <w:link w:val="2"/>
    <w:rPr>
      <w:rFonts w:ascii="Calibri Light" w:eastAsia="宋体" w:cs="Times New Roman" w:hAnsi="Calibri Light"/>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toc 1"/>
    <w:basedOn w:val="0"/>
    <w:next w:val="0"/>
    <w:pPr>
      <w:tabs>
        <w:tab w:val="right" w:leader="dot" w:pos="8296"/>
      </w:tabs>
      <w:spacing w:before="93"/>
      <w:jc w:val="center"/>
    </w:pPr>
    <w:rPr>
      <w:rFonts w:ascii="仿宋" w:eastAsia="仿宋"/>
      <w:sz w:val="28"/>
      <w:szCs w:val="28"/>
    </w:rPr>
  </w:style>
  <w:style w:type="paragraph" w:styleId="20">
    <w:name w:val="footnote text"/>
    <w:basedOn w:val="0"/>
    <w:next w:val="17"/>
    <w:pPr>
      <w:snapToGrid w:val="0"/>
      <w:jc w:val="left"/>
    </w:pPr>
    <w:rPr>
      <w:sz w:val="18"/>
      <w:szCs w:val="1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paragraph" w:styleId="23">
    <w:name w:val="List Paragraph"/>
    <w:basedOn w:val="0"/>
    <w:pPr>
      <w:ind w:firstLineChars="200" w:firstLine="200"/>
    </w:pPr>
  </w:style>
  <w:style w:type="paragraph" w:customStyle="1" w:styleId="24">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5">
    <w:name w:val="WPSOffice手动目录 1"/>
    <w:rPr>
      <w:rFonts w:ascii="Times New Roman" w:eastAsia="宋体" w:cs="Times New Roman" w:hAnsi="Times New Roman"/>
      <w:sz w:val="20"/>
      <w:szCs w:val="20"/>
      <w:lang w:val="en-US" w:eastAsia="zh-CN" w:bidi="ar-SA"/>
    </w:rPr>
  </w:style>
  <w:style w:type="paragraph" w:customStyle="1" w:styleId="26">
    <w:name w:val="WPSOffice手动目录 2"/>
    <w:pPr>
      <w:ind w:leftChars="200" w:left="200"/>
    </w:pPr>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收、支决算总计变动情况</a:t>
            </a:r>
          </a:p>
        </c:rich>
      </c:tx>
      <c:layout/>
      <c:overlay val="0"/>
      <c:spPr>
        <a:noFill/>
        <a:ln>
          <a:noFill/>
        </a:ln>
      </c:spPr>
    </c:title>
    <c:autoTitleDeleted val="1"/>
    <c:plotArea>
      <c:layout/>
      <c:barChart>
        <c:barDir val="col"/>
        <c:grouping val="clustered"/>
        <c:varyColors val="0"/>
        <c:ser>
          <c:idx val="0"/>
          <c:order val="0"/>
          <c:tx>
            <c:strRef>
              <c:f>'Sheet1'!$B$1</c:f>
              <c:strCache>
                <c:ptCount val="1"/>
                <c:pt idx="0">
                  <c:v>2023年</c:v>
                </c:pt>
              </c:strCache>
            </c:strRef>
          </c:tx>
          <c:spPr>
            <a:solidFill>
              <a:srgbClr val="5B9BD5"/>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00" sourceLinked="1"/>
            <c:dLbl>
              <c:idx val="0"/>
              <c:layout>
                <c:manualLayout>
                  <c:x val="0.0"/>
                  <c:y val="-0.0031874203"/>
                </c:manualLayout>
              </c:layout>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dLblPos val="outEnd"/>
              <c:tx>
                <c:rich>
                  <a:bodyPr vert="horz"/>
                  <a:lstStyle/>
                  <a:p>
                    <a:pPr>
                      <a:defRPr sz="1000" b="0" i="0" u="none" strike="noStrike" baseline="0">
                        <a:solidFill>
                          <a:srgbClr val="404040"/>
                        </a:solidFill>
                        <a:latin typeface="Times New Roman"/>
                        <a:ea typeface="宋体"/>
                        <a:cs typeface="Lucida Sans"/>
                      </a:defRPr>
                    </a:pPr>
                    <a:r>
                      <a:rPr lang="zh-CN"/>
                      <a:t>1,044</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收入</c:v>
                </c:pt>
                <c:pt idx="1">
                  <c:v>支出</c:v>
                </c:pt>
              </c:strCache>
            </c:strRef>
          </c:cat>
          <c:val>
            <c:numRef>
              <c:f>'Sheet1'!$B$2:$B$3</c:f>
              <c:numCache>
                <c:formatCode>#,##0.00</c:formatCode>
                <c:ptCount val="2"/>
                <c:pt idx="0">
                  <c:v>1044.0</c:v>
                </c:pt>
                <c:pt idx="1">
                  <c:v>1044.0</c:v>
                </c:pt>
              </c:numCache>
            </c:numRef>
          </c:val>
        </c:ser>
        <c:ser>
          <c:idx val="1"/>
          <c:order val="1"/>
          <c:tx>
            <c:strRef>
              <c:f>'Sheet1'!$C$1</c:f>
              <c:strCache>
                <c:ptCount val="1"/>
                <c:pt idx="0">
                  <c:v>2022年</c:v>
                </c:pt>
              </c:strCache>
            </c:strRef>
          </c:tx>
          <c:spPr>
            <a:solidFill>
              <a:srgbClr val="ED7D31"/>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00"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收入</c:v>
                </c:pt>
                <c:pt idx="1">
                  <c:v>支出</c:v>
                </c:pt>
              </c:strCache>
            </c:strRef>
          </c:cat>
          <c:val>
            <c:numRef>
              <c:f>'Sheet1'!$C$2:$C$3</c:f>
              <c:numCache>
                <c:formatCode>#,##0.00</c:formatCode>
                <c:ptCount val="2"/>
                <c:pt idx="0">
                  <c:v>607.16</c:v>
                </c:pt>
                <c:pt idx="1">
                  <c:v>607.16</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收入决算结构</a:t>
            </a:r>
          </a:p>
        </c:rich>
      </c:tx>
      <c:layout/>
      <c:overlay val="0"/>
      <c:spPr>
        <a:noFill/>
        <a:ln>
          <a:noFill/>
        </a:ln>
      </c:spPr>
    </c:title>
    <c:autoTitleDeleted val="1"/>
    <c:plotArea>
      <c:layout/>
      <c:pieChart>
        <c:varyColors val="1"/>
        <c:ser>
          <c:idx val="0"/>
          <c:order val="0"/>
          <c:tx>
            <c:strRef>
              <c:f>'Sheet1 (2)'!$B$1</c:f>
              <c:strCache>
                <c:ptCount val="1"/>
                <c:pt idx="0">
                  <c:v>收入</c:v>
                </c:pt>
              </c:strCache>
            </c:strRef>
          </c:tx>
          <c:spPr>
            <a:solidFill>
              <a:srgbClr val="4F81BD"/>
            </a:solidFill>
            <a:ln>
              <a:noFill/>
            </a:ln>
          </c:spPr>
          <c:dPt>
            <c:idx val="0"/>
            <c:bubble3D val="0"/>
            <c:spPr>
              <a:solidFill>
                <a:srgbClr val="5B9BD5"/>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 sourceLinked="0"/>
            <c:dLbl>
              <c:idx val="0"/>
              <c:numFmt formatCode="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dLblPos val="outEnd"/>
              <c:tx>
                <c:rich>
                  <a:bodyPr vert="horz"/>
                  <a:lstStyle/>
                  <a:p>
                    <a:pPr>
                      <a:defRPr sz="1000" b="0" i="0" u="none" strike="noStrike" baseline="0">
                        <a:solidFill>
                          <a:srgbClr val="404040"/>
                        </a:solidFill>
                        <a:latin typeface="Times New Roman"/>
                        <a:ea typeface="宋体"/>
                        <a:cs typeface="Lucida Sans"/>
                      </a:defRPr>
                    </a:pPr>
                    <a:r>
                      <a:rPr lang="zh-CN" sz="1000" b="0" i="0" u="none" strike="noStrike" baseline="0">
                        <a:solidFill>
                          <a:srgbClr val="404040"/>
                        </a:solidFill>
                        <a:latin typeface="Times New Roman"/>
                        <a:ea typeface="宋体"/>
                        <a:cs typeface="Lucida Sans"/>
                      </a:rPr>
                      <a:t>1</a:t>
                    </a:r>
                    <a:r>
                      <a:rPr lang="zh-CN" sz="1000" b="0" i="0" u="none" strike="noStrike" baseline="0">
                        <a:solidFill>
                          <a:srgbClr val="404040"/>
                        </a:solidFill>
                        <a:latin typeface="Times New Roman"/>
                        <a:ea typeface="宋体"/>
                        <a:cs typeface="Lucida Sans"/>
                      </a:rPr>
                      <a:t>,</a:t>
                    </a:r>
                    <a:r>
                      <a:rPr lang="zh-CN" sz="1000" b="0" i="0" u="none" strike="noStrike" baseline="0">
                        <a:solidFill>
                          <a:srgbClr val="404040"/>
                        </a:solidFill>
                        <a:latin typeface="Times New Roman"/>
                        <a:ea typeface="宋体"/>
                        <a:cs typeface="Lucida Sans"/>
                      </a:rPr>
                      <a:t>044</a:t>
                    </a:r>
                    <a:r>
                      <a:rPr lang="zh-CN" sz="1000" b="0" i="0" u="none" strike="noStrike" baseline="0">
                        <a:solidFill>
                          <a:srgbClr val="404040"/>
                        </a:solidFill>
                        <a:latin typeface="Times New Roman"/>
                        <a:ea typeface="宋体"/>
                        <a:cs typeface="Lucida Sans"/>
                      </a:rPr>
                      <a:t>.</a:t>
                    </a:r>
                    <a:r>
                      <a:rPr lang="zh-CN" sz="1000" b="0" i="0" u="none" strike="noStrike" baseline="0">
                        <a:solidFill>
                          <a:srgbClr val="404040"/>
                        </a:solidFill>
                        <a:latin typeface="Times New Roman"/>
                        <a:ea typeface="宋体"/>
                        <a:cs typeface="Lucida Sans"/>
                      </a:rPr>
                      <a:t>.00</a:t>
                    </a:r>
                    <a:r>
                      <a:rPr lang="zh-CN" sz="1000" b="0" i="0" u="none" strike="noStrike" baseline="0">
                        <a:solidFill>
                          <a:srgbClr val="404040"/>
                        </a:solidFill>
                        <a:latin typeface="Times New Roman"/>
                        <a:ea typeface="宋体"/>
                        <a:cs typeface="Lucida Sans"/>
                      </a:rPr>
                      <a:t>, </a:t>
                    </a:r>
                    <a:r>
                      <a:rPr lang="zh-CN" sz="1000" b="0" i="0" u="none" strike="noStrike" baseline="0">
                        <a:solidFill>
                          <a:srgbClr val="404040"/>
                        </a:solidFill>
                        <a:latin typeface="Times New Roman"/>
                        <a:ea typeface="宋体"/>
                        <a:cs typeface="Lucida Sans"/>
                      </a:rPr>
                      <a:t>
</a:t>
                    </a:r>
                    <a:r>
                      <a:rPr lang="zh-CN" sz="1000" b="0" i="0" u="none" strike="noStrike" baseline="0">
                        <a:solidFill>
                          <a:srgbClr val="404040"/>
                        </a:solidFill>
                        <a:latin typeface="Times New Roman"/>
                        <a:ea typeface="宋体"/>
                        <a:cs typeface="Lucida Sans"/>
                      </a:rPr>
                      <a:t>100%</a:t>
                    </a:r>
                  </a:p>
                </c:rich>
              </c:tx>
              <c:showLegendKey val="0"/>
              <c:showVal val="1"/>
              <c:showCatName val="0"/>
              <c:showSerName val="0"/>
              <c:showPercent val="1"/>
              <c:showBubbleSize val="0"/>
            </c:dLbl>
            <c:dLblPos val="outEnd"/>
            <c:showLegendKey val="0"/>
            <c:showVal val="1"/>
            <c:showCatName val="0"/>
            <c:showSerName val="0"/>
            <c:showPercent val="1"/>
            <c:showBubbleSize val="0"/>
            <c:showLeaderLines val="1"/>
          </c:dLbls>
          <c:cat>
            <c:strRef>
              <c:f>'Sheet1 (2)'!$A$2</c:f>
              <c:strCache>
                <c:ptCount val="1"/>
                <c:pt idx="0">
                  <c:v>一般公共预算财政拨款收入</c:v>
                </c:pt>
              </c:strCache>
            </c:strRef>
          </c:cat>
          <c:val>
            <c:numRef>
              <c:f>Sheet1 (2)!$B$2</c:f>
              <c:numCache>
                <c:formatCode>#,##0.00</c:formatCode>
                <c:ptCount val="1"/>
                <c:pt idx="0">
                  <c:v>1044.0</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收入</c:v>
                </c:pt>
              </c:strCache>
            </c:strRef>
          </c:tx>
          <c:spPr>
            <a:solidFill>
              <a:srgbClr val="4F81BD"/>
            </a:solidFill>
          </c:spPr>
          <c:dPt>
            <c:idx val="0"/>
            <c:bubble3D val="0"/>
            <c:spPr>
              <a:solidFill>
                <a:srgbClr val="5B9BD5"/>
              </a:solidFill>
              <a:ln w="6350">
                <a:solidFill>
                  <a:srgbClr val="FFFFFF"/>
                </a:solidFill>
                <a:prstDash val="solid"/>
              </a:ln>
            </c:spPr>
          </c:dPt>
          <c:dPt>
            <c:idx val="1"/>
            <c:bubble3D val="0"/>
            <c:spPr>
              <a:solidFill>
                <a:srgbClr val="ED7D31"/>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 sourceLinked="0"/>
            <c:dLbl>
              <c:idx val="0"/>
              <c:numFmt formatCode="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dLblPos val="outEnd"/>
              <c:tx>
                <c:rich>
                  <a:bodyPr vert="horz"/>
                  <a:lstStyle/>
                  <a:p>
                    <a:pPr>
                      <a:defRPr sz="1000" b="0" i="0" u="none" strike="noStrike" baseline="0">
                        <a:solidFill>
                          <a:srgbClr val="404040"/>
                        </a:solidFill>
                        <a:latin typeface="Times New Roman"/>
                        <a:ea typeface="宋体"/>
                        <a:cs typeface="Lucida Sans"/>
                      </a:defRPr>
                    </a:pPr>
                    <a:r>
                      <a:rPr lang="zh-CN" sz="1000" b="0" i="0" u="none" strike="noStrike" baseline="0">
                        <a:solidFill>
                          <a:srgbClr val="404040"/>
                        </a:solidFill>
                        <a:latin typeface="Times New Roman"/>
                        <a:ea typeface="宋体"/>
                        <a:cs typeface="Lucida Sans"/>
                      </a:rPr>
                      <a:t>345.99,</a:t>
                    </a:r>
                    <a:r>
                      <a:rPr lang="zh-CN" sz="1000" b="0" i="0" u="none" strike="noStrike" baseline="0">
                        <a:solidFill>
                          <a:srgbClr val="404040"/>
                        </a:solidFill>
                        <a:latin typeface="Times New Roman"/>
                        <a:ea typeface="宋体"/>
                        <a:cs typeface="Lucida Sans"/>
                      </a:rPr>
                      <a:t>
</a:t>
                    </a:r>
                    <a:r>
                      <a:rPr lang="zh-CN" sz="1000" b="0" i="0" u="none" strike="noStrike" baseline="0">
                        <a:solidFill>
                          <a:srgbClr val="404040"/>
                        </a:solidFill>
                        <a:latin typeface="Times New Roman"/>
                        <a:ea typeface="宋体"/>
                        <a:cs typeface="Lucida Sans"/>
                      </a:rPr>
                      <a:t>33.14</a:t>
                    </a:r>
                    <a:r>
                      <a:rPr lang="zh-CN" sz="1000" b="0" i="0" u="none" strike="noStrike" baseline="0">
                        <a:solidFill>
                          <a:srgbClr val="404040"/>
                        </a:solidFill>
                        <a:latin typeface="Times New Roman"/>
                        <a:ea typeface="宋体"/>
                        <a:cs typeface="Lucida Sans"/>
                      </a:rPr>
                      <a:t>%</a:t>
                    </a:r>
                  </a:p>
                </c:rich>
              </c:tx>
              <c:showLegendKey val="0"/>
              <c:showVal val="0"/>
              <c:showCatName val="1"/>
              <c:showSerName val="0"/>
              <c:showPercent val="1"/>
              <c:showBubbleSize val="0"/>
              <c:separator>
</c:separator>
            </c:dLbl>
            <c:dLbl>
              <c:idx val="1"/>
              <c:layout>
                <c:manualLayout>
                  <c:x val="0.023435613"/>
                  <c:y val="-0.0029749256"/>
                </c:manualLayout>
              </c:layout>
              <c:numFmt formatCode="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dLblPos val="bestFit"/>
              <c:tx>
                <c:rich>
                  <a:bodyPr vert="horz"/>
                  <a:lstStyle/>
                  <a:p>
                    <a:pPr>
                      <a:defRPr sz="1000" b="0" i="0" u="none" strike="noStrike" baseline="0">
                        <a:solidFill>
                          <a:srgbClr val="404040"/>
                        </a:solidFill>
                        <a:latin typeface="Times New Roman"/>
                        <a:ea typeface="宋体"/>
                        <a:cs typeface="Lucida Sans"/>
                      </a:defRPr>
                    </a:pPr>
                    <a:r>
                      <a:rPr lang="zh-CN" sz="1000" b="0" i="0" u="none" strike="noStrike" baseline="0">
                        <a:solidFill>
                          <a:srgbClr val="404040"/>
                        </a:solidFill>
                        <a:latin typeface="Times New Roman"/>
                        <a:ea typeface="宋体"/>
                        <a:cs typeface="Lucida Sans"/>
                      </a:rPr>
                      <a:t>698.01,</a:t>
                    </a:r>
                    <a:r>
                      <a:rPr lang="zh-CN" sz="1000" b="0" i="0" u="none" strike="noStrike" baseline="0">
                        <a:solidFill>
                          <a:srgbClr val="404040"/>
                        </a:solidFill>
                        <a:latin typeface="Times New Roman"/>
                        <a:ea typeface="宋体"/>
                        <a:cs typeface="Lucida Sans"/>
                      </a:rPr>
                      <a:t>
</a:t>
                    </a:r>
                    <a:r>
                      <a:rPr lang="zh-CN" sz="1000" b="0" i="0" u="none" strike="noStrike" baseline="0">
                        <a:solidFill>
                          <a:srgbClr val="404040"/>
                        </a:solidFill>
                        <a:latin typeface="Times New Roman"/>
                        <a:ea typeface="宋体"/>
                        <a:cs typeface="Lucida Sans"/>
                      </a:rPr>
                      <a:t>66.86</a:t>
                    </a:r>
                    <a:r>
                      <a:rPr lang="zh-CN" sz="1000" b="0" i="0" u="none" strike="noStrike" baseline="0">
                        <a:solidFill>
                          <a:srgbClr val="404040"/>
                        </a:solidFill>
                        <a:latin typeface="Times New Roman"/>
                        <a:ea typeface="宋体"/>
                        <a:cs typeface="Lucida Sans"/>
                      </a:rPr>
                      <a:t>%</a:t>
                    </a:r>
                  </a:p>
                </c:rich>
              </c:tx>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345.99</c:v>
                </c:pt>
                <c:pt idx="1">
                  <c:v>698.01</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(4)'!$B$1</c:f>
              <c:strCache>
                <c:ptCount val="1"/>
                <c:pt idx="0">
                  <c:v>2023年</c:v>
                </c:pt>
              </c:strCache>
            </c:strRef>
          </c:tx>
          <c:spPr>
            <a:solidFill>
              <a:srgbClr val="5B9BD5"/>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00_ "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财政拨款收入</c:v>
                </c:pt>
                <c:pt idx="1">
                  <c:v>财政拨款支出</c:v>
                </c:pt>
              </c:strCache>
            </c:strRef>
          </c:cat>
          <c:val>
            <c:numRef>
              <c:f>'Sheet1 (4)'!$B$2:$B$3</c:f>
              <c:numCache>
                <c:formatCode>0.00_ </c:formatCode>
                <c:ptCount val="2"/>
                <c:pt idx="0">
                  <c:v>1044.0</c:v>
                </c:pt>
                <c:pt idx="1">
                  <c:v>1044.0</c:v>
                </c:pt>
              </c:numCache>
            </c:numRef>
          </c:val>
        </c:ser>
        <c:ser>
          <c:idx val="1"/>
          <c:order val="1"/>
          <c:tx>
            <c:strRef>
              <c:f>'Sheet1 (4)'!$C$1</c:f>
              <c:strCache>
                <c:ptCount val="1"/>
                <c:pt idx="0">
                  <c:v>2022年</c:v>
                </c:pt>
              </c:strCache>
            </c:strRef>
          </c:tx>
          <c:spPr>
            <a:solidFill>
              <a:srgbClr val="ED7D31"/>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财政拨款收入</c:v>
                </c:pt>
                <c:pt idx="1">
                  <c:v>财政拨款支出</c:v>
                </c:pt>
              </c:strCache>
            </c:strRef>
          </c:cat>
          <c:val>
            <c:numRef>
              <c:f>'Sheet1 (4)'!$C$2:$C$3</c:f>
              <c:numCache>
                <c:formatCode>General</c:formatCode>
                <c:ptCount val="2"/>
                <c:pt idx="0">
                  <c:v>607.16</c:v>
                </c:pt>
                <c:pt idx="1">
                  <c:v>607.16</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0.00_ "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Times New Roman"/>
                <a:ea typeface="宋体"/>
                <a:cs typeface="Lucida Sans"/>
              </a:defRPr>
            </a:pPr>
            <a:r>
              <a:rPr lang="zh-CN"/>
              <a:t>一般公共预算财政拨款支出决算总计变动情况</a:t>
            </a:r>
          </a:p>
        </c:rich>
      </c:tx>
      <c:layout/>
      <c:overlay val="0"/>
      <c:spPr>
        <a:noFill/>
        <a:ln>
          <a:noFill/>
        </a:ln>
      </c:spPr>
    </c:title>
    <c:autoTitleDeleted val="1"/>
    <c:plotArea>
      <c:layout/>
      <c:barChart>
        <c:barDir val="col"/>
        <c:grouping val="clustered"/>
        <c:varyColors val="0"/>
        <c:ser>
          <c:idx val="0"/>
          <c:order val="0"/>
          <c:tx>
            <c:strRef>
              <c:f>'Sheet1 (5)'!$B$1</c:f>
              <c:strCache>
                <c:ptCount val="1"/>
                <c:pt idx="0">
                  <c:v>2023年</c:v>
                </c:pt>
              </c:strCache>
            </c:strRef>
          </c:tx>
          <c:spPr>
            <a:solidFill>
              <a:srgbClr val="5B9BD5"/>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00_ "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c:f>
              <c:strCache>
                <c:ptCount val="1"/>
                <c:pt idx="0">
                  <c:v>一般公共预算财政拨款支出</c:v>
                </c:pt>
              </c:strCache>
            </c:strRef>
          </c:cat>
          <c:val>
            <c:numRef>
              <c:f>Sheet1 (5)!$B$2</c:f>
              <c:numCache>
                <c:formatCode>0.00_ </c:formatCode>
                <c:ptCount val="1"/>
                <c:pt idx="0">
                  <c:v>1044.0</c:v>
                </c:pt>
              </c:numCache>
            </c:numRef>
          </c:val>
        </c:ser>
        <c:ser>
          <c:idx val="1"/>
          <c:order val="1"/>
          <c:tx>
            <c:strRef>
              <c:f>'Sheet1 (5)'!$C$1</c:f>
              <c:strCache>
                <c:ptCount val="1"/>
                <c:pt idx="0">
                  <c:v>2022年</c:v>
                </c:pt>
              </c:strCache>
            </c:strRef>
          </c:tx>
          <c:spPr>
            <a:solidFill>
              <a:srgbClr val="ED7D31"/>
            </a:solidFill>
            <a:ln>
              <a:noFill/>
            </a:ln>
          </c:spPr>
          <c:invertIfNegative val="0"/>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c:f>
              <c:strCache>
                <c:ptCount val="1"/>
                <c:pt idx="0">
                  <c:v>一般公共预算财政拨款支出</c:v>
                </c:pt>
              </c:strCache>
            </c:strRef>
          </c:cat>
          <c:val>
            <c:numRef>
              <c:f>Sheet1 (5)!$C$2</c:f>
              <c:numCache>
                <c:formatCode>General</c:formatCode>
                <c:ptCount val="1"/>
                <c:pt idx="0">
                  <c:v>607.16</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0.00_ "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(6)'!$B$1</c:f>
              <c:strCache>
                <c:ptCount val="1"/>
                <c:pt idx="0">
                  <c:v>一般公共预算财政拨款支出</c:v>
                </c:pt>
              </c:strCache>
            </c:strRef>
          </c:tx>
          <c:spPr>
            <a:solidFill>
              <a:srgbClr val="4F81BD"/>
            </a:solidFill>
            <a:ln>
              <a:noFill/>
            </a:ln>
          </c:spPr>
          <c:dPt>
            <c:idx val="0"/>
            <c:bubble3D val="0"/>
            <c:spPr>
              <a:solidFill>
                <a:srgbClr val="5B9BD5"/>
              </a:solidFill>
              <a:ln w="6350">
                <a:solidFill>
                  <a:srgbClr val="FFFFFF"/>
                </a:solidFill>
                <a:prstDash val="solid"/>
              </a:ln>
            </c:spPr>
          </c:dPt>
          <c:dPt>
            <c:idx val="1"/>
            <c:bubble3D val="0"/>
            <c:spPr>
              <a:solidFill>
                <a:srgbClr val="ED7D31"/>
              </a:solidFill>
              <a:ln w="6350">
                <a:solidFill>
                  <a:srgbClr val="FFFFFF"/>
                </a:solidFill>
                <a:prstDash val="solid"/>
              </a:ln>
            </c:spPr>
          </c:dPt>
          <c:dPt>
            <c:idx val="2"/>
            <c:bubble3D val="0"/>
            <c:spPr>
              <a:solidFill>
                <a:srgbClr val="A5A5A5"/>
              </a:solidFill>
              <a:ln w="6350">
                <a:solidFill>
                  <a:srgbClr val="FFFFFF"/>
                </a:solidFill>
                <a:prstDash val="solid"/>
              </a:ln>
            </c:spPr>
          </c:dPt>
          <c:dPt>
            <c:idx val="3"/>
            <c:bubble3D val="0"/>
            <c:spPr>
              <a:solidFill>
                <a:srgbClr val="FFC000"/>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 sourceLinked="0"/>
            <c:dLbl>
              <c:idx val="0"/>
              <c:layout>
                <c:manualLayout>
                  <c:x val="-0.0018120318"/>
                  <c:y val="0.0"/>
                </c:manualLayout>
              </c:layout>
              <c:numFmt formatCode="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dLblPos val="bestFit"/>
              <c:tx>
                <c:rich>
                  <a:bodyPr vert="horz"/>
                  <a:lstStyle/>
                  <a:p>
                    <a:pPr>
                      <a:defRPr sz="1000" b="0" i="0" u="none" strike="noStrike" baseline="0">
                        <a:solidFill>
                          <a:srgbClr val="404040"/>
                        </a:solidFill>
                        <a:latin typeface="Times New Roman"/>
                        <a:ea typeface="宋体"/>
                        <a:cs typeface="Lucida Sans"/>
                      </a:defRPr>
                    </a:pPr>
                    <a:r>
                      <a:rPr lang="zh-CN" sz="1000" b="0" i="0" u="none" strike="noStrike" baseline="0">
                        <a:solidFill>
                          <a:srgbClr val="404040"/>
                        </a:solidFill>
                        <a:latin typeface="Times New Roman"/>
                        <a:ea typeface="宋体"/>
                        <a:cs typeface="Lucida Sans"/>
                      </a:rPr>
                      <a:t>964.29,</a:t>
                    </a:r>
                    <a:r>
                      <a:rPr lang="zh-CN" sz="1000" b="0" i="0" u="none" strike="noStrike" baseline="0">
                        <a:solidFill>
                          <a:srgbClr val="404040"/>
                        </a:solidFill>
                        <a:latin typeface="Times New Roman"/>
                        <a:ea typeface="宋体"/>
                        <a:cs typeface="Lucida Sans"/>
                      </a:rPr>
                      <a:t>
</a:t>
                    </a:r>
                    <a:r>
                      <a:rPr lang="zh-CN" sz="1000" b="0" i="0" u="none" strike="noStrike" baseline="0">
                        <a:solidFill>
                          <a:srgbClr val="404040"/>
                        </a:solidFill>
                        <a:latin typeface="Times New Roman"/>
                        <a:ea typeface="宋体"/>
                        <a:cs typeface="Lucida Sans"/>
                      </a:rPr>
                      <a:t>92.36</a:t>
                    </a:r>
                    <a:r>
                      <a:rPr lang="zh-CN" sz="1000" b="0" i="0" u="none" strike="noStrike" baseline="0">
                        <a:solidFill>
                          <a:srgbClr val="404040"/>
                        </a:solidFill>
                        <a:latin typeface="Times New Roman"/>
                        <a:ea typeface="宋体"/>
                        <a:cs typeface="Lucida Sans"/>
                      </a:rPr>
                      <a:t>%</a:t>
                    </a:r>
                  </a:p>
                </c:rich>
              </c:tx>
              <c:showLegendKey val="1"/>
              <c:showVal val="0"/>
              <c:showCatName val="0"/>
              <c:showSerName val="0"/>
              <c:showPercent val="1"/>
              <c:showBubbleSize val="0"/>
            </c:dLbl>
            <c:dLbl>
              <c:idx val="1"/>
              <c:layout>
                <c:manualLayout>
                  <c:x val="-0.14495555"/>
                  <c:y val="0.085073344"/>
                </c:manualLayout>
              </c:layout>
              <c:numFmt formatCode="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dLblPos val="bestFit"/>
              <c:tx>
                <c:rich>
                  <a:bodyPr vert="horz"/>
                  <a:lstStyle/>
                  <a:p>
                    <a:pPr>
                      <a:defRPr sz="1000" b="0" i="0" u="none" strike="noStrike" baseline="0">
                        <a:solidFill>
                          <a:srgbClr val="404040"/>
                        </a:solidFill>
                        <a:latin typeface="Times New Roman"/>
                        <a:ea typeface="宋体"/>
                        <a:cs typeface="Lucida Sans"/>
                      </a:defRPr>
                    </a:pPr>
                    <a:r>
                      <a:rPr lang="zh-CN" sz="1000" b="0" i="0" u="none" strike="noStrike" baseline="0">
                        <a:solidFill>
                          <a:srgbClr val="404040"/>
                        </a:solidFill>
                        <a:latin typeface="Times New Roman"/>
                        <a:ea typeface="宋体"/>
                        <a:cs typeface="Lucida Sans"/>
                      </a:rPr>
                      <a:t>42.31,</a:t>
                    </a:r>
                    <a:r>
                      <a:rPr lang="zh-CN" sz="1000" b="0" i="0" u="none" strike="noStrike" baseline="0">
                        <a:solidFill>
                          <a:srgbClr val="404040"/>
                        </a:solidFill>
                        <a:latin typeface="Times New Roman"/>
                        <a:ea typeface="宋体"/>
                        <a:cs typeface="Lucida Sans"/>
                      </a:rPr>
                      <a:t>
</a:t>
                    </a:r>
                    <a:r>
                      <a:rPr lang="zh-CN" sz="1000" b="0" i="0" u="none" strike="noStrike" baseline="0">
                        <a:solidFill>
                          <a:srgbClr val="404040"/>
                        </a:solidFill>
                        <a:latin typeface="Times New Roman"/>
                        <a:ea typeface="宋体"/>
                        <a:cs typeface="Lucida Sans"/>
                      </a:rPr>
                      <a:t>4.05</a:t>
                    </a:r>
                    <a:r>
                      <a:rPr lang="zh-CN" sz="1000" b="0" i="0" u="none" strike="noStrike" baseline="0">
                        <a:solidFill>
                          <a:srgbClr val="404040"/>
                        </a:solidFill>
                        <a:latin typeface="Times New Roman"/>
                        <a:ea typeface="宋体"/>
                        <a:cs typeface="Lucida Sans"/>
                      </a:rPr>
                      <a:t>%</a:t>
                    </a:r>
                  </a:p>
                </c:rich>
              </c:tx>
              <c:showLegendKey val="1"/>
              <c:showVal val="0"/>
              <c:showCatName val="0"/>
              <c:showSerName val="0"/>
              <c:showPercent val="1"/>
              <c:showBubbleSize val="0"/>
            </c:dLbl>
            <c:dLbl>
              <c:idx val="2"/>
              <c:layout>
                <c:manualLayout>
                  <c:x val="-0.1193525"/>
                  <c:y val="0.0053123673"/>
                </c:manualLayout>
              </c:layout>
              <c:numFmt formatCode="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dLblPos val="bestFit"/>
              <c:tx>
                <c:rich>
                  <a:bodyPr vert="horz"/>
                  <a:lstStyle/>
                  <a:p>
                    <a:pPr>
                      <a:defRPr sz="1000" b="0" i="0" u="none" strike="noStrike" baseline="0">
                        <a:solidFill>
                          <a:srgbClr val="404040"/>
                        </a:solidFill>
                        <a:latin typeface="Times New Roman"/>
                        <a:ea typeface="宋体"/>
                        <a:cs typeface="Lucida Sans"/>
                      </a:defRPr>
                    </a:pPr>
                    <a:r>
                      <a:rPr lang="zh-CN" sz="1000" b="0" i="0" u="none" strike="noStrike" baseline="0">
                        <a:solidFill>
                          <a:srgbClr val="404040"/>
                        </a:solidFill>
                        <a:latin typeface="Times New Roman"/>
                        <a:ea typeface="宋体"/>
                        <a:cs typeface="Lucida Sans"/>
                      </a:rPr>
                      <a:t>17.45,</a:t>
                    </a:r>
                    <a:r>
                      <a:rPr lang="zh-CN" sz="1000" b="0" i="0" u="none" strike="noStrike" baseline="0">
                        <a:solidFill>
                          <a:srgbClr val="404040"/>
                        </a:solidFill>
                        <a:latin typeface="Times New Roman"/>
                        <a:ea typeface="宋体"/>
                        <a:cs typeface="Lucida Sans"/>
                      </a:rPr>
                      <a:t>
</a:t>
                    </a:r>
                    <a:r>
                      <a:rPr lang="zh-CN" sz="1000" b="0" i="0" u="none" strike="noStrike" baseline="0">
                        <a:solidFill>
                          <a:srgbClr val="404040"/>
                        </a:solidFill>
                        <a:latin typeface="Times New Roman"/>
                        <a:ea typeface="宋体"/>
                        <a:cs typeface="Lucida Sans"/>
                      </a:rPr>
                      <a:t>1.67</a:t>
                    </a:r>
                    <a:r>
                      <a:rPr lang="zh-CN" sz="1000" b="0" i="0" u="none" strike="noStrike" baseline="0">
                        <a:solidFill>
                          <a:srgbClr val="404040"/>
                        </a:solidFill>
                        <a:latin typeface="Times New Roman"/>
                        <a:ea typeface="宋体"/>
                        <a:cs typeface="Lucida Sans"/>
                      </a:rPr>
                      <a:t>%</a:t>
                    </a:r>
                  </a:p>
                </c:rich>
              </c:tx>
              <c:showLegendKey val="1"/>
              <c:showVal val="0"/>
              <c:showCatName val="0"/>
              <c:showSerName val="0"/>
              <c:showPercent val="1"/>
              <c:showBubbleSize val="0"/>
            </c:dLbl>
            <c:dLbl>
              <c:idx val="3"/>
              <c:layout>
                <c:manualLayout>
                  <c:x val="0.11597004"/>
                  <c:y val="0.0031874203"/>
                </c:manualLayout>
              </c:layout>
              <c:numFmt formatCode="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dLblPos val="bestFit"/>
              <c:tx>
                <c:rich>
                  <a:bodyPr vert="horz"/>
                  <a:lstStyle/>
                  <a:p>
                    <a:pPr>
                      <a:defRPr sz="1000" b="0" i="0" u="none" strike="noStrike" baseline="0">
                        <a:solidFill>
                          <a:srgbClr val="404040"/>
                        </a:solidFill>
                        <a:latin typeface="Times New Roman"/>
                        <a:ea typeface="宋体"/>
                        <a:cs typeface="Lucida Sans"/>
                      </a:defRPr>
                    </a:pPr>
                    <a:r>
                      <a:rPr lang="zh-CN" sz="1000" b="0" i="0" u="none" strike="noStrike" baseline="0">
                        <a:solidFill>
                          <a:srgbClr val="404040"/>
                        </a:solidFill>
                        <a:latin typeface="Times New Roman"/>
                        <a:ea typeface="宋体"/>
                        <a:cs typeface="Lucida Sans"/>
                      </a:rPr>
                      <a:t>19.94,</a:t>
                    </a:r>
                    <a:r>
                      <a:rPr lang="zh-CN" sz="1000" b="0" i="0" u="none" strike="noStrike" baseline="0">
                        <a:solidFill>
                          <a:srgbClr val="404040"/>
                        </a:solidFill>
                        <a:latin typeface="Times New Roman"/>
                        <a:ea typeface="宋体"/>
                        <a:cs typeface="Lucida Sans"/>
                      </a:rPr>
                      <a:t>
</a:t>
                    </a:r>
                    <a:r>
                      <a:rPr lang="zh-CN" sz="1000" b="0" i="0" u="none" strike="noStrike" baseline="0">
                        <a:solidFill>
                          <a:srgbClr val="404040"/>
                        </a:solidFill>
                        <a:latin typeface="Times New Roman"/>
                        <a:ea typeface="宋体"/>
                        <a:cs typeface="Lucida Sans"/>
                      </a:rPr>
                      <a:t>1.91</a:t>
                    </a:r>
                    <a:r>
                      <a:rPr lang="zh-CN" sz="1000" b="0" i="0" u="none" strike="noStrike" baseline="0">
                        <a:solidFill>
                          <a:srgbClr val="404040"/>
                        </a:solidFill>
                        <a:latin typeface="Times New Roman"/>
                        <a:ea typeface="宋体"/>
                        <a:cs typeface="Lucida Sans"/>
                      </a:rPr>
                      <a:t>%</a:t>
                    </a:r>
                  </a:p>
                </c:rich>
              </c:tx>
              <c:showLegendKey val="1"/>
              <c:showVal val="0"/>
              <c:showCatName val="0"/>
              <c:showSerName val="0"/>
              <c:showPercent val="1"/>
              <c:showBubbleSize val="0"/>
            </c:dLbl>
            <c:dLblPos val="outEnd"/>
            <c:showLegendKey val="1"/>
            <c:showVal val="0"/>
            <c:showCatName val="0"/>
            <c:showSerName val="0"/>
            <c:showPercent val="1"/>
            <c:showBubbleSize val="0"/>
            <c:showLeaderLines val="1"/>
          </c:dLbls>
          <c:cat>
            <c:strRef>
              <c:f>'Sheet1 (6)'!$A$2:$A$5</c:f>
              <c:strCache>
                <c:ptCount val="4"/>
                <c:pt idx="0">
                  <c:v>一般公共服务支出</c:v>
                </c:pt>
                <c:pt idx="1">
                  <c:v>社会保障和就业支出</c:v>
                </c:pt>
                <c:pt idx="2">
                  <c:v>卫生健康支出</c:v>
                </c:pt>
                <c:pt idx="3">
                  <c:v>住房保障支出</c:v>
                </c:pt>
              </c:strCache>
            </c:strRef>
          </c:cat>
          <c:val>
            <c:numRef>
              <c:f>'Sheet1 (6)'!$B$2:$B$5</c:f>
              <c:numCache>
                <c:formatCode>General</c:formatCode>
                <c:ptCount val="4"/>
                <c:pt idx="0">
                  <c:v>964.29</c:v>
                </c:pt>
                <c:pt idx="1">
                  <c:v>42.31</c:v>
                </c:pt>
                <c:pt idx="2">
                  <c:v>17.45</c:v>
                </c:pt>
                <c:pt idx="3">
                  <c:v>19.94</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(7)'!$B$1</c:f>
              <c:strCache>
                <c:ptCount val="1"/>
                <c:pt idx="0">
                  <c:v>“三公”经费财政拨款支出</c:v>
                </c:pt>
              </c:strCache>
            </c:strRef>
          </c:tx>
          <c:spPr>
            <a:solidFill>
              <a:srgbClr val="4F81BD"/>
            </a:solidFill>
            <a:ln>
              <a:noFill/>
            </a:ln>
          </c:spPr>
          <c:dPt>
            <c:idx val="0"/>
            <c:bubble3D val="0"/>
            <c:spPr>
              <a:solidFill>
                <a:srgbClr val="5B9BD5"/>
              </a:solidFill>
              <a:ln w="6350">
                <a:solidFill>
                  <a:srgbClr val="FFFFFF"/>
                </a:solidFill>
                <a:prstDash val="solid"/>
              </a:ln>
            </c:spPr>
          </c:dPt>
          <c:dPt>
            <c:idx val="1"/>
            <c:bubble3D val="0"/>
            <c:spPr>
              <a:solidFill>
                <a:srgbClr val="ED7D31"/>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numFmt formatCode="0%" sourceLinked="0"/>
            <c:dLbl>
              <c:idx val="0"/>
              <c:layout>
                <c:manualLayout>
                  <c:x val="0.07260208"/>
                  <c:y val="0.018487038"/>
                </c:manualLayout>
              </c:layout>
              <c:numFmt formatCode="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dLblPos val="bestFit"/>
              <c:tx>
                <c:rich>
                  <a:bodyPr vert="horz"/>
                  <a:lstStyle/>
                  <a:p>
                    <a:pPr>
                      <a:defRPr sz="1000" b="0" i="0" u="none" strike="noStrike" baseline="0">
                        <a:solidFill>
                          <a:srgbClr val="404040"/>
                        </a:solidFill>
                        <a:latin typeface="Times New Roman"/>
                        <a:ea typeface="宋体"/>
                        <a:cs typeface="Lucida Sans"/>
                      </a:defRPr>
                    </a:pPr>
                    <a:r>
                      <a:rPr lang="zh-CN" sz="1000" b="0" i="0" u="none" strike="noStrike" baseline="0">
                        <a:solidFill>
                          <a:srgbClr val="404040"/>
                        </a:solidFill>
                        <a:latin typeface="Times New Roman"/>
                        <a:ea typeface="宋体"/>
                        <a:cs typeface="Lucida Sans"/>
                      </a:rPr>
                      <a:t>17.28</a:t>
                    </a:r>
                    <a:r>
                      <a:rPr lang="zh-CN" sz="1000" b="0" i="0" u="none" strike="noStrike" baseline="0">
                        <a:solidFill>
                          <a:srgbClr val="404040"/>
                        </a:solidFill>
                        <a:latin typeface="Times New Roman"/>
                        <a:ea typeface="宋体"/>
                        <a:cs typeface="Lucida Sans"/>
                      </a:rPr>
                      <a:t>
</a:t>
                    </a:r>
                    <a:r>
                      <a:rPr lang="zh-CN" sz="1000" b="0" i="0" u="none" strike="noStrike" baseline="0">
                        <a:solidFill>
                          <a:srgbClr val="404040"/>
                        </a:solidFill>
                        <a:latin typeface="Times New Roman"/>
                        <a:ea typeface="宋体"/>
                        <a:cs typeface="Lucida Sans"/>
                      </a:rPr>
                      <a:t>98.52</a:t>
                    </a:r>
                    <a:r>
                      <a:rPr lang="zh-CN" sz="1000" b="0" i="0" u="none" strike="noStrike" baseline="0">
                        <a:solidFill>
                          <a:srgbClr val="404040"/>
                        </a:solidFill>
                        <a:latin typeface="Times New Roman"/>
                        <a:ea typeface="宋体"/>
                        <a:cs typeface="Lucida Sans"/>
                      </a:rPr>
                      <a:t>%</a:t>
                    </a:r>
                  </a:p>
                </c:rich>
              </c:tx>
              <c:showLegendKey val="0"/>
              <c:showVal val="0"/>
              <c:showCatName val="0"/>
              <c:showSerName val="0"/>
              <c:showPercent val="1"/>
              <c:showBubbleSize val="0"/>
            </c:dLbl>
            <c:dLbl>
              <c:idx val="1"/>
              <c:numFmt formatCode="0%" sourceLinked="0"/>
              <c:spPr>
                <a:noFill/>
                <a:ln>
                  <a:noFill/>
                </a:ln>
              </c:spPr>
              <c:txPr>
                <a:bodyPr vert="horz"/>
                <a:lstStyle/>
                <a:p>
                  <a:pPr>
                    <a:defRPr sz="1000" b="0" i="0" u="none" strike="noStrike" baseline="0">
                      <a:solidFill>
                        <a:srgbClr val="404040"/>
                      </a:solidFill>
                      <a:latin typeface="Times New Roman"/>
                      <a:ea typeface="宋体"/>
                      <a:cs typeface="Lucida Sans"/>
                    </a:defRPr>
                  </a:pPr>
                  <a:endParaRPr lang="zh-CN"/>
                </a:p>
              </c:txPr>
              <c:dLblPos val="outEnd"/>
              <c:tx>
                <c:rich>
                  <a:bodyPr vert="horz"/>
                  <a:lstStyle/>
                  <a:p>
                    <a:pPr>
                      <a:defRPr sz="1000" b="0" i="0" u="none" strike="noStrike" baseline="0">
                        <a:solidFill>
                          <a:srgbClr val="404040"/>
                        </a:solidFill>
                        <a:latin typeface="Times New Roman"/>
                        <a:ea typeface="宋体"/>
                        <a:cs typeface="Lucida Sans"/>
                      </a:defRPr>
                    </a:pPr>
                    <a:r>
                      <a:rPr lang="zh-CN" sz="1000" b="0" i="0" u="none" strike="noStrike" baseline="0">
                        <a:solidFill>
                          <a:srgbClr val="404040"/>
                        </a:solidFill>
                        <a:latin typeface="Times New Roman"/>
                        <a:ea typeface="宋体"/>
                        <a:cs typeface="Lucida Sans"/>
                      </a:rPr>
                      <a:t>0.26</a:t>
                    </a:r>
                    <a:r>
                      <a:rPr lang="zh-CN" sz="1000" b="0" i="0" u="none" strike="noStrike" baseline="0">
                        <a:solidFill>
                          <a:srgbClr val="404040"/>
                        </a:solidFill>
                        <a:latin typeface="Times New Roman"/>
                        <a:ea typeface="宋体"/>
                        <a:cs typeface="Lucida Sans"/>
                      </a:rPr>
                      <a:t>，</a:t>
                    </a:r>
                    <a:r>
                      <a:rPr lang="zh-CN" sz="1000" b="0" i="0" u="none" strike="noStrike" baseline="0">
                        <a:solidFill>
                          <a:srgbClr val="404040"/>
                        </a:solidFill>
                        <a:latin typeface="Times New Roman"/>
                        <a:ea typeface="宋体"/>
                        <a:cs typeface="Lucida Sans"/>
                      </a:rPr>
                      <a:t>
</a:t>
                    </a:r>
                    <a:r>
                      <a:rPr lang="zh-CN" sz="1000" b="0" i="0" u="none" strike="noStrike" baseline="0">
                        <a:solidFill>
                          <a:srgbClr val="404040"/>
                        </a:solidFill>
                        <a:latin typeface="Times New Roman"/>
                        <a:ea typeface="宋体"/>
                        <a:cs typeface="Lucida Sans"/>
                      </a:rPr>
                      <a:t>1.48</a:t>
                    </a:r>
                    <a:r>
                      <a:rPr lang="zh-CN" sz="1000" b="0" i="0" u="none" strike="noStrike" baseline="0">
                        <a:solidFill>
                          <a:srgbClr val="404040"/>
                        </a:solidFill>
                        <a:latin typeface="Times New Roman"/>
                        <a:ea typeface="宋体"/>
                        <a:cs typeface="Lucida Sans"/>
                      </a:rPr>
                      <a:t>%</a:t>
                    </a:r>
                  </a:p>
                </c:rich>
              </c:tx>
              <c:showLegendKey val="0"/>
              <c:showVal val="0"/>
              <c:showCatName val="0"/>
              <c:showSerName val="0"/>
              <c:showPercent val="1"/>
              <c:showBubbleSize val="0"/>
            </c:dLbl>
            <c:dLblPos val="outEnd"/>
            <c:showLegendKey val="0"/>
            <c:showVal val="0"/>
            <c:showCatName val="0"/>
            <c:showSerName val="0"/>
            <c:showPercent val="1"/>
            <c:showBubbleSize val="0"/>
            <c:showLeaderLines val="1"/>
          </c:dLbls>
          <c:cat>
            <c:strRef>
              <c:f>'Sheet1 (7)'!$A$2:$A$3</c:f>
              <c:strCache>
                <c:ptCount val="2"/>
                <c:pt idx="0">
                  <c:v>公务用车购置及运行维护费支出</c:v>
                </c:pt>
                <c:pt idx="1">
                  <c:v>公务接待费支出</c:v>
                </c:pt>
              </c:strCache>
            </c:strRef>
          </c:cat>
          <c:val>
            <c:numRef>
              <c:f>'Sheet1 (7)'!$B$2:$B$3</c:f>
              <c:numCache>
                <c:formatCode>General</c:formatCode>
                <c:ptCount val="2"/>
                <c:pt idx="0">
                  <c:v>17.28</c:v>
                </c:pt>
                <c:pt idx="1">
                  <c:v>0.26</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8</TotalTime>
  <Application>Yozo_Office27021597764231179</Application>
  <Pages>24</Pages>
  <Words>7157</Words>
  <Characters>8000</Characters>
  <Lines>937</Lines>
  <Paragraphs>455</Paragraphs>
  <CharactersWithSpaces>8142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财务处
王悦</dc:creator>
  <cp:lastModifiedBy>user</cp:lastModifiedBy>
  <cp:revision>1</cp:revision>
  <cp:lastPrinted>2024-09-09T08:44:00Z</cp:lastPrinted>
  <dcterms:created xsi:type="dcterms:W3CDTF">2024-08-15T10:26:00Z</dcterms:created>
  <dcterms:modified xsi:type="dcterms:W3CDTF">2024-09-30T08:15:10Z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2052-12.1.0.17857</vt:lpwstr>
  </property>
  <property fmtid="{D5CDD505-2E9C-101B-9397-08002B2CF9AE}" pid="3" name="ICV">
    <vt:lpwstr>5E48915BE0E04366BAB29A62D6E5202F_13</vt:lpwstr>
  </property>
</Properties>
</file>