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color w:val="000000"/>
          <w:sz w:val="72"/>
          <w:szCs w:val="72"/>
        </w:rPr>
      </w:pPr>
      <w:bookmarkStart w:id="0" w:name="_Toc15306267"/>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jc w:val="center"/>
        <w:rPr>
          <w:rFonts w:eastAsia="黑体"/>
          <w:sz w:val="72"/>
          <w:szCs w:val="72"/>
        </w:rPr>
      </w:pPr>
      <w:bookmarkStart w:id="1" w:name="_Toc15377193"/>
      <w:bookmarkStart w:id="2" w:name="_Toc15378441"/>
      <w:bookmarkStart w:id="3" w:name="_Toc15396475"/>
      <w:bookmarkStart w:id="4" w:name="_Toc15377425"/>
      <w:bookmarkStart w:id="5" w:name="_Toc15396597"/>
      <w:r>
        <w:rPr>
          <w:rFonts w:eastAsia="黑体"/>
          <w:sz w:val="72"/>
          <w:szCs w:val="72"/>
        </w:rPr>
        <w:t>202</w:t>
      </w:r>
      <w:r>
        <w:rPr>
          <w:rFonts w:hint="eastAsia" w:eastAsia="黑体"/>
          <w:sz w:val="72"/>
          <w:szCs w:val="72"/>
          <w:lang w:val="en-US" w:eastAsia="zh-CN"/>
        </w:rPr>
        <w:t>1</w:t>
      </w:r>
      <w:r>
        <w:rPr>
          <w:rFonts w:eastAsia="黑体"/>
          <w:sz w:val="72"/>
          <w:szCs w:val="72"/>
        </w:rPr>
        <w:t>年度</w:t>
      </w:r>
      <w:bookmarkEnd w:id="1"/>
      <w:bookmarkEnd w:id="2"/>
      <w:bookmarkEnd w:id="3"/>
      <w:bookmarkEnd w:id="4"/>
      <w:bookmarkEnd w:id="5"/>
    </w:p>
    <w:bookmarkEnd w:id="0"/>
    <w:p>
      <w:pPr>
        <w:jc w:val="center"/>
        <w:rPr>
          <w:rFonts w:eastAsia="方正小标宋简体"/>
          <w:sz w:val="72"/>
          <w:szCs w:val="72"/>
        </w:rPr>
      </w:pPr>
      <w:bookmarkStart w:id="6" w:name="_Toc15396598"/>
      <w:bookmarkStart w:id="7" w:name="_Toc15306268"/>
      <w:bookmarkStart w:id="8" w:name="_Toc15396476"/>
      <w:bookmarkStart w:id="9" w:name="_Toc15378442"/>
      <w:bookmarkStart w:id="10" w:name="_Toc15377194"/>
      <w:bookmarkStart w:id="11" w:name="_Toc15377426"/>
      <w:r>
        <w:rPr>
          <w:rFonts w:eastAsia="方正小标宋简体"/>
          <w:sz w:val="72"/>
          <w:szCs w:val="72"/>
        </w:rPr>
        <w:t>阿坝</w:t>
      </w:r>
      <w:r>
        <w:rPr>
          <w:rFonts w:hint="eastAsia" w:eastAsia="方正小标宋简体"/>
          <w:sz w:val="72"/>
          <w:szCs w:val="72"/>
          <w:lang w:val="en-US" w:eastAsia="zh-CN"/>
        </w:rPr>
        <w:t>州</w:t>
      </w:r>
      <w:r>
        <w:rPr>
          <w:rFonts w:eastAsia="方正小标宋简体"/>
          <w:sz w:val="72"/>
          <w:szCs w:val="72"/>
        </w:rPr>
        <w:t>州委</w:t>
      </w:r>
      <w:r>
        <w:rPr>
          <w:rFonts w:hint="eastAsia" w:eastAsia="方正小标宋简体"/>
          <w:sz w:val="72"/>
          <w:szCs w:val="72"/>
          <w:lang w:val="en-US" w:eastAsia="zh-CN"/>
        </w:rPr>
        <w:t>统战部</w:t>
      </w:r>
      <w:r>
        <w:rPr>
          <w:rFonts w:eastAsia="方正小标宋简体"/>
          <w:sz w:val="72"/>
          <w:szCs w:val="72"/>
        </w:rPr>
        <w:t>决算</w:t>
      </w:r>
      <w:bookmarkEnd w:id="6"/>
      <w:bookmarkEnd w:id="7"/>
      <w:bookmarkEnd w:id="8"/>
      <w:bookmarkEnd w:id="9"/>
      <w:bookmarkEnd w:id="10"/>
      <w:bookmarkEnd w:id="11"/>
    </w:p>
    <w:p>
      <w:pPr>
        <w:widowControl/>
        <w:jc w:val="center"/>
        <w:rPr>
          <w:rFonts w:eastAsia="方正小标宋简体"/>
          <w:color w:val="000000"/>
          <w:sz w:val="36"/>
          <w:szCs w:val="36"/>
        </w:rPr>
      </w:pPr>
    </w:p>
    <w:p>
      <w:pPr>
        <w:rPr>
          <w:rFonts w:eastAsia="方正小标宋简体"/>
          <w:sz w:val="36"/>
          <w:szCs w:val="36"/>
        </w:rPr>
      </w:pPr>
    </w:p>
    <w:p>
      <w:pPr>
        <w:rPr>
          <w:rFonts w:eastAsia="方正小标宋简体"/>
          <w:sz w:val="36"/>
          <w:szCs w:val="36"/>
        </w:rPr>
      </w:pPr>
    </w:p>
    <w:p>
      <w:pPr>
        <w:rPr>
          <w:rFonts w:eastAsia="方正小标宋简体"/>
          <w:sz w:val="36"/>
          <w:szCs w:val="36"/>
        </w:rPr>
      </w:pPr>
    </w:p>
    <w:p>
      <w:pPr>
        <w:rPr>
          <w:rFonts w:eastAsia="方正小标宋简体"/>
          <w:sz w:val="36"/>
          <w:szCs w:val="36"/>
        </w:rPr>
      </w:pPr>
    </w:p>
    <w:p>
      <w:pPr>
        <w:rPr>
          <w:rFonts w:eastAsia="方正小标宋简体"/>
          <w:sz w:val="36"/>
          <w:szCs w:val="36"/>
        </w:rPr>
      </w:pPr>
    </w:p>
    <w:p>
      <w:pPr>
        <w:rPr>
          <w:rFonts w:eastAsia="方正小标宋简体"/>
          <w:sz w:val="36"/>
          <w:szCs w:val="36"/>
        </w:rPr>
      </w:pPr>
    </w:p>
    <w:p>
      <w:pPr>
        <w:rPr>
          <w:rFonts w:eastAsia="方正小标宋简体"/>
          <w:sz w:val="36"/>
          <w:szCs w:val="36"/>
        </w:rPr>
      </w:pPr>
    </w:p>
    <w:p>
      <w:pPr>
        <w:rPr>
          <w:rFonts w:eastAsia="方正小标宋简体"/>
          <w:sz w:val="36"/>
          <w:szCs w:val="36"/>
        </w:rPr>
      </w:pPr>
    </w:p>
    <w:p>
      <w:pPr>
        <w:autoSpaceDE w:val="0"/>
        <w:autoSpaceDN w:val="0"/>
        <w:adjustRightInd w:val="0"/>
        <w:jc w:val="center"/>
        <w:rPr>
          <w:rFonts w:ascii="宋体" w:hAnsi="宋体" w:cs="宋体"/>
          <w:sz w:val="32"/>
          <w:szCs w:val="32"/>
        </w:rPr>
      </w:pPr>
      <w:r>
        <w:rPr>
          <w:rFonts w:hint="eastAsia" w:ascii="宋体" w:hAnsi="宋体" w:cs="宋体"/>
          <w:sz w:val="32"/>
          <w:szCs w:val="32"/>
          <w:lang w:val="en-US" w:eastAsia="zh-CN"/>
        </w:rPr>
        <w:t>已经保密审查、内容审定</w:t>
      </w:r>
      <w:r>
        <w:rPr>
          <w:rFonts w:hint="eastAsia" w:ascii="宋体" w:hAnsi="宋体" w:cs="宋体"/>
          <w:sz w:val="32"/>
          <w:szCs w:val="32"/>
        </w:rPr>
        <w:t>，同意对外公开</w:t>
      </w:r>
    </w:p>
    <w:p>
      <w:pPr>
        <w:widowControl/>
        <w:jc w:val="center"/>
        <w:rPr>
          <w:rFonts w:eastAsia="方正小标宋简体"/>
          <w:color w:val="000000"/>
          <w:sz w:val="36"/>
          <w:szCs w:val="36"/>
        </w:rPr>
      </w:pPr>
    </w:p>
    <w:p>
      <w:pPr>
        <w:widowControl/>
        <w:jc w:val="center"/>
        <w:rPr>
          <w:rFonts w:eastAsia="黑体"/>
          <w:color w:val="000000"/>
          <w:sz w:val="48"/>
          <w:szCs w:val="48"/>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eastAsia="黑体"/>
          <w:color w:val="000000"/>
          <w:sz w:val="48"/>
          <w:szCs w:val="48"/>
        </w:rPr>
      </w:pPr>
      <w:r>
        <w:rPr>
          <w:rFonts w:eastAsia="黑体"/>
          <w:color w:val="000000"/>
          <w:sz w:val="48"/>
          <w:szCs w:val="48"/>
        </w:rPr>
        <w:t>目录</w:t>
      </w:r>
    </w:p>
    <w:p>
      <w:pPr>
        <w:pStyle w:val="13"/>
        <w:jc w:val="center"/>
        <w:rPr>
          <w:rFonts w:ascii="Times New Roman"/>
          <w:b w:val="0"/>
          <w:bCs w:val="0"/>
          <w:sz w:val="24"/>
          <w:szCs w:val="24"/>
        </w:rPr>
      </w:pPr>
      <w:r>
        <w:rPr>
          <w:rFonts w:ascii="Times New Roman"/>
          <w:b w:val="0"/>
          <w:bCs w:val="0"/>
          <w:sz w:val="24"/>
          <w:szCs w:val="24"/>
        </w:rPr>
        <w:t>公开时间：202</w:t>
      </w:r>
      <w:r>
        <w:rPr>
          <w:rFonts w:hint="eastAsia" w:ascii="Times New Roman"/>
          <w:b w:val="0"/>
          <w:bCs w:val="0"/>
          <w:sz w:val="24"/>
          <w:szCs w:val="24"/>
          <w:lang w:val="en-US" w:eastAsia="zh-CN"/>
        </w:rPr>
        <w:t>2</w:t>
      </w:r>
      <w:r>
        <w:rPr>
          <w:rFonts w:ascii="Times New Roman"/>
          <w:b w:val="0"/>
          <w:bCs w:val="0"/>
          <w:sz w:val="24"/>
          <w:szCs w:val="24"/>
        </w:rPr>
        <w:t>年9月</w:t>
      </w:r>
      <w:r>
        <w:rPr>
          <w:rFonts w:hint="eastAsia" w:ascii="Times New Roman"/>
          <w:b w:val="0"/>
          <w:bCs w:val="0"/>
          <w:sz w:val="24"/>
          <w:szCs w:val="24"/>
          <w:lang w:val="en-US" w:eastAsia="zh-CN"/>
        </w:rPr>
        <w:t>29</w:t>
      </w:r>
      <w:r>
        <w:rPr>
          <w:rFonts w:ascii="Times New Roman"/>
          <w:b w:val="0"/>
          <w:bCs w:val="0"/>
          <w:sz w:val="24"/>
          <w:szCs w:val="24"/>
        </w:rPr>
        <w:t>日</w:t>
      </w:r>
    </w:p>
    <w:p>
      <w:pPr>
        <w:pStyle w:val="13"/>
        <w:tabs>
          <w:tab w:val="right" w:leader="dot" w:pos="8296"/>
        </w:tabs>
        <w:ind w:firstLine="400" w:firstLineChars="200"/>
        <w:rPr>
          <w:rFonts w:ascii="Times New Roman" w:eastAsiaTheme="minorEastAsia"/>
          <w:b w:val="0"/>
          <w:bCs w:val="0"/>
          <w:caps w:val="0"/>
          <w:sz w:val="21"/>
          <w:szCs w:val="22"/>
        </w:rPr>
      </w:pPr>
      <w:r>
        <w:rPr>
          <w:rFonts w:ascii="Times New Roman"/>
          <w:b w:val="0"/>
          <w:bCs w:val="0"/>
          <w:caps w:val="0"/>
        </w:rPr>
        <w:fldChar w:fldCharType="begin"/>
      </w:r>
      <w:r>
        <w:rPr>
          <w:rFonts w:ascii="Times New Roman"/>
          <w:b w:val="0"/>
          <w:bCs w:val="0"/>
          <w:caps w:val="0"/>
        </w:rPr>
        <w:instrText xml:space="preserve"> TOC \o \u </w:instrText>
      </w:r>
      <w:r>
        <w:rPr>
          <w:rFonts w:ascii="Times New Roman"/>
          <w:b w:val="0"/>
          <w:bCs w:val="0"/>
          <w:caps w:val="0"/>
        </w:rPr>
        <w:fldChar w:fldCharType="separate"/>
      </w:r>
      <w:r>
        <w:rPr>
          <w:rFonts w:ascii="Times New Roman" w:eastAsia="黑体"/>
          <w:b w:val="0"/>
        </w:rPr>
        <w:t xml:space="preserve">第一部分 </w:t>
      </w:r>
      <w:r>
        <w:rPr>
          <w:rFonts w:ascii="Times New Roman" w:eastAsia="黑体"/>
          <w:b w:val="0"/>
          <w:bCs w:val="0"/>
        </w:rPr>
        <w:t>部门概况</w:t>
      </w:r>
      <w:r>
        <w:rPr>
          <w:rFonts w:ascii="Times New Roman"/>
          <w:b w:val="0"/>
          <w:bCs w:val="0"/>
        </w:rPr>
        <w:tab/>
      </w:r>
      <w:r>
        <w:rPr>
          <w:rFonts w:ascii="Times New Roman"/>
          <w:b w:val="0"/>
          <w:bCs w:val="0"/>
        </w:rPr>
        <w:fldChar w:fldCharType="begin"/>
      </w:r>
      <w:r>
        <w:rPr>
          <w:rFonts w:ascii="Times New Roman"/>
          <w:b w:val="0"/>
          <w:bCs w:val="0"/>
        </w:rPr>
        <w:instrText xml:space="preserve"> PAGEREF _Toc79163851 \h </w:instrText>
      </w:r>
      <w:r>
        <w:rPr>
          <w:rFonts w:ascii="Times New Roman"/>
          <w:b w:val="0"/>
          <w:bCs w:val="0"/>
        </w:rPr>
        <w:fldChar w:fldCharType="separate"/>
      </w:r>
      <w:r>
        <w:rPr>
          <w:rFonts w:ascii="Times New Roman"/>
          <w:b w:val="0"/>
          <w:bCs w:val="0"/>
        </w:rPr>
        <w:t xml:space="preserve">- </w:t>
      </w:r>
      <w:r>
        <w:rPr>
          <w:rFonts w:hint="eastAsia" w:ascii="Times New Roman"/>
          <w:b w:val="0"/>
          <w:bCs w:val="0"/>
          <w:lang w:val="en-US" w:eastAsia="zh-CN"/>
        </w:rPr>
        <w:t>3</w:t>
      </w:r>
      <w:r>
        <w:rPr>
          <w:rFonts w:ascii="Times New Roman"/>
          <w:b w:val="0"/>
          <w:bCs w:val="0"/>
        </w:rPr>
        <w:t xml:space="preserve"> -</w:t>
      </w:r>
      <w:r>
        <w:rPr>
          <w:rFonts w:ascii="Times New Roman"/>
          <w:b w:val="0"/>
          <w:bCs w:val="0"/>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一、基</w:t>
      </w:r>
      <w:r>
        <w:rPr>
          <w:rFonts w:ascii="Times New Roman" w:eastAsia="黑体"/>
        </w:rPr>
        <w:t>本职能及主要工作</w:t>
      </w:r>
      <w:r>
        <w:rPr>
          <w:rFonts w:ascii="Times New Roman"/>
        </w:rPr>
        <w:tab/>
      </w:r>
      <w:r>
        <w:rPr>
          <w:rFonts w:ascii="Times New Roman"/>
        </w:rPr>
        <w:fldChar w:fldCharType="begin"/>
      </w:r>
      <w:r>
        <w:rPr>
          <w:rFonts w:ascii="Times New Roman"/>
        </w:rPr>
        <w:instrText xml:space="preserve"> PAGEREF _Toc79163852 \h </w:instrText>
      </w:r>
      <w:r>
        <w:rPr>
          <w:rFonts w:ascii="Times New Roman"/>
        </w:rPr>
        <w:fldChar w:fldCharType="separate"/>
      </w:r>
      <w:r>
        <w:rPr>
          <w:rFonts w:ascii="Times New Roman"/>
        </w:rPr>
        <w:t>- 3 -</w:t>
      </w:r>
      <w:r>
        <w:rPr>
          <w:rFonts w:ascii="Times New Roman"/>
        </w:rPr>
        <w:fldChar w:fldCharType="end"/>
      </w:r>
    </w:p>
    <w:p>
      <w:pPr>
        <w:pStyle w:val="8"/>
        <w:tabs>
          <w:tab w:val="right" w:leader="dot" w:pos="8296"/>
        </w:tabs>
        <w:rPr>
          <w:rFonts w:ascii="Times New Roman" w:eastAsiaTheme="minorEastAsia"/>
          <w:i w:val="0"/>
          <w:iCs w:val="0"/>
          <w:sz w:val="21"/>
          <w:szCs w:val="22"/>
        </w:rPr>
      </w:pPr>
      <w:r>
        <w:rPr>
          <w:rFonts w:ascii="Times New Roman" w:eastAsia="仿宋"/>
          <w:i w:val="0"/>
          <w:iCs w:val="0"/>
          <w:color w:val="000000"/>
        </w:rPr>
        <w:t>（一）主要职能</w:t>
      </w:r>
      <w:r>
        <w:rPr>
          <w:rFonts w:ascii="Times New Roman"/>
          <w:i w:val="0"/>
          <w:iCs w:val="0"/>
        </w:rPr>
        <w:tab/>
      </w:r>
      <w:r>
        <w:rPr>
          <w:rFonts w:ascii="Times New Roman"/>
          <w:i w:val="0"/>
          <w:iCs w:val="0"/>
        </w:rPr>
        <w:fldChar w:fldCharType="begin"/>
      </w:r>
      <w:r>
        <w:rPr>
          <w:rFonts w:ascii="Times New Roman"/>
          <w:i w:val="0"/>
          <w:iCs w:val="0"/>
        </w:rPr>
        <w:instrText xml:space="preserve"> PAGEREF _Toc79163853 \h </w:instrText>
      </w:r>
      <w:r>
        <w:rPr>
          <w:rFonts w:ascii="Times New Roman"/>
          <w:i w:val="0"/>
          <w:iCs w:val="0"/>
        </w:rPr>
        <w:fldChar w:fldCharType="separate"/>
      </w:r>
      <w:r>
        <w:rPr>
          <w:rFonts w:ascii="Times New Roman"/>
          <w:i w:val="0"/>
          <w:iCs w:val="0"/>
        </w:rPr>
        <w:t>- 3 -</w:t>
      </w:r>
      <w:r>
        <w:rPr>
          <w:rFonts w:ascii="Times New Roman"/>
          <w:i w:val="0"/>
          <w:iCs w:val="0"/>
        </w:rPr>
        <w:fldChar w:fldCharType="end"/>
      </w:r>
    </w:p>
    <w:p>
      <w:pPr>
        <w:pStyle w:val="8"/>
        <w:tabs>
          <w:tab w:val="right" w:leader="dot" w:pos="8296"/>
        </w:tabs>
        <w:rPr>
          <w:rFonts w:ascii="Times New Roman" w:eastAsiaTheme="minorEastAsia"/>
          <w:i w:val="0"/>
          <w:iCs w:val="0"/>
          <w:sz w:val="21"/>
          <w:szCs w:val="22"/>
        </w:rPr>
      </w:pPr>
      <w:r>
        <w:rPr>
          <w:rFonts w:ascii="Times New Roman" w:eastAsia="仿宋"/>
          <w:i w:val="0"/>
          <w:iCs w:val="0"/>
          <w:color w:val="000000"/>
        </w:rPr>
        <w:t>（二）202</w:t>
      </w:r>
      <w:r>
        <w:rPr>
          <w:rFonts w:hint="eastAsia" w:ascii="Times New Roman" w:eastAsia="仿宋"/>
          <w:i w:val="0"/>
          <w:iCs w:val="0"/>
          <w:color w:val="000000"/>
          <w:lang w:val="en-US" w:eastAsia="zh-CN"/>
        </w:rPr>
        <w:t>1</w:t>
      </w:r>
      <w:r>
        <w:rPr>
          <w:rFonts w:ascii="Times New Roman" w:eastAsia="仿宋"/>
          <w:i w:val="0"/>
          <w:iCs w:val="0"/>
          <w:color w:val="000000"/>
        </w:rPr>
        <w:t>年重点工作完成情况</w:t>
      </w:r>
      <w:r>
        <w:rPr>
          <w:rFonts w:ascii="Times New Roman"/>
          <w:i w:val="0"/>
          <w:iCs w:val="0"/>
        </w:rPr>
        <w:tab/>
      </w:r>
      <w:r>
        <w:rPr>
          <w:rFonts w:ascii="Times New Roman"/>
          <w:i w:val="0"/>
          <w:iCs w:val="0"/>
        </w:rPr>
        <w:fldChar w:fldCharType="begin"/>
      </w:r>
      <w:r>
        <w:rPr>
          <w:rFonts w:ascii="Times New Roman"/>
          <w:i w:val="0"/>
          <w:iCs w:val="0"/>
        </w:rPr>
        <w:instrText xml:space="preserve"> PAGEREF _Toc79163853 \h </w:instrText>
      </w:r>
      <w:r>
        <w:rPr>
          <w:rFonts w:ascii="Times New Roman"/>
          <w:i w:val="0"/>
          <w:iCs w:val="0"/>
        </w:rPr>
        <w:fldChar w:fldCharType="separate"/>
      </w:r>
      <w:r>
        <w:rPr>
          <w:rFonts w:ascii="Times New Roman"/>
          <w:i w:val="0"/>
          <w:iCs w:val="0"/>
        </w:rPr>
        <w:t xml:space="preserve">- </w:t>
      </w:r>
      <w:r>
        <w:rPr>
          <w:rFonts w:hint="eastAsia" w:ascii="Times New Roman"/>
          <w:i w:val="0"/>
          <w:iCs w:val="0"/>
          <w:lang w:val="en-US" w:eastAsia="zh-CN"/>
        </w:rPr>
        <w:t>4</w:t>
      </w:r>
      <w:r>
        <w:rPr>
          <w:rFonts w:ascii="Times New Roman"/>
          <w:i w:val="0"/>
          <w:iCs w:val="0"/>
        </w:rPr>
        <w:t>-</w:t>
      </w:r>
      <w:r>
        <w:rPr>
          <w:rFonts w:ascii="Times New Roman"/>
          <w:i w:val="0"/>
          <w:iCs w:val="0"/>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二、机</w:t>
      </w:r>
      <w:r>
        <w:rPr>
          <w:rFonts w:ascii="Times New Roman" w:eastAsia="黑体"/>
        </w:rPr>
        <w:t>构设置</w:t>
      </w:r>
      <w:r>
        <w:rPr>
          <w:rFonts w:hint="eastAsia" w:ascii="Times New Roman" w:eastAsia="黑体"/>
          <w:lang w:val="en-US" w:eastAsia="zh-CN"/>
        </w:rPr>
        <w:t>及人员情况</w:t>
      </w:r>
      <w:r>
        <w:rPr>
          <w:rFonts w:ascii="Times New Roman"/>
        </w:rPr>
        <w:tab/>
      </w:r>
      <w:r>
        <w:rPr>
          <w:rFonts w:ascii="Times New Roman"/>
        </w:rPr>
        <w:fldChar w:fldCharType="begin"/>
      </w:r>
      <w:r>
        <w:rPr>
          <w:rFonts w:ascii="Times New Roman"/>
        </w:rPr>
        <w:instrText xml:space="preserve"> PAGEREF _Toc79163855 \h </w:instrText>
      </w:r>
      <w:r>
        <w:rPr>
          <w:rFonts w:ascii="Times New Roman"/>
        </w:rPr>
        <w:fldChar w:fldCharType="separate"/>
      </w:r>
      <w:r>
        <w:rPr>
          <w:rFonts w:ascii="Times New Roman"/>
        </w:rPr>
        <w:t>- 4 -</w:t>
      </w:r>
      <w:r>
        <w:rPr>
          <w:rFonts w:ascii="Times New Roman"/>
        </w:rPr>
        <w:fldChar w:fldCharType="end"/>
      </w:r>
    </w:p>
    <w:p>
      <w:pPr>
        <w:pStyle w:val="8"/>
        <w:tabs>
          <w:tab w:val="left" w:pos="840"/>
          <w:tab w:val="right" w:leader="dot" w:pos="8296"/>
        </w:tabs>
        <w:rPr>
          <w:rFonts w:ascii="Times New Roman"/>
          <w:i w:val="0"/>
          <w:iCs w:val="0"/>
          <w:caps/>
        </w:rPr>
      </w:pPr>
      <w:r>
        <w:rPr>
          <w:rFonts w:hint="eastAsia" w:ascii="Times New Roman" w:eastAsia="仿宋"/>
          <w:i w:val="0"/>
          <w:iCs w:val="0"/>
          <w:color w:val="000000"/>
          <w:lang w:eastAsia="zh-CN"/>
        </w:rPr>
        <w:t>（</w:t>
      </w:r>
      <w:r>
        <w:rPr>
          <w:rFonts w:hint="eastAsia" w:ascii="Times New Roman" w:eastAsia="仿宋"/>
          <w:i w:val="0"/>
          <w:iCs w:val="0"/>
          <w:color w:val="000000"/>
          <w:lang w:val="en-US" w:eastAsia="zh-CN"/>
        </w:rPr>
        <w:t>一</w:t>
      </w:r>
      <w:r>
        <w:rPr>
          <w:rFonts w:hint="eastAsia" w:ascii="Times New Roman" w:eastAsia="仿宋"/>
          <w:i w:val="0"/>
          <w:iCs w:val="0"/>
          <w:color w:val="000000"/>
          <w:lang w:eastAsia="zh-CN"/>
        </w:rPr>
        <w:t>）</w:t>
      </w:r>
      <w:r>
        <w:rPr>
          <w:rFonts w:hint="eastAsia" w:ascii="Times New Roman" w:eastAsia="仿宋"/>
          <w:i w:val="0"/>
          <w:iCs w:val="0"/>
          <w:color w:val="000000"/>
        </w:rPr>
        <w:t>机构</w:t>
      </w:r>
      <w:r>
        <w:rPr>
          <w:rFonts w:hint="eastAsia" w:ascii="Times New Roman" w:eastAsia="仿宋"/>
          <w:i w:val="0"/>
          <w:iCs w:val="0"/>
          <w:color w:val="000000"/>
          <w:lang w:val="en-US" w:eastAsia="zh-CN"/>
        </w:rPr>
        <w:t>设</w:t>
      </w:r>
      <w:r>
        <w:rPr>
          <w:rFonts w:hint="eastAsia" w:ascii="Times New Roman" w:eastAsia="仿宋"/>
          <w:i w:val="0"/>
          <w:iCs w:val="0"/>
          <w:color w:val="000000"/>
        </w:rPr>
        <w:t>置...........................................................................................................................</w:t>
      </w:r>
      <w:r>
        <w:rPr>
          <w:rFonts w:ascii="Times New Roman"/>
          <w:i w:val="0"/>
          <w:iCs w:val="0"/>
        </w:rPr>
        <w:fldChar w:fldCharType="begin"/>
      </w:r>
      <w:r>
        <w:rPr>
          <w:rFonts w:ascii="Times New Roman"/>
          <w:i w:val="0"/>
          <w:iCs w:val="0"/>
        </w:rPr>
        <w:instrText xml:space="preserve"> PAGEREF _Toc79163853 \h </w:instrText>
      </w:r>
      <w:r>
        <w:rPr>
          <w:rFonts w:ascii="Times New Roman"/>
          <w:i w:val="0"/>
          <w:iCs w:val="0"/>
        </w:rPr>
        <w:fldChar w:fldCharType="separate"/>
      </w:r>
      <w:r>
        <w:rPr>
          <w:rFonts w:ascii="Times New Roman"/>
          <w:i w:val="0"/>
          <w:iCs w:val="0"/>
        </w:rPr>
        <w:t xml:space="preserve">- </w:t>
      </w:r>
      <w:r>
        <w:rPr>
          <w:rFonts w:hint="eastAsia" w:ascii="Times New Roman"/>
          <w:i w:val="0"/>
          <w:iCs w:val="0"/>
          <w:lang w:val="en-US" w:eastAsia="zh-CN"/>
        </w:rPr>
        <w:t>7</w:t>
      </w:r>
      <w:r>
        <w:rPr>
          <w:rFonts w:ascii="Times New Roman"/>
          <w:i w:val="0"/>
          <w:iCs w:val="0"/>
        </w:rPr>
        <w:t xml:space="preserve"> -</w:t>
      </w:r>
      <w:r>
        <w:rPr>
          <w:rFonts w:ascii="Times New Roman"/>
          <w:i w:val="0"/>
          <w:iCs w:val="0"/>
        </w:rPr>
        <w:fldChar w:fldCharType="end"/>
      </w:r>
    </w:p>
    <w:p>
      <w:pPr>
        <w:pStyle w:val="8"/>
        <w:tabs>
          <w:tab w:val="left" w:pos="840"/>
          <w:tab w:val="right" w:leader="dot" w:pos="8296"/>
        </w:tabs>
        <w:rPr>
          <w:rFonts w:ascii="Times New Roman"/>
          <w:i w:val="0"/>
          <w:iCs w:val="0"/>
          <w:sz w:val="21"/>
          <w:szCs w:val="22"/>
        </w:rPr>
      </w:pPr>
      <w:r>
        <w:rPr>
          <w:rFonts w:hint="eastAsia" w:ascii="Times New Roman" w:eastAsia="仿宋"/>
          <w:i w:val="0"/>
          <w:iCs w:val="0"/>
          <w:color w:val="000000"/>
          <w:lang w:eastAsia="zh-CN"/>
        </w:rPr>
        <w:t>（</w:t>
      </w:r>
      <w:r>
        <w:rPr>
          <w:rFonts w:hint="eastAsia" w:ascii="Times New Roman" w:eastAsia="仿宋"/>
          <w:i w:val="0"/>
          <w:iCs w:val="0"/>
          <w:color w:val="000000"/>
          <w:lang w:val="en-US" w:eastAsia="zh-CN"/>
        </w:rPr>
        <w:t>二</w:t>
      </w:r>
      <w:r>
        <w:rPr>
          <w:rFonts w:hint="eastAsia" w:ascii="Times New Roman" w:eastAsia="仿宋"/>
          <w:i w:val="0"/>
          <w:iCs w:val="0"/>
          <w:color w:val="000000"/>
          <w:lang w:eastAsia="zh-CN"/>
        </w:rPr>
        <w:t>）</w:t>
      </w:r>
      <w:r>
        <w:rPr>
          <w:rFonts w:hint="eastAsia" w:ascii="Times New Roman" w:eastAsia="仿宋"/>
          <w:i w:val="0"/>
          <w:iCs w:val="0"/>
          <w:color w:val="000000"/>
          <w:lang w:val="en-US" w:eastAsia="zh-CN"/>
        </w:rPr>
        <w:t xml:space="preserve"> </w:t>
      </w:r>
      <w:r>
        <w:rPr>
          <w:rFonts w:hint="eastAsia" w:ascii="Times New Roman" w:eastAsia="仿宋"/>
          <w:i w:val="0"/>
          <w:iCs w:val="0"/>
          <w:color w:val="000000"/>
        </w:rPr>
        <w:t>人员情况...........................................................................................................................</w:t>
      </w:r>
      <w:r>
        <w:rPr>
          <w:rFonts w:ascii="Times New Roman"/>
          <w:i w:val="0"/>
          <w:iCs w:val="0"/>
        </w:rPr>
        <w:fldChar w:fldCharType="begin"/>
      </w:r>
      <w:r>
        <w:rPr>
          <w:rFonts w:ascii="Times New Roman"/>
          <w:i w:val="0"/>
          <w:iCs w:val="0"/>
        </w:rPr>
        <w:instrText xml:space="preserve"> PAGEREF _Toc79163853 \h </w:instrText>
      </w:r>
      <w:r>
        <w:rPr>
          <w:rFonts w:ascii="Times New Roman"/>
          <w:i w:val="0"/>
          <w:iCs w:val="0"/>
        </w:rPr>
        <w:fldChar w:fldCharType="separate"/>
      </w:r>
      <w:r>
        <w:rPr>
          <w:rFonts w:ascii="Times New Roman"/>
          <w:i w:val="0"/>
          <w:iCs w:val="0"/>
        </w:rPr>
        <w:t xml:space="preserve">- </w:t>
      </w:r>
      <w:r>
        <w:rPr>
          <w:rFonts w:hint="eastAsia" w:ascii="Times New Roman"/>
          <w:i w:val="0"/>
          <w:iCs w:val="0"/>
          <w:lang w:val="en-US" w:eastAsia="zh-CN"/>
        </w:rPr>
        <w:t>8</w:t>
      </w:r>
      <w:r>
        <w:rPr>
          <w:rFonts w:ascii="Times New Roman"/>
          <w:i w:val="0"/>
          <w:iCs w:val="0"/>
        </w:rPr>
        <w:t xml:space="preserve"> -</w:t>
      </w:r>
      <w:r>
        <w:rPr>
          <w:rFonts w:ascii="Times New Roman"/>
          <w:i w:val="0"/>
          <w:iCs w:val="0"/>
        </w:rPr>
        <w:fldChar w:fldCharType="end"/>
      </w:r>
    </w:p>
    <w:p>
      <w:pPr>
        <w:pStyle w:val="13"/>
        <w:tabs>
          <w:tab w:val="right" w:leader="dot" w:pos="8296"/>
        </w:tabs>
        <w:ind w:firstLine="400" w:firstLineChars="200"/>
        <w:rPr>
          <w:rFonts w:ascii="Times New Roman" w:eastAsiaTheme="minorEastAsia"/>
          <w:b w:val="0"/>
          <w:bCs w:val="0"/>
          <w:caps w:val="0"/>
          <w:sz w:val="21"/>
          <w:szCs w:val="22"/>
        </w:rPr>
      </w:pPr>
      <w:r>
        <w:rPr>
          <w:rFonts w:ascii="Times New Roman" w:eastAsia="黑体"/>
          <w:b w:val="0"/>
          <w:color w:val="000000"/>
        </w:rPr>
        <w:t>第二部分</w:t>
      </w:r>
      <w:r>
        <w:rPr>
          <w:rFonts w:ascii="Times New Roman" w:eastAsia="黑体"/>
          <w:b w:val="0"/>
          <w:bCs w:val="0"/>
        </w:rPr>
        <w:t>202</w:t>
      </w:r>
      <w:r>
        <w:rPr>
          <w:rFonts w:hint="eastAsia" w:ascii="Times New Roman" w:eastAsia="黑体"/>
          <w:b w:val="0"/>
          <w:bCs w:val="0"/>
          <w:lang w:val="en-US" w:eastAsia="zh-CN"/>
        </w:rPr>
        <w:t>1</w:t>
      </w:r>
      <w:r>
        <w:rPr>
          <w:rFonts w:ascii="Times New Roman" w:eastAsia="黑体"/>
          <w:b w:val="0"/>
          <w:bCs w:val="0"/>
        </w:rPr>
        <w:t>年度部门决算情况说明</w:t>
      </w:r>
      <w:r>
        <w:rPr>
          <w:rFonts w:ascii="Times New Roman"/>
          <w:b w:val="0"/>
          <w:bCs w:val="0"/>
        </w:rPr>
        <w:tab/>
      </w:r>
      <w:r>
        <w:rPr>
          <w:rFonts w:ascii="Times New Roman"/>
          <w:b w:val="0"/>
          <w:bCs w:val="0"/>
        </w:rPr>
        <w:fldChar w:fldCharType="begin"/>
      </w:r>
      <w:r>
        <w:rPr>
          <w:rFonts w:ascii="Times New Roman"/>
          <w:b w:val="0"/>
          <w:bCs w:val="0"/>
        </w:rPr>
        <w:instrText xml:space="preserve"> PAGEREF _Toc79163859 \h </w:instrText>
      </w:r>
      <w:r>
        <w:rPr>
          <w:rFonts w:ascii="Times New Roman"/>
          <w:b w:val="0"/>
          <w:bCs w:val="0"/>
        </w:rPr>
        <w:fldChar w:fldCharType="separate"/>
      </w:r>
      <w:r>
        <w:rPr>
          <w:rFonts w:ascii="Times New Roman"/>
          <w:b w:val="0"/>
          <w:bCs w:val="0"/>
        </w:rPr>
        <w:t>- 9 -</w:t>
      </w:r>
      <w:r>
        <w:rPr>
          <w:rFonts w:ascii="Times New Roman"/>
          <w:b w:val="0"/>
          <w:bCs w:val="0"/>
        </w:rPr>
        <w:fldChar w:fldCharType="end"/>
      </w:r>
    </w:p>
    <w:p>
      <w:pPr>
        <w:pStyle w:val="16"/>
        <w:tabs>
          <w:tab w:val="left" w:pos="840"/>
          <w:tab w:val="right" w:leader="dot" w:pos="8296"/>
        </w:tabs>
        <w:ind w:firstLine="200" w:firstLineChars="100"/>
        <w:rPr>
          <w:rFonts w:ascii="Times New Roman" w:eastAsiaTheme="minorEastAsia"/>
          <w:smallCaps w:val="0"/>
          <w:sz w:val="21"/>
          <w:szCs w:val="22"/>
        </w:rPr>
      </w:pPr>
      <w:r>
        <w:rPr>
          <w:rFonts w:ascii="Times New Roman" w:eastAsia="黑体"/>
          <w:bCs/>
        </w:rPr>
        <w:t>一、</w:t>
      </w:r>
      <w:r>
        <w:rPr>
          <w:rFonts w:ascii="Times New Roman" w:eastAsia="黑体"/>
          <w:color w:val="000000"/>
        </w:rPr>
        <w:t>收</w:t>
      </w:r>
      <w:r>
        <w:rPr>
          <w:rFonts w:ascii="Times New Roman" w:eastAsia="黑体"/>
          <w:bCs/>
        </w:rPr>
        <w:t>入支出决算总体情况说明</w:t>
      </w:r>
      <w:r>
        <w:rPr>
          <w:rFonts w:ascii="Times New Roman"/>
        </w:rPr>
        <w:tab/>
      </w:r>
      <w:r>
        <w:rPr>
          <w:rFonts w:ascii="Times New Roman"/>
        </w:rPr>
        <w:fldChar w:fldCharType="begin"/>
      </w:r>
      <w:r>
        <w:rPr>
          <w:rFonts w:ascii="Times New Roman"/>
        </w:rPr>
        <w:instrText xml:space="preserve"> PAGEREF _Toc79163860 \h </w:instrText>
      </w:r>
      <w:r>
        <w:rPr>
          <w:rFonts w:ascii="Times New Roman"/>
        </w:rPr>
        <w:fldChar w:fldCharType="separate"/>
      </w:r>
      <w:r>
        <w:rPr>
          <w:rFonts w:ascii="Times New Roman"/>
        </w:rPr>
        <w:t>- 9 -</w:t>
      </w:r>
      <w:r>
        <w:rPr>
          <w:rFonts w:ascii="Times New Roman"/>
        </w:rPr>
        <w:fldChar w:fldCharType="end"/>
      </w:r>
    </w:p>
    <w:p>
      <w:pPr>
        <w:pStyle w:val="16"/>
        <w:tabs>
          <w:tab w:val="left" w:pos="840"/>
          <w:tab w:val="right" w:leader="dot" w:pos="8296"/>
        </w:tabs>
        <w:ind w:firstLine="200" w:firstLineChars="100"/>
        <w:rPr>
          <w:rFonts w:ascii="Times New Roman" w:eastAsiaTheme="minorEastAsia"/>
          <w:smallCaps w:val="0"/>
          <w:sz w:val="21"/>
          <w:szCs w:val="22"/>
        </w:rPr>
      </w:pPr>
      <w:r>
        <w:rPr>
          <w:rFonts w:ascii="Times New Roman" w:eastAsia="黑体"/>
          <w:bCs/>
        </w:rPr>
        <w:t>二、</w:t>
      </w:r>
      <w:r>
        <w:rPr>
          <w:rFonts w:ascii="Times New Roman" w:eastAsia="黑体"/>
          <w:color w:val="000000"/>
        </w:rPr>
        <w:t>收</w:t>
      </w:r>
      <w:r>
        <w:rPr>
          <w:rFonts w:ascii="Times New Roman" w:eastAsia="黑体"/>
          <w:bCs/>
        </w:rPr>
        <w:t>入决算情况说明</w:t>
      </w:r>
      <w:r>
        <w:rPr>
          <w:rFonts w:ascii="Times New Roman"/>
        </w:rPr>
        <w:tab/>
      </w:r>
      <w:r>
        <w:rPr>
          <w:rFonts w:ascii="Times New Roman"/>
        </w:rPr>
        <w:fldChar w:fldCharType="begin"/>
      </w:r>
      <w:r>
        <w:rPr>
          <w:rFonts w:ascii="Times New Roman"/>
        </w:rPr>
        <w:instrText xml:space="preserve"> PAGEREF _Toc79163861 \h </w:instrText>
      </w:r>
      <w:r>
        <w:rPr>
          <w:rFonts w:ascii="Times New Roman"/>
        </w:rPr>
        <w:fldChar w:fldCharType="separate"/>
      </w:r>
      <w:r>
        <w:rPr>
          <w:rFonts w:ascii="Times New Roman"/>
        </w:rPr>
        <w:t>- 9 -</w:t>
      </w:r>
      <w:r>
        <w:rPr>
          <w:rFonts w:ascii="Times New Roman"/>
        </w:rPr>
        <w:fldChar w:fldCharType="end"/>
      </w:r>
    </w:p>
    <w:p>
      <w:pPr>
        <w:pStyle w:val="16"/>
        <w:tabs>
          <w:tab w:val="left" w:pos="840"/>
          <w:tab w:val="right" w:leader="dot" w:pos="8296"/>
        </w:tabs>
        <w:ind w:firstLine="200" w:firstLineChars="100"/>
        <w:rPr>
          <w:rFonts w:ascii="Times New Roman" w:eastAsiaTheme="minorEastAsia"/>
          <w:smallCaps w:val="0"/>
          <w:sz w:val="21"/>
          <w:szCs w:val="22"/>
        </w:rPr>
      </w:pPr>
      <w:r>
        <w:rPr>
          <w:rFonts w:ascii="Times New Roman" w:eastAsia="黑体"/>
          <w:bCs/>
        </w:rPr>
        <w:t>三、</w:t>
      </w:r>
      <w:r>
        <w:rPr>
          <w:rFonts w:ascii="Times New Roman" w:eastAsia="黑体"/>
          <w:color w:val="000000"/>
        </w:rPr>
        <w:t>支</w:t>
      </w:r>
      <w:r>
        <w:rPr>
          <w:rFonts w:ascii="Times New Roman" w:eastAsia="黑体"/>
          <w:bCs/>
        </w:rPr>
        <w:t>出决算情况说明</w:t>
      </w:r>
      <w:r>
        <w:rPr>
          <w:rFonts w:ascii="Times New Roman"/>
        </w:rPr>
        <w:tab/>
      </w:r>
      <w:r>
        <w:rPr>
          <w:rFonts w:ascii="Times New Roman"/>
        </w:rPr>
        <w:fldChar w:fldCharType="begin"/>
      </w:r>
      <w:r>
        <w:rPr>
          <w:rFonts w:ascii="Times New Roman"/>
        </w:rPr>
        <w:instrText xml:space="preserve"> PAGEREF _Toc79163862 \h </w:instrText>
      </w:r>
      <w:r>
        <w:rPr>
          <w:rFonts w:ascii="Times New Roman"/>
        </w:rPr>
        <w:fldChar w:fldCharType="separate"/>
      </w:r>
      <w:r>
        <w:rPr>
          <w:rFonts w:ascii="Times New Roman"/>
        </w:rPr>
        <w:t>- 10 -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四、财</w:t>
      </w:r>
      <w:r>
        <w:rPr>
          <w:rFonts w:ascii="Times New Roman" w:eastAsia="黑体"/>
          <w:bCs/>
        </w:rPr>
        <w:t>政拨款收入支出决算总体情况说明</w:t>
      </w:r>
      <w:r>
        <w:rPr>
          <w:rFonts w:ascii="Times New Roman"/>
        </w:rPr>
        <w:tab/>
      </w:r>
      <w:r>
        <w:rPr>
          <w:rFonts w:ascii="Times New Roman"/>
        </w:rPr>
        <w:fldChar w:fldCharType="begin"/>
      </w:r>
      <w:r>
        <w:rPr>
          <w:rFonts w:ascii="Times New Roman"/>
        </w:rPr>
        <w:instrText xml:space="preserve"> PAGEREF _Toc79163863 \h </w:instrText>
      </w:r>
      <w:r>
        <w:rPr>
          <w:rFonts w:ascii="Times New Roman"/>
        </w:rPr>
        <w:fldChar w:fldCharType="separate"/>
      </w:r>
      <w:r>
        <w:rPr>
          <w:rFonts w:ascii="Times New Roman"/>
        </w:rPr>
        <w:t>- 10 -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五、</w:t>
      </w:r>
      <w:r>
        <w:rPr>
          <w:rFonts w:ascii="Times New Roman" w:eastAsia="黑体"/>
          <w:b/>
          <w:color w:val="000000"/>
        </w:rPr>
        <w:t>一</w:t>
      </w:r>
      <w:r>
        <w:rPr>
          <w:rFonts w:ascii="Times New Roman" w:eastAsia="黑体"/>
          <w:bCs/>
        </w:rPr>
        <w:t>般公共预算财政拨款支出决算情况说明</w:t>
      </w:r>
      <w:r>
        <w:rPr>
          <w:rFonts w:ascii="Times New Roman"/>
        </w:rPr>
        <w:tab/>
      </w:r>
      <w:r>
        <w:rPr>
          <w:rFonts w:ascii="Times New Roman"/>
        </w:rPr>
        <w:fldChar w:fldCharType="begin"/>
      </w:r>
      <w:r>
        <w:rPr>
          <w:rFonts w:ascii="Times New Roman"/>
        </w:rPr>
        <w:instrText xml:space="preserve"> PAGEREF _Toc79163864 \h </w:instrText>
      </w:r>
      <w:r>
        <w:rPr>
          <w:rFonts w:ascii="Times New Roman"/>
        </w:rPr>
        <w:fldChar w:fldCharType="separate"/>
      </w:r>
      <w:r>
        <w:rPr>
          <w:rFonts w:ascii="Times New Roman"/>
        </w:rPr>
        <w:t>- 11 -</w:t>
      </w:r>
      <w:r>
        <w:rPr>
          <w:rFonts w:ascii="Times New Roman"/>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（一）一般公共预算财政拨款支出决算总体情况</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_Toc79163865 \h </w:instrText>
      </w:r>
      <w:r>
        <w:rPr>
          <w:rFonts w:ascii="Times New Roman"/>
          <w:bCs/>
          <w:i w:val="0"/>
          <w:iCs w:val="0"/>
        </w:rPr>
        <w:fldChar w:fldCharType="separate"/>
      </w:r>
      <w:r>
        <w:rPr>
          <w:rFonts w:ascii="Times New Roman"/>
          <w:bCs/>
          <w:i w:val="0"/>
          <w:iCs w:val="0"/>
        </w:rPr>
        <w:t>- 11 -</w:t>
      </w:r>
      <w:r>
        <w:rPr>
          <w:rFonts w:ascii="Times New Roman"/>
          <w:bCs/>
          <w:i w:val="0"/>
          <w:iCs w:val="0"/>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（二）一般公共预算财政拨款支出决算结构情况</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_Toc79163866 \h </w:instrText>
      </w:r>
      <w:r>
        <w:rPr>
          <w:rFonts w:ascii="Times New Roman"/>
          <w:bCs/>
          <w:i w:val="0"/>
          <w:iCs w:val="0"/>
        </w:rPr>
        <w:fldChar w:fldCharType="separate"/>
      </w:r>
      <w:r>
        <w:rPr>
          <w:rFonts w:ascii="Times New Roman"/>
          <w:bCs/>
          <w:i w:val="0"/>
          <w:iCs w:val="0"/>
        </w:rPr>
        <w:t>- 12 -</w:t>
      </w:r>
      <w:r>
        <w:rPr>
          <w:rFonts w:ascii="Times New Roman"/>
          <w:bCs/>
          <w:i w:val="0"/>
          <w:iCs w:val="0"/>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（三）一般公共预算财政拨款支出决算具体情况</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_Toc79163867 \h </w:instrText>
      </w:r>
      <w:r>
        <w:rPr>
          <w:rFonts w:ascii="Times New Roman"/>
          <w:bCs/>
          <w:i w:val="0"/>
          <w:iCs w:val="0"/>
        </w:rPr>
        <w:fldChar w:fldCharType="separate"/>
      </w:r>
      <w:r>
        <w:rPr>
          <w:rFonts w:ascii="Times New Roman"/>
          <w:bCs/>
          <w:i w:val="0"/>
          <w:iCs w:val="0"/>
        </w:rPr>
        <w:t>- 13 -</w:t>
      </w:r>
      <w:r>
        <w:rPr>
          <w:rFonts w:ascii="Times New Roman"/>
          <w:bCs/>
          <w:i w:val="0"/>
          <w:iCs w:val="0"/>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六</w:t>
      </w:r>
      <w:r>
        <w:rPr>
          <w:rFonts w:ascii="Times New Roman" w:eastAsia="黑体"/>
          <w:b/>
          <w:color w:val="000000"/>
        </w:rPr>
        <w:t>、一</w:t>
      </w:r>
      <w:r>
        <w:rPr>
          <w:rFonts w:ascii="Times New Roman" w:eastAsia="黑体"/>
          <w:bCs/>
        </w:rPr>
        <w:t>般公共预算财政拨款基本支出决算情况说明</w:t>
      </w:r>
      <w:r>
        <w:rPr>
          <w:rFonts w:ascii="Times New Roman"/>
        </w:rPr>
        <w:tab/>
      </w:r>
      <w:r>
        <w:rPr>
          <w:rFonts w:ascii="Times New Roman"/>
        </w:rPr>
        <w:fldChar w:fldCharType="begin"/>
      </w:r>
      <w:r>
        <w:rPr>
          <w:rFonts w:ascii="Times New Roman"/>
        </w:rPr>
        <w:instrText xml:space="preserve"> PAGEREF _Toc79163868 \h </w:instrText>
      </w:r>
      <w:r>
        <w:rPr>
          <w:rFonts w:ascii="Times New Roman"/>
        </w:rPr>
        <w:fldChar w:fldCharType="separate"/>
      </w:r>
      <w:r>
        <w:rPr>
          <w:rFonts w:ascii="Times New Roman"/>
        </w:rPr>
        <w:t>- 14 -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七、</w:t>
      </w:r>
      <w:r>
        <w:rPr>
          <w:rFonts w:ascii="Times New Roman" w:eastAsia="黑体"/>
          <w:b/>
          <w:bCs/>
        </w:rPr>
        <w:t>“</w:t>
      </w:r>
      <w:r>
        <w:rPr>
          <w:rFonts w:ascii="Times New Roman" w:eastAsia="黑体"/>
          <w:bCs/>
        </w:rPr>
        <w:t>三公”经费财政拨款支出决算情况说明</w:t>
      </w:r>
      <w:r>
        <w:rPr>
          <w:rFonts w:ascii="Times New Roman"/>
        </w:rPr>
        <w:tab/>
      </w:r>
      <w:r>
        <w:rPr>
          <w:rFonts w:ascii="Times New Roman"/>
        </w:rPr>
        <w:fldChar w:fldCharType="begin"/>
      </w:r>
      <w:r>
        <w:rPr>
          <w:rFonts w:ascii="Times New Roman"/>
        </w:rPr>
        <w:instrText xml:space="preserve"> PAGEREF _Toc79163869 \h </w:instrText>
      </w:r>
      <w:r>
        <w:rPr>
          <w:rFonts w:ascii="Times New Roman"/>
        </w:rPr>
        <w:fldChar w:fldCharType="separate"/>
      </w:r>
      <w:r>
        <w:rPr>
          <w:rFonts w:ascii="Times New Roman"/>
        </w:rPr>
        <w:t>- 15 -</w:t>
      </w:r>
      <w:r>
        <w:rPr>
          <w:rFonts w:ascii="Times New Roman"/>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（一）“三公”经费财政拨款支出决算总体情况说明</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_Toc79163870 \h </w:instrText>
      </w:r>
      <w:r>
        <w:rPr>
          <w:rFonts w:ascii="Times New Roman"/>
          <w:bCs/>
          <w:i w:val="0"/>
          <w:iCs w:val="0"/>
        </w:rPr>
        <w:fldChar w:fldCharType="separate"/>
      </w:r>
      <w:r>
        <w:rPr>
          <w:rFonts w:ascii="Times New Roman"/>
          <w:bCs/>
          <w:i w:val="0"/>
          <w:iCs w:val="0"/>
        </w:rPr>
        <w:t>- 15 -</w:t>
      </w:r>
      <w:r>
        <w:rPr>
          <w:rFonts w:ascii="Times New Roman"/>
          <w:bCs/>
          <w:i w:val="0"/>
          <w:iCs w:val="0"/>
        </w:rPr>
        <w:fldChar w:fldCharType="end"/>
      </w:r>
    </w:p>
    <w:p>
      <w:pPr>
        <w:pStyle w:val="8"/>
        <w:tabs>
          <w:tab w:val="right" w:leader="dot" w:pos="8296"/>
        </w:tabs>
        <w:rPr>
          <w:rFonts w:ascii="Times New Roman" w:eastAsiaTheme="minorEastAsia"/>
          <w:i w:val="0"/>
          <w:iCs w:val="0"/>
          <w:sz w:val="21"/>
          <w:szCs w:val="22"/>
        </w:rPr>
      </w:pPr>
      <w:r>
        <w:rPr>
          <w:rFonts w:ascii="Times New Roman" w:eastAsia="仿宋"/>
          <w:bCs/>
          <w:i w:val="0"/>
          <w:iCs w:val="0"/>
          <w:color w:val="000000"/>
        </w:rPr>
        <w:t>（二）“三公”经费财政拨款支出决算具体情况说明</w:t>
      </w:r>
      <w:r>
        <w:rPr>
          <w:rFonts w:ascii="Times New Roman"/>
          <w:i w:val="0"/>
          <w:iCs w:val="0"/>
        </w:rPr>
        <w:tab/>
      </w:r>
      <w:r>
        <w:rPr>
          <w:rFonts w:ascii="Times New Roman"/>
          <w:i w:val="0"/>
          <w:iCs w:val="0"/>
        </w:rPr>
        <w:fldChar w:fldCharType="begin"/>
      </w:r>
      <w:r>
        <w:rPr>
          <w:rFonts w:ascii="Times New Roman"/>
          <w:i w:val="0"/>
          <w:iCs w:val="0"/>
        </w:rPr>
        <w:instrText xml:space="preserve"> PAGEREF _Toc79163871 \h </w:instrText>
      </w:r>
      <w:r>
        <w:rPr>
          <w:rFonts w:ascii="Times New Roman"/>
          <w:i w:val="0"/>
          <w:iCs w:val="0"/>
        </w:rPr>
        <w:fldChar w:fldCharType="separate"/>
      </w:r>
      <w:r>
        <w:rPr>
          <w:rFonts w:ascii="Times New Roman"/>
          <w:i w:val="0"/>
          <w:iCs w:val="0"/>
        </w:rPr>
        <w:t>- 15 -</w:t>
      </w:r>
      <w:r>
        <w:rPr>
          <w:rFonts w:ascii="Times New Roman"/>
          <w:i w:val="0"/>
          <w:iCs w:val="0"/>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八、</w:t>
      </w:r>
      <w:r>
        <w:rPr>
          <w:rFonts w:ascii="Times New Roman" w:eastAsia="黑体"/>
          <w:bCs/>
        </w:rPr>
        <w:t>政府性基金预算支出决算情况说明</w:t>
      </w:r>
      <w:r>
        <w:rPr>
          <w:rFonts w:ascii="Times New Roman"/>
        </w:rPr>
        <w:tab/>
      </w:r>
      <w:r>
        <w:rPr>
          <w:rFonts w:ascii="Times New Roman"/>
        </w:rPr>
        <w:fldChar w:fldCharType="begin"/>
      </w:r>
      <w:r>
        <w:rPr>
          <w:rFonts w:ascii="Times New Roman"/>
        </w:rPr>
        <w:instrText xml:space="preserve"> PAGEREF _Toc79163872 \h </w:instrText>
      </w:r>
      <w:r>
        <w:rPr>
          <w:rFonts w:ascii="Times New Roman"/>
        </w:rPr>
        <w:fldChar w:fldCharType="separate"/>
      </w:r>
      <w:r>
        <w:rPr>
          <w:rFonts w:ascii="Times New Roman"/>
        </w:rPr>
        <w:t>- 17 -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bCs/>
        </w:rPr>
        <w:t>九、 国有资本经营预算支出决算情况说明</w:t>
      </w:r>
      <w:r>
        <w:rPr>
          <w:rFonts w:ascii="Times New Roman"/>
        </w:rPr>
        <w:tab/>
      </w:r>
      <w:r>
        <w:rPr>
          <w:rFonts w:ascii="Times New Roman"/>
        </w:rPr>
        <w:fldChar w:fldCharType="begin"/>
      </w:r>
      <w:r>
        <w:rPr>
          <w:rFonts w:ascii="Times New Roman"/>
        </w:rPr>
        <w:instrText xml:space="preserve"> PAGEREF _Toc79163873 \h </w:instrText>
      </w:r>
      <w:r>
        <w:rPr>
          <w:rFonts w:ascii="Times New Roman"/>
        </w:rPr>
        <w:fldChar w:fldCharType="separate"/>
      </w:r>
      <w:r>
        <w:rPr>
          <w:rFonts w:ascii="Times New Roman"/>
        </w:rPr>
        <w:t>- 17 -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黑体"/>
          <w:color w:val="000000"/>
        </w:rPr>
        <w:t>十</w:t>
      </w:r>
      <w:r>
        <w:rPr>
          <w:rFonts w:ascii="Times New Roman" w:eastAsia="黑体"/>
          <w:b/>
          <w:bCs/>
        </w:rPr>
        <w:t>、</w:t>
      </w:r>
      <w:r>
        <w:rPr>
          <w:rFonts w:ascii="Times New Roman" w:eastAsia="黑体"/>
          <w:bCs/>
        </w:rPr>
        <w:t>其他重要事项的情况说明</w:t>
      </w:r>
      <w:r>
        <w:rPr>
          <w:rFonts w:ascii="Times New Roman"/>
        </w:rPr>
        <w:tab/>
      </w:r>
      <w:r>
        <w:rPr>
          <w:rFonts w:ascii="Times New Roman"/>
        </w:rPr>
        <w:fldChar w:fldCharType="begin"/>
      </w:r>
      <w:r>
        <w:rPr>
          <w:rFonts w:ascii="Times New Roman"/>
        </w:rPr>
        <w:instrText xml:space="preserve"> PAGEREF _Toc79163874 \h </w:instrText>
      </w:r>
      <w:r>
        <w:rPr>
          <w:rFonts w:ascii="Times New Roman"/>
        </w:rPr>
        <w:fldChar w:fldCharType="separate"/>
      </w:r>
      <w:r>
        <w:rPr>
          <w:rFonts w:ascii="Times New Roman"/>
        </w:rPr>
        <w:t>- 17 -</w:t>
      </w:r>
      <w:r>
        <w:rPr>
          <w:rFonts w:ascii="Times New Roman"/>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（一）机关运行经费支出情况</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_Toc79163875 \h </w:instrText>
      </w:r>
      <w:r>
        <w:rPr>
          <w:rFonts w:ascii="Times New Roman"/>
          <w:bCs/>
          <w:i w:val="0"/>
          <w:iCs w:val="0"/>
        </w:rPr>
        <w:fldChar w:fldCharType="separate"/>
      </w:r>
      <w:r>
        <w:rPr>
          <w:rFonts w:ascii="Times New Roman"/>
          <w:bCs/>
          <w:i w:val="0"/>
          <w:iCs w:val="0"/>
        </w:rPr>
        <w:t>- 17 -</w:t>
      </w:r>
      <w:r>
        <w:rPr>
          <w:rFonts w:ascii="Times New Roman"/>
          <w:bCs/>
          <w:i w:val="0"/>
          <w:iCs w:val="0"/>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（二）政府采购支出情况</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_Toc79163876 \h </w:instrText>
      </w:r>
      <w:r>
        <w:rPr>
          <w:rFonts w:ascii="Times New Roman"/>
          <w:bCs/>
          <w:i w:val="0"/>
          <w:iCs w:val="0"/>
        </w:rPr>
        <w:fldChar w:fldCharType="separate"/>
      </w:r>
      <w:r>
        <w:rPr>
          <w:rFonts w:ascii="Times New Roman"/>
          <w:bCs/>
          <w:i w:val="0"/>
          <w:iCs w:val="0"/>
        </w:rPr>
        <w:t>- 17 -</w:t>
      </w:r>
      <w:r>
        <w:rPr>
          <w:rFonts w:ascii="Times New Roman"/>
          <w:bCs/>
          <w:i w:val="0"/>
          <w:iCs w:val="0"/>
        </w:rPr>
        <w:fldChar w:fldCharType="end"/>
      </w:r>
    </w:p>
    <w:p>
      <w:pPr>
        <w:pStyle w:val="8"/>
        <w:tabs>
          <w:tab w:val="right" w:leader="dot" w:pos="8296"/>
        </w:tabs>
        <w:rPr>
          <w:rFonts w:ascii="Times New Roman" w:eastAsiaTheme="minorEastAsia"/>
          <w:bCs/>
          <w:i w:val="0"/>
          <w:iCs w:val="0"/>
          <w:sz w:val="21"/>
          <w:szCs w:val="22"/>
        </w:rPr>
      </w:pPr>
      <w:r>
        <w:rPr>
          <w:rFonts w:ascii="Times New Roman" w:eastAsia="仿宋"/>
          <w:bCs/>
          <w:i w:val="0"/>
          <w:iCs w:val="0"/>
          <w:color w:val="000000"/>
        </w:rPr>
        <w:t>（三）国有资产占有使用情况</w:t>
      </w:r>
      <w:r>
        <w:rPr>
          <w:rFonts w:ascii="Times New Roman"/>
          <w:bCs/>
          <w:i w:val="0"/>
          <w:iCs w:val="0"/>
        </w:rPr>
        <w:tab/>
      </w:r>
      <w:r>
        <w:rPr>
          <w:rFonts w:ascii="Times New Roman"/>
          <w:bCs/>
          <w:i w:val="0"/>
          <w:iCs w:val="0"/>
        </w:rPr>
        <w:fldChar w:fldCharType="begin"/>
      </w:r>
      <w:r>
        <w:rPr>
          <w:rFonts w:ascii="Times New Roman"/>
          <w:bCs/>
          <w:i w:val="0"/>
          <w:iCs w:val="0"/>
        </w:rPr>
        <w:instrText xml:space="preserve"> PAGEREF _Toc79163877 \h </w:instrText>
      </w:r>
      <w:r>
        <w:rPr>
          <w:rFonts w:ascii="Times New Roman"/>
          <w:bCs/>
          <w:i w:val="0"/>
          <w:iCs w:val="0"/>
        </w:rPr>
        <w:fldChar w:fldCharType="separate"/>
      </w:r>
      <w:r>
        <w:rPr>
          <w:rFonts w:ascii="Times New Roman"/>
          <w:bCs/>
          <w:i w:val="0"/>
          <w:iCs w:val="0"/>
        </w:rPr>
        <w:t>- 17 -</w:t>
      </w:r>
      <w:r>
        <w:rPr>
          <w:rFonts w:ascii="Times New Roman"/>
          <w:bCs/>
          <w:i w:val="0"/>
          <w:iCs w:val="0"/>
        </w:rPr>
        <w:fldChar w:fldCharType="end"/>
      </w:r>
    </w:p>
    <w:p>
      <w:pPr>
        <w:pStyle w:val="8"/>
        <w:tabs>
          <w:tab w:val="right" w:leader="dot" w:pos="8296"/>
        </w:tabs>
      </w:pPr>
      <w:r>
        <w:rPr>
          <w:rFonts w:ascii="Times New Roman" w:eastAsia="仿宋"/>
          <w:bCs/>
          <w:i w:val="0"/>
          <w:iCs w:val="0"/>
          <w:color w:val="000000"/>
        </w:rPr>
        <w:t>（四）预算绩效管理情况</w:t>
      </w:r>
      <w:r>
        <w:rPr>
          <w:rFonts w:ascii="Times New Roman"/>
          <w:i w:val="0"/>
          <w:iCs w:val="0"/>
        </w:rPr>
        <w:tab/>
      </w:r>
      <w:r>
        <w:rPr>
          <w:rFonts w:ascii="Times New Roman"/>
          <w:i w:val="0"/>
          <w:iCs w:val="0"/>
        </w:rPr>
        <w:fldChar w:fldCharType="begin"/>
      </w:r>
      <w:r>
        <w:rPr>
          <w:rFonts w:ascii="Times New Roman"/>
          <w:i w:val="0"/>
          <w:iCs w:val="0"/>
        </w:rPr>
        <w:instrText xml:space="preserve"> PAGEREF _Toc79163878 \h </w:instrText>
      </w:r>
      <w:r>
        <w:rPr>
          <w:rFonts w:ascii="Times New Roman"/>
          <w:i w:val="0"/>
          <w:iCs w:val="0"/>
        </w:rPr>
        <w:fldChar w:fldCharType="separate"/>
      </w:r>
      <w:r>
        <w:rPr>
          <w:rFonts w:ascii="Times New Roman"/>
          <w:i w:val="0"/>
          <w:iCs w:val="0"/>
        </w:rPr>
        <w:t>- 18 -</w:t>
      </w:r>
      <w:r>
        <w:rPr>
          <w:rFonts w:ascii="Times New Roman"/>
          <w:i w:val="0"/>
          <w:iCs w:val="0"/>
        </w:rPr>
        <w:fldChar w:fldCharType="end"/>
      </w:r>
    </w:p>
    <w:p>
      <w:pPr>
        <w:pStyle w:val="13"/>
        <w:tabs>
          <w:tab w:val="right" w:leader="dot" w:pos="8296"/>
        </w:tabs>
        <w:ind w:firstLine="400" w:firstLineChars="200"/>
        <w:rPr>
          <w:rFonts w:ascii="Times New Roman" w:eastAsiaTheme="minorEastAsia"/>
          <w:b w:val="0"/>
          <w:bCs w:val="0"/>
          <w:caps w:val="0"/>
          <w:sz w:val="21"/>
          <w:szCs w:val="22"/>
        </w:rPr>
      </w:pPr>
      <w:r>
        <w:rPr>
          <w:rFonts w:ascii="Times New Roman" w:eastAsia="黑体"/>
          <w:b w:val="0"/>
          <w:bCs w:val="0"/>
          <w:kern w:val="44"/>
        </w:rPr>
        <w:t>第三部分</w:t>
      </w:r>
      <w:r>
        <w:rPr>
          <w:rFonts w:ascii="Times New Roman" w:eastAsia="黑体"/>
          <w:b w:val="0"/>
          <w:bCs w:val="0"/>
          <w:color w:val="000000"/>
        </w:rPr>
        <w:t xml:space="preserve"> 名</w:t>
      </w:r>
      <w:r>
        <w:rPr>
          <w:rFonts w:ascii="Times New Roman" w:eastAsia="黑体"/>
          <w:b w:val="0"/>
          <w:bCs w:val="0"/>
          <w:kern w:val="44"/>
        </w:rPr>
        <w:t>词解释</w:t>
      </w:r>
      <w:r>
        <w:rPr>
          <w:rFonts w:ascii="Times New Roman"/>
          <w:b w:val="0"/>
          <w:bCs w:val="0"/>
        </w:rPr>
        <w:tab/>
      </w:r>
      <w:r>
        <w:rPr>
          <w:rFonts w:ascii="Times New Roman"/>
          <w:b w:val="0"/>
          <w:bCs w:val="0"/>
        </w:rPr>
        <w:fldChar w:fldCharType="begin"/>
      </w:r>
      <w:r>
        <w:rPr>
          <w:rFonts w:ascii="Times New Roman"/>
          <w:b w:val="0"/>
          <w:bCs w:val="0"/>
        </w:rPr>
        <w:instrText xml:space="preserve"> PAGEREF _Toc79163879 \h </w:instrText>
      </w:r>
      <w:r>
        <w:rPr>
          <w:rFonts w:ascii="Times New Roman"/>
          <w:b w:val="0"/>
          <w:bCs w:val="0"/>
        </w:rPr>
        <w:fldChar w:fldCharType="separate"/>
      </w:r>
      <w:r>
        <w:rPr>
          <w:rFonts w:ascii="Times New Roman"/>
          <w:b w:val="0"/>
          <w:bCs w:val="0"/>
        </w:rPr>
        <w:t>- 19 -</w:t>
      </w:r>
      <w:r>
        <w:rPr>
          <w:rFonts w:ascii="Times New Roman"/>
          <w:b w:val="0"/>
          <w:bCs w:val="0"/>
        </w:rPr>
        <w:fldChar w:fldCharType="end"/>
      </w:r>
    </w:p>
    <w:p>
      <w:pPr>
        <w:pStyle w:val="13"/>
        <w:tabs>
          <w:tab w:val="right" w:leader="dot" w:pos="8296"/>
        </w:tabs>
        <w:ind w:firstLine="400" w:firstLineChars="200"/>
        <w:rPr>
          <w:rFonts w:ascii="Times New Roman" w:eastAsiaTheme="minorEastAsia"/>
          <w:b w:val="0"/>
          <w:bCs w:val="0"/>
          <w:caps w:val="0"/>
          <w:sz w:val="21"/>
          <w:szCs w:val="22"/>
        </w:rPr>
      </w:pPr>
      <w:r>
        <w:rPr>
          <w:rFonts w:ascii="Times New Roman" w:eastAsia="黑体"/>
          <w:b w:val="0"/>
          <w:bCs w:val="0"/>
          <w:color w:val="000000"/>
        </w:rPr>
        <w:t>第</w:t>
      </w:r>
      <w:r>
        <w:rPr>
          <w:rFonts w:ascii="Times New Roman" w:eastAsia="黑体"/>
          <w:b w:val="0"/>
          <w:bCs w:val="0"/>
          <w:kern w:val="44"/>
        </w:rPr>
        <w:t>四部分 附件</w:t>
      </w:r>
      <w:r>
        <w:rPr>
          <w:rFonts w:ascii="Times New Roman"/>
          <w:b w:val="0"/>
          <w:bCs w:val="0"/>
        </w:rPr>
        <w:tab/>
      </w:r>
      <w:r>
        <w:rPr>
          <w:rFonts w:ascii="Times New Roman"/>
          <w:b w:val="0"/>
          <w:bCs w:val="0"/>
        </w:rPr>
        <w:fldChar w:fldCharType="begin"/>
      </w:r>
      <w:r>
        <w:rPr>
          <w:rFonts w:ascii="Times New Roman"/>
          <w:b w:val="0"/>
          <w:bCs w:val="0"/>
        </w:rPr>
        <w:instrText xml:space="preserve"> PAGEREF _Toc79163879 \h </w:instrText>
      </w:r>
      <w:r>
        <w:rPr>
          <w:rFonts w:ascii="Times New Roman"/>
          <w:b w:val="0"/>
          <w:bCs w:val="0"/>
        </w:rPr>
        <w:fldChar w:fldCharType="separate"/>
      </w:r>
      <w:r>
        <w:rPr>
          <w:rFonts w:ascii="Times New Roman"/>
          <w:b w:val="0"/>
          <w:bCs w:val="0"/>
        </w:rPr>
        <w:t xml:space="preserve">- </w:t>
      </w:r>
      <w:r>
        <w:rPr>
          <w:rFonts w:hint="eastAsia" w:ascii="Times New Roman"/>
          <w:b w:val="0"/>
          <w:bCs w:val="0"/>
          <w:lang w:val="en-US" w:eastAsia="zh-CN"/>
        </w:rPr>
        <w:t>21</w:t>
      </w:r>
      <w:r>
        <w:rPr>
          <w:rFonts w:ascii="Times New Roman"/>
          <w:b w:val="0"/>
          <w:bCs w:val="0"/>
        </w:rPr>
        <w:t xml:space="preserve"> -</w:t>
      </w:r>
      <w:r>
        <w:rPr>
          <w:rFonts w:ascii="Times New Roman"/>
          <w:b w:val="0"/>
          <w:bCs w:val="0"/>
        </w:rPr>
        <w:fldChar w:fldCharType="end"/>
      </w:r>
    </w:p>
    <w:p>
      <w:pPr>
        <w:pStyle w:val="13"/>
        <w:tabs>
          <w:tab w:val="right" w:leader="dot" w:pos="8296"/>
        </w:tabs>
        <w:ind w:firstLine="400" w:firstLineChars="200"/>
        <w:rPr>
          <w:rFonts w:ascii="Times New Roman" w:eastAsiaTheme="minorEastAsia"/>
          <w:b w:val="0"/>
          <w:bCs w:val="0"/>
          <w:caps w:val="0"/>
          <w:sz w:val="21"/>
          <w:szCs w:val="22"/>
        </w:rPr>
      </w:pPr>
      <w:r>
        <w:rPr>
          <w:rFonts w:ascii="Times New Roman" w:eastAsia="黑体"/>
          <w:b w:val="0"/>
          <w:bCs w:val="0"/>
        </w:rPr>
        <w:t>附件1</w:t>
      </w:r>
      <w:r>
        <w:rPr>
          <w:rFonts w:hint="eastAsia" w:ascii="Times New Roman" w:eastAsia="黑体"/>
          <w:b w:val="0"/>
          <w:bCs w:val="0"/>
          <w:lang w:eastAsia="zh-CN"/>
        </w:rPr>
        <w:t>：</w:t>
      </w:r>
      <w:r>
        <w:rPr>
          <w:rFonts w:hint="eastAsia" w:ascii="Times New Roman" w:eastAsia="方正小标宋简体"/>
          <w:b w:val="0"/>
          <w:bCs w:val="0"/>
        </w:rPr>
        <w:t>阿坝州委统战部</w:t>
      </w:r>
      <w:r>
        <w:rPr>
          <w:rFonts w:ascii="Times New Roman" w:eastAsia="方正小标宋简体"/>
          <w:b w:val="0"/>
          <w:bCs w:val="0"/>
        </w:rPr>
        <w:t>202</w:t>
      </w:r>
      <w:r>
        <w:rPr>
          <w:rFonts w:hint="eastAsia" w:ascii="Times New Roman" w:eastAsia="方正小标宋简体"/>
          <w:b w:val="0"/>
          <w:bCs w:val="0"/>
          <w:lang w:val="en-US" w:eastAsia="zh-CN"/>
        </w:rPr>
        <w:t>1</w:t>
      </w:r>
      <w:r>
        <w:rPr>
          <w:rFonts w:ascii="Times New Roman" w:eastAsia="方正小标宋简体"/>
          <w:b w:val="0"/>
          <w:bCs w:val="0"/>
        </w:rPr>
        <w:t>年部门整体支出绩效评价报告</w:t>
      </w:r>
      <w:r>
        <w:rPr>
          <w:rFonts w:ascii="Times New Roman"/>
          <w:b w:val="0"/>
          <w:bCs w:val="0"/>
        </w:rPr>
        <w:tab/>
      </w:r>
      <w:r>
        <w:rPr>
          <w:rFonts w:ascii="Times New Roman"/>
          <w:b w:val="0"/>
          <w:bCs w:val="0"/>
        </w:rPr>
        <w:fldChar w:fldCharType="begin"/>
      </w:r>
      <w:r>
        <w:rPr>
          <w:rFonts w:ascii="Times New Roman"/>
          <w:b w:val="0"/>
          <w:bCs w:val="0"/>
        </w:rPr>
        <w:instrText xml:space="preserve"> PAGEREF _Toc79163882 \h </w:instrText>
      </w:r>
      <w:r>
        <w:rPr>
          <w:rFonts w:ascii="Times New Roman"/>
          <w:b w:val="0"/>
          <w:bCs w:val="0"/>
        </w:rPr>
        <w:fldChar w:fldCharType="separate"/>
      </w:r>
      <w:r>
        <w:rPr>
          <w:rFonts w:ascii="Times New Roman"/>
          <w:b w:val="0"/>
          <w:bCs w:val="0"/>
        </w:rPr>
        <w:t>- 21 -</w:t>
      </w:r>
      <w:r>
        <w:rPr>
          <w:rFonts w:ascii="Times New Roman"/>
          <w:b w:val="0"/>
          <w:bCs w:val="0"/>
        </w:rPr>
        <w:fldChar w:fldCharType="end"/>
      </w:r>
    </w:p>
    <w:p>
      <w:pPr>
        <w:pStyle w:val="13"/>
        <w:tabs>
          <w:tab w:val="right" w:leader="dot" w:pos="8296"/>
        </w:tabs>
        <w:ind w:left="399" w:leftChars="190" w:firstLine="0" w:firstLineChars="0"/>
        <w:rPr>
          <w:rFonts w:ascii="Times New Roman" w:eastAsiaTheme="minorEastAsia"/>
          <w:b w:val="0"/>
          <w:bCs w:val="0"/>
          <w:caps w:val="0"/>
          <w:sz w:val="21"/>
          <w:szCs w:val="22"/>
        </w:rPr>
      </w:pPr>
      <w:r>
        <w:rPr>
          <w:rFonts w:ascii="Times New Roman" w:eastAsia="黑体"/>
          <w:b w:val="0"/>
          <w:bCs w:val="0"/>
        </w:rPr>
        <w:t>附件2</w:t>
      </w:r>
      <w:r>
        <w:rPr>
          <w:rFonts w:hint="eastAsia" w:ascii="Times New Roman" w:eastAsia="黑体"/>
          <w:b w:val="0"/>
          <w:bCs w:val="0"/>
          <w:lang w:eastAsia="zh-CN"/>
        </w:rPr>
        <w:t>：</w:t>
      </w:r>
      <w:r>
        <w:rPr>
          <w:rFonts w:hint="eastAsia" w:ascii="Times New Roman" w:eastAsia="黑体"/>
          <w:b w:val="0"/>
          <w:bCs w:val="0"/>
          <w:lang w:val="en-US" w:eastAsia="zh-CN"/>
        </w:rPr>
        <w:t>中共</w:t>
      </w:r>
      <w:r>
        <w:rPr>
          <w:rFonts w:hint="eastAsia" w:ascii="Times New Roman" w:eastAsia="方正小标宋简体"/>
          <w:b w:val="0"/>
          <w:bCs w:val="0"/>
        </w:rPr>
        <w:t>阿坝州委统战部关于预算</w:t>
      </w:r>
      <w:r>
        <w:rPr>
          <w:rFonts w:ascii="Times New Roman" w:eastAsia="方正小标宋简体"/>
          <w:b w:val="0"/>
          <w:bCs w:val="0"/>
        </w:rPr>
        <w:t>项目</w:t>
      </w:r>
      <w:r>
        <w:rPr>
          <w:rFonts w:hint="eastAsia" w:ascii="Times New Roman" w:eastAsia="方正小标宋简体"/>
          <w:b w:val="0"/>
          <w:bCs w:val="0"/>
        </w:rPr>
        <w:t>支出的自评</w:t>
      </w:r>
      <w:r>
        <w:rPr>
          <w:rFonts w:ascii="Times New Roman" w:eastAsia="方正小标宋简体"/>
          <w:b w:val="0"/>
          <w:bCs w:val="0"/>
        </w:rPr>
        <w:t>报告</w:t>
      </w:r>
      <w:r>
        <w:rPr>
          <w:rFonts w:hint="eastAsia" w:ascii="Times New Roman" w:eastAsia="方正小标宋简体"/>
          <w:b w:val="0"/>
          <w:bCs w:val="0"/>
        </w:rPr>
        <w:t>............................</w:t>
      </w:r>
      <w:r>
        <w:rPr>
          <w:rFonts w:hint="eastAsia" w:ascii="Times New Roman" w:eastAsia="方正小标宋简体"/>
          <w:b w:val="0"/>
          <w:bCs w:val="0"/>
          <w:lang w:eastAsia="zh-CN"/>
        </w:rPr>
        <w:t>。</w:t>
      </w:r>
      <w:r>
        <w:rPr>
          <w:rFonts w:hint="eastAsia" w:ascii="Times New Roman" w:eastAsia="方正小标宋简体"/>
          <w:b w:val="0"/>
          <w:bCs w:val="0"/>
        </w:rPr>
        <w:t>...............</w:t>
      </w:r>
      <w:r>
        <w:rPr>
          <w:rFonts w:ascii="Times New Roman"/>
          <w:b w:val="0"/>
          <w:bCs w:val="0"/>
        </w:rPr>
        <w:fldChar w:fldCharType="begin"/>
      </w:r>
      <w:r>
        <w:rPr>
          <w:rFonts w:ascii="Times New Roman"/>
          <w:b w:val="0"/>
          <w:bCs w:val="0"/>
        </w:rPr>
        <w:instrText xml:space="preserve"> PAGEREF _Toc79163882 \h </w:instrText>
      </w:r>
      <w:r>
        <w:rPr>
          <w:rFonts w:ascii="Times New Roman"/>
          <w:b w:val="0"/>
          <w:bCs w:val="0"/>
        </w:rPr>
        <w:fldChar w:fldCharType="separate"/>
      </w:r>
      <w:r>
        <w:rPr>
          <w:rFonts w:ascii="Times New Roman"/>
          <w:b w:val="0"/>
          <w:bCs w:val="0"/>
        </w:rPr>
        <w:t xml:space="preserve">- </w:t>
      </w:r>
      <w:r>
        <w:rPr>
          <w:rFonts w:hint="eastAsia" w:ascii="Times New Roman"/>
          <w:b w:val="0"/>
          <w:bCs w:val="0"/>
          <w:lang w:val="en-US" w:eastAsia="zh-CN"/>
        </w:rPr>
        <w:t>3</w:t>
      </w:r>
      <w:r>
        <w:rPr>
          <w:rFonts w:ascii="Times New Roman"/>
          <w:b w:val="0"/>
          <w:bCs w:val="0"/>
        </w:rPr>
        <w:t>1 -</w:t>
      </w:r>
      <w:r>
        <w:rPr>
          <w:rFonts w:ascii="Times New Roman"/>
          <w:b w:val="0"/>
          <w:bCs w:val="0"/>
        </w:rPr>
        <w:fldChar w:fldCharType="end"/>
      </w:r>
      <w:r>
        <w:rPr>
          <w:rFonts w:hint="eastAsia" w:ascii="Times New Roman"/>
          <w:b w:val="0"/>
          <w:bCs w:val="0"/>
          <w:lang w:val="en-US" w:eastAsia="zh-CN"/>
        </w:rPr>
        <w:t xml:space="preserve"> </w:t>
      </w:r>
      <w:r>
        <w:rPr>
          <w:rFonts w:ascii="Times New Roman" w:eastAsia="黑体"/>
          <w:b w:val="0"/>
          <w:bCs w:val="0"/>
          <w:color w:val="000000"/>
        </w:rPr>
        <w:t>第</w:t>
      </w:r>
      <w:r>
        <w:rPr>
          <w:rFonts w:ascii="Times New Roman" w:eastAsia="黑体"/>
          <w:b w:val="0"/>
          <w:bCs w:val="0"/>
          <w:kern w:val="44"/>
        </w:rPr>
        <w:t>五部分 附表</w:t>
      </w:r>
      <w:r>
        <w:rPr>
          <w:rFonts w:ascii="Times New Roman"/>
          <w:b w:val="0"/>
          <w:bCs w:val="0"/>
        </w:rPr>
        <w:tab/>
      </w:r>
      <w:r>
        <w:rPr>
          <w:rFonts w:ascii="Times New Roman"/>
          <w:b w:val="0"/>
          <w:bCs w:val="0"/>
        </w:rPr>
        <w:fldChar w:fldCharType="begin"/>
      </w:r>
      <w:r>
        <w:rPr>
          <w:rFonts w:ascii="Times New Roman"/>
          <w:b w:val="0"/>
          <w:bCs w:val="0"/>
        </w:rPr>
        <w:instrText xml:space="preserve"> PAGEREF _Toc79163885 \h </w:instrText>
      </w:r>
      <w:r>
        <w:rPr>
          <w:rFonts w:ascii="Times New Roman"/>
          <w:b w:val="0"/>
          <w:bCs w:val="0"/>
        </w:rPr>
        <w:fldChar w:fldCharType="separate"/>
      </w:r>
      <w:r>
        <w:rPr>
          <w:rFonts w:ascii="Times New Roman"/>
          <w:b w:val="0"/>
          <w:bCs w:val="0"/>
        </w:rPr>
        <w:t>- 39 -</w:t>
      </w:r>
      <w:r>
        <w:rPr>
          <w:rFonts w:ascii="Times New Roman"/>
          <w:b w:val="0"/>
          <w:bCs w:val="0"/>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color w:val="000000"/>
        </w:rPr>
        <w:t>一、收</w:t>
      </w:r>
      <w:r>
        <w:rPr>
          <w:rFonts w:ascii="Times New Roman" w:eastAsia="仿宋"/>
        </w:rPr>
        <w:t>入支出决算总表</w:t>
      </w:r>
      <w:r>
        <w:rPr>
          <w:rFonts w:ascii="Times New Roman"/>
        </w:rPr>
        <w:tab/>
      </w:r>
      <w:r>
        <w:rPr>
          <w:rFonts w:ascii="Times New Roman"/>
        </w:rPr>
        <w:fldChar w:fldCharType="begin"/>
      </w:r>
      <w:r>
        <w:rPr>
          <w:rFonts w:ascii="Times New Roman"/>
        </w:rPr>
        <w:instrText xml:space="preserve"> PAGEREF _Toc79163886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color w:val="000000"/>
        </w:rPr>
        <w:t>二、收</w:t>
      </w:r>
      <w:r>
        <w:rPr>
          <w:rFonts w:ascii="Times New Roman" w:eastAsia="仿宋"/>
        </w:rPr>
        <w:t>入决算表</w:t>
      </w:r>
      <w:r>
        <w:rPr>
          <w:rFonts w:ascii="Times New Roman"/>
        </w:rPr>
        <w:tab/>
      </w:r>
      <w:r>
        <w:rPr>
          <w:rFonts w:ascii="Times New Roman"/>
        </w:rPr>
        <w:fldChar w:fldCharType="begin"/>
      </w:r>
      <w:r>
        <w:rPr>
          <w:rFonts w:ascii="Times New Roman"/>
        </w:rPr>
        <w:instrText xml:space="preserve"> PAGEREF _Toc79163887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三、</w:t>
      </w:r>
      <w:r>
        <w:rPr>
          <w:rFonts w:ascii="Times New Roman" w:eastAsia="仿宋"/>
          <w:color w:val="000000"/>
        </w:rPr>
        <w:t>支</w:t>
      </w:r>
      <w:r>
        <w:rPr>
          <w:rFonts w:ascii="Times New Roman" w:eastAsia="仿宋"/>
        </w:rPr>
        <w:t>出决算表</w:t>
      </w:r>
      <w:r>
        <w:rPr>
          <w:rFonts w:ascii="Times New Roman"/>
        </w:rPr>
        <w:tab/>
      </w:r>
      <w:r>
        <w:rPr>
          <w:rFonts w:ascii="Times New Roman"/>
        </w:rPr>
        <w:fldChar w:fldCharType="begin"/>
      </w:r>
      <w:r>
        <w:rPr>
          <w:rFonts w:ascii="Times New Roman"/>
        </w:rPr>
        <w:instrText xml:space="preserve"> PAGEREF _Toc79163888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四、</w:t>
      </w:r>
      <w:r>
        <w:rPr>
          <w:rFonts w:ascii="Times New Roman" w:eastAsia="仿宋"/>
          <w:color w:val="000000"/>
        </w:rPr>
        <w:t>财</w:t>
      </w:r>
      <w:r>
        <w:rPr>
          <w:rFonts w:ascii="Times New Roman" w:eastAsia="仿宋"/>
        </w:rPr>
        <w:t>政拨款收入支出决算总表</w:t>
      </w:r>
      <w:r>
        <w:rPr>
          <w:rFonts w:ascii="Times New Roman"/>
        </w:rPr>
        <w:tab/>
      </w:r>
      <w:r>
        <w:rPr>
          <w:rFonts w:ascii="Times New Roman"/>
        </w:rPr>
        <w:fldChar w:fldCharType="begin"/>
      </w:r>
      <w:r>
        <w:rPr>
          <w:rFonts w:ascii="Times New Roman"/>
        </w:rPr>
        <w:instrText xml:space="preserve"> PAGEREF _Toc79163889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五、</w:t>
      </w:r>
      <w:r>
        <w:rPr>
          <w:rFonts w:ascii="Times New Roman" w:eastAsia="仿宋"/>
          <w:color w:val="000000"/>
        </w:rPr>
        <w:t>财</w:t>
      </w:r>
      <w:r>
        <w:rPr>
          <w:rFonts w:ascii="Times New Roman" w:eastAsia="仿宋"/>
        </w:rPr>
        <w:t>政拨款支出决算明细表</w:t>
      </w:r>
      <w:r>
        <w:rPr>
          <w:rFonts w:ascii="Times New Roman"/>
        </w:rPr>
        <w:tab/>
      </w:r>
      <w:r>
        <w:rPr>
          <w:rFonts w:ascii="Times New Roman"/>
        </w:rPr>
        <w:fldChar w:fldCharType="begin"/>
      </w:r>
      <w:r>
        <w:rPr>
          <w:rFonts w:ascii="Times New Roman"/>
        </w:rPr>
        <w:instrText xml:space="preserve"> PAGEREF _Toc79163890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六、</w:t>
      </w:r>
      <w:r>
        <w:rPr>
          <w:rFonts w:ascii="Times New Roman" w:eastAsia="仿宋"/>
          <w:color w:val="000000"/>
        </w:rPr>
        <w:t>一</w:t>
      </w:r>
      <w:r>
        <w:rPr>
          <w:rFonts w:ascii="Times New Roman" w:eastAsia="仿宋"/>
        </w:rPr>
        <w:t>般公共预算财政拨款支出决算表</w:t>
      </w:r>
      <w:r>
        <w:rPr>
          <w:rFonts w:ascii="Times New Roman"/>
        </w:rPr>
        <w:tab/>
      </w:r>
      <w:r>
        <w:rPr>
          <w:rFonts w:ascii="Times New Roman"/>
        </w:rPr>
        <w:fldChar w:fldCharType="begin"/>
      </w:r>
      <w:r>
        <w:rPr>
          <w:rFonts w:ascii="Times New Roman"/>
        </w:rPr>
        <w:instrText xml:space="preserve"> PAGEREF _Toc79163891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七、</w:t>
      </w:r>
      <w:r>
        <w:rPr>
          <w:rFonts w:ascii="Times New Roman" w:eastAsia="仿宋"/>
          <w:color w:val="000000"/>
        </w:rPr>
        <w:t>一</w:t>
      </w:r>
      <w:r>
        <w:rPr>
          <w:rFonts w:ascii="Times New Roman" w:eastAsia="仿宋"/>
        </w:rPr>
        <w:t>般公共预算财政拨款支出决算明细表</w:t>
      </w:r>
      <w:r>
        <w:rPr>
          <w:rFonts w:ascii="Times New Roman"/>
        </w:rPr>
        <w:tab/>
      </w:r>
      <w:r>
        <w:rPr>
          <w:rFonts w:ascii="Times New Roman"/>
        </w:rPr>
        <w:fldChar w:fldCharType="begin"/>
      </w:r>
      <w:r>
        <w:rPr>
          <w:rFonts w:ascii="Times New Roman"/>
        </w:rPr>
        <w:instrText xml:space="preserve"> PAGEREF _Toc79163892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八、</w:t>
      </w:r>
      <w:r>
        <w:rPr>
          <w:rFonts w:ascii="Times New Roman" w:eastAsia="仿宋"/>
          <w:color w:val="000000"/>
        </w:rPr>
        <w:t>一</w:t>
      </w:r>
      <w:r>
        <w:rPr>
          <w:rFonts w:ascii="Times New Roman" w:eastAsia="仿宋"/>
        </w:rPr>
        <w:t>般公共预算财政拨款基本支出决算表</w:t>
      </w:r>
      <w:r>
        <w:rPr>
          <w:rFonts w:ascii="Times New Roman"/>
        </w:rPr>
        <w:tab/>
      </w:r>
      <w:r>
        <w:rPr>
          <w:rFonts w:ascii="Times New Roman"/>
        </w:rPr>
        <w:fldChar w:fldCharType="begin"/>
      </w:r>
      <w:r>
        <w:rPr>
          <w:rFonts w:ascii="Times New Roman"/>
        </w:rPr>
        <w:instrText xml:space="preserve"> PAGEREF _Toc79163893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九、</w:t>
      </w:r>
      <w:r>
        <w:rPr>
          <w:rFonts w:ascii="Times New Roman" w:eastAsia="仿宋"/>
          <w:color w:val="000000"/>
        </w:rPr>
        <w:t>一</w:t>
      </w:r>
      <w:r>
        <w:rPr>
          <w:rFonts w:ascii="Times New Roman" w:eastAsia="仿宋"/>
        </w:rPr>
        <w:t>般公共预算财政拨款项目支出决算表</w:t>
      </w:r>
      <w:r>
        <w:rPr>
          <w:rFonts w:ascii="Times New Roman"/>
        </w:rPr>
        <w:tab/>
      </w:r>
      <w:r>
        <w:rPr>
          <w:rFonts w:ascii="Times New Roman"/>
        </w:rPr>
        <w:fldChar w:fldCharType="begin"/>
      </w:r>
      <w:r>
        <w:rPr>
          <w:rFonts w:ascii="Times New Roman"/>
        </w:rPr>
        <w:instrText xml:space="preserve"> PAGEREF _Toc79163894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ind w:firstLine="200" w:firstLineChars="100"/>
        <w:rPr>
          <w:rFonts w:ascii="Times New Roman" w:eastAsiaTheme="minorEastAsia"/>
          <w:smallCaps w:val="0"/>
          <w:sz w:val="21"/>
          <w:szCs w:val="22"/>
        </w:rPr>
      </w:pPr>
      <w:r>
        <w:rPr>
          <w:rFonts w:ascii="Times New Roman" w:eastAsia="仿宋"/>
        </w:rPr>
        <w:t>十、</w:t>
      </w:r>
      <w:r>
        <w:rPr>
          <w:rFonts w:ascii="Times New Roman" w:eastAsia="仿宋"/>
          <w:color w:val="000000"/>
        </w:rPr>
        <w:t>一</w:t>
      </w:r>
      <w:r>
        <w:rPr>
          <w:rFonts w:ascii="Times New Roman" w:eastAsia="仿宋"/>
        </w:rPr>
        <w:t>般公共预算财政拨款“三公”经费支出决算表</w:t>
      </w:r>
      <w:r>
        <w:rPr>
          <w:rFonts w:ascii="Times New Roman"/>
        </w:rPr>
        <w:tab/>
      </w:r>
      <w:r>
        <w:rPr>
          <w:rFonts w:ascii="Times New Roman"/>
        </w:rPr>
        <w:fldChar w:fldCharType="begin"/>
      </w:r>
      <w:r>
        <w:rPr>
          <w:rFonts w:ascii="Times New Roman"/>
        </w:rPr>
        <w:instrText xml:space="preserve"> PAGEREF _Toc79163895 \h </w:instrText>
      </w:r>
      <w:r>
        <w:rPr>
          <w:rFonts w:ascii="Times New Roman"/>
        </w:rPr>
        <w:fldChar w:fldCharType="separate"/>
      </w:r>
      <w:r>
        <w:rPr>
          <w:rFonts w:ascii="Times New Roman"/>
        </w:rPr>
        <w:t>- 39 -</w:t>
      </w:r>
      <w:r>
        <w:rPr>
          <w:rFonts w:ascii="Times New Roman"/>
        </w:rPr>
        <w:fldChar w:fldCharType="end"/>
      </w:r>
    </w:p>
    <w:p>
      <w:pPr>
        <w:pStyle w:val="16"/>
        <w:tabs>
          <w:tab w:val="right" w:leader="dot" w:pos="8296"/>
        </w:tabs>
        <w:rPr>
          <w:rFonts w:ascii="Times New Roman" w:eastAsiaTheme="minorEastAsia"/>
          <w:smallCaps w:val="0"/>
          <w:sz w:val="21"/>
          <w:szCs w:val="22"/>
        </w:rPr>
      </w:pPr>
      <w:r>
        <w:rPr>
          <w:rFonts w:eastAsiaTheme="minorHAnsi"/>
          <w:b/>
          <w:bCs/>
          <w:caps/>
          <w:sz w:val="20"/>
          <w:szCs w:val="20"/>
        </w:rPr>
        <w:fldChar w:fldCharType="end"/>
      </w:r>
      <w:bookmarkStart w:id="12" w:name="_Toc15377196"/>
      <w:bookmarkStart w:id="13" w:name="_Toc79163851"/>
      <w:bookmarkStart w:id="14" w:name="_Toc79163601"/>
      <w:bookmarkStart w:id="15" w:name="_Toc15396599"/>
      <w:r>
        <w:rPr>
          <w:rFonts w:hint="eastAsia"/>
          <w:b/>
          <w:bCs/>
          <w:caps/>
          <w:sz w:val="20"/>
          <w:szCs w:val="20"/>
          <w:lang w:val="en-US" w:eastAsia="zh-CN"/>
        </w:rPr>
        <w:t xml:space="preserve"> </w:t>
      </w:r>
      <w:r>
        <w:rPr>
          <w:rFonts w:hint="eastAsia" w:eastAsiaTheme="minorHAnsi"/>
          <w:b/>
          <w:bCs/>
          <w:caps/>
          <w:sz w:val="20"/>
          <w:szCs w:val="20"/>
          <w:lang w:val="en-US" w:eastAsia="zh-CN"/>
        </w:rPr>
        <w:t xml:space="preserve"> </w:t>
      </w:r>
      <w:r>
        <w:rPr>
          <w:rFonts w:ascii="Times New Roman" w:hAnsi="Times New Roman" w:eastAsia="仿宋" w:cs="Times New Roman"/>
          <w:smallCaps/>
          <w:kern w:val="2"/>
          <w:sz w:val="20"/>
          <w:szCs w:val="20"/>
          <w:lang w:val="en-US" w:eastAsia="zh-CN" w:bidi="ar-SA"/>
        </w:rPr>
        <w:t>十一、政府性基金预算财政拨款收入支出决算表</w:t>
      </w:r>
      <w:r>
        <w:rPr>
          <w:rFonts w:ascii="Times New Roman"/>
        </w:rPr>
        <w:tab/>
      </w:r>
      <w:r>
        <w:rPr>
          <w:rFonts w:hint="eastAsia" w:ascii="Times New Roman" w:hAnsi="Times New Roman" w:cs="Times New Roman" w:eastAsiaTheme="minorHAnsi"/>
          <w:smallCaps/>
          <w:kern w:val="2"/>
          <w:sz w:val="20"/>
          <w:szCs w:val="20"/>
          <w:lang w:val="en-US" w:eastAsia="zh-CN" w:bidi="ar-SA"/>
        </w:rPr>
        <w:t>.</w:t>
      </w:r>
      <w:r>
        <w:rPr>
          <w:rFonts w:ascii="Times New Roman"/>
        </w:rPr>
        <w:fldChar w:fldCharType="begin"/>
      </w:r>
      <w:r>
        <w:rPr>
          <w:rFonts w:ascii="Times New Roman"/>
        </w:rPr>
        <w:instrText xml:space="preserve"> PAGEREF _Toc79163890 \h </w:instrText>
      </w:r>
      <w:r>
        <w:rPr>
          <w:rFonts w:ascii="Times New Roman"/>
        </w:rPr>
        <w:fldChar w:fldCharType="separate"/>
      </w:r>
      <w:r>
        <w:rPr>
          <w:rFonts w:ascii="Times New Roman"/>
        </w:rPr>
        <w:t>- 39 -</w:t>
      </w:r>
      <w:r>
        <w:rPr>
          <w:rFonts w:ascii="Times New Roman"/>
        </w:rPr>
        <w:fldChar w:fldCharType="end"/>
      </w:r>
    </w:p>
    <w:p>
      <w:pPr>
        <w:numPr>
          <w:ilvl w:val="0"/>
          <w:numId w:val="1"/>
        </w:numPr>
        <w:ind w:left="420" w:leftChars="0" w:firstLine="0" w:firstLineChars="0"/>
        <w:rPr>
          <w:rFonts w:ascii="Times New Roman" w:hAnsi="Times New Roman" w:eastAsia="仿宋" w:cs="Times New Roman"/>
          <w:smallCaps/>
          <w:kern w:val="2"/>
          <w:sz w:val="20"/>
          <w:szCs w:val="20"/>
          <w:lang w:val="en-US" w:eastAsia="zh-CN" w:bidi="ar-SA"/>
        </w:rPr>
      </w:pPr>
      <w:r>
        <w:rPr>
          <w:rFonts w:ascii="Times New Roman" w:hAnsi="Times New Roman" w:eastAsia="仿宋" w:cs="Times New Roman"/>
          <w:smallCaps/>
          <w:kern w:val="2"/>
          <w:sz w:val="20"/>
          <w:szCs w:val="20"/>
          <w:lang w:val="en-US" w:eastAsia="zh-CN" w:bidi="ar-SA"/>
        </w:rPr>
        <w:t>政府性基金预算财政拨款“三公”经费支出决算表</w:t>
      </w:r>
      <w:r>
        <w:rPr>
          <w:rFonts w:hint="eastAsia" w:eastAsia="仿宋" w:cs="Times New Roman"/>
          <w:smallCaps/>
          <w:kern w:val="2"/>
          <w:sz w:val="20"/>
          <w:szCs w:val="20"/>
          <w:lang w:val="en-US" w:eastAsia="zh-CN" w:bidi="ar-SA"/>
        </w:rPr>
        <w:t>....................................................</w:t>
      </w:r>
      <w:r>
        <w:rPr>
          <w:rFonts w:hint="eastAsia" w:ascii="Times New Roman" w:hAnsi="Times New Roman" w:cs="Times New Roman" w:eastAsiaTheme="minorHAnsi"/>
          <w:smallCaps/>
          <w:kern w:val="2"/>
          <w:sz w:val="20"/>
          <w:szCs w:val="20"/>
          <w:lang w:val="en-US" w:eastAsia="zh-CN" w:bidi="ar-SA"/>
        </w:rPr>
        <w:t>.</w:t>
      </w:r>
      <w:r>
        <w:rPr>
          <w:rFonts w:ascii="Times New Roman"/>
        </w:rPr>
        <w:fldChar w:fldCharType="begin"/>
      </w:r>
      <w:r>
        <w:rPr>
          <w:rFonts w:ascii="Times New Roman"/>
        </w:rPr>
        <w:instrText xml:space="preserve"> PAGEREF _Toc79163890 \h </w:instrText>
      </w:r>
      <w:r>
        <w:rPr>
          <w:rFonts w:ascii="Times New Roman"/>
        </w:rPr>
        <w:fldChar w:fldCharType="separate"/>
      </w:r>
      <w:r>
        <w:rPr>
          <w:rFonts w:ascii="Times New Roman"/>
        </w:rPr>
        <w:t>- 39 -</w:t>
      </w:r>
      <w:r>
        <w:rPr>
          <w:rFonts w:ascii="Times New Roman"/>
        </w:rPr>
        <w:fldChar w:fldCharType="end"/>
      </w:r>
    </w:p>
    <w:p>
      <w:pPr>
        <w:numPr>
          <w:ilvl w:val="0"/>
          <w:numId w:val="0"/>
        </w:numPr>
        <w:ind w:left="420" w:leftChars="0"/>
        <w:rPr>
          <w:rFonts w:hint="default" w:ascii="Times New Roman" w:hAnsi="Times New Roman" w:eastAsia="仿宋" w:cs="Times New Roman"/>
          <w:smallCaps/>
          <w:kern w:val="2"/>
          <w:sz w:val="20"/>
          <w:szCs w:val="20"/>
          <w:lang w:val="en-US" w:eastAsia="zh-CN" w:bidi="ar-SA"/>
        </w:rPr>
      </w:pPr>
      <w:r>
        <w:rPr>
          <w:rFonts w:hint="eastAsia" w:eastAsia="仿宋" w:cs="Times New Roman"/>
          <w:smallCaps/>
          <w:kern w:val="2"/>
          <w:sz w:val="20"/>
          <w:szCs w:val="20"/>
          <w:lang w:val="en-US" w:eastAsia="zh-CN" w:bidi="ar-SA"/>
        </w:rPr>
        <w:t>十三、</w:t>
      </w:r>
      <w:r>
        <w:rPr>
          <w:rFonts w:ascii="Times New Roman" w:hAnsi="Times New Roman" w:eastAsia="仿宋" w:cs="Times New Roman"/>
          <w:smallCaps/>
          <w:kern w:val="2"/>
          <w:sz w:val="20"/>
          <w:szCs w:val="20"/>
          <w:lang w:val="en-US" w:eastAsia="zh-CN" w:bidi="ar-SA"/>
        </w:rPr>
        <w:t>国有资本经营预算财政拨款收入支出决算表</w:t>
      </w:r>
      <w:r>
        <w:rPr>
          <w:rFonts w:hint="eastAsia" w:eastAsia="仿宋" w:cs="Times New Roman"/>
          <w:smallCaps/>
          <w:kern w:val="2"/>
          <w:sz w:val="20"/>
          <w:szCs w:val="20"/>
          <w:lang w:val="en-US" w:eastAsia="zh-CN" w:bidi="ar-SA"/>
        </w:rPr>
        <w:t>.............................................................</w:t>
      </w:r>
      <w:r>
        <w:rPr>
          <w:rFonts w:ascii="Times New Roman"/>
        </w:rPr>
        <w:fldChar w:fldCharType="begin"/>
      </w:r>
      <w:r>
        <w:rPr>
          <w:rFonts w:ascii="Times New Roman"/>
        </w:rPr>
        <w:instrText xml:space="preserve"> PAGEREF _Toc79163890 \h </w:instrText>
      </w:r>
      <w:r>
        <w:rPr>
          <w:rFonts w:ascii="Times New Roman"/>
        </w:rPr>
        <w:fldChar w:fldCharType="separate"/>
      </w:r>
      <w:r>
        <w:rPr>
          <w:rFonts w:ascii="Times New Roman"/>
        </w:rPr>
        <w:t>- 39 -</w:t>
      </w:r>
      <w:r>
        <w:rPr>
          <w:rFonts w:ascii="Times New Roman"/>
        </w:rPr>
        <w:fldChar w:fldCharType="end"/>
      </w:r>
      <w:r>
        <w:rPr>
          <w:rFonts w:ascii="Times New Roman" w:hAnsi="Times New Roman" w:eastAsia="仿宋" w:cs="Times New Roman"/>
          <w:smallCaps/>
          <w:kern w:val="2"/>
          <w:sz w:val="20"/>
          <w:szCs w:val="20"/>
          <w:lang w:val="en-US" w:eastAsia="zh-CN" w:bidi="ar-SA"/>
        </w:rPr>
        <w:t>十四、国有资本经营预算财政拨款支出决算表</w:t>
      </w:r>
      <w:r>
        <w:rPr>
          <w:rFonts w:hint="eastAsia" w:eastAsia="仿宋" w:cs="Times New Roman"/>
          <w:smallCaps/>
          <w:kern w:val="2"/>
          <w:sz w:val="20"/>
          <w:szCs w:val="20"/>
          <w:lang w:val="en-US" w:eastAsia="zh-CN" w:bidi="ar-SA"/>
        </w:rPr>
        <w:t>.....................................................................</w:t>
      </w:r>
      <w:r>
        <w:rPr>
          <w:rFonts w:ascii="Times New Roman"/>
        </w:rPr>
        <w:fldChar w:fldCharType="begin"/>
      </w:r>
      <w:r>
        <w:rPr>
          <w:rFonts w:ascii="Times New Roman"/>
        </w:rPr>
        <w:instrText xml:space="preserve"> PAGEREF _Toc79163890 \h </w:instrText>
      </w:r>
      <w:r>
        <w:rPr>
          <w:rFonts w:ascii="Times New Roman"/>
        </w:rPr>
        <w:fldChar w:fldCharType="separate"/>
      </w:r>
      <w:r>
        <w:rPr>
          <w:rFonts w:ascii="Times New Roman"/>
        </w:rPr>
        <w:t>- 39 -</w:t>
      </w:r>
      <w:r>
        <w:rPr>
          <w:rFonts w:ascii="Times New Roman"/>
        </w:rPr>
        <w:fldChar w:fldCharType="end"/>
      </w:r>
    </w:p>
    <w:p>
      <w:pPr>
        <w:pStyle w:val="2"/>
        <w:jc w:val="both"/>
        <w:rPr>
          <w:rFonts w:eastAsia="黑体"/>
          <w:b w:val="0"/>
        </w:rPr>
      </w:pPr>
    </w:p>
    <w:p>
      <w:pPr>
        <w:pStyle w:val="2"/>
        <w:jc w:val="center"/>
        <w:rPr>
          <w:rFonts w:eastAsia="黑体"/>
          <w:b w:val="0"/>
        </w:rPr>
      </w:pPr>
    </w:p>
    <w:p>
      <w:pPr>
        <w:pStyle w:val="2"/>
        <w:jc w:val="center"/>
        <w:rPr>
          <w:rFonts w:eastAsia="黑体"/>
          <w:b w:val="0"/>
        </w:rPr>
      </w:pPr>
    </w:p>
    <w:p>
      <w:pPr>
        <w:pStyle w:val="2"/>
        <w:jc w:val="center"/>
        <w:rPr>
          <w:rFonts w:eastAsia="黑体"/>
          <w:b w:val="0"/>
        </w:rPr>
      </w:pPr>
    </w:p>
    <w:p>
      <w:pPr>
        <w:pStyle w:val="2"/>
        <w:jc w:val="center"/>
        <w:rPr>
          <w:rFonts w:eastAsia="黑体"/>
          <w:b w:val="0"/>
        </w:rPr>
      </w:pPr>
    </w:p>
    <w:p>
      <w:pPr>
        <w:pStyle w:val="2"/>
        <w:jc w:val="center"/>
        <w:rPr>
          <w:rFonts w:eastAsia="黑体"/>
          <w:b w:val="0"/>
        </w:rPr>
      </w:pPr>
    </w:p>
    <w:p>
      <w:pPr>
        <w:pStyle w:val="2"/>
        <w:jc w:val="center"/>
        <w:rPr>
          <w:rFonts w:eastAsia="黑体"/>
          <w:b w:val="0"/>
        </w:rPr>
      </w:pPr>
    </w:p>
    <w:p/>
    <w:p>
      <w:pPr>
        <w:pStyle w:val="2"/>
        <w:jc w:val="center"/>
        <w:rPr>
          <w:rFonts w:eastAsia="黑体"/>
          <w:color w:val="000000"/>
          <w:sz w:val="32"/>
          <w:szCs w:val="32"/>
        </w:rPr>
      </w:pPr>
      <w:r>
        <w:rPr>
          <w:rFonts w:eastAsia="黑体"/>
          <w:b w:val="0"/>
        </w:rPr>
        <w:t>第一部分</w:t>
      </w:r>
      <w:r>
        <w:rPr>
          <w:rStyle w:val="23"/>
          <w:rFonts w:eastAsia="黑体"/>
          <w:b w:val="0"/>
          <w:bCs w:val="0"/>
        </w:rPr>
        <w:t>部门概况</w:t>
      </w:r>
      <w:bookmarkEnd w:id="12"/>
      <w:bookmarkEnd w:id="13"/>
      <w:bookmarkEnd w:id="14"/>
      <w:bookmarkEnd w:id="15"/>
    </w:p>
    <w:p>
      <w:pPr>
        <w:pStyle w:val="3"/>
        <w:ind w:firstLine="640" w:firstLineChars="200"/>
        <w:rPr>
          <w:rStyle w:val="24"/>
          <w:rFonts w:ascii="Times New Roman" w:hAnsi="Times New Roman" w:eastAsia="黑体"/>
          <w:b w:val="0"/>
          <w:bCs w:val="0"/>
        </w:rPr>
      </w:pPr>
      <w:bookmarkStart w:id="16" w:name="_Toc15396600"/>
      <w:bookmarkStart w:id="17" w:name="_Toc15377197"/>
      <w:bookmarkStart w:id="18" w:name="_Toc79163852"/>
      <w:bookmarkStart w:id="19" w:name="_Toc79163602"/>
      <w:r>
        <w:rPr>
          <w:rFonts w:ascii="Times New Roman" w:hAnsi="Times New Roman" w:eastAsia="黑体"/>
          <w:b w:val="0"/>
          <w:color w:val="000000"/>
        </w:rPr>
        <w:t>一、基</w:t>
      </w:r>
      <w:r>
        <w:rPr>
          <w:rStyle w:val="24"/>
          <w:rFonts w:ascii="Times New Roman" w:hAnsi="Times New Roman" w:eastAsia="黑体"/>
          <w:b w:val="0"/>
          <w:bCs w:val="0"/>
        </w:rPr>
        <w:t>本职能及主要工作</w:t>
      </w:r>
      <w:bookmarkEnd w:id="16"/>
      <w:bookmarkEnd w:id="17"/>
      <w:bookmarkEnd w:id="18"/>
      <w:bookmarkEnd w:id="19"/>
      <w:bookmarkStart w:id="20" w:name="_Toc15378445"/>
      <w:bookmarkStart w:id="21" w:name="_Toc79163603"/>
      <w:bookmarkStart w:id="22" w:name="_Toc15377198"/>
      <w:bookmarkStart w:id="23" w:name="_Toc79163853"/>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Cs/>
          <w:color w:val="000000"/>
          <w:sz w:val="32"/>
          <w:szCs w:val="32"/>
        </w:rPr>
        <w:t>（一）主要职能</w:t>
      </w:r>
      <w:bookmarkEnd w:id="20"/>
      <w:bookmarkEnd w:id="21"/>
      <w:bookmarkEnd w:id="22"/>
      <w:bookmarkEnd w:id="23"/>
      <w:bookmarkStart w:id="24" w:name="_Toc15377199"/>
      <w:bookmarkStart w:id="25" w:name="_Toc15378446"/>
      <w:bookmarkStart w:id="26" w:name="_Toc79163604"/>
      <w:bookmarkStart w:id="27" w:name="_Toc79163854"/>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 w:val="0"/>
          <w:bCs w:val="0"/>
          <w:sz w:val="32"/>
          <w:szCs w:val="32"/>
        </w:rPr>
        <w:t>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接待管理来我州探访的国外藏胞，安置回国定居藏胞并配合有关部门加强对他们的教育和管理工作；组织动员国外藏胞为我州经济、教育、文化和卫生事业发展服务</w:t>
      </w:r>
      <w:r>
        <w:rPr>
          <w:rFonts w:hint="eastAsia" w:ascii="仿宋_GB2312" w:hAnsi="仿宋_GB2312" w:eastAsia="仿宋_GB2312" w:cs="仿宋_GB2312"/>
          <w:b w:val="0"/>
          <w:bCs w:val="0"/>
          <w:sz w:val="32"/>
          <w:szCs w:val="32"/>
          <w:lang w:val="en-US" w:eastAsia="zh-CN"/>
        </w:rPr>
        <w:t>。</w:t>
      </w:r>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其下二级预算单位州归国华侨联合会</w:t>
      </w:r>
      <w:r>
        <w:rPr>
          <w:rFonts w:hint="eastAsia" w:ascii="仿宋_GB2312" w:hAnsi="仿宋_GB2312" w:eastAsia="仿宋_GB2312" w:cs="仿宋_GB2312"/>
          <w:b w:val="0"/>
          <w:bCs w:val="0"/>
          <w:sz w:val="32"/>
          <w:szCs w:val="32"/>
        </w:rPr>
        <w:t>（简称州侨联）是中共阿坝州委领导下由归侨侨眷组成的全州性人民团体，是党和政府联系广大归侨、侨眷和海外侨胞的桥梁和纽带。按照中国侨联章程开展工作。主要职责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其下二级预算单位</w:t>
      </w:r>
      <w:r>
        <w:rPr>
          <w:rFonts w:hint="eastAsia" w:ascii="仿宋_GB2312" w:hAnsi="仿宋_GB2312" w:eastAsia="仿宋_GB2312" w:cs="仿宋_GB2312"/>
          <w:b w:val="0"/>
          <w:bCs w:val="0"/>
          <w:sz w:val="32"/>
          <w:szCs w:val="32"/>
        </w:rPr>
        <w:t>四川藏语佛学院阿坝分院由州统战部管理公益性一类事业单位。主要负责藏传佛教界人士学历教学和教育培训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承担藏传佛教衔授予</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藏传佛教文化研究，承接涉藏干部培训任务等工作。</w:t>
      </w:r>
    </w:p>
    <w:p>
      <w:pPr>
        <w:spacing w:line="576" w:lineRule="exact"/>
        <w:ind w:firstLine="63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（二）202</w:t>
      </w:r>
      <w:r>
        <w:rPr>
          <w:rFonts w:hint="default" w:ascii="Times New Roman" w:hAnsi="Times New Roman" w:eastAsia="方正仿宋_GBK" w:cs="Times New Roman"/>
          <w:bCs/>
          <w:color w:val="000000"/>
          <w:sz w:val="32"/>
          <w:szCs w:val="32"/>
          <w:lang w:val="en-US" w:eastAsia="zh-CN"/>
        </w:rPr>
        <w:t>1</w:t>
      </w:r>
      <w:r>
        <w:rPr>
          <w:rFonts w:hint="default" w:ascii="Times New Roman" w:hAnsi="Times New Roman" w:eastAsia="方正仿宋_GBK" w:cs="Times New Roman"/>
          <w:bCs/>
          <w:color w:val="000000"/>
          <w:sz w:val="32"/>
          <w:szCs w:val="32"/>
        </w:rPr>
        <w:t>年重点工作完成情况</w:t>
      </w:r>
      <w:bookmarkEnd w:id="24"/>
      <w:bookmarkEnd w:id="25"/>
      <w:bookmarkEnd w:id="26"/>
      <w:bookmarkEnd w:id="27"/>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bookmarkStart w:id="28" w:name="_Toc15396601"/>
      <w:bookmarkStart w:id="29" w:name="_Toc79163855"/>
      <w:bookmarkStart w:id="30" w:name="_Toc15377200"/>
      <w:bookmarkStart w:id="31" w:name="_Toc79163605"/>
      <w:r>
        <w:rPr>
          <w:rFonts w:hint="default"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rPr>
        <w:t>学习宣传贯彻《中国共产党统一战线工作条例》。将《条例》纳入州委和各级党委（党组）理论学习中心组学习内容，纳入各级党校（行政学院）、干部学院、社会主义学院重要教学内容，分级分类开展《条例》全覆盖“大培训”，推动《条例》进机关、进企业、进学校、进社区、进园区、进团体、进宗教场所等。开展专项督促检查，总结推广各地区各部门各单位贯彻落实《条例》经验做法。</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2.</w:t>
      </w:r>
      <w:r>
        <w:rPr>
          <w:rFonts w:hint="default" w:ascii="仿宋_GB2312" w:hAnsi="仿宋_GB2312" w:eastAsia="仿宋_GB2312" w:cs="仿宋_GB2312"/>
          <w:b w:val="0"/>
          <w:bCs w:val="0"/>
          <w:sz w:val="32"/>
          <w:szCs w:val="32"/>
        </w:rPr>
        <w:t>加强意识形态教育引导。加强宗教网络平台监管，分类统计全州涉藏网络人士97名，及时跟踪研究思想动态和利益诉求，加强教育管理。围绕“爱国爱教爱家乡”主题教育活动，深入宣讲中央第七次西藏工作座谈会、省委涉藏工作等会议精神，开展宣讲36场次，参与僧众达1.2万余人次。在阿坝、若尔盖、马尔康等7县（市）开展藏传佛教活佛转世专题展巡展活动，干部群众2万余人观展，发放书籍4000余套。组织各界代表人士参加省、州相关培训。进一步推进四川藏语佛学院阿坝分院建设，拟于今年11月底举行落成典礼及开班仪式。加大阿坝统战宣传力度，全年通过 “同心阿坝”等微信公众号平台推送各类信息500余期，被中央、省主流媒体刊用47期。</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3.</w:t>
      </w:r>
      <w:r>
        <w:rPr>
          <w:rFonts w:hint="default" w:ascii="仿宋_GB2312" w:hAnsi="仿宋_GB2312" w:eastAsia="仿宋_GB2312" w:cs="仿宋_GB2312"/>
          <w:b w:val="0"/>
          <w:bCs w:val="0"/>
          <w:sz w:val="32"/>
          <w:szCs w:val="32"/>
        </w:rPr>
        <w:t>推进非公有制经济“两个健康”发展。制定《阿坝州工商联（商会）2021年换届工作方案》《县（市）工商联（商会）2021年换届工作的实施意见》，严格程序推动州、县（市）工商联（商会）换届工作。扎实开展庆祝建党100周年系列主题教育活动，有效推进“万企兴万村”活动，注重锻炼培养，选派2名非公经济代表人士参加民营企业转型升级培训班。发扬光彩精神，顺利完成“关爱单亲母亲”活动。</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rPr>
        <w:t>做好党外知识分子和新的社会阶层人士统战工作。健全完善民营和外资企业管理和技术人员、中介组织和社会服务机构从业人员、网络人士分级分类信息库，制发《阿坝州新的社会阶层人士培训工作规划（2021-2025年）》《阿坝州贯彻落实〈关于推动新的社会阶层人士统战工作发展的实施意见〉责任分工方案》。推荐进入省欧美同学会2名。启动第一批阿坝州新的社会阶层人士统战工作实践创新基地申评工作，“雲丹桑吧”等六个单位升级为阿坝州新的社会阶层人士统战工作实践创新基地。</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5.</w:t>
      </w:r>
      <w:r>
        <w:rPr>
          <w:rFonts w:hint="default" w:ascii="仿宋_GB2312" w:hAnsi="仿宋_GB2312" w:eastAsia="仿宋_GB2312" w:cs="仿宋_GB2312"/>
          <w:b w:val="0"/>
          <w:bCs w:val="0"/>
          <w:sz w:val="32"/>
          <w:szCs w:val="32"/>
        </w:rPr>
        <w:t>加强党外干部队伍建设。按照“扩大视野、抓住源头、择优储备、动态管理”工作思路，全面开展摸底调查，补齐发现储备短板，动态完善党外干部信息库。以换届工作为契机，全面贯彻落实党外代表人士在人大、政府、政协、司法机关和其他方面的安排规定要求，通盘考虑、统筹选配，积极向组织部门推荐选拔政治坚定、业务精通、作风过硬、群众认可的党外干部46名、政协委员170名。分4个片区和州直机关召开全州党外干部座谈会，引导党外干部增强政治素养、坚定理想信念、把握角色定位、再创工作佳绩。有序推进州工商联、州佛协换届工作，加大党外人士政治安排。</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6.</w:t>
      </w:r>
      <w:r>
        <w:rPr>
          <w:rFonts w:hint="default" w:ascii="仿宋_GB2312" w:hAnsi="仿宋_GB2312" w:eastAsia="仿宋_GB2312" w:cs="仿宋_GB2312"/>
          <w:b w:val="0"/>
          <w:bCs w:val="0"/>
          <w:sz w:val="32"/>
          <w:szCs w:val="32"/>
        </w:rPr>
        <w:t>推进港澳台侨统战工作。圆满完成2021四川华人华侨社团大会考察团赴州考察工作和“2021年海外华文媒体感知中国（四川）行”活动，达成多个投资意向，进一步宣传我州经济社会发展、民生建设、宗教文化等。活动得到了中央、省委统战部及媒体记者一致肯定，海外发稿达60余篇。积极开展困难归侨侨眷慰问活动。争取浙江新华和中国侨商联合会爱心教育基金15万元，资助困难学生45人。增强基层侨务组织活力，完成第二批侨胞之家建设申报工作。</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7.</w:t>
      </w:r>
      <w:r>
        <w:rPr>
          <w:rFonts w:hint="default" w:ascii="仿宋_GB2312" w:hAnsi="仿宋_GB2312" w:eastAsia="仿宋_GB2312" w:cs="仿宋_GB2312"/>
          <w:b w:val="0"/>
          <w:bCs w:val="0"/>
          <w:sz w:val="32"/>
          <w:szCs w:val="32"/>
        </w:rPr>
        <w:t>整合侨资侨力，努力贡献侨联力量</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rPr>
        <w:t>一是高度重视侨界政协委员作用发挥，支持他们参加各级政协组织的培训、调研、视察和各类协商活动，积极参政议政。二是积极争取侨爱心项目。我会继续通过浙江新华爱心教育基金会，申请困难学生补助10万元，按每名学生每年2500元的标准，补助马尔康中学40名困难学生，解决了困难学生的后顾之忧，在社会各界引起很好反响。三是通过省侨联争取到中国侨商联合会助学资金5万元，资助我州5名家庭困难且品学兼优的应届大学新生，每名学生受助1万元。四是进一步增强基层侨务组织工作活力，着力打造归侨侨眷和海外侨胞及留学人员可信赖的窗口和平台，完成第二批侨胞之家建设，截止目前，我州已建成马尔康、金川、阿坝、红原、汶川县、理县、茂县、松潘八个县（市）级“侨胞之家”，县（市）级“侨胞之家”覆盖率达到61.5%。圆满完成今年省对州保证目标绩效考核“县级“侨胞之家”覆盖率须达到60%”的要求。</w:t>
      </w:r>
    </w:p>
    <w:p>
      <w:pPr>
        <w:pBdr>
          <w:bottom w:val="single" w:color="FFFFFF" w:sz="4" w:space="29"/>
        </w:pBdr>
        <w:spacing w:line="576" w:lineRule="exact"/>
        <w:ind w:firstLine="640" w:firstLineChars="200"/>
        <w:rPr>
          <w:rFonts w:hint="default" w:eastAsia="黑体"/>
          <w:sz w:val="32"/>
          <w:szCs w:val="32"/>
          <w:lang w:val="en-US" w:eastAsia="zh-CN"/>
        </w:rPr>
      </w:pPr>
      <w:r>
        <w:rPr>
          <w:rFonts w:eastAsia="黑体"/>
          <w:sz w:val="32"/>
          <w:szCs w:val="32"/>
        </w:rPr>
        <w:t>二、机构设置</w:t>
      </w:r>
      <w:bookmarkEnd w:id="28"/>
      <w:bookmarkEnd w:id="29"/>
      <w:bookmarkEnd w:id="30"/>
      <w:bookmarkEnd w:id="31"/>
      <w:r>
        <w:rPr>
          <w:rFonts w:hint="eastAsia" w:eastAsia="黑体"/>
          <w:sz w:val="32"/>
          <w:szCs w:val="32"/>
          <w:lang w:val="en-US" w:eastAsia="zh-CN"/>
        </w:rPr>
        <w:t>及人员情况</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一</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rPr>
        <w:t>机构设置。州委统战部属一级预算单位，为正县级单位</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rPr>
        <w:t>列州委工作机关序列。统一领导民族宗教工作，归口领导州民族宗教事务委员会，统一管理侨务、台湾事务工作，挂州侨务办公室、州委台湾工作办公室牌子。内设科室11个：办公室、研究室、民族宗教科、党外干部科、非公有制经济科、党外知识分子和新的社会阶层人士科、港澳台统战工作科、侨务工作科、宣传文化科、对国外藏胞工作科、人事科。下属二级预算单位州归国华侨联合会</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设综合科和业务科</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val="en-US" w:eastAsia="zh-CN"/>
        </w:rPr>
        <w:t>下属二级预算单位四川藏语佛学院阿坝分院设办公室、教务科、培训科、学员管理科、后勤科和保卫科。</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lang w:eastAsia="zh-CN"/>
        </w:rPr>
      </w:pP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二</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rPr>
        <w:t>人员情况。州委统战部总编制35名，其中：行政编制30名；无事业编制；参照公务员法管理行政工勤编制5名。在职30人，其中：公务员26人，行政工勤4人；退休人员8人。州归国华侨联合会总编制４名，其中：事业编制４名，在职１人。</w:t>
      </w:r>
      <w:r>
        <w:rPr>
          <w:rFonts w:hint="default" w:ascii="仿宋_GB2312" w:hAnsi="仿宋_GB2312" w:eastAsia="仿宋_GB2312" w:cs="仿宋_GB2312"/>
          <w:b w:val="0"/>
          <w:bCs w:val="0"/>
          <w:sz w:val="32"/>
          <w:szCs w:val="32"/>
          <w:lang w:val="en-US" w:eastAsia="zh-CN"/>
        </w:rPr>
        <w:t>四川藏语佛学院阿坝分院</w:t>
      </w:r>
      <w:r>
        <w:rPr>
          <w:rFonts w:hint="default" w:ascii="仿宋_GB2312" w:hAnsi="仿宋_GB2312" w:eastAsia="仿宋_GB2312" w:cs="仿宋_GB2312"/>
          <w:b w:val="0"/>
          <w:bCs w:val="0"/>
          <w:sz w:val="32"/>
          <w:szCs w:val="32"/>
        </w:rPr>
        <w:t>事业人员编制数20名，年末实有人数0人</w:t>
      </w:r>
      <w:r>
        <w:rPr>
          <w:rFonts w:hint="default" w:ascii="仿宋_GB2312" w:hAnsi="仿宋_GB2312" w:eastAsia="仿宋_GB2312" w:cs="仿宋_GB2312"/>
          <w:b w:val="0"/>
          <w:bCs w:val="0"/>
          <w:sz w:val="32"/>
          <w:szCs w:val="32"/>
          <w:lang w:eastAsia="zh-CN"/>
        </w:rPr>
        <w:t>。</w:t>
      </w:r>
    </w:p>
    <w:p>
      <w:pPr>
        <w:pBdr>
          <w:bottom w:val="single" w:color="FFFFFF" w:sz="4" w:space="29"/>
        </w:pBdr>
        <w:spacing w:line="576" w:lineRule="exact"/>
        <w:ind w:firstLine="640" w:firstLineChars="200"/>
        <w:rPr>
          <w:rFonts w:hint="default" w:ascii="Times New Roman" w:hAnsi="Times New Roman" w:eastAsia="方正仿宋_GBK" w:cs="Times New Roman"/>
          <w:sz w:val="32"/>
          <w:szCs w:val="32"/>
        </w:rPr>
      </w:pPr>
    </w:p>
    <w:p>
      <w:pPr>
        <w:pBdr>
          <w:bottom w:val="single" w:color="FFFFFF" w:sz="4" w:space="29"/>
        </w:pBdr>
        <w:spacing w:line="576" w:lineRule="exact"/>
        <w:ind w:firstLine="640" w:firstLineChars="200"/>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jc w:val="both"/>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Bdr>
          <w:bottom w:val="single" w:color="FFFFFF" w:sz="4" w:space="29"/>
        </w:pBdr>
        <w:spacing w:line="576" w:lineRule="exact"/>
        <w:rPr>
          <w:rFonts w:hint="eastAsia" w:eastAsia="仿宋"/>
          <w:sz w:val="32"/>
          <w:szCs w:val="32"/>
        </w:rPr>
      </w:pPr>
    </w:p>
    <w:p>
      <w:pPr>
        <w:pStyle w:val="2"/>
        <w:ind w:right="440"/>
        <w:jc w:val="center"/>
        <w:rPr>
          <w:rStyle w:val="23"/>
          <w:rFonts w:eastAsia="黑体"/>
          <w:b w:val="0"/>
          <w:bCs w:val="0"/>
        </w:rPr>
      </w:pPr>
      <w:bookmarkStart w:id="32" w:name="_Toc79163859"/>
      <w:bookmarkStart w:id="33" w:name="_Toc15377204"/>
      <w:bookmarkStart w:id="34" w:name="_Toc15396602"/>
      <w:bookmarkStart w:id="35" w:name="_Toc79163609"/>
      <w:r>
        <w:rPr>
          <w:rFonts w:eastAsia="黑体"/>
          <w:b w:val="0"/>
          <w:color w:val="000000"/>
        </w:rPr>
        <w:t>第二部分</w:t>
      </w:r>
      <w:r>
        <w:rPr>
          <w:rStyle w:val="23"/>
          <w:rFonts w:eastAsia="黑体"/>
          <w:b w:val="0"/>
          <w:bCs w:val="0"/>
        </w:rPr>
        <w:t>202</w:t>
      </w:r>
      <w:r>
        <w:rPr>
          <w:rStyle w:val="23"/>
          <w:rFonts w:hint="eastAsia" w:eastAsia="黑体"/>
          <w:b w:val="0"/>
          <w:bCs w:val="0"/>
          <w:lang w:val="en-US" w:eastAsia="zh-CN"/>
        </w:rPr>
        <w:t>1</w:t>
      </w:r>
      <w:r>
        <w:rPr>
          <w:rStyle w:val="23"/>
          <w:rFonts w:eastAsia="黑体"/>
          <w:b w:val="0"/>
          <w:bCs w:val="0"/>
        </w:rPr>
        <w:t>年度部门决算情况说明</w:t>
      </w:r>
      <w:bookmarkEnd w:id="32"/>
      <w:bookmarkEnd w:id="33"/>
      <w:bookmarkEnd w:id="34"/>
      <w:bookmarkEnd w:id="35"/>
    </w:p>
    <w:p/>
    <w:p>
      <w:pPr>
        <w:pStyle w:val="34"/>
        <w:numPr>
          <w:ilvl w:val="0"/>
          <w:numId w:val="2"/>
        </w:numPr>
        <w:spacing w:line="600" w:lineRule="exact"/>
        <w:ind w:firstLineChars="0"/>
        <w:outlineLvl w:val="1"/>
        <w:rPr>
          <w:rStyle w:val="24"/>
          <w:rFonts w:ascii="Times New Roman" w:hAnsi="Times New Roman" w:eastAsia="黑体"/>
          <w:b w:val="0"/>
        </w:rPr>
      </w:pPr>
      <w:bookmarkStart w:id="36" w:name="_Toc79163860"/>
      <w:bookmarkStart w:id="37" w:name="_Toc15377205"/>
      <w:bookmarkStart w:id="38" w:name="_Toc79163610"/>
      <w:bookmarkStart w:id="39" w:name="_Toc15396603"/>
      <w:r>
        <w:rPr>
          <w:rFonts w:eastAsia="黑体"/>
          <w:color w:val="000000"/>
          <w:sz w:val="32"/>
          <w:szCs w:val="32"/>
        </w:rPr>
        <w:t>收</w:t>
      </w:r>
      <w:r>
        <w:rPr>
          <w:rStyle w:val="24"/>
          <w:rFonts w:ascii="Times New Roman" w:hAnsi="Times New Roman" w:eastAsia="黑体"/>
          <w:b w:val="0"/>
        </w:rPr>
        <w:t>入支出决算总体情况说明</w:t>
      </w:r>
      <w:bookmarkEnd w:id="36"/>
      <w:bookmarkEnd w:id="37"/>
      <w:bookmarkEnd w:id="38"/>
      <w:bookmarkEnd w:id="39"/>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rPr>
        <w:t>202</w:t>
      </w:r>
      <w:r>
        <w:rPr>
          <w:rFonts w:hint="default"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rPr>
        <w:t>年度收</w:t>
      </w:r>
      <w:r>
        <w:rPr>
          <w:rFonts w:hint="default" w:ascii="仿宋_GB2312" w:hAnsi="仿宋_GB2312" w:eastAsia="仿宋_GB2312" w:cs="仿宋_GB2312"/>
          <w:b w:val="0"/>
          <w:bCs w:val="0"/>
          <w:sz w:val="32"/>
          <w:szCs w:val="32"/>
          <w:lang w:val="en-US" w:eastAsia="zh-CN"/>
        </w:rPr>
        <w:t>入支出合计1675.76万元</w:t>
      </w:r>
      <w:r>
        <w:rPr>
          <w:rFonts w:hint="default" w:ascii="仿宋_GB2312" w:hAnsi="仿宋_GB2312" w:eastAsia="仿宋_GB2312" w:cs="仿宋_GB2312"/>
          <w:b w:val="0"/>
          <w:bCs w:val="0"/>
          <w:sz w:val="32"/>
          <w:szCs w:val="32"/>
        </w:rPr>
        <w:t>。与</w:t>
      </w:r>
      <w:r>
        <w:rPr>
          <w:rFonts w:hint="default"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0</w:t>
      </w:r>
      <w:r>
        <w:rPr>
          <w:rFonts w:hint="default" w:ascii="仿宋_GB2312" w:hAnsi="仿宋_GB2312" w:eastAsia="仿宋_GB2312" w:cs="仿宋_GB2312"/>
          <w:b w:val="0"/>
          <w:bCs w:val="0"/>
          <w:sz w:val="32"/>
          <w:szCs w:val="32"/>
        </w:rPr>
        <w:t>年相比，收、支总计各</w:t>
      </w:r>
      <w:r>
        <w:rPr>
          <w:rFonts w:hint="default" w:ascii="仿宋_GB2312" w:hAnsi="仿宋_GB2312" w:eastAsia="仿宋_GB2312" w:cs="仿宋_GB2312"/>
          <w:b w:val="0"/>
          <w:bCs w:val="0"/>
          <w:sz w:val="32"/>
          <w:szCs w:val="32"/>
          <w:lang w:val="en-US" w:eastAsia="zh-CN"/>
        </w:rPr>
        <w:t>增长560.61</w:t>
      </w:r>
      <w:r>
        <w:rPr>
          <w:rFonts w:hint="default" w:ascii="仿宋_GB2312" w:hAnsi="仿宋_GB2312" w:eastAsia="仿宋_GB2312" w:cs="仿宋_GB2312"/>
          <w:b w:val="0"/>
          <w:bCs w:val="0"/>
          <w:sz w:val="32"/>
          <w:szCs w:val="32"/>
        </w:rPr>
        <w:t>万元，</w:t>
      </w:r>
      <w:r>
        <w:rPr>
          <w:rFonts w:hint="default" w:ascii="仿宋_GB2312" w:hAnsi="仿宋_GB2312" w:eastAsia="仿宋_GB2312" w:cs="仿宋_GB2312"/>
          <w:b w:val="0"/>
          <w:bCs w:val="0"/>
          <w:sz w:val="32"/>
          <w:szCs w:val="32"/>
          <w:lang w:val="en-US" w:eastAsia="zh-CN"/>
        </w:rPr>
        <w:t>增长50.27</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val="en-US" w:eastAsia="zh-CN"/>
        </w:rPr>
        <w:t>主要原因是：一是新成立四川藏语佛学院阿坝分院，该院2021年收支总计276.37元；二是2020年12月将应交州财政代管的省委统战部藏传佛教寺庙维修资金267.61万元误转入国家金库，该款于2021年5月以存量资金形式下拨我部，导致2021年一般公共预算财政拨款决算数较预算数增加267.61万元。</w:t>
      </w:r>
    </w:p>
    <w:p>
      <w:pPr>
        <w:spacing w:line="720" w:lineRule="auto"/>
        <w:ind w:firstLine="420" w:firstLineChars="200"/>
        <w:jc w:val="left"/>
      </w:pPr>
      <w:r>
        <w:drawing>
          <wp:inline distT="0" distB="0" distL="114300" distR="114300">
            <wp:extent cx="4572000" cy="2743200"/>
            <wp:effectExtent l="4445" t="4445" r="10795" b="1079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4"/>
        <w:numPr>
          <w:ilvl w:val="0"/>
          <w:numId w:val="2"/>
        </w:numPr>
        <w:spacing w:line="600" w:lineRule="exact"/>
        <w:ind w:firstLineChars="0"/>
        <w:outlineLvl w:val="1"/>
        <w:rPr>
          <w:rStyle w:val="24"/>
          <w:rFonts w:ascii="Times New Roman" w:hAnsi="Times New Roman" w:eastAsia="黑体"/>
          <w:b w:val="0"/>
        </w:rPr>
      </w:pPr>
      <w:bookmarkStart w:id="40" w:name="_Toc79163611"/>
      <w:bookmarkStart w:id="41" w:name="_Toc79163861"/>
      <w:bookmarkStart w:id="42" w:name="_Toc15377206"/>
      <w:bookmarkStart w:id="43" w:name="_Toc15396604"/>
      <w:r>
        <w:rPr>
          <w:rFonts w:eastAsia="黑体"/>
          <w:color w:val="000000"/>
          <w:sz w:val="32"/>
          <w:szCs w:val="32"/>
        </w:rPr>
        <w:t>收</w:t>
      </w:r>
      <w:r>
        <w:rPr>
          <w:rStyle w:val="24"/>
          <w:rFonts w:ascii="Times New Roman" w:hAnsi="Times New Roman" w:eastAsia="黑体"/>
          <w:b w:val="0"/>
        </w:rPr>
        <w:t>入决算情况说明</w:t>
      </w:r>
      <w:bookmarkEnd w:id="40"/>
      <w:bookmarkEnd w:id="41"/>
      <w:bookmarkEnd w:id="42"/>
      <w:bookmarkEnd w:id="43"/>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202</w:t>
      </w:r>
      <w:r>
        <w:rPr>
          <w:rFonts w:hint="default"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rPr>
        <w:t>年本年收入合计</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万元，其中：一般公共预算财政拨款收入</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100</w:t>
      </w:r>
      <w:r>
        <w:rPr>
          <w:rFonts w:hint="default" w:ascii="仿宋_GB2312" w:hAnsi="仿宋_GB2312" w:eastAsia="仿宋_GB2312" w:cs="仿宋_GB2312"/>
          <w:b w:val="0"/>
          <w:bCs w:val="0"/>
          <w:sz w:val="32"/>
          <w:szCs w:val="32"/>
        </w:rPr>
        <w:t>%；政府性基金预算财政拨款收入0万元，占0%；上级补助收入0万元，占0%；事业收入0万元，占0%；经营收入0万元，占0%；附属单位上缴收入0万元，占0%；其他收入0万元，占0%。</w:t>
      </w:r>
    </w:p>
    <w:p>
      <w:pPr>
        <w:spacing w:line="720" w:lineRule="auto"/>
        <w:ind w:firstLine="420" w:firstLineChars="200"/>
        <w:rPr>
          <w:rFonts w:eastAsia="仿宋_GB2312"/>
          <w:color w:val="FF0000"/>
          <w:sz w:val="32"/>
          <w:szCs w:val="32"/>
        </w:rPr>
      </w:pPr>
      <w:r>
        <w:drawing>
          <wp:inline distT="0" distB="0" distL="114300" distR="114300">
            <wp:extent cx="4572000" cy="2743200"/>
            <wp:effectExtent l="4445" t="4445" r="10795" b="1079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4"/>
        <w:numPr>
          <w:ilvl w:val="0"/>
          <w:numId w:val="2"/>
        </w:numPr>
        <w:spacing w:line="600" w:lineRule="exact"/>
        <w:ind w:firstLineChars="0"/>
        <w:outlineLvl w:val="1"/>
        <w:rPr>
          <w:rStyle w:val="24"/>
          <w:rFonts w:ascii="Times New Roman" w:hAnsi="Times New Roman" w:eastAsia="黑体"/>
          <w:b w:val="0"/>
        </w:rPr>
      </w:pPr>
      <w:bookmarkStart w:id="44" w:name="_Toc15396605"/>
      <w:bookmarkStart w:id="45" w:name="_Toc15377207"/>
      <w:bookmarkStart w:id="46" w:name="_Toc79163612"/>
      <w:bookmarkStart w:id="47" w:name="_Toc79163862"/>
      <w:r>
        <w:rPr>
          <w:rFonts w:eastAsia="黑体"/>
          <w:color w:val="000000"/>
          <w:sz w:val="32"/>
          <w:szCs w:val="32"/>
        </w:rPr>
        <w:t>支</w:t>
      </w:r>
      <w:r>
        <w:rPr>
          <w:rStyle w:val="24"/>
          <w:rFonts w:ascii="Times New Roman" w:hAnsi="Times New Roman" w:eastAsia="黑体"/>
          <w:b w:val="0"/>
        </w:rPr>
        <w:t>出决算情况说明</w:t>
      </w:r>
      <w:bookmarkEnd w:id="44"/>
      <w:bookmarkEnd w:id="45"/>
      <w:bookmarkEnd w:id="46"/>
      <w:bookmarkEnd w:id="47"/>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202</w:t>
      </w:r>
      <w:r>
        <w:rPr>
          <w:rFonts w:hint="default"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rPr>
        <w:t>年本年支出合计</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万元，其中：基本支出</w:t>
      </w:r>
      <w:r>
        <w:rPr>
          <w:rFonts w:hint="default" w:ascii="仿宋_GB2312" w:hAnsi="仿宋_GB2312" w:eastAsia="仿宋_GB2312" w:cs="仿宋_GB2312"/>
          <w:b w:val="0"/>
          <w:bCs w:val="0"/>
          <w:sz w:val="32"/>
          <w:szCs w:val="32"/>
          <w:lang w:val="en-US" w:eastAsia="zh-CN"/>
        </w:rPr>
        <w:t>1187.13</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70.84</w:t>
      </w:r>
      <w:r>
        <w:rPr>
          <w:rFonts w:hint="default" w:ascii="仿宋_GB2312" w:hAnsi="仿宋_GB2312" w:eastAsia="仿宋_GB2312" w:cs="仿宋_GB2312"/>
          <w:b w:val="0"/>
          <w:bCs w:val="0"/>
          <w:sz w:val="32"/>
          <w:szCs w:val="32"/>
        </w:rPr>
        <w:t>%；项目支出</w:t>
      </w:r>
      <w:r>
        <w:rPr>
          <w:rFonts w:hint="default" w:ascii="仿宋_GB2312" w:hAnsi="仿宋_GB2312" w:eastAsia="仿宋_GB2312" w:cs="仿宋_GB2312"/>
          <w:b w:val="0"/>
          <w:bCs w:val="0"/>
          <w:sz w:val="32"/>
          <w:szCs w:val="32"/>
          <w:lang w:val="en-US" w:eastAsia="zh-CN"/>
        </w:rPr>
        <w:t>488.63</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29.16</w:t>
      </w:r>
      <w:r>
        <w:rPr>
          <w:rFonts w:hint="default" w:ascii="仿宋_GB2312" w:hAnsi="仿宋_GB2312" w:eastAsia="仿宋_GB2312" w:cs="仿宋_GB2312"/>
          <w:b w:val="0"/>
          <w:bCs w:val="0"/>
          <w:sz w:val="32"/>
          <w:szCs w:val="32"/>
        </w:rPr>
        <w:t>%；上缴上级支出0万元，占0%；经营支出0万元，占0%；对附属单位补助支出0万元，占0%。</w:t>
      </w:r>
      <w:bookmarkStart w:id="48" w:name="_Toc15396606"/>
      <w:bookmarkStart w:id="49" w:name="_Toc79163863"/>
      <w:bookmarkStart w:id="50" w:name="_Toc15377208"/>
      <w:bookmarkStart w:id="51" w:name="_Toc79163613"/>
    </w:p>
    <w:p>
      <w:pPr>
        <w:spacing w:line="720" w:lineRule="auto"/>
        <w:ind w:firstLine="420" w:firstLineChars="200"/>
        <w:outlineLvl w:val="1"/>
        <w:rPr>
          <w:rFonts w:eastAsia="黑体"/>
          <w:color w:val="000000"/>
          <w:sz w:val="32"/>
          <w:szCs w:val="32"/>
        </w:rPr>
      </w:pPr>
      <w:r>
        <w:drawing>
          <wp:inline distT="0" distB="0" distL="114300" distR="114300">
            <wp:extent cx="4572000" cy="2743200"/>
            <wp:effectExtent l="4445" t="4445" r="10795" b="1079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4"/>
          <w:rFonts w:ascii="Times New Roman" w:hAnsi="Times New Roman" w:eastAsia="黑体"/>
          <w:b w:val="0"/>
        </w:rPr>
      </w:pPr>
      <w:r>
        <w:rPr>
          <w:rFonts w:eastAsia="黑体"/>
          <w:color w:val="000000"/>
          <w:sz w:val="32"/>
          <w:szCs w:val="32"/>
        </w:rPr>
        <w:t>四、财</w:t>
      </w:r>
      <w:r>
        <w:rPr>
          <w:rStyle w:val="24"/>
          <w:rFonts w:ascii="Times New Roman" w:hAnsi="Times New Roman" w:eastAsia="黑体"/>
          <w:b w:val="0"/>
        </w:rPr>
        <w:t>政拨款收入支出决算总体情况说明</w:t>
      </w:r>
      <w:bookmarkEnd w:id="48"/>
      <w:bookmarkEnd w:id="49"/>
      <w:bookmarkEnd w:id="50"/>
      <w:bookmarkEnd w:id="51"/>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年度财政拨款收、支总计</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万元。与</w:t>
      </w:r>
      <w:r>
        <w:rPr>
          <w:rFonts w:hint="default"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0</w:t>
      </w:r>
      <w:r>
        <w:rPr>
          <w:rFonts w:hint="default" w:ascii="仿宋_GB2312" w:hAnsi="仿宋_GB2312" w:eastAsia="仿宋_GB2312" w:cs="仿宋_GB2312"/>
          <w:b w:val="0"/>
          <w:bCs w:val="0"/>
          <w:sz w:val="32"/>
          <w:szCs w:val="32"/>
        </w:rPr>
        <w:t>年相比，收、支总计各</w:t>
      </w:r>
      <w:r>
        <w:rPr>
          <w:rFonts w:hint="default" w:ascii="仿宋_GB2312" w:hAnsi="仿宋_GB2312" w:eastAsia="仿宋_GB2312" w:cs="仿宋_GB2312"/>
          <w:b w:val="0"/>
          <w:bCs w:val="0"/>
          <w:sz w:val="32"/>
          <w:szCs w:val="32"/>
          <w:lang w:val="en-US" w:eastAsia="zh-CN"/>
        </w:rPr>
        <w:t>增长560.61</w:t>
      </w:r>
      <w:r>
        <w:rPr>
          <w:rFonts w:hint="default" w:ascii="仿宋_GB2312" w:hAnsi="仿宋_GB2312" w:eastAsia="仿宋_GB2312" w:cs="仿宋_GB2312"/>
          <w:b w:val="0"/>
          <w:bCs w:val="0"/>
          <w:sz w:val="32"/>
          <w:szCs w:val="32"/>
        </w:rPr>
        <w:t>万元，</w:t>
      </w:r>
      <w:r>
        <w:rPr>
          <w:rFonts w:hint="default" w:ascii="仿宋_GB2312" w:hAnsi="仿宋_GB2312" w:eastAsia="仿宋_GB2312" w:cs="仿宋_GB2312"/>
          <w:b w:val="0"/>
          <w:bCs w:val="0"/>
          <w:sz w:val="32"/>
          <w:szCs w:val="32"/>
          <w:lang w:val="en-US" w:eastAsia="zh-CN"/>
        </w:rPr>
        <w:t>增长50.27</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val="en-US" w:eastAsia="zh-CN"/>
        </w:rPr>
        <w:t>主要原因是：一是新成立四川藏语佛学院阿坝分院，该院2021年收支总计276.37元；二是2020年12月将应交州财政代管的省委统战部藏传佛教寺庙维修资金267.61万元误转入国家金库，该款于2021年5月以存量资金形式下拨我部，导致2021年一般公共预算财政拨款决算数较预算数增加267.61万元。</w:t>
      </w:r>
    </w:p>
    <w:p>
      <w:pPr>
        <w:spacing w:line="600" w:lineRule="exact"/>
        <w:ind w:firstLine="640" w:firstLineChars="200"/>
        <w:rPr>
          <w:rFonts w:eastAsia="仿宋"/>
          <w:color w:val="000000"/>
          <w:sz w:val="32"/>
          <w:szCs w:val="32"/>
        </w:rPr>
      </w:pPr>
    </w:p>
    <w:p>
      <w:pPr>
        <w:spacing w:line="720" w:lineRule="auto"/>
        <w:ind w:firstLine="641"/>
        <w:rPr>
          <w:rFonts w:eastAsia="仿宋"/>
          <w:b/>
          <w:color w:val="00B050"/>
          <w:sz w:val="32"/>
          <w:szCs w:val="32"/>
        </w:rPr>
      </w:pPr>
      <w:r>
        <w:drawing>
          <wp:inline distT="0" distB="0" distL="114300" distR="114300">
            <wp:extent cx="4572000" cy="2743200"/>
            <wp:effectExtent l="4445" t="4445" r="1079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24"/>
          <w:rFonts w:ascii="Times New Roman" w:hAnsi="Times New Roman" w:eastAsia="黑体"/>
          <w:b w:val="0"/>
        </w:rPr>
      </w:pPr>
      <w:bookmarkStart w:id="52" w:name="_Toc79163864"/>
      <w:bookmarkStart w:id="53" w:name="_Toc15396607"/>
      <w:bookmarkStart w:id="54" w:name="_Toc15377209"/>
      <w:bookmarkStart w:id="55" w:name="_Toc79163614"/>
      <w:r>
        <w:rPr>
          <w:rFonts w:eastAsia="黑体"/>
          <w:color w:val="000000"/>
          <w:sz w:val="32"/>
          <w:szCs w:val="32"/>
        </w:rPr>
        <w:t>五、</w:t>
      </w:r>
      <w:r>
        <w:rPr>
          <w:rFonts w:eastAsia="黑体"/>
          <w:b/>
          <w:color w:val="000000"/>
          <w:sz w:val="32"/>
          <w:szCs w:val="32"/>
        </w:rPr>
        <w:t>一</w:t>
      </w:r>
      <w:r>
        <w:rPr>
          <w:rStyle w:val="24"/>
          <w:rFonts w:ascii="Times New Roman" w:hAnsi="Times New Roman" w:eastAsia="黑体"/>
          <w:b w:val="0"/>
        </w:rPr>
        <w:t>般公共预算财政拨款支出决算情况说明</w:t>
      </w:r>
      <w:bookmarkEnd w:id="52"/>
      <w:bookmarkEnd w:id="53"/>
      <w:bookmarkEnd w:id="54"/>
      <w:bookmarkEnd w:id="55"/>
    </w:p>
    <w:p>
      <w:pPr>
        <w:spacing w:line="600" w:lineRule="exact"/>
        <w:ind w:firstLine="640" w:firstLineChars="200"/>
        <w:outlineLvl w:val="2"/>
        <w:rPr>
          <w:rFonts w:hint="default" w:ascii="Times New Roman" w:hAnsi="Times New Roman" w:eastAsia="方正仿宋_GBK" w:cs="Times New Roman"/>
          <w:b/>
          <w:color w:val="000000"/>
          <w:sz w:val="32"/>
          <w:szCs w:val="32"/>
        </w:rPr>
      </w:pPr>
      <w:bookmarkStart w:id="56" w:name="_Toc79163615"/>
      <w:bookmarkStart w:id="57" w:name="_Toc79163865"/>
      <w:bookmarkStart w:id="58" w:name="_Toc15377210"/>
      <w:r>
        <w:rPr>
          <w:rFonts w:hint="default" w:ascii="Times New Roman" w:hAnsi="Times New Roman" w:eastAsia="方正仿宋_GBK" w:cs="Times New Roman"/>
          <w:b/>
          <w:color w:val="000000"/>
          <w:sz w:val="32"/>
          <w:szCs w:val="32"/>
        </w:rPr>
        <w:t>（一）一般公共预算财政拨款支出决算总体情况</w:t>
      </w:r>
      <w:bookmarkEnd w:id="56"/>
      <w:bookmarkEnd w:id="57"/>
      <w:bookmarkEnd w:id="58"/>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年一般公共预算财政拨款支出</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万元，占本年支出合计的100%。与</w:t>
      </w:r>
      <w:r>
        <w:rPr>
          <w:rFonts w:hint="default"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0</w:t>
      </w:r>
      <w:r>
        <w:rPr>
          <w:rFonts w:hint="default" w:ascii="仿宋_GB2312" w:hAnsi="仿宋_GB2312" w:eastAsia="仿宋_GB2312" w:cs="仿宋_GB2312"/>
          <w:b w:val="0"/>
          <w:bCs w:val="0"/>
          <w:sz w:val="32"/>
          <w:szCs w:val="32"/>
        </w:rPr>
        <w:t>年相比，</w:t>
      </w:r>
      <w:r>
        <w:rPr>
          <w:rFonts w:hint="default" w:ascii="仿宋_GB2312" w:hAnsi="仿宋_GB2312" w:eastAsia="仿宋_GB2312" w:cs="仿宋_GB2312"/>
          <w:b w:val="0"/>
          <w:bCs w:val="0"/>
          <w:sz w:val="32"/>
          <w:szCs w:val="32"/>
          <w:lang w:val="en-US" w:eastAsia="zh-CN"/>
        </w:rPr>
        <w:t>增长50.27</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val="en-US" w:eastAsia="zh-CN"/>
        </w:rPr>
        <w:t>主要原因是：一是新成立四川藏语佛学院阿坝分院，该院2021年收支总计276.37元；二是2020年12月将应交州财政代管的省委统战部藏传佛教寺庙维修资金267.61万元误转入国家金库，该款于2021年5月以存量资金形式下拨我部，导致2021年一般公共预算财政拨款决算数较预算数增加267.61万元。</w:t>
      </w:r>
      <w:bookmarkStart w:id="59" w:name="_Toc79163616"/>
      <w:bookmarkStart w:id="60" w:name="_Toc15377211"/>
      <w:bookmarkStart w:id="61" w:name="_Toc7916386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2"/>
        <w:rPr>
          <w:rFonts w:hint="default" w:ascii="Times New Roman" w:hAnsi="Times New Roman" w:eastAsia="方正仿宋_GBK"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720" w:lineRule="auto"/>
        <w:textAlignment w:val="auto"/>
        <w:outlineLvl w:val="2"/>
        <w:rPr>
          <w:rFonts w:hint="default" w:ascii="Times New Roman" w:hAnsi="Times New Roman" w:eastAsia="方正仿宋_GBK" w:cs="Times New Roman"/>
          <w:b/>
          <w:color w:val="000000"/>
          <w:sz w:val="32"/>
          <w:szCs w:val="32"/>
        </w:rPr>
      </w:pPr>
      <w:r>
        <w:drawing>
          <wp:inline distT="0" distB="0" distL="114300" distR="114300">
            <wp:extent cx="5190490" cy="2895600"/>
            <wp:effectExtent l="4445" t="4445" r="17145" b="10795"/>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2"/>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b/>
          <w:color w:val="000000"/>
          <w:sz w:val="32"/>
          <w:szCs w:val="32"/>
        </w:rPr>
        <w:t>（二）一般公共预算财政拨款支出决算结构情况</w:t>
      </w:r>
      <w:bookmarkEnd w:id="59"/>
      <w:bookmarkEnd w:id="60"/>
      <w:bookmarkEnd w:id="61"/>
    </w:p>
    <w:p>
      <w:pPr>
        <w:spacing w:line="600" w:lineRule="exact"/>
        <w:ind w:firstLine="640"/>
        <w:rPr>
          <w:rFonts w:hint="default" w:ascii="Times New Roman" w:hAnsi="Times New Roman" w:eastAsia="方正仿宋_GBK" w:cs="Times New Roman"/>
          <w:color w:val="00000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年一般公共预算财政拨款支出</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万元，主要用于以下方面:</w:t>
      </w:r>
      <w:bookmarkStart w:id="62" w:name="OLE_LINK1"/>
      <w:r>
        <w:rPr>
          <w:rFonts w:hint="default" w:ascii="仿宋_GB2312" w:hAnsi="仿宋_GB2312" w:eastAsia="仿宋_GB2312" w:cs="仿宋_GB2312"/>
          <w:b w:val="0"/>
          <w:bCs w:val="0"/>
          <w:sz w:val="32"/>
          <w:szCs w:val="32"/>
        </w:rPr>
        <w:t>一般公共服务（类）支出</w:t>
      </w:r>
      <w:r>
        <w:rPr>
          <w:rFonts w:hint="default" w:ascii="仿宋_GB2312" w:hAnsi="仿宋_GB2312" w:eastAsia="仿宋_GB2312" w:cs="仿宋_GB2312"/>
          <w:b w:val="0"/>
          <w:bCs w:val="0"/>
          <w:sz w:val="32"/>
          <w:szCs w:val="32"/>
          <w:lang w:val="en-US" w:eastAsia="zh-CN"/>
        </w:rPr>
        <w:t>1518.26</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90.60</w:t>
      </w:r>
      <w:r>
        <w:rPr>
          <w:rFonts w:hint="default" w:ascii="仿宋_GB2312" w:hAnsi="仿宋_GB2312" w:eastAsia="仿宋_GB2312" w:cs="仿宋_GB2312"/>
          <w:b w:val="0"/>
          <w:bCs w:val="0"/>
          <w:sz w:val="32"/>
          <w:szCs w:val="32"/>
        </w:rPr>
        <w:t>%；教育支出（类）0万元，占0%；科学技术（类）支出0万元，占0%；文化旅游体育与传媒（类）支出0万元，占0%；社会保障和就业（类）支出</w:t>
      </w:r>
      <w:r>
        <w:rPr>
          <w:rFonts w:hint="default" w:ascii="仿宋_GB2312" w:hAnsi="仿宋_GB2312" w:eastAsia="仿宋_GB2312" w:cs="仿宋_GB2312"/>
          <w:b w:val="0"/>
          <w:bCs w:val="0"/>
          <w:sz w:val="32"/>
          <w:szCs w:val="32"/>
          <w:lang w:val="en-US" w:eastAsia="zh-CN"/>
        </w:rPr>
        <w:t>73.16</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4.37</w:t>
      </w:r>
      <w:r>
        <w:rPr>
          <w:rFonts w:hint="default" w:ascii="仿宋_GB2312" w:hAnsi="仿宋_GB2312" w:eastAsia="仿宋_GB2312" w:cs="仿宋_GB2312"/>
          <w:b w:val="0"/>
          <w:bCs w:val="0"/>
          <w:sz w:val="32"/>
          <w:szCs w:val="32"/>
        </w:rPr>
        <w:t>%；卫生健康支出（类）</w:t>
      </w:r>
      <w:r>
        <w:rPr>
          <w:rFonts w:hint="default" w:ascii="仿宋_GB2312" w:hAnsi="仿宋_GB2312" w:eastAsia="仿宋_GB2312" w:cs="仿宋_GB2312"/>
          <w:b w:val="0"/>
          <w:bCs w:val="0"/>
          <w:sz w:val="32"/>
          <w:szCs w:val="32"/>
          <w:lang w:val="en-US" w:eastAsia="zh-CN"/>
        </w:rPr>
        <w:t>32.26</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1.93</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rPr>
        <w:t>住房保障支出</w:t>
      </w:r>
      <w:r>
        <w:rPr>
          <w:rFonts w:hint="default" w:ascii="仿宋_GB2312" w:hAnsi="仿宋_GB2312" w:eastAsia="仿宋_GB2312" w:cs="仿宋_GB2312"/>
          <w:b w:val="0"/>
          <w:bCs w:val="0"/>
          <w:sz w:val="32"/>
          <w:szCs w:val="32"/>
          <w:lang w:val="en-US" w:eastAsia="zh-CN"/>
        </w:rPr>
        <w:t>52.09</w:t>
      </w:r>
      <w:r>
        <w:rPr>
          <w:rFonts w:hint="default" w:ascii="仿宋_GB2312" w:hAnsi="仿宋_GB2312" w:eastAsia="仿宋_GB2312" w:cs="仿宋_GB2312"/>
          <w:b w:val="0"/>
          <w:bCs w:val="0"/>
          <w:sz w:val="32"/>
          <w:szCs w:val="32"/>
        </w:rPr>
        <w:t>万元，占</w:t>
      </w:r>
      <w:r>
        <w:rPr>
          <w:rFonts w:hint="default" w:ascii="仿宋_GB2312" w:hAnsi="仿宋_GB2312" w:eastAsia="仿宋_GB2312" w:cs="仿宋_GB2312"/>
          <w:b w:val="0"/>
          <w:bCs w:val="0"/>
          <w:sz w:val="32"/>
          <w:szCs w:val="32"/>
          <w:lang w:val="en-US" w:eastAsia="zh-CN"/>
        </w:rPr>
        <w:t>3.1</w:t>
      </w:r>
      <w:r>
        <w:rPr>
          <w:rFonts w:hint="default" w:ascii="仿宋_GB2312" w:hAnsi="仿宋_GB2312" w:eastAsia="仿宋_GB2312" w:cs="仿宋_GB2312"/>
          <w:b w:val="0"/>
          <w:bCs w:val="0"/>
          <w:sz w:val="32"/>
          <w:szCs w:val="32"/>
        </w:rPr>
        <w:t>%。</w:t>
      </w:r>
    </w:p>
    <w:bookmarkEnd w:id="62"/>
    <w:p>
      <w:pPr>
        <w:spacing w:line="720" w:lineRule="auto"/>
        <w:ind w:firstLine="420" w:firstLineChars="200"/>
        <w:rPr>
          <w:rFonts w:eastAsia="仿宋"/>
          <w:color w:val="000000"/>
          <w:sz w:val="32"/>
          <w:szCs w:val="32"/>
        </w:rPr>
      </w:pPr>
      <w:r>
        <w:drawing>
          <wp:inline distT="0" distB="0" distL="114300" distR="114300">
            <wp:extent cx="4572000" cy="2743200"/>
            <wp:effectExtent l="4445" t="4445" r="10795" b="10795"/>
            <wp:docPr id="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outlineLvl w:val="2"/>
        <w:rPr>
          <w:rFonts w:hint="default" w:ascii="Times New Roman" w:hAnsi="Times New Roman" w:eastAsia="方正仿宋_GBK" w:cs="Times New Roman"/>
          <w:b/>
          <w:color w:val="000000"/>
          <w:sz w:val="32"/>
          <w:szCs w:val="32"/>
        </w:rPr>
      </w:pPr>
      <w:bookmarkStart w:id="63" w:name="_Toc79163617"/>
      <w:bookmarkStart w:id="64" w:name="_Toc15377212"/>
      <w:bookmarkStart w:id="65" w:name="_Toc79163867"/>
      <w:r>
        <w:rPr>
          <w:rFonts w:hint="default" w:ascii="Times New Roman" w:hAnsi="Times New Roman" w:eastAsia="方正仿宋_GBK" w:cs="Times New Roman"/>
          <w:b/>
          <w:color w:val="000000"/>
          <w:sz w:val="32"/>
          <w:szCs w:val="32"/>
        </w:rPr>
        <w:t>（三）一般公共预算财政拨款支出决算具体情况</w:t>
      </w:r>
      <w:bookmarkEnd w:id="63"/>
      <w:bookmarkEnd w:id="64"/>
      <w:bookmarkEnd w:id="65"/>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bookmarkStart w:id="66" w:name="_Toc15377213"/>
      <w:bookmarkStart w:id="67" w:name="_Toc15377444"/>
      <w:bookmarkStart w:id="68" w:name="_Toc15378460"/>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年一般公共预算支出决算数为</w:t>
      </w:r>
      <w:r>
        <w:rPr>
          <w:rFonts w:hint="default" w:ascii="仿宋_GB2312" w:hAnsi="仿宋_GB2312" w:eastAsia="仿宋_GB2312" w:cs="仿宋_GB2312"/>
          <w:b w:val="0"/>
          <w:bCs w:val="0"/>
          <w:sz w:val="32"/>
          <w:szCs w:val="32"/>
          <w:lang w:val="en-US" w:eastAsia="zh-CN"/>
        </w:rPr>
        <w:t>1675.76</w:t>
      </w:r>
      <w:r>
        <w:rPr>
          <w:rFonts w:hint="default" w:ascii="仿宋_GB2312" w:hAnsi="仿宋_GB2312" w:eastAsia="仿宋_GB2312" w:cs="仿宋_GB2312"/>
          <w:b w:val="0"/>
          <w:bCs w:val="0"/>
          <w:sz w:val="32"/>
          <w:szCs w:val="32"/>
        </w:rPr>
        <w:t>万元，预算数为</w:t>
      </w:r>
      <w:r>
        <w:rPr>
          <w:rFonts w:hint="default" w:ascii="仿宋_GB2312" w:hAnsi="仿宋_GB2312" w:eastAsia="仿宋_GB2312" w:cs="仿宋_GB2312"/>
          <w:b w:val="0"/>
          <w:bCs w:val="0"/>
          <w:sz w:val="32"/>
          <w:szCs w:val="32"/>
          <w:lang w:val="en-US" w:eastAsia="zh-CN"/>
        </w:rPr>
        <w:t>1349.11</w:t>
      </w:r>
      <w:r>
        <w:rPr>
          <w:rFonts w:hint="default" w:ascii="仿宋_GB2312" w:hAnsi="仿宋_GB2312" w:eastAsia="仿宋_GB2312" w:cs="仿宋_GB2312"/>
          <w:b w:val="0"/>
          <w:bCs w:val="0"/>
          <w:sz w:val="32"/>
          <w:szCs w:val="32"/>
        </w:rPr>
        <w:t>万元，完成预算</w:t>
      </w:r>
      <w:r>
        <w:rPr>
          <w:rFonts w:hint="default" w:ascii="仿宋_GB2312" w:hAnsi="仿宋_GB2312" w:eastAsia="仿宋_GB2312" w:cs="仿宋_GB2312"/>
          <w:b w:val="0"/>
          <w:bCs w:val="0"/>
          <w:sz w:val="32"/>
          <w:szCs w:val="32"/>
          <w:lang w:val="en-US" w:eastAsia="zh-CN"/>
        </w:rPr>
        <w:t>124.21</w:t>
      </w:r>
      <w:r>
        <w:rPr>
          <w:rFonts w:hint="default" w:ascii="仿宋_GB2312" w:hAnsi="仿宋_GB2312" w:eastAsia="仿宋_GB2312" w:cs="仿宋_GB2312"/>
          <w:b w:val="0"/>
          <w:bCs w:val="0"/>
          <w:sz w:val="32"/>
          <w:szCs w:val="32"/>
        </w:rPr>
        <w:t>%。其中：</w:t>
      </w:r>
      <w:bookmarkEnd w:id="66"/>
      <w:bookmarkEnd w:id="67"/>
      <w:bookmarkEnd w:id="68"/>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1.一般公共服务</w:t>
      </w:r>
      <w:r>
        <w:rPr>
          <w:rFonts w:hint="default" w:ascii="仿宋_GB2312" w:hAnsi="仿宋_GB2312" w:eastAsia="仿宋_GB2312" w:cs="仿宋_GB2312"/>
          <w:b w:val="0"/>
          <w:bCs w:val="0"/>
          <w:sz w:val="32"/>
          <w:szCs w:val="32"/>
          <w:lang w:val="en-US" w:eastAsia="zh-CN"/>
        </w:rPr>
        <w:t>支出：港澳台事务事业运行</w:t>
      </w:r>
      <w:r>
        <w:rPr>
          <w:rFonts w:hint="default" w:ascii="仿宋_GB2312" w:hAnsi="仿宋_GB2312" w:eastAsia="仿宋_GB2312" w:cs="仿宋_GB2312"/>
          <w:b w:val="0"/>
          <w:bCs w:val="0"/>
          <w:sz w:val="32"/>
          <w:szCs w:val="32"/>
        </w:rPr>
        <w:t>（支出功能分类科目代码：20</w:t>
      </w:r>
      <w:r>
        <w:rPr>
          <w:rFonts w:hint="default" w:ascii="仿宋_GB2312" w:hAnsi="仿宋_GB2312" w:eastAsia="仿宋_GB2312" w:cs="仿宋_GB2312"/>
          <w:b w:val="0"/>
          <w:bCs w:val="0"/>
          <w:sz w:val="32"/>
          <w:szCs w:val="32"/>
          <w:lang w:val="en-US" w:eastAsia="zh-CN"/>
        </w:rPr>
        <w:t>12550</w:t>
      </w:r>
      <w:r>
        <w:rPr>
          <w:rFonts w:hint="default" w:ascii="仿宋_GB2312" w:hAnsi="仿宋_GB2312" w:eastAsia="仿宋_GB2312" w:cs="仿宋_GB2312"/>
          <w:b w:val="0"/>
          <w:bCs w:val="0"/>
          <w:sz w:val="32"/>
          <w:szCs w:val="32"/>
        </w:rPr>
        <w:t>）支出决算</w:t>
      </w:r>
      <w:r>
        <w:rPr>
          <w:rFonts w:hint="default" w:ascii="仿宋_GB2312" w:hAnsi="仿宋_GB2312" w:eastAsia="仿宋_GB2312" w:cs="仿宋_GB2312"/>
          <w:b w:val="0"/>
          <w:bCs w:val="0"/>
          <w:sz w:val="32"/>
          <w:szCs w:val="32"/>
          <w:lang w:val="en-US" w:eastAsia="zh-CN"/>
        </w:rPr>
        <w:t>数21.16万元，</w:t>
      </w:r>
      <w:r>
        <w:rPr>
          <w:rFonts w:hint="default" w:ascii="仿宋_GB2312" w:hAnsi="仿宋_GB2312" w:eastAsia="仿宋_GB2312" w:cs="仿宋_GB2312"/>
          <w:b w:val="0"/>
          <w:bCs w:val="0"/>
          <w:sz w:val="32"/>
          <w:szCs w:val="32"/>
        </w:rPr>
        <w:t>完成预算</w:t>
      </w:r>
      <w:r>
        <w:rPr>
          <w:rFonts w:hint="eastAsia" w:ascii="仿宋_GB2312" w:hAnsi="仿宋_GB2312" w:eastAsia="仿宋_GB2312" w:cs="仿宋_GB2312"/>
          <w:b w:val="0"/>
          <w:bCs w:val="0"/>
          <w:sz w:val="32"/>
          <w:szCs w:val="32"/>
          <w:lang w:val="en-US" w:eastAsia="zh-CN"/>
        </w:rPr>
        <w:t>74.85</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统战事务行政运行</w:t>
      </w:r>
      <w:r>
        <w:rPr>
          <w:rFonts w:hint="default" w:ascii="仿宋_GB2312" w:hAnsi="仿宋_GB2312" w:eastAsia="仿宋_GB2312" w:cs="仿宋_GB2312"/>
          <w:b w:val="0"/>
          <w:bCs w:val="0"/>
          <w:sz w:val="32"/>
          <w:szCs w:val="32"/>
        </w:rPr>
        <w:t>（支出功能分类科目代码：</w:t>
      </w:r>
      <w:r>
        <w:rPr>
          <w:rFonts w:hint="default" w:ascii="仿宋_GB2312" w:hAnsi="仿宋_GB2312" w:eastAsia="仿宋_GB2312" w:cs="仿宋_GB2312"/>
          <w:b w:val="0"/>
          <w:bCs w:val="0"/>
          <w:sz w:val="32"/>
          <w:szCs w:val="32"/>
          <w:lang w:val="en-US" w:eastAsia="zh-CN"/>
        </w:rPr>
        <w:t>2013401</w:t>
      </w:r>
      <w:r>
        <w:rPr>
          <w:rFonts w:hint="default" w:ascii="仿宋_GB2312" w:hAnsi="仿宋_GB2312" w:eastAsia="仿宋_GB2312" w:cs="仿宋_GB2312"/>
          <w:b w:val="0"/>
          <w:bCs w:val="0"/>
          <w:sz w:val="32"/>
          <w:szCs w:val="32"/>
        </w:rPr>
        <w:t>）为</w:t>
      </w:r>
      <w:r>
        <w:rPr>
          <w:rFonts w:hint="default" w:ascii="仿宋_GB2312" w:hAnsi="仿宋_GB2312" w:eastAsia="仿宋_GB2312" w:cs="仿宋_GB2312"/>
          <w:b w:val="0"/>
          <w:bCs w:val="0"/>
          <w:sz w:val="32"/>
          <w:szCs w:val="32"/>
          <w:lang w:val="en-US" w:eastAsia="zh-CN"/>
        </w:rPr>
        <w:t>732.11</w:t>
      </w:r>
      <w:r>
        <w:rPr>
          <w:rFonts w:hint="default" w:ascii="仿宋_GB2312" w:hAnsi="仿宋_GB2312" w:eastAsia="仿宋_GB2312" w:cs="仿宋_GB2312"/>
          <w:b w:val="0"/>
          <w:bCs w:val="0"/>
          <w:sz w:val="32"/>
          <w:szCs w:val="32"/>
        </w:rPr>
        <w:t>万元，完成预算</w:t>
      </w:r>
      <w:r>
        <w:rPr>
          <w:rFonts w:hint="eastAsia" w:ascii="仿宋_GB2312" w:hAnsi="仿宋_GB2312" w:eastAsia="仿宋_GB2312" w:cs="仿宋_GB2312"/>
          <w:b w:val="0"/>
          <w:bCs w:val="0"/>
          <w:sz w:val="32"/>
          <w:szCs w:val="32"/>
          <w:lang w:val="en-US" w:eastAsia="zh-CN"/>
        </w:rPr>
        <w:t>73.09</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统战事务一般行政管理事务</w:t>
      </w:r>
      <w:r>
        <w:rPr>
          <w:rFonts w:hint="default" w:ascii="仿宋_GB2312" w:hAnsi="仿宋_GB2312" w:eastAsia="仿宋_GB2312" w:cs="仿宋_GB2312"/>
          <w:b w:val="0"/>
          <w:bCs w:val="0"/>
          <w:sz w:val="32"/>
          <w:szCs w:val="32"/>
        </w:rPr>
        <w:t>（支出功能分类科目代码：20134</w:t>
      </w:r>
      <w:r>
        <w:rPr>
          <w:rFonts w:hint="default" w:ascii="仿宋_GB2312" w:hAnsi="仿宋_GB2312" w:eastAsia="仿宋_GB2312" w:cs="仿宋_GB2312"/>
          <w:b w:val="0"/>
          <w:bCs w:val="0"/>
          <w:sz w:val="32"/>
          <w:szCs w:val="32"/>
          <w:lang w:val="en-US" w:eastAsia="zh-CN"/>
        </w:rPr>
        <w:t>02</w:t>
      </w:r>
      <w:r>
        <w:rPr>
          <w:rFonts w:hint="default" w:ascii="仿宋_GB2312" w:hAnsi="仿宋_GB2312" w:eastAsia="仿宋_GB2312" w:cs="仿宋_GB2312"/>
          <w:b w:val="0"/>
          <w:bCs w:val="0"/>
          <w:sz w:val="32"/>
          <w:szCs w:val="32"/>
        </w:rPr>
        <w:t>）:支出决算为</w:t>
      </w:r>
      <w:r>
        <w:rPr>
          <w:rFonts w:hint="default" w:ascii="仿宋_GB2312" w:hAnsi="仿宋_GB2312" w:eastAsia="仿宋_GB2312" w:cs="仿宋_GB2312"/>
          <w:b w:val="0"/>
          <w:bCs w:val="0"/>
          <w:sz w:val="32"/>
          <w:szCs w:val="32"/>
          <w:lang w:val="en-US" w:eastAsia="zh-CN"/>
        </w:rPr>
        <w:t>473.64</w:t>
      </w:r>
      <w:r>
        <w:rPr>
          <w:rFonts w:hint="default" w:ascii="仿宋_GB2312" w:hAnsi="仿宋_GB2312" w:eastAsia="仿宋_GB2312" w:cs="仿宋_GB2312"/>
          <w:b w:val="0"/>
          <w:bCs w:val="0"/>
          <w:sz w:val="32"/>
          <w:szCs w:val="32"/>
        </w:rPr>
        <w:t>万元，完成预算</w:t>
      </w:r>
      <w:r>
        <w:rPr>
          <w:rFonts w:hint="eastAsia" w:ascii="仿宋_GB2312" w:hAnsi="仿宋_GB2312" w:eastAsia="仿宋_GB2312" w:cs="仿宋_GB2312"/>
          <w:b w:val="0"/>
          <w:bCs w:val="0"/>
          <w:sz w:val="32"/>
          <w:szCs w:val="32"/>
          <w:lang w:val="en-US" w:eastAsia="zh-CN"/>
        </w:rPr>
        <w:t>152.17</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决算数大于预算数主要原因是2020年12月将应交州财政代管的省委统战部藏传佛教寺庙维修资金267.61万元误转入国家金库，该款于2021年5月以存量资金形式下拨我部，导致2021年统战事务一般行政管理事务决算数较预算数增加267.61万元</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val="en-US" w:eastAsia="zh-CN"/>
        </w:rPr>
        <w:t>统战事务事业运行</w:t>
      </w:r>
      <w:r>
        <w:rPr>
          <w:rFonts w:hint="default" w:ascii="仿宋_GB2312" w:hAnsi="仿宋_GB2312" w:eastAsia="仿宋_GB2312" w:cs="仿宋_GB2312"/>
          <w:b w:val="0"/>
          <w:bCs w:val="0"/>
          <w:sz w:val="32"/>
          <w:szCs w:val="32"/>
        </w:rPr>
        <w:t>（支出功能分类科目代码：</w:t>
      </w:r>
      <w:r>
        <w:rPr>
          <w:rFonts w:hint="default" w:ascii="仿宋_GB2312" w:hAnsi="仿宋_GB2312" w:eastAsia="仿宋_GB2312" w:cs="仿宋_GB2312"/>
          <w:b w:val="0"/>
          <w:bCs w:val="0"/>
          <w:sz w:val="32"/>
          <w:szCs w:val="32"/>
          <w:lang w:val="en-US" w:eastAsia="zh-CN"/>
        </w:rPr>
        <w:t>2013450</w:t>
      </w:r>
      <w:r>
        <w:rPr>
          <w:rFonts w:hint="default" w:ascii="仿宋_GB2312" w:hAnsi="仿宋_GB2312" w:eastAsia="仿宋_GB2312" w:cs="仿宋_GB2312"/>
          <w:b w:val="0"/>
          <w:bCs w:val="0"/>
          <w:sz w:val="32"/>
          <w:szCs w:val="32"/>
        </w:rPr>
        <w:t>）:支出决算为</w:t>
      </w:r>
      <w:r>
        <w:rPr>
          <w:rFonts w:hint="default" w:ascii="仿宋_GB2312" w:hAnsi="仿宋_GB2312" w:eastAsia="仿宋_GB2312" w:cs="仿宋_GB2312"/>
          <w:b w:val="0"/>
          <w:bCs w:val="0"/>
          <w:sz w:val="32"/>
          <w:szCs w:val="32"/>
          <w:lang w:val="en-US" w:eastAsia="zh-CN"/>
        </w:rPr>
        <w:t>276.37</w:t>
      </w:r>
      <w:r>
        <w:rPr>
          <w:rFonts w:hint="default" w:ascii="仿宋_GB2312" w:hAnsi="仿宋_GB2312" w:eastAsia="仿宋_GB2312" w:cs="仿宋_GB2312"/>
          <w:b w:val="0"/>
          <w:bCs w:val="0"/>
          <w:sz w:val="32"/>
          <w:szCs w:val="32"/>
        </w:rPr>
        <w:t>万元，完成预算</w:t>
      </w:r>
      <w:r>
        <w:rPr>
          <w:rFonts w:hint="default" w:ascii="仿宋_GB2312" w:hAnsi="仿宋_GB2312" w:eastAsia="仿宋_GB2312" w:cs="仿宋_GB2312"/>
          <w:b w:val="0"/>
          <w:bCs w:val="0"/>
          <w:sz w:val="32"/>
          <w:szCs w:val="32"/>
          <w:lang w:val="en-US" w:eastAsia="zh-CN"/>
        </w:rPr>
        <w:t>100</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统战事务其他统战事务支出</w:t>
      </w:r>
      <w:r>
        <w:rPr>
          <w:rFonts w:hint="default" w:ascii="仿宋_GB2312" w:hAnsi="仿宋_GB2312" w:eastAsia="仿宋_GB2312" w:cs="仿宋_GB2312"/>
          <w:b w:val="0"/>
          <w:bCs w:val="0"/>
          <w:sz w:val="32"/>
          <w:szCs w:val="32"/>
        </w:rPr>
        <w:t>（支出功能分类科目代码：</w:t>
      </w:r>
      <w:r>
        <w:rPr>
          <w:rFonts w:hint="default" w:ascii="仿宋_GB2312" w:hAnsi="仿宋_GB2312" w:eastAsia="仿宋_GB2312" w:cs="仿宋_GB2312"/>
          <w:b w:val="0"/>
          <w:bCs w:val="0"/>
          <w:sz w:val="32"/>
          <w:szCs w:val="32"/>
          <w:lang w:val="en-US" w:eastAsia="zh-CN"/>
        </w:rPr>
        <w:t>2013499</w:t>
      </w:r>
      <w:r>
        <w:rPr>
          <w:rFonts w:hint="default" w:ascii="仿宋_GB2312" w:hAnsi="仿宋_GB2312" w:eastAsia="仿宋_GB2312" w:cs="仿宋_GB2312"/>
          <w:b w:val="0"/>
          <w:bCs w:val="0"/>
          <w:sz w:val="32"/>
          <w:szCs w:val="32"/>
        </w:rPr>
        <w:t>）:支出决算为</w:t>
      </w:r>
      <w:r>
        <w:rPr>
          <w:rFonts w:hint="default" w:ascii="仿宋_GB2312" w:hAnsi="仿宋_GB2312" w:eastAsia="仿宋_GB2312" w:cs="仿宋_GB2312"/>
          <w:b w:val="0"/>
          <w:bCs w:val="0"/>
          <w:sz w:val="32"/>
          <w:szCs w:val="32"/>
          <w:lang w:val="en-US" w:eastAsia="zh-CN"/>
        </w:rPr>
        <w:t>14.99</w:t>
      </w:r>
      <w:r>
        <w:rPr>
          <w:rFonts w:hint="default" w:ascii="仿宋_GB2312" w:hAnsi="仿宋_GB2312" w:eastAsia="仿宋_GB2312" w:cs="仿宋_GB2312"/>
          <w:b w:val="0"/>
          <w:bCs w:val="0"/>
          <w:sz w:val="32"/>
          <w:szCs w:val="32"/>
        </w:rPr>
        <w:t>万元，完成预算</w:t>
      </w:r>
      <w:r>
        <w:rPr>
          <w:rFonts w:hint="default" w:ascii="仿宋_GB2312" w:hAnsi="仿宋_GB2312" w:eastAsia="仿宋_GB2312" w:cs="仿宋_GB2312"/>
          <w:b w:val="0"/>
          <w:bCs w:val="0"/>
          <w:sz w:val="32"/>
          <w:szCs w:val="32"/>
          <w:lang w:val="en-US" w:eastAsia="zh-CN"/>
        </w:rPr>
        <w:t>100%。</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2.教育:支出决算为万元，完成预算0%。</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3.科学技术:支出决算为0万元，完成预算0%。</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4.文化旅游体育与传媒:支出决算为0万元，完成预算0%。</w:t>
      </w:r>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rPr>
        <w:t>5.社会保障和就业</w:t>
      </w:r>
      <w:r>
        <w:rPr>
          <w:rFonts w:hint="eastAsia" w:ascii="仿宋_GB2312" w:hAnsi="仿宋_GB2312" w:eastAsia="仿宋_GB2312" w:cs="仿宋_GB2312"/>
          <w:b w:val="0"/>
          <w:bCs w:val="0"/>
          <w:sz w:val="32"/>
          <w:szCs w:val="32"/>
          <w:lang w:val="en-US" w:eastAsia="zh-CN"/>
        </w:rPr>
        <w:t>支出：</w:t>
      </w:r>
      <w:r>
        <w:rPr>
          <w:rFonts w:hint="default" w:ascii="仿宋_GB2312" w:hAnsi="仿宋_GB2312" w:eastAsia="仿宋_GB2312" w:cs="仿宋_GB2312"/>
          <w:b w:val="0"/>
          <w:bCs w:val="0"/>
          <w:sz w:val="32"/>
          <w:szCs w:val="32"/>
        </w:rPr>
        <w:t>机关事业单位基本养老保险缴费（支出功能分类科目代码：2080505）:支出决算为</w:t>
      </w:r>
      <w:r>
        <w:rPr>
          <w:rFonts w:hint="default" w:ascii="仿宋_GB2312" w:hAnsi="仿宋_GB2312" w:eastAsia="仿宋_GB2312" w:cs="仿宋_GB2312"/>
          <w:b w:val="0"/>
          <w:bCs w:val="0"/>
          <w:sz w:val="32"/>
          <w:szCs w:val="32"/>
          <w:lang w:val="en-US" w:eastAsia="zh-CN"/>
        </w:rPr>
        <w:t>48.77</w:t>
      </w:r>
      <w:r>
        <w:rPr>
          <w:rFonts w:hint="default" w:ascii="仿宋_GB2312" w:hAnsi="仿宋_GB2312" w:eastAsia="仿宋_GB2312" w:cs="仿宋_GB2312"/>
          <w:b w:val="0"/>
          <w:bCs w:val="0"/>
          <w:sz w:val="32"/>
          <w:szCs w:val="32"/>
        </w:rPr>
        <w:t>万元；社会保障和就业机关事业单位职业年金缴费（支出功能分类科目代码：2080506）:支出决算为</w:t>
      </w:r>
      <w:r>
        <w:rPr>
          <w:rFonts w:hint="default" w:ascii="仿宋_GB2312" w:hAnsi="仿宋_GB2312" w:eastAsia="仿宋_GB2312" w:cs="仿宋_GB2312"/>
          <w:b w:val="0"/>
          <w:bCs w:val="0"/>
          <w:sz w:val="32"/>
          <w:szCs w:val="32"/>
          <w:lang w:val="en-US" w:eastAsia="zh-CN"/>
        </w:rPr>
        <w:t>24.39</w:t>
      </w:r>
      <w:r>
        <w:rPr>
          <w:rFonts w:hint="default" w:ascii="仿宋_GB2312" w:hAnsi="仿宋_GB2312" w:eastAsia="仿宋_GB2312" w:cs="仿宋_GB2312"/>
          <w:b w:val="0"/>
          <w:bCs w:val="0"/>
          <w:sz w:val="32"/>
          <w:szCs w:val="32"/>
        </w:rPr>
        <w:t>万元。完成预算</w:t>
      </w:r>
      <w:r>
        <w:rPr>
          <w:rFonts w:hint="eastAsia" w:ascii="仿宋_GB2312" w:hAnsi="仿宋_GB2312" w:eastAsia="仿宋_GB2312" w:cs="仿宋_GB2312"/>
          <w:b w:val="0"/>
          <w:bCs w:val="0"/>
          <w:sz w:val="32"/>
          <w:szCs w:val="32"/>
          <w:lang w:val="en-US" w:eastAsia="zh-CN"/>
        </w:rPr>
        <w:t>83.11</w:t>
      </w:r>
      <w:r>
        <w:rPr>
          <w:rFonts w:hint="default"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lang w:eastAsia="zh-CN"/>
        </w:rPr>
      </w:pPr>
      <w:r>
        <w:rPr>
          <w:rFonts w:hint="default" w:ascii="仿宋_GB2312" w:hAnsi="仿宋_GB2312" w:eastAsia="仿宋_GB2312" w:cs="仿宋_GB2312"/>
          <w:b w:val="0"/>
          <w:bCs w:val="0"/>
          <w:sz w:val="32"/>
          <w:szCs w:val="32"/>
        </w:rPr>
        <w:t>6.卫生健康</w:t>
      </w:r>
      <w:r>
        <w:rPr>
          <w:rFonts w:hint="default" w:ascii="仿宋_GB2312" w:hAnsi="仿宋_GB2312" w:eastAsia="仿宋_GB2312" w:cs="仿宋_GB2312"/>
          <w:b w:val="0"/>
          <w:bCs w:val="0"/>
          <w:sz w:val="32"/>
          <w:szCs w:val="32"/>
          <w:lang w:val="en-US" w:eastAsia="zh-CN"/>
        </w:rPr>
        <w:t>支出</w:t>
      </w: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rPr>
        <w:t>行政单位医疗（支出功能分类科目代码：2101101）:支出决算为</w:t>
      </w:r>
      <w:r>
        <w:rPr>
          <w:rFonts w:hint="default" w:ascii="仿宋_GB2312" w:hAnsi="仿宋_GB2312" w:eastAsia="仿宋_GB2312" w:cs="仿宋_GB2312"/>
          <w:b w:val="0"/>
          <w:bCs w:val="0"/>
          <w:sz w:val="32"/>
          <w:szCs w:val="32"/>
          <w:lang w:val="en-US" w:eastAsia="zh-CN"/>
        </w:rPr>
        <w:t>24.42</w:t>
      </w:r>
      <w:r>
        <w:rPr>
          <w:rFonts w:hint="default" w:ascii="仿宋_GB2312" w:hAnsi="仿宋_GB2312" w:eastAsia="仿宋_GB2312" w:cs="仿宋_GB2312"/>
          <w:b w:val="0"/>
          <w:bCs w:val="0"/>
          <w:sz w:val="32"/>
          <w:szCs w:val="32"/>
        </w:rPr>
        <w:t>万元；</w:t>
      </w:r>
      <w:r>
        <w:rPr>
          <w:rFonts w:hint="default" w:ascii="仿宋_GB2312" w:hAnsi="仿宋_GB2312" w:eastAsia="仿宋_GB2312" w:cs="仿宋_GB2312"/>
          <w:b w:val="0"/>
          <w:bCs w:val="0"/>
          <w:sz w:val="32"/>
          <w:szCs w:val="32"/>
          <w:lang w:val="en-US" w:eastAsia="zh-CN"/>
        </w:rPr>
        <w:t>事业</w:t>
      </w:r>
      <w:r>
        <w:rPr>
          <w:rFonts w:hint="default" w:ascii="仿宋_GB2312" w:hAnsi="仿宋_GB2312" w:eastAsia="仿宋_GB2312" w:cs="仿宋_GB2312"/>
          <w:b w:val="0"/>
          <w:bCs w:val="0"/>
          <w:sz w:val="32"/>
          <w:szCs w:val="32"/>
        </w:rPr>
        <w:t>单位医疗（支出功能分类科目代码：210110</w:t>
      </w:r>
      <w:r>
        <w:rPr>
          <w:rFonts w:hint="default" w:ascii="仿宋_GB2312" w:hAnsi="仿宋_GB2312" w:eastAsia="仿宋_GB2312" w:cs="仿宋_GB2312"/>
          <w:b w:val="0"/>
          <w:bCs w:val="0"/>
          <w:sz w:val="32"/>
          <w:szCs w:val="32"/>
          <w:lang w:val="en-US" w:eastAsia="zh-CN"/>
        </w:rPr>
        <w:t>2</w:t>
      </w:r>
      <w:r>
        <w:rPr>
          <w:rFonts w:hint="default" w:ascii="仿宋_GB2312" w:hAnsi="仿宋_GB2312" w:eastAsia="仿宋_GB2312" w:cs="仿宋_GB2312"/>
          <w:b w:val="0"/>
          <w:bCs w:val="0"/>
          <w:sz w:val="32"/>
          <w:szCs w:val="32"/>
        </w:rPr>
        <w:t>）:支出决算为</w:t>
      </w:r>
      <w:r>
        <w:rPr>
          <w:rFonts w:hint="default" w:ascii="仿宋_GB2312" w:hAnsi="仿宋_GB2312" w:eastAsia="仿宋_GB2312" w:cs="仿宋_GB2312"/>
          <w:b w:val="0"/>
          <w:bCs w:val="0"/>
          <w:sz w:val="32"/>
          <w:szCs w:val="32"/>
          <w:lang w:val="en-US" w:eastAsia="zh-CN"/>
        </w:rPr>
        <w:t>0.73</w:t>
      </w:r>
      <w:r>
        <w:rPr>
          <w:rFonts w:hint="default" w:ascii="仿宋_GB2312" w:hAnsi="仿宋_GB2312" w:eastAsia="仿宋_GB2312" w:cs="仿宋_GB2312"/>
          <w:b w:val="0"/>
          <w:bCs w:val="0"/>
          <w:sz w:val="32"/>
          <w:szCs w:val="32"/>
        </w:rPr>
        <w:t>万元；公务员医疗补助（支出功能分类科目代码：2101103）:支出决算为6.</w:t>
      </w:r>
      <w:r>
        <w:rPr>
          <w:rFonts w:hint="default" w:ascii="仿宋_GB2312" w:hAnsi="仿宋_GB2312" w:eastAsia="仿宋_GB2312" w:cs="仿宋_GB2312"/>
          <w:b w:val="0"/>
          <w:bCs w:val="0"/>
          <w:sz w:val="32"/>
          <w:szCs w:val="32"/>
          <w:lang w:val="en-US" w:eastAsia="zh-CN"/>
        </w:rPr>
        <w:t>9</w:t>
      </w:r>
      <w:r>
        <w:rPr>
          <w:rFonts w:hint="default" w:ascii="仿宋_GB2312" w:hAnsi="仿宋_GB2312" w:eastAsia="仿宋_GB2312" w:cs="仿宋_GB2312"/>
          <w:b w:val="0"/>
          <w:bCs w:val="0"/>
          <w:sz w:val="32"/>
          <w:szCs w:val="32"/>
        </w:rPr>
        <w:t>3万元；</w:t>
      </w:r>
      <w:r>
        <w:rPr>
          <w:rFonts w:hint="default" w:ascii="仿宋_GB2312" w:hAnsi="仿宋_GB2312" w:eastAsia="仿宋_GB2312" w:cs="仿宋_GB2312"/>
          <w:b w:val="0"/>
          <w:bCs w:val="0"/>
          <w:sz w:val="32"/>
          <w:szCs w:val="32"/>
          <w:lang w:val="en-US" w:eastAsia="zh-CN"/>
        </w:rPr>
        <w:t>其他行政事业单位医疗支出</w:t>
      </w:r>
      <w:r>
        <w:rPr>
          <w:rFonts w:hint="default" w:ascii="仿宋_GB2312" w:hAnsi="仿宋_GB2312" w:eastAsia="仿宋_GB2312" w:cs="仿宋_GB2312"/>
          <w:b w:val="0"/>
          <w:bCs w:val="0"/>
          <w:sz w:val="32"/>
          <w:szCs w:val="32"/>
        </w:rPr>
        <w:t>（支出功能分类科目代码：21011</w:t>
      </w:r>
      <w:r>
        <w:rPr>
          <w:rFonts w:hint="default" w:ascii="仿宋_GB2312" w:hAnsi="仿宋_GB2312" w:eastAsia="仿宋_GB2312" w:cs="仿宋_GB2312"/>
          <w:b w:val="0"/>
          <w:bCs w:val="0"/>
          <w:sz w:val="32"/>
          <w:szCs w:val="32"/>
          <w:lang w:val="en-US" w:eastAsia="zh-CN"/>
        </w:rPr>
        <w:t>99</w:t>
      </w:r>
      <w:r>
        <w:rPr>
          <w:rFonts w:hint="default" w:ascii="仿宋_GB2312" w:hAnsi="仿宋_GB2312" w:eastAsia="仿宋_GB2312" w:cs="仿宋_GB2312"/>
          <w:b w:val="0"/>
          <w:bCs w:val="0"/>
          <w:sz w:val="32"/>
          <w:szCs w:val="32"/>
        </w:rPr>
        <w:t>）:支出决算为</w:t>
      </w:r>
      <w:r>
        <w:rPr>
          <w:rFonts w:hint="default" w:ascii="仿宋_GB2312" w:hAnsi="仿宋_GB2312" w:eastAsia="仿宋_GB2312" w:cs="仿宋_GB2312"/>
          <w:b w:val="0"/>
          <w:bCs w:val="0"/>
          <w:sz w:val="32"/>
          <w:szCs w:val="32"/>
          <w:lang w:val="en-US" w:eastAsia="zh-CN"/>
        </w:rPr>
        <w:t>0.18</w:t>
      </w:r>
      <w:r>
        <w:rPr>
          <w:rFonts w:hint="default" w:ascii="仿宋_GB2312" w:hAnsi="仿宋_GB2312" w:eastAsia="仿宋_GB2312" w:cs="仿宋_GB2312"/>
          <w:b w:val="0"/>
          <w:bCs w:val="0"/>
          <w:sz w:val="32"/>
          <w:szCs w:val="32"/>
        </w:rPr>
        <w:t>万元</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rPr>
        <w:t>完成预算</w:t>
      </w:r>
      <w:r>
        <w:rPr>
          <w:rFonts w:hint="eastAsia" w:ascii="仿宋_GB2312" w:hAnsi="仿宋_GB2312" w:eastAsia="仿宋_GB2312" w:cs="仿宋_GB2312"/>
          <w:b w:val="0"/>
          <w:bCs w:val="0"/>
          <w:sz w:val="32"/>
          <w:szCs w:val="32"/>
          <w:lang w:val="en-US" w:eastAsia="zh-CN"/>
        </w:rPr>
        <w:t>99.78</w:t>
      </w:r>
      <w:r>
        <w:rPr>
          <w:rFonts w:hint="default"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7.住房保障支出住房公积金</w:t>
      </w:r>
      <w:r>
        <w:rPr>
          <w:rFonts w:hint="default" w:ascii="仿宋_GB2312" w:hAnsi="仿宋_GB2312" w:eastAsia="仿宋_GB2312" w:cs="仿宋_GB2312"/>
          <w:b w:val="0"/>
          <w:bCs w:val="0"/>
          <w:sz w:val="32"/>
          <w:szCs w:val="32"/>
        </w:rPr>
        <w:t>（支出功能分类科目代码：2</w:t>
      </w:r>
      <w:r>
        <w:rPr>
          <w:rFonts w:hint="default" w:ascii="仿宋_GB2312" w:hAnsi="仿宋_GB2312" w:eastAsia="仿宋_GB2312" w:cs="仿宋_GB2312"/>
          <w:b w:val="0"/>
          <w:bCs w:val="0"/>
          <w:sz w:val="32"/>
          <w:szCs w:val="32"/>
          <w:lang w:val="en-US" w:eastAsia="zh-CN"/>
        </w:rPr>
        <w:t>210201</w:t>
      </w:r>
      <w:r>
        <w:rPr>
          <w:rFonts w:hint="default" w:ascii="仿宋_GB2312" w:hAnsi="仿宋_GB2312" w:eastAsia="仿宋_GB2312" w:cs="仿宋_GB2312"/>
          <w:b w:val="0"/>
          <w:bCs w:val="0"/>
          <w:sz w:val="32"/>
          <w:szCs w:val="32"/>
        </w:rPr>
        <w:t>）:支出决算为</w:t>
      </w:r>
      <w:r>
        <w:rPr>
          <w:rFonts w:hint="default" w:ascii="仿宋_GB2312" w:hAnsi="仿宋_GB2312" w:eastAsia="仿宋_GB2312" w:cs="仿宋_GB2312"/>
          <w:b w:val="0"/>
          <w:bCs w:val="0"/>
          <w:sz w:val="32"/>
          <w:szCs w:val="32"/>
          <w:lang w:val="en-US" w:eastAsia="zh-CN"/>
        </w:rPr>
        <w:t>52.09</w:t>
      </w:r>
      <w:r>
        <w:rPr>
          <w:rFonts w:hint="default" w:ascii="仿宋_GB2312" w:hAnsi="仿宋_GB2312" w:eastAsia="仿宋_GB2312" w:cs="仿宋_GB2312"/>
          <w:b w:val="0"/>
          <w:bCs w:val="0"/>
          <w:sz w:val="32"/>
          <w:szCs w:val="32"/>
        </w:rPr>
        <w:t>万元，完成预算</w:t>
      </w:r>
      <w:r>
        <w:rPr>
          <w:rFonts w:hint="eastAsia" w:ascii="仿宋_GB2312" w:hAnsi="仿宋_GB2312" w:eastAsia="仿宋_GB2312" w:cs="仿宋_GB2312"/>
          <w:b w:val="0"/>
          <w:bCs w:val="0"/>
          <w:sz w:val="32"/>
          <w:szCs w:val="32"/>
          <w:lang w:val="en-US" w:eastAsia="zh-CN"/>
        </w:rPr>
        <w:t>77.42</w:t>
      </w:r>
      <w:r>
        <w:rPr>
          <w:rFonts w:hint="default" w:ascii="仿宋_GB2312" w:hAnsi="仿宋_GB2312" w:eastAsia="仿宋_GB2312" w:cs="仿宋_GB2312"/>
          <w:b w:val="0"/>
          <w:bCs w:val="0"/>
          <w:sz w:val="32"/>
          <w:szCs w:val="32"/>
        </w:rPr>
        <w:t>%</w:t>
      </w:r>
      <w:r>
        <w:rPr>
          <w:rFonts w:hint="default" w:ascii="仿宋_GB2312" w:hAnsi="仿宋_GB2312" w:eastAsia="仿宋_GB2312" w:cs="仿宋_GB2312"/>
          <w:b w:val="0"/>
          <w:bCs w:val="0"/>
          <w:sz w:val="32"/>
          <w:szCs w:val="32"/>
          <w:lang w:eastAsia="zh-CN"/>
        </w:rPr>
        <w:t>。</w:t>
      </w:r>
    </w:p>
    <w:p>
      <w:pPr>
        <w:tabs>
          <w:tab w:val="right" w:pos="8306"/>
        </w:tabs>
        <w:spacing w:line="600" w:lineRule="exact"/>
        <w:ind w:firstLine="640"/>
        <w:outlineLvl w:val="1"/>
        <w:rPr>
          <w:rStyle w:val="24"/>
          <w:rFonts w:ascii="Times New Roman" w:hAnsi="Times New Roman"/>
        </w:rPr>
      </w:pPr>
      <w:bookmarkStart w:id="69" w:name="_Toc15377214"/>
      <w:bookmarkStart w:id="70" w:name="_Toc79163618"/>
      <w:bookmarkStart w:id="71" w:name="_Toc79163868"/>
      <w:bookmarkStart w:id="72" w:name="_Toc15396608"/>
      <w:r>
        <w:rPr>
          <w:rFonts w:eastAsia="黑体"/>
          <w:color w:val="000000"/>
          <w:sz w:val="32"/>
          <w:szCs w:val="32"/>
        </w:rPr>
        <w:t>六</w:t>
      </w:r>
      <w:r>
        <w:rPr>
          <w:rFonts w:eastAsia="黑体"/>
          <w:b/>
          <w:color w:val="000000"/>
          <w:sz w:val="32"/>
          <w:szCs w:val="32"/>
        </w:rPr>
        <w:t>、一</w:t>
      </w:r>
      <w:r>
        <w:rPr>
          <w:rStyle w:val="24"/>
          <w:rFonts w:ascii="Times New Roman" w:hAnsi="Times New Roman" w:eastAsia="黑体"/>
          <w:b w:val="0"/>
        </w:rPr>
        <w:t>般公共预算财政拨款基本支出决算情况说明</w:t>
      </w:r>
      <w:bookmarkEnd w:id="69"/>
      <w:bookmarkEnd w:id="70"/>
      <w:bookmarkEnd w:id="71"/>
      <w:bookmarkEnd w:id="72"/>
      <w:r>
        <w:rPr>
          <w:rStyle w:val="24"/>
          <w:rFonts w:ascii="Times New Roman" w:hAnsi="Times New Roman" w:eastAsia="黑体"/>
          <w:b w:val="0"/>
        </w:rPr>
        <w:tab/>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年一般公共预算财政拨款基本支出</w:t>
      </w:r>
      <w:r>
        <w:rPr>
          <w:rFonts w:hint="default" w:ascii="仿宋_GB2312" w:hAnsi="仿宋_GB2312" w:eastAsia="仿宋_GB2312" w:cs="仿宋_GB2312"/>
          <w:b w:val="0"/>
          <w:bCs w:val="0"/>
          <w:sz w:val="32"/>
          <w:szCs w:val="32"/>
          <w:lang w:val="en-US" w:eastAsia="zh-CN"/>
        </w:rPr>
        <w:t>1187.13</w:t>
      </w:r>
      <w:r>
        <w:rPr>
          <w:rFonts w:hint="default" w:ascii="仿宋_GB2312" w:hAnsi="仿宋_GB2312" w:eastAsia="仿宋_GB2312" w:cs="仿宋_GB2312"/>
          <w:b w:val="0"/>
          <w:bCs w:val="0"/>
          <w:sz w:val="32"/>
          <w:szCs w:val="32"/>
        </w:rPr>
        <w:t>万元，其中：</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人员经费</w:t>
      </w:r>
      <w:r>
        <w:rPr>
          <w:rFonts w:hint="default" w:ascii="仿宋_GB2312" w:hAnsi="仿宋_GB2312" w:eastAsia="仿宋_GB2312" w:cs="仿宋_GB2312"/>
          <w:b w:val="0"/>
          <w:bCs w:val="0"/>
          <w:sz w:val="32"/>
          <w:szCs w:val="32"/>
          <w:lang w:val="en-US" w:eastAsia="zh-CN"/>
        </w:rPr>
        <w:t>728.42</w:t>
      </w:r>
      <w:r>
        <w:rPr>
          <w:rFonts w:hint="default" w:ascii="仿宋_GB2312" w:hAnsi="仿宋_GB2312" w:eastAsia="仿宋_GB2312" w:cs="仿宋_GB2312"/>
          <w:b w:val="0"/>
          <w:bCs w:val="0"/>
          <w:sz w:val="32"/>
          <w:szCs w:val="32"/>
        </w:rPr>
        <w:t>万元，主要包括：基本工资、津贴补贴、奖金、伙食补助费、绩效工资、机关事业单位基本养老保险缴费、职业年金缴费、职工基本医疗保险缴费</w:t>
      </w:r>
      <w:r>
        <w:rPr>
          <w:rFonts w:hint="default" w:ascii="仿宋_GB2312" w:hAnsi="仿宋_GB2312" w:eastAsia="仿宋_GB2312" w:cs="仿宋_GB2312"/>
          <w:b w:val="0"/>
          <w:bCs w:val="0"/>
          <w:sz w:val="32"/>
          <w:szCs w:val="32"/>
          <w:lang w:eastAsia="zh-CN"/>
        </w:rPr>
        <w:t>、公务员医疗补助缴费、</w:t>
      </w:r>
      <w:r>
        <w:rPr>
          <w:rFonts w:hint="default" w:ascii="仿宋_GB2312" w:hAnsi="仿宋_GB2312" w:eastAsia="仿宋_GB2312" w:cs="仿宋_GB2312"/>
          <w:b w:val="0"/>
          <w:bCs w:val="0"/>
          <w:sz w:val="32"/>
          <w:szCs w:val="32"/>
        </w:rPr>
        <w:t>其他社会保障缴费、其他工资福利支出、生活补助</w:t>
      </w:r>
      <w:r>
        <w:rPr>
          <w:rFonts w:hint="default"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rPr>
        <w:t>住房公积金等。</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公用经费</w:t>
      </w:r>
      <w:r>
        <w:rPr>
          <w:rFonts w:hint="default" w:ascii="仿宋_GB2312" w:hAnsi="仿宋_GB2312" w:eastAsia="仿宋_GB2312" w:cs="仿宋_GB2312"/>
          <w:b w:val="0"/>
          <w:bCs w:val="0"/>
          <w:sz w:val="32"/>
          <w:szCs w:val="32"/>
          <w:lang w:val="en-US" w:eastAsia="zh-CN"/>
        </w:rPr>
        <w:t>458.71</w:t>
      </w:r>
      <w:r>
        <w:rPr>
          <w:rFonts w:hint="default" w:ascii="仿宋_GB2312" w:hAnsi="仿宋_GB2312" w:eastAsia="仿宋_GB2312" w:cs="仿宋_GB2312"/>
          <w:b w:val="0"/>
          <w:bCs w:val="0"/>
          <w:sz w:val="32"/>
          <w:szCs w:val="32"/>
        </w:rPr>
        <w:t>万元，主要包括：办公费、印刷费、咨询费、</w:t>
      </w:r>
      <w:r>
        <w:rPr>
          <w:rFonts w:hint="default" w:ascii="仿宋_GB2312" w:hAnsi="仿宋_GB2312" w:eastAsia="仿宋_GB2312" w:cs="仿宋_GB2312"/>
          <w:b w:val="0"/>
          <w:bCs w:val="0"/>
          <w:sz w:val="32"/>
          <w:szCs w:val="32"/>
          <w:lang w:val="en-US" w:eastAsia="zh-CN"/>
        </w:rPr>
        <w:t>手续费、</w:t>
      </w:r>
      <w:r>
        <w:rPr>
          <w:rFonts w:hint="default" w:ascii="仿宋_GB2312" w:hAnsi="仿宋_GB2312" w:eastAsia="仿宋_GB2312" w:cs="仿宋_GB2312"/>
          <w:b w:val="0"/>
          <w:bCs w:val="0"/>
          <w:sz w:val="32"/>
          <w:szCs w:val="32"/>
        </w:rPr>
        <w:t>水费、电费、邮电费、物业管理费、差旅费</w:t>
      </w:r>
      <w:r>
        <w:rPr>
          <w:rFonts w:hint="default"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rPr>
        <w:t>维修（护）费、租赁费、会议费、培训费、公务接待费、劳务费、委托业务费、</w:t>
      </w:r>
      <w:r>
        <w:rPr>
          <w:rFonts w:hint="default" w:ascii="仿宋_GB2312" w:hAnsi="仿宋_GB2312" w:eastAsia="仿宋_GB2312" w:cs="仿宋_GB2312"/>
          <w:b w:val="0"/>
          <w:bCs w:val="0"/>
          <w:sz w:val="32"/>
          <w:szCs w:val="32"/>
          <w:lang w:val="en-US" w:eastAsia="zh-CN"/>
        </w:rPr>
        <w:t>福利费、</w:t>
      </w:r>
      <w:r>
        <w:rPr>
          <w:rFonts w:hint="default" w:ascii="仿宋_GB2312" w:hAnsi="仿宋_GB2312" w:eastAsia="仿宋_GB2312" w:cs="仿宋_GB2312"/>
          <w:b w:val="0"/>
          <w:bCs w:val="0"/>
          <w:sz w:val="32"/>
          <w:szCs w:val="32"/>
        </w:rPr>
        <w:t>公务用车运行维护费、其他交通费、办公设备购置</w:t>
      </w:r>
      <w:r>
        <w:rPr>
          <w:rFonts w:hint="default" w:ascii="仿宋_GB2312" w:hAnsi="仿宋_GB2312" w:eastAsia="仿宋_GB2312" w:cs="仿宋_GB2312"/>
          <w:b w:val="0"/>
          <w:bCs w:val="0"/>
          <w:sz w:val="32"/>
          <w:szCs w:val="32"/>
          <w:lang w:eastAsia="zh-CN"/>
        </w:rPr>
        <w:t>、</w:t>
      </w:r>
      <w:r>
        <w:rPr>
          <w:rFonts w:hint="default" w:ascii="仿宋_GB2312" w:hAnsi="仿宋_GB2312" w:eastAsia="仿宋_GB2312" w:cs="仿宋_GB2312"/>
          <w:b w:val="0"/>
          <w:bCs w:val="0"/>
          <w:sz w:val="32"/>
          <w:szCs w:val="32"/>
          <w:lang w:val="en-US" w:eastAsia="zh-CN"/>
        </w:rPr>
        <w:t>公务用车购置</w:t>
      </w:r>
      <w:r>
        <w:rPr>
          <w:rFonts w:hint="default" w:ascii="仿宋_GB2312" w:hAnsi="仿宋_GB2312" w:eastAsia="仿宋_GB2312" w:cs="仿宋_GB2312"/>
          <w:b w:val="0"/>
          <w:bCs w:val="0"/>
          <w:sz w:val="32"/>
          <w:szCs w:val="32"/>
        </w:rPr>
        <w:t>等。</w:t>
      </w:r>
    </w:p>
    <w:p>
      <w:pPr>
        <w:spacing w:line="600" w:lineRule="exact"/>
        <w:ind w:firstLine="640"/>
        <w:outlineLvl w:val="1"/>
        <w:rPr>
          <w:rStyle w:val="24"/>
          <w:rFonts w:ascii="Times New Roman" w:hAnsi="Times New Roman" w:eastAsia="黑体"/>
          <w:b w:val="0"/>
        </w:rPr>
      </w:pPr>
      <w:bookmarkStart w:id="73" w:name="_Toc79163619"/>
      <w:bookmarkStart w:id="74" w:name="_Toc15396609"/>
      <w:bookmarkStart w:id="75" w:name="_Toc79163869"/>
      <w:bookmarkStart w:id="76" w:name="_Toc15377215"/>
      <w:r>
        <w:rPr>
          <w:rFonts w:eastAsia="黑体"/>
          <w:color w:val="000000"/>
          <w:sz w:val="32"/>
          <w:szCs w:val="32"/>
        </w:rPr>
        <w:t>七、</w:t>
      </w:r>
      <w:r>
        <w:rPr>
          <w:rStyle w:val="24"/>
          <w:rFonts w:ascii="Times New Roman" w:hAnsi="Times New Roman" w:eastAsia="黑体"/>
        </w:rPr>
        <w:t>“</w:t>
      </w:r>
      <w:r>
        <w:rPr>
          <w:rStyle w:val="24"/>
          <w:rFonts w:ascii="Times New Roman" w:hAnsi="Times New Roman" w:eastAsia="黑体"/>
          <w:b w:val="0"/>
        </w:rPr>
        <w:t>三公”经费财政拨款支出决算情况说明</w:t>
      </w:r>
      <w:bookmarkEnd w:id="73"/>
      <w:bookmarkEnd w:id="74"/>
      <w:bookmarkEnd w:id="75"/>
      <w:bookmarkEnd w:id="76"/>
    </w:p>
    <w:p>
      <w:pPr>
        <w:spacing w:line="600" w:lineRule="exact"/>
        <w:ind w:firstLine="640"/>
        <w:outlineLvl w:val="2"/>
        <w:rPr>
          <w:rFonts w:hint="default" w:ascii="Times New Roman" w:hAnsi="Times New Roman" w:eastAsia="方正仿宋_GBK" w:cs="Times New Roman"/>
          <w:b/>
          <w:color w:val="000000"/>
          <w:sz w:val="32"/>
          <w:szCs w:val="32"/>
        </w:rPr>
      </w:pPr>
      <w:bookmarkStart w:id="77" w:name="_Toc79163620"/>
      <w:bookmarkStart w:id="78" w:name="_Toc15377216"/>
      <w:bookmarkStart w:id="79" w:name="_Toc79163870"/>
      <w:r>
        <w:rPr>
          <w:rFonts w:hint="default" w:ascii="Times New Roman" w:hAnsi="Times New Roman" w:eastAsia="方正仿宋_GBK" w:cs="Times New Roman"/>
          <w:b/>
          <w:color w:val="000000"/>
          <w:sz w:val="32"/>
          <w:szCs w:val="32"/>
        </w:rPr>
        <w:t>（一）“三公”经费财政拨款支出决算总体情况说明</w:t>
      </w:r>
      <w:bookmarkEnd w:id="77"/>
      <w:bookmarkEnd w:id="78"/>
      <w:bookmarkEnd w:id="79"/>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年“三公”经费财政拨款支出决算为</w:t>
      </w:r>
      <w:r>
        <w:rPr>
          <w:rFonts w:hint="default" w:ascii="仿宋_GB2312" w:hAnsi="仿宋_GB2312" w:eastAsia="仿宋_GB2312" w:cs="仿宋_GB2312"/>
          <w:b w:val="0"/>
          <w:bCs w:val="0"/>
          <w:sz w:val="32"/>
          <w:szCs w:val="32"/>
          <w:lang w:val="en-US" w:eastAsia="zh-CN"/>
        </w:rPr>
        <w:t>276.15</w:t>
      </w:r>
      <w:r>
        <w:rPr>
          <w:rFonts w:hint="default" w:ascii="仿宋_GB2312" w:hAnsi="仿宋_GB2312" w:eastAsia="仿宋_GB2312" w:cs="仿宋_GB2312"/>
          <w:b w:val="0"/>
          <w:bCs w:val="0"/>
          <w:sz w:val="32"/>
          <w:szCs w:val="32"/>
        </w:rPr>
        <w:t>万元，完成预算100%。</w:t>
      </w:r>
    </w:p>
    <w:p>
      <w:pPr>
        <w:spacing w:line="600" w:lineRule="exact"/>
        <w:ind w:firstLine="640"/>
        <w:outlineLvl w:val="2"/>
        <w:rPr>
          <w:rFonts w:hint="default" w:ascii="Times New Roman" w:hAnsi="Times New Roman" w:eastAsia="方正仿宋_GBK" w:cs="Times New Roman"/>
          <w:b/>
          <w:color w:val="000000"/>
          <w:sz w:val="32"/>
          <w:szCs w:val="32"/>
        </w:rPr>
      </w:pPr>
      <w:bookmarkStart w:id="80" w:name="_Toc79163871"/>
      <w:bookmarkStart w:id="81" w:name="_Toc15377217"/>
      <w:bookmarkStart w:id="82" w:name="_Toc79163621"/>
      <w:r>
        <w:rPr>
          <w:rFonts w:hint="default" w:ascii="Times New Roman" w:hAnsi="Times New Roman" w:eastAsia="方正仿宋_GBK" w:cs="Times New Roman"/>
          <w:b/>
          <w:color w:val="000000"/>
          <w:sz w:val="32"/>
          <w:szCs w:val="32"/>
        </w:rPr>
        <w:t>（二）“三公”经费财政拨款支出决算具体情况说明</w:t>
      </w:r>
      <w:bookmarkEnd w:id="80"/>
      <w:bookmarkEnd w:id="81"/>
      <w:bookmarkEnd w:id="82"/>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年“三公”经费财政拨款支出决算中，因公出国（境）费支出决算0万元，占0%；公务用车购置及运行维护费支出决算</w:t>
      </w:r>
      <w:r>
        <w:rPr>
          <w:rFonts w:hint="default" w:ascii="仿宋_GB2312" w:hAnsi="仿宋_GB2312" w:eastAsia="仿宋_GB2312" w:cs="仿宋_GB2312"/>
          <w:b w:val="0"/>
          <w:bCs w:val="0"/>
          <w:sz w:val="32"/>
          <w:szCs w:val="32"/>
          <w:lang w:val="en-US" w:eastAsia="zh-CN"/>
        </w:rPr>
        <w:t>273.69</w:t>
      </w:r>
      <w:r>
        <w:rPr>
          <w:rFonts w:hint="default" w:ascii="仿宋_GB2312" w:hAnsi="仿宋_GB2312" w:eastAsia="仿宋_GB2312" w:cs="仿宋_GB2312"/>
          <w:b w:val="0"/>
          <w:bCs w:val="0"/>
          <w:sz w:val="32"/>
          <w:szCs w:val="32"/>
        </w:rPr>
        <w:t>万元，占99.1</w:t>
      </w:r>
      <w:r>
        <w:rPr>
          <w:rFonts w:hint="default"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rPr>
        <w:t>%；公务接待费支出决算</w:t>
      </w:r>
      <w:r>
        <w:rPr>
          <w:rFonts w:hint="default" w:ascii="仿宋_GB2312" w:hAnsi="仿宋_GB2312" w:eastAsia="仿宋_GB2312" w:cs="仿宋_GB2312"/>
          <w:b w:val="0"/>
          <w:bCs w:val="0"/>
          <w:sz w:val="32"/>
          <w:szCs w:val="32"/>
          <w:lang w:val="en-US" w:eastAsia="zh-CN"/>
        </w:rPr>
        <w:t>2.46</w:t>
      </w:r>
      <w:r>
        <w:rPr>
          <w:rFonts w:hint="default" w:ascii="仿宋_GB2312" w:hAnsi="仿宋_GB2312" w:eastAsia="仿宋_GB2312" w:cs="仿宋_GB2312"/>
          <w:b w:val="0"/>
          <w:bCs w:val="0"/>
          <w:sz w:val="32"/>
          <w:szCs w:val="32"/>
        </w:rPr>
        <w:t>万元，占0.8</w:t>
      </w:r>
      <w:r>
        <w:rPr>
          <w:rFonts w:hint="default" w:ascii="仿宋_GB2312" w:hAnsi="仿宋_GB2312" w:eastAsia="仿宋_GB2312" w:cs="仿宋_GB2312"/>
          <w:b w:val="0"/>
          <w:bCs w:val="0"/>
          <w:sz w:val="32"/>
          <w:szCs w:val="32"/>
          <w:lang w:val="en-US" w:eastAsia="zh-CN"/>
        </w:rPr>
        <w:t>9</w:t>
      </w:r>
      <w:r>
        <w:rPr>
          <w:rFonts w:hint="default" w:ascii="仿宋_GB2312" w:hAnsi="仿宋_GB2312" w:eastAsia="仿宋_GB2312" w:cs="仿宋_GB2312"/>
          <w:b w:val="0"/>
          <w:bCs w:val="0"/>
          <w:sz w:val="32"/>
          <w:szCs w:val="32"/>
        </w:rPr>
        <w:t>%。具体情况如下：</w:t>
      </w:r>
    </w:p>
    <w:p>
      <w:pPr>
        <w:spacing w:line="720" w:lineRule="auto"/>
        <w:ind w:firstLine="641"/>
        <w:rPr>
          <w:rFonts w:eastAsia="仿宋"/>
          <w:color w:val="000000"/>
          <w:sz w:val="32"/>
          <w:szCs w:val="32"/>
        </w:rPr>
      </w:pPr>
      <w:r>
        <w:drawing>
          <wp:inline distT="0" distB="0" distL="114300" distR="114300">
            <wp:extent cx="4610100" cy="1935480"/>
            <wp:effectExtent l="4445" t="4445" r="1841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1.因公出国（境）经费支出0万元，完成预算</w:t>
      </w:r>
      <w:r>
        <w:rPr>
          <w:rFonts w:hint="eastAsia" w:ascii="仿宋_GB2312" w:hAnsi="仿宋_GB2312" w:eastAsia="仿宋_GB2312" w:cs="仿宋_GB2312"/>
          <w:b w:val="0"/>
          <w:bCs w:val="0"/>
          <w:sz w:val="32"/>
          <w:szCs w:val="32"/>
          <w:lang w:val="en-US" w:eastAsia="zh-CN"/>
        </w:rPr>
        <w:t>0</w:t>
      </w:r>
      <w:r>
        <w:rPr>
          <w:rFonts w:hint="default" w:ascii="仿宋_GB2312" w:hAnsi="仿宋_GB2312" w:eastAsia="仿宋_GB2312" w:cs="仿宋_GB2312"/>
          <w:b w:val="0"/>
          <w:bCs w:val="0"/>
          <w:sz w:val="32"/>
          <w:szCs w:val="32"/>
        </w:rPr>
        <w:t>%。全年安排因公出国（境）团组0次，出国（境）0人。因公出国（境）支出决算比20</w:t>
      </w:r>
      <w:r>
        <w:rPr>
          <w:rFonts w:hint="default" w:ascii="仿宋_GB2312" w:hAnsi="仿宋_GB2312" w:eastAsia="仿宋_GB2312" w:cs="仿宋_GB2312"/>
          <w:b w:val="0"/>
          <w:bCs w:val="0"/>
          <w:sz w:val="32"/>
          <w:szCs w:val="32"/>
          <w:lang w:val="en-US" w:eastAsia="zh-CN"/>
        </w:rPr>
        <w:t>20</w:t>
      </w:r>
      <w:r>
        <w:rPr>
          <w:rFonts w:hint="default" w:ascii="仿宋_GB2312" w:hAnsi="仿宋_GB2312" w:eastAsia="仿宋_GB2312" w:cs="仿宋_GB2312"/>
          <w:b w:val="0"/>
          <w:bCs w:val="0"/>
          <w:sz w:val="32"/>
          <w:szCs w:val="32"/>
        </w:rPr>
        <w:t>年减少</w:t>
      </w:r>
      <w:r>
        <w:rPr>
          <w:rFonts w:hint="default" w:ascii="仿宋_GB2312" w:hAnsi="仿宋_GB2312" w:eastAsia="仿宋_GB2312" w:cs="仿宋_GB2312"/>
          <w:b w:val="0"/>
          <w:bCs w:val="0"/>
          <w:sz w:val="32"/>
          <w:szCs w:val="32"/>
          <w:lang w:val="en-US" w:eastAsia="zh-CN"/>
        </w:rPr>
        <w:t>0</w:t>
      </w:r>
      <w:r>
        <w:rPr>
          <w:rFonts w:hint="default" w:ascii="仿宋_GB2312" w:hAnsi="仿宋_GB2312" w:eastAsia="仿宋_GB2312" w:cs="仿宋_GB2312"/>
          <w:b w:val="0"/>
          <w:bCs w:val="0"/>
          <w:sz w:val="32"/>
          <w:szCs w:val="32"/>
        </w:rPr>
        <w:t>万元，下降</w:t>
      </w:r>
      <w:r>
        <w:rPr>
          <w:rFonts w:hint="default" w:ascii="仿宋_GB2312" w:hAnsi="仿宋_GB2312" w:eastAsia="仿宋_GB2312" w:cs="仿宋_GB2312"/>
          <w:b w:val="0"/>
          <w:bCs w:val="0"/>
          <w:sz w:val="32"/>
          <w:szCs w:val="32"/>
          <w:lang w:val="en-US" w:eastAsia="zh-CN"/>
        </w:rPr>
        <w:t>0</w:t>
      </w:r>
      <w:r>
        <w:rPr>
          <w:rFonts w:hint="default" w:ascii="仿宋_GB2312" w:hAnsi="仿宋_GB2312" w:eastAsia="仿宋_GB2312" w:cs="仿宋_GB2312"/>
          <w:b w:val="0"/>
          <w:bCs w:val="0"/>
          <w:sz w:val="32"/>
          <w:szCs w:val="32"/>
        </w:rPr>
        <w:t>%。</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2.公务用车购置及运行维护费支出</w:t>
      </w:r>
      <w:r>
        <w:rPr>
          <w:rFonts w:hint="default" w:ascii="仿宋_GB2312" w:hAnsi="仿宋_GB2312" w:eastAsia="仿宋_GB2312" w:cs="仿宋_GB2312"/>
          <w:b w:val="0"/>
          <w:bCs w:val="0"/>
          <w:sz w:val="32"/>
          <w:szCs w:val="32"/>
          <w:lang w:val="en-US" w:eastAsia="zh-CN"/>
        </w:rPr>
        <w:t>273.69</w:t>
      </w:r>
      <w:r>
        <w:rPr>
          <w:rFonts w:hint="default" w:ascii="仿宋_GB2312" w:hAnsi="仿宋_GB2312" w:eastAsia="仿宋_GB2312" w:cs="仿宋_GB2312"/>
          <w:b w:val="0"/>
          <w:bCs w:val="0"/>
          <w:sz w:val="32"/>
          <w:szCs w:val="32"/>
        </w:rPr>
        <w:t>万元,完成预算100%。公务用车购置及运行维护费支出决算比20</w:t>
      </w:r>
      <w:r>
        <w:rPr>
          <w:rFonts w:hint="default" w:ascii="仿宋_GB2312" w:hAnsi="仿宋_GB2312" w:eastAsia="仿宋_GB2312" w:cs="仿宋_GB2312"/>
          <w:b w:val="0"/>
          <w:bCs w:val="0"/>
          <w:sz w:val="32"/>
          <w:szCs w:val="32"/>
          <w:lang w:val="en-US" w:eastAsia="zh-CN"/>
        </w:rPr>
        <w:t>20</w:t>
      </w:r>
      <w:r>
        <w:rPr>
          <w:rFonts w:hint="default" w:ascii="仿宋_GB2312" w:hAnsi="仿宋_GB2312" w:eastAsia="仿宋_GB2312" w:cs="仿宋_GB2312"/>
          <w:b w:val="0"/>
          <w:bCs w:val="0"/>
          <w:sz w:val="32"/>
          <w:szCs w:val="32"/>
        </w:rPr>
        <w:t>年增加10</w:t>
      </w:r>
      <w:r>
        <w:rPr>
          <w:rFonts w:hint="default" w:ascii="仿宋_GB2312" w:hAnsi="仿宋_GB2312" w:eastAsia="仿宋_GB2312" w:cs="仿宋_GB2312"/>
          <w:b w:val="0"/>
          <w:bCs w:val="0"/>
          <w:sz w:val="32"/>
          <w:szCs w:val="32"/>
          <w:lang w:val="en-US" w:eastAsia="zh-CN"/>
        </w:rPr>
        <w:t>1.1</w:t>
      </w:r>
      <w:r>
        <w:rPr>
          <w:rFonts w:hint="default" w:ascii="仿宋_GB2312" w:hAnsi="仿宋_GB2312" w:eastAsia="仿宋_GB2312" w:cs="仿宋_GB2312"/>
          <w:b w:val="0"/>
          <w:bCs w:val="0"/>
          <w:sz w:val="32"/>
          <w:szCs w:val="32"/>
        </w:rPr>
        <w:t>万元，增长166.34%。主要原因是</w:t>
      </w:r>
      <w:r>
        <w:rPr>
          <w:rFonts w:hint="default" w:ascii="仿宋_GB2312" w:hAnsi="仿宋_GB2312" w:eastAsia="仿宋_GB2312" w:cs="仿宋_GB2312"/>
          <w:b w:val="0"/>
          <w:bCs w:val="0"/>
          <w:sz w:val="32"/>
          <w:szCs w:val="32"/>
          <w:lang w:val="en-US" w:eastAsia="zh-CN"/>
        </w:rPr>
        <w:t>新成立四川藏语佛学院阿坝分院，公务用车购置及运行维护费支出147.8万元</w:t>
      </w:r>
      <w:r>
        <w:rPr>
          <w:rFonts w:hint="default" w:ascii="仿宋_GB2312" w:hAnsi="仿宋_GB2312" w:eastAsia="仿宋_GB2312" w:cs="仿宋_GB2312"/>
          <w:b w:val="0"/>
          <w:bCs w:val="0"/>
          <w:sz w:val="32"/>
          <w:szCs w:val="32"/>
        </w:rPr>
        <w:t>。</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其中：公务用车购置支出</w:t>
      </w:r>
      <w:r>
        <w:rPr>
          <w:rFonts w:hint="default" w:ascii="仿宋_GB2312" w:hAnsi="仿宋_GB2312" w:eastAsia="仿宋_GB2312" w:cs="仿宋_GB2312"/>
          <w:b w:val="0"/>
          <w:bCs w:val="0"/>
          <w:sz w:val="32"/>
          <w:szCs w:val="32"/>
          <w:lang w:val="en-US" w:eastAsia="zh-CN"/>
        </w:rPr>
        <w:t>205.29</w:t>
      </w:r>
      <w:r>
        <w:rPr>
          <w:rFonts w:hint="default" w:ascii="仿宋_GB2312" w:hAnsi="仿宋_GB2312" w:eastAsia="仿宋_GB2312" w:cs="仿宋_GB2312"/>
          <w:b w:val="0"/>
          <w:bCs w:val="0"/>
          <w:sz w:val="32"/>
          <w:szCs w:val="32"/>
        </w:rPr>
        <w:t>万元。全年按规定更新购置公务用车</w:t>
      </w:r>
      <w:r>
        <w:rPr>
          <w:rFonts w:hint="default"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rPr>
        <w:t>辆，其中：轿车0辆、金额0万元，越野车</w:t>
      </w:r>
      <w:r>
        <w:rPr>
          <w:rFonts w:hint="default"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rPr>
        <w:t>辆、金额</w:t>
      </w:r>
      <w:r>
        <w:rPr>
          <w:rFonts w:hint="default" w:ascii="仿宋_GB2312" w:hAnsi="仿宋_GB2312" w:eastAsia="仿宋_GB2312" w:cs="仿宋_GB2312"/>
          <w:b w:val="0"/>
          <w:bCs w:val="0"/>
          <w:sz w:val="32"/>
          <w:szCs w:val="32"/>
          <w:lang w:val="en-US" w:eastAsia="zh-CN"/>
        </w:rPr>
        <w:t>205.29</w:t>
      </w:r>
      <w:r>
        <w:rPr>
          <w:rFonts w:hint="default" w:ascii="仿宋_GB2312" w:hAnsi="仿宋_GB2312" w:eastAsia="仿宋_GB2312" w:cs="仿宋_GB2312"/>
          <w:b w:val="0"/>
          <w:bCs w:val="0"/>
          <w:sz w:val="32"/>
          <w:szCs w:val="32"/>
        </w:rPr>
        <w:t>万元，载客汽车0辆、金额0万元，主要用于保障统战工作运行。截至</w:t>
      </w: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年12月底，单位共有公务用车</w:t>
      </w:r>
      <w:r>
        <w:rPr>
          <w:rFonts w:hint="default" w:ascii="仿宋_GB2312" w:hAnsi="仿宋_GB2312" w:eastAsia="仿宋_GB2312" w:cs="仿宋_GB2312"/>
          <w:b w:val="0"/>
          <w:bCs w:val="0"/>
          <w:sz w:val="32"/>
          <w:szCs w:val="32"/>
          <w:lang w:val="en-US" w:eastAsia="zh-CN"/>
        </w:rPr>
        <w:t>9</w:t>
      </w:r>
      <w:r>
        <w:rPr>
          <w:rFonts w:hint="default" w:ascii="仿宋_GB2312" w:hAnsi="仿宋_GB2312" w:eastAsia="仿宋_GB2312" w:cs="仿宋_GB2312"/>
          <w:b w:val="0"/>
          <w:bCs w:val="0"/>
          <w:sz w:val="32"/>
          <w:szCs w:val="32"/>
        </w:rPr>
        <w:t>辆，其中：轿车0辆、越野车</w:t>
      </w:r>
      <w:r>
        <w:rPr>
          <w:rFonts w:hint="default" w:ascii="仿宋_GB2312" w:hAnsi="仿宋_GB2312" w:eastAsia="仿宋_GB2312" w:cs="仿宋_GB2312"/>
          <w:b w:val="0"/>
          <w:bCs w:val="0"/>
          <w:sz w:val="32"/>
          <w:szCs w:val="32"/>
          <w:lang w:val="en-US" w:eastAsia="zh-CN"/>
        </w:rPr>
        <w:t>8</w:t>
      </w:r>
      <w:r>
        <w:rPr>
          <w:rFonts w:hint="default" w:ascii="仿宋_GB2312" w:hAnsi="仿宋_GB2312" w:eastAsia="仿宋_GB2312" w:cs="仿宋_GB2312"/>
          <w:b w:val="0"/>
          <w:bCs w:val="0"/>
          <w:sz w:val="32"/>
          <w:szCs w:val="32"/>
        </w:rPr>
        <w:t>辆、应急保障车1辆。</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公务用车运行维护费支出</w:t>
      </w:r>
      <w:r>
        <w:rPr>
          <w:rFonts w:hint="default" w:ascii="仿宋_GB2312" w:hAnsi="仿宋_GB2312" w:eastAsia="仿宋_GB2312" w:cs="仿宋_GB2312"/>
          <w:b w:val="0"/>
          <w:bCs w:val="0"/>
          <w:sz w:val="32"/>
          <w:szCs w:val="32"/>
          <w:lang w:val="en-US" w:eastAsia="zh-CN"/>
        </w:rPr>
        <w:t>68.4</w:t>
      </w:r>
      <w:r>
        <w:rPr>
          <w:rFonts w:hint="default" w:ascii="仿宋_GB2312" w:hAnsi="仿宋_GB2312" w:eastAsia="仿宋_GB2312" w:cs="仿宋_GB2312"/>
          <w:b w:val="0"/>
          <w:bCs w:val="0"/>
          <w:sz w:val="32"/>
          <w:szCs w:val="32"/>
        </w:rPr>
        <w:t>万元。主要用于统一战线各项工作所需的公务用车燃料费、维修费、过路过桥费、保险费等支出。</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3.公务接待费支出</w:t>
      </w:r>
      <w:r>
        <w:rPr>
          <w:rFonts w:hint="default" w:ascii="仿宋_GB2312" w:hAnsi="仿宋_GB2312" w:eastAsia="仿宋_GB2312" w:cs="仿宋_GB2312"/>
          <w:b w:val="0"/>
          <w:bCs w:val="0"/>
          <w:sz w:val="32"/>
          <w:szCs w:val="32"/>
          <w:lang w:val="en-US" w:eastAsia="zh-CN"/>
        </w:rPr>
        <w:t>2.46</w:t>
      </w:r>
      <w:r>
        <w:rPr>
          <w:rFonts w:hint="default" w:ascii="仿宋_GB2312" w:hAnsi="仿宋_GB2312" w:eastAsia="仿宋_GB2312" w:cs="仿宋_GB2312"/>
          <w:b w:val="0"/>
          <w:bCs w:val="0"/>
          <w:sz w:val="32"/>
          <w:szCs w:val="32"/>
        </w:rPr>
        <w:t>万元，完成预算100%。公务接待费支出决算比20</w:t>
      </w:r>
      <w:r>
        <w:rPr>
          <w:rFonts w:hint="default" w:ascii="仿宋_GB2312" w:hAnsi="仿宋_GB2312" w:eastAsia="仿宋_GB2312" w:cs="仿宋_GB2312"/>
          <w:b w:val="0"/>
          <w:bCs w:val="0"/>
          <w:sz w:val="32"/>
          <w:szCs w:val="32"/>
          <w:lang w:val="en-US" w:eastAsia="zh-CN"/>
        </w:rPr>
        <w:t>20</w:t>
      </w:r>
      <w:r>
        <w:rPr>
          <w:rFonts w:hint="default" w:ascii="仿宋_GB2312" w:hAnsi="仿宋_GB2312" w:eastAsia="仿宋_GB2312" w:cs="仿宋_GB2312"/>
          <w:b w:val="0"/>
          <w:bCs w:val="0"/>
          <w:sz w:val="32"/>
          <w:szCs w:val="32"/>
        </w:rPr>
        <w:t>年</w:t>
      </w:r>
      <w:r>
        <w:rPr>
          <w:rFonts w:hint="default" w:ascii="仿宋_GB2312" w:hAnsi="仿宋_GB2312" w:eastAsia="仿宋_GB2312" w:cs="仿宋_GB2312"/>
          <w:b w:val="0"/>
          <w:bCs w:val="0"/>
          <w:sz w:val="32"/>
          <w:szCs w:val="32"/>
          <w:lang w:val="en-US" w:eastAsia="zh-CN"/>
        </w:rPr>
        <w:t>增长1.02</w:t>
      </w:r>
      <w:r>
        <w:rPr>
          <w:rFonts w:hint="default" w:ascii="仿宋_GB2312" w:hAnsi="仿宋_GB2312" w:eastAsia="仿宋_GB2312" w:cs="仿宋_GB2312"/>
          <w:b w:val="0"/>
          <w:bCs w:val="0"/>
          <w:sz w:val="32"/>
          <w:szCs w:val="32"/>
        </w:rPr>
        <w:t>万元，</w:t>
      </w:r>
      <w:r>
        <w:rPr>
          <w:rFonts w:hint="default" w:ascii="仿宋_GB2312" w:hAnsi="仿宋_GB2312" w:eastAsia="仿宋_GB2312" w:cs="仿宋_GB2312"/>
          <w:b w:val="0"/>
          <w:bCs w:val="0"/>
          <w:sz w:val="32"/>
          <w:szCs w:val="32"/>
          <w:lang w:val="en-US" w:eastAsia="zh-CN"/>
        </w:rPr>
        <w:t>增长70.83</w:t>
      </w:r>
      <w:r>
        <w:rPr>
          <w:rFonts w:hint="default" w:ascii="仿宋_GB2312" w:hAnsi="仿宋_GB2312" w:eastAsia="仿宋_GB2312" w:cs="仿宋_GB2312"/>
          <w:b w:val="0"/>
          <w:bCs w:val="0"/>
          <w:sz w:val="32"/>
          <w:szCs w:val="32"/>
        </w:rPr>
        <w:t>%。主要原因：一是县级汇报接待、省、兄弟市州来州考察频繁，二是疫情影响减弱，造成接待反弹。其中：</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国内公务接待支出</w:t>
      </w:r>
      <w:r>
        <w:rPr>
          <w:rFonts w:hint="default" w:ascii="仿宋_GB2312" w:hAnsi="仿宋_GB2312" w:eastAsia="仿宋_GB2312" w:cs="仿宋_GB2312"/>
          <w:b w:val="0"/>
          <w:bCs w:val="0"/>
          <w:sz w:val="32"/>
          <w:szCs w:val="32"/>
          <w:lang w:val="en-US" w:eastAsia="zh-CN"/>
        </w:rPr>
        <w:t>2.46</w:t>
      </w:r>
      <w:r>
        <w:rPr>
          <w:rFonts w:hint="default" w:ascii="仿宋_GB2312" w:hAnsi="仿宋_GB2312" w:eastAsia="仿宋_GB2312" w:cs="仿宋_GB2312"/>
          <w:b w:val="0"/>
          <w:bCs w:val="0"/>
          <w:sz w:val="32"/>
          <w:szCs w:val="32"/>
        </w:rPr>
        <w:t>万元，主要用于开展业务活动、代表人士及归国藏胞接待开支的住宿费、用餐费等。国内公务接待</w:t>
      </w:r>
      <w:r>
        <w:rPr>
          <w:rFonts w:hint="default" w:ascii="仿宋_GB2312" w:hAnsi="仿宋_GB2312" w:eastAsia="仿宋_GB2312" w:cs="仿宋_GB2312"/>
          <w:b w:val="0"/>
          <w:bCs w:val="0"/>
          <w:sz w:val="32"/>
          <w:szCs w:val="32"/>
          <w:lang w:val="en-US" w:eastAsia="zh-CN"/>
        </w:rPr>
        <w:t>24</w:t>
      </w:r>
      <w:r>
        <w:rPr>
          <w:rFonts w:hint="default" w:ascii="仿宋_GB2312" w:hAnsi="仿宋_GB2312" w:eastAsia="仿宋_GB2312" w:cs="仿宋_GB2312"/>
          <w:b w:val="0"/>
          <w:bCs w:val="0"/>
          <w:sz w:val="32"/>
          <w:szCs w:val="32"/>
        </w:rPr>
        <w:t>批次，</w:t>
      </w:r>
      <w:r>
        <w:rPr>
          <w:rFonts w:hint="default" w:ascii="仿宋_GB2312" w:hAnsi="仿宋_GB2312" w:eastAsia="仿宋_GB2312" w:cs="仿宋_GB2312"/>
          <w:b w:val="0"/>
          <w:bCs w:val="0"/>
          <w:sz w:val="32"/>
          <w:szCs w:val="32"/>
          <w:lang w:val="en-US" w:eastAsia="zh-CN"/>
        </w:rPr>
        <w:t>205</w:t>
      </w:r>
      <w:r>
        <w:rPr>
          <w:rFonts w:hint="default" w:ascii="仿宋_GB2312" w:hAnsi="仿宋_GB2312" w:eastAsia="仿宋_GB2312" w:cs="仿宋_GB2312"/>
          <w:b w:val="0"/>
          <w:bCs w:val="0"/>
          <w:sz w:val="32"/>
          <w:szCs w:val="32"/>
        </w:rPr>
        <w:t>人次（不包括陪同人员），共计支出</w:t>
      </w:r>
      <w:r>
        <w:rPr>
          <w:rFonts w:hint="default" w:ascii="仿宋_GB2312" w:hAnsi="仿宋_GB2312" w:eastAsia="仿宋_GB2312" w:cs="仿宋_GB2312"/>
          <w:b w:val="0"/>
          <w:bCs w:val="0"/>
          <w:sz w:val="32"/>
          <w:szCs w:val="32"/>
          <w:lang w:val="en-US" w:eastAsia="zh-CN"/>
        </w:rPr>
        <w:t>2.46</w:t>
      </w:r>
      <w:r>
        <w:rPr>
          <w:rFonts w:hint="default" w:ascii="仿宋_GB2312" w:hAnsi="仿宋_GB2312" w:eastAsia="仿宋_GB2312" w:cs="仿宋_GB2312"/>
          <w:b w:val="0"/>
          <w:bCs w:val="0"/>
          <w:sz w:val="32"/>
          <w:szCs w:val="32"/>
        </w:rPr>
        <w:t>万元，具体内容包括：接待兄弟市州考察、上级部门调研、代表人士和下级部门接访，共计金额</w:t>
      </w:r>
      <w:r>
        <w:rPr>
          <w:rFonts w:hint="default" w:ascii="仿宋_GB2312" w:hAnsi="仿宋_GB2312" w:eastAsia="仿宋_GB2312" w:cs="仿宋_GB2312"/>
          <w:b w:val="0"/>
          <w:bCs w:val="0"/>
          <w:sz w:val="32"/>
          <w:szCs w:val="32"/>
          <w:lang w:val="en-US" w:eastAsia="zh-CN"/>
        </w:rPr>
        <w:t>2.46</w:t>
      </w:r>
      <w:r>
        <w:rPr>
          <w:rFonts w:hint="default" w:ascii="仿宋_GB2312" w:hAnsi="仿宋_GB2312" w:eastAsia="仿宋_GB2312" w:cs="仿宋_GB2312"/>
          <w:b w:val="0"/>
          <w:bCs w:val="0"/>
          <w:sz w:val="32"/>
          <w:szCs w:val="32"/>
        </w:rPr>
        <w:t>万元。</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 xml:space="preserve">外事接待支出0万元，外事接待0批次，0人，共计支出0万元。 </w:t>
      </w:r>
    </w:p>
    <w:p>
      <w:pPr>
        <w:spacing w:line="600" w:lineRule="exact"/>
        <w:ind w:firstLine="640"/>
        <w:outlineLvl w:val="1"/>
        <w:rPr>
          <w:rStyle w:val="24"/>
          <w:rFonts w:ascii="Times New Roman" w:hAnsi="Times New Roman" w:eastAsia="黑体"/>
        </w:rPr>
      </w:pPr>
      <w:bookmarkStart w:id="83" w:name="_Toc15396610"/>
      <w:bookmarkStart w:id="84" w:name="_Toc79163622"/>
      <w:bookmarkStart w:id="85" w:name="_Toc79163872"/>
      <w:bookmarkStart w:id="86" w:name="_Toc15377218"/>
      <w:r>
        <w:rPr>
          <w:rFonts w:eastAsia="黑体"/>
          <w:color w:val="000000"/>
          <w:sz w:val="32"/>
          <w:szCs w:val="32"/>
        </w:rPr>
        <w:t>八、</w:t>
      </w:r>
      <w:r>
        <w:rPr>
          <w:rStyle w:val="24"/>
          <w:rFonts w:ascii="Times New Roman" w:hAnsi="Times New Roman" w:eastAsia="黑体"/>
          <w:b w:val="0"/>
        </w:rPr>
        <w:t>政府性基金预算支出决算情况说明</w:t>
      </w:r>
      <w:bookmarkEnd w:id="83"/>
      <w:bookmarkEnd w:id="84"/>
      <w:bookmarkEnd w:id="85"/>
      <w:bookmarkEnd w:id="86"/>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年政府性基金预算拨款支出0万元。</w:t>
      </w:r>
    </w:p>
    <w:p>
      <w:pPr>
        <w:numPr>
          <w:ilvl w:val="0"/>
          <w:numId w:val="3"/>
        </w:numPr>
        <w:spacing w:line="600" w:lineRule="exact"/>
        <w:ind w:firstLine="640"/>
        <w:outlineLvl w:val="1"/>
        <w:rPr>
          <w:rStyle w:val="24"/>
          <w:rFonts w:ascii="Times New Roman" w:hAnsi="Times New Roman" w:eastAsia="黑体"/>
          <w:b w:val="0"/>
        </w:rPr>
      </w:pPr>
      <w:bookmarkStart w:id="87" w:name="_Toc15396611"/>
      <w:bookmarkStart w:id="88" w:name="_Toc15377219"/>
      <w:bookmarkStart w:id="89" w:name="_Toc79163873"/>
      <w:bookmarkStart w:id="90" w:name="_Toc79163623"/>
      <w:r>
        <w:rPr>
          <w:rStyle w:val="24"/>
          <w:rFonts w:ascii="Times New Roman" w:hAnsi="Times New Roman" w:eastAsia="黑体"/>
          <w:b w:val="0"/>
        </w:rPr>
        <w:t>国有资本经营预算支出决算情况说明</w:t>
      </w:r>
      <w:bookmarkEnd w:id="87"/>
      <w:bookmarkEnd w:id="88"/>
      <w:bookmarkEnd w:id="89"/>
      <w:bookmarkEnd w:id="90"/>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lang w:eastAsia="zh-CN"/>
        </w:rPr>
        <w:t>年国有资本经营预算拨款支出0万元。</w:t>
      </w:r>
    </w:p>
    <w:p>
      <w:pPr>
        <w:spacing w:line="600" w:lineRule="exact"/>
        <w:ind w:firstLine="800" w:firstLineChars="250"/>
        <w:outlineLvl w:val="1"/>
        <w:rPr>
          <w:rStyle w:val="24"/>
          <w:rFonts w:ascii="Times New Roman" w:hAnsi="Times New Roman" w:eastAsia="黑体"/>
        </w:rPr>
      </w:pPr>
      <w:bookmarkStart w:id="91" w:name="_Toc15377221"/>
      <w:bookmarkStart w:id="92" w:name="_Toc15396612"/>
      <w:bookmarkStart w:id="93" w:name="_Toc79163874"/>
      <w:bookmarkStart w:id="94" w:name="_Toc79163624"/>
      <w:r>
        <w:rPr>
          <w:rFonts w:eastAsia="黑体"/>
          <w:color w:val="000000"/>
          <w:sz w:val="32"/>
          <w:szCs w:val="32"/>
        </w:rPr>
        <w:t>十</w:t>
      </w:r>
      <w:r>
        <w:rPr>
          <w:rStyle w:val="24"/>
          <w:rFonts w:ascii="Times New Roman" w:hAnsi="Times New Roman" w:eastAsia="黑体"/>
        </w:rPr>
        <w:t>、</w:t>
      </w:r>
      <w:r>
        <w:rPr>
          <w:rStyle w:val="24"/>
          <w:rFonts w:ascii="Times New Roman" w:hAnsi="Times New Roman" w:eastAsia="黑体"/>
          <w:b w:val="0"/>
        </w:rPr>
        <w:t>其他重要事项的情况说明</w:t>
      </w:r>
      <w:bookmarkEnd w:id="91"/>
      <w:bookmarkEnd w:id="92"/>
      <w:bookmarkEnd w:id="93"/>
      <w:bookmarkEnd w:id="94"/>
    </w:p>
    <w:p>
      <w:pPr>
        <w:spacing w:line="600" w:lineRule="exact"/>
        <w:ind w:firstLine="640" w:firstLineChars="200"/>
        <w:outlineLvl w:val="2"/>
        <w:rPr>
          <w:rFonts w:hint="default" w:ascii="Times New Roman" w:hAnsi="Times New Roman" w:eastAsia="方正仿宋_GBK" w:cs="Times New Roman"/>
          <w:color w:val="000000"/>
          <w:sz w:val="32"/>
          <w:szCs w:val="32"/>
        </w:rPr>
      </w:pPr>
      <w:bookmarkStart w:id="95" w:name="_Toc79163625"/>
      <w:bookmarkStart w:id="96" w:name="_Toc79163875"/>
      <w:bookmarkStart w:id="97" w:name="_Toc15377222"/>
      <w:r>
        <w:rPr>
          <w:rFonts w:hint="default" w:ascii="Times New Roman" w:hAnsi="Times New Roman" w:eastAsia="方正仿宋_GBK" w:cs="Times New Roman"/>
          <w:b/>
          <w:color w:val="000000"/>
          <w:sz w:val="32"/>
          <w:szCs w:val="32"/>
        </w:rPr>
        <w:t>（一）机关运行经费支出情况</w:t>
      </w:r>
      <w:bookmarkEnd w:id="95"/>
      <w:bookmarkEnd w:id="96"/>
      <w:bookmarkEnd w:id="97"/>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年，州委统战部机关运行经费支出</w:t>
      </w:r>
      <w:r>
        <w:rPr>
          <w:rFonts w:hint="default" w:ascii="仿宋_GB2312" w:hAnsi="仿宋_GB2312" w:eastAsia="仿宋_GB2312" w:cs="仿宋_GB2312"/>
          <w:b w:val="0"/>
          <w:bCs w:val="0"/>
          <w:sz w:val="32"/>
          <w:szCs w:val="32"/>
          <w:lang w:val="en-US" w:eastAsia="zh-CN"/>
        </w:rPr>
        <w:t>175.95</w:t>
      </w:r>
      <w:r>
        <w:rPr>
          <w:rFonts w:hint="default" w:ascii="仿宋_GB2312" w:hAnsi="仿宋_GB2312" w:eastAsia="仿宋_GB2312" w:cs="仿宋_GB2312"/>
          <w:b w:val="0"/>
          <w:bCs w:val="0"/>
          <w:sz w:val="32"/>
          <w:szCs w:val="32"/>
        </w:rPr>
        <w:t>万元，比20</w:t>
      </w:r>
      <w:r>
        <w:rPr>
          <w:rFonts w:hint="default" w:ascii="仿宋_GB2312" w:hAnsi="仿宋_GB2312" w:eastAsia="仿宋_GB2312" w:cs="仿宋_GB2312"/>
          <w:b w:val="0"/>
          <w:bCs w:val="0"/>
          <w:sz w:val="32"/>
          <w:szCs w:val="32"/>
          <w:lang w:val="en-US" w:eastAsia="zh-CN"/>
        </w:rPr>
        <w:t>20</w:t>
      </w:r>
      <w:r>
        <w:rPr>
          <w:rFonts w:hint="default" w:ascii="仿宋_GB2312" w:hAnsi="仿宋_GB2312" w:eastAsia="仿宋_GB2312" w:cs="仿宋_GB2312"/>
          <w:b w:val="0"/>
          <w:bCs w:val="0"/>
          <w:sz w:val="32"/>
          <w:szCs w:val="32"/>
        </w:rPr>
        <w:t>年</w:t>
      </w:r>
      <w:r>
        <w:rPr>
          <w:rFonts w:hint="default" w:ascii="仿宋_GB2312" w:hAnsi="仿宋_GB2312" w:eastAsia="仿宋_GB2312" w:cs="仿宋_GB2312"/>
          <w:b w:val="0"/>
          <w:bCs w:val="0"/>
          <w:sz w:val="32"/>
          <w:szCs w:val="32"/>
          <w:lang w:val="en-US" w:eastAsia="zh-CN"/>
        </w:rPr>
        <w:t>增长11.04</w:t>
      </w:r>
      <w:r>
        <w:rPr>
          <w:rFonts w:hint="default" w:ascii="仿宋_GB2312" w:hAnsi="仿宋_GB2312" w:eastAsia="仿宋_GB2312" w:cs="仿宋_GB2312"/>
          <w:b w:val="0"/>
          <w:bCs w:val="0"/>
          <w:sz w:val="32"/>
          <w:szCs w:val="32"/>
        </w:rPr>
        <w:t>万元，</w:t>
      </w:r>
      <w:r>
        <w:rPr>
          <w:rFonts w:hint="default" w:ascii="仿宋_GB2312" w:hAnsi="仿宋_GB2312" w:eastAsia="仿宋_GB2312" w:cs="仿宋_GB2312"/>
          <w:b w:val="0"/>
          <w:bCs w:val="0"/>
          <w:sz w:val="32"/>
          <w:szCs w:val="32"/>
          <w:lang w:val="en-US" w:eastAsia="zh-CN"/>
        </w:rPr>
        <w:t>增长6.70</w:t>
      </w:r>
      <w:r>
        <w:rPr>
          <w:rFonts w:hint="default" w:ascii="仿宋_GB2312" w:hAnsi="仿宋_GB2312" w:eastAsia="仿宋_GB2312" w:cs="仿宋_GB2312"/>
          <w:b w:val="0"/>
          <w:bCs w:val="0"/>
          <w:sz w:val="32"/>
          <w:szCs w:val="32"/>
        </w:rPr>
        <w:t>%。主要原因是</w:t>
      </w:r>
      <w:r>
        <w:rPr>
          <w:rFonts w:hint="eastAsia" w:ascii="仿宋_GB2312" w:hAnsi="仿宋_GB2312" w:eastAsia="仿宋_GB2312" w:cs="仿宋_GB2312"/>
          <w:b w:val="0"/>
          <w:bCs w:val="0"/>
          <w:sz w:val="32"/>
          <w:szCs w:val="32"/>
          <w:lang w:val="en-US" w:eastAsia="zh-CN"/>
        </w:rPr>
        <w:t>疫情影响对工作影响减小，调研、基层督导检查等工作任务增加，导致差旅费、办公费等</w:t>
      </w:r>
      <w:r>
        <w:rPr>
          <w:rFonts w:hint="default" w:ascii="仿宋_GB2312" w:hAnsi="仿宋_GB2312" w:eastAsia="仿宋_GB2312" w:cs="仿宋_GB2312"/>
          <w:b w:val="0"/>
          <w:bCs w:val="0"/>
          <w:sz w:val="32"/>
          <w:szCs w:val="32"/>
          <w:lang w:val="en-US" w:eastAsia="zh-CN"/>
        </w:rPr>
        <w:t>支出</w:t>
      </w:r>
      <w:r>
        <w:rPr>
          <w:rFonts w:hint="eastAsia" w:ascii="仿宋_GB2312" w:hAnsi="仿宋_GB2312" w:eastAsia="仿宋_GB2312" w:cs="仿宋_GB2312"/>
          <w:b w:val="0"/>
          <w:bCs w:val="0"/>
          <w:sz w:val="32"/>
          <w:szCs w:val="32"/>
          <w:lang w:val="en-US" w:eastAsia="zh-CN"/>
        </w:rPr>
        <w:t>相对增加</w:t>
      </w:r>
      <w:r>
        <w:rPr>
          <w:rFonts w:hint="default" w:ascii="仿宋_GB2312" w:hAnsi="仿宋_GB2312" w:eastAsia="仿宋_GB2312" w:cs="仿宋_GB2312"/>
          <w:b w:val="0"/>
          <w:bCs w:val="0"/>
          <w:sz w:val="32"/>
          <w:szCs w:val="32"/>
        </w:rPr>
        <w:t>。</w:t>
      </w:r>
    </w:p>
    <w:p>
      <w:pPr>
        <w:autoSpaceDE w:val="0"/>
        <w:autoSpaceDN w:val="0"/>
        <w:adjustRightInd w:val="0"/>
        <w:spacing w:line="600" w:lineRule="exact"/>
        <w:ind w:firstLine="640" w:firstLineChars="200"/>
        <w:jc w:val="left"/>
        <w:outlineLvl w:val="2"/>
        <w:rPr>
          <w:rFonts w:hint="default" w:ascii="Times New Roman" w:hAnsi="Times New Roman" w:eastAsia="方正仿宋_GBK" w:cs="Times New Roman"/>
          <w:b/>
          <w:color w:val="000000"/>
          <w:sz w:val="32"/>
          <w:szCs w:val="32"/>
        </w:rPr>
      </w:pPr>
      <w:bookmarkStart w:id="98" w:name="_Toc79163626"/>
      <w:bookmarkStart w:id="99" w:name="_Toc15377223"/>
      <w:bookmarkStart w:id="100" w:name="_Toc79163876"/>
      <w:r>
        <w:rPr>
          <w:rFonts w:hint="default" w:ascii="Times New Roman" w:hAnsi="Times New Roman" w:eastAsia="方正仿宋_GBK" w:cs="Times New Roman"/>
          <w:b/>
          <w:color w:val="000000"/>
          <w:sz w:val="32"/>
          <w:szCs w:val="32"/>
        </w:rPr>
        <w:t>（二）政府采购支出情况</w:t>
      </w:r>
      <w:bookmarkEnd w:id="98"/>
      <w:bookmarkEnd w:id="99"/>
      <w:bookmarkEnd w:id="100"/>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年，州委统战部政府采购支元、政府采购工程支出0万元、政府采购服务支出0万元。主要用于购置公车</w:t>
      </w:r>
      <w:r>
        <w:rPr>
          <w:rFonts w:hint="eastAsia"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rPr>
        <w:t>辆和办公设备。授予中小企业合同金额</w:t>
      </w:r>
      <w:r>
        <w:rPr>
          <w:rFonts w:hint="default" w:ascii="仿宋_GB2312" w:hAnsi="仿宋_GB2312" w:eastAsia="仿宋_GB2312" w:cs="仿宋_GB2312"/>
          <w:b w:val="0"/>
          <w:bCs w:val="0"/>
          <w:sz w:val="32"/>
          <w:szCs w:val="32"/>
          <w:lang w:val="en-US" w:eastAsia="zh-CN"/>
        </w:rPr>
        <w:t>142</w:t>
      </w:r>
      <w:r>
        <w:rPr>
          <w:rFonts w:hint="default" w:ascii="仿宋_GB2312" w:hAnsi="仿宋_GB2312" w:eastAsia="仿宋_GB2312" w:cs="仿宋_GB2312"/>
          <w:b w:val="0"/>
          <w:bCs w:val="0"/>
          <w:sz w:val="32"/>
          <w:szCs w:val="32"/>
        </w:rPr>
        <w:t>万元，占政府采购支出总额的</w:t>
      </w:r>
      <w:r>
        <w:rPr>
          <w:rFonts w:hint="default" w:ascii="仿宋_GB2312" w:hAnsi="仿宋_GB2312" w:eastAsia="仿宋_GB2312" w:cs="仿宋_GB2312"/>
          <w:b w:val="0"/>
          <w:bCs w:val="0"/>
          <w:sz w:val="32"/>
          <w:szCs w:val="32"/>
          <w:lang w:val="en-US" w:eastAsia="zh-CN"/>
        </w:rPr>
        <w:t>68.51</w:t>
      </w:r>
      <w:r>
        <w:rPr>
          <w:rFonts w:hint="default" w:ascii="仿宋_GB2312" w:hAnsi="仿宋_GB2312" w:eastAsia="仿宋_GB2312" w:cs="仿宋_GB2312"/>
          <w:b w:val="0"/>
          <w:bCs w:val="0"/>
          <w:sz w:val="32"/>
          <w:szCs w:val="32"/>
        </w:rPr>
        <w:t>%，其中：授予小微企业合同金额</w:t>
      </w:r>
      <w:r>
        <w:rPr>
          <w:rFonts w:hint="default" w:ascii="仿宋_GB2312" w:hAnsi="仿宋_GB2312" w:eastAsia="仿宋_GB2312" w:cs="仿宋_GB2312"/>
          <w:b w:val="0"/>
          <w:bCs w:val="0"/>
          <w:sz w:val="32"/>
          <w:szCs w:val="32"/>
          <w:lang w:val="en-US" w:eastAsia="zh-CN"/>
        </w:rPr>
        <w:t>2</w:t>
      </w:r>
      <w:r>
        <w:rPr>
          <w:rFonts w:hint="default" w:ascii="仿宋_GB2312" w:hAnsi="仿宋_GB2312" w:eastAsia="仿宋_GB2312" w:cs="仿宋_GB2312"/>
          <w:b w:val="0"/>
          <w:bCs w:val="0"/>
          <w:sz w:val="32"/>
          <w:szCs w:val="32"/>
        </w:rPr>
        <w:t>万元，占政府采购支出总额的</w:t>
      </w:r>
      <w:r>
        <w:rPr>
          <w:rFonts w:hint="default" w:ascii="仿宋_GB2312" w:hAnsi="仿宋_GB2312" w:eastAsia="仿宋_GB2312" w:cs="仿宋_GB2312"/>
          <w:b w:val="0"/>
          <w:bCs w:val="0"/>
          <w:sz w:val="32"/>
          <w:szCs w:val="32"/>
          <w:lang w:val="en-US" w:eastAsia="zh-CN"/>
        </w:rPr>
        <w:t>0.96</w:t>
      </w:r>
      <w:r>
        <w:rPr>
          <w:rFonts w:hint="default" w:ascii="仿宋_GB2312" w:hAnsi="仿宋_GB2312" w:eastAsia="仿宋_GB2312" w:cs="仿宋_GB2312"/>
          <w:b w:val="0"/>
          <w:bCs w:val="0"/>
          <w:sz w:val="32"/>
          <w:szCs w:val="32"/>
        </w:rPr>
        <w:t>%。</w:t>
      </w:r>
    </w:p>
    <w:p>
      <w:pPr>
        <w:autoSpaceDE w:val="0"/>
        <w:autoSpaceDN w:val="0"/>
        <w:adjustRightInd w:val="0"/>
        <w:spacing w:line="600" w:lineRule="exact"/>
        <w:ind w:firstLine="640" w:firstLineChars="200"/>
        <w:jc w:val="left"/>
        <w:outlineLvl w:val="2"/>
        <w:rPr>
          <w:rFonts w:hint="default" w:ascii="Times New Roman" w:hAnsi="Times New Roman" w:eastAsia="方正仿宋_GBK" w:cs="Times New Roman"/>
          <w:b/>
          <w:color w:val="000000"/>
          <w:sz w:val="32"/>
          <w:szCs w:val="32"/>
        </w:rPr>
      </w:pPr>
      <w:bookmarkStart w:id="101" w:name="_Toc79163627"/>
      <w:bookmarkStart w:id="102" w:name="_Toc79163877"/>
      <w:bookmarkStart w:id="103" w:name="_Toc15377224"/>
      <w:r>
        <w:rPr>
          <w:rFonts w:hint="default" w:ascii="Times New Roman" w:hAnsi="Times New Roman" w:eastAsia="方正仿宋_GBK" w:cs="Times New Roman"/>
          <w:b/>
          <w:color w:val="000000"/>
          <w:sz w:val="32"/>
          <w:szCs w:val="32"/>
        </w:rPr>
        <w:t>（三）国有资产占有使用情况</w:t>
      </w:r>
      <w:bookmarkEnd w:id="101"/>
      <w:bookmarkEnd w:id="102"/>
      <w:bookmarkEnd w:id="103"/>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截至</w:t>
      </w:r>
      <w:r>
        <w:rPr>
          <w:rFonts w:hint="default" w:ascii="仿宋_GB2312" w:hAnsi="仿宋_GB2312" w:eastAsia="仿宋_GB2312" w:cs="仿宋_GB2312"/>
          <w:b w:val="0"/>
          <w:bCs w:val="0"/>
          <w:sz w:val="32"/>
          <w:szCs w:val="32"/>
          <w:lang w:eastAsia="zh-CN"/>
        </w:rPr>
        <w:t>2021</w:t>
      </w:r>
      <w:r>
        <w:rPr>
          <w:rFonts w:hint="default" w:ascii="仿宋_GB2312" w:hAnsi="仿宋_GB2312" w:eastAsia="仿宋_GB2312" w:cs="仿宋_GB2312"/>
          <w:b w:val="0"/>
          <w:bCs w:val="0"/>
          <w:sz w:val="32"/>
          <w:szCs w:val="32"/>
        </w:rPr>
        <w:t>年12月31日，州委统战部共有车辆</w:t>
      </w:r>
      <w:r>
        <w:rPr>
          <w:rFonts w:hint="default" w:ascii="仿宋_GB2312" w:hAnsi="仿宋_GB2312" w:eastAsia="仿宋_GB2312" w:cs="仿宋_GB2312"/>
          <w:b w:val="0"/>
          <w:bCs w:val="0"/>
          <w:sz w:val="32"/>
          <w:szCs w:val="32"/>
          <w:lang w:val="en-US" w:eastAsia="zh-CN"/>
        </w:rPr>
        <w:t>9</w:t>
      </w:r>
      <w:r>
        <w:rPr>
          <w:rFonts w:hint="default" w:ascii="仿宋_GB2312" w:hAnsi="仿宋_GB2312" w:eastAsia="仿宋_GB2312" w:cs="仿宋_GB2312"/>
          <w:b w:val="0"/>
          <w:bCs w:val="0"/>
          <w:sz w:val="32"/>
          <w:szCs w:val="32"/>
        </w:rPr>
        <w:t>辆，其中：主要领导干部用车0辆、机要通信用车0辆、应急保障用车1辆、其他用车</w:t>
      </w:r>
      <w:r>
        <w:rPr>
          <w:rFonts w:hint="default" w:ascii="仿宋_GB2312" w:hAnsi="仿宋_GB2312" w:eastAsia="仿宋_GB2312" w:cs="仿宋_GB2312"/>
          <w:b w:val="0"/>
          <w:bCs w:val="0"/>
          <w:sz w:val="32"/>
          <w:szCs w:val="32"/>
          <w:lang w:val="en-US" w:eastAsia="zh-CN"/>
        </w:rPr>
        <w:t>8</w:t>
      </w:r>
      <w:r>
        <w:rPr>
          <w:rFonts w:hint="default" w:ascii="仿宋_GB2312" w:hAnsi="仿宋_GB2312" w:eastAsia="仿宋_GB2312" w:cs="仿宋_GB2312"/>
          <w:b w:val="0"/>
          <w:bCs w:val="0"/>
          <w:sz w:val="32"/>
          <w:szCs w:val="32"/>
        </w:rPr>
        <w:t>辆。其他用车主要是用于保障统战工作运行。单价50万元以上通用设备0台（套），单价100万元以上专用设备0台（套）。</w:t>
      </w:r>
    </w:p>
    <w:p>
      <w:pPr>
        <w:autoSpaceDE w:val="0"/>
        <w:autoSpaceDN w:val="0"/>
        <w:adjustRightInd w:val="0"/>
        <w:spacing w:line="600" w:lineRule="exact"/>
        <w:ind w:firstLine="640" w:firstLineChars="200"/>
        <w:jc w:val="left"/>
        <w:outlineLvl w:val="2"/>
        <w:rPr>
          <w:rFonts w:hint="default" w:ascii="Times New Roman" w:hAnsi="Times New Roman" w:eastAsia="方正仿宋_GBK" w:cs="Times New Roman"/>
          <w:b/>
          <w:color w:val="000000"/>
          <w:sz w:val="32"/>
          <w:szCs w:val="32"/>
        </w:rPr>
      </w:pPr>
      <w:bookmarkStart w:id="104" w:name="_Toc79163628"/>
      <w:bookmarkStart w:id="105" w:name="_Toc79163878"/>
      <w:r>
        <w:rPr>
          <w:rFonts w:hint="default" w:ascii="Times New Roman" w:hAnsi="Times New Roman" w:eastAsia="方正仿宋_GBK" w:cs="Times New Roman"/>
          <w:b/>
          <w:color w:val="000000"/>
          <w:sz w:val="32"/>
          <w:szCs w:val="32"/>
        </w:rPr>
        <w:t>（四）预算绩效管理情况</w:t>
      </w:r>
      <w:bookmarkEnd w:id="104"/>
      <w:bookmarkEnd w:id="105"/>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根据预算绩效管理要求，本部门（单位）在年初预算编制阶段，组织对2</w:t>
      </w:r>
      <w:r>
        <w:rPr>
          <w:rFonts w:hint="eastAsia"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rPr>
        <w:t>个项目（伊协日常工作经费、侨务专项业务经费、公车购置、保密文件柜购置经费会议费和知新会工作经费等）开展了预算事前绩效评估，对2</w:t>
      </w:r>
      <w:r>
        <w:rPr>
          <w:rFonts w:hint="eastAsia"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rPr>
        <w:t>个项目编制了绩效目标，预算执行过程中，</w:t>
      </w:r>
      <w:r>
        <w:rPr>
          <w:rFonts w:hint="eastAsia" w:ascii="仿宋_GB2312" w:hAnsi="仿宋_GB2312" w:eastAsia="仿宋_GB2312" w:cs="仿宋_GB2312"/>
          <w:b w:val="0"/>
          <w:bCs w:val="0"/>
          <w:sz w:val="32"/>
          <w:szCs w:val="32"/>
          <w:lang w:val="en-US" w:eastAsia="zh-CN"/>
        </w:rPr>
        <w:t>对5</w:t>
      </w:r>
      <w:r>
        <w:rPr>
          <w:rFonts w:hint="default" w:ascii="仿宋_GB2312" w:hAnsi="仿宋_GB2312" w:eastAsia="仿宋_GB2312" w:cs="仿宋_GB2312"/>
          <w:b w:val="0"/>
          <w:bCs w:val="0"/>
          <w:sz w:val="32"/>
          <w:szCs w:val="32"/>
        </w:rPr>
        <w:t>个项目开展绩效监控，年终执行完毕后，对5个项目开展了绩效目标完成情况自评。</w:t>
      </w:r>
    </w:p>
    <w:p>
      <w:pPr>
        <w:keepNext w:val="0"/>
        <w:keepLines w:val="0"/>
        <w:widowControl/>
        <w:suppressLineNumbers w:val="0"/>
        <w:autoSpaceDE w:val="0"/>
        <w:autoSpaceDN/>
        <w:spacing w:line="578" w:lineRule="exact"/>
        <w:ind w:left="0" w:firstLine="640" w:firstLineChars="200"/>
        <w:jc w:val="both"/>
        <w:rPr>
          <w:rFonts w:hint="default"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rPr>
        <w:t>从评价情况来看，除部分受疫情影响未能开展的项目外，其他项目支出均严格按项目内容及要求执行，执行成效显著。本部门还自行组织了5个项目支出绩效评价，从评价情况来看，整体执行较好，圆满完成了项目绩效目标。</w:t>
      </w:r>
    </w:p>
    <w:p>
      <w:pPr>
        <w:keepNext w:val="0"/>
        <w:keepLines w:val="0"/>
        <w:widowControl/>
        <w:suppressLineNumbers w:val="0"/>
        <w:autoSpaceDE w:val="0"/>
        <w:autoSpaceDN/>
        <w:spacing w:line="578" w:lineRule="exact"/>
        <w:ind w:left="0" w:firstLine="640" w:firstLineChars="200"/>
        <w:jc w:val="both"/>
        <w:rPr>
          <w:rFonts w:hint="eastAsia" w:ascii="仿宋_GB2312" w:hAnsi="仿宋_GB2312" w:eastAsia="仿宋_GB2312" w:cs="仿宋_GB2312"/>
          <w:b w:val="0"/>
          <w:bCs w:val="0"/>
          <w:sz w:val="32"/>
          <w:szCs w:val="32"/>
        </w:rPr>
      </w:pPr>
    </w:p>
    <w:p>
      <w:pPr>
        <w:spacing w:line="580" w:lineRule="exact"/>
        <w:ind w:firstLine="640" w:firstLineChars="200"/>
        <w:rPr>
          <w:rFonts w:eastAsia="仿宋_GB2312"/>
          <w:sz w:val="32"/>
          <w:szCs w:val="32"/>
        </w:rPr>
      </w:pPr>
    </w:p>
    <w:p>
      <w:pPr>
        <w:numPr>
          <w:ilvl w:val="0"/>
          <w:numId w:val="4"/>
        </w:numPr>
        <w:spacing w:line="600" w:lineRule="exact"/>
        <w:ind w:firstLine="660" w:firstLineChars="150"/>
        <w:jc w:val="center"/>
        <w:outlineLvl w:val="0"/>
        <w:rPr>
          <w:rStyle w:val="23"/>
          <w:rFonts w:eastAsia="黑体"/>
          <w:b w:val="0"/>
        </w:rPr>
      </w:pPr>
      <w:bookmarkStart w:id="106" w:name="_Toc15396613"/>
      <w:bookmarkStart w:id="107" w:name="_Toc79163629"/>
      <w:bookmarkStart w:id="108" w:name="_Toc15377225"/>
      <w:bookmarkStart w:id="109" w:name="_Toc79163879"/>
      <w:r>
        <w:rPr>
          <w:rFonts w:eastAsia="黑体"/>
          <w:color w:val="000000"/>
          <w:sz w:val="44"/>
          <w:szCs w:val="44"/>
        </w:rPr>
        <w:t>名</w:t>
      </w:r>
      <w:r>
        <w:rPr>
          <w:rStyle w:val="23"/>
          <w:rFonts w:eastAsia="黑体"/>
          <w:b w:val="0"/>
        </w:rPr>
        <w:t>词解释</w:t>
      </w:r>
      <w:bookmarkEnd w:id="106"/>
      <w:bookmarkEnd w:id="107"/>
      <w:bookmarkEnd w:id="108"/>
      <w:bookmarkEnd w:id="109"/>
    </w:p>
    <w:p>
      <w:pPr>
        <w:spacing w:line="600" w:lineRule="exact"/>
        <w:jc w:val="left"/>
        <w:rPr>
          <w:b/>
          <w:color w:val="000000"/>
          <w:sz w:val="44"/>
          <w:szCs w:val="44"/>
        </w:rPr>
      </w:pPr>
    </w:p>
    <w:p>
      <w:pPr>
        <w:pStyle w:val="33"/>
        <w:spacing w:line="56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1.财政拨款收入：指单位从同级财政部门取得的财政预算资金。</w:t>
      </w:r>
    </w:p>
    <w:p>
      <w:pPr>
        <w:pStyle w:val="33"/>
        <w:spacing w:line="56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2.一般公共服务2013401：指统战事务行政运行。</w:t>
      </w:r>
    </w:p>
    <w:p>
      <w:pPr>
        <w:pStyle w:val="33"/>
        <w:spacing w:line="56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3.一般公共服务2013402：指统战事务一般行政事务管理。</w:t>
      </w:r>
    </w:p>
    <w:p>
      <w:pPr>
        <w:pStyle w:val="33"/>
        <w:spacing w:line="560" w:lineRule="exact"/>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w:t>
      </w:r>
      <w:r>
        <w:rPr>
          <w:rFonts w:hint="default" w:ascii="仿宋_GB2312" w:hAnsi="仿宋_GB2312" w:eastAsia="仿宋_GB2312" w:cs="仿宋_GB2312"/>
          <w:b w:val="0"/>
          <w:bCs w:val="0"/>
          <w:color w:val="auto"/>
          <w:kern w:val="2"/>
          <w:sz w:val="32"/>
          <w:szCs w:val="32"/>
          <w:lang w:val="en-US" w:eastAsia="zh-CN" w:bidi="ar-SA"/>
        </w:rPr>
        <w:t>一般公共服务20134</w:t>
      </w:r>
      <w:r>
        <w:rPr>
          <w:rFonts w:hint="eastAsia" w:ascii="仿宋_GB2312" w:hAnsi="仿宋_GB2312" w:eastAsia="仿宋_GB2312" w:cs="仿宋_GB2312"/>
          <w:b w:val="0"/>
          <w:bCs w:val="0"/>
          <w:color w:val="auto"/>
          <w:kern w:val="2"/>
          <w:sz w:val="32"/>
          <w:szCs w:val="32"/>
          <w:lang w:val="en-US" w:eastAsia="zh-CN" w:bidi="ar-SA"/>
        </w:rPr>
        <w:t>50</w:t>
      </w:r>
      <w:r>
        <w:rPr>
          <w:rFonts w:hint="default" w:ascii="仿宋_GB2312" w:hAnsi="仿宋_GB2312" w:eastAsia="仿宋_GB2312" w:cs="仿宋_GB2312"/>
          <w:b w:val="0"/>
          <w:bCs w:val="0"/>
          <w:color w:val="auto"/>
          <w:kern w:val="2"/>
          <w:sz w:val="32"/>
          <w:szCs w:val="32"/>
          <w:lang w:val="en-US" w:eastAsia="zh-CN" w:bidi="ar-SA"/>
        </w:rPr>
        <w:t>：指统战事务</w:t>
      </w:r>
      <w:r>
        <w:rPr>
          <w:rFonts w:hint="eastAsia" w:ascii="仿宋_GB2312" w:hAnsi="仿宋_GB2312" w:eastAsia="仿宋_GB2312" w:cs="仿宋_GB2312"/>
          <w:b w:val="0"/>
          <w:bCs w:val="0"/>
          <w:color w:val="auto"/>
          <w:kern w:val="2"/>
          <w:sz w:val="32"/>
          <w:szCs w:val="32"/>
          <w:lang w:val="en-US" w:eastAsia="zh-CN" w:bidi="ar-SA"/>
        </w:rPr>
        <w:t>事业运行。</w:t>
      </w:r>
    </w:p>
    <w:p>
      <w:pPr>
        <w:pStyle w:val="33"/>
        <w:spacing w:line="560" w:lineRule="exact"/>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5.一般公共服务</w:t>
      </w:r>
      <w:r>
        <w:rPr>
          <w:rFonts w:hint="default" w:ascii="仿宋_GB2312" w:hAnsi="仿宋_GB2312" w:eastAsia="仿宋_GB2312" w:cs="仿宋_GB2312"/>
          <w:b w:val="0"/>
          <w:bCs w:val="0"/>
          <w:color w:val="auto"/>
          <w:kern w:val="2"/>
          <w:sz w:val="32"/>
          <w:szCs w:val="32"/>
          <w:lang w:val="en-US" w:eastAsia="zh-CN" w:bidi="ar-SA"/>
        </w:rPr>
        <w:t>2012550</w:t>
      </w:r>
      <w:r>
        <w:rPr>
          <w:rFonts w:hint="eastAsia" w:ascii="仿宋_GB2312" w:hAnsi="仿宋_GB2312" w:eastAsia="仿宋_GB2312" w:cs="仿宋_GB2312"/>
          <w:b w:val="0"/>
          <w:bCs w:val="0"/>
          <w:color w:val="auto"/>
          <w:kern w:val="2"/>
          <w:sz w:val="32"/>
          <w:szCs w:val="32"/>
          <w:lang w:val="en-US" w:eastAsia="zh-CN" w:bidi="ar-SA"/>
        </w:rPr>
        <w:t>：指</w:t>
      </w:r>
      <w:r>
        <w:rPr>
          <w:rFonts w:hint="default" w:ascii="仿宋_GB2312" w:hAnsi="仿宋_GB2312" w:eastAsia="仿宋_GB2312" w:cs="仿宋_GB2312"/>
          <w:b w:val="0"/>
          <w:bCs w:val="0"/>
          <w:color w:val="auto"/>
          <w:kern w:val="2"/>
          <w:sz w:val="32"/>
          <w:szCs w:val="32"/>
          <w:lang w:val="en-US" w:eastAsia="zh-CN" w:bidi="ar-SA"/>
        </w:rPr>
        <w:t>港澳台事务事业运行</w:t>
      </w:r>
      <w:r>
        <w:rPr>
          <w:rFonts w:hint="eastAsia" w:ascii="仿宋_GB2312" w:hAnsi="仿宋_GB2312" w:eastAsia="仿宋_GB2312" w:cs="仿宋_GB2312"/>
          <w:b w:val="0"/>
          <w:bCs w:val="0"/>
          <w:color w:val="auto"/>
          <w:kern w:val="2"/>
          <w:sz w:val="32"/>
          <w:szCs w:val="32"/>
          <w:lang w:val="en-US" w:eastAsia="zh-CN" w:bidi="ar-SA"/>
        </w:rPr>
        <w:t>。</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w:t>
      </w:r>
      <w:r>
        <w:rPr>
          <w:rFonts w:hint="default" w:ascii="仿宋_GB2312" w:hAnsi="仿宋_GB2312" w:eastAsia="仿宋_GB2312" w:cs="仿宋_GB2312"/>
          <w:b w:val="0"/>
          <w:bCs w:val="0"/>
          <w:color w:val="auto"/>
          <w:kern w:val="2"/>
          <w:sz w:val="32"/>
          <w:szCs w:val="32"/>
          <w:lang w:val="en-US" w:eastAsia="zh-CN" w:bidi="ar-SA"/>
        </w:rPr>
        <w:t>.社会保障和就业2080505：指机关事业单位基本养老保险缴费支出。</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w:t>
      </w:r>
      <w:r>
        <w:rPr>
          <w:rFonts w:hint="default" w:ascii="仿宋_GB2312" w:hAnsi="仿宋_GB2312" w:eastAsia="仿宋_GB2312" w:cs="仿宋_GB2312"/>
          <w:b w:val="0"/>
          <w:bCs w:val="0"/>
          <w:color w:val="auto"/>
          <w:kern w:val="2"/>
          <w:sz w:val="32"/>
          <w:szCs w:val="32"/>
          <w:lang w:val="en-US" w:eastAsia="zh-CN" w:bidi="ar-SA"/>
        </w:rPr>
        <w:t>社会保障和就业2080506：指机关事业单位职业年金缴费支出。</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w:t>
      </w:r>
      <w:r>
        <w:rPr>
          <w:rFonts w:hint="default" w:ascii="仿宋_GB2312" w:hAnsi="仿宋_GB2312" w:eastAsia="仿宋_GB2312" w:cs="仿宋_GB2312"/>
          <w:b w:val="0"/>
          <w:bCs w:val="0"/>
          <w:color w:val="auto"/>
          <w:kern w:val="2"/>
          <w:sz w:val="32"/>
          <w:szCs w:val="32"/>
          <w:lang w:val="en-US" w:eastAsia="zh-CN" w:bidi="ar-SA"/>
        </w:rPr>
        <w:t>.医疗卫生与计划生育2101101：指行政单位医疗。</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w:t>
      </w:r>
      <w:r>
        <w:rPr>
          <w:rFonts w:hint="default" w:ascii="仿宋_GB2312" w:hAnsi="仿宋_GB2312" w:eastAsia="仿宋_GB2312" w:cs="仿宋_GB2312"/>
          <w:b w:val="0"/>
          <w:bCs w:val="0"/>
          <w:color w:val="auto"/>
          <w:kern w:val="2"/>
          <w:sz w:val="32"/>
          <w:szCs w:val="32"/>
          <w:lang w:val="en-US" w:eastAsia="zh-CN" w:bidi="ar-SA"/>
        </w:rPr>
        <w:t>.医疗卫生与计划生育2101103：指公务员医疗补助。</w:t>
      </w:r>
    </w:p>
    <w:p>
      <w:pPr>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10.</w:t>
      </w:r>
      <w:r>
        <w:rPr>
          <w:rFonts w:hint="default" w:ascii="仿宋_GB2312" w:hAnsi="仿宋_GB2312" w:eastAsia="仿宋_GB2312" w:cs="仿宋_GB2312"/>
          <w:b w:val="0"/>
          <w:bCs w:val="0"/>
          <w:color w:val="auto"/>
          <w:kern w:val="2"/>
          <w:sz w:val="32"/>
          <w:szCs w:val="32"/>
          <w:lang w:val="en-US" w:eastAsia="zh-CN" w:bidi="ar-SA"/>
        </w:rPr>
        <w:t>医疗卫生与计划生育2101102</w:t>
      </w:r>
      <w:r>
        <w:rPr>
          <w:rFonts w:hint="eastAsia" w:ascii="仿宋_GB2312" w:hAnsi="仿宋_GB2312" w:eastAsia="仿宋_GB2312" w:cs="仿宋_GB2312"/>
          <w:b w:val="0"/>
          <w:bCs w:val="0"/>
          <w:color w:val="auto"/>
          <w:kern w:val="2"/>
          <w:sz w:val="32"/>
          <w:szCs w:val="32"/>
          <w:lang w:val="en-US" w:eastAsia="zh-CN" w:bidi="ar-SA"/>
        </w:rPr>
        <w:t>：指</w:t>
      </w:r>
      <w:r>
        <w:rPr>
          <w:rFonts w:hint="default" w:ascii="仿宋_GB2312" w:hAnsi="仿宋_GB2312" w:eastAsia="仿宋_GB2312" w:cs="仿宋_GB2312"/>
          <w:b w:val="0"/>
          <w:bCs w:val="0"/>
          <w:color w:val="auto"/>
          <w:kern w:val="2"/>
          <w:sz w:val="32"/>
          <w:szCs w:val="32"/>
          <w:lang w:val="en-US" w:eastAsia="zh-CN" w:bidi="ar-SA"/>
        </w:rPr>
        <w:t>事业单位医疗</w:t>
      </w:r>
      <w:r>
        <w:rPr>
          <w:rFonts w:hint="eastAsia" w:ascii="仿宋_GB2312" w:hAnsi="仿宋_GB2312" w:eastAsia="仿宋_GB2312" w:cs="仿宋_GB2312"/>
          <w:b w:val="0"/>
          <w:bCs w:val="0"/>
          <w:color w:val="auto"/>
          <w:kern w:val="2"/>
          <w:sz w:val="32"/>
          <w:szCs w:val="32"/>
          <w:lang w:val="en-US" w:eastAsia="zh-CN" w:bidi="ar-SA"/>
        </w:rPr>
        <w:t>。</w:t>
      </w:r>
    </w:p>
    <w:p>
      <w:pPr>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11.</w:t>
      </w:r>
      <w:r>
        <w:rPr>
          <w:rFonts w:hint="default" w:ascii="仿宋_GB2312" w:hAnsi="仿宋_GB2312" w:eastAsia="仿宋_GB2312" w:cs="仿宋_GB2312"/>
          <w:b w:val="0"/>
          <w:bCs w:val="0"/>
          <w:color w:val="auto"/>
          <w:kern w:val="2"/>
          <w:sz w:val="32"/>
          <w:szCs w:val="32"/>
          <w:lang w:val="en-US" w:eastAsia="zh-CN" w:bidi="ar-SA"/>
        </w:rPr>
        <w:t>医疗卫生与计划生育2101199</w:t>
      </w:r>
      <w:r>
        <w:rPr>
          <w:rFonts w:hint="eastAsia" w:ascii="仿宋_GB2312" w:hAnsi="仿宋_GB2312" w:eastAsia="仿宋_GB2312" w:cs="仿宋_GB2312"/>
          <w:b w:val="0"/>
          <w:bCs w:val="0"/>
          <w:color w:val="auto"/>
          <w:kern w:val="2"/>
          <w:sz w:val="32"/>
          <w:szCs w:val="32"/>
          <w:lang w:val="en-US" w:eastAsia="zh-CN" w:bidi="ar-SA"/>
        </w:rPr>
        <w:t>：指</w:t>
      </w:r>
      <w:r>
        <w:rPr>
          <w:rFonts w:hint="default" w:ascii="仿宋_GB2312" w:hAnsi="仿宋_GB2312" w:eastAsia="仿宋_GB2312" w:cs="仿宋_GB2312"/>
          <w:b w:val="0"/>
          <w:bCs w:val="0"/>
          <w:color w:val="auto"/>
          <w:kern w:val="2"/>
          <w:sz w:val="32"/>
          <w:szCs w:val="32"/>
          <w:lang w:val="en-US" w:eastAsia="zh-CN" w:bidi="ar-SA"/>
        </w:rPr>
        <w:t>其他行政事业单位医疗支出</w:t>
      </w:r>
      <w:r>
        <w:rPr>
          <w:rFonts w:hint="eastAsia" w:ascii="仿宋_GB2312" w:hAnsi="仿宋_GB2312" w:eastAsia="仿宋_GB2312" w:cs="仿宋_GB2312"/>
          <w:b w:val="0"/>
          <w:bCs w:val="0"/>
          <w:color w:val="auto"/>
          <w:kern w:val="2"/>
          <w:sz w:val="32"/>
          <w:szCs w:val="32"/>
          <w:lang w:val="en-US" w:eastAsia="zh-CN" w:bidi="ar-SA"/>
        </w:rPr>
        <w:t>。</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12</w:t>
      </w:r>
      <w:r>
        <w:rPr>
          <w:rFonts w:hint="default" w:ascii="仿宋_GB2312" w:hAnsi="仿宋_GB2312" w:eastAsia="仿宋_GB2312" w:cs="仿宋_GB2312"/>
          <w:b w:val="0"/>
          <w:bCs w:val="0"/>
          <w:color w:val="auto"/>
          <w:kern w:val="2"/>
          <w:sz w:val="32"/>
          <w:szCs w:val="32"/>
          <w:lang w:val="en-US" w:eastAsia="zh-CN" w:bidi="ar-SA"/>
        </w:rPr>
        <w:t>.住房保障2210201：指住房公积金。</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13</w:t>
      </w:r>
      <w:r>
        <w:rPr>
          <w:rFonts w:hint="default" w:ascii="仿宋_GB2312" w:hAnsi="仿宋_GB2312" w:eastAsia="仿宋_GB2312" w:cs="仿宋_GB2312"/>
          <w:b w:val="0"/>
          <w:bCs w:val="0"/>
          <w:color w:val="auto"/>
          <w:kern w:val="2"/>
          <w:sz w:val="32"/>
          <w:szCs w:val="32"/>
          <w:lang w:val="en-US" w:eastAsia="zh-CN" w:bidi="ar-SA"/>
        </w:rPr>
        <w:t>.基本支出：指为保障机构正常运转、完成日常工作任务而发生的人员支出和公用支出。</w:t>
      </w:r>
    </w:p>
    <w:p>
      <w:p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kern w:val="2"/>
          <w:sz w:val="32"/>
          <w:szCs w:val="32"/>
          <w:lang w:val="en-US" w:eastAsia="zh-CN" w:bidi="ar-SA"/>
        </w:rPr>
        <w:t>4</w:t>
      </w:r>
      <w:r>
        <w:rPr>
          <w:rFonts w:hint="default" w:ascii="仿宋_GB2312" w:hAnsi="仿宋_GB2312" w:eastAsia="仿宋_GB2312" w:cs="仿宋_GB2312"/>
          <w:b w:val="0"/>
          <w:bCs w:val="0"/>
          <w:color w:val="auto"/>
          <w:kern w:val="2"/>
          <w:sz w:val="32"/>
          <w:szCs w:val="32"/>
          <w:lang w:val="en-US" w:eastAsia="zh-CN" w:bidi="ar-SA"/>
        </w:rPr>
        <w:t>.项目支出：指在基本支出之外为完成特定行政任务和事业发展目标所发生的支出。</w:t>
      </w:r>
    </w:p>
    <w:p>
      <w:pPr>
        <w:pStyle w:val="33"/>
        <w:spacing w:line="56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kern w:val="2"/>
          <w:sz w:val="32"/>
          <w:szCs w:val="32"/>
          <w:lang w:val="en-US" w:eastAsia="zh-CN" w:bidi="ar-SA"/>
        </w:rPr>
        <w:t>5</w:t>
      </w:r>
      <w:r>
        <w:rPr>
          <w:rFonts w:hint="default" w:ascii="仿宋_GB2312" w:hAnsi="仿宋_GB2312" w:eastAsia="仿宋_GB2312" w:cs="仿宋_GB2312"/>
          <w:b w:val="0"/>
          <w:bCs w:val="0"/>
          <w:color w:val="auto"/>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w:t>
      </w:r>
      <w:r>
        <w:rPr>
          <w:rFonts w:hint="eastAsia" w:ascii="仿宋_GB2312" w:hAnsi="仿宋_GB2312" w:eastAsia="仿宋_GB2312" w:cs="仿宋_GB2312"/>
          <w:b w:val="0"/>
          <w:bCs w:val="0"/>
          <w:color w:val="auto"/>
          <w:kern w:val="2"/>
          <w:sz w:val="32"/>
          <w:szCs w:val="32"/>
          <w:lang w:val="en-US" w:eastAsia="zh-CN" w:bidi="ar-SA"/>
        </w:rPr>
        <w:t>6</w:t>
      </w:r>
      <w:r>
        <w:rPr>
          <w:rFonts w:hint="default" w:ascii="仿宋_GB2312" w:hAnsi="仿宋_GB2312" w:eastAsia="仿宋_GB2312" w:cs="仿宋_GB2312"/>
          <w:b w:val="0"/>
          <w:bCs w:val="0"/>
          <w:color w:val="auto"/>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p>
    <w:p>
      <w:pPr>
        <w:spacing w:line="580" w:lineRule="exact"/>
        <w:ind w:firstLine="640" w:firstLineChars="200"/>
        <w:rPr>
          <w:rFonts w:hint="default" w:ascii="仿宋_GB2312" w:hAnsi="仿宋_GB2312" w:eastAsia="仿宋_GB2312" w:cs="仿宋_GB2312"/>
          <w:b w:val="0"/>
          <w:bCs w:val="0"/>
          <w:color w:val="auto"/>
          <w:kern w:val="2"/>
          <w:sz w:val="32"/>
          <w:szCs w:val="32"/>
          <w:lang w:val="en-US" w:eastAsia="zh-CN" w:bidi="ar-SA"/>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jc w:val="both"/>
        <w:rPr>
          <w:rFonts w:hint="eastAsia" w:ascii="黑体" w:hAnsi="黑体" w:eastAsia="黑体" w:cs="黑体"/>
          <w:sz w:val="44"/>
          <w:szCs w:val="44"/>
          <w:lang w:val="en-US" w:eastAsia="zh-CN"/>
        </w:rPr>
      </w:pPr>
      <w:bookmarkStart w:id="151" w:name="_GoBack"/>
      <w:bookmarkEnd w:id="151"/>
    </w:p>
    <w:p>
      <w:pPr>
        <w:spacing w:line="580" w:lineRule="exact"/>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第四部分 附件</w:t>
      </w:r>
    </w:p>
    <w:p>
      <w:pPr>
        <w:spacing w:line="580" w:lineRule="exact"/>
        <w:rPr>
          <w:rFonts w:hint="default" w:ascii="Times New Roman" w:hAnsi="Times New Roman" w:eastAsia="方正仿宋_GBK" w:cs="Times New Roman"/>
          <w:sz w:val="32"/>
          <w:szCs w:val="32"/>
        </w:rPr>
      </w:pPr>
    </w:p>
    <w:p>
      <w:pPr>
        <w:spacing w:line="580" w:lineRule="exac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spacing w:line="600" w:lineRule="exact"/>
        <w:jc w:val="center"/>
        <w:outlineLvl w:val="0"/>
        <w:rPr>
          <w:rFonts w:eastAsia="方正小标宋简体"/>
          <w:sz w:val="44"/>
          <w:szCs w:val="44"/>
        </w:rPr>
      </w:pPr>
      <w:r>
        <w:rPr>
          <w:rFonts w:hint="eastAsia" w:ascii="黑体" w:hAnsi="黑体" w:eastAsia="黑体" w:cs="黑体"/>
          <w:sz w:val="32"/>
          <w:szCs w:val="32"/>
          <w:lang w:val="en-US" w:eastAsia="zh-CN"/>
        </w:rPr>
        <w:t xml:space="preserve"> </w:t>
      </w:r>
      <w:bookmarkStart w:id="110" w:name="_Toc79163632"/>
      <w:bookmarkStart w:id="111" w:name="_Toc79163882"/>
      <w:r>
        <w:rPr>
          <w:rFonts w:hint="eastAsia" w:eastAsia="方正小标宋简体"/>
          <w:sz w:val="44"/>
          <w:szCs w:val="44"/>
          <w:lang w:eastAsia="zh-CN"/>
        </w:rPr>
        <w:t>2021</w:t>
      </w:r>
      <w:r>
        <w:rPr>
          <w:rFonts w:eastAsia="方正小标宋简体"/>
          <w:sz w:val="44"/>
          <w:szCs w:val="44"/>
        </w:rPr>
        <w:t>年阿坝州委统战部</w:t>
      </w:r>
    </w:p>
    <w:p>
      <w:pPr>
        <w:spacing w:line="600" w:lineRule="exact"/>
        <w:jc w:val="center"/>
        <w:outlineLvl w:val="0"/>
        <w:rPr>
          <w:rFonts w:eastAsia="方正小标宋简体"/>
          <w:sz w:val="44"/>
          <w:szCs w:val="44"/>
        </w:rPr>
      </w:pPr>
      <w:r>
        <w:rPr>
          <w:rFonts w:eastAsia="方正小标宋简体"/>
          <w:sz w:val="44"/>
          <w:szCs w:val="44"/>
        </w:rPr>
        <w:t>部门整体支出绩效评价报告</w:t>
      </w:r>
      <w:bookmarkEnd w:id="110"/>
      <w:bookmarkEnd w:id="111"/>
    </w:p>
    <w:p>
      <w:pPr>
        <w:widowControl/>
        <w:adjustRightInd w:val="0"/>
        <w:snapToGrid w:val="0"/>
        <w:spacing w:line="580"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部门概况</w:t>
      </w:r>
    </w:p>
    <w:p>
      <w:pPr>
        <w:widowControl/>
        <w:spacing w:line="578" w:lineRule="exact"/>
        <w:ind w:firstLine="640" w:firstLineChars="200"/>
        <w:rPr>
          <w:rFonts w:hint="eastAsia" w:eastAsia="仿宋_GB2312"/>
          <w:color w:val="000000"/>
          <w:kern w:val="0"/>
          <w:sz w:val="32"/>
          <w:szCs w:val="32"/>
          <w:lang w:val="en-US" w:eastAsia="zh-CN"/>
        </w:rPr>
      </w:pPr>
      <w:r>
        <w:rPr>
          <w:rFonts w:eastAsia="仿宋_GB2312"/>
          <w:color w:val="000000"/>
          <w:kern w:val="0"/>
          <w:sz w:val="32"/>
          <w:szCs w:val="32"/>
          <w:shd w:val="clear" w:color="auto" w:fill="FFFFFF"/>
          <w:lang w:val="zh-CN"/>
        </w:rPr>
        <w:t>（一）机构组成。</w:t>
      </w:r>
      <w:r>
        <w:rPr>
          <w:rFonts w:eastAsia="仿宋_GB2312"/>
          <w:color w:val="000000"/>
          <w:kern w:val="0"/>
          <w:sz w:val="32"/>
          <w:szCs w:val="32"/>
        </w:rPr>
        <w:t>内设办公室、研究室、民族宗教科、党外干部科、非公有制经济科、党外知识分子和新的社会阶层人士科、港澳台统战工作科、侨务工作科、宣传文化科、对国外藏胞工作科、人事科。代管州归国华侨联合会</w:t>
      </w: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代管四川藏语佛学院阿坝分院。</w:t>
      </w:r>
    </w:p>
    <w:p>
      <w:pPr>
        <w:widowControl/>
        <w:spacing w:line="578" w:lineRule="exact"/>
        <w:ind w:firstLine="640" w:firstLineChars="200"/>
        <w:rPr>
          <w:rFonts w:eastAsia="仿宋_GB2312"/>
          <w:sz w:val="32"/>
          <w:szCs w:val="32"/>
        </w:rPr>
      </w:pPr>
      <w:r>
        <w:rPr>
          <w:rFonts w:eastAsia="仿宋_GB2312"/>
          <w:color w:val="000000"/>
          <w:kern w:val="0"/>
          <w:sz w:val="32"/>
          <w:szCs w:val="32"/>
          <w:shd w:val="clear" w:color="auto" w:fill="FFFFFF"/>
          <w:lang w:val="zh-CN"/>
        </w:rPr>
        <w:t>（二）机构职能。</w:t>
      </w:r>
      <w:r>
        <w:rPr>
          <w:rFonts w:eastAsia="仿宋_GB2312"/>
          <w:sz w:val="32"/>
          <w:szCs w:val="32"/>
        </w:rPr>
        <w:t>根据文件规定，州委统战部主要职能是：组织贯彻执行中央、省委、州委关于统一战线的方针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w:t>
      </w:r>
      <w:r>
        <w:rPr>
          <w:sz w:val="32"/>
          <w:szCs w:val="32"/>
        </w:rPr>
        <w:t>，</w:t>
      </w:r>
      <w:r>
        <w:rPr>
          <w:rFonts w:eastAsia="仿宋_GB2312"/>
          <w:sz w:val="32"/>
          <w:szCs w:val="32"/>
        </w:rPr>
        <w:t>接待管理来我州探访的国外藏胞</w:t>
      </w:r>
      <w:r>
        <w:rPr>
          <w:rFonts w:hint="eastAsia" w:eastAsia="仿宋_GB2312"/>
          <w:sz w:val="32"/>
          <w:szCs w:val="32"/>
          <w:lang w:eastAsia="zh-CN"/>
        </w:rPr>
        <w:t>，</w:t>
      </w:r>
      <w:r>
        <w:rPr>
          <w:rFonts w:eastAsia="仿宋_GB2312"/>
          <w:sz w:val="32"/>
          <w:szCs w:val="32"/>
        </w:rPr>
        <w:t>组织动员国外藏胞为我州经济、教育、文化和卫生事业发展服务。</w:t>
      </w:r>
    </w:p>
    <w:p>
      <w:pPr>
        <w:widowControl/>
        <w:adjustRightInd w:val="0"/>
        <w:snapToGrid w:val="0"/>
        <w:spacing w:line="580" w:lineRule="exact"/>
        <w:ind w:firstLine="640" w:firstLineChars="200"/>
        <w:contextualSpacing/>
        <w:jc w:val="left"/>
        <w:rPr>
          <w:rFonts w:hint="eastAsia"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（三）人员概况。</w:t>
      </w:r>
      <w:r>
        <w:rPr>
          <w:rFonts w:hint="eastAsia" w:eastAsia="仿宋_GB2312"/>
          <w:color w:val="000000"/>
          <w:kern w:val="0"/>
          <w:sz w:val="32"/>
          <w:szCs w:val="32"/>
          <w:shd w:val="clear" w:color="auto" w:fill="FFFFFF"/>
          <w:lang w:val="zh-CN"/>
        </w:rPr>
        <w:t>州委统战部总编制35名，其中：行政编制30名；无事业编制；参照公务员法管理行政工勤编制5名。在职30人，其中：公务员26人，行政工勤4人；退休人员8人。州归国华侨联合会总编制４名，其中：事业编制４名，在职１人。四川藏语佛学院阿坝分院事业人员编制数20名，年末实有人数0人。</w:t>
      </w:r>
    </w:p>
    <w:p>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pPr>
        <w:spacing w:line="600" w:lineRule="exact"/>
        <w:ind w:firstLine="640" w:firstLineChars="200"/>
        <w:rPr>
          <w:rStyle w:val="21"/>
          <w:rFonts w:hint="default" w:ascii="Times New Roman" w:hAnsi="Times New Roman" w:eastAsia="方正仿宋_GBK" w:cs="Times New Roman"/>
          <w:bCs/>
          <w:color w:val="000000"/>
          <w:sz w:val="32"/>
          <w:szCs w:val="32"/>
          <w:lang w:val="en-US" w:eastAsia="zh-CN"/>
        </w:rPr>
      </w:pPr>
      <w:r>
        <w:rPr>
          <w:rFonts w:eastAsia="仿宋_GB2312"/>
          <w:color w:val="000000"/>
          <w:kern w:val="0"/>
          <w:sz w:val="32"/>
          <w:szCs w:val="32"/>
          <w:shd w:val="clear" w:color="auto" w:fill="FFFFFF"/>
          <w:lang w:val="zh-CN"/>
        </w:rPr>
        <w:t>（一）部门财政资金收入情况。</w:t>
      </w:r>
      <w:r>
        <w:rPr>
          <w:rStyle w:val="21"/>
          <w:rFonts w:hint="default" w:ascii="Times New Roman" w:hAnsi="Times New Roman" w:eastAsia="方正仿宋_GBK" w:cs="Times New Roman"/>
          <w:bCs/>
          <w:color w:val="000000"/>
          <w:sz w:val="32"/>
          <w:szCs w:val="32"/>
          <w:lang w:val="en-US" w:eastAsia="zh-CN"/>
        </w:rPr>
        <w:t>港澳台事务事业运行</w:t>
      </w:r>
      <w:r>
        <w:rPr>
          <w:rStyle w:val="21"/>
          <w:rFonts w:hint="default" w:ascii="Times New Roman" w:hAnsi="Times New Roman" w:eastAsia="方正仿宋_GBK" w:cs="Times New Roman"/>
          <w:bCs/>
          <w:color w:val="000000"/>
          <w:sz w:val="32"/>
          <w:szCs w:val="32"/>
        </w:rPr>
        <w:t>（功能分类科目代码：20</w:t>
      </w:r>
      <w:r>
        <w:rPr>
          <w:rStyle w:val="21"/>
          <w:rFonts w:hint="default" w:ascii="Times New Roman" w:hAnsi="Times New Roman" w:eastAsia="方正仿宋_GBK" w:cs="Times New Roman"/>
          <w:bCs/>
          <w:color w:val="000000"/>
          <w:sz w:val="32"/>
          <w:szCs w:val="32"/>
          <w:lang w:val="en-US" w:eastAsia="zh-CN"/>
        </w:rPr>
        <w:t>12550</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default" w:ascii="Times New Roman" w:hAnsi="Times New Roman" w:eastAsia="方正仿宋_GBK" w:cs="Times New Roman"/>
          <w:b w:val="0"/>
          <w:bCs/>
          <w:color w:val="000000"/>
          <w:sz w:val="32"/>
          <w:szCs w:val="32"/>
          <w:lang w:val="en-US" w:eastAsia="zh-CN"/>
        </w:rPr>
        <w:t>数21.16万元，统战事务行政运行</w:t>
      </w:r>
      <w:r>
        <w:rPr>
          <w:rStyle w:val="21"/>
          <w:rFonts w:hint="default" w:ascii="Times New Roman" w:hAnsi="Times New Roman" w:eastAsia="方正仿宋_GBK" w:cs="Times New Roman"/>
          <w:bCs/>
          <w:color w:val="000000"/>
          <w:sz w:val="32"/>
          <w:szCs w:val="32"/>
        </w:rPr>
        <w:t>（功能分类科目代码：</w:t>
      </w:r>
      <w:r>
        <w:rPr>
          <w:rStyle w:val="21"/>
          <w:rFonts w:hint="default" w:ascii="Times New Roman" w:hAnsi="Times New Roman" w:eastAsia="方正仿宋_GBK" w:cs="Times New Roman"/>
          <w:bCs/>
          <w:color w:val="000000"/>
          <w:sz w:val="32"/>
          <w:szCs w:val="32"/>
          <w:lang w:val="en-US" w:eastAsia="zh-CN"/>
        </w:rPr>
        <w:t>2013401</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val="0"/>
          <w:color w:val="000000"/>
          <w:sz w:val="32"/>
          <w:szCs w:val="32"/>
          <w:lang w:val="en-US" w:eastAsia="zh-CN"/>
        </w:rPr>
        <w:t>收入决算数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732.11</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val="en-US" w:eastAsia="zh-CN"/>
        </w:rPr>
        <w:t>统战事务一般行政管理事务</w:t>
      </w:r>
      <w:r>
        <w:rPr>
          <w:rStyle w:val="21"/>
          <w:rFonts w:hint="default" w:ascii="Times New Roman" w:hAnsi="Times New Roman" w:eastAsia="方正仿宋_GBK" w:cs="Times New Roman"/>
          <w:bCs/>
          <w:color w:val="000000"/>
          <w:sz w:val="32"/>
          <w:szCs w:val="32"/>
        </w:rPr>
        <w:t>（功能分类科目代码：20134</w:t>
      </w:r>
      <w:r>
        <w:rPr>
          <w:rStyle w:val="21"/>
          <w:rFonts w:hint="default" w:ascii="Times New Roman" w:hAnsi="Times New Roman" w:eastAsia="方正仿宋_GBK" w:cs="Times New Roman"/>
          <w:bCs/>
          <w:color w:val="000000"/>
          <w:sz w:val="32"/>
          <w:szCs w:val="32"/>
          <w:lang w:val="en-US" w:eastAsia="zh-CN"/>
        </w:rPr>
        <w:t>02</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eastAsia" w:eastAsia="方正仿宋_GBK" w:cs="Times New Roman"/>
          <w:b w:val="0"/>
          <w:bCs/>
          <w:color w:val="000000"/>
          <w:sz w:val="32"/>
          <w:szCs w:val="32"/>
          <w:lang w:val="en-US" w:eastAsia="zh-CN"/>
        </w:rPr>
        <w:t>206.03</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val="en-US" w:eastAsia="zh-CN"/>
        </w:rPr>
        <w:t>统战事务事业运行</w:t>
      </w:r>
      <w:r>
        <w:rPr>
          <w:rStyle w:val="21"/>
          <w:rFonts w:hint="default" w:ascii="Times New Roman" w:hAnsi="Times New Roman" w:eastAsia="方正仿宋_GBK" w:cs="Times New Roman"/>
          <w:bCs/>
          <w:color w:val="000000"/>
          <w:sz w:val="32"/>
          <w:szCs w:val="32"/>
        </w:rPr>
        <w:t>（功能分类科目代码：</w:t>
      </w:r>
      <w:r>
        <w:rPr>
          <w:rStyle w:val="21"/>
          <w:rFonts w:hint="default" w:ascii="Times New Roman" w:hAnsi="Times New Roman" w:eastAsia="方正仿宋_GBK" w:cs="Times New Roman"/>
          <w:bCs/>
          <w:color w:val="000000"/>
          <w:sz w:val="32"/>
          <w:szCs w:val="32"/>
          <w:lang w:val="en-US" w:eastAsia="zh-CN"/>
        </w:rPr>
        <w:t>2013450</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276.37</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val="en-US" w:eastAsia="zh-CN"/>
        </w:rPr>
        <w:t>统战事务其他统战事务支出</w:t>
      </w:r>
      <w:r>
        <w:rPr>
          <w:rStyle w:val="21"/>
          <w:rFonts w:hint="default" w:ascii="Times New Roman" w:hAnsi="Times New Roman" w:eastAsia="方正仿宋_GBK" w:cs="Times New Roman"/>
          <w:bCs/>
          <w:color w:val="000000"/>
          <w:sz w:val="32"/>
          <w:szCs w:val="32"/>
        </w:rPr>
        <w:t>（功能分类科目代码：</w:t>
      </w:r>
      <w:r>
        <w:rPr>
          <w:rStyle w:val="21"/>
          <w:rFonts w:hint="default" w:ascii="Times New Roman" w:hAnsi="Times New Roman" w:eastAsia="方正仿宋_GBK" w:cs="Times New Roman"/>
          <w:bCs/>
          <w:color w:val="000000"/>
          <w:sz w:val="32"/>
          <w:szCs w:val="32"/>
          <w:lang w:val="en-US" w:eastAsia="zh-CN"/>
        </w:rPr>
        <w:t>2013499</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14.99</w:t>
      </w:r>
      <w:r>
        <w:rPr>
          <w:rStyle w:val="21"/>
          <w:rFonts w:hint="default" w:ascii="Times New Roman" w:hAnsi="Times New Roman" w:eastAsia="方正仿宋_GBK" w:cs="Times New Roman"/>
          <w:b w:val="0"/>
          <w:bCs/>
          <w:color w:val="000000"/>
          <w:sz w:val="32"/>
          <w:szCs w:val="32"/>
        </w:rPr>
        <w:t>万元</w:t>
      </w:r>
      <w:r>
        <w:rPr>
          <w:rStyle w:val="21"/>
          <w:rFonts w:hint="eastAsia" w:eastAsia="方正仿宋_GBK" w:cs="Times New Roman"/>
          <w:b w:val="0"/>
          <w:bCs/>
          <w:color w:val="000000"/>
          <w:sz w:val="32"/>
          <w:szCs w:val="32"/>
          <w:lang w:val="en-US" w:eastAsia="zh-CN"/>
        </w:rPr>
        <w:t>，</w:t>
      </w:r>
      <w:r>
        <w:rPr>
          <w:rFonts w:eastAsia="仿宋_GB2312"/>
          <w:color w:val="000000"/>
          <w:kern w:val="0"/>
          <w:sz w:val="32"/>
          <w:szCs w:val="32"/>
        </w:rPr>
        <w:t>年初财政拨款结转结余</w:t>
      </w:r>
      <w:r>
        <w:rPr>
          <w:rFonts w:hint="eastAsia" w:eastAsia="仿宋_GB2312"/>
          <w:color w:val="000000"/>
          <w:kern w:val="0"/>
          <w:sz w:val="32"/>
          <w:szCs w:val="32"/>
          <w:lang w:val="en-US" w:eastAsia="zh-CN"/>
        </w:rPr>
        <w:t>267.61万</w:t>
      </w:r>
      <w:r>
        <w:rPr>
          <w:rFonts w:eastAsia="仿宋_GB2312"/>
          <w:color w:val="000000"/>
          <w:kern w:val="0"/>
          <w:sz w:val="32"/>
          <w:szCs w:val="32"/>
        </w:rPr>
        <w:t>元</w:t>
      </w:r>
      <w:r>
        <w:rPr>
          <w:rFonts w:hint="eastAsia" w:eastAsia="仿宋_GB2312"/>
          <w:color w:val="000000"/>
          <w:kern w:val="0"/>
          <w:sz w:val="32"/>
          <w:szCs w:val="32"/>
          <w:lang w:eastAsia="zh-CN"/>
        </w:rPr>
        <w:t>，</w:t>
      </w:r>
      <w:r>
        <w:rPr>
          <w:rStyle w:val="21"/>
          <w:rFonts w:hint="default" w:ascii="Times New Roman" w:hAnsi="Times New Roman" w:eastAsia="方正仿宋_GBK" w:cs="Times New Roman"/>
          <w:bCs/>
          <w:color w:val="000000"/>
          <w:sz w:val="32"/>
          <w:szCs w:val="32"/>
        </w:rPr>
        <w:t>社会保障和就业机关事业单位基本养老保险缴费（功能分类科目代码：2080505）:</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48.77</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Cs/>
          <w:color w:val="000000"/>
          <w:sz w:val="32"/>
          <w:szCs w:val="32"/>
        </w:rPr>
        <w:t>社会保障和就业机关事业单位职业年金缴费（功能分类科目代码：2080506）:</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24.39</w:t>
      </w:r>
      <w:r>
        <w:rPr>
          <w:rStyle w:val="21"/>
          <w:rFonts w:hint="default" w:ascii="Times New Roman" w:hAnsi="Times New Roman" w:eastAsia="方正仿宋_GBK" w:cs="Times New Roman"/>
          <w:b w:val="0"/>
          <w:bCs/>
          <w:color w:val="000000"/>
          <w:sz w:val="32"/>
          <w:szCs w:val="32"/>
        </w:rPr>
        <w:t>万元，</w:t>
      </w:r>
      <w:r>
        <w:rPr>
          <w:rFonts w:hint="default" w:ascii="Times New Roman" w:hAnsi="Times New Roman" w:eastAsia="方正仿宋_GBK" w:cs="Times New Roman"/>
          <w:b/>
          <w:bCs/>
          <w:color w:val="000000"/>
          <w:sz w:val="32"/>
          <w:szCs w:val="32"/>
        </w:rPr>
        <w:t>卫生健康</w:t>
      </w:r>
      <w:r>
        <w:rPr>
          <w:rFonts w:hint="default" w:ascii="Times New Roman" w:hAnsi="Times New Roman" w:eastAsia="方正仿宋_GBK" w:cs="Times New Roman"/>
          <w:b/>
          <w:bCs/>
          <w:color w:val="000000"/>
          <w:sz w:val="32"/>
          <w:szCs w:val="32"/>
          <w:lang w:val="en-US" w:eastAsia="zh-CN"/>
        </w:rPr>
        <w:t>支出</w:t>
      </w:r>
      <w:r>
        <w:rPr>
          <w:rStyle w:val="21"/>
          <w:rFonts w:hint="default" w:ascii="Times New Roman" w:hAnsi="Times New Roman" w:eastAsia="方正仿宋_GBK" w:cs="Times New Roman"/>
          <w:bCs/>
          <w:color w:val="000000"/>
          <w:sz w:val="32"/>
          <w:szCs w:val="32"/>
        </w:rPr>
        <w:t>行政单位医疗（功能分类科目代码：2101101）:</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24.42</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Cs/>
          <w:color w:val="000000"/>
          <w:sz w:val="32"/>
          <w:szCs w:val="32"/>
          <w:lang w:val="en-US" w:eastAsia="zh-CN"/>
        </w:rPr>
        <w:t>事业</w:t>
      </w:r>
      <w:r>
        <w:rPr>
          <w:rStyle w:val="21"/>
          <w:rFonts w:hint="default" w:ascii="Times New Roman" w:hAnsi="Times New Roman" w:eastAsia="方正仿宋_GBK" w:cs="Times New Roman"/>
          <w:bCs/>
          <w:color w:val="000000"/>
          <w:sz w:val="32"/>
          <w:szCs w:val="32"/>
        </w:rPr>
        <w:t>单位医疗（功能分类科目代码：210110</w:t>
      </w:r>
      <w:r>
        <w:rPr>
          <w:rStyle w:val="21"/>
          <w:rFonts w:hint="default" w:ascii="Times New Roman" w:hAnsi="Times New Roman" w:eastAsia="方正仿宋_GBK" w:cs="Times New Roman"/>
          <w:bCs/>
          <w:color w:val="000000"/>
          <w:sz w:val="32"/>
          <w:szCs w:val="32"/>
          <w:lang w:val="en-US" w:eastAsia="zh-CN"/>
        </w:rPr>
        <w:t>2</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0.73</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Cs/>
          <w:color w:val="000000"/>
          <w:sz w:val="32"/>
          <w:szCs w:val="32"/>
        </w:rPr>
        <w:t>公务员医疗补助（功能分类科目代码：2101103）:</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为6.</w:t>
      </w:r>
      <w:r>
        <w:rPr>
          <w:rStyle w:val="21"/>
          <w:rFonts w:hint="default" w:ascii="Times New Roman" w:hAnsi="Times New Roman" w:eastAsia="方正仿宋_GBK" w:cs="Times New Roman"/>
          <w:b w:val="0"/>
          <w:bCs/>
          <w:color w:val="000000"/>
          <w:sz w:val="32"/>
          <w:szCs w:val="32"/>
          <w:lang w:val="en-US" w:eastAsia="zh-CN"/>
        </w:rPr>
        <w:t>9</w:t>
      </w:r>
      <w:r>
        <w:rPr>
          <w:rStyle w:val="21"/>
          <w:rFonts w:hint="default" w:ascii="Times New Roman" w:hAnsi="Times New Roman" w:eastAsia="方正仿宋_GBK" w:cs="Times New Roman"/>
          <w:b w:val="0"/>
          <w:bCs/>
          <w:color w:val="000000"/>
          <w:sz w:val="32"/>
          <w:szCs w:val="32"/>
        </w:rPr>
        <w:t>3万元，</w:t>
      </w:r>
      <w:r>
        <w:rPr>
          <w:rStyle w:val="21"/>
          <w:rFonts w:hint="default" w:ascii="Times New Roman" w:hAnsi="Times New Roman" w:eastAsia="方正仿宋_GBK" w:cs="Times New Roman"/>
          <w:b w:val="0"/>
          <w:bCs/>
          <w:color w:val="000000"/>
          <w:sz w:val="32"/>
          <w:szCs w:val="32"/>
          <w:lang w:val="en-US" w:eastAsia="zh-CN"/>
        </w:rPr>
        <w:t>其他行政事业单位医疗支出</w:t>
      </w:r>
      <w:r>
        <w:rPr>
          <w:rStyle w:val="21"/>
          <w:rFonts w:hint="default" w:ascii="Times New Roman" w:hAnsi="Times New Roman" w:eastAsia="方正仿宋_GBK" w:cs="Times New Roman"/>
          <w:bCs/>
          <w:color w:val="000000"/>
          <w:sz w:val="32"/>
          <w:szCs w:val="32"/>
        </w:rPr>
        <w:t>（功能分类科目代码：21011</w:t>
      </w:r>
      <w:r>
        <w:rPr>
          <w:rStyle w:val="21"/>
          <w:rFonts w:hint="default" w:ascii="Times New Roman" w:hAnsi="Times New Roman" w:eastAsia="方正仿宋_GBK" w:cs="Times New Roman"/>
          <w:bCs/>
          <w:color w:val="000000"/>
          <w:sz w:val="32"/>
          <w:szCs w:val="32"/>
          <w:lang w:val="en-US" w:eastAsia="zh-CN"/>
        </w:rPr>
        <w:t>99</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0.18</w:t>
      </w:r>
      <w:r>
        <w:rPr>
          <w:rStyle w:val="21"/>
          <w:rFonts w:hint="default" w:ascii="Times New Roman" w:hAnsi="Times New Roman" w:eastAsia="方正仿宋_GBK" w:cs="Times New Roman"/>
          <w:b w:val="0"/>
          <w:bCs/>
          <w:color w:val="000000"/>
          <w:sz w:val="32"/>
          <w:szCs w:val="32"/>
        </w:rPr>
        <w:t>万元</w:t>
      </w:r>
      <w:r>
        <w:rPr>
          <w:rStyle w:val="21"/>
          <w:rFonts w:hint="eastAsia" w:eastAsia="方正仿宋_GBK" w:cs="Times New Roman"/>
          <w:b w:val="0"/>
          <w:bCs/>
          <w:color w:val="000000"/>
          <w:sz w:val="32"/>
          <w:szCs w:val="32"/>
          <w:lang w:eastAsia="zh-CN"/>
        </w:rPr>
        <w:t>，</w:t>
      </w:r>
      <w:r>
        <w:rPr>
          <w:rStyle w:val="21"/>
          <w:rFonts w:hint="default" w:ascii="Times New Roman" w:hAnsi="Times New Roman" w:eastAsia="方正仿宋_GBK" w:cs="Times New Roman"/>
          <w:bCs/>
          <w:color w:val="000000"/>
          <w:sz w:val="32"/>
          <w:szCs w:val="32"/>
          <w:lang w:val="en-US" w:eastAsia="zh-CN"/>
        </w:rPr>
        <w:t>住房保障支出住房公积金</w:t>
      </w:r>
      <w:r>
        <w:rPr>
          <w:rStyle w:val="21"/>
          <w:rFonts w:hint="default" w:ascii="Times New Roman" w:hAnsi="Times New Roman" w:eastAsia="方正仿宋_GBK" w:cs="Times New Roman"/>
          <w:bCs/>
          <w:color w:val="000000"/>
          <w:sz w:val="32"/>
          <w:szCs w:val="32"/>
        </w:rPr>
        <w:t>（功能分类科目代码：2</w:t>
      </w:r>
      <w:r>
        <w:rPr>
          <w:rStyle w:val="21"/>
          <w:rFonts w:hint="default" w:ascii="Times New Roman" w:hAnsi="Times New Roman" w:eastAsia="方正仿宋_GBK" w:cs="Times New Roman"/>
          <w:bCs/>
          <w:color w:val="000000"/>
          <w:sz w:val="32"/>
          <w:szCs w:val="32"/>
          <w:lang w:val="en-US" w:eastAsia="zh-CN"/>
        </w:rPr>
        <w:t>210201</w:t>
      </w:r>
      <w:r>
        <w:rPr>
          <w:rStyle w:val="21"/>
          <w:rFonts w:hint="default" w:ascii="Times New Roman" w:hAnsi="Times New Roman" w:eastAsia="方正仿宋_GBK" w:cs="Times New Roman"/>
          <w:bCs/>
          <w:color w:val="000000"/>
          <w:sz w:val="32"/>
          <w:szCs w:val="32"/>
        </w:rPr>
        <w:t>）:</w:t>
      </w:r>
      <w:r>
        <w:rPr>
          <w:rStyle w:val="21"/>
          <w:rFonts w:hint="eastAsia" w:eastAsia="方正仿宋_GBK" w:cs="Times New Roman"/>
          <w:b w:val="0"/>
          <w:bCs/>
          <w:color w:val="000000"/>
          <w:sz w:val="32"/>
          <w:szCs w:val="32"/>
          <w:lang w:val="en-US" w:eastAsia="zh-CN"/>
        </w:rPr>
        <w:t>收入</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52.09</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eastAsia="zh-CN"/>
        </w:rPr>
        <w:t>。</w:t>
      </w:r>
    </w:p>
    <w:p>
      <w:pPr>
        <w:spacing w:line="600" w:lineRule="exact"/>
        <w:ind w:firstLine="640" w:firstLineChars="200"/>
        <w:rPr>
          <w:rStyle w:val="21"/>
          <w:rFonts w:hint="default" w:ascii="Times New Roman" w:hAnsi="Times New Roman" w:eastAsia="方正仿宋_GBK" w:cs="Times New Roman"/>
          <w:bCs/>
          <w:color w:val="000000"/>
          <w:sz w:val="32"/>
          <w:szCs w:val="32"/>
          <w:lang w:val="en-US" w:eastAsia="zh-CN"/>
        </w:rPr>
      </w:pPr>
      <w:r>
        <w:rPr>
          <w:rFonts w:eastAsia="仿宋_GB2312"/>
          <w:color w:val="000000"/>
          <w:kern w:val="0"/>
          <w:sz w:val="32"/>
          <w:szCs w:val="32"/>
          <w:shd w:val="clear" w:color="auto" w:fill="FFFFFF"/>
          <w:lang w:val="zh-CN"/>
        </w:rPr>
        <w:t>（二）部门财政资金支出情况。</w:t>
      </w:r>
      <w:r>
        <w:rPr>
          <w:rStyle w:val="21"/>
          <w:rFonts w:hint="default" w:ascii="Times New Roman" w:hAnsi="Times New Roman" w:eastAsia="方正仿宋_GBK" w:cs="Times New Roman"/>
          <w:bCs/>
          <w:color w:val="000000"/>
          <w:sz w:val="32"/>
          <w:szCs w:val="32"/>
          <w:lang w:val="en-US" w:eastAsia="zh-CN"/>
        </w:rPr>
        <w:t>港澳台事务事业运行</w:t>
      </w:r>
      <w:r>
        <w:rPr>
          <w:rStyle w:val="21"/>
          <w:rFonts w:hint="default" w:ascii="Times New Roman" w:hAnsi="Times New Roman" w:eastAsia="方正仿宋_GBK" w:cs="Times New Roman"/>
          <w:bCs/>
          <w:color w:val="000000"/>
          <w:sz w:val="32"/>
          <w:szCs w:val="32"/>
        </w:rPr>
        <w:t>（功能分类科目代码：20</w:t>
      </w:r>
      <w:r>
        <w:rPr>
          <w:rStyle w:val="21"/>
          <w:rFonts w:hint="default" w:ascii="Times New Roman" w:hAnsi="Times New Roman" w:eastAsia="方正仿宋_GBK" w:cs="Times New Roman"/>
          <w:bCs/>
          <w:color w:val="000000"/>
          <w:sz w:val="32"/>
          <w:szCs w:val="32"/>
          <w:lang w:val="en-US" w:eastAsia="zh-CN"/>
        </w:rPr>
        <w:t>12550</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default" w:ascii="Times New Roman" w:hAnsi="Times New Roman" w:eastAsia="方正仿宋_GBK" w:cs="Times New Roman"/>
          <w:b w:val="0"/>
          <w:bCs/>
          <w:color w:val="000000"/>
          <w:sz w:val="32"/>
          <w:szCs w:val="32"/>
          <w:lang w:val="en-US" w:eastAsia="zh-CN"/>
        </w:rPr>
        <w:t>数21.16万元，统战事务行政运行</w:t>
      </w:r>
      <w:r>
        <w:rPr>
          <w:rStyle w:val="21"/>
          <w:rFonts w:hint="default" w:ascii="Times New Roman" w:hAnsi="Times New Roman" w:eastAsia="方正仿宋_GBK" w:cs="Times New Roman"/>
          <w:bCs/>
          <w:color w:val="000000"/>
          <w:sz w:val="32"/>
          <w:szCs w:val="32"/>
        </w:rPr>
        <w:t>（功能分类科目代码：</w:t>
      </w:r>
      <w:r>
        <w:rPr>
          <w:rStyle w:val="21"/>
          <w:rFonts w:hint="default" w:ascii="Times New Roman" w:hAnsi="Times New Roman" w:eastAsia="方正仿宋_GBK" w:cs="Times New Roman"/>
          <w:bCs/>
          <w:color w:val="000000"/>
          <w:sz w:val="32"/>
          <w:szCs w:val="32"/>
          <w:lang w:val="en-US" w:eastAsia="zh-CN"/>
        </w:rPr>
        <w:t>2013401</w:t>
      </w:r>
      <w:r>
        <w:rPr>
          <w:rStyle w:val="21"/>
          <w:rFonts w:hint="default" w:ascii="Times New Roman" w:hAnsi="Times New Roman" w:eastAsia="方正仿宋_GBK" w:cs="Times New Roman"/>
          <w:bCs/>
          <w:color w:val="000000"/>
          <w:sz w:val="32"/>
          <w:szCs w:val="32"/>
        </w:rPr>
        <w:t>）</w:t>
      </w:r>
      <w:r>
        <w:rPr>
          <w:rStyle w:val="21"/>
          <w:rFonts w:hint="eastAsia" w:ascii="Times New Roman" w:hAnsi="Times New Roman" w:eastAsia="方正仿宋_GBK" w:cs="Times New Roman"/>
          <w:b w:val="0"/>
          <w:bCs/>
          <w:color w:val="000000"/>
          <w:sz w:val="32"/>
          <w:szCs w:val="32"/>
          <w:lang w:val="en-US" w:eastAsia="zh-CN"/>
        </w:rPr>
        <w:t>决算数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732.11</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val="en-US" w:eastAsia="zh-CN"/>
        </w:rPr>
        <w:t>统战事务一般行政管理事务</w:t>
      </w:r>
      <w:r>
        <w:rPr>
          <w:rStyle w:val="21"/>
          <w:rFonts w:hint="default" w:ascii="Times New Roman" w:hAnsi="Times New Roman" w:eastAsia="方正仿宋_GBK" w:cs="Times New Roman"/>
          <w:bCs/>
          <w:color w:val="000000"/>
          <w:sz w:val="32"/>
          <w:szCs w:val="32"/>
        </w:rPr>
        <w:t>（功能分类科目代码：20134</w:t>
      </w:r>
      <w:r>
        <w:rPr>
          <w:rStyle w:val="21"/>
          <w:rFonts w:hint="default" w:ascii="Times New Roman" w:hAnsi="Times New Roman" w:eastAsia="方正仿宋_GBK" w:cs="Times New Roman"/>
          <w:bCs/>
          <w:color w:val="000000"/>
          <w:sz w:val="32"/>
          <w:szCs w:val="32"/>
          <w:lang w:val="en-US" w:eastAsia="zh-CN"/>
        </w:rPr>
        <w:t>02</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eastAsia" w:eastAsia="方正仿宋_GBK" w:cs="Times New Roman"/>
          <w:b w:val="0"/>
          <w:bCs/>
          <w:color w:val="000000"/>
          <w:sz w:val="32"/>
          <w:szCs w:val="32"/>
          <w:lang w:val="en-US" w:eastAsia="zh-CN"/>
        </w:rPr>
        <w:t>206.03</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val="en-US" w:eastAsia="zh-CN"/>
        </w:rPr>
        <w:t>统战事务事业运行</w:t>
      </w:r>
      <w:r>
        <w:rPr>
          <w:rStyle w:val="21"/>
          <w:rFonts w:hint="default" w:ascii="Times New Roman" w:hAnsi="Times New Roman" w:eastAsia="方正仿宋_GBK" w:cs="Times New Roman"/>
          <w:bCs/>
          <w:color w:val="000000"/>
          <w:sz w:val="32"/>
          <w:szCs w:val="32"/>
        </w:rPr>
        <w:t>（功能分类科目代码：</w:t>
      </w:r>
      <w:r>
        <w:rPr>
          <w:rStyle w:val="21"/>
          <w:rFonts w:hint="default" w:ascii="Times New Roman" w:hAnsi="Times New Roman" w:eastAsia="方正仿宋_GBK" w:cs="Times New Roman"/>
          <w:bCs/>
          <w:color w:val="000000"/>
          <w:sz w:val="32"/>
          <w:szCs w:val="32"/>
          <w:lang w:val="en-US" w:eastAsia="zh-CN"/>
        </w:rPr>
        <w:t>2013450</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276.37</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val="en-US" w:eastAsia="zh-CN"/>
        </w:rPr>
        <w:t>统战事务其他统战事务支出</w:t>
      </w:r>
      <w:r>
        <w:rPr>
          <w:rStyle w:val="21"/>
          <w:rFonts w:hint="default" w:ascii="Times New Roman" w:hAnsi="Times New Roman" w:eastAsia="方正仿宋_GBK" w:cs="Times New Roman"/>
          <w:bCs/>
          <w:color w:val="000000"/>
          <w:sz w:val="32"/>
          <w:szCs w:val="32"/>
        </w:rPr>
        <w:t>（功能分类科目代码：</w:t>
      </w:r>
      <w:r>
        <w:rPr>
          <w:rStyle w:val="21"/>
          <w:rFonts w:hint="default" w:ascii="Times New Roman" w:hAnsi="Times New Roman" w:eastAsia="方正仿宋_GBK" w:cs="Times New Roman"/>
          <w:bCs/>
          <w:color w:val="000000"/>
          <w:sz w:val="32"/>
          <w:szCs w:val="32"/>
          <w:lang w:val="en-US" w:eastAsia="zh-CN"/>
        </w:rPr>
        <w:t>2013499</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14.99</w:t>
      </w:r>
      <w:r>
        <w:rPr>
          <w:rStyle w:val="21"/>
          <w:rFonts w:hint="default" w:ascii="Times New Roman" w:hAnsi="Times New Roman" w:eastAsia="方正仿宋_GBK" w:cs="Times New Roman"/>
          <w:b w:val="0"/>
          <w:bCs/>
          <w:color w:val="000000"/>
          <w:sz w:val="32"/>
          <w:szCs w:val="32"/>
        </w:rPr>
        <w:t>万元</w:t>
      </w:r>
      <w:r>
        <w:rPr>
          <w:rStyle w:val="21"/>
          <w:rFonts w:hint="eastAsia" w:eastAsia="方正仿宋_GBK" w:cs="Times New Roman"/>
          <w:b w:val="0"/>
          <w:bCs/>
          <w:color w:val="000000"/>
          <w:sz w:val="32"/>
          <w:szCs w:val="32"/>
          <w:lang w:val="en-US" w:eastAsia="zh-CN"/>
        </w:rPr>
        <w:t>，</w:t>
      </w:r>
      <w:r>
        <w:rPr>
          <w:rFonts w:eastAsia="仿宋_GB2312"/>
          <w:color w:val="000000"/>
          <w:kern w:val="0"/>
          <w:sz w:val="32"/>
          <w:szCs w:val="32"/>
        </w:rPr>
        <w:t>年初财政拨款结转结余</w:t>
      </w:r>
      <w:r>
        <w:rPr>
          <w:rFonts w:hint="eastAsia" w:eastAsia="仿宋_GB2312"/>
          <w:color w:val="000000"/>
          <w:kern w:val="0"/>
          <w:sz w:val="32"/>
          <w:szCs w:val="32"/>
          <w:lang w:val="en-US" w:eastAsia="zh-CN"/>
        </w:rPr>
        <w:t>267.61万</w:t>
      </w:r>
      <w:r>
        <w:rPr>
          <w:rFonts w:eastAsia="仿宋_GB2312"/>
          <w:color w:val="000000"/>
          <w:kern w:val="0"/>
          <w:sz w:val="32"/>
          <w:szCs w:val="32"/>
        </w:rPr>
        <w:t>元</w:t>
      </w:r>
      <w:r>
        <w:rPr>
          <w:rFonts w:hint="eastAsia" w:eastAsia="仿宋_GB2312"/>
          <w:color w:val="000000"/>
          <w:kern w:val="0"/>
          <w:sz w:val="32"/>
          <w:szCs w:val="32"/>
          <w:lang w:eastAsia="zh-CN"/>
        </w:rPr>
        <w:t>，</w:t>
      </w:r>
      <w:r>
        <w:rPr>
          <w:rStyle w:val="21"/>
          <w:rFonts w:hint="default" w:ascii="Times New Roman" w:hAnsi="Times New Roman" w:eastAsia="方正仿宋_GBK" w:cs="Times New Roman"/>
          <w:bCs/>
          <w:color w:val="000000"/>
          <w:sz w:val="32"/>
          <w:szCs w:val="32"/>
        </w:rPr>
        <w:t>社会保障和就业机关事业单位基本养老保险缴费（功能分类科目代码：2080505）:</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48.77</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Cs/>
          <w:color w:val="000000"/>
          <w:sz w:val="32"/>
          <w:szCs w:val="32"/>
        </w:rPr>
        <w:t>社会保障和就业机关事业单位职业年金缴费（功能分类科目代码：2080506）:</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24.39</w:t>
      </w:r>
      <w:r>
        <w:rPr>
          <w:rStyle w:val="21"/>
          <w:rFonts w:hint="default" w:ascii="Times New Roman" w:hAnsi="Times New Roman" w:eastAsia="方正仿宋_GBK" w:cs="Times New Roman"/>
          <w:b w:val="0"/>
          <w:bCs/>
          <w:color w:val="000000"/>
          <w:sz w:val="32"/>
          <w:szCs w:val="32"/>
        </w:rPr>
        <w:t>万元，</w:t>
      </w:r>
      <w:r>
        <w:rPr>
          <w:rFonts w:hint="default" w:ascii="Times New Roman" w:hAnsi="Times New Roman" w:eastAsia="方正仿宋_GBK" w:cs="Times New Roman"/>
          <w:b/>
          <w:bCs/>
          <w:color w:val="000000"/>
          <w:sz w:val="32"/>
          <w:szCs w:val="32"/>
        </w:rPr>
        <w:t>卫生健康</w:t>
      </w:r>
      <w:r>
        <w:rPr>
          <w:rFonts w:hint="default" w:ascii="Times New Roman" w:hAnsi="Times New Roman" w:eastAsia="方正仿宋_GBK" w:cs="Times New Roman"/>
          <w:b/>
          <w:bCs/>
          <w:color w:val="000000"/>
          <w:sz w:val="32"/>
          <w:szCs w:val="32"/>
          <w:lang w:val="en-US" w:eastAsia="zh-CN"/>
        </w:rPr>
        <w:t>支出</w:t>
      </w:r>
      <w:r>
        <w:rPr>
          <w:rStyle w:val="21"/>
          <w:rFonts w:hint="default" w:ascii="Times New Roman" w:hAnsi="Times New Roman" w:eastAsia="方正仿宋_GBK" w:cs="Times New Roman"/>
          <w:bCs/>
          <w:color w:val="000000"/>
          <w:sz w:val="32"/>
          <w:szCs w:val="32"/>
        </w:rPr>
        <w:t>行政单位医疗（功能分类科目代码：2101101）:</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24.42</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Cs/>
          <w:color w:val="000000"/>
          <w:sz w:val="32"/>
          <w:szCs w:val="32"/>
          <w:lang w:val="en-US" w:eastAsia="zh-CN"/>
        </w:rPr>
        <w:t>事业</w:t>
      </w:r>
      <w:r>
        <w:rPr>
          <w:rStyle w:val="21"/>
          <w:rFonts w:hint="default" w:ascii="Times New Roman" w:hAnsi="Times New Roman" w:eastAsia="方正仿宋_GBK" w:cs="Times New Roman"/>
          <w:bCs/>
          <w:color w:val="000000"/>
          <w:sz w:val="32"/>
          <w:szCs w:val="32"/>
        </w:rPr>
        <w:t>单位医疗（功能分类科目代码：210110</w:t>
      </w:r>
      <w:r>
        <w:rPr>
          <w:rStyle w:val="21"/>
          <w:rFonts w:hint="default" w:ascii="Times New Roman" w:hAnsi="Times New Roman" w:eastAsia="方正仿宋_GBK" w:cs="Times New Roman"/>
          <w:bCs/>
          <w:color w:val="000000"/>
          <w:sz w:val="32"/>
          <w:szCs w:val="32"/>
          <w:lang w:val="en-US" w:eastAsia="zh-CN"/>
        </w:rPr>
        <w:t>2</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0.73</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Cs/>
          <w:color w:val="000000"/>
          <w:sz w:val="32"/>
          <w:szCs w:val="32"/>
        </w:rPr>
        <w:t>公务员医疗补助（功能分类科目代码：2101103）:</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为6.</w:t>
      </w:r>
      <w:r>
        <w:rPr>
          <w:rStyle w:val="21"/>
          <w:rFonts w:hint="default" w:ascii="Times New Roman" w:hAnsi="Times New Roman" w:eastAsia="方正仿宋_GBK" w:cs="Times New Roman"/>
          <w:b w:val="0"/>
          <w:bCs/>
          <w:color w:val="000000"/>
          <w:sz w:val="32"/>
          <w:szCs w:val="32"/>
          <w:lang w:val="en-US" w:eastAsia="zh-CN"/>
        </w:rPr>
        <w:t>9</w:t>
      </w:r>
      <w:r>
        <w:rPr>
          <w:rStyle w:val="21"/>
          <w:rFonts w:hint="default" w:ascii="Times New Roman" w:hAnsi="Times New Roman" w:eastAsia="方正仿宋_GBK" w:cs="Times New Roman"/>
          <w:b w:val="0"/>
          <w:bCs/>
          <w:color w:val="000000"/>
          <w:sz w:val="32"/>
          <w:szCs w:val="32"/>
        </w:rPr>
        <w:t>3万元，</w:t>
      </w:r>
      <w:r>
        <w:rPr>
          <w:rStyle w:val="21"/>
          <w:rFonts w:hint="default" w:ascii="Times New Roman" w:hAnsi="Times New Roman" w:eastAsia="方正仿宋_GBK" w:cs="Times New Roman"/>
          <w:b w:val="0"/>
          <w:bCs/>
          <w:color w:val="000000"/>
          <w:sz w:val="32"/>
          <w:szCs w:val="32"/>
          <w:lang w:val="en-US" w:eastAsia="zh-CN"/>
        </w:rPr>
        <w:t>其他行政事业单位医疗支出</w:t>
      </w:r>
      <w:r>
        <w:rPr>
          <w:rStyle w:val="21"/>
          <w:rFonts w:hint="default" w:ascii="Times New Roman" w:hAnsi="Times New Roman" w:eastAsia="方正仿宋_GBK" w:cs="Times New Roman"/>
          <w:bCs/>
          <w:color w:val="000000"/>
          <w:sz w:val="32"/>
          <w:szCs w:val="32"/>
        </w:rPr>
        <w:t>（功能分类科目代码：21011</w:t>
      </w:r>
      <w:r>
        <w:rPr>
          <w:rStyle w:val="21"/>
          <w:rFonts w:hint="default" w:ascii="Times New Roman" w:hAnsi="Times New Roman" w:eastAsia="方正仿宋_GBK" w:cs="Times New Roman"/>
          <w:bCs/>
          <w:color w:val="000000"/>
          <w:sz w:val="32"/>
          <w:szCs w:val="32"/>
          <w:lang w:val="en-US" w:eastAsia="zh-CN"/>
        </w:rPr>
        <w:t>99</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0.18</w:t>
      </w:r>
      <w:r>
        <w:rPr>
          <w:rStyle w:val="21"/>
          <w:rFonts w:hint="default" w:ascii="Times New Roman" w:hAnsi="Times New Roman" w:eastAsia="方正仿宋_GBK" w:cs="Times New Roman"/>
          <w:b w:val="0"/>
          <w:bCs/>
          <w:color w:val="000000"/>
          <w:sz w:val="32"/>
          <w:szCs w:val="32"/>
        </w:rPr>
        <w:t>万元</w:t>
      </w:r>
      <w:r>
        <w:rPr>
          <w:rStyle w:val="21"/>
          <w:rFonts w:hint="eastAsia" w:eastAsia="方正仿宋_GBK" w:cs="Times New Roman"/>
          <w:b w:val="0"/>
          <w:bCs/>
          <w:color w:val="000000"/>
          <w:sz w:val="32"/>
          <w:szCs w:val="32"/>
          <w:lang w:eastAsia="zh-CN"/>
        </w:rPr>
        <w:t>，</w:t>
      </w:r>
      <w:r>
        <w:rPr>
          <w:rStyle w:val="21"/>
          <w:rFonts w:hint="default" w:ascii="Times New Roman" w:hAnsi="Times New Roman" w:eastAsia="方正仿宋_GBK" w:cs="Times New Roman"/>
          <w:bCs/>
          <w:color w:val="000000"/>
          <w:sz w:val="32"/>
          <w:szCs w:val="32"/>
          <w:lang w:val="en-US" w:eastAsia="zh-CN"/>
        </w:rPr>
        <w:t>住房保障支出住房公积金</w:t>
      </w:r>
      <w:r>
        <w:rPr>
          <w:rStyle w:val="21"/>
          <w:rFonts w:hint="default" w:ascii="Times New Roman" w:hAnsi="Times New Roman" w:eastAsia="方正仿宋_GBK" w:cs="Times New Roman"/>
          <w:bCs/>
          <w:color w:val="000000"/>
          <w:sz w:val="32"/>
          <w:szCs w:val="32"/>
        </w:rPr>
        <w:t>（功能分类科目代码：2</w:t>
      </w:r>
      <w:r>
        <w:rPr>
          <w:rStyle w:val="21"/>
          <w:rFonts w:hint="default" w:ascii="Times New Roman" w:hAnsi="Times New Roman" w:eastAsia="方正仿宋_GBK" w:cs="Times New Roman"/>
          <w:bCs/>
          <w:color w:val="000000"/>
          <w:sz w:val="32"/>
          <w:szCs w:val="32"/>
          <w:lang w:val="en-US" w:eastAsia="zh-CN"/>
        </w:rPr>
        <w:t>210201</w:t>
      </w:r>
      <w:r>
        <w:rPr>
          <w:rStyle w:val="21"/>
          <w:rFonts w:hint="default" w:ascii="Times New Roman" w:hAnsi="Times New Roman" w:eastAsia="方正仿宋_GBK" w:cs="Times New Roman"/>
          <w:bCs/>
          <w:color w:val="000000"/>
          <w:sz w:val="32"/>
          <w:szCs w:val="32"/>
        </w:rPr>
        <w:t>）:</w:t>
      </w:r>
      <w:r>
        <w:rPr>
          <w:rStyle w:val="21"/>
          <w:rFonts w:hint="default" w:ascii="Times New Roman" w:hAnsi="Times New Roman" w:eastAsia="方正仿宋_GBK" w:cs="Times New Roman"/>
          <w:b w:val="0"/>
          <w:bCs/>
          <w:color w:val="000000"/>
          <w:sz w:val="32"/>
          <w:szCs w:val="32"/>
        </w:rPr>
        <w:t>决算</w:t>
      </w:r>
      <w:r>
        <w:rPr>
          <w:rStyle w:val="21"/>
          <w:rFonts w:hint="eastAsia" w:eastAsia="方正仿宋_GBK" w:cs="Times New Roman"/>
          <w:b w:val="0"/>
          <w:bCs/>
          <w:color w:val="000000"/>
          <w:sz w:val="32"/>
          <w:szCs w:val="32"/>
          <w:lang w:val="en-US" w:eastAsia="zh-CN"/>
        </w:rPr>
        <w:t>数</w:t>
      </w:r>
      <w:r>
        <w:rPr>
          <w:rStyle w:val="21"/>
          <w:rFonts w:hint="default" w:ascii="Times New Roman" w:hAnsi="Times New Roman" w:eastAsia="方正仿宋_GBK" w:cs="Times New Roman"/>
          <w:b w:val="0"/>
          <w:bCs/>
          <w:color w:val="000000"/>
          <w:sz w:val="32"/>
          <w:szCs w:val="32"/>
        </w:rPr>
        <w:t>为</w:t>
      </w:r>
      <w:r>
        <w:rPr>
          <w:rStyle w:val="21"/>
          <w:rFonts w:hint="default" w:ascii="Times New Roman" w:hAnsi="Times New Roman" w:eastAsia="方正仿宋_GBK" w:cs="Times New Roman"/>
          <w:b w:val="0"/>
          <w:bCs/>
          <w:color w:val="000000"/>
          <w:sz w:val="32"/>
          <w:szCs w:val="32"/>
          <w:lang w:val="en-US" w:eastAsia="zh-CN"/>
        </w:rPr>
        <w:t>52.09</w:t>
      </w:r>
      <w:r>
        <w:rPr>
          <w:rStyle w:val="21"/>
          <w:rFonts w:hint="default" w:ascii="Times New Roman" w:hAnsi="Times New Roman" w:eastAsia="方正仿宋_GBK" w:cs="Times New Roman"/>
          <w:b w:val="0"/>
          <w:bCs/>
          <w:color w:val="000000"/>
          <w:sz w:val="32"/>
          <w:szCs w:val="32"/>
        </w:rPr>
        <w:t>万元</w:t>
      </w:r>
      <w:r>
        <w:rPr>
          <w:rStyle w:val="21"/>
          <w:rFonts w:hint="default" w:ascii="Times New Roman" w:hAnsi="Times New Roman" w:eastAsia="方正仿宋_GBK" w:cs="Times New Roman"/>
          <w:b w:val="0"/>
          <w:bCs/>
          <w:color w:val="000000"/>
          <w:sz w:val="32"/>
          <w:szCs w:val="32"/>
          <w:lang w:eastAsia="zh-CN"/>
        </w:rPr>
        <w:t>。</w:t>
      </w:r>
    </w:p>
    <w:p>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zh-CN"/>
        </w:rPr>
        <w:t>部门绩效目标制定。</w:t>
      </w:r>
      <w:r>
        <w:rPr>
          <w:rFonts w:eastAsia="仿宋_GB2312"/>
          <w:color w:val="000000"/>
          <w:kern w:val="0"/>
          <w:sz w:val="32"/>
          <w:szCs w:val="32"/>
        </w:rPr>
        <w:t>州委统战部涉及24个项目，全部按项目经费来源和用途编制绩效目标。</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目标实现。</w:t>
      </w:r>
      <w:r>
        <w:rPr>
          <w:rFonts w:hint="eastAsia" w:eastAsia="仿宋_GB2312"/>
          <w:color w:val="000000"/>
          <w:kern w:val="0"/>
          <w:sz w:val="32"/>
          <w:szCs w:val="32"/>
          <w:lang w:eastAsia="zh-CN"/>
        </w:rPr>
        <w:t>2021</w:t>
      </w:r>
      <w:r>
        <w:rPr>
          <w:rFonts w:eastAsia="仿宋_GB2312"/>
          <w:color w:val="000000"/>
          <w:kern w:val="0"/>
          <w:sz w:val="32"/>
          <w:szCs w:val="32"/>
        </w:rPr>
        <w:t>年因疫情影响，干部培训、朝觐、藏胞座谈会</w:t>
      </w: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党外代表人士新春座谈会</w:t>
      </w:r>
      <w:r>
        <w:rPr>
          <w:rFonts w:eastAsia="仿宋_GB2312"/>
          <w:color w:val="000000"/>
          <w:kern w:val="0"/>
          <w:sz w:val="32"/>
          <w:szCs w:val="32"/>
        </w:rPr>
        <w:t>等经费未能如期使用，其余项目均按年初预算绩效目标完成。</w:t>
      </w:r>
    </w:p>
    <w:p>
      <w:pPr>
        <w:spacing w:line="600" w:lineRule="exact"/>
        <w:ind w:firstLine="640" w:firstLineChars="200"/>
        <w:rPr>
          <w:rFonts w:eastAsia="仿宋_GB2312"/>
          <w:color w:val="000000"/>
          <w:kern w:val="0"/>
          <w:sz w:val="32"/>
          <w:szCs w:val="32"/>
          <w:u w:val="single"/>
        </w:rPr>
      </w:pPr>
      <w:r>
        <w:rPr>
          <w:rFonts w:eastAsia="仿宋_GB2312"/>
          <w:color w:val="000000"/>
          <w:kern w:val="0"/>
          <w:sz w:val="32"/>
          <w:szCs w:val="32"/>
        </w:rPr>
        <w:t>3.</w:t>
      </w:r>
      <w:r>
        <w:rPr>
          <w:rFonts w:eastAsia="仿宋_GB2312"/>
          <w:color w:val="000000"/>
          <w:kern w:val="0"/>
          <w:sz w:val="32"/>
          <w:szCs w:val="32"/>
          <w:lang w:val="zh-CN"/>
        </w:rPr>
        <w:t>预算编制</w:t>
      </w:r>
      <w:r>
        <w:rPr>
          <w:rFonts w:hint="eastAsia" w:eastAsia="仿宋_GB2312"/>
          <w:color w:val="000000"/>
          <w:kern w:val="0"/>
          <w:sz w:val="32"/>
          <w:szCs w:val="32"/>
          <w:lang w:val="en-US" w:eastAsia="zh-CN"/>
        </w:rPr>
        <w:t>较为</w:t>
      </w:r>
      <w:r>
        <w:rPr>
          <w:rFonts w:eastAsia="仿宋_GB2312"/>
          <w:color w:val="000000"/>
          <w:kern w:val="0"/>
          <w:sz w:val="32"/>
          <w:szCs w:val="32"/>
          <w:lang w:val="zh-CN"/>
        </w:rPr>
        <w:t>准确。</w:t>
      </w:r>
      <w:r>
        <w:rPr>
          <w:rFonts w:hint="eastAsia" w:eastAsia="仿宋_GB2312"/>
          <w:color w:val="000000"/>
          <w:kern w:val="0"/>
          <w:sz w:val="32"/>
          <w:szCs w:val="32"/>
          <w:lang w:val="en-US" w:eastAsia="zh-CN"/>
        </w:rPr>
        <w:t>预算数与决算数差异值为60.74万元，</w:t>
      </w:r>
      <w:r>
        <w:rPr>
          <w:rFonts w:hint="eastAsia" w:eastAsia="方正仿宋_GBK" w:cs="Times New Roman"/>
          <w:color w:val="000000"/>
          <w:sz w:val="32"/>
          <w:szCs w:val="32"/>
          <w:lang w:val="en-US" w:eastAsia="zh-CN"/>
        </w:rPr>
        <w:t>主要由工资福利支出导致差异，人员经费年初预算数大于决算数66.17万元。</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4.</w:t>
      </w:r>
      <w:r>
        <w:rPr>
          <w:rFonts w:eastAsia="仿宋_GB2312"/>
          <w:color w:val="000000"/>
          <w:kern w:val="0"/>
          <w:sz w:val="32"/>
          <w:szCs w:val="32"/>
          <w:lang w:val="zh-CN"/>
        </w:rPr>
        <w:t>支出控制。</w:t>
      </w:r>
      <w:r>
        <w:rPr>
          <w:rFonts w:eastAsia="仿宋_GB2312"/>
          <w:color w:val="000000"/>
          <w:kern w:val="0"/>
          <w:sz w:val="32"/>
          <w:szCs w:val="32"/>
        </w:rPr>
        <w:t>经费严格按支出相符性、会计核算资料完整性、真实性执行。做到花最少的钱办最好的事，节约高效利用财政拨入经费。</w:t>
      </w:r>
    </w:p>
    <w:p>
      <w:pPr>
        <w:widowControl/>
        <w:adjustRightInd w:val="0"/>
        <w:snapToGrid w:val="0"/>
        <w:spacing w:line="580" w:lineRule="exact"/>
        <w:ind w:firstLine="640" w:firstLineChars="200"/>
        <w:contextualSpacing/>
        <w:jc w:val="left"/>
        <w:rPr>
          <w:rFonts w:hint="default" w:eastAsia="仿宋_GB2312"/>
          <w:color w:val="000000"/>
          <w:kern w:val="0"/>
          <w:sz w:val="32"/>
          <w:szCs w:val="32"/>
          <w:lang w:val="en-US" w:eastAsia="zh-CN"/>
        </w:rPr>
      </w:pPr>
      <w:r>
        <w:rPr>
          <w:rFonts w:eastAsia="仿宋_GB2312"/>
          <w:color w:val="000000"/>
          <w:kern w:val="0"/>
          <w:sz w:val="32"/>
          <w:szCs w:val="32"/>
        </w:rPr>
        <w:t>5.</w:t>
      </w:r>
      <w:r>
        <w:rPr>
          <w:rFonts w:eastAsia="仿宋_GB2312"/>
          <w:color w:val="000000"/>
          <w:kern w:val="0"/>
          <w:sz w:val="32"/>
          <w:szCs w:val="32"/>
          <w:lang w:val="zh-CN"/>
        </w:rPr>
        <w:t>预算动态调整。</w:t>
      </w:r>
      <w:r>
        <w:rPr>
          <w:rFonts w:eastAsia="仿宋_GB2312"/>
          <w:color w:val="000000"/>
          <w:kern w:val="0"/>
          <w:sz w:val="32"/>
          <w:szCs w:val="32"/>
        </w:rPr>
        <w:t>依法依规追加</w:t>
      </w:r>
      <w:r>
        <w:rPr>
          <w:rFonts w:hint="eastAsia" w:eastAsia="仿宋_GB2312"/>
          <w:color w:val="000000"/>
          <w:kern w:val="0"/>
          <w:sz w:val="32"/>
          <w:szCs w:val="32"/>
          <w:lang w:val="en-US" w:eastAsia="zh-CN"/>
        </w:rPr>
        <w:t>9.45万</w:t>
      </w:r>
      <w:r>
        <w:rPr>
          <w:rFonts w:eastAsia="仿宋_GB2312"/>
          <w:color w:val="000000"/>
          <w:kern w:val="0"/>
          <w:sz w:val="32"/>
          <w:szCs w:val="32"/>
        </w:rPr>
        <w:t>元会议经费。</w:t>
      </w:r>
      <w:r>
        <w:rPr>
          <w:rFonts w:hint="eastAsia" w:eastAsia="仿宋_GB2312"/>
          <w:color w:val="000000"/>
          <w:kern w:val="0"/>
          <w:sz w:val="32"/>
          <w:szCs w:val="32"/>
          <w:lang w:val="en-US" w:eastAsia="zh-CN"/>
        </w:rPr>
        <w:t>按比例压减三公经费。</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6.</w:t>
      </w:r>
      <w:r>
        <w:rPr>
          <w:rFonts w:eastAsia="仿宋_GB2312"/>
          <w:color w:val="000000"/>
          <w:kern w:val="0"/>
          <w:sz w:val="32"/>
          <w:szCs w:val="32"/>
          <w:lang w:val="zh-CN"/>
        </w:rPr>
        <w:t>执行进度。</w:t>
      </w:r>
      <w:r>
        <w:rPr>
          <w:rFonts w:eastAsia="仿宋_GB2312"/>
          <w:color w:val="000000"/>
          <w:kern w:val="0"/>
          <w:sz w:val="32"/>
          <w:szCs w:val="32"/>
        </w:rPr>
        <w:t>做到每季度统计经费执行情况，及时向分管领导报告单位经费运转情况，无年底突击花钱现象，支出进度较理想。</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7.</w:t>
      </w:r>
      <w:r>
        <w:rPr>
          <w:rFonts w:eastAsia="仿宋_GB2312"/>
          <w:color w:val="000000"/>
          <w:kern w:val="0"/>
          <w:sz w:val="32"/>
          <w:szCs w:val="32"/>
          <w:lang w:val="zh-CN"/>
        </w:rPr>
        <w:t>预算完成情况。</w:t>
      </w:r>
      <w:r>
        <w:rPr>
          <w:rFonts w:hint="eastAsia" w:eastAsia="仿宋_GB2312"/>
          <w:color w:val="000000"/>
          <w:kern w:val="0"/>
          <w:sz w:val="32"/>
          <w:szCs w:val="32"/>
          <w:lang w:eastAsia="zh-CN"/>
        </w:rPr>
        <w:t>2021</w:t>
      </w:r>
      <w:r>
        <w:rPr>
          <w:rFonts w:eastAsia="仿宋_GB2312"/>
          <w:color w:val="000000"/>
          <w:kern w:val="0"/>
          <w:sz w:val="32"/>
          <w:szCs w:val="32"/>
        </w:rPr>
        <w:t>年因疫情影响，干部培训、朝觐、藏胞座谈会</w:t>
      </w: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党外代表人士新春座谈会</w:t>
      </w:r>
      <w:r>
        <w:rPr>
          <w:rFonts w:eastAsia="仿宋_GB2312"/>
          <w:color w:val="000000"/>
          <w:kern w:val="0"/>
          <w:sz w:val="32"/>
          <w:szCs w:val="32"/>
        </w:rPr>
        <w:t>等经费未能如期使用，其余项目均按年初预算完成。</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8.</w:t>
      </w:r>
      <w:r>
        <w:rPr>
          <w:rFonts w:eastAsia="仿宋_GB2312"/>
          <w:color w:val="000000"/>
          <w:kern w:val="0"/>
          <w:sz w:val="32"/>
          <w:szCs w:val="32"/>
          <w:lang w:val="zh-CN"/>
        </w:rPr>
        <w:t>违规记录。</w:t>
      </w:r>
      <w:r>
        <w:rPr>
          <w:rFonts w:eastAsia="仿宋_GB2312"/>
          <w:color w:val="000000"/>
          <w:kern w:val="0"/>
          <w:sz w:val="32"/>
          <w:szCs w:val="32"/>
        </w:rPr>
        <w:t>无。</w:t>
      </w:r>
    </w:p>
    <w:p>
      <w:pPr>
        <w:widowControl/>
        <w:adjustRightInd w:val="0"/>
        <w:snapToGrid w:val="0"/>
        <w:spacing w:line="58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zh-CN"/>
        </w:rPr>
        <w:t>绩效自评公开。</w:t>
      </w:r>
      <w:r>
        <w:rPr>
          <w:rFonts w:eastAsia="仿宋_GB2312"/>
          <w:color w:val="000000"/>
          <w:kern w:val="0"/>
          <w:sz w:val="32"/>
          <w:szCs w:val="32"/>
        </w:rPr>
        <w:t>依法依规并结合保密要求，公开单位预决算相关表格和报告。</w:t>
      </w:r>
    </w:p>
    <w:p>
      <w:pPr>
        <w:widowControl/>
        <w:adjustRightInd w:val="0"/>
        <w:snapToGrid w:val="0"/>
        <w:spacing w:line="58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应用结果反馈。</w:t>
      </w:r>
      <w:r>
        <w:rPr>
          <w:rFonts w:eastAsia="仿宋_GB2312"/>
          <w:color w:val="000000"/>
          <w:kern w:val="0"/>
          <w:sz w:val="32"/>
          <w:szCs w:val="32"/>
        </w:rPr>
        <w:t>因部分项目经费未使用源自疫情影响，2021年项目预算并未做删减。</w:t>
      </w:r>
    </w:p>
    <w:p>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widowControl/>
        <w:spacing w:line="578" w:lineRule="exact"/>
        <w:ind w:firstLine="643" w:firstLineChars="200"/>
        <w:rPr>
          <w:rFonts w:eastAsia="仿宋_GB2312"/>
          <w:b/>
          <w:bCs/>
          <w:color w:val="000000"/>
          <w:kern w:val="0"/>
          <w:sz w:val="32"/>
          <w:szCs w:val="32"/>
          <w:lang w:val="zh-CN"/>
        </w:rPr>
      </w:pPr>
      <w:r>
        <w:rPr>
          <w:rFonts w:eastAsia="仿宋_GB2312"/>
          <w:b/>
          <w:bCs/>
          <w:color w:val="000000"/>
          <w:kern w:val="0"/>
          <w:sz w:val="32"/>
          <w:szCs w:val="32"/>
          <w:lang w:val="zh-CN"/>
        </w:rPr>
        <w:t>（一）评价结论。</w:t>
      </w:r>
      <w:r>
        <w:rPr>
          <w:rFonts w:eastAsia="仿宋_GB2312"/>
          <w:color w:val="000000"/>
          <w:kern w:val="0"/>
          <w:sz w:val="32"/>
          <w:szCs w:val="32"/>
        </w:rPr>
        <w:t>自评总分：</w:t>
      </w:r>
      <w:r>
        <w:rPr>
          <w:color w:val="000000"/>
          <w:kern w:val="0"/>
          <w:sz w:val="32"/>
          <w:szCs w:val="32"/>
        </w:rPr>
        <w:t>81</w:t>
      </w:r>
      <w:r>
        <w:rPr>
          <w:rFonts w:eastAsia="仿宋_GB2312"/>
          <w:b/>
          <w:bCs/>
          <w:color w:val="000000"/>
          <w:kern w:val="0"/>
          <w:sz w:val="32"/>
          <w:szCs w:val="32"/>
        </w:rPr>
        <w:t>分</w:t>
      </w:r>
      <w:r>
        <w:rPr>
          <w:rFonts w:eastAsia="仿宋_GB2312"/>
          <w:color w:val="000000"/>
          <w:kern w:val="0"/>
          <w:sz w:val="32"/>
          <w:szCs w:val="32"/>
        </w:rPr>
        <w:t>。</w:t>
      </w:r>
    </w:p>
    <w:p>
      <w:pPr>
        <w:widowControl/>
        <w:spacing w:line="578" w:lineRule="exact"/>
        <w:ind w:firstLine="643" w:firstLineChars="200"/>
        <w:rPr>
          <w:rFonts w:eastAsia="仿宋_GB2312"/>
          <w:color w:val="000000"/>
          <w:kern w:val="0"/>
          <w:sz w:val="32"/>
          <w:szCs w:val="32"/>
        </w:rPr>
      </w:pPr>
      <w:r>
        <w:rPr>
          <w:rFonts w:eastAsia="仿宋_GB2312"/>
          <w:b/>
          <w:bCs/>
          <w:color w:val="000000"/>
          <w:kern w:val="0"/>
          <w:sz w:val="32"/>
          <w:szCs w:val="32"/>
          <w:lang w:val="zh-CN"/>
        </w:rPr>
        <w:t>（二）存在问题。</w:t>
      </w:r>
      <w:r>
        <w:rPr>
          <w:rFonts w:eastAsia="仿宋_GB2312"/>
          <w:color w:val="000000"/>
          <w:kern w:val="0"/>
          <w:sz w:val="32"/>
          <w:szCs w:val="32"/>
        </w:rPr>
        <w:t>一是预算编制准确度有待提高，存在中期追加、期末追减情况。二是固定资产卡片有未及时更新情况，管理有待完善。三是预算执行进度有待提高，受新冠疫情影响，</w:t>
      </w:r>
      <w:r>
        <w:rPr>
          <w:rFonts w:hint="eastAsia" w:eastAsia="仿宋_GB2312"/>
          <w:color w:val="000000"/>
          <w:kern w:val="0"/>
          <w:sz w:val="32"/>
          <w:szCs w:val="32"/>
          <w:lang w:eastAsia="zh-CN"/>
        </w:rPr>
        <w:t>2021</w:t>
      </w:r>
      <w:r>
        <w:rPr>
          <w:rFonts w:eastAsia="仿宋_GB2312"/>
          <w:color w:val="000000"/>
          <w:kern w:val="0"/>
          <w:sz w:val="32"/>
          <w:szCs w:val="32"/>
        </w:rPr>
        <w:t>年度项目执行情况不佳。</w:t>
      </w:r>
    </w:p>
    <w:p>
      <w:pPr>
        <w:spacing w:line="580" w:lineRule="exact"/>
        <w:ind w:firstLine="643" w:firstLineChars="200"/>
        <w:rPr>
          <w:rFonts w:eastAsia="仿宋_GB2312"/>
          <w:sz w:val="32"/>
          <w:szCs w:val="32"/>
        </w:rPr>
      </w:pPr>
      <w:r>
        <w:rPr>
          <w:rFonts w:eastAsia="仿宋_GB2312"/>
          <w:b/>
          <w:bCs/>
          <w:color w:val="000000"/>
          <w:kern w:val="0"/>
          <w:sz w:val="32"/>
          <w:szCs w:val="32"/>
          <w:lang w:val="zh-CN"/>
        </w:rPr>
        <w:t>（三）改进建议。</w:t>
      </w:r>
      <w:r>
        <w:rPr>
          <w:rFonts w:eastAsia="仿宋_GB2312"/>
          <w:color w:val="000000"/>
          <w:kern w:val="0"/>
          <w:sz w:val="32"/>
          <w:szCs w:val="32"/>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pPr>
        <w:spacing w:line="580" w:lineRule="exact"/>
        <w:rPr>
          <w:rFonts w:hint="default" w:ascii="黑体" w:hAnsi="黑体" w:eastAsia="黑体" w:cs="黑体"/>
          <w:sz w:val="32"/>
          <w:szCs w:val="32"/>
          <w:lang w:val="en-US" w:eastAsia="zh-CN"/>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p>
      <w:pPr>
        <w:spacing w:line="580" w:lineRule="exact"/>
        <w:ind w:firstLine="640" w:firstLineChars="200"/>
        <w:rPr>
          <w:rFonts w:hint="default" w:ascii="Times New Roman" w:hAnsi="Times New Roman" w:eastAsia="方正仿宋_GBK" w:cs="Times New Roman"/>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b/>
                <w:bCs/>
                <w:color w:val="000000"/>
                <w:kern w:val="0"/>
                <w:sz w:val="36"/>
                <w:szCs w:val="36"/>
              </w:rPr>
            </w:pPr>
            <w:r>
              <w:rPr>
                <w:b/>
                <w:bCs/>
                <w:color w:val="000000"/>
                <w:kern w:val="0"/>
                <w:sz w:val="36"/>
                <w:szCs w:val="36"/>
              </w:rPr>
              <w:t>项目绩效目标完成情况表</w:t>
            </w:r>
          </w:p>
          <w:p>
            <w:pPr>
              <w:widowControl/>
              <w:jc w:val="center"/>
              <w:textAlignment w:val="center"/>
              <w:rPr>
                <w:color w:val="000000"/>
                <w:sz w:val="36"/>
                <w:szCs w:val="36"/>
              </w:rPr>
            </w:pPr>
            <w:r>
              <w:rPr>
                <w:color w:val="000000"/>
                <w:kern w:val="0"/>
                <w:sz w:val="36"/>
                <w:szCs w:val="36"/>
              </w:rPr>
              <w:t>(</w:t>
            </w:r>
            <w:r>
              <w:rPr>
                <w:rFonts w:hint="eastAsia"/>
                <w:color w:val="000000"/>
                <w:kern w:val="0"/>
                <w:sz w:val="36"/>
                <w:szCs w:val="36"/>
                <w:lang w:eastAsia="zh-CN"/>
              </w:rPr>
              <w:t>2021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《阿坝日报》藏文版、《四川民族教育报》报刊费）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中共阿坝州委统战部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16.5万元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16.5万元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为全州292座寺庙征订报刊</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为全州292座寺庙征订了报刊</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支出的合规性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支出的相符性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经费支出属于项目涵盖范围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292座寺庙征订报刊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292座寺庙征订报刊</w:t>
            </w:r>
          </w:p>
        </w:tc>
      </w:tr>
    </w:tbl>
    <w:p>
      <w:pPr>
        <w:spacing w:line="580" w:lineRule="exact"/>
        <w:ind w:left="630"/>
        <w:rPr>
          <w:rFonts w:eastAsia="仿宋_GB2312"/>
          <w:sz w:val="32"/>
          <w:szCs w:val="32"/>
        </w:rPr>
      </w:pPr>
    </w:p>
    <w:p>
      <w:pPr>
        <w:spacing w:line="580" w:lineRule="exact"/>
        <w:ind w:left="630"/>
        <w:rPr>
          <w:rFonts w:eastAsia="仿宋_GB2312"/>
          <w:sz w:val="32"/>
          <w:szCs w:val="32"/>
        </w:rPr>
      </w:pPr>
    </w:p>
    <w:p>
      <w:pPr>
        <w:spacing w:line="580" w:lineRule="exact"/>
        <w:rPr>
          <w:rFonts w:eastAsia="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b/>
                <w:bCs/>
                <w:color w:val="000000"/>
                <w:kern w:val="0"/>
                <w:sz w:val="36"/>
                <w:szCs w:val="36"/>
              </w:rPr>
            </w:pPr>
            <w:r>
              <w:rPr>
                <w:b/>
                <w:bCs/>
                <w:color w:val="000000"/>
                <w:kern w:val="0"/>
                <w:sz w:val="36"/>
                <w:szCs w:val="36"/>
              </w:rPr>
              <w:t>项目绩效目标完成情况表</w:t>
            </w:r>
          </w:p>
          <w:p>
            <w:pPr>
              <w:widowControl/>
              <w:jc w:val="center"/>
              <w:textAlignment w:val="center"/>
              <w:rPr>
                <w:color w:val="000000"/>
                <w:sz w:val="36"/>
                <w:szCs w:val="36"/>
              </w:rPr>
            </w:pPr>
            <w:r>
              <w:rPr>
                <w:color w:val="000000"/>
                <w:kern w:val="0"/>
                <w:sz w:val="36"/>
                <w:szCs w:val="36"/>
              </w:rPr>
              <w:t>(</w:t>
            </w:r>
            <w:r>
              <w:rPr>
                <w:rFonts w:hint="eastAsia"/>
                <w:color w:val="000000"/>
                <w:kern w:val="0"/>
                <w:sz w:val="36"/>
                <w:szCs w:val="36"/>
                <w:lang w:eastAsia="zh-CN"/>
              </w:rPr>
              <w:t>2021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小车大修费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中共阿坝州委统战部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6.25</w:t>
            </w:r>
            <w:r>
              <w:rPr>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6.25</w:t>
            </w:r>
            <w:r>
              <w:rPr>
                <w:color w:val="000000"/>
                <w:sz w:val="24"/>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1辆公车大修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1辆公车大修</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支出的合规性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支出的相符性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经费支出属于项目涵盖范围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1辆公车大修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1辆公车大修</w:t>
            </w:r>
          </w:p>
        </w:tc>
      </w:tr>
    </w:tbl>
    <w:p>
      <w:pPr>
        <w:spacing w:line="580" w:lineRule="exact"/>
        <w:ind w:left="630"/>
        <w:rPr>
          <w:rFonts w:eastAsia="仿宋_GB2312"/>
          <w:sz w:val="32"/>
          <w:szCs w:val="32"/>
        </w:rPr>
      </w:pPr>
    </w:p>
    <w:p>
      <w:pPr>
        <w:spacing w:line="580" w:lineRule="exact"/>
        <w:ind w:left="630"/>
        <w:rPr>
          <w:rFonts w:eastAsia="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b/>
                <w:bCs/>
                <w:color w:val="000000"/>
                <w:kern w:val="0"/>
                <w:sz w:val="36"/>
                <w:szCs w:val="36"/>
              </w:rPr>
            </w:pPr>
            <w:r>
              <w:rPr>
                <w:b/>
                <w:bCs/>
                <w:color w:val="000000"/>
                <w:kern w:val="0"/>
                <w:sz w:val="36"/>
                <w:szCs w:val="36"/>
              </w:rPr>
              <w:t>项目绩效目标完成情况表</w:t>
            </w:r>
          </w:p>
          <w:p>
            <w:pPr>
              <w:widowControl/>
              <w:jc w:val="center"/>
              <w:textAlignment w:val="center"/>
              <w:rPr>
                <w:color w:val="000000"/>
                <w:sz w:val="36"/>
                <w:szCs w:val="36"/>
              </w:rPr>
            </w:pPr>
            <w:r>
              <w:rPr>
                <w:color w:val="000000"/>
                <w:kern w:val="0"/>
                <w:sz w:val="36"/>
                <w:szCs w:val="36"/>
              </w:rPr>
              <w:t>(</w:t>
            </w:r>
            <w:r>
              <w:rPr>
                <w:rFonts w:hint="eastAsia"/>
                <w:color w:val="000000"/>
                <w:kern w:val="0"/>
                <w:sz w:val="36"/>
                <w:szCs w:val="36"/>
                <w:lang w:eastAsia="zh-CN"/>
              </w:rPr>
              <w:t>2021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伊斯兰协会慰问活动</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中共阿坝州委统战部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color w:val="000000"/>
                <w:sz w:val="24"/>
              </w:rPr>
              <w:t>慰问25座清真寺、4</w:t>
            </w:r>
            <w:r>
              <w:rPr>
                <w:rFonts w:hint="eastAsia"/>
                <w:color w:val="000000"/>
                <w:sz w:val="24"/>
                <w:lang w:val="en-US" w:eastAsia="zh-CN"/>
              </w:rPr>
              <w:t>3</w:t>
            </w:r>
            <w:r>
              <w:rPr>
                <w:color w:val="000000"/>
                <w:sz w:val="24"/>
              </w:rPr>
              <w:t>名教职人员、95名贫困人员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color w:val="000000"/>
                <w:sz w:val="24"/>
                <w:lang w:val="en-US"/>
              </w:rPr>
            </w:pPr>
            <w:r>
              <w:rPr>
                <w:color w:val="000000"/>
                <w:sz w:val="24"/>
              </w:rPr>
              <w:t>慰问25座清真寺、4</w:t>
            </w:r>
            <w:r>
              <w:rPr>
                <w:rFonts w:hint="eastAsia"/>
                <w:color w:val="000000"/>
                <w:sz w:val="24"/>
                <w:lang w:val="en-US" w:eastAsia="zh-CN"/>
              </w:rPr>
              <w:t>3</w:t>
            </w:r>
            <w:r>
              <w:rPr>
                <w:color w:val="000000"/>
                <w:sz w:val="24"/>
              </w:rPr>
              <w:t>名教职人员、95名贫困人员</w:t>
            </w:r>
            <w:r>
              <w:rPr>
                <w:rFonts w:hint="eastAsia"/>
                <w:color w:val="000000"/>
                <w:sz w:val="24"/>
                <w:lang w:eastAsia="zh-CN"/>
              </w:rPr>
              <w:t>、</w:t>
            </w:r>
            <w:r>
              <w:rPr>
                <w:rFonts w:hint="eastAsia"/>
                <w:color w:val="000000"/>
                <w:sz w:val="24"/>
                <w:lang w:val="en-US" w:eastAsia="zh-CN"/>
              </w:rPr>
              <w:t>2名贫困民管会成员和8名疾病患者</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支出的合规性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支出的相符性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经费支出属于项目涵盖范围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慰问25座清真寺、4</w:t>
            </w:r>
            <w:r>
              <w:rPr>
                <w:rFonts w:hint="eastAsia"/>
                <w:color w:val="000000"/>
                <w:sz w:val="24"/>
                <w:lang w:val="en-US" w:eastAsia="zh-CN"/>
              </w:rPr>
              <w:t>3</w:t>
            </w:r>
            <w:r>
              <w:rPr>
                <w:color w:val="000000"/>
                <w:sz w:val="24"/>
              </w:rPr>
              <w:t>名教职人员、95名贫困人员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慰问25座清真寺、4</w:t>
            </w:r>
            <w:r>
              <w:rPr>
                <w:rFonts w:hint="eastAsia"/>
                <w:color w:val="000000"/>
                <w:sz w:val="24"/>
                <w:lang w:val="en-US" w:eastAsia="zh-CN"/>
              </w:rPr>
              <w:t>3</w:t>
            </w:r>
            <w:r>
              <w:rPr>
                <w:color w:val="000000"/>
                <w:sz w:val="24"/>
              </w:rPr>
              <w:t>名教职人员、95名贫困人员</w:t>
            </w:r>
            <w:r>
              <w:rPr>
                <w:rFonts w:hint="eastAsia"/>
                <w:color w:val="000000"/>
                <w:sz w:val="24"/>
                <w:lang w:eastAsia="zh-CN"/>
              </w:rPr>
              <w:t>、</w:t>
            </w:r>
            <w:r>
              <w:rPr>
                <w:rFonts w:hint="eastAsia"/>
                <w:color w:val="000000"/>
                <w:sz w:val="24"/>
                <w:lang w:val="en-US" w:eastAsia="zh-CN"/>
              </w:rPr>
              <w:t>2名贫困民管会成员和8名疾病患者</w:t>
            </w:r>
          </w:p>
        </w:tc>
      </w:tr>
    </w:tbl>
    <w:p>
      <w:pPr>
        <w:spacing w:line="580" w:lineRule="exact"/>
        <w:ind w:left="630"/>
        <w:rPr>
          <w:rFonts w:eastAsia="仿宋_GB2312"/>
          <w:sz w:val="32"/>
          <w:szCs w:val="32"/>
        </w:rPr>
      </w:pPr>
    </w:p>
    <w:p>
      <w:pPr>
        <w:spacing w:line="580" w:lineRule="exact"/>
        <w:ind w:left="630"/>
        <w:rPr>
          <w:rFonts w:eastAsia="楷体_GB2312"/>
          <w:sz w:val="32"/>
          <w:szCs w:val="32"/>
        </w:rPr>
      </w:pPr>
    </w:p>
    <w:p>
      <w:pPr>
        <w:spacing w:line="580" w:lineRule="exact"/>
        <w:ind w:left="630"/>
        <w:rPr>
          <w:rFonts w:eastAsia="楷体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b/>
                <w:bCs/>
                <w:color w:val="000000"/>
                <w:kern w:val="0"/>
                <w:sz w:val="36"/>
                <w:szCs w:val="36"/>
              </w:rPr>
            </w:pPr>
            <w:r>
              <w:rPr>
                <w:b/>
                <w:bCs/>
                <w:color w:val="000000"/>
                <w:kern w:val="0"/>
                <w:sz w:val="36"/>
                <w:szCs w:val="36"/>
              </w:rPr>
              <w:t>项目绩效目标完成情况表</w:t>
            </w:r>
          </w:p>
          <w:p>
            <w:pPr>
              <w:widowControl/>
              <w:jc w:val="center"/>
              <w:textAlignment w:val="center"/>
              <w:rPr>
                <w:color w:val="000000"/>
                <w:sz w:val="36"/>
                <w:szCs w:val="36"/>
              </w:rPr>
            </w:pPr>
            <w:r>
              <w:rPr>
                <w:color w:val="000000"/>
                <w:kern w:val="0"/>
                <w:sz w:val="36"/>
                <w:szCs w:val="36"/>
              </w:rPr>
              <w:t>(</w:t>
            </w:r>
            <w:r>
              <w:rPr>
                <w:rFonts w:hint="eastAsia"/>
                <w:color w:val="000000"/>
                <w:kern w:val="0"/>
                <w:sz w:val="36"/>
                <w:szCs w:val="36"/>
                <w:lang w:eastAsia="zh-CN"/>
              </w:rPr>
              <w:t>2021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伊斯兰协会四进及法治宣传工作项目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中共阿坝州委统战部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6.32</w:t>
            </w:r>
            <w:r>
              <w:rPr>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6.32</w:t>
            </w:r>
            <w:r>
              <w:rPr>
                <w:color w:val="000000"/>
                <w:sz w:val="24"/>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针对8个清真寺开展法治宣传活动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针对8个清真寺开展法治宣传活动</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支出的合规性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支出的相符性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经费支出属于项目涵盖范围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b/>
                <w:bCs/>
                <w:color w:val="000000"/>
                <w:sz w:val="24"/>
              </w:rPr>
            </w:pPr>
            <w:r>
              <w:rPr>
                <w:color w:val="000000"/>
                <w:sz w:val="24"/>
              </w:rPr>
              <w:t>针对8个清真寺开展法治宣传活动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针对8个清真寺开展法治宣传活动</w:t>
            </w:r>
          </w:p>
        </w:tc>
      </w:tr>
    </w:tbl>
    <w:p>
      <w:pPr>
        <w:spacing w:line="580" w:lineRule="exact"/>
        <w:ind w:left="630"/>
        <w:rPr>
          <w:rFonts w:eastAsia="楷体_GB2312"/>
          <w:sz w:val="32"/>
          <w:szCs w:val="32"/>
        </w:rPr>
      </w:pPr>
    </w:p>
    <w:p>
      <w:pPr>
        <w:spacing w:line="580" w:lineRule="exact"/>
        <w:ind w:left="630"/>
        <w:rPr>
          <w:rFonts w:eastAsia="楷体_GB2312"/>
          <w:sz w:val="32"/>
          <w:szCs w:val="32"/>
        </w:rPr>
      </w:pPr>
    </w:p>
    <w:p>
      <w:pPr>
        <w:spacing w:line="580" w:lineRule="exact"/>
        <w:ind w:left="630"/>
        <w:rPr>
          <w:rFonts w:eastAsia="楷体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b/>
                <w:bCs/>
                <w:color w:val="000000"/>
                <w:kern w:val="0"/>
                <w:sz w:val="36"/>
                <w:szCs w:val="36"/>
              </w:rPr>
            </w:pPr>
            <w:r>
              <w:rPr>
                <w:b/>
                <w:bCs/>
                <w:color w:val="000000"/>
                <w:kern w:val="0"/>
                <w:sz w:val="36"/>
                <w:szCs w:val="36"/>
              </w:rPr>
              <w:t>项目绩效目标完成情况表</w:t>
            </w:r>
          </w:p>
          <w:p>
            <w:pPr>
              <w:widowControl/>
              <w:jc w:val="center"/>
              <w:textAlignment w:val="center"/>
              <w:rPr>
                <w:color w:val="000000"/>
                <w:sz w:val="36"/>
                <w:szCs w:val="36"/>
              </w:rPr>
            </w:pPr>
            <w:r>
              <w:rPr>
                <w:color w:val="000000"/>
                <w:kern w:val="0"/>
                <w:sz w:val="36"/>
                <w:szCs w:val="36"/>
              </w:rPr>
              <w:t>(</w:t>
            </w:r>
            <w:r>
              <w:rPr>
                <w:rFonts w:hint="eastAsia"/>
                <w:color w:val="000000"/>
                <w:kern w:val="0"/>
                <w:sz w:val="36"/>
                <w:szCs w:val="36"/>
                <w:lang w:eastAsia="zh-CN"/>
              </w:rPr>
              <w:t>2021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知新会工作经费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中共阿坝州委统战部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8</w:t>
            </w:r>
            <w:r>
              <w:rPr>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8</w:t>
            </w:r>
            <w:r>
              <w:rPr>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8</w:t>
            </w:r>
            <w:r>
              <w:rPr>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8</w:t>
            </w:r>
            <w:r>
              <w:rPr>
                <w:color w:val="000000"/>
                <w:sz w:val="24"/>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召开一次全州范围人数50人左右的工作培训会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召开了一次全州范围人数50人的工作培训会</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支出的合规性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支出的相符性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经费支出属于项目涵盖范围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b/>
                <w:bCs/>
                <w:color w:val="000000"/>
                <w:sz w:val="24"/>
              </w:rPr>
            </w:pPr>
            <w:r>
              <w:rPr>
                <w:rFonts w:hint="eastAsia"/>
                <w:color w:val="000000"/>
                <w:sz w:val="24"/>
                <w:lang w:val="en-US" w:eastAsia="zh-CN"/>
              </w:rPr>
              <w:t>召开一次全州范围人数50人左右的工作培训会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lang w:val="en-US" w:eastAsia="zh-CN"/>
              </w:rPr>
              <w:t>一次全州范围人数50人的工作培训会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100%</w:t>
            </w:r>
          </w:p>
        </w:tc>
      </w:tr>
    </w:tbl>
    <w:p>
      <w:pPr>
        <w:spacing w:line="600" w:lineRule="exact"/>
        <w:jc w:val="left"/>
        <w:outlineLvl w:val="0"/>
        <w:rPr>
          <w:rFonts w:eastAsia="仿宋_GB2312"/>
          <w:sz w:val="32"/>
          <w:szCs w:val="32"/>
        </w:rPr>
      </w:pPr>
      <w:r>
        <w:rPr>
          <w:b/>
          <w:color w:val="000000"/>
          <w:sz w:val="44"/>
          <w:szCs w:val="44"/>
        </w:rPr>
        <w:br w:type="page"/>
      </w:r>
    </w:p>
    <w:p>
      <w:pPr>
        <w:spacing w:line="600" w:lineRule="exact"/>
        <w:jc w:val="left"/>
        <w:outlineLvl w:val="0"/>
        <w:rPr>
          <w:rFonts w:eastAsia="黑体"/>
          <w:sz w:val="32"/>
          <w:szCs w:val="32"/>
        </w:rPr>
      </w:pPr>
      <w:bookmarkStart w:id="112" w:name="_Toc79163883"/>
      <w:bookmarkStart w:id="113" w:name="_Toc79163633"/>
      <w:r>
        <w:rPr>
          <w:rFonts w:eastAsia="黑体"/>
          <w:sz w:val="32"/>
          <w:szCs w:val="32"/>
        </w:rPr>
        <w:t>附件2</w:t>
      </w:r>
      <w:bookmarkEnd w:id="112"/>
      <w:bookmarkEnd w:id="113"/>
    </w:p>
    <w:p>
      <w:pPr>
        <w:spacing w:line="580" w:lineRule="exact"/>
        <w:ind w:firstLine="640" w:firstLineChars="200"/>
        <w:rPr>
          <w:rFonts w:eastAsia="仿宋_GB2312"/>
          <w:sz w:val="32"/>
          <w:szCs w:val="32"/>
        </w:rPr>
      </w:pPr>
    </w:p>
    <w:p>
      <w:pPr>
        <w:snapToGrid w:val="0"/>
        <w:spacing w:line="600" w:lineRule="exact"/>
        <w:jc w:val="center"/>
        <w:rPr>
          <w:rFonts w:eastAsia="方正小标宋简体"/>
          <w:sz w:val="44"/>
          <w:szCs w:val="44"/>
        </w:rPr>
      </w:pPr>
      <w:r>
        <w:rPr>
          <w:rFonts w:eastAsia="方正小标宋简体"/>
          <w:sz w:val="44"/>
          <w:szCs w:val="44"/>
        </w:rPr>
        <w:t>中共阿坝州委统战部</w:t>
      </w:r>
    </w:p>
    <w:p>
      <w:pPr>
        <w:snapToGrid w:val="0"/>
        <w:spacing w:line="600" w:lineRule="exact"/>
        <w:jc w:val="center"/>
        <w:rPr>
          <w:rFonts w:eastAsia="方正小标宋简体"/>
          <w:sz w:val="44"/>
          <w:szCs w:val="44"/>
        </w:rPr>
      </w:pPr>
      <w:r>
        <w:rPr>
          <w:rFonts w:eastAsia="方正小标宋简体"/>
          <w:sz w:val="44"/>
          <w:szCs w:val="44"/>
        </w:rPr>
        <w:t>关于预算项目支出绩效的自评报告</w:t>
      </w:r>
    </w:p>
    <w:p>
      <w:pPr>
        <w:tabs>
          <w:tab w:val="left" w:pos="3885"/>
        </w:tabs>
        <w:snapToGrid w:val="0"/>
        <w:spacing w:line="600" w:lineRule="exact"/>
        <w:ind w:firstLine="420" w:firstLineChars="200"/>
        <w:jc w:val="left"/>
        <w:rPr>
          <w:rFonts w:hint="eastAsia" w:ascii="方正小标宋_GBK" w:hAnsi="方正小标宋_GBK" w:eastAsia="方正小标宋_GBK" w:cs="方正小标宋_GBK"/>
        </w:rPr>
      </w:pPr>
    </w:p>
    <w:p>
      <w:pPr>
        <w:tabs>
          <w:tab w:val="left" w:pos="3885"/>
        </w:tabs>
        <w:snapToGrid w:val="0"/>
        <w:spacing w:line="600" w:lineRule="exact"/>
        <w:ind w:firstLine="640" w:firstLineChars="200"/>
        <w:jc w:val="left"/>
        <w:rPr>
          <w:rFonts w:hint="eastAsia" w:ascii="方正小标宋_GBK" w:hAnsi="方正小标宋_GBK" w:eastAsia="方正小标宋_GBK" w:cs="方正小标宋_GBK"/>
          <w:b/>
          <w:sz w:val="32"/>
          <w:szCs w:val="32"/>
        </w:rPr>
      </w:pPr>
      <w:r>
        <w:rPr>
          <w:rFonts w:hint="eastAsia" w:ascii="方正小标宋_GBK" w:hAnsi="方正小标宋_GBK" w:eastAsia="方正小标宋_GBK" w:cs="方正小标宋_GBK"/>
          <w:sz w:val="32"/>
          <w:szCs w:val="32"/>
        </w:rPr>
        <w:t>（1.《阿坝日报》藏文版、《四川民族教育报》报刊费）</w:t>
      </w:r>
    </w:p>
    <w:p>
      <w:pPr>
        <w:numPr>
          <w:ilvl w:val="0"/>
          <w:numId w:val="5"/>
        </w:numPr>
        <w:tabs>
          <w:tab w:val="left" w:pos="3885"/>
        </w:tabs>
        <w:snapToGrid w:val="0"/>
        <w:spacing w:line="600" w:lineRule="exact"/>
        <w:ind w:firstLine="640"/>
        <w:jc w:val="left"/>
        <w:rPr>
          <w:rFonts w:eastAsia="黑体"/>
          <w:sz w:val="32"/>
          <w:szCs w:val="32"/>
        </w:rPr>
      </w:pPr>
      <w:r>
        <w:rPr>
          <w:rFonts w:eastAsia="黑体"/>
          <w:sz w:val="32"/>
          <w:szCs w:val="32"/>
        </w:rPr>
        <w:t>基本情况</w:t>
      </w:r>
    </w:p>
    <w:p>
      <w:pPr>
        <w:widowControl/>
        <w:spacing w:line="578" w:lineRule="exact"/>
        <w:ind w:firstLine="640" w:firstLineChars="200"/>
        <w:rPr>
          <w:rFonts w:eastAsia="仿宋_GB2312"/>
          <w:color w:val="000000"/>
          <w:kern w:val="0"/>
          <w:sz w:val="32"/>
          <w:szCs w:val="32"/>
          <w:lang w:val="zh-CN"/>
        </w:rPr>
      </w:pPr>
      <w:r>
        <w:rPr>
          <w:rFonts w:eastAsia="仿宋_GB2312"/>
          <w:color w:val="000000"/>
          <w:kern w:val="0"/>
          <w:sz w:val="32"/>
          <w:szCs w:val="32"/>
          <w:lang w:val="zh-CN"/>
        </w:rPr>
        <w:t>经州委研究同意,从2008年起由统战部统一为全州248座开放寺庙僧人订19848份《阿坝报》藏文版，2008年至2011年每年需经费8万元，由于纸张涨价，从2017年起邮政局将报刊费调整为每年13.1万元。《四川民族教育报》是由我州主管主办的我省唯一以服务民族教育发展为主题的专业性报纸，是宣传党的民族教育方针政策、展示全省民族教育事业发展成就和交流教育工作者教育教学经验的重要平台。做好《四川民族教育报》征订工作，是贯彻党的民族教育方针政策的需要，是推进民族教育事业发展、增强民族地区发展后劲的需要。按照</w:t>
      </w:r>
      <w:r>
        <w:rPr>
          <w:rFonts w:eastAsia="仿宋_GB2312"/>
          <w:color w:val="000000"/>
          <w:kern w:val="0"/>
          <w:sz w:val="32"/>
          <w:szCs w:val="32"/>
        </w:rPr>
        <w:t>刘</w:t>
      </w:r>
      <w:r>
        <w:rPr>
          <w:rFonts w:eastAsia="仿宋_GB2312"/>
          <w:color w:val="000000"/>
          <w:kern w:val="0"/>
          <w:sz w:val="32"/>
          <w:szCs w:val="32"/>
          <w:lang w:val="zh-CN"/>
        </w:rPr>
        <w:t>作明书记的批示要求，州委统战部从</w:t>
      </w:r>
      <w:r>
        <w:rPr>
          <w:rFonts w:eastAsia="仿宋_GB2312"/>
          <w:color w:val="000000"/>
          <w:kern w:val="0"/>
          <w:sz w:val="32"/>
          <w:szCs w:val="32"/>
        </w:rPr>
        <w:t>2017</w:t>
      </w:r>
      <w:r>
        <w:rPr>
          <w:rFonts w:eastAsia="仿宋_GB2312"/>
          <w:color w:val="000000"/>
          <w:kern w:val="0"/>
          <w:sz w:val="32"/>
          <w:szCs w:val="32"/>
          <w:lang w:val="zh-CN"/>
        </w:rPr>
        <w:t>年</w:t>
      </w:r>
      <w:r>
        <w:rPr>
          <w:rFonts w:eastAsia="仿宋_GB2312"/>
          <w:color w:val="000000"/>
          <w:kern w:val="0"/>
          <w:sz w:val="32"/>
          <w:szCs w:val="32"/>
        </w:rPr>
        <w:t>7月</w:t>
      </w:r>
      <w:r>
        <w:rPr>
          <w:rFonts w:eastAsia="仿宋_GB2312"/>
          <w:color w:val="000000"/>
          <w:kern w:val="0"/>
          <w:sz w:val="32"/>
          <w:szCs w:val="32"/>
          <w:lang w:val="zh-CN"/>
        </w:rPr>
        <w:t>起每年要为全州290座宗教场所订阅该刊物。经概算290座寺庙×115.2元/份＝33408元。共需报刊征订费16.5万元。</w:t>
      </w:r>
    </w:p>
    <w:p>
      <w:pPr>
        <w:numPr>
          <w:ilvl w:val="0"/>
          <w:numId w:val="5"/>
        </w:numPr>
        <w:tabs>
          <w:tab w:val="left" w:pos="3885"/>
        </w:tabs>
        <w:snapToGrid w:val="0"/>
        <w:spacing w:line="600" w:lineRule="exact"/>
        <w:ind w:firstLine="640"/>
        <w:jc w:val="left"/>
        <w:rPr>
          <w:rFonts w:eastAsia="黑体"/>
          <w:sz w:val="32"/>
          <w:szCs w:val="32"/>
        </w:rPr>
      </w:pPr>
      <w:r>
        <w:rPr>
          <w:rFonts w:eastAsia="黑体"/>
          <w:sz w:val="32"/>
          <w:szCs w:val="32"/>
        </w:rPr>
        <w:t>评价工作开展情况</w:t>
      </w:r>
    </w:p>
    <w:p>
      <w:pPr>
        <w:widowControl/>
        <w:spacing w:line="578" w:lineRule="exact"/>
        <w:ind w:firstLine="640" w:firstLineChars="200"/>
        <w:rPr>
          <w:rFonts w:eastAsia="仿宋_GB2312"/>
          <w:color w:val="000000"/>
          <w:kern w:val="0"/>
          <w:sz w:val="32"/>
          <w:szCs w:val="32"/>
        </w:rPr>
      </w:pPr>
      <w:r>
        <w:rPr>
          <w:rFonts w:eastAsia="仿宋_GB2312"/>
          <w:color w:val="000000"/>
          <w:kern w:val="0"/>
          <w:sz w:val="32"/>
          <w:szCs w:val="32"/>
          <w:lang w:val="zh-CN"/>
        </w:rPr>
        <w:t>项目绩效目标：宣传党的方针政策、展示</w:t>
      </w:r>
      <w:r>
        <w:rPr>
          <w:rFonts w:eastAsia="仿宋_GB2312"/>
          <w:color w:val="000000"/>
          <w:kern w:val="0"/>
          <w:sz w:val="32"/>
          <w:szCs w:val="32"/>
        </w:rPr>
        <w:t>惠民政策、</w:t>
      </w:r>
      <w:r>
        <w:rPr>
          <w:rFonts w:eastAsia="仿宋_GB2312"/>
          <w:color w:val="000000"/>
          <w:kern w:val="0"/>
          <w:sz w:val="32"/>
          <w:szCs w:val="32"/>
          <w:lang w:val="zh-CN"/>
        </w:rPr>
        <w:t>全省民族教育事业发展成就和交流教育工作者教育教学经验，推进民族教育事业发展、增强民族地区发展后劲。</w:t>
      </w:r>
    </w:p>
    <w:p>
      <w:pPr>
        <w:widowControl/>
        <w:spacing w:line="578" w:lineRule="exact"/>
        <w:ind w:firstLine="640" w:firstLineChars="200"/>
        <w:rPr>
          <w:rFonts w:eastAsia="仿宋_GB2312"/>
          <w:color w:val="000000"/>
          <w:kern w:val="0"/>
          <w:sz w:val="32"/>
          <w:szCs w:val="32"/>
        </w:rPr>
      </w:pPr>
      <w:r>
        <w:rPr>
          <w:rFonts w:eastAsia="仿宋_GB2312"/>
          <w:color w:val="000000"/>
          <w:kern w:val="0"/>
          <w:sz w:val="32"/>
          <w:szCs w:val="32"/>
          <w:lang w:val="zh-CN"/>
        </w:rPr>
        <w:t>项目自评步骤及方法：</w:t>
      </w:r>
      <w:r>
        <w:rPr>
          <w:rFonts w:eastAsia="仿宋_GB2312"/>
          <w:color w:val="000000"/>
          <w:kern w:val="0"/>
          <w:sz w:val="32"/>
          <w:szCs w:val="32"/>
        </w:rPr>
        <w:t>经费是否用于项目本身，经费使用是否坚持效率优先，兼顾节约的原则，经费报销凭据是否真实可靠，经费使用成效如何。</w:t>
      </w:r>
    </w:p>
    <w:p>
      <w:pPr>
        <w:numPr>
          <w:ilvl w:val="0"/>
          <w:numId w:val="5"/>
        </w:numPr>
        <w:snapToGrid w:val="0"/>
        <w:spacing w:line="600" w:lineRule="exact"/>
        <w:ind w:firstLine="640"/>
        <w:rPr>
          <w:rFonts w:eastAsia="黑体"/>
          <w:sz w:val="32"/>
          <w:szCs w:val="32"/>
        </w:rPr>
      </w:pPr>
      <w:r>
        <w:rPr>
          <w:rFonts w:eastAsia="黑体"/>
          <w:sz w:val="32"/>
          <w:szCs w:val="32"/>
        </w:rPr>
        <w:t>综合评价结论（附评分表）</w:t>
      </w:r>
    </w:p>
    <w:p>
      <w:pPr>
        <w:snapToGrid w:val="0"/>
        <w:spacing w:line="600" w:lineRule="exact"/>
        <w:ind w:firstLine="640"/>
        <w:rPr>
          <w:rFonts w:eastAsia="仿宋_GB2312"/>
          <w:sz w:val="32"/>
          <w:szCs w:val="32"/>
        </w:rPr>
      </w:pPr>
      <w:r>
        <w:rPr>
          <w:rFonts w:hint="eastAsia" w:eastAsia="仿宋_GB2312"/>
          <w:sz w:val="32"/>
          <w:szCs w:val="32"/>
          <w:lang w:eastAsia="zh-CN"/>
        </w:rPr>
        <w:t>2021</w:t>
      </w:r>
      <w:r>
        <w:rPr>
          <w:rFonts w:eastAsia="仿宋_GB2312"/>
          <w:sz w:val="32"/>
          <w:szCs w:val="32"/>
        </w:rPr>
        <w:t>年项目完成，经费使用率100%</w:t>
      </w:r>
      <w:r>
        <w:rPr>
          <w:rFonts w:hint="eastAsia" w:eastAsia="仿宋_GB2312"/>
          <w:sz w:val="32"/>
          <w:szCs w:val="32"/>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17" w:type="dxa"/>
          </w:tcPr>
          <w:p>
            <w:pPr>
              <w:snapToGrid w:val="0"/>
            </w:pPr>
          </w:p>
          <w:p>
            <w:pPr>
              <w:snapToGrid w:val="0"/>
              <w:spacing w:line="600" w:lineRule="exact"/>
            </w:pPr>
          </w:p>
        </w:tc>
        <w:tc>
          <w:tcPr>
            <w:tcW w:w="1217" w:type="dxa"/>
          </w:tcPr>
          <w:p>
            <w:pPr>
              <w:snapToGrid w:val="0"/>
              <w:spacing w:line="600" w:lineRule="exact"/>
            </w:pPr>
            <w:r>
              <w:t>支出相符性</w:t>
            </w:r>
          </w:p>
        </w:tc>
        <w:tc>
          <w:tcPr>
            <w:tcW w:w="1217" w:type="dxa"/>
          </w:tcPr>
          <w:p>
            <w:pPr>
              <w:snapToGrid w:val="0"/>
              <w:spacing w:line="600" w:lineRule="exact"/>
            </w:pPr>
            <w:r>
              <w:t>支出真实性</w:t>
            </w:r>
          </w:p>
        </w:tc>
        <w:tc>
          <w:tcPr>
            <w:tcW w:w="1217" w:type="dxa"/>
          </w:tcPr>
          <w:p>
            <w:pPr>
              <w:snapToGrid w:val="0"/>
              <w:spacing w:line="600" w:lineRule="exact"/>
            </w:pPr>
            <w:r>
              <w:t>支出核算资料完整性</w:t>
            </w:r>
          </w:p>
        </w:tc>
        <w:tc>
          <w:tcPr>
            <w:tcW w:w="1218" w:type="dxa"/>
          </w:tcPr>
          <w:p>
            <w:pPr>
              <w:snapToGrid w:val="0"/>
              <w:spacing w:line="600" w:lineRule="exact"/>
            </w:pPr>
            <w:r>
              <w:t>目标数完成比例</w:t>
            </w:r>
          </w:p>
        </w:tc>
        <w:tc>
          <w:tcPr>
            <w:tcW w:w="1218" w:type="dxa"/>
          </w:tcPr>
          <w:p>
            <w:pPr>
              <w:snapToGrid w:val="0"/>
              <w:spacing w:line="600" w:lineRule="exact"/>
            </w:pPr>
            <w:r>
              <w:t>对象满意度</w:t>
            </w:r>
          </w:p>
        </w:tc>
        <w:tc>
          <w:tcPr>
            <w:tcW w:w="1218" w:type="dxa"/>
          </w:tcPr>
          <w:p>
            <w:pPr>
              <w:snapToGrid w:val="0"/>
              <w:spacing w:line="600" w:lineRule="exact"/>
            </w:pPr>
            <w:r>
              <w:t>支出预算占比90%以上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snapToGrid w:val="0"/>
              <w:spacing w:line="600" w:lineRule="exact"/>
            </w:pPr>
            <w:r>
              <w:t>评分</w:t>
            </w:r>
          </w:p>
        </w:tc>
        <w:tc>
          <w:tcPr>
            <w:tcW w:w="1217" w:type="dxa"/>
          </w:tcPr>
          <w:p>
            <w:pPr>
              <w:snapToGrid w:val="0"/>
              <w:spacing w:line="600" w:lineRule="exact"/>
            </w:pPr>
            <w:r>
              <w:t>20</w:t>
            </w:r>
          </w:p>
        </w:tc>
        <w:tc>
          <w:tcPr>
            <w:tcW w:w="1217" w:type="dxa"/>
          </w:tcPr>
          <w:p>
            <w:pPr>
              <w:snapToGrid w:val="0"/>
              <w:spacing w:line="600" w:lineRule="exact"/>
            </w:pPr>
            <w:r>
              <w:t>20</w:t>
            </w:r>
          </w:p>
        </w:tc>
        <w:tc>
          <w:tcPr>
            <w:tcW w:w="1217" w:type="dxa"/>
          </w:tcPr>
          <w:p>
            <w:pPr>
              <w:snapToGrid w:val="0"/>
              <w:spacing w:line="600" w:lineRule="exact"/>
            </w:pPr>
            <w:r>
              <w:t>20</w:t>
            </w:r>
          </w:p>
        </w:tc>
        <w:tc>
          <w:tcPr>
            <w:tcW w:w="1218" w:type="dxa"/>
          </w:tcPr>
          <w:p>
            <w:pPr>
              <w:snapToGrid w:val="0"/>
              <w:spacing w:line="600" w:lineRule="exact"/>
            </w:pPr>
            <w:r>
              <w:t>10</w:t>
            </w:r>
          </w:p>
        </w:tc>
        <w:tc>
          <w:tcPr>
            <w:tcW w:w="1218" w:type="dxa"/>
          </w:tcPr>
          <w:p>
            <w:pPr>
              <w:snapToGrid w:val="0"/>
              <w:spacing w:line="600" w:lineRule="exact"/>
            </w:pPr>
            <w:r>
              <w:t>20</w:t>
            </w:r>
          </w:p>
        </w:tc>
        <w:tc>
          <w:tcPr>
            <w:tcW w:w="1218" w:type="dxa"/>
          </w:tcPr>
          <w:p>
            <w:pPr>
              <w:snapToGrid w:val="0"/>
              <w:spacing w:line="600" w:lineRule="exact"/>
            </w:pP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snapToGrid w:val="0"/>
              <w:spacing w:line="600" w:lineRule="exact"/>
            </w:pPr>
            <w:r>
              <w:t>自评得分</w:t>
            </w:r>
          </w:p>
        </w:tc>
        <w:tc>
          <w:tcPr>
            <w:tcW w:w="1217" w:type="dxa"/>
          </w:tcPr>
          <w:p>
            <w:pPr>
              <w:snapToGrid w:val="0"/>
              <w:spacing w:line="600" w:lineRule="exact"/>
            </w:pPr>
            <w:r>
              <w:t>20</w:t>
            </w:r>
          </w:p>
        </w:tc>
        <w:tc>
          <w:tcPr>
            <w:tcW w:w="1217" w:type="dxa"/>
          </w:tcPr>
          <w:p>
            <w:pPr>
              <w:snapToGrid w:val="0"/>
              <w:spacing w:line="600" w:lineRule="exact"/>
            </w:pPr>
            <w:r>
              <w:t>20</w:t>
            </w:r>
          </w:p>
        </w:tc>
        <w:tc>
          <w:tcPr>
            <w:tcW w:w="1217" w:type="dxa"/>
          </w:tcPr>
          <w:p>
            <w:pPr>
              <w:snapToGrid w:val="0"/>
              <w:spacing w:line="600" w:lineRule="exact"/>
            </w:pPr>
            <w:r>
              <w:t>20</w:t>
            </w:r>
          </w:p>
        </w:tc>
        <w:tc>
          <w:tcPr>
            <w:tcW w:w="1218" w:type="dxa"/>
          </w:tcPr>
          <w:p>
            <w:pPr>
              <w:snapToGrid w:val="0"/>
              <w:spacing w:line="600" w:lineRule="exact"/>
            </w:pPr>
            <w:r>
              <w:t>10</w:t>
            </w:r>
          </w:p>
        </w:tc>
        <w:tc>
          <w:tcPr>
            <w:tcW w:w="1218" w:type="dxa"/>
          </w:tcPr>
          <w:p>
            <w:pPr>
              <w:snapToGrid w:val="0"/>
              <w:spacing w:line="600" w:lineRule="exact"/>
            </w:pPr>
            <w:r>
              <w:t>20</w:t>
            </w:r>
          </w:p>
        </w:tc>
        <w:tc>
          <w:tcPr>
            <w:tcW w:w="1218" w:type="dxa"/>
          </w:tcPr>
          <w:p>
            <w:pPr>
              <w:snapToGrid w:val="0"/>
              <w:spacing w:line="600" w:lineRule="exact"/>
            </w:pP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4" w:type="dxa"/>
            <w:gridSpan w:val="6"/>
          </w:tcPr>
          <w:p>
            <w:pPr>
              <w:snapToGrid w:val="0"/>
              <w:spacing w:line="600" w:lineRule="exact"/>
              <w:jc w:val="right"/>
            </w:pPr>
            <w:r>
              <w:t>得分</w:t>
            </w:r>
          </w:p>
        </w:tc>
        <w:tc>
          <w:tcPr>
            <w:tcW w:w="1218" w:type="dxa"/>
          </w:tcPr>
          <w:p>
            <w:pPr>
              <w:snapToGrid w:val="0"/>
              <w:spacing w:line="600" w:lineRule="exact"/>
            </w:pPr>
            <w:r>
              <w:t>100</w:t>
            </w:r>
          </w:p>
        </w:tc>
      </w:tr>
    </w:tbl>
    <w:p>
      <w:pPr>
        <w:snapToGrid w:val="0"/>
        <w:spacing w:line="600" w:lineRule="exact"/>
        <w:ind w:firstLine="640"/>
      </w:pPr>
    </w:p>
    <w:p>
      <w:pPr>
        <w:snapToGrid w:val="0"/>
        <w:spacing w:line="600" w:lineRule="exact"/>
        <w:ind w:firstLine="640" w:firstLineChars="200"/>
        <w:rPr>
          <w:rFonts w:eastAsia="黑体"/>
          <w:bCs/>
          <w:sz w:val="32"/>
          <w:szCs w:val="32"/>
        </w:rPr>
      </w:pPr>
      <w:r>
        <w:rPr>
          <w:rFonts w:eastAsia="黑体"/>
          <w:bCs/>
          <w:sz w:val="32"/>
          <w:szCs w:val="32"/>
        </w:rPr>
        <w:t>三、绩效评价分析</w:t>
      </w:r>
    </w:p>
    <w:p>
      <w:pPr>
        <w:snapToGrid w:val="0"/>
        <w:spacing w:line="600" w:lineRule="exact"/>
        <w:ind w:firstLine="643" w:firstLineChars="200"/>
        <w:rPr>
          <w:rFonts w:eastAsia="仿宋_GB2312"/>
          <w:b/>
          <w:sz w:val="32"/>
          <w:szCs w:val="32"/>
        </w:rPr>
      </w:pPr>
      <w:r>
        <w:rPr>
          <w:rFonts w:eastAsia="仿宋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pPr>
        <w:adjustRightInd w:val="0"/>
        <w:snapToGrid w:val="0"/>
        <w:spacing w:line="600" w:lineRule="exact"/>
        <w:ind w:firstLine="643" w:firstLineChars="200"/>
        <w:rPr>
          <w:rFonts w:eastAsia="仿宋_GB2312"/>
          <w:b/>
          <w:sz w:val="32"/>
          <w:szCs w:val="32"/>
        </w:rPr>
      </w:pPr>
      <w:r>
        <w:rPr>
          <w:rFonts w:eastAsia="仿宋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pPr>
        <w:adjustRightInd w:val="0"/>
        <w:snapToGrid w:val="0"/>
        <w:spacing w:line="600" w:lineRule="exact"/>
        <w:ind w:firstLine="720"/>
        <w:rPr>
          <w:rFonts w:eastAsia="仿宋_GB2312"/>
          <w:sz w:val="32"/>
          <w:szCs w:val="32"/>
        </w:rPr>
      </w:pPr>
      <w:r>
        <w:rPr>
          <w:rFonts w:eastAsia="仿宋_GB2312"/>
          <w:b/>
          <w:sz w:val="32"/>
          <w:szCs w:val="32"/>
        </w:rPr>
        <w:t>（三）项目效益情况。</w:t>
      </w:r>
      <w:r>
        <w:rPr>
          <w:rFonts w:eastAsia="仿宋_GB2312"/>
          <w:sz w:val="32"/>
          <w:szCs w:val="32"/>
          <w:lang w:val="zh-CN"/>
        </w:rPr>
        <w:t>宣传</w:t>
      </w:r>
      <w:r>
        <w:rPr>
          <w:rFonts w:eastAsia="仿宋_GB2312"/>
          <w:sz w:val="32"/>
          <w:szCs w:val="32"/>
        </w:rPr>
        <w:t>了</w:t>
      </w:r>
      <w:r>
        <w:rPr>
          <w:rFonts w:eastAsia="仿宋_GB2312"/>
          <w:sz w:val="32"/>
          <w:szCs w:val="32"/>
          <w:lang w:val="zh-CN"/>
        </w:rPr>
        <w:t>党的方针政策、展示</w:t>
      </w:r>
      <w:r>
        <w:rPr>
          <w:rFonts w:eastAsia="仿宋_GB2312"/>
          <w:sz w:val="32"/>
          <w:szCs w:val="32"/>
        </w:rPr>
        <w:t>了惠民政策、</w:t>
      </w:r>
      <w:r>
        <w:rPr>
          <w:rFonts w:eastAsia="仿宋_GB2312"/>
          <w:sz w:val="32"/>
          <w:szCs w:val="32"/>
          <w:lang w:val="zh-CN"/>
        </w:rPr>
        <w:t>全省民族教育事业发展成就和交流教育工作者教育教学经验，推进</w:t>
      </w:r>
      <w:r>
        <w:rPr>
          <w:rFonts w:eastAsia="仿宋_GB2312"/>
          <w:sz w:val="32"/>
          <w:szCs w:val="32"/>
        </w:rPr>
        <w:t>了</w:t>
      </w:r>
      <w:r>
        <w:rPr>
          <w:rFonts w:eastAsia="仿宋_GB2312"/>
          <w:sz w:val="32"/>
          <w:szCs w:val="32"/>
          <w:lang w:val="zh-CN"/>
        </w:rPr>
        <w:t>民族教育事业发展、增强</w:t>
      </w:r>
      <w:r>
        <w:rPr>
          <w:rFonts w:eastAsia="仿宋_GB2312"/>
          <w:sz w:val="32"/>
          <w:szCs w:val="32"/>
        </w:rPr>
        <w:t>了</w:t>
      </w:r>
      <w:r>
        <w:rPr>
          <w:rFonts w:eastAsia="仿宋_GB2312"/>
          <w:sz w:val="32"/>
          <w:szCs w:val="32"/>
          <w:lang w:val="zh-CN"/>
        </w:rPr>
        <w:t>民族地区发展后劲。</w:t>
      </w:r>
    </w:p>
    <w:p>
      <w:pPr>
        <w:snapToGrid w:val="0"/>
        <w:spacing w:line="600" w:lineRule="exact"/>
        <w:ind w:firstLine="640" w:firstLineChars="200"/>
        <w:rPr>
          <w:rFonts w:eastAsia="黑体"/>
          <w:sz w:val="32"/>
          <w:szCs w:val="32"/>
        </w:rPr>
      </w:pPr>
      <w:r>
        <w:rPr>
          <w:rFonts w:eastAsia="黑体"/>
          <w:sz w:val="32"/>
          <w:szCs w:val="32"/>
        </w:rPr>
        <w:t>五、存在主要问题。无。</w:t>
      </w:r>
    </w:p>
    <w:p>
      <w:pPr>
        <w:snapToGrid w:val="0"/>
        <w:spacing w:line="600" w:lineRule="exact"/>
        <w:ind w:firstLine="640" w:firstLineChars="200"/>
        <w:rPr>
          <w:rFonts w:eastAsia="仿宋_GB2312"/>
          <w:sz w:val="32"/>
          <w:szCs w:val="32"/>
        </w:rPr>
      </w:pPr>
      <w:r>
        <w:rPr>
          <w:rFonts w:eastAsia="黑体"/>
          <w:sz w:val="32"/>
          <w:szCs w:val="32"/>
        </w:rPr>
        <w:t>六、相关措施建议。</w:t>
      </w:r>
      <w:r>
        <w:rPr>
          <w:rFonts w:eastAsia="仿宋_GB2312"/>
          <w:sz w:val="32"/>
          <w:szCs w:val="32"/>
        </w:rPr>
        <w:t>项目实施意义重大，应继续抓好该</w:t>
      </w:r>
      <w:r>
        <w:rPr>
          <w:rFonts w:hint="eastAsia" w:eastAsia="仿宋_GB2312"/>
          <w:sz w:val="32"/>
          <w:szCs w:val="32"/>
          <w:lang w:val="en-US" w:eastAsia="zh-CN"/>
        </w:rPr>
        <w:t>项</w:t>
      </w:r>
      <w:r>
        <w:rPr>
          <w:rFonts w:eastAsia="仿宋_GB2312"/>
          <w:sz w:val="32"/>
          <w:szCs w:val="32"/>
        </w:rPr>
        <w:t>工作。</w:t>
      </w:r>
    </w:p>
    <w:p>
      <w:pPr>
        <w:spacing w:line="600" w:lineRule="exact"/>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（2.小车大修经费）</w:t>
      </w:r>
    </w:p>
    <w:p>
      <w:pPr>
        <w:adjustRightInd w:val="0"/>
        <w:snapToGrid w:val="0"/>
        <w:spacing w:line="600" w:lineRule="exact"/>
        <w:ind w:firstLine="640" w:firstLineChars="200"/>
        <w:rPr>
          <w:rFonts w:eastAsia="仿宋_GB2312"/>
          <w:sz w:val="32"/>
          <w:szCs w:val="32"/>
        </w:rPr>
      </w:pPr>
      <w:r>
        <w:rPr>
          <w:rFonts w:eastAsia="黑体"/>
          <w:sz w:val="32"/>
          <w:szCs w:val="32"/>
        </w:rPr>
        <w:t>一、基本情况。</w:t>
      </w:r>
      <w:r>
        <w:rPr>
          <w:rFonts w:eastAsia="仿宋_GB2312"/>
          <w:sz w:val="32"/>
          <w:szCs w:val="32"/>
        </w:rPr>
        <w:t>小</w:t>
      </w:r>
      <w:r>
        <w:rPr>
          <w:rFonts w:eastAsia="仿宋_GB2312"/>
          <w:sz w:val="32"/>
          <w:szCs w:val="32"/>
          <w:lang w:val="zh-CN"/>
        </w:rPr>
        <w:t>车大修经费，总金额8万元，州委统战部</w:t>
      </w:r>
      <w:r>
        <w:rPr>
          <w:rFonts w:eastAsia="仿宋_GB2312"/>
          <w:sz w:val="32"/>
          <w:szCs w:val="32"/>
        </w:rPr>
        <w:t>5辆公车，4辆公车均已累计行驶60万公里以上</w:t>
      </w:r>
      <w:r>
        <w:rPr>
          <w:rFonts w:eastAsia="仿宋_GB2312"/>
          <w:sz w:val="32"/>
          <w:szCs w:val="32"/>
          <w:lang w:val="zh-CN"/>
        </w:rPr>
        <w:t>，</w:t>
      </w:r>
      <w:r>
        <w:rPr>
          <w:rFonts w:eastAsia="仿宋_GB2312"/>
          <w:sz w:val="32"/>
          <w:szCs w:val="32"/>
        </w:rPr>
        <w:t>且</w:t>
      </w:r>
      <w:r>
        <w:rPr>
          <w:rFonts w:eastAsia="仿宋_GB2312"/>
          <w:sz w:val="32"/>
          <w:szCs w:val="32"/>
          <w:lang w:val="zh-CN"/>
        </w:rPr>
        <w:t>多年未进行过大修，为了保障</w:t>
      </w:r>
      <w:r>
        <w:rPr>
          <w:rFonts w:eastAsia="仿宋_GB2312"/>
          <w:sz w:val="32"/>
          <w:szCs w:val="32"/>
        </w:rPr>
        <w:t>行车</w:t>
      </w:r>
      <w:r>
        <w:rPr>
          <w:rFonts w:eastAsia="仿宋_GB2312"/>
          <w:sz w:val="32"/>
          <w:szCs w:val="32"/>
          <w:lang w:val="zh-CN"/>
        </w:rPr>
        <w:t>安全，拟于</w:t>
      </w:r>
      <w:r>
        <w:rPr>
          <w:rFonts w:eastAsia="仿宋_GB2312"/>
          <w:sz w:val="32"/>
          <w:szCs w:val="32"/>
        </w:rPr>
        <w:t>每</w:t>
      </w:r>
      <w:r>
        <w:rPr>
          <w:rFonts w:eastAsia="仿宋_GB2312"/>
          <w:sz w:val="32"/>
          <w:szCs w:val="32"/>
          <w:lang w:val="zh-CN"/>
        </w:rPr>
        <w:t>年</w:t>
      </w:r>
      <w:r>
        <w:rPr>
          <w:rFonts w:eastAsia="仿宋_GB2312"/>
          <w:sz w:val="32"/>
          <w:szCs w:val="32"/>
        </w:rPr>
        <w:t>安排一辆</w:t>
      </w:r>
      <w:r>
        <w:rPr>
          <w:rFonts w:eastAsia="仿宋_GB2312"/>
          <w:sz w:val="32"/>
          <w:szCs w:val="32"/>
          <w:lang w:val="zh-CN"/>
        </w:rPr>
        <w:t>小车大修。</w:t>
      </w:r>
    </w:p>
    <w:p>
      <w:pPr>
        <w:adjustRightInd w:val="0"/>
        <w:snapToGrid w:val="0"/>
        <w:spacing w:line="600" w:lineRule="exact"/>
        <w:ind w:firstLine="640" w:firstLineChars="200"/>
        <w:rPr>
          <w:rFonts w:eastAsia="黑体"/>
          <w:sz w:val="32"/>
          <w:szCs w:val="32"/>
        </w:rPr>
      </w:pPr>
      <w:r>
        <w:rPr>
          <w:rFonts w:eastAsia="黑体"/>
          <w:sz w:val="32"/>
          <w:szCs w:val="32"/>
        </w:rPr>
        <w:t>二、评价工作开展情况</w:t>
      </w:r>
    </w:p>
    <w:p>
      <w:pPr>
        <w:adjustRightInd w:val="0"/>
        <w:snapToGrid w:val="0"/>
        <w:spacing w:line="600" w:lineRule="exact"/>
        <w:ind w:firstLine="640" w:firstLineChars="200"/>
        <w:rPr>
          <w:rFonts w:eastAsia="仿宋_GB2312"/>
          <w:sz w:val="32"/>
          <w:szCs w:val="32"/>
        </w:rPr>
      </w:pPr>
      <w:r>
        <w:rPr>
          <w:rFonts w:eastAsia="仿宋_GB2312"/>
          <w:sz w:val="32"/>
          <w:szCs w:val="32"/>
          <w:lang w:val="zh-CN"/>
        </w:rPr>
        <w:t>项目绩效目标：</w:t>
      </w:r>
      <w:r>
        <w:rPr>
          <w:rFonts w:eastAsia="仿宋_GB2312"/>
          <w:sz w:val="32"/>
          <w:szCs w:val="32"/>
        </w:rPr>
        <w:t>保障公车安全行驶。</w:t>
      </w:r>
    </w:p>
    <w:p>
      <w:pPr>
        <w:adjustRightInd w:val="0"/>
        <w:snapToGrid w:val="0"/>
        <w:spacing w:line="600" w:lineRule="exact"/>
        <w:ind w:firstLine="640" w:firstLineChars="20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tbl>
      <w:tblPr>
        <w:tblStyle w:val="19"/>
        <w:tblpPr w:leftFromText="180" w:rightFromText="180" w:vertAnchor="text" w:horzAnchor="page" w:tblpX="1784" w:tblpY="5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213"/>
        <w:gridCol w:w="1213"/>
        <w:gridCol w:w="1213"/>
        <w:gridCol w:w="1214"/>
        <w:gridCol w:w="1214"/>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213" w:type="dxa"/>
          </w:tcPr>
          <w:p>
            <w:pPr>
              <w:snapToGrid w:val="0"/>
              <w:rPr>
                <w:szCs w:val="21"/>
              </w:rPr>
            </w:pPr>
          </w:p>
          <w:p>
            <w:pPr>
              <w:snapToGrid w:val="0"/>
              <w:spacing w:line="600" w:lineRule="exact"/>
              <w:rPr>
                <w:szCs w:val="21"/>
              </w:rPr>
            </w:pPr>
          </w:p>
        </w:tc>
        <w:tc>
          <w:tcPr>
            <w:tcW w:w="1213" w:type="dxa"/>
          </w:tcPr>
          <w:p>
            <w:pPr>
              <w:snapToGrid w:val="0"/>
              <w:spacing w:line="600" w:lineRule="exact"/>
              <w:rPr>
                <w:szCs w:val="21"/>
              </w:rPr>
            </w:pPr>
            <w:r>
              <w:rPr>
                <w:szCs w:val="21"/>
              </w:rPr>
              <w:t>支出相符性</w:t>
            </w:r>
          </w:p>
        </w:tc>
        <w:tc>
          <w:tcPr>
            <w:tcW w:w="1213" w:type="dxa"/>
          </w:tcPr>
          <w:p>
            <w:pPr>
              <w:snapToGrid w:val="0"/>
              <w:spacing w:line="600" w:lineRule="exact"/>
              <w:rPr>
                <w:szCs w:val="21"/>
              </w:rPr>
            </w:pPr>
            <w:r>
              <w:rPr>
                <w:szCs w:val="21"/>
              </w:rPr>
              <w:t>支出真实性</w:t>
            </w:r>
          </w:p>
        </w:tc>
        <w:tc>
          <w:tcPr>
            <w:tcW w:w="1213" w:type="dxa"/>
          </w:tcPr>
          <w:p>
            <w:pPr>
              <w:snapToGrid w:val="0"/>
              <w:spacing w:line="600" w:lineRule="exact"/>
              <w:rPr>
                <w:szCs w:val="21"/>
              </w:rPr>
            </w:pPr>
            <w:r>
              <w:rPr>
                <w:szCs w:val="21"/>
              </w:rPr>
              <w:t>支出核算资料完整性</w:t>
            </w:r>
          </w:p>
        </w:tc>
        <w:tc>
          <w:tcPr>
            <w:tcW w:w="1214" w:type="dxa"/>
          </w:tcPr>
          <w:p>
            <w:pPr>
              <w:snapToGrid w:val="0"/>
              <w:spacing w:line="600" w:lineRule="exact"/>
              <w:rPr>
                <w:szCs w:val="21"/>
              </w:rPr>
            </w:pPr>
            <w:r>
              <w:rPr>
                <w:szCs w:val="21"/>
              </w:rPr>
              <w:t>目标数完成比例</w:t>
            </w:r>
          </w:p>
        </w:tc>
        <w:tc>
          <w:tcPr>
            <w:tcW w:w="1214" w:type="dxa"/>
          </w:tcPr>
          <w:p>
            <w:pPr>
              <w:snapToGrid w:val="0"/>
              <w:spacing w:line="600" w:lineRule="exact"/>
              <w:rPr>
                <w:szCs w:val="21"/>
              </w:rPr>
            </w:pPr>
            <w:r>
              <w:rPr>
                <w:szCs w:val="21"/>
              </w:rPr>
              <w:t>对象满意度</w:t>
            </w:r>
          </w:p>
        </w:tc>
        <w:tc>
          <w:tcPr>
            <w:tcW w:w="1214" w:type="dxa"/>
          </w:tcPr>
          <w:p>
            <w:pPr>
              <w:snapToGrid w:val="0"/>
              <w:spacing w:line="600" w:lineRule="exact"/>
              <w:rPr>
                <w:szCs w:val="21"/>
              </w:rPr>
            </w:pPr>
            <w:r>
              <w:rPr>
                <w:szCs w:val="21"/>
              </w:rPr>
              <w:t>支出预算占比90%以上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3" w:type="dxa"/>
          </w:tcPr>
          <w:p>
            <w:pPr>
              <w:snapToGrid w:val="0"/>
              <w:spacing w:line="600" w:lineRule="exact"/>
              <w:rPr>
                <w:szCs w:val="21"/>
              </w:rPr>
            </w:pPr>
            <w:r>
              <w:rPr>
                <w:szCs w:val="21"/>
              </w:rPr>
              <w:t>评分</w:t>
            </w:r>
          </w:p>
        </w:tc>
        <w:tc>
          <w:tcPr>
            <w:tcW w:w="1213" w:type="dxa"/>
          </w:tcPr>
          <w:p>
            <w:pPr>
              <w:snapToGrid w:val="0"/>
              <w:spacing w:line="600" w:lineRule="exact"/>
              <w:rPr>
                <w:szCs w:val="21"/>
              </w:rPr>
            </w:pPr>
            <w:r>
              <w:rPr>
                <w:szCs w:val="21"/>
              </w:rPr>
              <w:t>20</w:t>
            </w:r>
          </w:p>
        </w:tc>
        <w:tc>
          <w:tcPr>
            <w:tcW w:w="1213" w:type="dxa"/>
          </w:tcPr>
          <w:p>
            <w:pPr>
              <w:snapToGrid w:val="0"/>
              <w:spacing w:line="600" w:lineRule="exact"/>
              <w:rPr>
                <w:szCs w:val="21"/>
              </w:rPr>
            </w:pPr>
            <w:r>
              <w:rPr>
                <w:szCs w:val="21"/>
              </w:rPr>
              <w:t>20</w:t>
            </w:r>
          </w:p>
        </w:tc>
        <w:tc>
          <w:tcPr>
            <w:tcW w:w="1213" w:type="dxa"/>
          </w:tcPr>
          <w:p>
            <w:pPr>
              <w:snapToGrid w:val="0"/>
              <w:spacing w:line="600" w:lineRule="exact"/>
              <w:rPr>
                <w:szCs w:val="21"/>
              </w:rPr>
            </w:pPr>
            <w:r>
              <w:rPr>
                <w:szCs w:val="21"/>
              </w:rPr>
              <w:t>20</w:t>
            </w:r>
          </w:p>
        </w:tc>
        <w:tc>
          <w:tcPr>
            <w:tcW w:w="1214" w:type="dxa"/>
          </w:tcPr>
          <w:p>
            <w:pPr>
              <w:snapToGrid w:val="0"/>
              <w:spacing w:line="600" w:lineRule="exact"/>
              <w:rPr>
                <w:szCs w:val="21"/>
              </w:rPr>
            </w:pPr>
            <w:r>
              <w:rPr>
                <w:szCs w:val="21"/>
              </w:rPr>
              <w:t>10</w:t>
            </w:r>
          </w:p>
        </w:tc>
        <w:tc>
          <w:tcPr>
            <w:tcW w:w="1214" w:type="dxa"/>
          </w:tcPr>
          <w:p>
            <w:pPr>
              <w:snapToGrid w:val="0"/>
              <w:spacing w:line="600" w:lineRule="exact"/>
              <w:rPr>
                <w:szCs w:val="21"/>
              </w:rPr>
            </w:pPr>
            <w:r>
              <w:rPr>
                <w:szCs w:val="21"/>
              </w:rPr>
              <w:t>20</w:t>
            </w:r>
          </w:p>
        </w:tc>
        <w:tc>
          <w:tcPr>
            <w:tcW w:w="1214" w:type="dxa"/>
          </w:tcPr>
          <w:p>
            <w:pPr>
              <w:snapToGrid w:val="0"/>
              <w:spacing w:line="600" w:lineRule="exact"/>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3" w:type="dxa"/>
          </w:tcPr>
          <w:p>
            <w:pPr>
              <w:snapToGrid w:val="0"/>
              <w:spacing w:line="600" w:lineRule="exact"/>
              <w:rPr>
                <w:szCs w:val="21"/>
              </w:rPr>
            </w:pPr>
            <w:r>
              <w:rPr>
                <w:szCs w:val="21"/>
              </w:rPr>
              <w:t>自评得分</w:t>
            </w:r>
          </w:p>
        </w:tc>
        <w:tc>
          <w:tcPr>
            <w:tcW w:w="1213" w:type="dxa"/>
          </w:tcPr>
          <w:p>
            <w:pPr>
              <w:snapToGrid w:val="0"/>
              <w:spacing w:line="600" w:lineRule="exact"/>
              <w:rPr>
                <w:szCs w:val="21"/>
              </w:rPr>
            </w:pPr>
            <w:r>
              <w:rPr>
                <w:szCs w:val="21"/>
              </w:rPr>
              <w:t>20</w:t>
            </w:r>
          </w:p>
        </w:tc>
        <w:tc>
          <w:tcPr>
            <w:tcW w:w="1213" w:type="dxa"/>
          </w:tcPr>
          <w:p>
            <w:pPr>
              <w:snapToGrid w:val="0"/>
              <w:spacing w:line="600" w:lineRule="exact"/>
              <w:rPr>
                <w:szCs w:val="21"/>
              </w:rPr>
            </w:pPr>
            <w:r>
              <w:rPr>
                <w:szCs w:val="21"/>
              </w:rPr>
              <w:t>20</w:t>
            </w:r>
          </w:p>
        </w:tc>
        <w:tc>
          <w:tcPr>
            <w:tcW w:w="1213" w:type="dxa"/>
          </w:tcPr>
          <w:p>
            <w:pPr>
              <w:snapToGrid w:val="0"/>
              <w:spacing w:line="600" w:lineRule="exact"/>
              <w:rPr>
                <w:szCs w:val="21"/>
              </w:rPr>
            </w:pPr>
            <w:r>
              <w:rPr>
                <w:szCs w:val="21"/>
              </w:rPr>
              <w:t>20</w:t>
            </w:r>
          </w:p>
        </w:tc>
        <w:tc>
          <w:tcPr>
            <w:tcW w:w="1214" w:type="dxa"/>
          </w:tcPr>
          <w:p>
            <w:pPr>
              <w:snapToGrid w:val="0"/>
              <w:spacing w:line="600" w:lineRule="exact"/>
              <w:rPr>
                <w:szCs w:val="21"/>
              </w:rPr>
            </w:pPr>
            <w:r>
              <w:rPr>
                <w:szCs w:val="21"/>
              </w:rPr>
              <w:t>10</w:t>
            </w:r>
          </w:p>
        </w:tc>
        <w:tc>
          <w:tcPr>
            <w:tcW w:w="1214" w:type="dxa"/>
          </w:tcPr>
          <w:p>
            <w:pPr>
              <w:snapToGrid w:val="0"/>
              <w:spacing w:line="600" w:lineRule="exact"/>
              <w:rPr>
                <w:szCs w:val="21"/>
              </w:rPr>
            </w:pPr>
            <w:r>
              <w:rPr>
                <w:szCs w:val="21"/>
              </w:rPr>
              <w:t>20</w:t>
            </w:r>
          </w:p>
        </w:tc>
        <w:tc>
          <w:tcPr>
            <w:tcW w:w="1214" w:type="dxa"/>
          </w:tcPr>
          <w:p>
            <w:pPr>
              <w:snapToGrid w:val="0"/>
              <w:spacing w:line="600" w:lineRule="exact"/>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0" w:type="dxa"/>
            <w:gridSpan w:val="6"/>
          </w:tcPr>
          <w:p>
            <w:pPr>
              <w:snapToGrid w:val="0"/>
              <w:spacing w:line="600" w:lineRule="exact"/>
              <w:jc w:val="right"/>
              <w:rPr>
                <w:szCs w:val="21"/>
              </w:rPr>
            </w:pPr>
            <w:r>
              <w:rPr>
                <w:szCs w:val="21"/>
              </w:rPr>
              <w:t>得分</w:t>
            </w:r>
          </w:p>
        </w:tc>
        <w:tc>
          <w:tcPr>
            <w:tcW w:w="1214" w:type="dxa"/>
          </w:tcPr>
          <w:p>
            <w:pPr>
              <w:snapToGrid w:val="0"/>
              <w:spacing w:line="600" w:lineRule="exact"/>
              <w:rPr>
                <w:szCs w:val="21"/>
              </w:rPr>
            </w:pPr>
            <w:r>
              <w:rPr>
                <w:szCs w:val="21"/>
              </w:rPr>
              <w:t>100</w:t>
            </w:r>
          </w:p>
        </w:tc>
      </w:tr>
    </w:tbl>
    <w:p>
      <w:pPr>
        <w:snapToGrid w:val="0"/>
        <w:spacing w:line="600" w:lineRule="exact"/>
        <w:ind w:firstLine="640" w:firstLineChars="200"/>
        <w:rPr>
          <w:rFonts w:eastAsia="仿宋_GB2312"/>
          <w:sz w:val="32"/>
          <w:szCs w:val="32"/>
        </w:rPr>
      </w:pPr>
      <w:r>
        <w:rPr>
          <w:rFonts w:eastAsia="黑体"/>
          <w:sz w:val="32"/>
          <w:szCs w:val="32"/>
        </w:rPr>
        <w:t>三、综合评价结论</w:t>
      </w:r>
    </w:p>
    <w:p>
      <w:pPr>
        <w:snapToGrid w:val="0"/>
        <w:spacing w:line="600" w:lineRule="exact"/>
        <w:ind w:firstLine="640" w:firstLineChars="200"/>
        <w:rPr>
          <w:rFonts w:eastAsia="黑体"/>
          <w:bCs/>
          <w:sz w:val="32"/>
          <w:szCs w:val="32"/>
        </w:rPr>
      </w:pPr>
      <w:r>
        <w:rPr>
          <w:rFonts w:eastAsia="黑体"/>
          <w:bCs/>
          <w:sz w:val="32"/>
          <w:szCs w:val="32"/>
        </w:rPr>
        <w:t>四、绩效评价分析</w:t>
      </w:r>
    </w:p>
    <w:p>
      <w:pPr>
        <w:snapToGrid w:val="0"/>
        <w:spacing w:line="600" w:lineRule="exact"/>
        <w:ind w:firstLine="643" w:firstLineChars="200"/>
        <w:rPr>
          <w:rFonts w:eastAsia="仿宋_GB2312"/>
          <w:b/>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pPr>
        <w:adjustRightInd w:val="0"/>
        <w:snapToGrid w:val="0"/>
        <w:spacing w:line="600" w:lineRule="exact"/>
        <w:ind w:firstLine="643" w:firstLineChars="20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hint="eastAsia" w:eastAsia="仿宋_GB2312"/>
          <w:sz w:val="32"/>
          <w:szCs w:val="32"/>
          <w:lang w:eastAsia="zh-CN"/>
        </w:rPr>
        <w:t>2021</w:t>
      </w:r>
      <w:r>
        <w:rPr>
          <w:rFonts w:eastAsia="仿宋_GB2312"/>
          <w:sz w:val="32"/>
          <w:szCs w:val="32"/>
        </w:rPr>
        <w:t>年项目完成，经费使用率</w:t>
      </w:r>
      <w:r>
        <w:rPr>
          <w:rFonts w:hint="eastAsia" w:eastAsia="仿宋_GB2312"/>
          <w:sz w:val="32"/>
          <w:szCs w:val="32"/>
          <w:lang w:val="en-US" w:eastAsia="zh-CN"/>
        </w:rPr>
        <w:t>78.13</w:t>
      </w:r>
      <w:r>
        <w:rPr>
          <w:rFonts w:eastAsia="仿宋_GB2312"/>
          <w:sz w:val="32"/>
          <w:szCs w:val="32"/>
        </w:rPr>
        <w:t>%。既进行了公车大修，有效保障了行车安全，又节约了经费额度的</w:t>
      </w:r>
      <w:r>
        <w:rPr>
          <w:rFonts w:hint="eastAsia" w:eastAsia="仿宋_GB2312"/>
          <w:sz w:val="32"/>
          <w:szCs w:val="32"/>
          <w:lang w:val="en-US" w:eastAsia="zh-CN"/>
        </w:rPr>
        <w:t>21.87</w:t>
      </w:r>
      <w:r>
        <w:rPr>
          <w:rFonts w:eastAsia="仿宋_GB2312"/>
          <w:sz w:val="32"/>
          <w:szCs w:val="32"/>
        </w:rPr>
        <w:t>%</w:t>
      </w:r>
      <w:r>
        <w:rPr>
          <w:rFonts w:eastAsia="仿宋_GB2312"/>
          <w:sz w:val="32"/>
          <w:szCs w:val="32"/>
          <w:lang w:val="zh-CN"/>
        </w:rPr>
        <w:t>。</w:t>
      </w:r>
    </w:p>
    <w:p>
      <w:pPr>
        <w:snapToGrid w:val="0"/>
        <w:spacing w:line="600" w:lineRule="exact"/>
        <w:ind w:firstLine="640" w:firstLineChars="200"/>
        <w:rPr>
          <w:rFonts w:eastAsia="黑体"/>
          <w:sz w:val="32"/>
          <w:szCs w:val="32"/>
        </w:rPr>
      </w:pPr>
      <w:r>
        <w:rPr>
          <w:rFonts w:eastAsia="黑体"/>
          <w:sz w:val="32"/>
          <w:szCs w:val="32"/>
        </w:rPr>
        <w:t>五、存在主要问题。无。</w:t>
      </w:r>
    </w:p>
    <w:p>
      <w:pPr>
        <w:snapToGrid w:val="0"/>
        <w:spacing w:line="600" w:lineRule="exact"/>
        <w:ind w:firstLine="640" w:firstLineChars="200"/>
        <w:rPr>
          <w:rFonts w:eastAsia="仿宋_GB2312"/>
          <w:sz w:val="32"/>
          <w:szCs w:val="32"/>
        </w:rPr>
      </w:pPr>
      <w:r>
        <w:rPr>
          <w:rFonts w:eastAsia="黑体"/>
          <w:sz w:val="32"/>
          <w:szCs w:val="32"/>
        </w:rPr>
        <w:t>六、相关措施建议。</w:t>
      </w:r>
      <w:r>
        <w:rPr>
          <w:rFonts w:eastAsia="仿宋_GB2312"/>
          <w:sz w:val="32"/>
          <w:szCs w:val="32"/>
        </w:rPr>
        <w:t>项目实施意义重大，应继续抓好该</w:t>
      </w:r>
      <w:r>
        <w:rPr>
          <w:rFonts w:hint="eastAsia" w:eastAsia="仿宋_GB2312"/>
          <w:sz w:val="32"/>
          <w:szCs w:val="32"/>
          <w:lang w:val="en-US" w:eastAsia="zh-CN"/>
        </w:rPr>
        <w:t>项</w:t>
      </w:r>
      <w:r>
        <w:rPr>
          <w:rFonts w:eastAsia="仿宋_GB2312"/>
          <w:sz w:val="32"/>
          <w:szCs w:val="32"/>
        </w:rPr>
        <w:t>工作。</w:t>
      </w:r>
    </w:p>
    <w:p>
      <w:pPr>
        <w:snapToGrid w:val="0"/>
        <w:spacing w:line="600" w:lineRule="exact"/>
        <w:ind w:firstLine="420" w:firstLineChars="200"/>
      </w:pPr>
    </w:p>
    <w:p>
      <w:pPr>
        <w:spacing w:line="600" w:lineRule="exact"/>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（项目3：伊斯兰协会慰问活动经费）</w:t>
      </w:r>
    </w:p>
    <w:p>
      <w:pPr>
        <w:tabs>
          <w:tab w:val="left" w:pos="3885"/>
        </w:tabs>
        <w:snapToGrid w:val="0"/>
        <w:spacing w:line="600" w:lineRule="exact"/>
        <w:ind w:firstLine="640" w:firstLineChars="200"/>
        <w:jc w:val="left"/>
        <w:rPr>
          <w:rFonts w:eastAsia="黑体"/>
          <w:sz w:val="32"/>
          <w:szCs w:val="32"/>
        </w:rPr>
      </w:pPr>
      <w:r>
        <w:rPr>
          <w:rFonts w:eastAsia="黑体"/>
          <w:sz w:val="32"/>
          <w:szCs w:val="32"/>
        </w:rPr>
        <w:t>一、基本情况</w:t>
      </w:r>
    </w:p>
    <w:p>
      <w:pPr>
        <w:snapToGrid w:val="0"/>
        <w:spacing w:line="600" w:lineRule="exact"/>
        <w:ind w:firstLine="640" w:firstLineChars="200"/>
        <w:rPr>
          <w:rFonts w:eastAsia="仿宋_GB2312"/>
          <w:sz w:val="32"/>
          <w:szCs w:val="32"/>
          <w:lang w:val="zh-CN"/>
        </w:rPr>
      </w:pPr>
      <w:r>
        <w:rPr>
          <w:rFonts w:eastAsia="仿宋_GB2312"/>
          <w:sz w:val="32"/>
          <w:szCs w:val="32"/>
          <w:lang w:val="zh-CN"/>
        </w:rPr>
        <w:t>进一步深入开展爱心关爱活动，对全州伊斯兰教困难教职人员、民管会成员及穆斯林信教群众和对困难场所给予一定的关心关爱。有序、规范做好关心关爱工作，切实建立长效机制，需慰问经费8万元。</w:t>
      </w:r>
    </w:p>
    <w:p>
      <w:pPr>
        <w:snapToGrid w:val="0"/>
        <w:spacing w:line="600" w:lineRule="exact"/>
        <w:ind w:firstLine="640" w:firstLineChars="200"/>
        <w:rPr>
          <w:rFonts w:eastAsia="仿宋_GB2312"/>
          <w:sz w:val="32"/>
          <w:szCs w:val="32"/>
        </w:rPr>
      </w:pPr>
      <w:r>
        <w:rPr>
          <w:rFonts w:eastAsia="黑体"/>
          <w:sz w:val="32"/>
          <w:szCs w:val="32"/>
        </w:rPr>
        <w:t>二、评价工作开展情况</w:t>
      </w:r>
    </w:p>
    <w:p>
      <w:pPr>
        <w:snapToGrid w:val="0"/>
        <w:spacing w:line="600" w:lineRule="exact"/>
        <w:ind w:firstLine="640" w:firstLineChars="200"/>
        <w:rPr>
          <w:rFonts w:eastAsia="仿宋_GB2312"/>
          <w:sz w:val="32"/>
          <w:szCs w:val="32"/>
          <w:lang w:val="zh-CN"/>
        </w:rPr>
      </w:pPr>
      <w:r>
        <w:rPr>
          <w:rFonts w:eastAsia="仿宋_GB2312"/>
          <w:sz w:val="32"/>
          <w:szCs w:val="32"/>
          <w:lang w:val="zh-CN"/>
        </w:rPr>
        <w:t>项目绩效目标：对全州伊斯兰教困难教职人员、民管会成员及穆斯林信教群众和对困难场所给予一定的关心关爱。</w:t>
      </w:r>
    </w:p>
    <w:p>
      <w:pPr>
        <w:snapToGrid w:val="0"/>
        <w:spacing w:line="600" w:lineRule="exact"/>
        <w:ind w:firstLine="640" w:firstLineChars="20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pPr>
        <w:snapToGrid w:val="0"/>
        <w:spacing w:line="600" w:lineRule="exact"/>
        <w:ind w:firstLine="640" w:firstLineChars="200"/>
        <w:rPr>
          <w:rFonts w:eastAsia="黑体"/>
          <w:sz w:val="32"/>
          <w:szCs w:val="32"/>
        </w:rPr>
      </w:pPr>
      <w:r>
        <w:rPr>
          <w:rFonts w:eastAsia="黑体"/>
          <w:sz w:val="32"/>
          <w:szCs w:val="32"/>
        </w:rPr>
        <w:t>三、综合评价结论</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1217" w:type="dxa"/>
          </w:tcPr>
          <w:p>
            <w:pPr>
              <w:snapToGrid w:val="0"/>
            </w:pPr>
          </w:p>
          <w:p>
            <w:pPr>
              <w:snapToGrid w:val="0"/>
              <w:spacing w:line="600" w:lineRule="exact"/>
            </w:pPr>
          </w:p>
        </w:tc>
        <w:tc>
          <w:tcPr>
            <w:tcW w:w="1217" w:type="dxa"/>
          </w:tcPr>
          <w:p>
            <w:pPr>
              <w:snapToGrid w:val="0"/>
              <w:spacing w:line="600" w:lineRule="exact"/>
              <w:rPr>
                <w:sz w:val="30"/>
                <w:szCs w:val="30"/>
              </w:rPr>
            </w:pPr>
            <w:r>
              <w:rPr>
                <w:sz w:val="30"/>
                <w:szCs w:val="30"/>
              </w:rPr>
              <w:t>支出相符性</w:t>
            </w:r>
          </w:p>
        </w:tc>
        <w:tc>
          <w:tcPr>
            <w:tcW w:w="1217" w:type="dxa"/>
          </w:tcPr>
          <w:p>
            <w:pPr>
              <w:snapToGrid w:val="0"/>
              <w:spacing w:line="600" w:lineRule="exact"/>
              <w:rPr>
                <w:sz w:val="30"/>
                <w:szCs w:val="30"/>
              </w:rPr>
            </w:pPr>
            <w:r>
              <w:rPr>
                <w:sz w:val="30"/>
                <w:szCs w:val="30"/>
              </w:rPr>
              <w:t>支出真实性</w:t>
            </w:r>
          </w:p>
        </w:tc>
        <w:tc>
          <w:tcPr>
            <w:tcW w:w="1217" w:type="dxa"/>
          </w:tcPr>
          <w:p>
            <w:pPr>
              <w:snapToGrid w:val="0"/>
              <w:spacing w:line="600" w:lineRule="exact"/>
              <w:rPr>
                <w:sz w:val="30"/>
                <w:szCs w:val="30"/>
              </w:rPr>
            </w:pPr>
            <w:r>
              <w:rPr>
                <w:sz w:val="30"/>
                <w:szCs w:val="30"/>
              </w:rPr>
              <w:t>支出核算资料完整性</w:t>
            </w:r>
          </w:p>
        </w:tc>
        <w:tc>
          <w:tcPr>
            <w:tcW w:w="1218" w:type="dxa"/>
          </w:tcPr>
          <w:p>
            <w:pPr>
              <w:snapToGrid w:val="0"/>
              <w:spacing w:line="600" w:lineRule="exact"/>
              <w:rPr>
                <w:sz w:val="30"/>
                <w:szCs w:val="30"/>
              </w:rPr>
            </w:pPr>
            <w:r>
              <w:rPr>
                <w:sz w:val="30"/>
                <w:szCs w:val="30"/>
              </w:rPr>
              <w:t>目标数完成比例</w:t>
            </w:r>
          </w:p>
        </w:tc>
        <w:tc>
          <w:tcPr>
            <w:tcW w:w="1218" w:type="dxa"/>
          </w:tcPr>
          <w:p>
            <w:pPr>
              <w:snapToGrid w:val="0"/>
              <w:spacing w:line="600" w:lineRule="exact"/>
              <w:rPr>
                <w:sz w:val="30"/>
                <w:szCs w:val="30"/>
              </w:rPr>
            </w:pPr>
            <w:r>
              <w:rPr>
                <w:sz w:val="30"/>
                <w:szCs w:val="30"/>
              </w:rPr>
              <w:t>对象满意度</w:t>
            </w:r>
          </w:p>
        </w:tc>
        <w:tc>
          <w:tcPr>
            <w:tcW w:w="1218" w:type="dxa"/>
          </w:tcPr>
          <w:p>
            <w:pPr>
              <w:snapToGrid w:val="0"/>
              <w:spacing w:line="600" w:lineRule="exact"/>
              <w:rPr>
                <w:sz w:val="30"/>
                <w:szCs w:val="30"/>
              </w:rPr>
            </w:pPr>
            <w:r>
              <w:rPr>
                <w:sz w:val="30"/>
                <w:szCs w:val="30"/>
              </w:rPr>
              <w:t>支出预算占比90%以上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pPr>
              <w:snapToGrid w:val="0"/>
              <w:spacing w:line="600" w:lineRule="exact"/>
              <w:rPr>
                <w:sz w:val="30"/>
                <w:szCs w:val="30"/>
              </w:rPr>
            </w:pPr>
            <w:r>
              <w:rPr>
                <w:sz w:val="30"/>
                <w:szCs w:val="30"/>
              </w:rPr>
              <w:t>评分</w:t>
            </w:r>
          </w:p>
        </w:tc>
        <w:tc>
          <w:tcPr>
            <w:tcW w:w="1217" w:type="dxa"/>
          </w:tcPr>
          <w:p>
            <w:pPr>
              <w:snapToGrid w:val="0"/>
              <w:spacing w:line="600" w:lineRule="exact"/>
              <w:rPr>
                <w:sz w:val="30"/>
                <w:szCs w:val="30"/>
              </w:rPr>
            </w:pPr>
            <w:r>
              <w:rPr>
                <w:sz w:val="30"/>
                <w:szCs w:val="30"/>
              </w:rPr>
              <w:t>20</w:t>
            </w:r>
          </w:p>
        </w:tc>
        <w:tc>
          <w:tcPr>
            <w:tcW w:w="1217" w:type="dxa"/>
          </w:tcPr>
          <w:p>
            <w:pPr>
              <w:snapToGrid w:val="0"/>
              <w:spacing w:line="600" w:lineRule="exact"/>
              <w:rPr>
                <w:sz w:val="30"/>
                <w:szCs w:val="30"/>
              </w:rPr>
            </w:pPr>
            <w:r>
              <w:rPr>
                <w:sz w:val="30"/>
                <w:szCs w:val="30"/>
              </w:rPr>
              <w:t>20</w:t>
            </w:r>
          </w:p>
        </w:tc>
        <w:tc>
          <w:tcPr>
            <w:tcW w:w="1217" w:type="dxa"/>
          </w:tcPr>
          <w:p>
            <w:pPr>
              <w:snapToGrid w:val="0"/>
              <w:spacing w:line="600" w:lineRule="exact"/>
              <w:rPr>
                <w:sz w:val="30"/>
                <w:szCs w:val="30"/>
              </w:rPr>
            </w:pPr>
            <w:r>
              <w:rPr>
                <w:sz w:val="30"/>
                <w:szCs w:val="30"/>
              </w:rPr>
              <w:t>20</w:t>
            </w:r>
          </w:p>
        </w:tc>
        <w:tc>
          <w:tcPr>
            <w:tcW w:w="1218" w:type="dxa"/>
          </w:tcPr>
          <w:p>
            <w:pPr>
              <w:snapToGrid w:val="0"/>
              <w:spacing w:line="600" w:lineRule="exact"/>
              <w:rPr>
                <w:sz w:val="30"/>
                <w:szCs w:val="30"/>
              </w:rPr>
            </w:pPr>
            <w:r>
              <w:rPr>
                <w:sz w:val="30"/>
                <w:szCs w:val="30"/>
              </w:rPr>
              <w:t>10</w:t>
            </w:r>
          </w:p>
        </w:tc>
        <w:tc>
          <w:tcPr>
            <w:tcW w:w="1218" w:type="dxa"/>
          </w:tcPr>
          <w:p>
            <w:pPr>
              <w:snapToGrid w:val="0"/>
              <w:spacing w:line="600" w:lineRule="exact"/>
              <w:rPr>
                <w:sz w:val="30"/>
                <w:szCs w:val="30"/>
              </w:rPr>
            </w:pPr>
            <w:r>
              <w:rPr>
                <w:sz w:val="30"/>
                <w:szCs w:val="30"/>
              </w:rPr>
              <w:t>20</w:t>
            </w:r>
          </w:p>
        </w:tc>
        <w:tc>
          <w:tcPr>
            <w:tcW w:w="1218" w:type="dxa"/>
          </w:tcPr>
          <w:p>
            <w:pPr>
              <w:snapToGrid w:val="0"/>
              <w:spacing w:line="600" w:lineRule="exact"/>
              <w:rPr>
                <w:sz w:val="30"/>
                <w:szCs w:val="30"/>
              </w:rPr>
            </w:pPr>
            <w:r>
              <w:rPr>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217" w:type="dxa"/>
          </w:tcPr>
          <w:p>
            <w:pPr>
              <w:snapToGrid w:val="0"/>
              <w:spacing w:line="600" w:lineRule="exact"/>
              <w:rPr>
                <w:sz w:val="30"/>
                <w:szCs w:val="30"/>
              </w:rPr>
            </w:pPr>
            <w:r>
              <w:rPr>
                <w:sz w:val="30"/>
                <w:szCs w:val="30"/>
              </w:rPr>
              <w:t>自评得分</w:t>
            </w:r>
          </w:p>
        </w:tc>
        <w:tc>
          <w:tcPr>
            <w:tcW w:w="1217" w:type="dxa"/>
          </w:tcPr>
          <w:p>
            <w:pPr>
              <w:snapToGrid w:val="0"/>
              <w:spacing w:line="600" w:lineRule="exact"/>
              <w:rPr>
                <w:sz w:val="30"/>
                <w:szCs w:val="30"/>
              </w:rPr>
            </w:pPr>
            <w:r>
              <w:rPr>
                <w:sz w:val="30"/>
                <w:szCs w:val="30"/>
              </w:rPr>
              <w:t>20</w:t>
            </w:r>
          </w:p>
        </w:tc>
        <w:tc>
          <w:tcPr>
            <w:tcW w:w="1217" w:type="dxa"/>
          </w:tcPr>
          <w:p>
            <w:pPr>
              <w:snapToGrid w:val="0"/>
              <w:spacing w:line="600" w:lineRule="exact"/>
              <w:rPr>
                <w:sz w:val="30"/>
                <w:szCs w:val="30"/>
              </w:rPr>
            </w:pPr>
            <w:r>
              <w:rPr>
                <w:sz w:val="30"/>
                <w:szCs w:val="30"/>
              </w:rPr>
              <w:t>20</w:t>
            </w:r>
          </w:p>
        </w:tc>
        <w:tc>
          <w:tcPr>
            <w:tcW w:w="1217" w:type="dxa"/>
          </w:tcPr>
          <w:p>
            <w:pPr>
              <w:snapToGrid w:val="0"/>
              <w:spacing w:line="600" w:lineRule="exact"/>
              <w:rPr>
                <w:sz w:val="30"/>
                <w:szCs w:val="30"/>
              </w:rPr>
            </w:pPr>
            <w:r>
              <w:rPr>
                <w:sz w:val="30"/>
                <w:szCs w:val="30"/>
              </w:rPr>
              <w:t>20</w:t>
            </w:r>
          </w:p>
        </w:tc>
        <w:tc>
          <w:tcPr>
            <w:tcW w:w="1218" w:type="dxa"/>
          </w:tcPr>
          <w:p>
            <w:pPr>
              <w:snapToGrid w:val="0"/>
              <w:spacing w:line="600" w:lineRule="exact"/>
              <w:rPr>
                <w:sz w:val="30"/>
                <w:szCs w:val="30"/>
              </w:rPr>
            </w:pPr>
            <w:r>
              <w:rPr>
                <w:sz w:val="30"/>
                <w:szCs w:val="30"/>
              </w:rPr>
              <w:t>10</w:t>
            </w:r>
          </w:p>
        </w:tc>
        <w:tc>
          <w:tcPr>
            <w:tcW w:w="1218" w:type="dxa"/>
          </w:tcPr>
          <w:p>
            <w:pPr>
              <w:snapToGrid w:val="0"/>
              <w:spacing w:line="600" w:lineRule="exact"/>
              <w:rPr>
                <w:sz w:val="30"/>
                <w:szCs w:val="30"/>
              </w:rPr>
            </w:pPr>
            <w:r>
              <w:rPr>
                <w:sz w:val="30"/>
                <w:szCs w:val="30"/>
              </w:rPr>
              <w:t>20</w:t>
            </w:r>
          </w:p>
        </w:tc>
        <w:tc>
          <w:tcPr>
            <w:tcW w:w="1218" w:type="dxa"/>
          </w:tcPr>
          <w:p>
            <w:pPr>
              <w:snapToGrid w:val="0"/>
              <w:spacing w:line="600" w:lineRule="exact"/>
              <w:rPr>
                <w:sz w:val="30"/>
                <w:szCs w:val="30"/>
              </w:rPr>
            </w:pPr>
            <w:r>
              <w:rPr>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tcPr>
          <w:p>
            <w:pPr>
              <w:snapToGrid w:val="0"/>
              <w:spacing w:line="600" w:lineRule="exact"/>
              <w:jc w:val="right"/>
              <w:rPr>
                <w:sz w:val="30"/>
                <w:szCs w:val="30"/>
              </w:rPr>
            </w:pPr>
            <w:r>
              <w:rPr>
                <w:sz w:val="30"/>
                <w:szCs w:val="30"/>
              </w:rPr>
              <w:t>得分</w:t>
            </w:r>
          </w:p>
        </w:tc>
        <w:tc>
          <w:tcPr>
            <w:tcW w:w="1218" w:type="dxa"/>
          </w:tcPr>
          <w:p>
            <w:pPr>
              <w:snapToGrid w:val="0"/>
              <w:spacing w:line="600" w:lineRule="exact"/>
              <w:rPr>
                <w:sz w:val="30"/>
                <w:szCs w:val="30"/>
              </w:rPr>
            </w:pPr>
            <w:r>
              <w:rPr>
                <w:sz w:val="30"/>
                <w:szCs w:val="30"/>
              </w:rPr>
              <w:t>100</w:t>
            </w:r>
          </w:p>
        </w:tc>
      </w:tr>
    </w:tbl>
    <w:p>
      <w:pPr>
        <w:snapToGrid w:val="0"/>
        <w:spacing w:line="600" w:lineRule="exact"/>
        <w:ind w:left="420" w:leftChars="200"/>
        <w:rPr>
          <w:rFonts w:eastAsia="黑体"/>
          <w:szCs w:val="21"/>
        </w:rPr>
      </w:pPr>
    </w:p>
    <w:p>
      <w:pPr>
        <w:snapToGrid w:val="0"/>
        <w:spacing w:line="600" w:lineRule="exact"/>
        <w:ind w:firstLine="640" w:firstLineChars="200"/>
        <w:rPr>
          <w:rFonts w:eastAsia="黑体"/>
          <w:bCs/>
          <w:sz w:val="32"/>
          <w:szCs w:val="32"/>
        </w:rPr>
      </w:pPr>
      <w:r>
        <w:rPr>
          <w:rFonts w:eastAsia="黑体"/>
          <w:bCs/>
          <w:sz w:val="32"/>
          <w:szCs w:val="32"/>
        </w:rPr>
        <w:t>四、绩效评价分析</w:t>
      </w:r>
    </w:p>
    <w:p>
      <w:pPr>
        <w:snapToGrid w:val="0"/>
        <w:spacing w:line="600" w:lineRule="exact"/>
        <w:ind w:firstLine="643" w:firstLineChars="20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pPr>
        <w:adjustRightInd w:val="0"/>
        <w:snapToGrid w:val="0"/>
        <w:spacing w:line="600" w:lineRule="exact"/>
        <w:ind w:firstLine="643" w:firstLineChars="20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lang w:val="zh-CN"/>
        </w:rPr>
        <w:t>对全州伊斯兰教困难教职人员、民管会成员及穆斯林信教群众和对困难场所给予</w:t>
      </w:r>
      <w:r>
        <w:rPr>
          <w:rFonts w:eastAsia="仿宋_GB2312"/>
          <w:sz w:val="32"/>
          <w:szCs w:val="32"/>
        </w:rPr>
        <w:t>了</w:t>
      </w:r>
      <w:r>
        <w:rPr>
          <w:rFonts w:eastAsia="仿宋_GB2312"/>
          <w:sz w:val="32"/>
          <w:szCs w:val="32"/>
          <w:lang w:val="zh-CN"/>
        </w:rPr>
        <w:t>关心关爱，</w:t>
      </w:r>
      <w:r>
        <w:rPr>
          <w:rFonts w:eastAsia="仿宋_GB2312"/>
          <w:sz w:val="32"/>
          <w:szCs w:val="32"/>
        </w:rPr>
        <w:t>有利于进一步加强民族团结，促进阿坝和谐稳定。</w:t>
      </w:r>
    </w:p>
    <w:p>
      <w:pPr>
        <w:snapToGrid w:val="0"/>
        <w:spacing w:line="600" w:lineRule="exact"/>
        <w:ind w:firstLine="640" w:firstLineChars="200"/>
        <w:rPr>
          <w:rFonts w:eastAsia="黑体"/>
          <w:sz w:val="32"/>
          <w:szCs w:val="32"/>
        </w:rPr>
      </w:pPr>
      <w:r>
        <w:rPr>
          <w:rFonts w:eastAsia="黑体"/>
          <w:sz w:val="32"/>
          <w:szCs w:val="32"/>
        </w:rPr>
        <w:t>五、存在主要问题。无。</w:t>
      </w:r>
    </w:p>
    <w:p>
      <w:pPr>
        <w:snapToGrid w:val="0"/>
        <w:spacing w:line="600" w:lineRule="exact"/>
        <w:ind w:firstLine="640" w:firstLineChars="200"/>
        <w:rPr>
          <w:rFonts w:eastAsia="仿宋_GB2312"/>
          <w:sz w:val="32"/>
          <w:szCs w:val="32"/>
        </w:rPr>
      </w:pPr>
      <w:r>
        <w:rPr>
          <w:rFonts w:eastAsia="黑体"/>
          <w:sz w:val="32"/>
          <w:szCs w:val="32"/>
        </w:rPr>
        <w:t>六、相关措施建议。</w:t>
      </w:r>
      <w:r>
        <w:rPr>
          <w:rFonts w:eastAsia="仿宋_GB2312"/>
          <w:sz w:val="32"/>
          <w:szCs w:val="32"/>
        </w:rPr>
        <w:t>项目实施意义重大，应继续抓好该</w:t>
      </w:r>
      <w:r>
        <w:rPr>
          <w:rFonts w:hint="eastAsia" w:eastAsia="仿宋_GB2312"/>
          <w:sz w:val="32"/>
          <w:szCs w:val="32"/>
          <w:lang w:val="en-US" w:eastAsia="zh-CN"/>
        </w:rPr>
        <w:t>项</w:t>
      </w:r>
      <w:r>
        <w:rPr>
          <w:rFonts w:eastAsia="仿宋_GB2312"/>
          <w:sz w:val="32"/>
          <w:szCs w:val="32"/>
        </w:rPr>
        <w:t>工作。</w:t>
      </w:r>
    </w:p>
    <w:p>
      <w:pPr>
        <w:snapToGrid w:val="0"/>
        <w:spacing w:line="600" w:lineRule="exact"/>
        <w:ind w:firstLine="640" w:firstLineChars="200"/>
        <w:rPr>
          <w:rFonts w:eastAsia="仿宋_GB2312"/>
          <w:sz w:val="32"/>
          <w:szCs w:val="32"/>
        </w:rPr>
      </w:pPr>
    </w:p>
    <w:p>
      <w:pPr>
        <w:spacing w:line="600" w:lineRule="exact"/>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（项目4：伊斯兰协会四进及法治宣传工作经费项目）</w:t>
      </w:r>
    </w:p>
    <w:p>
      <w:pPr>
        <w:tabs>
          <w:tab w:val="left" w:pos="3885"/>
        </w:tabs>
        <w:snapToGrid w:val="0"/>
        <w:spacing w:line="600" w:lineRule="exact"/>
        <w:ind w:firstLine="640" w:firstLineChars="200"/>
        <w:jc w:val="left"/>
        <w:rPr>
          <w:rFonts w:eastAsia="黑体"/>
          <w:sz w:val="32"/>
          <w:szCs w:val="32"/>
        </w:rPr>
      </w:pPr>
      <w:r>
        <w:rPr>
          <w:rFonts w:eastAsia="黑体"/>
          <w:sz w:val="32"/>
          <w:szCs w:val="32"/>
        </w:rPr>
        <w:t>一、基本情况</w:t>
      </w:r>
    </w:p>
    <w:p>
      <w:pPr>
        <w:snapToGrid w:val="0"/>
        <w:spacing w:line="600" w:lineRule="exact"/>
        <w:ind w:firstLine="640" w:firstLineChars="200"/>
        <w:rPr>
          <w:rFonts w:eastAsia="仿宋_GB2312"/>
          <w:sz w:val="32"/>
          <w:szCs w:val="32"/>
        </w:rPr>
      </w:pPr>
      <w:r>
        <w:rPr>
          <w:rFonts w:eastAsia="仿宋_GB2312"/>
          <w:sz w:val="32"/>
          <w:szCs w:val="32"/>
        </w:rPr>
        <w:t>包括项目概况、项目实施情况、资金投入使用情况和项目绩效目标等内容。</w:t>
      </w:r>
    </w:p>
    <w:p>
      <w:pPr>
        <w:adjustRightInd w:val="0"/>
        <w:snapToGrid w:val="0"/>
        <w:spacing w:line="600" w:lineRule="exact"/>
        <w:ind w:firstLine="640" w:firstLineChars="200"/>
        <w:rPr>
          <w:rFonts w:eastAsia="楷体_GB2312"/>
          <w:b/>
          <w:sz w:val="32"/>
          <w:szCs w:val="32"/>
          <w:lang w:val="zh-CN"/>
        </w:rPr>
      </w:pPr>
      <w:r>
        <w:rPr>
          <w:rFonts w:eastAsia="黑体"/>
          <w:sz w:val="32"/>
          <w:szCs w:val="32"/>
        </w:rPr>
        <w:t>二、评价工作开展情况</w:t>
      </w:r>
    </w:p>
    <w:p>
      <w:pPr>
        <w:snapToGrid w:val="0"/>
        <w:spacing w:line="600" w:lineRule="exact"/>
        <w:ind w:firstLine="640" w:firstLineChars="200"/>
        <w:rPr>
          <w:rFonts w:eastAsia="仿宋_GB2312"/>
          <w:sz w:val="32"/>
          <w:szCs w:val="32"/>
          <w:lang w:val="zh-CN"/>
        </w:rPr>
      </w:pPr>
      <w:r>
        <w:rPr>
          <w:rFonts w:eastAsia="仿宋_GB2312"/>
          <w:sz w:val="32"/>
          <w:szCs w:val="32"/>
          <w:lang w:val="zh-CN"/>
        </w:rPr>
        <w:t>项目绩效目标：提高宗教界人士和信教群众学法、知法、守法、用法的能力和行为，为维护社会稳定、经济发展奠定基础。</w:t>
      </w:r>
    </w:p>
    <w:p>
      <w:pPr>
        <w:snapToGrid w:val="0"/>
        <w:spacing w:line="600" w:lineRule="exact"/>
        <w:ind w:firstLine="640" w:firstLineChars="20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pPr>
        <w:adjustRightInd w:val="0"/>
        <w:snapToGrid w:val="0"/>
        <w:spacing w:line="600" w:lineRule="exact"/>
        <w:ind w:firstLine="640" w:firstLineChars="200"/>
        <w:rPr>
          <w:rFonts w:eastAsia="黑体"/>
          <w:sz w:val="32"/>
          <w:szCs w:val="32"/>
        </w:rPr>
      </w:pPr>
      <w:r>
        <w:rPr>
          <w:rFonts w:eastAsia="黑体"/>
          <w:sz w:val="32"/>
          <w:szCs w:val="32"/>
        </w:rPr>
        <w:t>三、综合评价结论</w:t>
      </w:r>
    </w:p>
    <w:tbl>
      <w:tblPr>
        <w:tblStyle w:val="19"/>
        <w:tblW w:w="8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1219"/>
        <w:gridCol w:w="1219"/>
        <w:gridCol w:w="1219"/>
        <w:gridCol w:w="1220"/>
        <w:gridCol w:w="122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219" w:type="dxa"/>
          </w:tcPr>
          <w:p>
            <w:pPr>
              <w:snapToGrid w:val="0"/>
              <w:rPr>
                <w:szCs w:val="21"/>
              </w:rPr>
            </w:pPr>
          </w:p>
          <w:p>
            <w:pPr>
              <w:snapToGrid w:val="0"/>
              <w:spacing w:line="600" w:lineRule="exact"/>
              <w:rPr>
                <w:szCs w:val="21"/>
              </w:rPr>
            </w:pPr>
          </w:p>
        </w:tc>
        <w:tc>
          <w:tcPr>
            <w:tcW w:w="1219" w:type="dxa"/>
          </w:tcPr>
          <w:p>
            <w:pPr>
              <w:snapToGrid w:val="0"/>
              <w:spacing w:line="600" w:lineRule="exact"/>
              <w:rPr>
                <w:szCs w:val="21"/>
              </w:rPr>
            </w:pPr>
            <w:r>
              <w:rPr>
                <w:szCs w:val="21"/>
              </w:rPr>
              <w:t>支出相符性</w:t>
            </w:r>
          </w:p>
        </w:tc>
        <w:tc>
          <w:tcPr>
            <w:tcW w:w="1219" w:type="dxa"/>
          </w:tcPr>
          <w:p>
            <w:pPr>
              <w:snapToGrid w:val="0"/>
              <w:spacing w:line="600" w:lineRule="exact"/>
              <w:rPr>
                <w:szCs w:val="21"/>
              </w:rPr>
            </w:pPr>
            <w:r>
              <w:rPr>
                <w:szCs w:val="21"/>
              </w:rPr>
              <w:t>支出真实性</w:t>
            </w:r>
          </w:p>
        </w:tc>
        <w:tc>
          <w:tcPr>
            <w:tcW w:w="1219" w:type="dxa"/>
          </w:tcPr>
          <w:p>
            <w:pPr>
              <w:snapToGrid w:val="0"/>
              <w:spacing w:line="600" w:lineRule="exact"/>
              <w:rPr>
                <w:szCs w:val="21"/>
              </w:rPr>
            </w:pPr>
            <w:r>
              <w:rPr>
                <w:szCs w:val="21"/>
              </w:rPr>
              <w:t>支出核算资料完整性</w:t>
            </w:r>
          </w:p>
        </w:tc>
        <w:tc>
          <w:tcPr>
            <w:tcW w:w="1220" w:type="dxa"/>
          </w:tcPr>
          <w:p>
            <w:pPr>
              <w:snapToGrid w:val="0"/>
              <w:spacing w:line="600" w:lineRule="exact"/>
              <w:rPr>
                <w:szCs w:val="21"/>
              </w:rPr>
            </w:pPr>
            <w:r>
              <w:rPr>
                <w:szCs w:val="21"/>
              </w:rPr>
              <w:t>目标数完成比例</w:t>
            </w:r>
          </w:p>
        </w:tc>
        <w:tc>
          <w:tcPr>
            <w:tcW w:w="1220" w:type="dxa"/>
          </w:tcPr>
          <w:p>
            <w:pPr>
              <w:snapToGrid w:val="0"/>
              <w:spacing w:line="600" w:lineRule="exact"/>
              <w:rPr>
                <w:szCs w:val="21"/>
              </w:rPr>
            </w:pPr>
            <w:r>
              <w:rPr>
                <w:szCs w:val="21"/>
              </w:rPr>
              <w:t>对象满意度</w:t>
            </w:r>
          </w:p>
        </w:tc>
        <w:tc>
          <w:tcPr>
            <w:tcW w:w="1220" w:type="dxa"/>
          </w:tcPr>
          <w:p>
            <w:pPr>
              <w:snapToGrid w:val="0"/>
              <w:spacing w:line="600" w:lineRule="exact"/>
              <w:rPr>
                <w:szCs w:val="21"/>
              </w:rPr>
            </w:pPr>
            <w:r>
              <w:rPr>
                <w:szCs w:val="21"/>
              </w:rPr>
              <w:t>支出预算占比90%以上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219" w:type="dxa"/>
          </w:tcPr>
          <w:p>
            <w:pPr>
              <w:snapToGrid w:val="0"/>
              <w:spacing w:line="600" w:lineRule="exact"/>
              <w:rPr>
                <w:szCs w:val="21"/>
              </w:rPr>
            </w:pPr>
            <w:r>
              <w:rPr>
                <w:szCs w:val="21"/>
              </w:rPr>
              <w:t>评分</w:t>
            </w:r>
          </w:p>
        </w:tc>
        <w:tc>
          <w:tcPr>
            <w:tcW w:w="1219" w:type="dxa"/>
          </w:tcPr>
          <w:p>
            <w:pPr>
              <w:snapToGrid w:val="0"/>
              <w:spacing w:line="600" w:lineRule="exact"/>
              <w:rPr>
                <w:szCs w:val="21"/>
              </w:rPr>
            </w:pPr>
            <w:r>
              <w:rPr>
                <w:szCs w:val="21"/>
              </w:rPr>
              <w:t>20</w:t>
            </w:r>
          </w:p>
        </w:tc>
        <w:tc>
          <w:tcPr>
            <w:tcW w:w="1219" w:type="dxa"/>
          </w:tcPr>
          <w:p>
            <w:pPr>
              <w:snapToGrid w:val="0"/>
              <w:spacing w:line="600" w:lineRule="exact"/>
              <w:rPr>
                <w:szCs w:val="21"/>
              </w:rPr>
            </w:pPr>
            <w:r>
              <w:rPr>
                <w:szCs w:val="21"/>
              </w:rPr>
              <w:t>20</w:t>
            </w:r>
          </w:p>
        </w:tc>
        <w:tc>
          <w:tcPr>
            <w:tcW w:w="1219" w:type="dxa"/>
          </w:tcPr>
          <w:p>
            <w:pPr>
              <w:snapToGrid w:val="0"/>
              <w:spacing w:line="600" w:lineRule="exact"/>
              <w:rPr>
                <w:szCs w:val="21"/>
              </w:rPr>
            </w:pPr>
            <w:r>
              <w:rPr>
                <w:szCs w:val="21"/>
              </w:rPr>
              <w:t>20</w:t>
            </w:r>
          </w:p>
        </w:tc>
        <w:tc>
          <w:tcPr>
            <w:tcW w:w="1220" w:type="dxa"/>
          </w:tcPr>
          <w:p>
            <w:pPr>
              <w:snapToGrid w:val="0"/>
              <w:spacing w:line="600" w:lineRule="exact"/>
              <w:rPr>
                <w:szCs w:val="21"/>
              </w:rPr>
            </w:pPr>
            <w:r>
              <w:rPr>
                <w:szCs w:val="21"/>
              </w:rPr>
              <w:t>10</w:t>
            </w:r>
          </w:p>
        </w:tc>
        <w:tc>
          <w:tcPr>
            <w:tcW w:w="1220" w:type="dxa"/>
          </w:tcPr>
          <w:p>
            <w:pPr>
              <w:snapToGrid w:val="0"/>
              <w:spacing w:line="600" w:lineRule="exact"/>
              <w:rPr>
                <w:szCs w:val="21"/>
              </w:rPr>
            </w:pPr>
            <w:r>
              <w:rPr>
                <w:szCs w:val="21"/>
              </w:rPr>
              <w:t>20</w:t>
            </w:r>
          </w:p>
        </w:tc>
        <w:tc>
          <w:tcPr>
            <w:tcW w:w="1220" w:type="dxa"/>
          </w:tcPr>
          <w:p>
            <w:pPr>
              <w:snapToGrid w:val="0"/>
              <w:spacing w:line="600" w:lineRule="exact"/>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219" w:type="dxa"/>
          </w:tcPr>
          <w:p>
            <w:pPr>
              <w:snapToGrid w:val="0"/>
              <w:spacing w:line="600" w:lineRule="exact"/>
              <w:rPr>
                <w:szCs w:val="21"/>
              </w:rPr>
            </w:pPr>
            <w:r>
              <w:rPr>
                <w:szCs w:val="21"/>
              </w:rPr>
              <w:t>自评得分</w:t>
            </w:r>
          </w:p>
        </w:tc>
        <w:tc>
          <w:tcPr>
            <w:tcW w:w="1219" w:type="dxa"/>
          </w:tcPr>
          <w:p>
            <w:pPr>
              <w:snapToGrid w:val="0"/>
              <w:spacing w:line="600" w:lineRule="exact"/>
              <w:rPr>
                <w:szCs w:val="21"/>
              </w:rPr>
            </w:pPr>
            <w:r>
              <w:rPr>
                <w:szCs w:val="21"/>
              </w:rPr>
              <w:t>20</w:t>
            </w:r>
          </w:p>
        </w:tc>
        <w:tc>
          <w:tcPr>
            <w:tcW w:w="1219" w:type="dxa"/>
          </w:tcPr>
          <w:p>
            <w:pPr>
              <w:snapToGrid w:val="0"/>
              <w:spacing w:line="600" w:lineRule="exact"/>
              <w:rPr>
                <w:szCs w:val="21"/>
              </w:rPr>
            </w:pPr>
            <w:r>
              <w:rPr>
                <w:szCs w:val="21"/>
              </w:rPr>
              <w:t>20</w:t>
            </w:r>
          </w:p>
        </w:tc>
        <w:tc>
          <w:tcPr>
            <w:tcW w:w="1219" w:type="dxa"/>
          </w:tcPr>
          <w:p>
            <w:pPr>
              <w:snapToGrid w:val="0"/>
              <w:spacing w:line="600" w:lineRule="exact"/>
              <w:rPr>
                <w:szCs w:val="21"/>
              </w:rPr>
            </w:pPr>
            <w:r>
              <w:rPr>
                <w:szCs w:val="21"/>
              </w:rPr>
              <w:t>20</w:t>
            </w:r>
          </w:p>
        </w:tc>
        <w:tc>
          <w:tcPr>
            <w:tcW w:w="1220" w:type="dxa"/>
          </w:tcPr>
          <w:p>
            <w:pPr>
              <w:snapToGrid w:val="0"/>
              <w:spacing w:line="600" w:lineRule="exact"/>
              <w:rPr>
                <w:szCs w:val="21"/>
              </w:rPr>
            </w:pPr>
            <w:r>
              <w:rPr>
                <w:szCs w:val="21"/>
              </w:rPr>
              <w:t>10</w:t>
            </w:r>
          </w:p>
        </w:tc>
        <w:tc>
          <w:tcPr>
            <w:tcW w:w="1220" w:type="dxa"/>
          </w:tcPr>
          <w:p>
            <w:pPr>
              <w:snapToGrid w:val="0"/>
              <w:spacing w:line="600" w:lineRule="exact"/>
              <w:rPr>
                <w:szCs w:val="21"/>
              </w:rPr>
            </w:pPr>
            <w:r>
              <w:rPr>
                <w:szCs w:val="21"/>
              </w:rPr>
              <w:t>20</w:t>
            </w:r>
          </w:p>
        </w:tc>
        <w:tc>
          <w:tcPr>
            <w:tcW w:w="1220" w:type="dxa"/>
          </w:tcPr>
          <w:p>
            <w:pPr>
              <w:snapToGrid w:val="0"/>
              <w:spacing w:line="600" w:lineRule="exact"/>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16" w:type="dxa"/>
            <w:gridSpan w:val="6"/>
          </w:tcPr>
          <w:p>
            <w:pPr>
              <w:snapToGrid w:val="0"/>
              <w:spacing w:line="600" w:lineRule="exact"/>
              <w:jc w:val="right"/>
              <w:rPr>
                <w:szCs w:val="21"/>
              </w:rPr>
            </w:pPr>
            <w:r>
              <w:rPr>
                <w:szCs w:val="21"/>
              </w:rPr>
              <w:t>得分</w:t>
            </w:r>
          </w:p>
        </w:tc>
        <w:tc>
          <w:tcPr>
            <w:tcW w:w="1220" w:type="dxa"/>
          </w:tcPr>
          <w:p>
            <w:pPr>
              <w:snapToGrid w:val="0"/>
              <w:spacing w:line="600" w:lineRule="exact"/>
              <w:rPr>
                <w:szCs w:val="21"/>
              </w:rPr>
            </w:pPr>
            <w:r>
              <w:rPr>
                <w:szCs w:val="21"/>
              </w:rPr>
              <w:t>100</w:t>
            </w:r>
          </w:p>
        </w:tc>
      </w:tr>
    </w:tbl>
    <w:p>
      <w:pPr>
        <w:snapToGrid w:val="0"/>
        <w:spacing w:line="600" w:lineRule="exact"/>
        <w:ind w:firstLine="640" w:firstLineChars="200"/>
        <w:rPr>
          <w:rFonts w:eastAsia="黑体"/>
          <w:bCs/>
          <w:sz w:val="32"/>
          <w:szCs w:val="32"/>
        </w:rPr>
      </w:pPr>
      <w:r>
        <w:rPr>
          <w:rFonts w:eastAsia="黑体"/>
          <w:bCs/>
          <w:sz w:val="32"/>
          <w:szCs w:val="32"/>
        </w:rPr>
        <w:t>四、绩效评价分析</w:t>
      </w:r>
    </w:p>
    <w:p>
      <w:pPr>
        <w:snapToGrid w:val="0"/>
        <w:spacing w:line="600" w:lineRule="exact"/>
        <w:ind w:firstLine="643" w:firstLineChars="20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pPr>
        <w:adjustRightInd w:val="0"/>
        <w:snapToGrid w:val="0"/>
        <w:spacing w:line="600" w:lineRule="exact"/>
        <w:ind w:firstLine="643" w:firstLineChars="20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lang w:val="zh-CN"/>
        </w:rPr>
        <w:t>积极配合州民宗委采用“卧尔兹”巡回宣讲的形式深入到清真寺集中宣传的方式，同时请司法人员现场讲法、开展义务法律咨询和法律服务、发放书籍资料，从而提高宗教界人士和信教群众学法、知法、守法、用法的能力和行为，为维护社会稳定、经济发展奠定</w:t>
      </w:r>
      <w:r>
        <w:rPr>
          <w:rFonts w:eastAsia="仿宋_GB2312"/>
          <w:sz w:val="32"/>
          <w:szCs w:val="32"/>
        </w:rPr>
        <w:t>了</w:t>
      </w:r>
      <w:r>
        <w:rPr>
          <w:rFonts w:eastAsia="仿宋_GB2312"/>
          <w:sz w:val="32"/>
          <w:szCs w:val="32"/>
          <w:lang w:val="zh-CN"/>
        </w:rPr>
        <w:t>基础。</w:t>
      </w:r>
    </w:p>
    <w:p>
      <w:pPr>
        <w:snapToGrid w:val="0"/>
        <w:spacing w:line="600" w:lineRule="exact"/>
        <w:ind w:firstLine="640" w:firstLineChars="200"/>
        <w:rPr>
          <w:rFonts w:eastAsia="黑体"/>
          <w:sz w:val="32"/>
          <w:szCs w:val="32"/>
        </w:rPr>
      </w:pPr>
      <w:r>
        <w:rPr>
          <w:rFonts w:eastAsia="黑体"/>
          <w:sz w:val="32"/>
          <w:szCs w:val="32"/>
        </w:rPr>
        <w:t>五、存在主要问题。无。</w:t>
      </w:r>
    </w:p>
    <w:p>
      <w:pPr>
        <w:snapToGrid w:val="0"/>
        <w:spacing w:line="600" w:lineRule="exact"/>
        <w:ind w:firstLine="640" w:firstLineChars="200"/>
        <w:rPr>
          <w:rFonts w:eastAsia="方正小标宋简体"/>
          <w:sz w:val="32"/>
          <w:szCs w:val="32"/>
        </w:rPr>
      </w:pPr>
      <w:r>
        <w:rPr>
          <w:rFonts w:eastAsia="黑体"/>
          <w:sz w:val="32"/>
          <w:szCs w:val="32"/>
        </w:rPr>
        <w:t>六、相关措施建议。</w:t>
      </w:r>
      <w:r>
        <w:rPr>
          <w:rFonts w:eastAsia="仿宋_GB2312"/>
          <w:sz w:val="32"/>
          <w:szCs w:val="32"/>
        </w:rPr>
        <w:t>项目实施意义重大，应继续抓好该</w:t>
      </w:r>
      <w:r>
        <w:rPr>
          <w:rFonts w:hint="eastAsia" w:eastAsia="仿宋_GB2312"/>
          <w:sz w:val="32"/>
          <w:szCs w:val="32"/>
          <w:lang w:val="en-US" w:eastAsia="zh-CN"/>
        </w:rPr>
        <w:t>项</w:t>
      </w:r>
      <w:r>
        <w:rPr>
          <w:rFonts w:eastAsia="仿宋_GB2312"/>
          <w:sz w:val="32"/>
          <w:szCs w:val="32"/>
        </w:rPr>
        <w:t>工作。</w:t>
      </w:r>
    </w:p>
    <w:p>
      <w:pPr>
        <w:spacing w:line="600" w:lineRule="exact"/>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（项目5：</w:t>
      </w:r>
      <w:r>
        <w:rPr>
          <w:rFonts w:hint="eastAsia" w:ascii="方正小标宋_GBK" w:hAnsi="方正小标宋_GBK" w:eastAsia="方正小标宋_GBK" w:cs="方正小标宋_GBK"/>
          <w:sz w:val="32"/>
          <w:szCs w:val="32"/>
          <w:lang w:val="en-US" w:eastAsia="zh-CN"/>
        </w:rPr>
        <w:t>知新会工作经费</w:t>
      </w:r>
      <w:r>
        <w:rPr>
          <w:rFonts w:hint="eastAsia" w:ascii="方正小标宋_GBK" w:hAnsi="方正小标宋_GBK" w:eastAsia="方正小标宋_GBK" w:cs="方正小标宋_GBK"/>
          <w:sz w:val="32"/>
          <w:szCs w:val="32"/>
        </w:rPr>
        <w:t>）</w:t>
      </w:r>
    </w:p>
    <w:p>
      <w:pPr>
        <w:tabs>
          <w:tab w:val="left" w:pos="3885"/>
        </w:tabs>
        <w:snapToGrid w:val="0"/>
        <w:spacing w:line="600" w:lineRule="exact"/>
        <w:ind w:firstLine="640" w:firstLineChars="200"/>
        <w:jc w:val="left"/>
        <w:rPr>
          <w:rFonts w:eastAsia="黑体"/>
          <w:sz w:val="32"/>
          <w:szCs w:val="32"/>
        </w:rPr>
      </w:pPr>
      <w:r>
        <w:rPr>
          <w:rFonts w:eastAsia="黑体"/>
          <w:sz w:val="32"/>
          <w:szCs w:val="32"/>
        </w:rPr>
        <w:t>一、基本情况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sz w:val="32"/>
          <w:szCs w:val="32"/>
          <w:lang w:val="en-US"/>
        </w:rPr>
      </w:pPr>
      <w:r>
        <w:rPr>
          <w:rFonts w:hint="eastAsia" w:eastAsia="仿宋_GB2312"/>
          <w:sz w:val="32"/>
          <w:szCs w:val="32"/>
          <w:lang w:val="en-US" w:eastAsia="zh-CN"/>
        </w:rPr>
        <w:t>我州党外知识分子联谊会和新的社会阶层人士联谊会于2020年1月成立，拟于每年举办一期规模50人左右的培训会。因其属于非盈利社会团体，为保障工作开展，需保障经费8万元。</w:t>
      </w:r>
    </w:p>
    <w:p>
      <w:pPr>
        <w:snapToGrid w:val="0"/>
        <w:spacing w:line="600" w:lineRule="exact"/>
        <w:ind w:firstLine="640" w:firstLineChars="200"/>
        <w:rPr>
          <w:rFonts w:eastAsia="仿宋_GB2312"/>
          <w:sz w:val="32"/>
          <w:szCs w:val="32"/>
        </w:rPr>
      </w:pPr>
      <w:r>
        <w:rPr>
          <w:rFonts w:eastAsia="黑体"/>
          <w:sz w:val="32"/>
          <w:szCs w:val="32"/>
        </w:rPr>
        <w:t>二、评价工作开展情况</w:t>
      </w:r>
    </w:p>
    <w:p>
      <w:pPr>
        <w:snapToGrid w:val="0"/>
        <w:spacing w:line="600" w:lineRule="exact"/>
        <w:ind w:firstLine="640" w:firstLineChars="200"/>
        <w:rPr>
          <w:rFonts w:eastAsia="仿宋_GB2312"/>
          <w:sz w:val="32"/>
          <w:szCs w:val="32"/>
        </w:rPr>
      </w:pPr>
      <w:r>
        <w:rPr>
          <w:rFonts w:eastAsia="仿宋_GB2312"/>
          <w:sz w:val="32"/>
          <w:szCs w:val="32"/>
          <w:lang w:val="zh-CN"/>
        </w:rPr>
        <w:t>项目绩效目标：</w:t>
      </w:r>
      <w:r>
        <w:rPr>
          <w:rFonts w:eastAsia="仿宋_GB2312"/>
          <w:sz w:val="32"/>
          <w:szCs w:val="32"/>
        </w:rPr>
        <w:t>保障开展工作所需。</w:t>
      </w:r>
    </w:p>
    <w:p>
      <w:pPr>
        <w:snapToGrid w:val="0"/>
        <w:spacing w:line="600" w:lineRule="exact"/>
        <w:ind w:firstLine="640" w:firstLineChars="20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pPr>
        <w:snapToGrid w:val="0"/>
        <w:spacing w:line="600" w:lineRule="exact"/>
        <w:ind w:firstLine="640" w:firstLineChars="200"/>
        <w:rPr>
          <w:rFonts w:eastAsia="黑体"/>
          <w:sz w:val="32"/>
          <w:szCs w:val="32"/>
        </w:rPr>
      </w:pPr>
      <w:r>
        <w:rPr>
          <w:rFonts w:eastAsia="黑体"/>
          <w:sz w:val="32"/>
          <w:szCs w:val="32"/>
        </w:rPr>
        <w:t>三、综合评价结论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1217" w:type="dxa"/>
          </w:tcPr>
          <w:p>
            <w:pPr>
              <w:snapToGrid w:val="0"/>
              <w:rPr>
                <w:sz w:val="18"/>
                <w:szCs w:val="18"/>
              </w:rPr>
            </w:pPr>
          </w:p>
          <w:p>
            <w:pPr>
              <w:snapToGrid w:val="0"/>
              <w:spacing w:line="600" w:lineRule="exact"/>
              <w:rPr>
                <w:sz w:val="18"/>
                <w:szCs w:val="18"/>
              </w:rPr>
            </w:pPr>
          </w:p>
        </w:tc>
        <w:tc>
          <w:tcPr>
            <w:tcW w:w="1217" w:type="dxa"/>
          </w:tcPr>
          <w:p>
            <w:pPr>
              <w:snapToGrid w:val="0"/>
              <w:spacing w:line="600" w:lineRule="exact"/>
              <w:rPr>
                <w:sz w:val="18"/>
                <w:szCs w:val="18"/>
              </w:rPr>
            </w:pPr>
            <w:r>
              <w:rPr>
                <w:sz w:val="18"/>
                <w:szCs w:val="18"/>
              </w:rPr>
              <w:t>支出相符性</w:t>
            </w:r>
          </w:p>
        </w:tc>
        <w:tc>
          <w:tcPr>
            <w:tcW w:w="1217" w:type="dxa"/>
          </w:tcPr>
          <w:p>
            <w:pPr>
              <w:snapToGrid w:val="0"/>
              <w:spacing w:line="600" w:lineRule="exact"/>
              <w:rPr>
                <w:sz w:val="18"/>
                <w:szCs w:val="18"/>
              </w:rPr>
            </w:pPr>
            <w:r>
              <w:rPr>
                <w:sz w:val="18"/>
                <w:szCs w:val="18"/>
              </w:rPr>
              <w:t>支出真实性</w:t>
            </w:r>
          </w:p>
        </w:tc>
        <w:tc>
          <w:tcPr>
            <w:tcW w:w="1217" w:type="dxa"/>
          </w:tcPr>
          <w:p>
            <w:pPr>
              <w:snapToGrid w:val="0"/>
              <w:spacing w:line="600" w:lineRule="exact"/>
              <w:rPr>
                <w:sz w:val="18"/>
                <w:szCs w:val="18"/>
              </w:rPr>
            </w:pPr>
            <w:r>
              <w:rPr>
                <w:sz w:val="18"/>
                <w:szCs w:val="18"/>
              </w:rPr>
              <w:t>支出核算资料完整性</w:t>
            </w:r>
          </w:p>
        </w:tc>
        <w:tc>
          <w:tcPr>
            <w:tcW w:w="1218" w:type="dxa"/>
          </w:tcPr>
          <w:p>
            <w:pPr>
              <w:snapToGrid w:val="0"/>
              <w:spacing w:line="600" w:lineRule="exact"/>
              <w:rPr>
                <w:sz w:val="18"/>
                <w:szCs w:val="18"/>
              </w:rPr>
            </w:pPr>
            <w:r>
              <w:rPr>
                <w:sz w:val="18"/>
                <w:szCs w:val="18"/>
              </w:rPr>
              <w:t>目标数完成比例</w:t>
            </w:r>
          </w:p>
        </w:tc>
        <w:tc>
          <w:tcPr>
            <w:tcW w:w="1218" w:type="dxa"/>
          </w:tcPr>
          <w:p>
            <w:pPr>
              <w:snapToGrid w:val="0"/>
              <w:spacing w:line="600" w:lineRule="exact"/>
              <w:rPr>
                <w:sz w:val="18"/>
                <w:szCs w:val="18"/>
              </w:rPr>
            </w:pPr>
            <w:r>
              <w:rPr>
                <w:sz w:val="18"/>
                <w:szCs w:val="18"/>
              </w:rPr>
              <w:t>对象满意度</w:t>
            </w:r>
          </w:p>
        </w:tc>
        <w:tc>
          <w:tcPr>
            <w:tcW w:w="1218" w:type="dxa"/>
          </w:tcPr>
          <w:p>
            <w:pPr>
              <w:snapToGrid w:val="0"/>
              <w:spacing w:line="600" w:lineRule="exact"/>
              <w:rPr>
                <w:sz w:val="18"/>
                <w:szCs w:val="18"/>
              </w:rPr>
            </w:pPr>
            <w:r>
              <w:rPr>
                <w:sz w:val="18"/>
                <w:szCs w:val="18"/>
              </w:rPr>
              <w:t>支出预算占比90%以上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snapToGrid w:val="0"/>
              <w:spacing w:line="600" w:lineRule="exact"/>
              <w:rPr>
                <w:sz w:val="18"/>
                <w:szCs w:val="18"/>
              </w:rPr>
            </w:pPr>
            <w:r>
              <w:rPr>
                <w:sz w:val="18"/>
                <w:szCs w:val="18"/>
              </w:rPr>
              <w:t>评分</w:t>
            </w:r>
          </w:p>
        </w:tc>
        <w:tc>
          <w:tcPr>
            <w:tcW w:w="1217" w:type="dxa"/>
          </w:tcPr>
          <w:p>
            <w:pPr>
              <w:snapToGrid w:val="0"/>
              <w:spacing w:line="600" w:lineRule="exact"/>
              <w:rPr>
                <w:sz w:val="18"/>
                <w:szCs w:val="18"/>
              </w:rPr>
            </w:pPr>
            <w:r>
              <w:rPr>
                <w:sz w:val="18"/>
                <w:szCs w:val="18"/>
              </w:rPr>
              <w:t>20</w:t>
            </w:r>
          </w:p>
        </w:tc>
        <w:tc>
          <w:tcPr>
            <w:tcW w:w="1217" w:type="dxa"/>
          </w:tcPr>
          <w:p>
            <w:pPr>
              <w:snapToGrid w:val="0"/>
              <w:spacing w:line="600" w:lineRule="exact"/>
              <w:rPr>
                <w:sz w:val="18"/>
                <w:szCs w:val="18"/>
              </w:rPr>
            </w:pPr>
            <w:r>
              <w:rPr>
                <w:sz w:val="18"/>
                <w:szCs w:val="18"/>
              </w:rPr>
              <w:t>20</w:t>
            </w:r>
          </w:p>
        </w:tc>
        <w:tc>
          <w:tcPr>
            <w:tcW w:w="1217" w:type="dxa"/>
          </w:tcPr>
          <w:p>
            <w:pPr>
              <w:snapToGrid w:val="0"/>
              <w:spacing w:line="600" w:lineRule="exact"/>
              <w:rPr>
                <w:sz w:val="18"/>
                <w:szCs w:val="18"/>
              </w:rPr>
            </w:pPr>
            <w:r>
              <w:rPr>
                <w:sz w:val="18"/>
                <w:szCs w:val="18"/>
              </w:rPr>
              <w:t>20</w:t>
            </w:r>
          </w:p>
        </w:tc>
        <w:tc>
          <w:tcPr>
            <w:tcW w:w="1218" w:type="dxa"/>
          </w:tcPr>
          <w:p>
            <w:pPr>
              <w:snapToGrid w:val="0"/>
              <w:spacing w:line="600" w:lineRule="exact"/>
              <w:rPr>
                <w:sz w:val="18"/>
                <w:szCs w:val="18"/>
              </w:rPr>
            </w:pPr>
            <w:r>
              <w:rPr>
                <w:sz w:val="18"/>
                <w:szCs w:val="18"/>
              </w:rPr>
              <w:t>10</w:t>
            </w:r>
          </w:p>
        </w:tc>
        <w:tc>
          <w:tcPr>
            <w:tcW w:w="1218" w:type="dxa"/>
          </w:tcPr>
          <w:p>
            <w:pPr>
              <w:snapToGrid w:val="0"/>
              <w:spacing w:line="600" w:lineRule="exact"/>
              <w:rPr>
                <w:sz w:val="18"/>
                <w:szCs w:val="18"/>
              </w:rPr>
            </w:pPr>
            <w:r>
              <w:rPr>
                <w:sz w:val="18"/>
                <w:szCs w:val="18"/>
              </w:rPr>
              <w:t>20</w:t>
            </w:r>
          </w:p>
        </w:tc>
        <w:tc>
          <w:tcPr>
            <w:tcW w:w="1218" w:type="dxa"/>
          </w:tcPr>
          <w:p>
            <w:pPr>
              <w:snapToGrid w:val="0"/>
              <w:spacing w:line="600" w:lineRule="exact"/>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217" w:type="dxa"/>
          </w:tcPr>
          <w:p>
            <w:pPr>
              <w:snapToGrid w:val="0"/>
              <w:spacing w:line="600" w:lineRule="exact"/>
              <w:rPr>
                <w:sz w:val="18"/>
                <w:szCs w:val="18"/>
              </w:rPr>
            </w:pPr>
            <w:r>
              <w:rPr>
                <w:sz w:val="18"/>
                <w:szCs w:val="18"/>
              </w:rPr>
              <w:t>自评得分</w:t>
            </w:r>
          </w:p>
        </w:tc>
        <w:tc>
          <w:tcPr>
            <w:tcW w:w="1217" w:type="dxa"/>
          </w:tcPr>
          <w:p>
            <w:pPr>
              <w:snapToGrid w:val="0"/>
              <w:spacing w:line="600" w:lineRule="exact"/>
              <w:rPr>
                <w:sz w:val="18"/>
                <w:szCs w:val="18"/>
              </w:rPr>
            </w:pPr>
            <w:r>
              <w:rPr>
                <w:sz w:val="18"/>
                <w:szCs w:val="18"/>
              </w:rPr>
              <w:t>20</w:t>
            </w:r>
          </w:p>
        </w:tc>
        <w:tc>
          <w:tcPr>
            <w:tcW w:w="1217" w:type="dxa"/>
          </w:tcPr>
          <w:p>
            <w:pPr>
              <w:snapToGrid w:val="0"/>
              <w:spacing w:line="600" w:lineRule="exact"/>
              <w:rPr>
                <w:sz w:val="18"/>
                <w:szCs w:val="18"/>
              </w:rPr>
            </w:pPr>
            <w:r>
              <w:rPr>
                <w:sz w:val="18"/>
                <w:szCs w:val="18"/>
              </w:rPr>
              <w:t>20</w:t>
            </w:r>
          </w:p>
        </w:tc>
        <w:tc>
          <w:tcPr>
            <w:tcW w:w="1217" w:type="dxa"/>
          </w:tcPr>
          <w:p>
            <w:pPr>
              <w:snapToGrid w:val="0"/>
              <w:spacing w:line="600" w:lineRule="exact"/>
              <w:rPr>
                <w:sz w:val="18"/>
                <w:szCs w:val="18"/>
              </w:rPr>
            </w:pPr>
            <w:r>
              <w:rPr>
                <w:sz w:val="18"/>
                <w:szCs w:val="18"/>
              </w:rPr>
              <w:t>20</w:t>
            </w:r>
          </w:p>
        </w:tc>
        <w:tc>
          <w:tcPr>
            <w:tcW w:w="1218" w:type="dxa"/>
          </w:tcPr>
          <w:p>
            <w:pPr>
              <w:snapToGrid w:val="0"/>
              <w:spacing w:line="600" w:lineRule="exact"/>
              <w:rPr>
                <w:sz w:val="18"/>
                <w:szCs w:val="18"/>
              </w:rPr>
            </w:pPr>
            <w:r>
              <w:rPr>
                <w:sz w:val="18"/>
                <w:szCs w:val="18"/>
              </w:rPr>
              <w:t>10</w:t>
            </w:r>
          </w:p>
        </w:tc>
        <w:tc>
          <w:tcPr>
            <w:tcW w:w="1218" w:type="dxa"/>
          </w:tcPr>
          <w:p>
            <w:pPr>
              <w:snapToGrid w:val="0"/>
              <w:spacing w:line="600" w:lineRule="exact"/>
              <w:rPr>
                <w:sz w:val="18"/>
                <w:szCs w:val="18"/>
              </w:rPr>
            </w:pPr>
            <w:r>
              <w:rPr>
                <w:sz w:val="18"/>
                <w:szCs w:val="18"/>
              </w:rPr>
              <w:t>20</w:t>
            </w:r>
          </w:p>
        </w:tc>
        <w:tc>
          <w:tcPr>
            <w:tcW w:w="1218" w:type="dxa"/>
          </w:tcPr>
          <w:p>
            <w:pPr>
              <w:snapToGrid w:val="0"/>
              <w:spacing w:line="600" w:lineRule="exact"/>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4" w:type="dxa"/>
            <w:gridSpan w:val="6"/>
          </w:tcPr>
          <w:p>
            <w:pPr>
              <w:snapToGrid w:val="0"/>
              <w:spacing w:line="600" w:lineRule="exact"/>
              <w:jc w:val="right"/>
              <w:rPr>
                <w:sz w:val="18"/>
                <w:szCs w:val="18"/>
              </w:rPr>
            </w:pPr>
            <w:r>
              <w:rPr>
                <w:sz w:val="18"/>
                <w:szCs w:val="18"/>
              </w:rPr>
              <w:t>得分</w:t>
            </w:r>
          </w:p>
        </w:tc>
        <w:tc>
          <w:tcPr>
            <w:tcW w:w="1218" w:type="dxa"/>
          </w:tcPr>
          <w:p>
            <w:pPr>
              <w:snapToGrid w:val="0"/>
              <w:spacing w:line="600" w:lineRule="exact"/>
              <w:rPr>
                <w:sz w:val="18"/>
                <w:szCs w:val="18"/>
              </w:rPr>
            </w:pPr>
            <w:r>
              <w:rPr>
                <w:sz w:val="18"/>
                <w:szCs w:val="18"/>
              </w:rPr>
              <w:t>100</w:t>
            </w:r>
          </w:p>
        </w:tc>
      </w:tr>
    </w:tbl>
    <w:p>
      <w:pPr>
        <w:snapToGrid w:val="0"/>
        <w:spacing w:line="600" w:lineRule="exact"/>
        <w:ind w:firstLine="640" w:firstLineChars="200"/>
        <w:rPr>
          <w:rFonts w:eastAsia="黑体"/>
          <w:bCs/>
          <w:sz w:val="32"/>
          <w:szCs w:val="32"/>
        </w:rPr>
      </w:pPr>
      <w:r>
        <w:rPr>
          <w:rFonts w:eastAsia="黑体"/>
          <w:bCs/>
          <w:sz w:val="32"/>
          <w:szCs w:val="32"/>
        </w:rPr>
        <w:t>四、绩效评价分析</w:t>
      </w:r>
    </w:p>
    <w:p>
      <w:pPr>
        <w:snapToGrid w:val="0"/>
        <w:spacing w:line="600" w:lineRule="exact"/>
        <w:ind w:firstLine="643" w:firstLineChars="20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pPr>
        <w:adjustRightInd w:val="0"/>
        <w:snapToGrid w:val="0"/>
        <w:spacing w:line="600" w:lineRule="exact"/>
        <w:ind w:firstLine="643" w:firstLineChars="200"/>
        <w:rPr>
          <w:rFonts w:eastAsia="楷体_GB2312"/>
          <w:b/>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pPr>
        <w:adjustRightInd w:val="0"/>
        <w:snapToGrid w:val="0"/>
        <w:spacing w:line="600" w:lineRule="exact"/>
        <w:ind w:firstLine="643" w:firstLineChars="200"/>
        <w:rPr>
          <w:rFonts w:eastAsia="仿宋_GB2312"/>
          <w:sz w:val="32"/>
          <w:szCs w:val="32"/>
        </w:rPr>
      </w:pPr>
      <w:r>
        <w:rPr>
          <w:rFonts w:eastAsia="楷体_GB2312"/>
          <w:b/>
          <w:sz w:val="32"/>
          <w:szCs w:val="32"/>
        </w:rPr>
        <w:t>（三）项目效益情况。</w:t>
      </w:r>
      <w:r>
        <w:rPr>
          <w:rFonts w:eastAsia="仿宋_GB2312"/>
          <w:sz w:val="32"/>
          <w:szCs w:val="32"/>
        </w:rPr>
        <w:t>经费执行率</w:t>
      </w:r>
      <w:r>
        <w:rPr>
          <w:rFonts w:hint="eastAsia" w:eastAsia="仿宋_GB2312"/>
          <w:sz w:val="32"/>
          <w:szCs w:val="32"/>
          <w:lang w:val="en-US" w:eastAsia="zh-CN"/>
        </w:rPr>
        <w:t>100</w:t>
      </w:r>
      <w:r>
        <w:rPr>
          <w:rFonts w:eastAsia="仿宋_GB2312"/>
          <w:sz w:val="32"/>
          <w:szCs w:val="32"/>
        </w:rPr>
        <w:t>%。</w:t>
      </w:r>
      <w:r>
        <w:rPr>
          <w:rFonts w:hint="eastAsia" w:eastAsia="仿宋_GB2312"/>
          <w:sz w:val="32"/>
          <w:szCs w:val="32"/>
          <w:lang w:val="en-US" w:eastAsia="zh-CN"/>
        </w:rPr>
        <w:t>进一步提升我州知识分子和新的社会阶层人士工作再上新台阶。</w:t>
      </w:r>
    </w:p>
    <w:p>
      <w:pPr>
        <w:snapToGrid w:val="0"/>
        <w:spacing w:line="600" w:lineRule="exact"/>
        <w:ind w:firstLine="640" w:firstLineChars="200"/>
        <w:rPr>
          <w:rFonts w:eastAsia="仿宋_GB2312"/>
          <w:sz w:val="32"/>
          <w:szCs w:val="32"/>
        </w:rPr>
      </w:pPr>
      <w:r>
        <w:rPr>
          <w:rFonts w:eastAsia="黑体"/>
          <w:sz w:val="32"/>
          <w:szCs w:val="32"/>
        </w:rPr>
        <w:t>五、存在主要问题。</w:t>
      </w:r>
      <w:r>
        <w:rPr>
          <w:rFonts w:eastAsia="仿宋_GB2312"/>
          <w:sz w:val="32"/>
          <w:szCs w:val="32"/>
        </w:rPr>
        <w:t>无。</w:t>
      </w:r>
    </w:p>
    <w:p>
      <w:pPr>
        <w:ind w:firstLine="640" w:firstLineChars="200"/>
        <w:rPr>
          <w:rFonts w:eastAsia="仿宋_GB2312"/>
          <w:sz w:val="32"/>
          <w:szCs w:val="32"/>
        </w:rPr>
      </w:pPr>
      <w:r>
        <w:rPr>
          <w:rFonts w:eastAsia="黑体"/>
          <w:sz w:val="32"/>
          <w:szCs w:val="32"/>
        </w:rPr>
        <w:t>六、相关措施建议。</w:t>
      </w:r>
      <w:r>
        <w:rPr>
          <w:rFonts w:eastAsia="仿宋_GB2312"/>
          <w:sz w:val="32"/>
          <w:szCs w:val="32"/>
        </w:rPr>
        <w:t>无。</w:t>
      </w:r>
    </w:p>
    <w:p>
      <w:pPr>
        <w:spacing w:line="580" w:lineRule="exact"/>
        <w:rPr>
          <w:rFonts w:eastAsia="仿宋_GB2312"/>
          <w:sz w:val="32"/>
          <w:szCs w:val="32"/>
        </w:rPr>
      </w:pPr>
    </w:p>
    <w:p>
      <w:pPr>
        <w:spacing w:line="600" w:lineRule="exact"/>
        <w:jc w:val="center"/>
        <w:outlineLvl w:val="0"/>
        <w:rPr>
          <w:rStyle w:val="23"/>
          <w:rFonts w:eastAsia="黑体"/>
          <w:b w:val="0"/>
        </w:rPr>
      </w:pPr>
      <w:bookmarkStart w:id="114" w:name="_Toc79163885"/>
      <w:bookmarkStart w:id="115" w:name="_Toc79163635"/>
      <w:bookmarkStart w:id="116" w:name="_Toc15396618"/>
      <w:bookmarkStart w:id="117" w:name="_Toc15377226"/>
      <w:r>
        <w:rPr>
          <w:rFonts w:eastAsia="黑体"/>
          <w:color w:val="000000"/>
          <w:sz w:val="44"/>
          <w:szCs w:val="44"/>
        </w:rPr>
        <w:t>第</w:t>
      </w:r>
      <w:r>
        <w:rPr>
          <w:rStyle w:val="23"/>
          <w:rFonts w:eastAsia="黑体"/>
          <w:b w:val="0"/>
        </w:rPr>
        <w:t>五部分附表</w:t>
      </w:r>
      <w:bookmarkEnd w:id="114"/>
      <w:bookmarkEnd w:id="115"/>
      <w:bookmarkEnd w:id="116"/>
      <w:bookmarkEnd w:id="117"/>
    </w:p>
    <w:p>
      <w:pPr>
        <w:pStyle w:val="3"/>
        <w:rPr>
          <w:rFonts w:hint="default" w:ascii="Times New Roman" w:hAnsi="Times New Roman" w:eastAsia="方正仿宋_GBK" w:cs="Times New Roman"/>
          <w:color w:val="000000"/>
        </w:rPr>
      </w:pPr>
      <w:bookmarkStart w:id="118" w:name="_Toc15396619"/>
      <w:bookmarkStart w:id="119" w:name="_Toc79163636"/>
      <w:bookmarkStart w:id="120" w:name="_Toc79163886"/>
      <w:r>
        <w:rPr>
          <w:rFonts w:hint="default" w:ascii="Times New Roman" w:hAnsi="Times New Roman" w:eastAsia="方正仿宋_GBK" w:cs="Times New Roman"/>
          <w:b w:val="0"/>
          <w:color w:val="000000"/>
        </w:rPr>
        <w:t>一、收</w:t>
      </w:r>
      <w:r>
        <w:rPr>
          <w:rStyle w:val="24"/>
          <w:rFonts w:hint="default" w:ascii="Times New Roman" w:hAnsi="Times New Roman" w:eastAsia="方正仿宋_GBK" w:cs="Times New Roman"/>
          <w:b w:val="0"/>
          <w:bCs w:val="0"/>
        </w:rPr>
        <w:t>入支出决算总表</w:t>
      </w:r>
      <w:bookmarkEnd w:id="118"/>
      <w:bookmarkEnd w:id="119"/>
      <w:bookmarkEnd w:id="120"/>
    </w:p>
    <w:p>
      <w:pPr>
        <w:pStyle w:val="3"/>
        <w:rPr>
          <w:rFonts w:hint="default" w:ascii="Times New Roman" w:hAnsi="Times New Roman" w:eastAsia="方正仿宋_GBK" w:cs="Times New Roman"/>
          <w:color w:val="000000"/>
        </w:rPr>
      </w:pPr>
      <w:bookmarkStart w:id="121" w:name="_Toc79163637"/>
      <w:bookmarkStart w:id="122" w:name="_Toc15396620"/>
      <w:bookmarkStart w:id="123" w:name="_Toc79163887"/>
      <w:r>
        <w:rPr>
          <w:rFonts w:hint="default" w:ascii="Times New Roman" w:hAnsi="Times New Roman" w:eastAsia="方正仿宋_GBK" w:cs="Times New Roman"/>
          <w:b w:val="0"/>
          <w:color w:val="000000"/>
        </w:rPr>
        <w:t>二、收</w:t>
      </w:r>
      <w:r>
        <w:rPr>
          <w:rStyle w:val="24"/>
          <w:rFonts w:hint="default" w:ascii="Times New Roman" w:hAnsi="Times New Roman" w:eastAsia="方正仿宋_GBK" w:cs="Times New Roman"/>
          <w:b w:val="0"/>
          <w:bCs w:val="0"/>
        </w:rPr>
        <w:t>入决算表</w:t>
      </w:r>
      <w:bookmarkEnd w:id="121"/>
      <w:bookmarkEnd w:id="122"/>
      <w:bookmarkEnd w:id="123"/>
    </w:p>
    <w:p>
      <w:pPr>
        <w:pStyle w:val="3"/>
        <w:rPr>
          <w:rFonts w:hint="default" w:ascii="Times New Roman" w:hAnsi="Times New Roman" w:eastAsia="方正仿宋_GBK" w:cs="Times New Roman"/>
          <w:color w:val="000000"/>
        </w:rPr>
      </w:pPr>
      <w:bookmarkStart w:id="124" w:name="_Toc15396621"/>
      <w:bookmarkStart w:id="125" w:name="_Toc79163888"/>
      <w:bookmarkStart w:id="126" w:name="_Toc79163638"/>
      <w:r>
        <w:rPr>
          <w:rStyle w:val="24"/>
          <w:rFonts w:hint="default" w:ascii="Times New Roman" w:hAnsi="Times New Roman" w:eastAsia="方正仿宋_GBK" w:cs="Times New Roman"/>
          <w:b w:val="0"/>
          <w:bCs w:val="0"/>
        </w:rPr>
        <w:t>三、</w:t>
      </w:r>
      <w:r>
        <w:rPr>
          <w:rFonts w:hint="default" w:ascii="Times New Roman" w:hAnsi="Times New Roman" w:eastAsia="方正仿宋_GBK" w:cs="Times New Roman"/>
          <w:b w:val="0"/>
          <w:color w:val="000000"/>
        </w:rPr>
        <w:t>支</w:t>
      </w:r>
      <w:r>
        <w:rPr>
          <w:rStyle w:val="24"/>
          <w:rFonts w:hint="default" w:ascii="Times New Roman" w:hAnsi="Times New Roman" w:eastAsia="方正仿宋_GBK" w:cs="Times New Roman"/>
          <w:b w:val="0"/>
          <w:bCs w:val="0"/>
        </w:rPr>
        <w:t>出决算表</w:t>
      </w:r>
      <w:bookmarkEnd w:id="124"/>
      <w:bookmarkEnd w:id="125"/>
      <w:bookmarkEnd w:id="126"/>
    </w:p>
    <w:p>
      <w:pPr>
        <w:pStyle w:val="3"/>
        <w:rPr>
          <w:rFonts w:hint="default" w:ascii="Times New Roman" w:hAnsi="Times New Roman" w:eastAsia="方正仿宋_GBK" w:cs="Times New Roman"/>
          <w:b w:val="0"/>
          <w:color w:val="000000"/>
        </w:rPr>
      </w:pPr>
      <w:bookmarkStart w:id="127" w:name="_Toc79163639"/>
      <w:bookmarkStart w:id="128" w:name="_Toc15396622"/>
      <w:bookmarkStart w:id="129" w:name="_Toc79163889"/>
      <w:r>
        <w:rPr>
          <w:rStyle w:val="24"/>
          <w:rFonts w:hint="default" w:ascii="Times New Roman" w:hAnsi="Times New Roman" w:eastAsia="方正仿宋_GBK" w:cs="Times New Roman"/>
          <w:b w:val="0"/>
          <w:bCs w:val="0"/>
        </w:rPr>
        <w:t>四、</w:t>
      </w:r>
      <w:r>
        <w:rPr>
          <w:rFonts w:hint="default" w:ascii="Times New Roman" w:hAnsi="Times New Roman" w:eastAsia="方正仿宋_GBK" w:cs="Times New Roman"/>
          <w:b w:val="0"/>
          <w:color w:val="000000"/>
        </w:rPr>
        <w:t>财</w:t>
      </w:r>
      <w:r>
        <w:rPr>
          <w:rStyle w:val="24"/>
          <w:rFonts w:hint="default" w:ascii="Times New Roman" w:hAnsi="Times New Roman" w:eastAsia="方正仿宋_GBK" w:cs="Times New Roman"/>
          <w:b w:val="0"/>
          <w:bCs w:val="0"/>
        </w:rPr>
        <w:t>政拨款收入支出决算总表</w:t>
      </w:r>
      <w:bookmarkEnd w:id="127"/>
      <w:bookmarkEnd w:id="128"/>
      <w:bookmarkEnd w:id="129"/>
    </w:p>
    <w:p>
      <w:pPr>
        <w:pStyle w:val="3"/>
        <w:rPr>
          <w:rStyle w:val="24"/>
          <w:rFonts w:hint="default" w:ascii="Times New Roman" w:hAnsi="Times New Roman" w:eastAsia="方正仿宋_GBK" w:cs="Times New Roman"/>
          <w:b w:val="0"/>
          <w:bCs w:val="0"/>
        </w:rPr>
      </w:pPr>
      <w:bookmarkStart w:id="130" w:name="_Toc79163640"/>
      <w:bookmarkStart w:id="131" w:name="_Toc15396623"/>
      <w:bookmarkStart w:id="132" w:name="_Toc79163890"/>
      <w:r>
        <w:rPr>
          <w:rStyle w:val="24"/>
          <w:rFonts w:hint="default" w:ascii="Times New Roman" w:hAnsi="Times New Roman" w:eastAsia="方正仿宋_GBK" w:cs="Times New Roman"/>
          <w:b w:val="0"/>
          <w:bCs w:val="0"/>
        </w:rPr>
        <w:t>五、</w:t>
      </w:r>
      <w:r>
        <w:rPr>
          <w:rFonts w:hint="default" w:ascii="Times New Roman" w:hAnsi="Times New Roman" w:eastAsia="方正仿宋_GBK" w:cs="Times New Roman"/>
          <w:b w:val="0"/>
          <w:color w:val="000000"/>
        </w:rPr>
        <w:t>财</w:t>
      </w:r>
      <w:r>
        <w:rPr>
          <w:rStyle w:val="24"/>
          <w:rFonts w:hint="default" w:ascii="Times New Roman" w:hAnsi="Times New Roman" w:eastAsia="方正仿宋_GBK" w:cs="Times New Roman"/>
          <w:b w:val="0"/>
          <w:bCs w:val="0"/>
        </w:rPr>
        <w:t>政拨款支出决算明细表</w:t>
      </w:r>
      <w:bookmarkEnd w:id="130"/>
      <w:bookmarkEnd w:id="131"/>
      <w:bookmarkEnd w:id="132"/>
      <w:bookmarkStart w:id="133" w:name="_Toc15396624"/>
    </w:p>
    <w:p>
      <w:pPr>
        <w:pStyle w:val="3"/>
        <w:rPr>
          <w:rFonts w:hint="default" w:ascii="Times New Roman" w:hAnsi="Times New Roman" w:eastAsia="方正仿宋_GBK" w:cs="Times New Roman"/>
          <w:color w:val="000000"/>
        </w:rPr>
      </w:pPr>
      <w:bookmarkStart w:id="134" w:name="_Toc79163891"/>
      <w:bookmarkStart w:id="135" w:name="_Toc79163641"/>
      <w:r>
        <w:rPr>
          <w:rStyle w:val="24"/>
          <w:rFonts w:hint="default" w:ascii="Times New Roman" w:hAnsi="Times New Roman" w:eastAsia="方正仿宋_GBK" w:cs="Times New Roman"/>
          <w:b w:val="0"/>
          <w:bCs w:val="0"/>
        </w:rPr>
        <w:t>六、</w:t>
      </w:r>
      <w:r>
        <w:rPr>
          <w:rFonts w:hint="default" w:ascii="Times New Roman" w:hAnsi="Times New Roman" w:eastAsia="方正仿宋_GBK" w:cs="Times New Roman"/>
          <w:b w:val="0"/>
          <w:color w:val="000000"/>
        </w:rPr>
        <w:t>一</w:t>
      </w:r>
      <w:r>
        <w:rPr>
          <w:rStyle w:val="24"/>
          <w:rFonts w:hint="default" w:ascii="Times New Roman" w:hAnsi="Times New Roman" w:eastAsia="方正仿宋_GBK" w:cs="Times New Roman"/>
          <w:b w:val="0"/>
          <w:bCs w:val="0"/>
        </w:rPr>
        <w:t>般公共预算财政拨款支出决算表</w:t>
      </w:r>
      <w:bookmarkEnd w:id="133"/>
      <w:bookmarkEnd w:id="134"/>
      <w:bookmarkEnd w:id="135"/>
    </w:p>
    <w:p>
      <w:pPr>
        <w:pStyle w:val="3"/>
        <w:rPr>
          <w:rFonts w:hint="default" w:ascii="Times New Roman" w:hAnsi="Times New Roman" w:eastAsia="方正仿宋_GBK" w:cs="Times New Roman"/>
          <w:color w:val="000000"/>
        </w:rPr>
      </w:pPr>
      <w:bookmarkStart w:id="136" w:name="_Toc15396625"/>
      <w:bookmarkStart w:id="137" w:name="_Toc79163642"/>
      <w:bookmarkStart w:id="138" w:name="_Toc79163892"/>
      <w:r>
        <w:rPr>
          <w:rStyle w:val="24"/>
          <w:rFonts w:hint="default" w:ascii="Times New Roman" w:hAnsi="Times New Roman" w:eastAsia="方正仿宋_GBK" w:cs="Times New Roman"/>
          <w:b w:val="0"/>
          <w:bCs w:val="0"/>
        </w:rPr>
        <w:t>七、</w:t>
      </w:r>
      <w:r>
        <w:rPr>
          <w:rFonts w:hint="default" w:ascii="Times New Roman" w:hAnsi="Times New Roman" w:eastAsia="方正仿宋_GBK" w:cs="Times New Roman"/>
          <w:b w:val="0"/>
          <w:color w:val="000000"/>
        </w:rPr>
        <w:t>一</w:t>
      </w:r>
      <w:r>
        <w:rPr>
          <w:rStyle w:val="24"/>
          <w:rFonts w:hint="default" w:ascii="Times New Roman" w:hAnsi="Times New Roman" w:eastAsia="方正仿宋_GBK" w:cs="Times New Roman"/>
          <w:b w:val="0"/>
          <w:bCs w:val="0"/>
        </w:rPr>
        <w:t>般公共预算财政拨款支出决算明细表</w:t>
      </w:r>
      <w:bookmarkEnd w:id="136"/>
      <w:bookmarkEnd w:id="137"/>
      <w:bookmarkEnd w:id="138"/>
    </w:p>
    <w:p>
      <w:pPr>
        <w:pStyle w:val="3"/>
        <w:rPr>
          <w:rFonts w:hint="default" w:ascii="Times New Roman" w:hAnsi="Times New Roman" w:eastAsia="方正仿宋_GBK" w:cs="Times New Roman"/>
          <w:color w:val="000000"/>
        </w:rPr>
      </w:pPr>
      <w:bookmarkStart w:id="139" w:name="_Toc79163643"/>
      <w:bookmarkStart w:id="140" w:name="_Toc15396626"/>
      <w:bookmarkStart w:id="141" w:name="_Toc79163893"/>
      <w:r>
        <w:rPr>
          <w:rStyle w:val="24"/>
          <w:rFonts w:hint="default" w:ascii="Times New Roman" w:hAnsi="Times New Roman" w:eastAsia="方正仿宋_GBK" w:cs="Times New Roman"/>
          <w:b w:val="0"/>
          <w:bCs w:val="0"/>
        </w:rPr>
        <w:t>八、</w:t>
      </w:r>
      <w:r>
        <w:rPr>
          <w:rFonts w:hint="default" w:ascii="Times New Roman" w:hAnsi="Times New Roman" w:eastAsia="方正仿宋_GBK" w:cs="Times New Roman"/>
          <w:b w:val="0"/>
          <w:color w:val="000000"/>
        </w:rPr>
        <w:t>一</w:t>
      </w:r>
      <w:r>
        <w:rPr>
          <w:rStyle w:val="24"/>
          <w:rFonts w:hint="default" w:ascii="Times New Roman" w:hAnsi="Times New Roman" w:eastAsia="方正仿宋_GBK" w:cs="Times New Roman"/>
          <w:b w:val="0"/>
          <w:bCs w:val="0"/>
        </w:rPr>
        <w:t>般公共预算财政拨款基本支出决算表</w:t>
      </w:r>
      <w:bookmarkEnd w:id="139"/>
      <w:bookmarkEnd w:id="140"/>
      <w:bookmarkEnd w:id="141"/>
    </w:p>
    <w:p>
      <w:pPr>
        <w:pStyle w:val="3"/>
        <w:rPr>
          <w:rFonts w:hint="default" w:ascii="Times New Roman" w:hAnsi="Times New Roman" w:eastAsia="方正仿宋_GBK" w:cs="Times New Roman"/>
          <w:color w:val="000000"/>
        </w:rPr>
      </w:pPr>
      <w:bookmarkStart w:id="142" w:name="_Toc15396627"/>
      <w:bookmarkStart w:id="143" w:name="_Toc79163894"/>
      <w:bookmarkStart w:id="144" w:name="_Toc79163644"/>
      <w:r>
        <w:rPr>
          <w:rStyle w:val="24"/>
          <w:rFonts w:hint="default" w:ascii="Times New Roman" w:hAnsi="Times New Roman" w:eastAsia="方正仿宋_GBK" w:cs="Times New Roman"/>
          <w:b w:val="0"/>
          <w:bCs w:val="0"/>
        </w:rPr>
        <w:t>九、</w:t>
      </w:r>
      <w:r>
        <w:rPr>
          <w:rFonts w:hint="default" w:ascii="Times New Roman" w:hAnsi="Times New Roman" w:eastAsia="方正仿宋_GBK" w:cs="Times New Roman"/>
          <w:b w:val="0"/>
          <w:color w:val="000000"/>
        </w:rPr>
        <w:t>一</w:t>
      </w:r>
      <w:r>
        <w:rPr>
          <w:rStyle w:val="24"/>
          <w:rFonts w:hint="default" w:ascii="Times New Roman" w:hAnsi="Times New Roman" w:eastAsia="方正仿宋_GBK" w:cs="Times New Roman"/>
          <w:b w:val="0"/>
          <w:bCs w:val="0"/>
        </w:rPr>
        <w:t>般公共预算财政拨款项目支出决算表</w:t>
      </w:r>
      <w:bookmarkEnd w:id="142"/>
      <w:bookmarkEnd w:id="143"/>
      <w:bookmarkEnd w:id="144"/>
    </w:p>
    <w:p>
      <w:pPr>
        <w:pStyle w:val="3"/>
        <w:rPr>
          <w:rStyle w:val="24"/>
          <w:rFonts w:hint="default" w:ascii="Times New Roman" w:hAnsi="Times New Roman" w:eastAsia="方正仿宋_GBK" w:cs="Times New Roman"/>
          <w:b w:val="0"/>
          <w:bCs w:val="0"/>
        </w:rPr>
      </w:pPr>
      <w:bookmarkStart w:id="145" w:name="_Toc79163645"/>
      <w:bookmarkStart w:id="146" w:name="_Toc79163895"/>
      <w:bookmarkStart w:id="147" w:name="_Toc15396628"/>
      <w:r>
        <w:rPr>
          <w:rStyle w:val="24"/>
          <w:rFonts w:hint="default" w:ascii="Times New Roman" w:hAnsi="Times New Roman" w:eastAsia="方正仿宋_GBK" w:cs="Times New Roman"/>
          <w:b w:val="0"/>
          <w:bCs w:val="0"/>
        </w:rPr>
        <w:t>十、</w:t>
      </w:r>
      <w:r>
        <w:rPr>
          <w:rFonts w:hint="default" w:ascii="Times New Roman" w:hAnsi="Times New Roman" w:eastAsia="方正仿宋_GBK" w:cs="Times New Roman"/>
          <w:b w:val="0"/>
          <w:color w:val="000000"/>
        </w:rPr>
        <w:t>一</w:t>
      </w:r>
      <w:r>
        <w:rPr>
          <w:rStyle w:val="24"/>
          <w:rFonts w:hint="default" w:ascii="Times New Roman" w:hAnsi="Times New Roman" w:eastAsia="方正仿宋_GBK" w:cs="Times New Roman"/>
          <w:b w:val="0"/>
          <w:bCs w:val="0"/>
        </w:rPr>
        <w:t>般公共预算财政拨款“三公”经费支出决算表</w:t>
      </w:r>
      <w:bookmarkEnd w:id="145"/>
      <w:bookmarkEnd w:id="146"/>
      <w:bookmarkEnd w:id="147"/>
      <w:bookmarkStart w:id="148" w:name="_Toc15396629"/>
    </w:p>
    <w:p>
      <w:pPr>
        <w:pStyle w:val="3"/>
        <w:rPr>
          <w:rFonts w:hint="default" w:ascii="Times New Roman" w:hAnsi="Times New Roman" w:eastAsia="方正仿宋_GBK" w:cs="Times New Roman"/>
        </w:rPr>
      </w:pPr>
      <w:r>
        <w:rPr>
          <w:rStyle w:val="24"/>
          <w:rFonts w:hint="default" w:ascii="Times New Roman" w:hAnsi="Times New Roman" w:eastAsia="方正仿宋_GBK" w:cs="Times New Roman"/>
          <w:b w:val="0"/>
          <w:bCs w:val="0"/>
        </w:rPr>
        <w:t>十一、</w:t>
      </w:r>
      <w:r>
        <w:rPr>
          <w:rFonts w:hint="default" w:ascii="Times New Roman" w:hAnsi="Times New Roman" w:eastAsia="方正仿宋_GBK" w:cs="Times New Roman"/>
          <w:b w:val="0"/>
        </w:rPr>
        <w:t>政</w:t>
      </w:r>
      <w:r>
        <w:rPr>
          <w:rStyle w:val="24"/>
          <w:rFonts w:hint="default" w:ascii="Times New Roman" w:hAnsi="Times New Roman" w:eastAsia="方正仿宋_GBK" w:cs="Times New Roman"/>
          <w:b w:val="0"/>
          <w:bCs w:val="0"/>
        </w:rPr>
        <w:t>府性基金预算财政拨款收入支出决算表</w:t>
      </w:r>
      <w:bookmarkEnd w:id="148"/>
    </w:p>
    <w:p>
      <w:pPr>
        <w:pStyle w:val="3"/>
        <w:rPr>
          <w:rFonts w:hint="default" w:ascii="Times New Roman" w:hAnsi="Times New Roman" w:eastAsia="方正仿宋_GBK" w:cs="Times New Roman"/>
        </w:rPr>
      </w:pPr>
      <w:bookmarkStart w:id="149" w:name="_Toc15396630"/>
      <w:r>
        <w:rPr>
          <w:rStyle w:val="24"/>
          <w:rFonts w:hint="default" w:ascii="Times New Roman" w:hAnsi="Times New Roman" w:eastAsia="方正仿宋_GBK" w:cs="Times New Roman"/>
          <w:b w:val="0"/>
          <w:bCs w:val="0"/>
        </w:rPr>
        <w:t>十二、</w:t>
      </w:r>
      <w:r>
        <w:rPr>
          <w:rFonts w:hint="default" w:ascii="Times New Roman" w:hAnsi="Times New Roman" w:eastAsia="方正仿宋_GBK" w:cs="Times New Roman"/>
          <w:b w:val="0"/>
        </w:rPr>
        <w:t>政</w:t>
      </w:r>
      <w:r>
        <w:rPr>
          <w:rStyle w:val="24"/>
          <w:rFonts w:hint="default" w:ascii="Times New Roman" w:hAnsi="Times New Roman" w:eastAsia="方正仿宋_GBK" w:cs="Times New Roman"/>
          <w:b w:val="0"/>
          <w:bCs w:val="0"/>
        </w:rPr>
        <w:t>府性基金预算财政拨款“三公”经费支出决算表</w:t>
      </w:r>
      <w:bookmarkEnd w:id="149"/>
    </w:p>
    <w:p>
      <w:pPr>
        <w:pStyle w:val="3"/>
        <w:rPr>
          <w:rStyle w:val="24"/>
          <w:rFonts w:hint="default" w:ascii="Times New Roman" w:hAnsi="Times New Roman" w:eastAsia="方正仿宋_GBK" w:cs="Times New Roman"/>
          <w:b w:val="0"/>
          <w:bCs w:val="0"/>
        </w:rPr>
      </w:pPr>
      <w:bookmarkStart w:id="150" w:name="_Toc15396631"/>
      <w:r>
        <w:rPr>
          <w:rStyle w:val="24"/>
          <w:rFonts w:hint="default" w:ascii="Times New Roman" w:hAnsi="Times New Roman" w:eastAsia="方正仿宋_GBK" w:cs="Times New Roman"/>
          <w:b w:val="0"/>
          <w:bCs w:val="0"/>
        </w:rPr>
        <w:t>十三、</w:t>
      </w:r>
      <w:r>
        <w:rPr>
          <w:rFonts w:hint="default" w:ascii="Times New Roman" w:hAnsi="Times New Roman" w:eastAsia="方正仿宋_GBK" w:cs="Times New Roman"/>
          <w:b w:val="0"/>
        </w:rPr>
        <w:t>国</w:t>
      </w:r>
      <w:r>
        <w:rPr>
          <w:rStyle w:val="24"/>
          <w:rFonts w:hint="default" w:ascii="Times New Roman" w:hAnsi="Times New Roman" w:eastAsia="方正仿宋_GBK" w:cs="Times New Roman"/>
          <w:b w:val="0"/>
          <w:bCs w:val="0"/>
        </w:rPr>
        <w:t>有资本经营预算财政拨款收入支出决算表</w:t>
      </w:r>
      <w:bookmarkEnd w:id="150"/>
    </w:p>
    <w:p>
      <w:pPr>
        <w:rPr>
          <w:rFonts w:hint="default" w:ascii="Times New Roman" w:hAnsi="Times New Roman" w:eastAsia="方正仿宋_GBK" w:cs="Times New Roman"/>
        </w:rPr>
      </w:pPr>
      <w:r>
        <w:rPr>
          <w:rStyle w:val="24"/>
          <w:rFonts w:hint="default" w:ascii="Times New Roman" w:hAnsi="Times New Roman" w:eastAsia="方正仿宋_GBK" w:cs="Times New Roman"/>
          <w:b w:val="0"/>
          <w:bCs w:val="0"/>
        </w:rPr>
        <w:t>十四、国有资本经营预算财政拨款支出决算表</w:t>
      </w:r>
    </w:p>
    <w:p>
      <w:pPr>
        <w:rPr>
          <w:rFonts w:hint="default" w:ascii="Times New Roman" w:hAnsi="Times New Roman" w:eastAsia="方正仿宋_GBK" w:cs="Times New Roman"/>
        </w:rPr>
      </w:pPr>
    </w:p>
    <w:sectPr>
      <w:footerReference r:id="rId6" w:type="first"/>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jc w:val="cente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w:t>
                          </w:r>
                          <w:r>
                            <w:rPr>
                              <w:rFonts w:hint="default" w:ascii="Times New Roman" w:hAnsi="Times New Roman" w:cs="Times New Roman"/>
                              <w:sz w:val="28"/>
                              <w:szCs w:val="28"/>
                            </w:rPr>
                            <w:t xml:space="preserve"> 16 -</w:t>
                          </w:r>
                          <w:r>
                            <w:rPr>
                              <w:rFonts w:hint="default" w:ascii="Times New Roman" w:hAnsi="Times New Roman" w:cs="Times New Roman"/>
                              <w:sz w:val="28"/>
                              <w:szCs w:val="28"/>
                              <w:lang w:val="zh-CN"/>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kPz588BAACqAwAADgAAAGRycy9lMm9Eb2MueG1srVPNjtMwEL4j8Q6W&#10;7zRpD6sqarraVbUICQHSwgO4jtNY8p9m3CZ9AXgDTly481x9DsZO0oXlsgcuzvz583zfTDa3gzXs&#10;pAC1dzVfLkrOlJO+0e5Q8y+fH96sOcMoXCOMd6rmZ4X8dvv61aYPlVr5zptGASMQh1Ufat7FGKqi&#10;QNkpK3Dhg3KUbD1YEcmFQ9GA6AndmmJVljdF76EJ4KVCpOhuTPIJEV4C6NtWS7Xz8miViyMqKCMi&#10;UcJOB+Tb3G3bKhk/ti2qyEzNiWnMJz1C9j6dxXYjqgOI0Gk5tSBe0sIzTlZoR49eoXYiCnYE/Q+U&#10;1RI8+jYupLfFSCQrQiyW5TNtHjsRVOZCUmO4io7/D1Z+OH0Cppua09idsDTwy/dvlx+/Lj+/smW5&#10;ukkK9QErKnwMVBqHez/Q3sxxpGAiPrRg05coMcqTvuervmqITKZL69V6XVJKUm52CL94uh4A41vl&#10;LUtGzYEGmHUVp/cYx9K5JL3m/IM2Jg/RuL8ChDlGVN6C6XZiMnacrDjsh4ne3jdnYtfTJtTc0eJz&#10;Zt45EjotzWzAbOxn4xhAHzpqdJm7xHB3jNRS7jS9MMISw+TQCDPXad3Sjvzp56qnX2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OQ/PnzwEAAKoDAAAOAAAAAAAAAAEAIAAAAB4BAABkcnMv&#10;ZTJvRG9jLnhtbFBLBQYAAAAABgAGAFkBAABfBQAAAAA=&#10;">
              <v:fill on="f" focussize="0,0"/>
              <v:stroke on="f"/>
              <v:imagedata o:title=""/>
              <o:lock v:ext="edit" aspectratio="f"/>
              <v:textbox inset="0mm,0mm,0mm,0mm" style="mso-fit-shape-to-text:t;">
                <w:txbxContent>
                  <w:p>
                    <w:pPr>
                      <w:pStyle w:val="11"/>
                      <w:jc w:val="cente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w:t>
                    </w:r>
                    <w:r>
                      <w:rPr>
                        <w:rFonts w:hint="default" w:ascii="Times New Roman" w:hAnsi="Times New Roman" w:cs="Times New Roman"/>
                        <w:sz w:val="28"/>
                        <w:szCs w:val="28"/>
                      </w:rPr>
                      <w:t xml:space="preserve"> 16 -</w:t>
                    </w:r>
                    <w:r>
                      <w:rPr>
                        <w:rFonts w:hint="default" w:ascii="Times New Roman" w:hAnsi="Times New Roman" w:cs="Times New Roman"/>
                        <w:sz w:val="28"/>
                        <w:szCs w:val="28"/>
                        <w:lang w:val="zh-CN"/>
                      </w:rP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pPr>
                          <w:r>
                            <w:fldChar w:fldCharType="begin"/>
                          </w:r>
                          <w:r>
                            <w:instrText xml:space="preserve"> PAGE  \* MERGEFORMAT </w:instrText>
                          </w:r>
                          <w:r>
                            <w:fldChar w:fldCharType="separate"/>
                          </w:r>
                          <w:r>
                            <w:t>- 1 -</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WQeNs8BAACqAwAADgAAAGRycy9lMm9Eb2MueG1srVPNjtMwEL4j8Q6W&#10;7zRpJVCJmq5A1SIkBEjLPoDrOI0l/2nGbdIXgDfgxIU7z9XnYOwkXVgue+DizJ+/me/zZHMzWMNO&#10;ClB7V/PlouRMOekb7Q41v/9y+2LNGUbhGmG8UzU/K+Q32+fPNn2o1Mp33jQKGIE4rPpQ8y7GUBUF&#10;yk5ZgQsflKNk68GKSC4cigZET+jWFKuyfFX0HpoAXipEiu7GJJ8Q4SmAvm21VDsvj1a5OKKCMiIS&#10;Jex0QL7N07atkvFT26KKzNScmMZ8UhOy9+ksthtRHUCETstpBPGUER5xskI7anqF2oko2BH0P1BW&#10;S/Do27iQ3hYjkawIsViWj7S560RQmQtJjeEqOv4/WPnx9BmYbmr+mjMnLD345fu3y49fl59f2bJc&#10;vUwK9QErKrwLVBqHt36gvZnjSMFEfGjBpi9RYpQnfc9XfdUQmUyX1qv1uqSUpNzsEH7xcD0AxnfK&#10;W5aMmgM9YNZVnD5gHEvnktTN+VttTH5E4/4KEOYYUXkLptuJyThxsuKwHyZ6e9+ciV1Pm1BzR4vP&#10;mXnvSOi0NLMBs7GfjWMAfeho0GWeEsObY6SR8qSpwwhLDJNDT5i5TuuWduRPP1c9/G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RZB42zwEAAKoDAAAOAAAAAAAAAAEAIAAAAB4BAABkcnMv&#10;ZTJvRG9jLnhtbFBLBQYAAAAABgAGAFkBAABfBQ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5F6D2"/>
    <w:multiLevelType w:val="singleLevel"/>
    <w:tmpl w:val="BB65F6D2"/>
    <w:lvl w:ilvl="0" w:tentative="0">
      <w:start w:val="12"/>
      <w:numFmt w:val="chineseCounting"/>
      <w:suff w:val="nothing"/>
      <w:lvlText w:val="%1、"/>
      <w:lvlJc w:val="left"/>
      <w:pPr>
        <w:ind w:left="420" w:leftChars="0" w:firstLine="0" w:firstLineChars="0"/>
      </w:pPr>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064A595"/>
    <w:multiLevelType w:val="singleLevel"/>
    <w:tmpl w:val="3064A595"/>
    <w:lvl w:ilvl="0" w:tentative="0">
      <w:start w:val="1"/>
      <w:numFmt w:val="chineseCounting"/>
      <w:suff w:val="nothing"/>
      <w:lvlText w:val="%1、"/>
      <w:lvlJc w:val="left"/>
      <w:pPr>
        <w:ind w:left="-10"/>
      </w:pPr>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TVhMzA0ZmI5MzE0ZTQ4Njg5NWUwM2ZhMTJkY2QifQ=="/>
  </w:docVars>
  <w:rsids>
    <w:rsidRoot w:val="00F1361C"/>
    <w:rsid w:val="0001027B"/>
    <w:rsid w:val="00011C8B"/>
    <w:rsid w:val="0001776E"/>
    <w:rsid w:val="000222C6"/>
    <w:rsid w:val="0002549F"/>
    <w:rsid w:val="00040486"/>
    <w:rsid w:val="00046835"/>
    <w:rsid w:val="000468DB"/>
    <w:rsid w:val="00047663"/>
    <w:rsid w:val="00051247"/>
    <w:rsid w:val="000626AD"/>
    <w:rsid w:val="0006487A"/>
    <w:rsid w:val="00065F8F"/>
    <w:rsid w:val="00070A43"/>
    <w:rsid w:val="000768F2"/>
    <w:rsid w:val="0009184B"/>
    <w:rsid w:val="00094236"/>
    <w:rsid w:val="0009593C"/>
    <w:rsid w:val="00097322"/>
    <w:rsid w:val="000A6A92"/>
    <w:rsid w:val="000B047F"/>
    <w:rsid w:val="000B27A1"/>
    <w:rsid w:val="000B3187"/>
    <w:rsid w:val="000B5923"/>
    <w:rsid w:val="000B5A48"/>
    <w:rsid w:val="000B6FF3"/>
    <w:rsid w:val="000C3467"/>
    <w:rsid w:val="000C3CA6"/>
    <w:rsid w:val="000C7A21"/>
    <w:rsid w:val="000D1267"/>
    <w:rsid w:val="000D1D50"/>
    <w:rsid w:val="000D5782"/>
    <w:rsid w:val="000E6613"/>
    <w:rsid w:val="000E7119"/>
    <w:rsid w:val="00114E9B"/>
    <w:rsid w:val="00115301"/>
    <w:rsid w:val="001319E1"/>
    <w:rsid w:val="00137416"/>
    <w:rsid w:val="00142216"/>
    <w:rsid w:val="00144D6A"/>
    <w:rsid w:val="0014729F"/>
    <w:rsid w:val="00157BAB"/>
    <w:rsid w:val="001654D1"/>
    <w:rsid w:val="00174518"/>
    <w:rsid w:val="0018106D"/>
    <w:rsid w:val="001829B9"/>
    <w:rsid w:val="001877A7"/>
    <w:rsid w:val="00191536"/>
    <w:rsid w:val="00196687"/>
    <w:rsid w:val="001C0962"/>
    <w:rsid w:val="001D7531"/>
    <w:rsid w:val="001E737D"/>
    <w:rsid w:val="001F0592"/>
    <w:rsid w:val="001F1592"/>
    <w:rsid w:val="001F7506"/>
    <w:rsid w:val="002006CD"/>
    <w:rsid w:val="00202B36"/>
    <w:rsid w:val="00204B7A"/>
    <w:rsid w:val="00204CDE"/>
    <w:rsid w:val="0021101A"/>
    <w:rsid w:val="00213FEC"/>
    <w:rsid w:val="00220536"/>
    <w:rsid w:val="00224EE0"/>
    <w:rsid w:val="00235629"/>
    <w:rsid w:val="00251B0F"/>
    <w:rsid w:val="00256262"/>
    <w:rsid w:val="00260C38"/>
    <w:rsid w:val="00260E6E"/>
    <w:rsid w:val="002616C0"/>
    <w:rsid w:val="00265372"/>
    <w:rsid w:val="002662AA"/>
    <w:rsid w:val="0027224D"/>
    <w:rsid w:val="00280496"/>
    <w:rsid w:val="00282D0F"/>
    <w:rsid w:val="00294DC9"/>
    <w:rsid w:val="00295495"/>
    <w:rsid w:val="00295FE2"/>
    <w:rsid w:val="002A31DE"/>
    <w:rsid w:val="002B2613"/>
    <w:rsid w:val="002B2FF7"/>
    <w:rsid w:val="002D6D05"/>
    <w:rsid w:val="002F1818"/>
    <w:rsid w:val="002F567B"/>
    <w:rsid w:val="00306711"/>
    <w:rsid w:val="003216A9"/>
    <w:rsid w:val="00335A74"/>
    <w:rsid w:val="003405F2"/>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21B9"/>
    <w:rsid w:val="00406254"/>
    <w:rsid w:val="0040703D"/>
    <w:rsid w:val="004223DE"/>
    <w:rsid w:val="00434489"/>
    <w:rsid w:val="00437085"/>
    <w:rsid w:val="00443880"/>
    <w:rsid w:val="00445607"/>
    <w:rsid w:val="004464F4"/>
    <w:rsid w:val="00471401"/>
    <w:rsid w:val="00473F31"/>
    <w:rsid w:val="0048263A"/>
    <w:rsid w:val="00487E5D"/>
    <w:rsid w:val="00494662"/>
    <w:rsid w:val="004A711F"/>
    <w:rsid w:val="004B199D"/>
    <w:rsid w:val="004B4690"/>
    <w:rsid w:val="004C398A"/>
    <w:rsid w:val="004D5479"/>
    <w:rsid w:val="004E0A2D"/>
    <w:rsid w:val="004E206B"/>
    <w:rsid w:val="004E6DF7"/>
    <w:rsid w:val="004F0FBD"/>
    <w:rsid w:val="00505A47"/>
    <w:rsid w:val="00512FDA"/>
    <w:rsid w:val="00520DA0"/>
    <w:rsid w:val="005269A7"/>
    <w:rsid w:val="005269D7"/>
    <w:rsid w:val="005664BB"/>
    <w:rsid w:val="00566FFA"/>
    <w:rsid w:val="0057481D"/>
    <w:rsid w:val="00577D17"/>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7EFF"/>
    <w:rsid w:val="0062270A"/>
    <w:rsid w:val="00622830"/>
    <w:rsid w:val="00623DA0"/>
    <w:rsid w:val="00630AEF"/>
    <w:rsid w:val="006325F8"/>
    <w:rsid w:val="00633463"/>
    <w:rsid w:val="00634C9A"/>
    <w:rsid w:val="006352C3"/>
    <w:rsid w:val="006440E4"/>
    <w:rsid w:val="00645F81"/>
    <w:rsid w:val="0066343B"/>
    <w:rsid w:val="00664777"/>
    <w:rsid w:val="006653C9"/>
    <w:rsid w:val="0067048C"/>
    <w:rsid w:val="00670F37"/>
    <w:rsid w:val="006748A4"/>
    <w:rsid w:val="00681A31"/>
    <w:rsid w:val="00683E73"/>
    <w:rsid w:val="006A3141"/>
    <w:rsid w:val="006A5E34"/>
    <w:rsid w:val="006B2422"/>
    <w:rsid w:val="006B2B9A"/>
    <w:rsid w:val="006C1937"/>
    <w:rsid w:val="006C68A9"/>
    <w:rsid w:val="006F020C"/>
    <w:rsid w:val="007126A9"/>
    <w:rsid w:val="007127B7"/>
    <w:rsid w:val="0071798E"/>
    <w:rsid w:val="00721637"/>
    <w:rsid w:val="00731230"/>
    <w:rsid w:val="007365D9"/>
    <w:rsid w:val="007416B6"/>
    <w:rsid w:val="00746F48"/>
    <w:rsid w:val="0075404D"/>
    <w:rsid w:val="0076182A"/>
    <w:rsid w:val="00767B7E"/>
    <w:rsid w:val="00767C20"/>
    <w:rsid w:val="007770C3"/>
    <w:rsid w:val="00784D24"/>
    <w:rsid w:val="00785FBA"/>
    <w:rsid w:val="00786E4A"/>
    <w:rsid w:val="007875EB"/>
    <w:rsid w:val="00791496"/>
    <w:rsid w:val="0079426B"/>
    <w:rsid w:val="007D1682"/>
    <w:rsid w:val="007D1D17"/>
    <w:rsid w:val="007D312A"/>
    <w:rsid w:val="007D3F19"/>
    <w:rsid w:val="007D7CC5"/>
    <w:rsid w:val="007E23B0"/>
    <w:rsid w:val="007E23E5"/>
    <w:rsid w:val="007F0D93"/>
    <w:rsid w:val="007F1991"/>
    <w:rsid w:val="007F2C2F"/>
    <w:rsid w:val="007F55FC"/>
    <w:rsid w:val="007F5665"/>
    <w:rsid w:val="00800112"/>
    <w:rsid w:val="00807446"/>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A2628"/>
    <w:rsid w:val="008B768C"/>
    <w:rsid w:val="008C4DB1"/>
    <w:rsid w:val="008C4EAF"/>
    <w:rsid w:val="008C5176"/>
    <w:rsid w:val="008C7FD0"/>
    <w:rsid w:val="008E1DE7"/>
    <w:rsid w:val="008E707C"/>
    <w:rsid w:val="00900B08"/>
    <w:rsid w:val="00902155"/>
    <w:rsid w:val="00902FA3"/>
    <w:rsid w:val="00923564"/>
    <w:rsid w:val="0092392E"/>
    <w:rsid w:val="0092659A"/>
    <w:rsid w:val="009315F9"/>
    <w:rsid w:val="00933499"/>
    <w:rsid w:val="009334D8"/>
    <w:rsid w:val="00935C98"/>
    <w:rsid w:val="00946945"/>
    <w:rsid w:val="00951248"/>
    <w:rsid w:val="0095152F"/>
    <w:rsid w:val="00954C49"/>
    <w:rsid w:val="00955E37"/>
    <w:rsid w:val="00962656"/>
    <w:rsid w:val="0097099F"/>
    <w:rsid w:val="00971997"/>
    <w:rsid w:val="00971FFC"/>
    <w:rsid w:val="00976F64"/>
    <w:rsid w:val="00980837"/>
    <w:rsid w:val="0098660A"/>
    <w:rsid w:val="009931C3"/>
    <w:rsid w:val="009A0453"/>
    <w:rsid w:val="009B2C43"/>
    <w:rsid w:val="009B4EAE"/>
    <w:rsid w:val="009B7573"/>
    <w:rsid w:val="009C1F35"/>
    <w:rsid w:val="009C22F4"/>
    <w:rsid w:val="009C2A4B"/>
    <w:rsid w:val="009C2E98"/>
    <w:rsid w:val="009D3447"/>
    <w:rsid w:val="009D4711"/>
    <w:rsid w:val="009E57E9"/>
    <w:rsid w:val="009F1185"/>
    <w:rsid w:val="009F1207"/>
    <w:rsid w:val="009F18CD"/>
    <w:rsid w:val="009F2A13"/>
    <w:rsid w:val="009F7527"/>
    <w:rsid w:val="00A0103D"/>
    <w:rsid w:val="00A04EB0"/>
    <w:rsid w:val="00A054AF"/>
    <w:rsid w:val="00A10BCD"/>
    <w:rsid w:val="00A13CC1"/>
    <w:rsid w:val="00A16847"/>
    <w:rsid w:val="00A237D8"/>
    <w:rsid w:val="00A268C4"/>
    <w:rsid w:val="00A307CD"/>
    <w:rsid w:val="00A331C8"/>
    <w:rsid w:val="00A40A00"/>
    <w:rsid w:val="00A4142F"/>
    <w:rsid w:val="00A422EB"/>
    <w:rsid w:val="00A45BB7"/>
    <w:rsid w:val="00A56DF2"/>
    <w:rsid w:val="00A56E6E"/>
    <w:rsid w:val="00A62E98"/>
    <w:rsid w:val="00A67AB5"/>
    <w:rsid w:val="00A733B2"/>
    <w:rsid w:val="00A741C2"/>
    <w:rsid w:val="00A81661"/>
    <w:rsid w:val="00A84905"/>
    <w:rsid w:val="00A91760"/>
    <w:rsid w:val="00A93B00"/>
    <w:rsid w:val="00A93C21"/>
    <w:rsid w:val="00AB64C9"/>
    <w:rsid w:val="00AC3C6A"/>
    <w:rsid w:val="00AD5620"/>
    <w:rsid w:val="00AD656B"/>
    <w:rsid w:val="00AD7C1B"/>
    <w:rsid w:val="00AE16BA"/>
    <w:rsid w:val="00AE1EBE"/>
    <w:rsid w:val="00AF04E9"/>
    <w:rsid w:val="00B011E4"/>
    <w:rsid w:val="00B01462"/>
    <w:rsid w:val="00B03C9D"/>
    <w:rsid w:val="00B060AE"/>
    <w:rsid w:val="00B06116"/>
    <w:rsid w:val="00B10517"/>
    <w:rsid w:val="00B14E76"/>
    <w:rsid w:val="00B161B8"/>
    <w:rsid w:val="00B171F0"/>
    <w:rsid w:val="00B2048C"/>
    <w:rsid w:val="00B310B9"/>
    <w:rsid w:val="00B35F3F"/>
    <w:rsid w:val="00B36CBB"/>
    <w:rsid w:val="00B425E0"/>
    <w:rsid w:val="00B440AA"/>
    <w:rsid w:val="00B44B70"/>
    <w:rsid w:val="00B53C56"/>
    <w:rsid w:val="00B556FA"/>
    <w:rsid w:val="00B57DAF"/>
    <w:rsid w:val="00B602FF"/>
    <w:rsid w:val="00B77EA6"/>
    <w:rsid w:val="00B81598"/>
    <w:rsid w:val="00B841F1"/>
    <w:rsid w:val="00B90E4E"/>
    <w:rsid w:val="00B944D6"/>
    <w:rsid w:val="00B965DC"/>
    <w:rsid w:val="00BB044E"/>
    <w:rsid w:val="00BB4DF0"/>
    <w:rsid w:val="00BC289F"/>
    <w:rsid w:val="00BC2D50"/>
    <w:rsid w:val="00BC5361"/>
    <w:rsid w:val="00BC5460"/>
    <w:rsid w:val="00BC6B50"/>
    <w:rsid w:val="00BD0E25"/>
    <w:rsid w:val="00BF0632"/>
    <w:rsid w:val="00BF5BD6"/>
    <w:rsid w:val="00C03E31"/>
    <w:rsid w:val="00C0685E"/>
    <w:rsid w:val="00C33E72"/>
    <w:rsid w:val="00C354B2"/>
    <w:rsid w:val="00C35554"/>
    <w:rsid w:val="00C42709"/>
    <w:rsid w:val="00C533CC"/>
    <w:rsid w:val="00C5751C"/>
    <w:rsid w:val="00C61BFC"/>
    <w:rsid w:val="00C62B85"/>
    <w:rsid w:val="00C65438"/>
    <w:rsid w:val="00C72FE7"/>
    <w:rsid w:val="00C87FD8"/>
    <w:rsid w:val="00C90CCE"/>
    <w:rsid w:val="00C91381"/>
    <w:rsid w:val="00C91CBB"/>
    <w:rsid w:val="00CA66C1"/>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26D3"/>
    <w:rsid w:val="00D643CA"/>
    <w:rsid w:val="00D7035F"/>
    <w:rsid w:val="00DA634F"/>
    <w:rsid w:val="00DA65AC"/>
    <w:rsid w:val="00DB1913"/>
    <w:rsid w:val="00DB4122"/>
    <w:rsid w:val="00DC410D"/>
    <w:rsid w:val="00DC5A81"/>
    <w:rsid w:val="00DC68CA"/>
    <w:rsid w:val="00DC74B0"/>
    <w:rsid w:val="00DC7CBA"/>
    <w:rsid w:val="00DD73B7"/>
    <w:rsid w:val="00DE0C62"/>
    <w:rsid w:val="00DF28BC"/>
    <w:rsid w:val="00DF34B9"/>
    <w:rsid w:val="00E01053"/>
    <w:rsid w:val="00E07ACF"/>
    <w:rsid w:val="00E32CAD"/>
    <w:rsid w:val="00E32F65"/>
    <w:rsid w:val="00E331A1"/>
    <w:rsid w:val="00E33202"/>
    <w:rsid w:val="00E336A9"/>
    <w:rsid w:val="00E472B1"/>
    <w:rsid w:val="00E50624"/>
    <w:rsid w:val="00E568DF"/>
    <w:rsid w:val="00E64269"/>
    <w:rsid w:val="00E70975"/>
    <w:rsid w:val="00E82267"/>
    <w:rsid w:val="00E853CE"/>
    <w:rsid w:val="00E86121"/>
    <w:rsid w:val="00E867B6"/>
    <w:rsid w:val="00EA010F"/>
    <w:rsid w:val="00ED1B63"/>
    <w:rsid w:val="00ED3C1F"/>
    <w:rsid w:val="00ED4085"/>
    <w:rsid w:val="00ED420E"/>
    <w:rsid w:val="00ED6FBE"/>
    <w:rsid w:val="00EE2F57"/>
    <w:rsid w:val="00EE5184"/>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312"/>
    <w:rsid w:val="00FD3CC1"/>
    <w:rsid w:val="00FF1E02"/>
    <w:rsid w:val="00FF30B4"/>
    <w:rsid w:val="031A4DD8"/>
    <w:rsid w:val="04DC365B"/>
    <w:rsid w:val="064C3598"/>
    <w:rsid w:val="0728600B"/>
    <w:rsid w:val="098F3C00"/>
    <w:rsid w:val="09A125B3"/>
    <w:rsid w:val="0A2032A3"/>
    <w:rsid w:val="0A281E5B"/>
    <w:rsid w:val="10C055FF"/>
    <w:rsid w:val="118107EC"/>
    <w:rsid w:val="1216706C"/>
    <w:rsid w:val="12BB771E"/>
    <w:rsid w:val="15D0007B"/>
    <w:rsid w:val="16B5762E"/>
    <w:rsid w:val="16BB723D"/>
    <w:rsid w:val="17834682"/>
    <w:rsid w:val="1C274777"/>
    <w:rsid w:val="1D155CEE"/>
    <w:rsid w:val="1EE65522"/>
    <w:rsid w:val="203E2EC6"/>
    <w:rsid w:val="240371BF"/>
    <w:rsid w:val="25E96933"/>
    <w:rsid w:val="29CB3F7D"/>
    <w:rsid w:val="29FD04D3"/>
    <w:rsid w:val="2AE67D43"/>
    <w:rsid w:val="2D261F30"/>
    <w:rsid w:val="2FBD6104"/>
    <w:rsid w:val="2FEE35AB"/>
    <w:rsid w:val="307972DA"/>
    <w:rsid w:val="30E348D8"/>
    <w:rsid w:val="319F7F4E"/>
    <w:rsid w:val="33240B77"/>
    <w:rsid w:val="33412032"/>
    <w:rsid w:val="335F7BFE"/>
    <w:rsid w:val="354E5F23"/>
    <w:rsid w:val="381340EF"/>
    <w:rsid w:val="3CBC2070"/>
    <w:rsid w:val="3CCE7092"/>
    <w:rsid w:val="3D14730E"/>
    <w:rsid w:val="3DF4531C"/>
    <w:rsid w:val="3F5E229B"/>
    <w:rsid w:val="43EC3158"/>
    <w:rsid w:val="440F6774"/>
    <w:rsid w:val="455A671B"/>
    <w:rsid w:val="473B6143"/>
    <w:rsid w:val="47474DC4"/>
    <w:rsid w:val="4ECE2238"/>
    <w:rsid w:val="50C76ED1"/>
    <w:rsid w:val="53DE013E"/>
    <w:rsid w:val="54C757A6"/>
    <w:rsid w:val="55FA106F"/>
    <w:rsid w:val="5DC92A05"/>
    <w:rsid w:val="5DFD7E49"/>
    <w:rsid w:val="5EEE1CB2"/>
    <w:rsid w:val="5F4C79F1"/>
    <w:rsid w:val="604D480D"/>
    <w:rsid w:val="63D130F6"/>
    <w:rsid w:val="64966EE2"/>
    <w:rsid w:val="665A47DE"/>
    <w:rsid w:val="67E57BAF"/>
    <w:rsid w:val="6C4A05C8"/>
    <w:rsid w:val="6D021C09"/>
    <w:rsid w:val="72734D90"/>
    <w:rsid w:val="73D9369A"/>
    <w:rsid w:val="74A23B93"/>
    <w:rsid w:val="77320020"/>
    <w:rsid w:val="776655B6"/>
    <w:rsid w:val="78310996"/>
    <w:rsid w:val="79A60D76"/>
    <w:rsid w:val="7C3D2B16"/>
    <w:rsid w:val="7E3831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8">
    <w:name w:val="默认段落字体1"/>
    <w:qFormat/>
    <w:uiPriority w:val="0"/>
    <w:rPr>
      <w:sz w:val="22"/>
    </w:rPr>
  </w:style>
  <w:style w:type="character" w:customStyle="1" w:styleId="39">
    <w:name w:val="NormalCharacter"/>
    <w:qFormat/>
    <w:uiPriority w:val="0"/>
  </w:style>
  <w:style w:type="paragraph" w:customStyle="1" w:styleId="40">
    <w:name w:val="Char"/>
    <w:basedOn w:val="1"/>
    <w:qFormat/>
    <w:uiPriority w:val="0"/>
    <w:pPr>
      <w:widowControl/>
      <w:spacing w:after="160" w:line="240" w:lineRule="exact"/>
      <w:jc w:val="left"/>
    </w:pPr>
    <w:rPr>
      <w:rFonts w:eastAsia="方正仿宋_GBK"/>
      <w:spacing w:val="-20"/>
      <w:sz w:val="36"/>
      <w:szCs w:val="20"/>
    </w:rPr>
  </w:style>
  <w:style w:type="paragraph" w:customStyle="1" w:styleId="41">
    <w:name w:val="正文文本1"/>
    <w:basedOn w:val="1"/>
    <w:qFormat/>
    <w:uiPriority w:val="0"/>
    <w:pPr>
      <w:spacing w:before="93"/>
    </w:pPr>
    <w:rPr>
      <w:rFonts w:ascii="仿宋_GB2312" w:hAnsi="仿宋_GB2312" w:eastAsia="仿宋_GB2312"/>
      <w:kern w:val="0"/>
      <w:sz w:val="30"/>
      <w:szCs w:val="22"/>
      <w:lang w:bidi="bo-CN"/>
    </w:rPr>
  </w:style>
  <w:style w:type="paragraph" w:customStyle="1" w:styleId="42">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43">
    <w:name w:val="18"/>
    <w:basedOn w:val="20"/>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32463;&#36153;&#25191;&#34892;\&#39044;&#20915;&#31639;&#24037;&#20316;\&#39044;&#20915;&#31639;&#20844;&#24320;\2021&#24180;&#20915;&#31639;&#20844;&#24320;\&#32472;&#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32463;&#36153;&#25191;&#34892;\&#39044;&#20915;&#31639;&#24037;&#20316;\&#39044;&#20915;&#31639;&#20844;&#24320;\2021&#24180;&#20915;&#31639;&#20844;&#24320;\&#32472;&#2227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32463;&#36153;&#25191;&#34892;\&#39044;&#20915;&#31639;&#24037;&#20316;\&#39044;&#20915;&#31639;&#20844;&#24320;\2021&#24180;&#20915;&#31639;&#20844;&#24320;\&#32472;&#2227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32463;&#36153;&#25191;&#34892;\&#39044;&#20915;&#31639;&#24037;&#20316;\&#39044;&#20915;&#31639;&#20844;&#24320;\2021&#24180;&#20915;&#31639;&#20844;&#24320;\&#32472;&#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[绘图.xls]Sheet1!$A$2:$A$3</c:f>
              <c:strCache>
                <c:ptCount val="2"/>
                <c:pt idx="0">
                  <c:v>2021年</c:v>
                </c:pt>
                <c:pt idx="1">
                  <c:v>2020年</c:v>
                </c:pt>
              </c:strCache>
            </c:strRef>
          </c:cat>
          <c:val>
            <c:numRef>
              <c:f>[绘图.xls]Sheet1!$B$2:$B$3</c:f>
              <c:numCache>
                <c:formatCode>General</c:formatCode>
                <c:ptCount val="2"/>
                <c:pt idx="0">
                  <c:v>1675.76</c:v>
                </c:pt>
                <c:pt idx="1">
                  <c:v>1115.15</c:v>
                </c:pt>
              </c:numCache>
            </c:numRef>
          </c:val>
        </c:ser>
        <c:dLbls>
          <c:showLegendKey val="0"/>
          <c:showVal val="0"/>
          <c:showCatName val="0"/>
          <c:showSerName val="0"/>
          <c:showPercent val="0"/>
          <c:showBubbleSize val="0"/>
        </c:dLbls>
        <c:gapWidth val="219"/>
        <c:overlap val="-27"/>
        <c:axId val="754275432"/>
        <c:axId val="850280116"/>
      </c:barChart>
      <c:catAx>
        <c:axId val="7542754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0280116"/>
        <c:crosses val="autoZero"/>
        <c:auto val="1"/>
        <c:lblAlgn val="ctr"/>
        <c:lblOffset val="100"/>
        <c:noMultiLvlLbl val="0"/>
      </c:catAx>
      <c:valAx>
        <c:axId val="8502801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4275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12361111111111"/>
          <c:y val="0.024305555555555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solidFill>
              <a:latin typeface="+mn-lt"/>
              <a:ea typeface="+mn-ea"/>
              <a:cs typeface="+mn-cs"/>
            </a:defRPr>
          </a:pPr>
        </a:p>
      </c:txPr>
    </c:title>
    <c:autoTitleDeleted val="0"/>
    <c:plotArea>
      <c:layout/>
      <c:pieChart>
        <c:varyColors val="1"/>
        <c:ser>
          <c:idx val="0"/>
          <c:order val="0"/>
          <c:tx>
            <c:strRef>
              <c:f>[决算公开说明图.xls]Sheet1!$G$20:$G$21</c:f>
              <c:strCache>
                <c:ptCount val="1"/>
                <c:pt idx="0">
                  <c:v>本年收入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[决算公开说明图.xls]Sheet1!$F$22:$F$23</c:f>
              <c:strCache>
                <c:ptCount val="2"/>
                <c:pt idx="0">
                  <c:v>一般公共预算财政拨款收入</c:v>
                </c:pt>
              </c:strCache>
            </c:strRef>
          </c:cat>
          <c:val>
            <c:numRef>
              <c:f>[决算公开说明图.xls]Sheet1!$G$22:$G$23</c:f>
              <c:numCache>
                <c:formatCode>General</c:formatCode>
                <c:ptCount val="2"/>
                <c:pt idx="0">
                  <c:v>1115.15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rgbClr val="C00000"/>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rgbClr val="C00000"/>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rgbClr val="C00000"/>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solidFill>
            <a:srgbClr val="C00000"/>
          </a:solidFill>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[决算公开说明图.xls]Sheet1!$B$41:$B$43</c:f>
              <c:strCache>
                <c:ptCount val="3"/>
                <c:pt idx="0">
                  <c:v>基本支出</c:v>
                </c:pt>
                <c:pt idx="1">
                  <c:v>项目支出</c:v>
                </c:pt>
                <c:pt idx="2">
                  <c:v>本年支出合计</c:v>
                </c:pt>
              </c:strCache>
            </c:strRef>
          </c:cat>
          <c:val>
            <c:numRef>
              <c:f>[决算公开说明图.xls]Sheet1!$C$41:$C$43</c:f>
              <c:numCache>
                <c:formatCode>General</c:formatCode>
                <c:ptCount val="3"/>
                <c:pt idx="0">
                  <c:v>807.97</c:v>
                </c:pt>
                <c:pt idx="1">
                  <c:v>307.18</c:v>
                </c:pt>
                <c:pt idx="2">
                  <c:v>1115.15</c:v>
                </c:pt>
              </c:numCache>
            </c:numRef>
          </c:val>
        </c:ser>
        <c:ser>
          <c:idx val="1"/>
          <c:order val="1"/>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[决算公开说明图.xls]Sheet1!$B$41:$B$43</c:f>
              <c:strCache>
                <c:ptCount val="3"/>
                <c:pt idx="0">
                  <c:v>基本支出</c:v>
                </c:pt>
                <c:pt idx="1">
                  <c:v>项目支出</c:v>
                </c:pt>
                <c:pt idx="2">
                  <c:v>本年支出合计</c:v>
                </c:pt>
              </c:strCache>
            </c:strRef>
          </c:cat>
          <c:val>
            <c:numRef>
              <c:f>[决算公开说明图.xls]Sheet1!$D$41:$D$43</c:f>
              <c:numCache>
                <c:formatCode>General</c:formatCode>
                <c:ptCount val="3"/>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[绘图.xls]Sheet1!$A$2:$A$3</c:f>
              <c:strCache>
                <c:ptCount val="2"/>
                <c:pt idx="0">
                  <c:v>2021年</c:v>
                </c:pt>
                <c:pt idx="1">
                  <c:v>2020年</c:v>
                </c:pt>
              </c:strCache>
            </c:strRef>
          </c:cat>
          <c:val>
            <c:numRef>
              <c:f>[绘图.xls]Sheet1!$B$2:$B$3</c:f>
              <c:numCache>
                <c:formatCode>General</c:formatCode>
                <c:ptCount val="2"/>
                <c:pt idx="0">
                  <c:v>1675.76</c:v>
                </c:pt>
                <c:pt idx="1">
                  <c:v>1115.15</c:v>
                </c:pt>
              </c:numCache>
            </c:numRef>
          </c:val>
        </c:ser>
        <c:dLbls>
          <c:showLegendKey val="0"/>
          <c:showVal val="0"/>
          <c:showCatName val="0"/>
          <c:showSerName val="0"/>
          <c:showPercent val="0"/>
          <c:showBubbleSize val="0"/>
        </c:dLbls>
        <c:gapWidth val="219"/>
        <c:overlap val="-27"/>
        <c:axId val="754275432"/>
        <c:axId val="850280116"/>
      </c:barChart>
      <c:catAx>
        <c:axId val="7542754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0280116"/>
        <c:crosses val="autoZero"/>
        <c:auto val="1"/>
        <c:lblAlgn val="ctr"/>
        <c:lblOffset val="100"/>
        <c:noMultiLvlLbl val="0"/>
      </c:catAx>
      <c:valAx>
        <c:axId val="8502801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4275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财政拨款支出决算总计变动情况（单位：万元）</a:t>
            </a:r>
          </a:p>
        </c:rich>
      </c:tx>
      <c:layout>
        <c:manualLayout>
          <c:xMode val="edge"/>
          <c:yMode val="edge"/>
          <c:x val="0.164357864357864"/>
          <c:y val="0.0110497237569061"/>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[绘图.xls]Sheet1!$A$2:$A$3</c:f>
              <c:strCache>
                <c:ptCount val="2"/>
                <c:pt idx="0">
                  <c:v>2021年</c:v>
                </c:pt>
                <c:pt idx="1">
                  <c:v>2020年</c:v>
                </c:pt>
              </c:strCache>
            </c:strRef>
          </c:cat>
          <c:val>
            <c:numRef>
              <c:f>[绘图.xls]Sheet1!$B$2:$B$3</c:f>
              <c:numCache>
                <c:formatCode>General</c:formatCode>
                <c:ptCount val="2"/>
                <c:pt idx="0">
                  <c:v>1675.76</c:v>
                </c:pt>
                <c:pt idx="1">
                  <c:v>1115.15</c:v>
                </c:pt>
              </c:numCache>
            </c:numRef>
          </c:val>
        </c:ser>
        <c:dLbls>
          <c:showLegendKey val="0"/>
          <c:showVal val="0"/>
          <c:showCatName val="0"/>
          <c:showSerName val="0"/>
          <c:showPercent val="0"/>
          <c:showBubbleSize val="0"/>
        </c:dLbls>
        <c:gapWidth val="219"/>
        <c:overlap val="-27"/>
        <c:axId val="754275432"/>
        <c:axId val="850280116"/>
      </c:barChart>
      <c:catAx>
        <c:axId val="7542754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0280116"/>
        <c:crosses val="autoZero"/>
        <c:auto val="1"/>
        <c:lblAlgn val="ctr"/>
        <c:lblOffset val="100"/>
        <c:noMultiLvlLbl val="0"/>
      </c:catAx>
      <c:valAx>
        <c:axId val="8502801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4275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179444444444444"/>
          <c:y val="0.05"/>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[绘图.xls]Sheet1!$B$8:$B$12</c:f>
              <c:strCache>
                <c:ptCount val="5"/>
                <c:pt idx="0">
                  <c:v>一般公共服务（类）支出</c:v>
                </c:pt>
                <c:pt idx="1">
                  <c:v>社会保障和就业（类）支出</c:v>
                </c:pt>
                <c:pt idx="2">
                  <c:v>卫生健康支出（类）</c:v>
                </c:pt>
                <c:pt idx="3">
                  <c:v>住房保障支出</c:v>
                </c:pt>
                <c:pt idx="4">
                  <c:v>合计</c:v>
                </c:pt>
              </c:strCache>
            </c:strRef>
          </c:cat>
          <c:val>
            <c:numRef>
              <c:f>[绘图.xls]Sheet1!$C$8:$C$12</c:f>
              <c:numCache>
                <c:formatCode>General</c:formatCode>
                <c:ptCount val="5"/>
                <c:pt idx="0">
                  <c:v>1518.26</c:v>
                </c:pt>
                <c:pt idx="1">
                  <c:v>73.16</c:v>
                </c:pt>
                <c:pt idx="2">
                  <c:v>32.26</c:v>
                </c:pt>
                <c:pt idx="3">
                  <c:v>52.08</c:v>
                </c:pt>
                <c:pt idx="4">
                  <c:v>1675.76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[决算公开说明图.xls]Sheet1!$D$73:$D$74</c:f>
              <c:strCache>
                <c:ptCount val="2"/>
                <c:pt idx="0">
                  <c:v>公务用车购置及运行维护费</c:v>
                </c:pt>
                <c:pt idx="1">
                  <c:v>公务接待费</c:v>
                </c:pt>
              </c:strCache>
            </c:strRef>
          </c:cat>
          <c:val>
            <c:numRef>
              <c:f>[决算公开说明图.xls]Sheet1!$E$73:$E$74</c:f>
              <c:numCache>
                <c:formatCode>General</c:formatCode>
                <c:ptCount val="2"/>
                <c:pt idx="0">
                  <c:v>172.59</c:v>
                </c:pt>
                <c:pt idx="1">
                  <c:v>1.44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14875</Words>
  <Characters>16741</Characters>
  <Lines>122</Lines>
  <Paragraphs>34</Paragraphs>
  <TotalTime>2</TotalTime>
  <ScaleCrop>false</ScaleCrop>
  <LinksUpToDate>false</LinksUpToDate>
  <CharactersWithSpaces>16886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2022-08-04T01:57:00Z</dcterms:created>
  <dc:creator>曹颖</dc:creator>
  <cp:lastModifiedBy>Jayk</cp:lastModifiedBy>
  <cp:lastPrinted>2022-10-08T14:36:00Z</cp:lastPrinted>
  <dcterms:modified xsi:type="dcterms:W3CDTF">2022-10-10T08:38:20Z</dcterms:modified>
  <dc:title>阿坝州部门决算说明</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A59B590DAA7E4BCC9D019C064A3F6F88</vt:lpwstr>
  </property>
</Properties>
</file>