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jc w:val="center"/>
        <w:rPr>
          <w:rFonts w:ascii="黑体" w:hAnsi="黑体" w:eastAsia="黑体"/>
          <w:sz w:val="72"/>
          <w:szCs w:val="72"/>
        </w:rPr>
      </w:pPr>
      <w:bookmarkStart w:id="1" w:name="_Toc15396475"/>
      <w:bookmarkStart w:id="2" w:name="_Toc15378441"/>
      <w:bookmarkStart w:id="3" w:name="_Toc15396597"/>
      <w:bookmarkStart w:id="4" w:name="_Toc15377425"/>
      <w:bookmarkStart w:id="5" w:name="_Toc15377193"/>
      <w:r>
        <w:rPr>
          <w:rFonts w:ascii="黑体" w:hAnsi="黑体" w:eastAsia="黑体"/>
          <w:sz w:val="72"/>
          <w:szCs w:val="72"/>
        </w:rPr>
        <w:t>202</w:t>
      </w:r>
      <w:r>
        <w:rPr>
          <w:rFonts w:hint="eastAsia" w:ascii="黑体" w:hAnsi="黑体" w:eastAsia="黑体"/>
          <w:sz w:val="72"/>
          <w:szCs w:val="72"/>
          <w:lang w:val="en-US" w:eastAsia="zh-CN"/>
        </w:rPr>
        <w:t>1</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77426"/>
      <w:bookmarkStart w:id="8" w:name="_Toc15396598"/>
      <w:bookmarkStart w:id="9" w:name="_Toc15378442"/>
      <w:bookmarkStart w:id="10" w:name="_Toc15396476"/>
      <w:r>
        <w:rPr>
          <w:rFonts w:hint="eastAsia" w:ascii="方正小标宋简体" w:eastAsia="方正小标宋简体"/>
          <w:sz w:val="72"/>
          <w:szCs w:val="72"/>
        </w:rPr>
        <w:t>四川省阿坝州</w:t>
      </w:r>
      <w:bookmarkStart w:id="11" w:name="_Toc15306268"/>
      <w:r>
        <w:rPr>
          <w:rFonts w:hint="eastAsia" w:ascii="方正小标宋简体" w:eastAsia="方正小标宋简体"/>
          <w:sz w:val="72"/>
          <w:szCs w:val="72"/>
        </w:rPr>
        <w:t>人民检察院部门决算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320" w:firstLineChars="100"/>
        <w:jc w:val="left"/>
        <w:rPr>
          <w:rFonts w:ascii="宋体" w:hAnsi="宋体"/>
          <w:sz w:val="32"/>
          <w:szCs w:val="32"/>
        </w:rPr>
      </w:pPr>
      <w:r>
        <w:rPr>
          <w:rFonts w:hint="eastAsia" w:ascii="宋体" w:hAnsi="宋体" w:cs="仿宋_GB2312"/>
          <w:sz w:val="32"/>
          <w:szCs w:val="32"/>
          <w:lang w:val="en-US" w:eastAsia="zh-CN"/>
        </w:rPr>
        <w:t>已经</w:t>
      </w:r>
      <w:r>
        <w:rPr>
          <w:rFonts w:hint="eastAsia" w:ascii="宋体" w:hAnsi="宋体" w:cs="仿宋_GB2312"/>
          <w:sz w:val="32"/>
          <w:szCs w:val="32"/>
        </w:rPr>
        <w:t>保密审查</w:t>
      </w:r>
      <w:r>
        <w:rPr>
          <w:rFonts w:hint="eastAsia" w:ascii="宋体" w:hAnsi="宋体" w:cs="仿宋_GB2312"/>
          <w:sz w:val="32"/>
          <w:szCs w:val="32"/>
          <w:lang w:eastAsia="zh-CN"/>
        </w:rPr>
        <w:t>、</w:t>
      </w:r>
      <w:r>
        <w:rPr>
          <w:rFonts w:hint="eastAsia" w:ascii="宋体" w:hAnsi="宋体" w:cs="仿宋_GB2312"/>
          <w:sz w:val="32"/>
          <w:szCs w:val="32"/>
          <w:lang w:val="en-US" w:eastAsia="zh-CN"/>
        </w:rPr>
        <w:t>内容审定，</w:t>
      </w:r>
      <w:r>
        <w:rPr>
          <w:rFonts w:hint="eastAsia" w:ascii="宋体" w:hAnsi="宋体" w:cs="仿宋_GB2312"/>
          <w:sz w:val="32"/>
          <w:szCs w:val="32"/>
        </w:rPr>
        <w:t>同意对外公开</w:t>
      </w:r>
    </w:p>
    <w:p>
      <w:pPr>
        <w:jc w:val="center"/>
        <w:rPr>
          <w:rFonts w:hint="eastAsia" w:ascii="黑体" w:hAnsi="黑体" w:eastAsia="黑体"/>
          <w:color w:val="000000"/>
          <w:sz w:val="48"/>
          <w:szCs w:val="48"/>
        </w:rPr>
      </w:pPr>
    </w:p>
    <w:p>
      <w:pPr>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2"/>
        <w:rPr>
          <w:rFonts w:hAnsiTheme="minorHAnsi"/>
          <w:sz w:val="24"/>
          <w:szCs w:val="24"/>
        </w:rPr>
      </w:pPr>
      <w:r>
        <w:rPr>
          <w:rFonts w:hint="eastAsia" w:hAnsiTheme="minorHAnsi"/>
          <w:sz w:val="24"/>
          <w:szCs w:val="24"/>
        </w:rPr>
        <w:t>公开时间：202</w:t>
      </w:r>
      <w:r>
        <w:rPr>
          <w:rFonts w:hint="eastAsia" w:hAnsiTheme="minorHAnsi"/>
          <w:sz w:val="24"/>
          <w:szCs w:val="24"/>
          <w:lang w:val="en-US" w:eastAsia="zh-CN"/>
        </w:rPr>
        <w:t>2</w:t>
      </w:r>
      <w:r>
        <w:rPr>
          <w:rFonts w:hint="eastAsia" w:hAnsiTheme="minorHAnsi"/>
          <w:sz w:val="24"/>
          <w:szCs w:val="24"/>
        </w:rPr>
        <w:t xml:space="preserve">年 </w:t>
      </w:r>
      <w:r>
        <w:rPr>
          <w:rFonts w:hAnsiTheme="minorHAnsi"/>
          <w:sz w:val="24"/>
          <w:szCs w:val="24"/>
        </w:rPr>
        <w:t>9</w:t>
      </w:r>
      <w:r>
        <w:rPr>
          <w:rFonts w:hint="eastAsia" w:hAnsiTheme="minorHAnsi"/>
          <w:sz w:val="24"/>
          <w:szCs w:val="24"/>
        </w:rPr>
        <w:t>月</w:t>
      </w:r>
      <w:r>
        <w:rPr>
          <w:rFonts w:hint="eastAsia" w:hAnsiTheme="minorHAnsi"/>
          <w:sz w:val="24"/>
          <w:szCs w:val="24"/>
          <w:lang w:val="en-US" w:eastAsia="zh-CN"/>
        </w:rPr>
        <w:t>26</w:t>
      </w:r>
      <w:r>
        <w:rPr>
          <w:rFonts w:hint="eastAsia" w:hAnsiTheme="minorHAnsi"/>
          <w:sz w:val="24"/>
          <w:szCs w:val="24"/>
        </w:rPr>
        <w:t>日</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2"/>
        <w:rPr>
          <w:rFonts w:ascii="黑体" w:hAnsi="黑体" w:eastAsia="黑体" w:cs="黑体"/>
        </w:rPr>
      </w:pPr>
      <w:r>
        <w:fldChar w:fldCharType="begin"/>
      </w:r>
      <w:r>
        <w:instrText xml:space="preserve"> HYPERLINK \l "_Toc15396599" </w:instrText>
      </w:r>
      <w:r>
        <w:fldChar w:fldCharType="separate"/>
      </w:r>
      <w:r>
        <w:rPr>
          <w:rStyle w:val="18"/>
          <w:rFonts w:hint="eastAsia" w:ascii="黑体" w:hAnsi="黑体" w:eastAsia="黑体" w:cs="黑体"/>
        </w:rPr>
        <w:t>第一部分 部门概况</w:t>
      </w:r>
      <w:r>
        <w:rPr>
          <w:rFonts w:hint="eastAsia" w:ascii="黑体" w:hAnsi="黑体" w:eastAsia="黑体" w:cs="黑体"/>
        </w:rPr>
        <w:tab/>
      </w:r>
      <w:r>
        <w:rPr>
          <w:rFonts w:hint="eastAsia" w:ascii="黑体" w:hAnsi="黑体" w:eastAsia="黑体" w:cs="黑体"/>
        </w:rPr>
        <w:t>4</w:t>
      </w:r>
      <w:r>
        <w:rPr>
          <w:rFonts w:hint="eastAsia" w:ascii="黑体" w:hAnsi="黑体" w:eastAsia="黑体" w:cs="黑体"/>
        </w:rPr>
        <w:fldChar w:fldCharType="end"/>
      </w:r>
    </w:p>
    <w:p>
      <w:pPr>
        <w:pStyle w:val="13"/>
        <w:rPr>
          <w:rFonts w:ascii="黑体" w:hAnsi="黑体" w:eastAsia="黑体" w:cs="黑体"/>
          <w:sz w:val="28"/>
          <w:szCs w:val="28"/>
        </w:rPr>
      </w:pPr>
      <w:r>
        <w:fldChar w:fldCharType="begin"/>
      </w:r>
      <w:r>
        <w:instrText xml:space="preserve"> HYPERLINK \l "_Toc15396600" </w:instrText>
      </w:r>
      <w:r>
        <w:fldChar w:fldCharType="separate"/>
      </w:r>
      <w:r>
        <w:rPr>
          <w:rStyle w:val="18"/>
          <w:rFonts w:hint="eastAsia" w:ascii="黑体" w:hAnsi="黑体" w:eastAsia="黑体" w:cs="黑体"/>
          <w:sz w:val="28"/>
          <w:szCs w:val="28"/>
        </w:rPr>
        <w:t>一、基本职能及主要工作</w:t>
      </w:r>
      <w:r>
        <w:rPr>
          <w:rFonts w:hint="eastAsia" w:ascii="黑体" w:hAnsi="黑体" w:eastAsia="黑体" w:cs="黑体"/>
          <w:sz w:val="28"/>
          <w:szCs w:val="28"/>
        </w:rPr>
        <w:tab/>
      </w:r>
      <w:r>
        <w:rPr>
          <w:rFonts w:hint="eastAsia" w:ascii="黑体" w:hAnsi="黑体" w:eastAsia="黑体" w:cs="黑体"/>
          <w:sz w:val="28"/>
          <w:szCs w:val="28"/>
        </w:rPr>
        <w:t>4</w:t>
      </w:r>
      <w:r>
        <w:rPr>
          <w:rFonts w:hint="eastAsia" w:ascii="黑体" w:hAnsi="黑体" w:eastAsia="黑体" w:cs="黑体"/>
          <w:sz w:val="28"/>
          <w:szCs w:val="28"/>
        </w:rPr>
        <w:fldChar w:fldCharType="end"/>
      </w:r>
    </w:p>
    <w:p>
      <w:pPr>
        <w:pStyle w:val="8"/>
        <w:rPr>
          <w:rFonts w:hint="eastAsia" w:ascii="仿宋" w:hAnsi="仿宋" w:eastAsia="仿宋" w:cs="仿宋"/>
          <w:sz w:val="20"/>
          <w:szCs w:val="20"/>
          <w:lang w:eastAsia="zh-CN"/>
        </w:rPr>
      </w:pPr>
      <w:r>
        <w:rPr>
          <w:rFonts w:hint="eastAsia" w:ascii="仿宋" w:hAnsi="仿宋" w:eastAsia="仿宋" w:cs="仿宋"/>
          <w:bCs/>
          <w:color w:val="000000"/>
          <w:sz w:val="20"/>
          <w:szCs w:val="20"/>
        </w:rPr>
        <w:t>（一）主要职能。</w:t>
      </w:r>
      <w:r>
        <w:rPr>
          <w:rFonts w:hint="eastAsia" w:ascii="仿宋" w:hAnsi="仿宋" w:eastAsia="仿宋" w:cs="仿宋"/>
          <w:sz w:val="20"/>
          <w:szCs w:val="20"/>
        </w:rPr>
        <w:tab/>
      </w:r>
      <w:r>
        <w:rPr>
          <w:rFonts w:hint="eastAsia" w:ascii="仿宋" w:hAnsi="仿宋" w:eastAsia="仿宋" w:cs="仿宋"/>
          <w:sz w:val="28"/>
          <w:szCs w:val="28"/>
          <w:lang w:val="en-US" w:eastAsia="zh-CN"/>
        </w:rPr>
        <w:t>4</w:t>
      </w:r>
    </w:p>
    <w:p>
      <w:pPr>
        <w:pStyle w:val="8"/>
        <w:rPr>
          <w:rFonts w:hint="eastAsia" w:eastAsia="仿宋"/>
          <w:lang w:eastAsia="zh-CN"/>
        </w:rPr>
      </w:pPr>
      <w:r>
        <w:rPr>
          <w:rFonts w:hint="eastAsia" w:ascii="仿宋" w:hAnsi="仿宋" w:eastAsia="仿宋" w:cs="仿宋"/>
          <w:bCs/>
          <w:color w:val="000000"/>
          <w:sz w:val="20"/>
          <w:szCs w:val="20"/>
        </w:rPr>
        <w:t>（二）202</w:t>
      </w:r>
      <w:r>
        <w:rPr>
          <w:rFonts w:hint="eastAsia" w:ascii="仿宋" w:hAnsi="仿宋" w:eastAsia="仿宋" w:cs="仿宋"/>
          <w:bCs/>
          <w:color w:val="000000"/>
          <w:sz w:val="20"/>
          <w:szCs w:val="20"/>
          <w:lang w:val="en-US" w:eastAsia="zh-CN"/>
        </w:rPr>
        <w:t>1</w:t>
      </w:r>
      <w:r>
        <w:rPr>
          <w:rFonts w:hint="eastAsia" w:ascii="仿宋" w:hAnsi="仿宋" w:eastAsia="仿宋" w:cs="仿宋"/>
          <w:bCs/>
          <w:color w:val="000000"/>
          <w:sz w:val="20"/>
          <w:szCs w:val="20"/>
        </w:rPr>
        <w:t>年重点工作完成情况。</w:t>
      </w:r>
      <w:r>
        <w:rPr>
          <w:rFonts w:hint="eastAsia" w:ascii="仿宋" w:hAnsi="仿宋" w:eastAsia="仿宋" w:cs="仿宋"/>
          <w:sz w:val="20"/>
          <w:szCs w:val="20"/>
        </w:rPr>
        <w:tab/>
      </w:r>
      <w:r>
        <w:rPr>
          <w:rFonts w:hint="eastAsia" w:ascii="仿宋" w:hAnsi="仿宋" w:eastAsia="仿宋" w:cs="仿宋"/>
          <w:sz w:val="28"/>
          <w:szCs w:val="28"/>
          <w:lang w:val="en-US" w:eastAsia="zh-CN"/>
        </w:rPr>
        <w:t>4</w:t>
      </w:r>
    </w:p>
    <w:p>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黑体" w:hAnsi="黑体" w:eastAsia="黑体" w:cs="黑体"/>
          <w:b/>
          <w:bCs/>
          <w:sz w:val="28"/>
          <w:szCs w:val="28"/>
        </w:rPr>
        <w:t>二、机构设置</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_Toc15396601 \h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5</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2"/>
        <w:rPr>
          <w:rFonts w:ascii="黑体" w:hAnsi="黑体" w:eastAsia="黑体" w:cs="黑体"/>
        </w:rPr>
      </w:pPr>
      <w:r>
        <w:fldChar w:fldCharType="begin"/>
      </w:r>
      <w:r>
        <w:instrText xml:space="preserve"> HYPERLINK \l "_Toc15396602" </w:instrText>
      </w:r>
      <w:r>
        <w:fldChar w:fldCharType="separate"/>
      </w:r>
      <w:r>
        <w:rPr>
          <w:rStyle w:val="18"/>
          <w:rFonts w:hint="eastAsia" w:ascii="黑体" w:hAnsi="黑体" w:eastAsia="黑体" w:cs="黑体"/>
        </w:rPr>
        <w:t>第二部分 202</w:t>
      </w:r>
      <w:r>
        <w:rPr>
          <w:rStyle w:val="18"/>
          <w:rFonts w:hint="eastAsia" w:ascii="黑体" w:hAnsi="黑体" w:eastAsia="黑体" w:cs="黑体"/>
          <w:lang w:val="en-US" w:eastAsia="zh-CN"/>
        </w:rPr>
        <w:t>1</w:t>
      </w:r>
      <w:r>
        <w:rPr>
          <w:rStyle w:val="18"/>
          <w:rFonts w:hint="eastAsia" w:ascii="黑体" w:hAnsi="黑体" w:eastAsia="黑体" w:cs="黑体"/>
        </w:rPr>
        <w:t>年度部门决算情况说明</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_Toc15396602 \h </w:instrText>
      </w:r>
      <w:r>
        <w:rPr>
          <w:rFonts w:hint="eastAsia" w:ascii="黑体" w:hAnsi="黑体" w:eastAsia="黑体" w:cs="黑体"/>
        </w:rPr>
        <w:fldChar w:fldCharType="separate"/>
      </w:r>
      <w:r>
        <w:rPr>
          <w:rFonts w:hint="eastAsia" w:ascii="黑体" w:hAnsi="黑体" w:eastAsia="黑体" w:cs="黑体"/>
        </w:rPr>
        <w:t>6</w:t>
      </w:r>
      <w:r>
        <w:rPr>
          <w:rFonts w:hint="eastAsia" w:ascii="黑体" w:hAnsi="黑体" w:eastAsia="黑体" w:cs="黑体"/>
        </w:rPr>
        <w:fldChar w:fldCharType="end"/>
      </w:r>
      <w:r>
        <w:rPr>
          <w:rFonts w:hint="eastAsia" w:ascii="黑体" w:hAnsi="黑体" w:eastAsia="黑体" w:cs="黑体"/>
        </w:rPr>
        <w:fldChar w:fldCharType="end"/>
      </w:r>
    </w:p>
    <w:p>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黑体" w:hAnsi="黑体" w:eastAsia="黑体" w:cs="黑体"/>
          <w:b/>
          <w:sz w:val="28"/>
          <w:szCs w:val="28"/>
        </w:rPr>
        <w:t>一、收入支出决算总体情况说明</w:t>
      </w:r>
      <w:r>
        <w:rPr>
          <w:rFonts w:hint="eastAsia" w:ascii="黑体" w:hAnsi="黑体" w:eastAsia="黑体" w:cs="黑体"/>
          <w:b/>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黑体" w:hAnsi="黑体" w:eastAsia="黑体" w:cs="黑体"/>
          <w:sz w:val="28"/>
          <w:szCs w:val="28"/>
        </w:rPr>
      </w:pPr>
      <w:r>
        <w:fldChar w:fldCharType="begin"/>
      </w:r>
      <w:r>
        <w:instrText xml:space="preserve"> HYPERLINK \l "_Toc15396604" </w:instrText>
      </w:r>
      <w:r>
        <w:fldChar w:fldCharType="separate"/>
      </w:r>
      <w:r>
        <w:rPr>
          <w:rStyle w:val="18"/>
          <w:rFonts w:hint="eastAsia" w:ascii="黑体" w:hAnsi="黑体" w:eastAsia="黑体" w:cs="黑体"/>
          <w:bCs/>
          <w:sz w:val="28"/>
          <w:szCs w:val="28"/>
        </w:rPr>
        <w:t>二、</w:t>
      </w:r>
      <w:r>
        <w:rPr>
          <w:rStyle w:val="18"/>
          <w:rFonts w:hint="eastAsia" w:ascii="黑体" w:hAnsi="黑体" w:eastAsia="黑体" w:cs="黑体"/>
          <w:sz w:val="28"/>
          <w:szCs w:val="28"/>
        </w:rPr>
        <w:t>收</w:t>
      </w:r>
      <w:r>
        <w:rPr>
          <w:rStyle w:val="18"/>
          <w:rFonts w:hint="eastAsia" w:ascii="黑体" w:hAnsi="黑体" w:eastAsia="黑体" w:cs="黑体"/>
          <w:bCs/>
          <w:sz w:val="28"/>
          <w:szCs w:val="28"/>
        </w:rPr>
        <w:t>入决算情况说明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_Toc15396604 \h </w:instrText>
      </w:r>
      <w:r>
        <w:rPr>
          <w:rFonts w:hint="eastAsia" w:ascii="黑体" w:hAnsi="黑体" w:eastAsia="黑体" w:cs="黑体"/>
          <w:sz w:val="28"/>
          <w:szCs w:val="28"/>
        </w:rPr>
        <w:fldChar w:fldCharType="separate"/>
      </w:r>
      <w:r>
        <w:rPr>
          <w:rFonts w:hint="eastAsia" w:ascii="黑体" w:hAnsi="黑体" w:eastAsia="黑体" w:cs="黑体"/>
          <w:sz w:val="28"/>
          <w:szCs w:val="28"/>
        </w:rPr>
        <w:t>7</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fldChar w:fldCharType="begin"/>
      </w:r>
      <w:r>
        <w:instrText xml:space="preserve"> HYPERLINK \l "_Toc15396605" </w:instrText>
      </w:r>
      <w:r>
        <w:fldChar w:fldCharType="separate"/>
      </w:r>
      <w:r>
        <w:rPr>
          <w:rStyle w:val="18"/>
          <w:rFonts w:hint="eastAsia" w:ascii="黑体" w:hAnsi="黑体" w:eastAsia="黑体" w:cs="黑体"/>
          <w:bCs/>
          <w:sz w:val="28"/>
          <w:szCs w:val="28"/>
        </w:rPr>
        <w:t>三、</w:t>
      </w:r>
      <w:r>
        <w:rPr>
          <w:rStyle w:val="18"/>
          <w:rFonts w:hint="eastAsia" w:ascii="黑体" w:hAnsi="黑体" w:eastAsia="黑体" w:cs="黑体"/>
          <w:sz w:val="28"/>
          <w:szCs w:val="28"/>
        </w:rPr>
        <w:t>支</w:t>
      </w:r>
      <w:r>
        <w:rPr>
          <w:rStyle w:val="18"/>
          <w:rFonts w:hint="eastAsia" w:ascii="黑体" w:hAnsi="黑体" w:eastAsia="黑体" w:cs="黑体"/>
          <w:bCs/>
          <w:sz w:val="28"/>
          <w:szCs w:val="28"/>
        </w:rPr>
        <w:t>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_Toc15396605 \h </w:instrText>
      </w:r>
      <w:r>
        <w:rPr>
          <w:rFonts w:hint="eastAsia" w:ascii="黑体" w:hAnsi="黑体" w:eastAsia="黑体" w:cs="黑体"/>
          <w:sz w:val="28"/>
          <w:szCs w:val="28"/>
        </w:rPr>
        <w:fldChar w:fldCharType="separate"/>
      </w:r>
      <w:r>
        <w:rPr>
          <w:rFonts w:hint="eastAsia" w:ascii="黑体" w:hAnsi="黑体" w:eastAsia="黑体" w:cs="黑体"/>
          <w:sz w:val="28"/>
          <w:szCs w:val="28"/>
        </w:rPr>
        <w:t>7</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fldChar w:fldCharType="begin"/>
      </w:r>
      <w:r>
        <w:instrText xml:space="preserve"> HYPERLINK \l "_Toc15396606" </w:instrText>
      </w:r>
      <w:r>
        <w:fldChar w:fldCharType="separate"/>
      </w:r>
      <w:r>
        <w:rPr>
          <w:rStyle w:val="18"/>
          <w:rFonts w:hint="eastAsia" w:ascii="黑体" w:hAnsi="黑体" w:eastAsia="黑体" w:cs="黑体"/>
          <w:sz w:val="28"/>
          <w:szCs w:val="28"/>
        </w:rPr>
        <w:t>四、财</w:t>
      </w:r>
      <w:r>
        <w:rPr>
          <w:rStyle w:val="18"/>
          <w:rFonts w:hint="eastAsia" w:ascii="黑体" w:hAnsi="黑体" w:eastAsia="黑体" w:cs="黑体"/>
          <w:bCs/>
          <w:sz w:val="28"/>
          <w:szCs w:val="28"/>
        </w:rPr>
        <w:t>政拨款收入支出决算总体情况说明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_Toc15396606 \h </w:instrText>
      </w:r>
      <w:r>
        <w:rPr>
          <w:rFonts w:hint="eastAsia" w:ascii="黑体" w:hAnsi="黑体" w:eastAsia="黑体" w:cs="黑体"/>
          <w:sz w:val="28"/>
          <w:szCs w:val="28"/>
        </w:rPr>
        <w:fldChar w:fldCharType="separate"/>
      </w:r>
      <w:r>
        <w:rPr>
          <w:rFonts w:hint="eastAsia" w:ascii="黑体" w:hAnsi="黑体" w:eastAsia="黑体" w:cs="黑体"/>
          <w:sz w:val="28"/>
          <w:szCs w:val="28"/>
        </w:rPr>
        <w:t>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仿宋" w:hAnsi="仿宋" w:eastAsia="仿宋"/>
          <w:sz w:val="28"/>
          <w:szCs w:val="28"/>
        </w:rPr>
      </w:pPr>
      <w:r>
        <w:fldChar w:fldCharType="begin"/>
      </w:r>
      <w:r>
        <w:instrText xml:space="preserve"> HYPERLINK \l "_Toc15396607" </w:instrText>
      </w:r>
      <w:r>
        <w:fldChar w:fldCharType="separate"/>
      </w:r>
      <w:r>
        <w:rPr>
          <w:rStyle w:val="18"/>
          <w:rFonts w:hint="eastAsia" w:ascii="黑体" w:hAnsi="黑体" w:eastAsia="黑体" w:cs="黑体"/>
          <w:sz w:val="28"/>
          <w:szCs w:val="28"/>
        </w:rPr>
        <w:t>五、一</w:t>
      </w:r>
      <w:r>
        <w:rPr>
          <w:rStyle w:val="18"/>
          <w:rFonts w:hint="eastAsia" w:ascii="黑体" w:hAnsi="黑体" w:eastAsia="黑体" w:cs="黑体"/>
          <w:bCs/>
          <w:sz w:val="28"/>
          <w:szCs w:val="28"/>
        </w:rPr>
        <w:t>般公共预算财政拨款支出决算情况说明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_Toc15396607 \h </w:instrText>
      </w:r>
      <w:r>
        <w:rPr>
          <w:rFonts w:hint="eastAsia" w:ascii="黑体" w:hAnsi="黑体" w:eastAsia="黑体" w:cs="黑体"/>
          <w:sz w:val="28"/>
          <w:szCs w:val="28"/>
        </w:rPr>
        <w:fldChar w:fldCharType="separate"/>
      </w:r>
      <w:r>
        <w:rPr>
          <w:rFonts w:hint="eastAsia" w:ascii="黑体" w:hAnsi="黑体" w:eastAsia="黑体" w:cs="黑体"/>
          <w:sz w:val="28"/>
          <w:szCs w:val="28"/>
        </w:rPr>
        <w:t>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8"/>
        <w:rPr>
          <w:rFonts w:ascii="仿宋" w:hAnsi="仿宋" w:eastAsia="仿宋" w:cs="仿宋"/>
          <w:szCs w:val="22"/>
        </w:rPr>
      </w:pPr>
      <w:r>
        <w:rPr>
          <w:rFonts w:hint="eastAsia" w:ascii="仿宋" w:hAnsi="仿宋" w:eastAsia="仿宋" w:cs="仿宋"/>
          <w:b/>
          <w:color w:val="000000"/>
        </w:rPr>
        <w:t>（一）一般公共预算财政拨款支出决算总体情况</w:t>
      </w:r>
      <w:r>
        <w:rPr>
          <w:rFonts w:hint="eastAsia" w:ascii="仿宋" w:hAnsi="仿宋" w:eastAsia="仿宋" w:cs="仿宋"/>
        </w:rPr>
        <w:tab/>
      </w:r>
      <w:r>
        <w:rPr>
          <w:rFonts w:hint="eastAsia" w:ascii="仿宋" w:hAnsi="仿宋" w:eastAsia="仿宋" w:cs="仿宋"/>
        </w:rPr>
        <w:t>8</w:t>
      </w:r>
    </w:p>
    <w:p>
      <w:pPr>
        <w:pStyle w:val="8"/>
        <w:rPr>
          <w:rFonts w:ascii="仿宋" w:hAnsi="仿宋" w:eastAsia="仿宋" w:cs="仿宋"/>
          <w:szCs w:val="22"/>
        </w:rPr>
      </w:pPr>
      <w:r>
        <w:rPr>
          <w:rFonts w:hint="eastAsia" w:ascii="仿宋" w:hAnsi="仿宋" w:eastAsia="仿宋" w:cs="仿宋"/>
          <w:b/>
          <w:color w:val="000000"/>
        </w:rPr>
        <w:t>（二）一般公共预算财政拨款支出决算结构情况</w:t>
      </w:r>
      <w:r>
        <w:rPr>
          <w:rFonts w:hint="eastAsia" w:ascii="仿宋" w:hAnsi="仿宋" w:eastAsia="仿宋" w:cs="仿宋"/>
        </w:rPr>
        <w:tab/>
      </w:r>
      <w:r>
        <w:rPr>
          <w:rFonts w:hint="eastAsia" w:ascii="仿宋" w:hAnsi="仿宋" w:eastAsia="仿宋" w:cs="仿宋"/>
        </w:rPr>
        <w:t>9</w:t>
      </w:r>
    </w:p>
    <w:p>
      <w:pPr>
        <w:pStyle w:val="8"/>
        <w:rPr>
          <w:rFonts w:ascii="仿宋" w:hAnsi="仿宋" w:eastAsia="仿宋" w:cs="仿宋"/>
          <w:szCs w:val="22"/>
        </w:rPr>
      </w:pPr>
      <w:r>
        <w:rPr>
          <w:rFonts w:hint="eastAsia" w:ascii="仿宋" w:hAnsi="仿宋" w:eastAsia="仿宋" w:cs="仿宋"/>
          <w:b/>
          <w:color w:val="000000"/>
        </w:rPr>
        <w:t>（三）一般公共预算财政拨款支出决算具体情况</w:t>
      </w:r>
      <w:r>
        <w:rPr>
          <w:rFonts w:hint="eastAsia" w:ascii="仿宋" w:hAnsi="仿宋" w:eastAsia="仿宋" w:cs="仿宋"/>
        </w:rPr>
        <w:tab/>
      </w:r>
      <w:r>
        <w:rPr>
          <w:rFonts w:hint="eastAsia" w:ascii="仿宋" w:hAnsi="仿宋" w:eastAsia="仿宋" w:cs="仿宋"/>
        </w:rPr>
        <w:t>9</w:t>
      </w:r>
    </w:p>
    <w:p/>
    <w:p>
      <w:pPr>
        <w:pStyle w:val="13"/>
        <w:rPr>
          <w:rFonts w:ascii="黑体" w:hAnsi="黑体" w:eastAsia="黑体" w:cs="黑体"/>
          <w:sz w:val="28"/>
          <w:szCs w:val="28"/>
        </w:rPr>
      </w:pPr>
      <w:r>
        <w:fldChar w:fldCharType="begin"/>
      </w:r>
      <w:r>
        <w:instrText xml:space="preserve"> HYPERLINK \l "_Toc15396608" </w:instrText>
      </w:r>
      <w:r>
        <w:fldChar w:fldCharType="separate"/>
      </w:r>
      <w:r>
        <w:rPr>
          <w:rStyle w:val="18"/>
          <w:rFonts w:hint="eastAsia" w:ascii="黑体" w:hAnsi="黑体" w:eastAsia="黑体" w:cs="黑体"/>
          <w:sz w:val="28"/>
          <w:szCs w:val="28"/>
        </w:rPr>
        <w:t>六、一</w:t>
      </w:r>
      <w:r>
        <w:rPr>
          <w:rStyle w:val="18"/>
          <w:rFonts w:hint="eastAsia" w:ascii="黑体" w:hAnsi="黑体" w:eastAsia="黑体" w:cs="黑体"/>
          <w:bCs/>
          <w:sz w:val="28"/>
          <w:szCs w:val="28"/>
        </w:rPr>
        <w:t>般公共预算财政拨款基本支出决算情况说明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_Toc15396608 \h </w:instrText>
      </w:r>
      <w:r>
        <w:rPr>
          <w:rFonts w:hint="eastAsia" w:ascii="黑体" w:hAnsi="黑体" w:eastAsia="黑体" w:cs="黑体"/>
          <w:sz w:val="28"/>
          <w:szCs w:val="28"/>
        </w:rPr>
        <w:fldChar w:fldCharType="separate"/>
      </w:r>
      <w:r>
        <w:rPr>
          <w:rFonts w:hint="eastAsia" w:ascii="黑体" w:hAnsi="黑体" w:eastAsia="黑体" w:cs="黑体"/>
          <w:sz w:val="28"/>
          <w:szCs w:val="28"/>
        </w:rPr>
        <w:t>11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fldChar w:fldCharType="begin"/>
      </w:r>
      <w:r>
        <w:instrText xml:space="preserve"> HYPERLINK \l "_Toc15396609" </w:instrText>
      </w:r>
      <w:r>
        <w:fldChar w:fldCharType="separate"/>
      </w:r>
      <w:r>
        <w:rPr>
          <w:rStyle w:val="18"/>
          <w:rFonts w:hint="eastAsia" w:ascii="黑体" w:hAnsi="黑体" w:eastAsia="黑体" w:cs="黑体"/>
          <w:sz w:val="28"/>
          <w:szCs w:val="28"/>
        </w:rPr>
        <w:t>七、“</w:t>
      </w:r>
      <w:r>
        <w:rPr>
          <w:rStyle w:val="18"/>
          <w:rFonts w:hint="eastAsia" w:ascii="黑体" w:hAnsi="黑体" w:eastAsia="黑体" w:cs="黑体"/>
          <w:bCs/>
          <w:sz w:val="28"/>
          <w:szCs w:val="28"/>
        </w:rPr>
        <w:t>三公”经费财政拨款支出决算情况说明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_Toc15396609 \h </w:instrText>
      </w:r>
      <w:r>
        <w:rPr>
          <w:rFonts w:hint="eastAsia" w:ascii="黑体" w:hAnsi="黑体" w:eastAsia="黑体" w:cs="黑体"/>
          <w:sz w:val="28"/>
          <w:szCs w:val="28"/>
        </w:rPr>
        <w:fldChar w:fldCharType="separate"/>
      </w:r>
      <w:r>
        <w:rPr>
          <w:rFonts w:hint="eastAsia" w:ascii="黑体" w:hAnsi="黑体" w:eastAsia="黑体" w:cs="黑体"/>
          <w:sz w:val="28"/>
          <w:szCs w:val="28"/>
        </w:rPr>
        <w:t>11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8"/>
        <w:rPr>
          <w:rFonts w:ascii="仿宋" w:hAnsi="仿宋" w:eastAsia="仿宋" w:cs="仿宋"/>
          <w:szCs w:val="22"/>
        </w:rPr>
      </w:pPr>
      <w:r>
        <w:rPr>
          <w:rFonts w:hint="eastAsia" w:ascii="黑体" w:hAnsi="黑体" w:eastAsia="黑体" w:cs="黑体"/>
          <w:b/>
          <w:color w:val="000000"/>
        </w:rPr>
        <w:t>（</w:t>
      </w:r>
      <w:r>
        <w:rPr>
          <w:rFonts w:hint="eastAsia" w:ascii="仿宋" w:hAnsi="仿宋" w:eastAsia="仿宋" w:cs="仿宋"/>
          <w:b/>
          <w:color w:val="000000"/>
        </w:rPr>
        <w:t>一）“三公”经费财政拨款支出决算总体情况说明</w:t>
      </w:r>
      <w:r>
        <w:rPr>
          <w:rFonts w:hint="eastAsia" w:ascii="仿宋" w:hAnsi="仿宋" w:eastAsia="仿宋" w:cs="仿宋"/>
        </w:rPr>
        <w:tab/>
      </w:r>
      <w:r>
        <w:rPr>
          <w:rFonts w:hint="eastAsia" w:ascii="仿宋" w:hAnsi="仿宋" w:eastAsia="仿宋" w:cs="仿宋"/>
        </w:rPr>
        <w:t>11</w:t>
      </w:r>
    </w:p>
    <w:p>
      <w:pPr>
        <w:pStyle w:val="8"/>
        <w:rPr>
          <w:rFonts w:ascii="黑体" w:hAnsi="黑体" w:eastAsia="黑体" w:cs="黑体"/>
          <w:szCs w:val="22"/>
        </w:rPr>
      </w:pPr>
      <w:r>
        <w:rPr>
          <w:rFonts w:hint="eastAsia" w:ascii="仿宋" w:hAnsi="仿宋" w:eastAsia="仿宋" w:cs="仿宋"/>
          <w:b/>
          <w:color w:val="000000"/>
        </w:rPr>
        <w:t>（二）“三公”经费财政拨款支出决算具体情况说明</w:t>
      </w:r>
      <w:r>
        <w:rPr>
          <w:rFonts w:hint="eastAsia" w:ascii="仿宋" w:hAnsi="仿宋" w:eastAsia="仿宋" w:cs="仿宋"/>
        </w:rPr>
        <w:tab/>
      </w:r>
      <w:r>
        <w:rPr>
          <w:rFonts w:hint="eastAsia" w:ascii="黑体" w:hAnsi="黑体" w:eastAsia="黑体" w:cs="黑体"/>
        </w:rPr>
        <w:t>11</w:t>
      </w:r>
    </w:p>
    <w:p>
      <w:pPr>
        <w:rPr>
          <w:rFonts w:ascii="黑体" w:hAnsi="黑体" w:eastAsia="黑体" w:cs="黑体"/>
        </w:rPr>
      </w:pPr>
    </w:p>
    <w:p>
      <w:pPr>
        <w:pStyle w:val="13"/>
        <w:rPr>
          <w:rFonts w:ascii="黑体" w:hAnsi="黑体" w:eastAsia="黑体" w:cs="黑体"/>
          <w:sz w:val="28"/>
          <w:szCs w:val="28"/>
        </w:rPr>
      </w:pPr>
      <w:r>
        <w:fldChar w:fldCharType="begin"/>
      </w:r>
      <w:r>
        <w:instrText xml:space="preserve"> HYPERLINK \l "_Toc15396610" </w:instrText>
      </w:r>
      <w:r>
        <w:fldChar w:fldCharType="separate"/>
      </w:r>
      <w:r>
        <w:rPr>
          <w:rStyle w:val="18"/>
          <w:rFonts w:hint="eastAsia" w:ascii="黑体" w:hAnsi="黑体" w:eastAsia="黑体" w:cs="黑体"/>
          <w:sz w:val="28"/>
          <w:szCs w:val="28"/>
        </w:rPr>
        <w:t>八、</w:t>
      </w:r>
      <w:r>
        <w:rPr>
          <w:rStyle w:val="18"/>
          <w:rFonts w:hint="eastAsia" w:ascii="黑体" w:hAnsi="黑体" w:eastAsia="黑体" w:cs="黑体"/>
          <w:bCs/>
          <w:sz w:val="28"/>
          <w:szCs w:val="28"/>
        </w:rPr>
        <w:t>政府性基金预算支出决算情况说明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_Toc15396610 \h </w:instrText>
      </w:r>
      <w:r>
        <w:rPr>
          <w:rFonts w:hint="eastAsia" w:ascii="黑体" w:hAnsi="黑体" w:eastAsia="黑体" w:cs="黑体"/>
          <w:sz w:val="28"/>
          <w:szCs w:val="28"/>
        </w:rPr>
        <w:fldChar w:fldCharType="separate"/>
      </w:r>
      <w:r>
        <w:rPr>
          <w:rFonts w:hint="eastAsia" w:ascii="黑体" w:hAnsi="黑体" w:eastAsia="黑体" w:cs="黑体"/>
          <w:sz w:val="28"/>
          <w:szCs w:val="28"/>
        </w:rPr>
        <w:t>13</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fldChar w:fldCharType="begin"/>
      </w:r>
      <w:r>
        <w:instrText xml:space="preserve"> HYPERLINK \l "_Toc15396611" </w:instrText>
      </w:r>
      <w:r>
        <w:fldChar w:fldCharType="separate"/>
      </w:r>
      <w:r>
        <w:rPr>
          <w:rStyle w:val="18"/>
          <w:rFonts w:hint="eastAsia" w:ascii="黑体" w:hAnsi="黑体" w:eastAsia="黑体" w:cs="黑体"/>
          <w:bCs/>
          <w:sz w:val="28"/>
          <w:szCs w:val="28"/>
        </w:rPr>
        <w:t>九、</w:t>
      </w:r>
      <w:r>
        <w:rPr>
          <w:rStyle w:val="18"/>
          <w:rFonts w:hint="eastAsia" w:ascii="黑体" w:hAnsi="黑体" w:eastAsia="黑体" w:cs="黑体"/>
          <w:sz w:val="28"/>
          <w:szCs w:val="28"/>
        </w:rPr>
        <w:t>国</w:t>
      </w:r>
      <w:r>
        <w:rPr>
          <w:rStyle w:val="18"/>
          <w:rFonts w:hint="eastAsia" w:ascii="黑体" w:hAnsi="黑体" w:eastAsia="黑体" w:cs="黑体"/>
          <w:bCs/>
          <w:sz w:val="28"/>
          <w:szCs w:val="28"/>
        </w:rPr>
        <w:t>有资本经营预算支出决算情况说明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_Toc15396611 \h </w:instrText>
      </w:r>
      <w:r>
        <w:rPr>
          <w:rFonts w:hint="eastAsia" w:ascii="黑体" w:hAnsi="黑体" w:eastAsia="黑体" w:cs="黑体"/>
          <w:sz w:val="28"/>
          <w:szCs w:val="28"/>
        </w:rPr>
        <w:fldChar w:fldCharType="separate"/>
      </w:r>
      <w:r>
        <w:rPr>
          <w:rFonts w:hint="eastAsia" w:ascii="黑体" w:hAnsi="黑体" w:eastAsia="黑体" w:cs="黑体"/>
          <w:sz w:val="28"/>
          <w:szCs w:val="28"/>
        </w:rPr>
        <w:t>13</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十、</w:t>
      </w:r>
      <w:r>
        <w:fldChar w:fldCharType="begin"/>
      </w:r>
      <w:r>
        <w:instrText xml:space="preserve"> HYPERLINK \l "_Toc15396612" </w:instrText>
      </w:r>
      <w:r>
        <w:fldChar w:fldCharType="separate"/>
      </w:r>
      <w:r>
        <w:rPr>
          <w:rStyle w:val="18"/>
          <w:rFonts w:hint="eastAsia" w:ascii="黑体" w:hAnsi="黑体" w:eastAsia="黑体" w:cs="黑体"/>
          <w:bCs/>
          <w:sz w:val="28"/>
          <w:szCs w:val="28"/>
        </w:rPr>
        <w:t>其他重要事项的情况说明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_Toc15396612 \h </w:instrText>
      </w:r>
      <w:r>
        <w:rPr>
          <w:rFonts w:hint="eastAsia" w:ascii="黑体" w:hAnsi="黑体" w:eastAsia="黑体" w:cs="黑体"/>
          <w:sz w:val="28"/>
          <w:szCs w:val="28"/>
        </w:rPr>
        <w:fldChar w:fldCharType="separate"/>
      </w:r>
      <w:r>
        <w:rPr>
          <w:rFonts w:hint="eastAsia" w:ascii="黑体" w:hAnsi="黑体" w:eastAsia="黑体" w:cs="黑体"/>
          <w:sz w:val="28"/>
          <w:szCs w:val="28"/>
        </w:rPr>
        <w:t>17</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rPr>
      </w:pPr>
      <w:r>
        <w:fldChar w:fldCharType="begin"/>
      </w:r>
      <w:r>
        <w:instrText xml:space="preserve"> HYPERLINK \l "_Toc15396613" </w:instrText>
      </w:r>
      <w:r>
        <w:fldChar w:fldCharType="separate"/>
      </w:r>
      <w:r>
        <w:rPr>
          <w:rStyle w:val="18"/>
          <w:rFonts w:hint="eastAsia" w:ascii="黑体" w:hAnsi="黑体" w:eastAsia="黑体" w:cs="黑体"/>
          <w:bCs/>
          <w:kern w:val="44"/>
        </w:rPr>
        <w:t>第三部分</w:t>
      </w:r>
      <w:r>
        <w:rPr>
          <w:rStyle w:val="18"/>
          <w:rFonts w:hint="eastAsia" w:ascii="黑体" w:hAnsi="黑体" w:eastAsia="黑体" w:cs="黑体"/>
        </w:rPr>
        <w:t xml:space="preserve"> 名</w:t>
      </w:r>
      <w:r>
        <w:rPr>
          <w:rStyle w:val="18"/>
          <w:rFonts w:hint="eastAsia" w:ascii="黑体" w:hAnsi="黑体" w:eastAsia="黑体" w:cs="黑体"/>
          <w:bCs/>
          <w:kern w:val="44"/>
        </w:rPr>
        <w:t>词解释</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_Toc15396613 \h </w:instrText>
      </w:r>
      <w:r>
        <w:rPr>
          <w:rFonts w:hint="eastAsia" w:ascii="黑体" w:hAnsi="黑体" w:eastAsia="黑体" w:cs="黑体"/>
        </w:rPr>
        <w:fldChar w:fldCharType="separate"/>
      </w:r>
      <w:r>
        <w:rPr>
          <w:rFonts w:hint="eastAsia" w:ascii="黑体" w:hAnsi="黑体" w:eastAsia="黑体" w:cs="黑体"/>
        </w:rPr>
        <w:t>14</w:t>
      </w:r>
      <w:r>
        <w:rPr>
          <w:rFonts w:hint="eastAsia" w:ascii="黑体" w:hAnsi="黑体" w:eastAsia="黑体" w:cs="黑体"/>
        </w:rPr>
        <w:fldChar w:fldCharType="end"/>
      </w:r>
      <w:r>
        <w:rPr>
          <w:rFonts w:hint="eastAsia" w:ascii="黑体" w:hAnsi="黑体" w:eastAsia="黑体" w:cs="黑体"/>
        </w:rPr>
        <w:fldChar w:fldCharType="end"/>
      </w:r>
    </w:p>
    <w:p>
      <w:pPr>
        <w:pStyle w:val="12"/>
        <w:rPr>
          <w:rFonts w:ascii="黑体" w:hAnsi="黑体" w:eastAsia="黑体" w:cs="黑体"/>
        </w:rPr>
      </w:pPr>
      <w:r>
        <w:fldChar w:fldCharType="begin"/>
      </w:r>
      <w:r>
        <w:instrText xml:space="preserve"> HYPERLINK \l "_Toc15396614" </w:instrText>
      </w:r>
      <w:r>
        <w:fldChar w:fldCharType="separate"/>
      </w:r>
      <w:r>
        <w:rPr>
          <w:rStyle w:val="18"/>
          <w:rFonts w:hint="eastAsia" w:ascii="黑体" w:hAnsi="黑体" w:eastAsia="黑体" w:cs="黑体"/>
        </w:rPr>
        <w:t>第</w:t>
      </w:r>
      <w:r>
        <w:rPr>
          <w:rStyle w:val="18"/>
          <w:rFonts w:hint="eastAsia" w:ascii="黑体" w:hAnsi="黑体" w:eastAsia="黑体" w:cs="黑体"/>
          <w:bCs/>
          <w:kern w:val="44"/>
        </w:rPr>
        <w:t>四部分 附件</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_Toc15396614 \h </w:instrText>
      </w:r>
      <w:r>
        <w:rPr>
          <w:rFonts w:hint="eastAsia" w:ascii="黑体" w:hAnsi="黑体" w:eastAsia="黑体" w:cs="黑体"/>
        </w:rPr>
        <w:fldChar w:fldCharType="separate"/>
      </w:r>
      <w:r>
        <w:rPr>
          <w:rFonts w:hint="eastAsia" w:ascii="黑体" w:hAnsi="黑体" w:eastAsia="黑体" w:cs="黑体"/>
        </w:rPr>
        <w:t>22</w:t>
      </w:r>
      <w:r>
        <w:rPr>
          <w:rFonts w:hint="eastAsia" w:ascii="黑体" w:hAnsi="黑体" w:eastAsia="黑体" w:cs="黑体"/>
        </w:rPr>
        <w:fldChar w:fldCharType="end"/>
      </w:r>
      <w:r>
        <w:rPr>
          <w:rFonts w:hint="eastAsia" w:ascii="黑体" w:hAnsi="黑体" w:eastAsia="黑体" w:cs="黑体"/>
        </w:rPr>
        <w:fldChar w:fldCharType="end"/>
      </w:r>
    </w:p>
    <w:p>
      <w:pPr>
        <w:pStyle w:val="13"/>
        <w:rPr>
          <w:rFonts w:ascii="黑体" w:hAnsi="黑体" w:eastAsia="黑体" w:cs="黑体"/>
          <w:sz w:val="28"/>
          <w:szCs w:val="28"/>
        </w:rPr>
      </w:pPr>
      <w:r>
        <w:fldChar w:fldCharType="begin"/>
      </w:r>
      <w:r>
        <w:instrText xml:space="preserve"> HYPERLINK \l "_Toc15396615" </w:instrText>
      </w:r>
      <w:r>
        <w:fldChar w:fldCharType="separate"/>
      </w:r>
      <w:r>
        <w:rPr>
          <w:rStyle w:val="18"/>
          <w:rFonts w:hint="eastAsia" w:ascii="黑体" w:hAnsi="黑体" w:eastAsia="黑体" w:cs="黑体"/>
          <w:kern w:val="44"/>
          <w:sz w:val="28"/>
          <w:szCs w:val="28"/>
        </w:rPr>
        <w:t>附件1</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_Toc15396615 \h </w:instrText>
      </w:r>
      <w:r>
        <w:rPr>
          <w:rFonts w:hint="eastAsia" w:ascii="黑体" w:hAnsi="黑体" w:eastAsia="黑体" w:cs="黑体"/>
          <w:sz w:val="28"/>
          <w:szCs w:val="28"/>
        </w:rPr>
        <w:fldChar w:fldCharType="separate"/>
      </w:r>
      <w:r>
        <w:rPr>
          <w:rFonts w:hint="eastAsia" w:ascii="黑体" w:hAnsi="黑体" w:eastAsia="黑体" w:cs="黑体"/>
          <w:sz w:val="28"/>
          <w:szCs w:val="28"/>
        </w:rPr>
        <w:t>22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fldChar w:fldCharType="begin"/>
      </w:r>
      <w:r>
        <w:instrText xml:space="preserve"> HYPERLINK \l "_Toc15396617" </w:instrText>
      </w:r>
      <w:r>
        <w:fldChar w:fldCharType="separate"/>
      </w:r>
      <w:r>
        <w:rPr>
          <w:rStyle w:val="18"/>
          <w:rFonts w:hint="eastAsia" w:ascii="黑体" w:hAnsi="黑体" w:eastAsia="黑体" w:cs="黑体"/>
          <w:kern w:val="44"/>
          <w:sz w:val="28"/>
          <w:szCs w:val="28"/>
        </w:rPr>
        <w:t>附件2</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_Toc15396617 \h </w:instrText>
      </w:r>
      <w:r>
        <w:rPr>
          <w:rFonts w:hint="eastAsia" w:ascii="黑体" w:hAnsi="黑体" w:eastAsia="黑体" w:cs="黑体"/>
          <w:sz w:val="28"/>
          <w:szCs w:val="28"/>
        </w:rPr>
        <w:fldChar w:fldCharType="separate"/>
      </w:r>
      <w:r>
        <w:rPr>
          <w:rFonts w:hint="eastAsia" w:ascii="黑体" w:hAnsi="黑体" w:eastAsia="黑体" w:cs="黑体"/>
          <w:sz w:val="28"/>
          <w:szCs w:val="28"/>
        </w:rPr>
        <w:t>22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2"/>
        <w:rPr>
          <w:rFonts w:ascii="黑体" w:hAnsi="黑体" w:eastAsia="黑体" w:cs="黑体"/>
        </w:rPr>
      </w:pPr>
      <w:r>
        <w:fldChar w:fldCharType="begin"/>
      </w:r>
      <w:r>
        <w:instrText xml:space="preserve"> HYPERLINK \l "_Toc15396618" </w:instrText>
      </w:r>
      <w:r>
        <w:fldChar w:fldCharType="separate"/>
      </w:r>
      <w:r>
        <w:rPr>
          <w:rStyle w:val="18"/>
          <w:rFonts w:hint="eastAsia" w:ascii="黑体" w:hAnsi="黑体" w:eastAsia="黑体" w:cs="黑体"/>
        </w:rPr>
        <w:t>第</w:t>
      </w:r>
      <w:r>
        <w:rPr>
          <w:rStyle w:val="18"/>
          <w:rFonts w:hint="eastAsia" w:ascii="黑体" w:hAnsi="黑体" w:eastAsia="黑体" w:cs="黑体"/>
          <w:bCs/>
          <w:kern w:val="44"/>
        </w:rPr>
        <w:t>五部分 附表</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_Toc15396618 \h </w:instrText>
      </w:r>
      <w:r>
        <w:rPr>
          <w:rFonts w:hint="eastAsia" w:ascii="黑体" w:hAnsi="黑体" w:eastAsia="黑体" w:cs="黑体"/>
        </w:rPr>
        <w:fldChar w:fldCharType="separate"/>
      </w:r>
      <w:r>
        <w:rPr>
          <w:rFonts w:hint="eastAsia" w:ascii="黑体" w:hAnsi="黑体" w:eastAsia="黑体" w:cs="黑体"/>
        </w:rPr>
        <w:t>29</w:t>
      </w:r>
      <w:r>
        <w:rPr>
          <w:rFonts w:hint="eastAsia" w:ascii="黑体" w:hAnsi="黑体" w:eastAsia="黑体" w:cs="黑体"/>
        </w:rPr>
        <w:fldChar w:fldCharType="end"/>
      </w:r>
      <w:r>
        <w:rPr>
          <w:rFonts w:hint="eastAsia" w:ascii="黑体" w:hAnsi="黑体" w:eastAsia="黑体" w:cs="黑体"/>
        </w:rPr>
        <w:fldChar w:fldCharType="end"/>
      </w:r>
    </w:p>
    <w:p>
      <w:pPr>
        <w:pStyle w:val="13"/>
        <w:rPr>
          <w:rFonts w:ascii="黑体" w:hAnsi="黑体" w:eastAsia="黑体" w:cs="黑体"/>
          <w:sz w:val="28"/>
          <w:szCs w:val="28"/>
        </w:rPr>
      </w:pPr>
      <w:r>
        <w:rPr>
          <w:rFonts w:hint="eastAsia" w:ascii="黑体" w:hAnsi="黑体" w:eastAsia="黑体" w:cs="黑体"/>
          <w:sz w:val="28"/>
          <w:szCs w:val="28"/>
        </w:rPr>
        <w:t>一、</w:t>
      </w:r>
      <w:r>
        <w:fldChar w:fldCharType="begin"/>
      </w:r>
      <w:r>
        <w:instrText xml:space="preserve"> HYPERLINK \l "_Toc15396619" </w:instrText>
      </w:r>
      <w:r>
        <w:fldChar w:fldCharType="separate"/>
      </w:r>
      <w:r>
        <w:rPr>
          <w:rStyle w:val="18"/>
          <w:rFonts w:hint="eastAsia" w:ascii="黑体" w:hAnsi="黑体" w:eastAsia="黑体" w:cs="黑体"/>
          <w:sz w:val="28"/>
          <w:szCs w:val="28"/>
        </w:rPr>
        <w:t>收入支出决算总表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_Toc15396619 \h </w:instrText>
      </w:r>
      <w:r>
        <w:rPr>
          <w:rFonts w:hint="eastAsia" w:ascii="黑体" w:hAnsi="黑体" w:eastAsia="黑体" w:cs="黑体"/>
          <w:sz w:val="28"/>
          <w:szCs w:val="28"/>
        </w:rPr>
        <w:fldChar w:fldCharType="separate"/>
      </w:r>
      <w:r>
        <w:rPr>
          <w:rFonts w:hint="eastAsia" w:ascii="黑体" w:hAnsi="黑体" w:eastAsia="黑体" w:cs="黑体"/>
          <w:sz w:val="28"/>
          <w:szCs w:val="28"/>
        </w:rPr>
        <w:t>34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二、</w:t>
      </w:r>
      <w:r>
        <w:fldChar w:fldCharType="begin"/>
      </w:r>
      <w:r>
        <w:instrText xml:space="preserve"> HYPERLINK \l "_Toc15396620" </w:instrText>
      </w:r>
      <w:r>
        <w:fldChar w:fldCharType="separate"/>
      </w:r>
      <w:r>
        <w:rPr>
          <w:rStyle w:val="18"/>
          <w:rFonts w:hint="eastAsia" w:ascii="黑体" w:hAnsi="黑体" w:eastAsia="黑体" w:cs="黑体"/>
          <w:sz w:val="28"/>
          <w:szCs w:val="28"/>
        </w:rPr>
        <w:t>收入总表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_Toc15396620 \h </w:instrText>
      </w:r>
      <w:r>
        <w:rPr>
          <w:rFonts w:hint="eastAsia" w:ascii="黑体" w:hAnsi="黑体" w:eastAsia="黑体" w:cs="黑体"/>
          <w:sz w:val="28"/>
          <w:szCs w:val="28"/>
        </w:rPr>
        <w:fldChar w:fldCharType="separate"/>
      </w:r>
      <w:r>
        <w:rPr>
          <w:rFonts w:hint="eastAsia" w:ascii="黑体" w:hAnsi="黑体" w:eastAsia="黑体" w:cs="黑体"/>
          <w:sz w:val="28"/>
          <w:szCs w:val="28"/>
        </w:rPr>
        <w:t>34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三、</w:t>
      </w:r>
      <w:r>
        <w:fldChar w:fldCharType="begin"/>
      </w:r>
      <w:r>
        <w:instrText xml:space="preserve"> HYPERLINK \l "_Toc15396621" </w:instrText>
      </w:r>
      <w:r>
        <w:fldChar w:fldCharType="separate"/>
      </w:r>
      <w:r>
        <w:rPr>
          <w:rStyle w:val="18"/>
          <w:rFonts w:hint="eastAsia" w:ascii="黑体" w:hAnsi="黑体" w:eastAsia="黑体" w:cs="黑体"/>
          <w:sz w:val="28"/>
          <w:szCs w:val="28"/>
        </w:rPr>
        <w:t>支出总表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_Toc15396621 \h </w:instrText>
      </w:r>
      <w:r>
        <w:rPr>
          <w:rFonts w:hint="eastAsia" w:ascii="黑体" w:hAnsi="黑体" w:eastAsia="黑体" w:cs="黑体"/>
          <w:sz w:val="28"/>
          <w:szCs w:val="28"/>
        </w:rPr>
        <w:fldChar w:fldCharType="separate"/>
      </w:r>
      <w:r>
        <w:rPr>
          <w:rFonts w:hint="eastAsia" w:ascii="黑体" w:hAnsi="黑体" w:eastAsia="黑体" w:cs="黑体"/>
          <w:sz w:val="28"/>
          <w:szCs w:val="28"/>
        </w:rPr>
        <w:t>34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四、</w:t>
      </w:r>
      <w:r>
        <w:fldChar w:fldCharType="begin"/>
      </w:r>
      <w:r>
        <w:instrText xml:space="preserve"> HYPERLINK \l "_Toc15396622" </w:instrText>
      </w:r>
      <w:r>
        <w:fldChar w:fldCharType="separate"/>
      </w:r>
      <w:r>
        <w:rPr>
          <w:rStyle w:val="18"/>
          <w:rFonts w:hint="eastAsia" w:ascii="黑体" w:hAnsi="黑体" w:eastAsia="黑体" w:cs="黑体"/>
          <w:sz w:val="28"/>
          <w:szCs w:val="28"/>
        </w:rPr>
        <w:t>财政拨款收入支出决算总表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_Toc15396622 \h </w:instrText>
      </w:r>
      <w:r>
        <w:rPr>
          <w:rFonts w:hint="eastAsia" w:ascii="黑体" w:hAnsi="黑体" w:eastAsia="黑体" w:cs="黑体"/>
          <w:sz w:val="28"/>
          <w:szCs w:val="28"/>
        </w:rPr>
        <w:fldChar w:fldCharType="separate"/>
      </w:r>
      <w:r>
        <w:rPr>
          <w:rFonts w:hint="eastAsia" w:ascii="黑体" w:hAnsi="黑体" w:eastAsia="黑体" w:cs="黑体"/>
          <w:sz w:val="28"/>
          <w:szCs w:val="28"/>
        </w:rPr>
        <w:t>34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五、</w:t>
      </w:r>
      <w:r>
        <w:fldChar w:fldCharType="begin"/>
      </w:r>
      <w:r>
        <w:instrText xml:space="preserve"> HYPERLINK \l "_Toc15396623" </w:instrText>
      </w:r>
      <w:r>
        <w:fldChar w:fldCharType="separate"/>
      </w:r>
      <w:r>
        <w:rPr>
          <w:rFonts w:hint="eastAsia" w:ascii="黑体" w:hAnsi="黑体" w:eastAsia="黑体" w:cs="黑体"/>
          <w:sz w:val="28"/>
          <w:szCs w:val="28"/>
        </w:rPr>
        <w:t>财政拨款支出决算明细表（政府经济分类科目）</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_Toc15396623 \h </w:instrText>
      </w:r>
      <w:r>
        <w:rPr>
          <w:rFonts w:hint="eastAsia" w:ascii="黑体" w:hAnsi="黑体" w:eastAsia="黑体" w:cs="黑体"/>
          <w:sz w:val="28"/>
          <w:szCs w:val="28"/>
        </w:rPr>
        <w:fldChar w:fldCharType="separate"/>
      </w:r>
      <w:r>
        <w:rPr>
          <w:rFonts w:hint="eastAsia" w:ascii="黑体" w:hAnsi="黑体" w:eastAsia="黑体" w:cs="黑体"/>
          <w:sz w:val="28"/>
          <w:szCs w:val="28"/>
        </w:rPr>
        <w:t>34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六、</w:t>
      </w:r>
      <w:r>
        <w:fldChar w:fldCharType="begin"/>
      </w:r>
      <w:r>
        <w:instrText xml:space="preserve"> HYPERLINK \l "_Toc15396624" </w:instrText>
      </w:r>
      <w:r>
        <w:fldChar w:fldCharType="separate"/>
      </w:r>
      <w:r>
        <w:rPr>
          <w:rStyle w:val="18"/>
          <w:rFonts w:hint="eastAsia" w:ascii="黑体" w:hAnsi="黑体" w:eastAsia="黑体" w:cs="黑体"/>
          <w:sz w:val="28"/>
          <w:szCs w:val="28"/>
        </w:rPr>
        <w:t>一般公共预算财政拨款支出决算表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_Toc15396624 \h </w:instrText>
      </w:r>
      <w:r>
        <w:rPr>
          <w:rFonts w:hint="eastAsia" w:ascii="黑体" w:hAnsi="黑体" w:eastAsia="黑体" w:cs="黑体"/>
          <w:sz w:val="28"/>
          <w:szCs w:val="28"/>
        </w:rPr>
        <w:fldChar w:fldCharType="separate"/>
      </w:r>
      <w:r>
        <w:rPr>
          <w:rFonts w:hint="eastAsia" w:ascii="黑体" w:hAnsi="黑体" w:eastAsia="黑体" w:cs="黑体"/>
          <w:sz w:val="28"/>
          <w:szCs w:val="28"/>
        </w:rPr>
        <w:t>34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七、</w:t>
      </w:r>
      <w:r>
        <w:fldChar w:fldCharType="begin"/>
      </w:r>
      <w:r>
        <w:instrText xml:space="preserve"> HYPERLINK \l "_Toc15396625" </w:instrText>
      </w:r>
      <w:r>
        <w:fldChar w:fldCharType="separate"/>
      </w:r>
      <w:r>
        <w:rPr>
          <w:rStyle w:val="18"/>
          <w:rFonts w:hint="eastAsia" w:ascii="黑体" w:hAnsi="黑体" w:eastAsia="黑体" w:cs="黑体"/>
          <w:sz w:val="28"/>
          <w:szCs w:val="28"/>
        </w:rPr>
        <w:t>一般公共预算财政拨款支出决算明细表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_Toc15396625 \h </w:instrText>
      </w:r>
      <w:r>
        <w:rPr>
          <w:rFonts w:hint="eastAsia" w:ascii="黑体" w:hAnsi="黑体" w:eastAsia="黑体" w:cs="黑体"/>
          <w:sz w:val="28"/>
          <w:szCs w:val="28"/>
        </w:rPr>
        <w:fldChar w:fldCharType="separate"/>
      </w:r>
      <w:r>
        <w:rPr>
          <w:rFonts w:hint="eastAsia" w:ascii="黑体" w:hAnsi="黑体" w:eastAsia="黑体" w:cs="黑体"/>
          <w:sz w:val="28"/>
          <w:szCs w:val="28"/>
        </w:rPr>
        <w:t>34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八、</w:t>
      </w:r>
      <w:r>
        <w:fldChar w:fldCharType="begin"/>
      </w:r>
      <w:r>
        <w:instrText xml:space="preserve"> HYPERLINK \l "_Toc15396626" </w:instrText>
      </w:r>
      <w:r>
        <w:fldChar w:fldCharType="separate"/>
      </w:r>
      <w:r>
        <w:rPr>
          <w:rStyle w:val="18"/>
          <w:rFonts w:hint="eastAsia" w:ascii="黑体" w:hAnsi="黑体" w:eastAsia="黑体" w:cs="黑体"/>
          <w:sz w:val="28"/>
          <w:szCs w:val="28"/>
        </w:rPr>
        <w:t>一般公共预算财政拨款基本支出决算表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_Toc15396626 \h </w:instrText>
      </w:r>
      <w:r>
        <w:rPr>
          <w:rFonts w:hint="eastAsia" w:ascii="黑体" w:hAnsi="黑体" w:eastAsia="黑体" w:cs="黑体"/>
          <w:sz w:val="28"/>
          <w:szCs w:val="28"/>
        </w:rPr>
        <w:fldChar w:fldCharType="separate"/>
      </w:r>
      <w:r>
        <w:rPr>
          <w:rFonts w:hint="eastAsia" w:ascii="黑体" w:hAnsi="黑体" w:eastAsia="黑体" w:cs="黑体"/>
          <w:sz w:val="28"/>
          <w:szCs w:val="28"/>
        </w:rPr>
        <w:t>34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九、</w:t>
      </w:r>
      <w:r>
        <w:fldChar w:fldCharType="begin"/>
      </w:r>
      <w:r>
        <w:instrText xml:space="preserve"> HYPERLINK \l "_Toc15396627" </w:instrText>
      </w:r>
      <w:r>
        <w:fldChar w:fldCharType="separate"/>
      </w:r>
      <w:r>
        <w:rPr>
          <w:rStyle w:val="18"/>
          <w:rFonts w:hint="eastAsia" w:ascii="黑体" w:hAnsi="黑体" w:eastAsia="黑体" w:cs="黑体"/>
          <w:sz w:val="28"/>
          <w:szCs w:val="28"/>
        </w:rPr>
        <w:t>一般公共预算财政拨款项目支出决算表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_Toc15396627 \h </w:instrText>
      </w:r>
      <w:r>
        <w:rPr>
          <w:rFonts w:hint="eastAsia" w:ascii="黑体" w:hAnsi="黑体" w:eastAsia="黑体" w:cs="黑体"/>
          <w:sz w:val="28"/>
          <w:szCs w:val="28"/>
        </w:rPr>
        <w:fldChar w:fldCharType="separate"/>
      </w:r>
      <w:r>
        <w:rPr>
          <w:rFonts w:hint="eastAsia" w:ascii="黑体" w:hAnsi="黑体" w:eastAsia="黑体" w:cs="黑体"/>
          <w:sz w:val="28"/>
          <w:szCs w:val="28"/>
        </w:rPr>
        <w:t>34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十、</w:t>
      </w:r>
      <w:r>
        <w:fldChar w:fldCharType="begin"/>
      </w:r>
      <w:r>
        <w:instrText xml:space="preserve"> HYPERLINK \l "_Toc15396628" </w:instrText>
      </w:r>
      <w:r>
        <w:fldChar w:fldCharType="separate"/>
      </w:r>
      <w:r>
        <w:rPr>
          <w:rStyle w:val="18"/>
          <w:rFonts w:hint="eastAsia" w:ascii="黑体" w:hAnsi="黑体" w:eastAsia="黑体" w:cs="黑体"/>
          <w:sz w:val="28"/>
          <w:szCs w:val="28"/>
        </w:rPr>
        <w:t>一般公共预算财政拨款“三公”经费支出决算表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_Toc15396628 \h </w:instrText>
      </w:r>
      <w:r>
        <w:rPr>
          <w:rFonts w:hint="eastAsia" w:ascii="黑体" w:hAnsi="黑体" w:eastAsia="黑体" w:cs="黑体"/>
          <w:sz w:val="28"/>
          <w:szCs w:val="28"/>
        </w:rPr>
        <w:fldChar w:fldCharType="separate"/>
      </w:r>
      <w:r>
        <w:rPr>
          <w:rFonts w:hint="eastAsia" w:ascii="黑体" w:hAnsi="黑体" w:eastAsia="黑体" w:cs="黑体"/>
          <w:sz w:val="28"/>
          <w:szCs w:val="28"/>
        </w:rPr>
        <w:t>34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十一、</w:t>
      </w:r>
      <w:r>
        <w:fldChar w:fldCharType="begin"/>
      </w:r>
      <w:r>
        <w:instrText xml:space="preserve"> HYPERLINK \l "_Toc15396629" </w:instrText>
      </w:r>
      <w:r>
        <w:fldChar w:fldCharType="separate"/>
      </w:r>
      <w:r>
        <w:rPr>
          <w:rStyle w:val="18"/>
          <w:rFonts w:hint="eastAsia" w:ascii="黑体" w:hAnsi="黑体" w:eastAsia="黑体" w:cs="黑体"/>
          <w:sz w:val="28"/>
          <w:szCs w:val="28"/>
        </w:rPr>
        <w:t>政府性基金预算财政拨款收入支出决算表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_Toc15396629 \h </w:instrText>
      </w:r>
      <w:r>
        <w:rPr>
          <w:rFonts w:hint="eastAsia" w:ascii="黑体" w:hAnsi="黑体" w:eastAsia="黑体" w:cs="黑体"/>
          <w:sz w:val="28"/>
          <w:szCs w:val="28"/>
        </w:rPr>
        <w:fldChar w:fldCharType="separate"/>
      </w:r>
      <w:r>
        <w:rPr>
          <w:rFonts w:hint="eastAsia" w:ascii="黑体" w:hAnsi="黑体" w:eastAsia="黑体" w:cs="黑体"/>
          <w:sz w:val="28"/>
          <w:szCs w:val="28"/>
        </w:rPr>
        <w:t>34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8"/>
          <w:szCs w:val="28"/>
        </w:rPr>
      </w:pPr>
      <w:r>
        <w:rPr>
          <w:rFonts w:hint="eastAsia" w:ascii="黑体" w:hAnsi="黑体" w:eastAsia="黑体" w:cs="黑体"/>
          <w:sz w:val="28"/>
          <w:szCs w:val="28"/>
        </w:rPr>
        <w:t>十二、</w:t>
      </w:r>
      <w:r>
        <w:fldChar w:fldCharType="begin"/>
      </w:r>
      <w:r>
        <w:instrText xml:space="preserve"> HYPERLINK \l "_Toc15396630" </w:instrText>
      </w:r>
      <w:r>
        <w:fldChar w:fldCharType="separate"/>
      </w:r>
      <w:r>
        <w:rPr>
          <w:rStyle w:val="18"/>
          <w:rFonts w:hint="eastAsia" w:ascii="黑体" w:hAnsi="黑体" w:eastAsia="黑体" w:cs="黑体"/>
          <w:sz w:val="28"/>
          <w:szCs w:val="28"/>
        </w:rPr>
        <w:t>政府性基金预算财政拨款“三公”经费支出决算表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_Toc15396630 \h </w:instrText>
      </w:r>
      <w:r>
        <w:rPr>
          <w:rFonts w:hint="eastAsia" w:ascii="黑体" w:hAnsi="黑体" w:eastAsia="黑体" w:cs="黑体"/>
          <w:sz w:val="28"/>
          <w:szCs w:val="28"/>
        </w:rPr>
        <w:fldChar w:fldCharType="separate"/>
      </w:r>
      <w:r>
        <w:rPr>
          <w:rFonts w:hint="eastAsia" w:ascii="黑体" w:hAnsi="黑体" w:eastAsia="黑体" w:cs="黑体"/>
          <w:sz w:val="28"/>
          <w:szCs w:val="28"/>
        </w:rPr>
        <w:t>34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3"/>
        <w:rPr>
          <w:rFonts w:ascii="黑体" w:hAnsi="黑体" w:eastAsia="黑体" w:cs="黑体"/>
          <w:sz w:val="24"/>
        </w:rPr>
      </w:pPr>
      <w:r>
        <w:rPr>
          <w:rFonts w:hint="eastAsia" w:ascii="黑体" w:hAnsi="黑体" w:eastAsia="黑体" w:cs="黑体"/>
          <w:sz w:val="28"/>
          <w:szCs w:val="28"/>
        </w:rPr>
        <w:t>十三、</w:t>
      </w:r>
      <w:r>
        <w:fldChar w:fldCharType="begin"/>
      </w:r>
      <w:r>
        <w:instrText xml:space="preserve"> HYPERLINK \l "_Toc15396631" </w:instrText>
      </w:r>
      <w:r>
        <w:fldChar w:fldCharType="separate"/>
      </w:r>
      <w:r>
        <w:rPr>
          <w:rStyle w:val="18"/>
          <w:rFonts w:hint="eastAsia" w:ascii="黑体" w:hAnsi="黑体" w:eastAsia="黑体" w:cs="黑体"/>
          <w:sz w:val="28"/>
          <w:szCs w:val="28"/>
        </w:rPr>
        <w:t>国有资本经营预算支出决算表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_Toc15396631 \h </w:instrText>
      </w:r>
      <w:r>
        <w:rPr>
          <w:rFonts w:hint="eastAsia" w:ascii="黑体" w:hAnsi="黑体" w:eastAsia="黑体" w:cs="黑体"/>
          <w:sz w:val="28"/>
          <w:szCs w:val="28"/>
        </w:rPr>
        <w:fldChar w:fldCharType="separate"/>
      </w:r>
      <w:r>
        <w:rPr>
          <w:rFonts w:hint="eastAsia" w:ascii="黑体" w:hAnsi="黑体" w:eastAsia="黑体" w:cs="黑体"/>
          <w:sz w:val="28"/>
          <w:szCs w:val="28"/>
        </w:rPr>
        <w:t>34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3"/>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4"/>
        <w:numPr>
          <w:ilvl w:val="0"/>
          <w:numId w:val="1"/>
        </w:numPr>
        <w:rPr>
          <w:rFonts w:ascii="仿宋_GB2312" w:eastAsia="仿宋_GB2312"/>
          <w:color w:val="333333"/>
        </w:rPr>
      </w:pPr>
      <w:bookmarkStart w:id="14" w:name="_Toc15377197"/>
      <w:bookmarkStart w:id="15" w:name="_Toc15396600"/>
      <w:r>
        <w:rPr>
          <w:rFonts w:hint="eastAsia" w:ascii="黑体" w:hAnsi="黑体" w:eastAsia="黑体"/>
          <w:b w:val="0"/>
          <w:color w:val="000000"/>
        </w:rPr>
        <w:t>基</w:t>
      </w:r>
      <w:r>
        <w:rPr>
          <w:rStyle w:val="28"/>
          <w:rFonts w:hint="eastAsia" w:ascii="黑体" w:hAnsi="黑体" w:eastAsia="黑体"/>
          <w:b w:val="0"/>
          <w:bCs w:val="0"/>
        </w:rPr>
        <w:t>本职能及主要工作</w:t>
      </w:r>
      <w:bookmarkEnd w:id="14"/>
      <w:bookmarkEnd w:id="15"/>
    </w:p>
    <w:p>
      <w:pPr>
        <w:pStyle w:val="4"/>
        <w:numPr>
          <w:ilvl w:val="0"/>
          <w:numId w:val="2"/>
        </w:numPr>
        <w:ind w:firstLine="320" w:firstLineChars="100"/>
        <w:rPr>
          <w:rFonts w:ascii="仿宋_GB2312" w:hAnsi="仿宋_GB2312" w:eastAsia="仿宋_GB2312"/>
          <w:color w:val="000000"/>
        </w:rPr>
      </w:pPr>
      <w:r>
        <w:rPr>
          <w:rFonts w:hint="eastAsia" w:ascii="仿宋_GB2312" w:eastAsia="仿宋_GB2312"/>
          <w:b w:val="0"/>
          <w:bCs w:val="0"/>
          <w:color w:val="000000"/>
        </w:rPr>
        <w:t>主要职能</w:t>
      </w:r>
      <w:r>
        <w:rPr>
          <w:rFonts w:hint="eastAsia"/>
          <w:color w:val="000000"/>
        </w:rPr>
        <w:t>。</w:t>
      </w:r>
    </w:p>
    <w:p>
      <w:pPr>
        <w:pStyle w:val="4"/>
        <w:ind w:firstLine="640" w:firstLineChars="200"/>
        <w:rPr>
          <w:rFonts w:ascii="仿宋_GB2312" w:hAnsi="仿宋_GB2312" w:eastAsia="仿宋_GB2312"/>
          <w:b w:val="0"/>
          <w:bCs w:val="0"/>
          <w:color w:val="000000"/>
        </w:rPr>
      </w:pPr>
      <w:r>
        <w:rPr>
          <w:rFonts w:hint="eastAsia" w:ascii="仿宋_GB2312" w:eastAsia="仿宋_GB2312"/>
          <w:b w:val="0"/>
          <w:bCs w:val="0"/>
          <w:color w:val="000000"/>
        </w:rPr>
        <w:t>阿坝州人民检察院</w:t>
      </w:r>
      <w:r>
        <w:rPr>
          <w:rFonts w:hint="eastAsia" w:ascii="仿宋_GB2312" w:hAnsi="仿宋_GB2312" w:eastAsia="仿宋_GB2312"/>
          <w:b w:val="0"/>
          <w:bCs w:val="0"/>
          <w:color w:val="000000"/>
        </w:rPr>
        <w:t>是国家的法律监督机关。领导全州各县人民检察院的工作，对阿坝州人民代表大会及其常务委员会负责并报告工作，根据我国宪法规定，人民检察院主要职责是：依法履行监督职能，保证国家法律的统一和正确实施。</w:t>
      </w:r>
    </w:p>
    <w:p>
      <w:pPr>
        <w:pStyle w:val="7"/>
        <w:adjustRightInd w:val="0"/>
        <w:snapToGrid w:val="0"/>
        <w:spacing w:before="93" w:line="520" w:lineRule="exact"/>
        <w:ind w:firstLine="480" w:firstLineChars="150"/>
        <w:rPr>
          <w:bCs/>
          <w:color w:val="000000"/>
          <w:sz w:val="32"/>
          <w:szCs w:val="32"/>
        </w:rPr>
      </w:pPr>
      <w:r>
        <w:rPr>
          <w:rFonts w:hint="eastAsia"/>
          <w:bCs/>
          <w:color w:val="000000"/>
          <w:sz w:val="32"/>
          <w:szCs w:val="32"/>
        </w:rPr>
        <w:t>（二）202</w:t>
      </w:r>
      <w:r>
        <w:rPr>
          <w:rFonts w:hint="eastAsia"/>
          <w:bCs/>
          <w:color w:val="000000"/>
          <w:sz w:val="32"/>
          <w:szCs w:val="32"/>
          <w:lang w:val="en-US" w:eastAsia="zh-CN"/>
        </w:rPr>
        <w:t>1</w:t>
      </w:r>
      <w:r>
        <w:rPr>
          <w:rFonts w:hint="eastAsia"/>
          <w:bCs/>
          <w:color w:val="000000"/>
          <w:sz w:val="32"/>
          <w:szCs w:val="32"/>
        </w:rPr>
        <w:t>年重点工作完成情况。</w:t>
      </w:r>
    </w:p>
    <w:p>
      <w:pPr>
        <w:widowControl/>
        <w:adjustRightInd w:val="0"/>
        <w:snapToGrid w:val="0"/>
        <w:spacing w:line="560" w:lineRule="exact"/>
        <w:ind w:firstLine="640" w:firstLineChars="200"/>
        <w:rPr>
          <w:rFonts w:ascii="仿宋_GB2312" w:hAnsi="仿宋_GB2312" w:eastAsia="仿宋_GB2312"/>
          <w:sz w:val="32"/>
        </w:rPr>
      </w:pPr>
      <w:r>
        <w:rPr>
          <w:rFonts w:hint="eastAsia" w:ascii="仿宋_GB2312" w:eastAsia="仿宋_GB2312"/>
          <w:color w:val="000000"/>
          <w:sz w:val="32"/>
          <w:szCs w:val="32"/>
        </w:rPr>
        <w:t>根据州委、州政府关于202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年全州工作的总体部署，202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年主要工作是:</w:t>
      </w:r>
      <w:r>
        <w:rPr>
          <w:rFonts w:hint="eastAsia" w:ascii="仿宋_GB2312" w:hAnsi="仿宋_GB2312" w:eastAsia="仿宋_GB2312"/>
          <w:color w:val="000000"/>
          <w:sz w:val="32"/>
        </w:rPr>
        <w:t xml:space="preserve"> </w:t>
      </w:r>
      <w:r>
        <w:rPr>
          <w:rFonts w:hint="eastAsia" w:ascii="仿宋_GB2312" w:hAnsi="仿宋_GB2312" w:eastAsia="仿宋_GB2312"/>
          <w:sz w:val="32"/>
        </w:rPr>
        <w:t>1.负责全州人民检察院宏观管理、指挥和协调。2.负责依法查处办理国家执法办案工作人员办案过程中犯罪的案件</w:t>
      </w:r>
      <w:r>
        <w:rPr>
          <w:rFonts w:hint="eastAsia" w:ascii="仿宋_GB2312" w:hAnsi="仿宋_GB2312" w:eastAsia="仿宋_GB2312"/>
          <w:sz w:val="32"/>
          <w:szCs w:val="32"/>
        </w:rPr>
        <w:t>。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检查、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w:t>
      </w:r>
      <w:r>
        <w:rPr>
          <w:rFonts w:hint="eastAsia" w:ascii="仿宋_GB2312" w:hAnsi="仿宋_GB2312" w:eastAsia="仿宋_GB2312"/>
          <w:sz w:val="32"/>
        </w:rPr>
        <w:t xml:space="preserve">负责检察系统不稳定因素的协调和调解工作；担负机关维稳、综治、消防等工作。 </w:t>
      </w:r>
    </w:p>
    <w:p>
      <w:pPr>
        <w:pStyle w:val="4"/>
        <w:numPr>
          <w:ilvl w:val="0"/>
          <w:numId w:val="1"/>
        </w:numPr>
        <w:rPr>
          <w:rStyle w:val="28"/>
          <w:rFonts w:ascii="黑体" w:hAnsi="黑体" w:eastAsia="黑体"/>
          <w:b/>
          <w:bCs w:val="0"/>
        </w:rPr>
      </w:pPr>
      <w:bookmarkStart w:id="16" w:name="_Toc15377200"/>
      <w:bookmarkStart w:id="17" w:name="_Toc15396601"/>
      <w:r>
        <w:rPr>
          <w:rFonts w:hint="eastAsia" w:ascii="黑体" w:hAnsi="黑体" w:eastAsia="黑体"/>
          <w:bCs w:val="0"/>
          <w:color w:val="000000"/>
        </w:rPr>
        <w:t>机</w:t>
      </w:r>
      <w:r>
        <w:rPr>
          <w:rStyle w:val="28"/>
          <w:rFonts w:hint="eastAsia" w:ascii="黑体" w:hAnsi="黑体" w:eastAsia="黑体"/>
          <w:b/>
          <w:bCs w:val="0"/>
        </w:rPr>
        <w:t>构设置</w:t>
      </w:r>
      <w:bookmarkEnd w:id="16"/>
      <w:bookmarkEnd w:id="17"/>
    </w:p>
    <w:p>
      <w:pPr>
        <w:pStyle w:val="4"/>
        <w:numPr>
          <w:ilvl w:val="0"/>
          <w:numId w:val="3"/>
        </w:numPr>
        <w:ind w:firstLine="643" w:firstLineChars="200"/>
        <w:rPr>
          <w:rFonts w:ascii="仿宋_GB2312" w:hAnsi="宋体" w:eastAsia="仿宋_GB2312" w:cs="宋体"/>
          <w:b w:val="0"/>
          <w:bCs w:val="0"/>
          <w:color w:val="2A2A2A"/>
        </w:rPr>
      </w:pPr>
      <w:r>
        <w:rPr>
          <w:rFonts w:hint="eastAsia" w:ascii="仿宋_GB2312" w:hAnsi="Dotum" w:eastAsia="仿宋_GB2312"/>
        </w:rPr>
        <w:t>机构情况。</w:t>
      </w:r>
      <w:r>
        <w:rPr>
          <w:rFonts w:ascii="仿宋" w:hAnsi="仿宋" w:eastAsia="仿宋"/>
          <w:b w:val="0"/>
          <w:bCs w:val="0"/>
        </w:rPr>
        <w:t>无</w:t>
      </w:r>
      <w:r>
        <w:rPr>
          <w:rFonts w:hint="eastAsia" w:ascii="仿宋" w:hAnsi="仿宋" w:eastAsia="仿宋"/>
          <w:b w:val="0"/>
          <w:bCs w:val="0"/>
        </w:rPr>
        <w:t>下属二级单位，</w:t>
      </w:r>
      <w:r>
        <w:rPr>
          <w:rFonts w:ascii="仿宋" w:hAnsi="仿宋" w:eastAsia="仿宋"/>
          <w:b w:val="0"/>
          <w:bCs w:val="0"/>
        </w:rPr>
        <w:t xml:space="preserve"> </w:t>
      </w:r>
      <w:r>
        <w:rPr>
          <w:rFonts w:hint="eastAsia" w:ascii="仿宋_GB2312" w:hAnsi="宋体" w:eastAsia="仿宋_GB2312" w:cs="宋体"/>
          <w:b w:val="0"/>
          <w:bCs w:val="0"/>
          <w:color w:val="2A2A2A"/>
        </w:rPr>
        <w:t>我院内设机构1</w:t>
      </w:r>
      <w:r>
        <w:rPr>
          <w:rFonts w:ascii="仿宋_GB2312" w:hAnsi="宋体" w:eastAsia="仿宋_GB2312" w:cs="宋体"/>
          <w:b w:val="0"/>
          <w:bCs w:val="0"/>
          <w:color w:val="2A2A2A"/>
        </w:rPr>
        <w:t>5</w:t>
      </w:r>
      <w:r>
        <w:rPr>
          <w:rFonts w:hint="eastAsia" w:ascii="仿宋_GB2312" w:hAnsi="宋体" w:eastAsia="仿宋_GB2312" w:cs="宋体"/>
          <w:b w:val="0"/>
          <w:bCs w:val="0"/>
          <w:color w:val="2A2A2A"/>
        </w:rPr>
        <w:t>个，具体是：办公室、政治部（司法警察支队、下设干部处、宣教处）、第一检察部、第二检察部、第三检察部、第四检察部、第五检察部、第六检察部、第七检察部、第八检察部、计划财务装备部、法律政策研究室、检务督察部、案件管理办公室、检察技术信息部。</w:t>
      </w:r>
    </w:p>
    <w:p>
      <w:pPr>
        <w:pStyle w:val="4"/>
        <w:ind w:firstLine="643" w:firstLineChars="200"/>
        <w:rPr>
          <w:rFonts w:hint="eastAsia" w:ascii="仿宋_GB2312" w:hAnsi="宋体" w:eastAsia="仿宋_GB2312" w:cs="宋体"/>
          <w:b w:val="0"/>
          <w:bCs w:val="0"/>
          <w:color w:val="2A2A2A"/>
        </w:rPr>
      </w:pPr>
      <w:r>
        <w:rPr>
          <w:rFonts w:hint="eastAsia" w:ascii="仿宋_GB2312" w:hAnsi="Dotum" w:eastAsia="仿宋_GB2312"/>
        </w:rPr>
        <w:t>（二）人员情况。</w:t>
      </w:r>
      <w:r>
        <w:rPr>
          <w:rFonts w:hint="eastAsia" w:ascii="仿宋_GB2312" w:hAnsi="宋体" w:eastAsia="仿宋_GB2312" w:cs="宋体"/>
          <w:b w:val="0"/>
          <w:bCs w:val="0"/>
          <w:color w:val="2A2A2A"/>
        </w:rPr>
        <w:t>我院人员编制数72名，其中政法专项编制59名，工勤编制13名。截止2021年</w:t>
      </w:r>
      <w:r>
        <w:rPr>
          <w:rFonts w:hint="eastAsia" w:ascii="仿宋_GB2312" w:hAnsi="宋体" w:eastAsia="仿宋_GB2312" w:cs="宋体"/>
          <w:b w:val="0"/>
          <w:bCs w:val="0"/>
          <w:color w:val="2A2A2A"/>
          <w:lang w:val="en-US" w:eastAsia="zh-CN"/>
        </w:rPr>
        <w:t>12</w:t>
      </w:r>
      <w:r>
        <w:rPr>
          <w:rFonts w:hint="eastAsia" w:ascii="仿宋_GB2312" w:hAnsi="宋体" w:eastAsia="仿宋_GB2312" w:cs="宋体"/>
          <w:b w:val="0"/>
          <w:bCs w:val="0"/>
          <w:color w:val="2A2A2A"/>
        </w:rPr>
        <w:t>月底在职人员总数</w:t>
      </w:r>
      <w:r>
        <w:rPr>
          <w:rFonts w:hint="eastAsia" w:ascii="仿宋_GB2312" w:hAnsi="宋体" w:eastAsia="仿宋_GB2312" w:cs="宋体"/>
          <w:b w:val="0"/>
          <w:bCs w:val="0"/>
          <w:color w:val="2A2A2A"/>
          <w:lang w:val="en-US" w:eastAsia="zh-CN"/>
        </w:rPr>
        <w:t>61</w:t>
      </w:r>
      <w:r>
        <w:rPr>
          <w:rFonts w:hint="eastAsia" w:ascii="仿宋_GB2312" w:hAnsi="宋体" w:eastAsia="仿宋_GB2312" w:cs="宋体"/>
          <w:b w:val="0"/>
          <w:bCs w:val="0"/>
          <w:color w:val="2A2A2A"/>
        </w:rPr>
        <w:t>名，其中政法专项编制52人，工勤人员7人；退休人员4</w:t>
      </w:r>
      <w:r>
        <w:rPr>
          <w:rFonts w:hint="eastAsia" w:ascii="仿宋_GB2312" w:hAnsi="宋体" w:eastAsia="仿宋_GB2312" w:cs="宋体"/>
          <w:b w:val="0"/>
          <w:bCs w:val="0"/>
          <w:color w:val="2A2A2A"/>
          <w:lang w:val="en-US" w:eastAsia="zh-CN"/>
        </w:rPr>
        <w:t>2</w:t>
      </w:r>
      <w:r>
        <w:rPr>
          <w:rFonts w:hint="eastAsia" w:ascii="仿宋_GB2312" w:hAnsi="宋体" w:eastAsia="仿宋_GB2312" w:cs="宋体"/>
          <w:b w:val="0"/>
          <w:bCs w:val="0"/>
          <w:color w:val="2A2A2A"/>
        </w:rPr>
        <w:t>人、离休人员2人。检察长1人，副检察长3人，党组成员6人（含正副检察长）、政治部主任、2名专检委委员、1名机关党总支书记为实职副县级领导干部。</w:t>
      </w:r>
    </w:p>
    <w:p>
      <w:pPr>
        <w:pStyle w:val="7"/>
        <w:adjustRightInd w:val="0"/>
        <w:snapToGrid w:val="0"/>
        <w:spacing w:before="93" w:line="600" w:lineRule="exact"/>
        <w:rPr>
          <w:rFonts w:ascii="仿宋" w:hAnsi="仿宋" w:eastAsia="仿宋"/>
          <w:color w:val="000000"/>
          <w:sz w:val="32"/>
          <w:szCs w:val="32"/>
        </w:rPr>
      </w:pPr>
      <w:r>
        <w:rPr>
          <w:rFonts w:ascii="仿宋" w:hAnsi="仿宋" w:eastAsia="仿宋"/>
          <w:color w:val="000000"/>
          <w:sz w:val="32"/>
          <w:szCs w:val="32"/>
        </w:rPr>
        <w:br w:type="page"/>
      </w:r>
    </w:p>
    <w:p>
      <w:pPr>
        <w:pStyle w:val="3"/>
        <w:ind w:right="440"/>
        <w:jc w:val="right"/>
        <w:rPr>
          <w:rStyle w:val="27"/>
          <w:rFonts w:ascii="黑体" w:hAnsi="黑体" w:eastAsia="黑体"/>
          <w:b w:val="0"/>
          <w:bCs w:val="0"/>
        </w:rPr>
      </w:pPr>
      <w:bookmarkStart w:id="18" w:name="_Toc15377204"/>
      <w:bookmarkStart w:id="19"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202</w:t>
      </w:r>
      <w:r>
        <w:rPr>
          <w:rStyle w:val="27"/>
          <w:rFonts w:hint="eastAsia" w:ascii="黑体" w:hAnsi="黑体" w:eastAsia="黑体"/>
          <w:b w:val="0"/>
          <w:bCs w:val="0"/>
          <w:lang w:val="en-US" w:eastAsia="zh-CN"/>
        </w:rPr>
        <w:t>1</w:t>
      </w:r>
      <w:r>
        <w:rPr>
          <w:rStyle w:val="27"/>
          <w:rFonts w:hint="eastAsia" w:ascii="黑体" w:hAnsi="黑体" w:eastAsia="黑体"/>
          <w:b w:val="0"/>
          <w:bCs w:val="0"/>
        </w:rPr>
        <w:t>年度部门决算情况说明</w:t>
      </w:r>
      <w:bookmarkEnd w:id="18"/>
      <w:bookmarkEnd w:id="19"/>
    </w:p>
    <w:p/>
    <w:p>
      <w:pPr>
        <w:pStyle w:val="26"/>
        <w:numPr>
          <w:ilvl w:val="0"/>
          <w:numId w:val="4"/>
        </w:numPr>
        <w:spacing w:line="600" w:lineRule="exact"/>
        <w:ind w:firstLineChars="0"/>
        <w:outlineLvl w:val="1"/>
        <w:rPr>
          <w:rStyle w:val="28"/>
          <w:rFonts w:hint="eastAsia" w:ascii="仿宋" w:hAnsi="仿宋" w:eastAsia="仿宋" w:cs="Times New Roman"/>
          <w:b w:val="0"/>
          <w:bCs w:val="0"/>
        </w:rPr>
      </w:pPr>
      <w:bookmarkStart w:id="20" w:name="_Toc15377205"/>
      <w:bookmarkStart w:id="21"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0"/>
      <w:bookmarkEnd w:id="21"/>
    </w:p>
    <w:p>
      <w:pPr>
        <w:ind w:firstLine="640" w:firstLineChars="20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年检察院总收入</w:t>
      </w:r>
      <w:r>
        <w:rPr>
          <w:rFonts w:hint="eastAsia" w:ascii="仿宋" w:hAnsi="仿宋" w:eastAsia="仿宋"/>
          <w:sz w:val="32"/>
          <w:szCs w:val="32"/>
          <w:lang w:val="en-US" w:eastAsia="zh-CN"/>
        </w:rPr>
        <w:t>2729.46</w:t>
      </w:r>
      <w:r>
        <w:rPr>
          <w:rFonts w:hint="eastAsia" w:ascii="仿宋" w:hAnsi="仿宋" w:eastAsia="仿宋"/>
          <w:sz w:val="32"/>
          <w:szCs w:val="32"/>
        </w:rPr>
        <w:t>万元，其中：财政拨款</w:t>
      </w:r>
      <w:r>
        <w:rPr>
          <w:rFonts w:hint="eastAsia" w:ascii="仿宋" w:hAnsi="仿宋" w:eastAsia="仿宋"/>
          <w:sz w:val="32"/>
          <w:szCs w:val="32"/>
          <w:lang w:val="en-US" w:eastAsia="zh-CN"/>
        </w:rPr>
        <w:t>2684.46</w:t>
      </w:r>
      <w:r>
        <w:rPr>
          <w:rFonts w:hint="eastAsia" w:ascii="仿宋" w:hAnsi="仿宋" w:eastAsia="仿宋"/>
          <w:sz w:val="32"/>
          <w:szCs w:val="32"/>
        </w:rPr>
        <w:t>万元。财政拨款收入较20</w:t>
      </w:r>
      <w:r>
        <w:rPr>
          <w:rFonts w:hint="eastAsia" w:ascii="仿宋" w:hAnsi="仿宋" w:eastAsia="仿宋"/>
          <w:sz w:val="32"/>
          <w:szCs w:val="32"/>
          <w:lang w:val="en-US" w:eastAsia="zh-CN"/>
        </w:rPr>
        <w:t>20</w:t>
      </w:r>
      <w:r>
        <w:rPr>
          <w:rFonts w:hint="eastAsia" w:ascii="仿宋" w:hAnsi="仿宋" w:eastAsia="仿宋"/>
          <w:sz w:val="32"/>
          <w:szCs w:val="32"/>
        </w:rPr>
        <w:t>年（</w:t>
      </w:r>
      <w:r>
        <w:rPr>
          <w:rFonts w:hint="eastAsia" w:ascii="仿宋" w:hAnsi="仿宋" w:eastAsia="仿宋"/>
          <w:sz w:val="32"/>
          <w:szCs w:val="32"/>
          <w:lang w:val="en-US" w:eastAsia="zh-CN"/>
        </w:rPr>
        <w:t>2320.29</w:t>
      </w:r>
      <w:r>
        <w:rPr>
          <w:rFonts w:hint="eastAsia" w:ascii="仿宋" w:hAnsi="仿宋" w:eastAsia="仿宋"/>
          <w:sz w:val="32"/>
          <w:szCs w:val="32"/>
        </w:rPr>
        <w:t>万元元）</w:t>
      </w:r>
      <w:r>
        <w:rPr>
          <w:rFonts w:hint="eastAsia" w:ascii="仿宋" w:hAnsi="仿宋" w:eastAsia="仿宋"/>
          <w:sz w:val="32"/>
          <w:szCs w:val="32"/>
          <w:lang w:val="en-US" w:eastAsia="zh-CN"/>
        </w:rPr>
        <w:t>增加15.7</w:t>
      </w:r>
      <w:r>
        <w:rPr>
          <w:rFonts w:hint="eastAsia" w:ascii="仿宋" w:hAnsi="仿宋" w:eastAsia="仿宋"/>
          <w:sz w:val="32"/>
          <w:szCs w:val="32"/>
        </w:rPr>
        <w:t>%。财政拨款</w:t>
      </w:r>
      <w:r>
        <w:rPr>
          <w:rFonts w:hint="eastAsia" w:ascii="仿宋" w:hAnsi="仿宋" w:eastAsia="仿宋"/>
          <w:sz w:val="32"/>
          <w:szCs w:val="32"/>
          <w:lang w:val="en-US" w:eastAsia="zh-CN"/>
        </w:rPr>
        <w:t>增加</w:t>
      </w:r>
      <w:r>
        <w:rPr>
          <w:rFonts w:hint="eastAsia" w:ascii="仿宋" w:hAnsi="仿宋" w:eastAsia="仿宋"/>
          <w:sz w:val="32"/>
          <w:szCs w:val="32"/>
        </w:rPr>
        <w:t>主要原因是</w:t>
      </w:r>
      <w:r>
        <w:rPr>
          <w:rFonts w:hint="eastAsia" w:ascii="仿宋" w:hAnsi="仿宋" w:eastAsia="仿宋"/>
          <w:color w:val="000000" w:themeColor="text1"/>
          <w:sz w:val="32"/>
          <w:szCs w:val="32"/>
          <w14:textFill>
            <w14:solidFill>
              <w14:schemeClr w14:val="tx1"/>
            </w14:solidFill>
          </w14:textFill>
        </w:rPr>
        <w:t>我院</w:t>
      </w:r>
      <w:r>
        <w:rPr>
          <w:rFonts w:hint="eastAsia" w:ascii="仿宋" w:hAnsi="仿宋" w:eastAsia="仿宋"/>
          <w:color w:val="000000" w:themeColor="text1"/>
          <w:sz w:val="32"/>
          <w:szCs w:val="32"/>
          <w:lang w:val="en-US" w:eastAsia="zh-CN"/>
          <w14:textFill>
            <w14:solidFill>
              <w14:schemeClr w14:val="tx1"/>
            </w14:solidFill>
          </w14:textFill>
        </w:rPr>
        <w:t>聘用制书记员的增加及开展政法系统教育整顿工作</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其他收入45万元，为省检察院补助的办案业务经费。</w:t>
      </w:r>
    </w:p>
    <w:p>
      <w:pPr>
        <w:ind w:firstLine="640" w:firstLineChars="200"/>
        <w:rPr>
          <w:rFonts w:hint="eastAsia" w:ascii="仿宋" w:hAnsi="仿宋" w:eastAsia="仿宋"/>
          <w:color w:val="000000"/>
          <w:sz w:val="32"/>
          <w:szCs w:val="32"/>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年阿坝州检察院总支出为</w:t>
      </w:r>
      <w:r>
        <w:rPr>
          <w:rFonts w:hint="eastAsia" w:ascii="仿宋" w:hAnsi="仿宋" w:eastAsia="仿宋"/>
          <w:sz w:val="32"/>
          <w:szCs w:val="32"/>
          <w:lang w:val="en-US" w:eastAsia="zh-CN"/>
        </w:rPr>
        <w:t>3065.88</w:t>
      </w:r>
      <w:r>
        <w:rPr>
          <w:rFonts w:hint="eastAsia" w:ascii="仿宋" w:hAnsi="仿宋" w:eastAsia="仿宋"/>
          <w:sz w:val="32"/>
          <w:szCs w:val="32"/>
        </w:rPr>
        <w:t>万元，其中财政拨款支出为</w:t>
      </w:r>
      <w:r>
        <w:rPr>
          <w:rFonts w:hint="eastAsia" w:ascii="仿宋" w:hAnsi="仿宋" w:eastAsia="仿宋"/>
          <w:sz w:val="32"/>
          <w:szCs w:val="32"/>
          <w:lang w:val="en-US" w:eastAsia="zh-CN"/>
        </w:rPr>
        <w:t>3036.68</w:t>
      </w:r>
      <w:r>
        <w:rPr>
          <w:rFonts w:hint="eastAsia" w:ascii="仿宋" w:hAnsi="仿宋" w:eastAsia="仿宋"/>
          <w:sz w:val="32"/>
          <w:szCs w:val="32"/>
        </w:rPr>
        <w:t>万元。财政拨款支出较20</w:t>
      </w:r>
      <w:r>
        <w:rPr>
          <w:rFonts w:hint="eastAsia" w:ascii="仿宋" w:hAnsi="仿宋" w:eastAsia="仿宋"/>
          <w:sz w:val="32"/>
          <w:szCs w:val="32"/>
          <w:lang w:val="en-US" w:eastAsia="zh-CN"/>
        </w:rPr>
        <w:t>20</w:t>
      </w:r>
      <w:r>
        <w:rPr>
          <w:rFonts w:hint="eastAsia" w:ascii="仿宋" w:hAnsi="仿宋" w:eastAsia="仿宋"/>
          <w:sz w:val="32"/>
          <w:szCs w:val="32"/>
        </w:rPr>
        <w:t>年财政拨款支出（</w:t>
      </w:r>
      <w:r>
        <w:rPr>
          <w:rFonts w:hint="eastAsia" w:ascii="仿宋" w:hAnsi="仿宋" w:eastAsia="仿宋"/>
          <w:sz w:val="32"/>
          <w:szCs w:val="32"/>
          <w:lang w:val="en-US" w:eastAsia="zh-CN"/>
        </w:rPr>
        <w:t>2595.01</w:t>
      </w:r>
      <w:r>
        <w:rPr>
          <w:rFonts w:hint="eastAsia" w:ascii="仿宋" w:hAnsi="仿宋" w:eastAsia="仿宋"/>
          <w:sz w:val="32"/>
          <w:szCs w:val="32"/>
        </w:rPr>
        <w:t>万元）</w:t>
      </w:r>
      <w:r>
        <w:rPr>
          <w:rFonts w:hint="eastAsia" w:ascii="仿宋" w:hAnsi="仿宋" w:eastAsia="仿宋"/>
          <w:sz w:val="32"/>
          <w:szCs w:val="32"/>
          <w:lang w:val="en-US" w:eastAsia="zh-CN"/>
        </w:rPr>
        <w:t>增加17.02</w:t>
      </w:r>
      <w:r>
        <w:rPr>
          <w:rFonts w:hint="eastAsia" w:ascii="仿宋" w:hAnsi="仿宋" w:eastAsia="仿宋"/>
          <w:sz w:val="32"/>
          <w:szCs w:val="32"/>
        </w:rPr>
        <w:t>%，其原因为：</w:t>
      </w:r>
      <w:r>
        <w:rPr>
          <w:rFonts w:hint="eastAsia" w:ascii="仿宋" w:hAnsi="仿宋" w:eastAsia="仿宋"/>
          <w:color w:val="000000" w:themeColor="text1"/>
          <w:sz w:val="32"/>
          <w:szCs w:val="32"/>
          <w14:textFill>
            <w14:solidFill>
              <w14:schemeClr w14:val="tx1"/>
            </w14:solidFill>
          </w14:textFill>
        </w:rPr>
        <w:t>我院</w:t>
      </w:r>
      <w:r>
        <w:rPr>
          <w:rFonts w:hint="eastAsia" w:ascii="仿宋" w:hAnsi="仿宋" w:eastAsia="仿宋"/>
          <w:color w:val="000000" w:themeColor="text1"/>
          <w:sz w:val="32"/>
          <w:szCs w:val="32"/>
          <w:lang w:val="en-US" w:eastAsia="zh-CN"/>
          <w14:textFill>
            <w14:solidFill>
              <w14:schemeClr w14:val="tx1"/>
            </w14:solidFill>
          </w14:textFill>
        </w:rPr>
        <w:t>聘用制书记员的增加及开展政法系统教育整顿工作</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hint="eastAsia" w:ascii="仿宋" w:hAnsi="仿宋" w:eastAsia="仿宋"/>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rPr>
          <w:rFonts w:hint="eastAsia" w:ascii="仿宋" w:hAnsi="仿宋" w:eastAsia="仿宋"/>
          <w:sz w:val="32"/>
          <w:szCs w:val="32"/>
        </w:rPr>
      </w:pPr>
      <w:r>
        <w:rPr>
          <w:rFonts w:hint="eastAsia" w:ascii="仿宋" w:hAnsi="仿宋" w:eastAsia="仿宋"/>
          <w:sz w:val="32"/>
          <w:szCs w:val="32"/>
          <w:lang w:eastAsia="zh-CN"/>
        </w:rPr>
        <w:drawing>
          <wp:inline distT="0" distB="0" distL="114300" distR="114300">
            <wp:extent cx="5080000" cy="3375660"/>
            <wp:effectExtent l="4445" t="4445" r="5715" b="184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3"/>
        <w:spacing w:line="600" w:lineRule="exact"/>
        <w:ind w:firstLine="640"/>
        <w:outlineLvl w:val="1"/>
        <w:rPr>
          <w:rStyle w:val="28"/>
          <w:rFonts w:ascii="黑体" w:hAnsi="黑体" w:eastAsia="黑体"/>
          <w:b w:val="0"/>
        </w:rPr>
      </w:pPr>
      <w:r>
        <w:rPr>
          <w:rFonts w:hint="eastAsia" w:ascii="黑体" w:hAnsi="黑体" w:eastAsia="黑体"/>
          <w:sz w:val="32"/>
          <w:szCs w:val="32"/>
        </w:rPr>
        <w:t>二、</w:t>
      </w:r>
      <w:bookmarkStart w:id="22" w:name="_Toc79163611"/>
      <w:bookmarkStart w:id="23" w:name="_Toc15396604"/>
      <w:bookmarkStart w:id="24" w:name="_Toc15377206"/>
      <w:bookmarkStart w:id="25" w:name="_Toc79163861"/>
      <w:r>
        <w:rPr>
          <w:rFonts w:hint="eastAsia" w:ascii="黑体" w:hAnsi="黑体" w:eastAsia="黑体"/>
          <w:color w:val="000000"/>
          <w:sz w:val="32"/>
          <w:szCs w:val="32"/>
        </w:rPr>
        <w:t>收</w:t>
      </w:r>
      <w:r>
        <w:rPr>
          <w:rStyle w:val="28"/>
          <w:rFonts w:hint="eastAsia" w:ascii="黑体" w:hAnsi="黑体" w:eastAsia="黑体"/>
        </w:rPr>
        <w:t>入决算情况说明</w:t>
      </w:r>
      <w:bookmarkEnd w:id="22"/>
      <w:bookmarkEnd w:id="23"/>
      <w:bookmarkEnd w:id="24"/>
      <w:bookmarkEnd w:id="25"/>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2729.46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2684.46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98.35</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其他收入45万元，占1.65%</w:t>
      </w:r>
      <w:r>
        <w:rPr>
          <w:rFonts w:hint="eastAsia" w:ascii="仿宋" w:hAnsi="仿宋" w:eastAsia="仿宋"/>
          <w:color w:val="000000"/>
          <w:sz w:val="32"/>
          <w:szCs w:val="32"/>
        </w:rPr>
        <w:t>。</w:t>
      </w:r>
    </w:p>
    <w:p>
      <w:pPr>
        <w:pStyle w:val="26"/>
        <w:spacing w:line="600" w:lineRule="exact"/>
        <w:ind w:left="1360" w:firstLine="0" w:firstLineChars="0"/>
        <w:rPr>
          <w:rFonts w:hint="eastAsia" w:ascii="仿宋" w:hAnsi="仿宋" w:eastAsia="仿宋"/>
          <w:color w:val="000000"/>
          <w:sz w:val="32"/>
          <w:szCs w:val="32"/>
          <w:lang w:eastAsia="zh-CN"/>
        </w:rPr>
      </w:pPr>
      <w:r>
        <w:rPr>
          <w:rFonts w:hint="eastAsia" w:ascii="仿宋" w:hAnsi="仿宋" w:eastAsia="仿宋"/>
          <w:color w:val="000000"/>
          <w:sz w:val="32"/>
          <w:szCs w:val="32"/>
        </w:rPr>
        <w:t>（图2：收入决算</w:t>
      </w:r>
      <w:r>
        <w:rPr>
          <w:rFonts w:hint="eastAsia" w:ascii="仿宋" w:hAnsi="仿宋" w:eastAsia="仿宋"/>
          <w:color w:val="000000"/>
          <w:sz w:val="32"/>
          <w:szCs w:val="32"/>
          <w:lang w:val="en-US" w:eastAsia="zh-CN"/>
        </w:rPr>
        <w:t>结构</w:t>
      </w: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饼状</w:t>
      </w:r>
      <w:r>
        <w:rPr>
          <w:rFonts w:hint="eastAsia" w:ascii="仿宋" w:hAnsi="仿宋" w:eastAsia="仿宋"/>
          <w:color w:val="000000"/>
          <w:sz w:val="32"/>
          <w:szCs w:val="32"/>
        </w:rPr>
        <w:t>图）</w:t>
      </w:r>
    </w:p>
    <w:p>
      <w:pPr>
        <w:adjustRightInd w:val="0"/>
        <w:snapToGrid w:val="0"/>
        <w:spacing w:line="360" w:lineRule="auto"/>
        <w:rPr>
          <w:rFonts w:hint="eastAsia" w:ascii="黑体" w:hAnsi="黑体" w:eastAsia="黑体"/>
          <w:color w:val="000000"/>
          <w:sz w:val="32"/>
          <w:szCs w:val="32"/>
          <w:lang w:eastAsia="zh-CN"/>
        </w:rPr>
      </w:pPr>
      <w:bookmarkStart w:id="26" w:name="_Toc15377207"/>
      <w:bookmarkStart w:id="27" w:name="_Toc15396605"/>
      <w:r>
        <w:rPr>
          <w:rFonts w:hint="eastAsia" w:ascii="黑体" w:hAnsi="黑体" w:eastAsia="黑体"/>
          <w:color w:val="000000"/>
          <w:sz w:val="32"/>
          <w:szCs w:val="32"/>
          <w:lang w:val="en-US" w:eastAsia="zh-CN"/>
        </w:rPr>
        <w:t xml:space="preserve">    </w:t>
      </w:r>
      <w:r>
        <w:rPr>
          <w:rFonts w:hint="eastAsia" w:ascii="黑体" w:hAnsi="黑体" w:eastAsia="黑体"/>
          <w:color w:val="000000"/>
          <w:sz w:val="32"/>
          <w:szCs w:val="32"/>
          <w:lang w:eastAsia="zh-CN"/>
        </w:rPr>
        <w:drawing>
          <wp:inline distT="0" distB="0" distL="114300" distR="114300">
            <wp:extent cx="4150995" cy="2583815"/>
            <wp:effectExtent l="4445" t="5080" r="508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800" w:firstLineChars="250"/>
        <w:outlineLvl w:val="1"/>
        <w:rPr>
          <w:rStyle w:val="28"/>
          <w:rFonts w:ascii="黑体" w:hAnsi="黑体" w:eastAsia="黑体"/>
          <w:b w:val="0"/>
        </w:rPr>
      </w:pPr>
      <w:r>
        <w:rPr>
          <w:rFonts w:hint="eastAsia" w:ascii="黑体" w:hAnsi="黑体" w:eastAsia="黑体"/>
          <w:color w:val="000000"/>
          <w:sz w:val="32"/>
          <w:szCs w:val="32"/>
        </w:rPr>
        <w:t>三、支</w:t>
      </w:r>
      <w:r>
        <w:rPr>
          <w:rStyle w:val="28"/>
          <w:rFonts w:hint="eastAsia" w:ascii="黑体" w:hAnsi="黑体" w:eastAsia="黑体"/>
          <w:b w:val="0"/>
        </w:rPr>
        <w:t>出决算情况说明</w:t>
      </w:r>
      <w:bookmarkEnd w:id="26"/>
      <w:bookmarkEnd w:id="27"/>
    </w:p>
    <w:p>
      <w:pPr>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年阿坝州检察院总支出为</w:t>
      </w:r>
      <w:r>
        <w:rPr>
          <w:rFonts w:hint="eastAsia" w:ascii="仿宋" w:hAnsi="仿宋" w:eastAsia="仿宋"/>
          <w:sz w:val="32"/>
          <w:szCs w:val="32"/>
          <w:lang w:val="en-US" w:eastAsia="zh-CN"/>
        </w:rPr>
        <w:t>3065.88</w:t>
      </w:r>
      <w:r>
        <w:rPr>
          <w:rFonts w:hint="eastAsia" w:ascii="仿宋" w:hAnsi="仿宋" w:eastAsia="仿宋"/>
          <w:sz w:val="32"/>
          <w:szCs w:val="32"/>
        </w:rPr>
        <w:t>万元，其中财政拨款支出为</w:t>
      </w:r>
      <w:r>
        <w:rPr>
          <w:rFonts w:hint="eastAsia" w:ascii="仿宋" w:hAnsi="仿宋" w:eastAsia="仿宋"/>
          <w:sz w:val="32"/>
          <w:szCs w:val="32"/>
          <w:lang w:val="en-US" w:eastAsia="zh-CN"/>
        </w:rPr>
        <w:t>3036.68</w:t>
      </w:r>
      <w:r>
        <w:rPr>
          <w:rFonts w:hint="eastAsia" w:ascii="仿宋" w:hAnsi="仿宋" w:eastAsia="仿宋"/>
          <w:sz w:val="32"/>
          <w:szCs w:val="32"/>
        </w:rPr>
        <w:t>万元。财政拨款支出较20</w:t>
      </w:r>
      <w:r>
        <w:rPr>
          <w:rFonts w:hint="eastAsia" w:ascii="仿宋" w:hAnsi="仿宋" w:eastAsia="仿宋"/>
          <w:sz w:val="32"/>
          <w:szCs w:val="32"/>
          <w:lang w:val="en-US" w:eastAsia="zh-CN"/>
        </w:rPr>
        <w:t>20</w:t>
      </w:r>
      <w:r>
        <w:rPr>
          <w:rFonts w:hint="eastAsia" w:ascii="仿宋" w:hAnsi="仿宋" w:eastAsia="仿宋"/>
          <w:sz w:val="32"/>
          <w:szCs w:val="32"/>
        </w:rPr>
        <w:t>年财政拨款支出（</w:t>
      </w:r>
      <w:r>
        <w:rPr>
          <w:rFonts w:hint="eastAsia" w:ascii="仿宋" w:hAnsi="仿宋" w:eastAsia="仿宋"/>
          <w:sz w:val="32"/>
          <w:szCs w:val="32"/>
          <w:lang w:val="en-US" w:eastAsia="zh-CN"/>
        </w:rPr>
        <w:t>2595.01</w:t>
      </w:r>
      <w:r>
        <w:rPr>
          <w:rFonts w:hint="eastAsia" w:ascii="仿宋" w:hAnsi="仿宋" w:eastAsia="仿宋"/>
          <w:sz w:val="32"/>
          <w:szCs w:val="32"/>
        </w:rPr>
        <w:t>万元）</w:t>
      </w:r>
      <w:r>
        <w:rPr>
          <w:rFonts w:hint="eastAsia" w:ascii="仿宋" w:hAnsi="仿宋" w:eastAsia="仿宋"/>
          <w:sz w:val="32"/>
          <w:szCs w:val="32"/>
          <w:lang w:val="en-US" w:eastAsia="zh-CN"/>
        </w:rPr>
        <w:t>增加17.02</w:t>
      </w:r>
      <w:r>
        <w:rPr>
          <w:rFonts w:hint="eastAsia" w:ascii="仿宋" w:hAnsi="仿宋" w:eastAsia="仿宋"/>
          <w:sz w:val="32"/>
          <w:szCs w:val="32"/>
        </w:rPr>
        <w:t>%，</w:t>
      </w:r>
      <w:r>
        <w:rPr>
          <w:rFonts w:hint="eastAsia" w:ascii="仿宋" w:hAnsi="仿宋" w:eastAsia="仿宋"/>
          <w:sz w:val="32"/>
          <w:szCs w:val="32"/>
          <w:lang w:val="en-US" w:eastAsia="zh-CN"/>
        </w:rPr>
        <w:t>增加的原因为</w:t>
      </w:r>
      <w:r>
        <w:rPr>
          <w:rFonts w:hint="eastAsia" w:ascii="仿宋" w:hAnsi="仿宋" w:eastAsia="仿宋"/>
          <w:color w:val="000000" w:themeColor="text1"/>
          <w:sz w:val="32"/>
          <w:szCs w:val="32"/>
          <w14:textFill>
            <w14:solidFill>
              <w14:schemeClr w14:val="tx1"/>
            </w14:solidFill>
          </w14:textFill>
        </w:rPr>
        <w:t>我院</w:t>
      </w:r>
      <w:r>
        <w:rPr>
          <w:rFonts w:hint="eastAsia" w:ascii="仿宋" w:hAnsi="仿宋" w:eastAsia="仿宋"/>
          <w:color w:val="000000" w:themeColor="text1"/>
          <w:sz w:val="32"/>
          <w:szCs w:val="32"/>
          <w:lang w:val="en-US" w:eastAsia="zh-CN"/>
          <w14:textFill>
            <w14:solidFill>
              <w14:schemeClr w14:val="tx1"/>
            </w14:solidFill>
          </w14:textFill>
        </w:rPr>
        <w:t>聘用制书记员的增加及开展政法系统教育整顿工作</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1280" w:firstLineChars="4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r>
        <w:rPr>
          <w:rFonts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624840</wp:posOffset>
            </wp:positionH>
            <wp:positionV relativeFrom="paragraph">
              <wp:posOffset>23495</wp:posOffset>
            </wp:positionV>
            <wp:extent cx="4152900" cy="2300605"/>
            <wp:effectExtent l="4445" t="4445" r="18415" b="11430"/>
            <wp:wrapSquare wrapText="bothSides"/>
            <wp:docPr id="19"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p>
    <w:p>
      <w:pPr>
        <w:spacing w:line="600" w:lineRule="exact"/>
        <w:rPr>
          <w:rFonts w:ascii="黑体" w:hAnsi="黑体" w:eastAsia="黑体"/>
          <w:color w:val="000000"/>
          <w:sz w:val="32"/>
          <w:szCs w:val="32"/>
        </w:rPr>
      </w:pPr>
      <w:bookmarkStart w:id="28" w:name="_Toc15396606"/>
      <w:bookmarkStart w:id="29" w:name="_Toc15377208"/>
    </w:p>
    <w:p>
      <w:pPr>
        <w:spacing w:line="600" w:lineRule="exact"/>
        <w:ind w:firstLine="640" w:firstLineChars="200"/>
        <w:outlineLvl w:val="1"/>
        <w:rPr>
          <w:rStyle w:val="28"/>
          <w:rFonts w:ascii="黑体" w:hAnsi="黑体" w:eastAsia="黑体"/>
          <w:b w:val="0"/>
        </w:rPr>
      </w:pPr>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28"/>
      <w:bookmarkEnd w:id="29"/>
    </w:p>
    <w:p>
      <w:pPr>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年财政拨款收入总计</w:t>
      </w:r>
      <w:r>
        <w:rPr>
          <w:rFonts w:hint="eastAsia" w:ascii="仿宋" w:hAnsi="仿宋" w:eastAsia="仿宋"/>
          <w:color w:val="000000"/>
          <w:sz w:val="32"/>
          <w:szCs w:val="32"/>
          <w:lang w:val="en-US" w:eastAsia="zh-CN"/>
        </w:rPr>
        <w:t>2684.46</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年相比，财政拨款收入总计</w:t>
      </w:r>
      <w:r>
        <w:rPr>
          <w:rFonts w:hint="eastAsia" w:ascii="仿宋" w:hAnsi="仿宋" w:eastAsia="仿宋"/>
          <w:color w:val="000000"/>
          <w:sz w:val="32"/>
          <w:szCs w:val="32"/>
          <w:lang w:val="en-US" w:eastAsia="zh-CN"/>
        </w:rPr>
        <w:t>增加364.17</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增加15.7</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sz w:val="32"/>
          <w:szCs w:val="32"/>
          <w:lang w:val="en-US" w:eastAsia="zh-CN"/>
        </w:rPr>
        <w:t>为</w:t>
      </w:r>
      <w:r>
        <w:rPr>
          <w:rFonts w:hint="eastAsia" w:ascii="仿宋" w:hAnsi="仿宋" w:eastAsia="仿宋"/>
          <w:color w:val="000000" w:themeColor="text1"/>
          <w:sz w:val="32"/>
          <w:szCs w:val="32"/>
          <w14:textFill>
            <w14:solidFill>
              <w14:schemeClr w14:val="tx1"/>
            </w14:solidFill>
          </w14:textFill>
        </w:rPr>
        <w:t>我院</w:t>
      </w:r>
      <w:r>
        <w:rPr>
          <w:rFonts w:hint="eastAsia" w:ascii="仿宋" w:hAnsi="仿宋" w:eastAsia="仿宋"/>
          <w:color w:val="000000" w:themeColor="text1"/>
          <w:sz w:val="32"/>
          <w:szCs w:val="32"/>
          <w:lang w:val="en-US" w:eastAsia="zh-CN"/>
          <w14:textFill>
            <w14:solidFill>
              <w14:schemeClr w14:val="tx1"/>
            </w14:solidFill>
          </w14:textFill>
        </w:rPr>
        <w:t>聘用制书记员的增加及开展政法系统教育整顿工作</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柱状图</w:t>
      </w:r>
      <w:r>
        <w:rPr>
          <w:rFonts w:hint="eastAsia" w:ascii="仿宋" w:hAnsi="仿宋" w:eastAsia="仿宋"/>
          <w:color w:val="000000" w:themeColor="text1"/>
          <w:sz w:val="32"/>
          <w:szCs w:val="32"/>
          <w:lang w:eastAsia="zh-CN"/>
          <w14:textFill>
            <w14:solidFill>
              <w14:schemeClr w14:val="tx1"/>
            </w14:solidFill>
          </w14:textFill>
        </w:rPr>
        <w:t>）</w:t>
      </w:r>
    </w:p>
    <w:p>
      <w:pPr>
        <w:pStyle w:val="2"/>
        <w:ind w:left="0" w:leftChars="0" w:firstLine="0" w:firstLineChars="0"/>
        <w:rPr>
          <w:rFonts w:hint="eastAsia" w:ascii="仿宋" w:hAnsi="仿宋" w:eastAsia="仿宋"/>
          <w:b/>
          <w:color w:val="000000" w:themeColor="text1"/>
          <w:sz w:val="32"/>
          <w:szCs w:val="32"/>
          <w:lang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 xml:space="preserve"> </w:t>
      </w:r>
      <w:r>
        <w:rPr>
          <w:rFonts w:hint="eastAsia" w:ascii="仿宋" w:hAnsi="仿宋" w:eastAsia="仿宋"/>
          <w:b/>
          <w:color w:val="000000" w:themeColor="text1"/>
          <w:sz w:val="32"/>
          <w:szCs w:val="32"/>
          <w:lang w:eastAsia="zh-CN"/>
          <w14:textFill>
            <w14:solidFill>
              <w14:schemeClr w14:val="tx1"/>
            </w14:solidFill>
          </w14:textFill>
        </w:rPr>
        <w:drawing>
          <wp:inline distT="0" distB="0" distL="114300" distR="114300">
            <wp:extent cx="5080000" cy="2401570"/>
            <wp:effectExtent l="5080" t="4445" r="508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960" w:firstLineChars="300"/>
        <w:outlineLvl w:val="1"/>
        <w:rPr>
          <w:rStyle w:val="28"/>
          <w:rFonts w:ascii="黑体" w:hAnsi="黑体" w:eastAsia="黑体"/>
          <w:b w:val="0"/>
        </w:rPr>
      </w:pPr>
      <w:bookmarkStart w:id="30" w:name="_Toc15377209"/>
      <w:bookmarkStart w:id="31"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0"/>
      <w:bookmarkEnd w:id="31"/>
    </w:p>
    <w:p>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2021年一般公共预算财政拨款支出3036.68万元，占本年支出合计的99.05%。与2020年相比，一般公共预算财政拨款支出增加441.67万元，增长14.54%。主要变动原因是</w:t>
      </w:r>
      <w:r>
        <w:rPr>
          <w:rFonts w:hint="eastAsia" w:ascii="仿宋" w:hAnsi="仿宋" w:eastAsia="仿宋"/>
          <w:color w:val="000000" w:themeColor="text1"/>
          <w:sz w:val="32"/>
          <w:szCs w:val="32"/>
          <w14:textFill>
            <w14:solidFill>
              <w14:schemeClr w14:val="tx1"/>
            </w14:solidFill>
          </w14:textFill>
        </w:rPr>
        <w:t>我院</w:t>
      </w:r>
      <w:r>
        <w:rPr>
          <w:rFonts w:hint="eastAsia" w:ascii="仿宋" w:hAnsi="仿宋" w:eastAsia="仿宋"/>
          <w:color w:val="000000" w:themeColor="text1"/>
          <w:sz w:val="32"/>
          <w:szCs w:val="32"/>
          <w:lang w:val="en-US" w:eastAsia="zh-CN"/>
          <w14:textFill>
            <w14:solidFill>
              <w14:schemeClr w14:val="tx1"/>
            </w14:solidFill>
          </w14:textFill>
        </w:rPr>
        <w:t>聘用制书记员的增加及开展政法系统教育整顿工作</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480" w:firstLineChars="15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pPr>
        <w:spacing w:line="600" w:lineRule="exact"/>
        <w:ind w:firstLine="3200" w:firstLineChars="10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（柱状图</w:t>
      </w:r>
      <w:bookmarkStart w:id="33" w:name="_Toc15377211"/>
      <w:r>
        <w:rPr>
          <w:rFonts w:hint="eastAsia" w:ascii="仿宋" w:hAnsi="仿宋" w:eastAsia="仿宋"/>
          <w:color w:val="000000" w:themeColor="text1"/>
          <w:sz w:val="32"/>
          <w:szCs w:val="32"/>
          <w14:textFill>
            <w14:solidFill>
              <w14:schemeClr w14:val="tx1"/>
            </w14:solidFill>
          </w14:textFill>
        </w:rPr>
        <w:t>）</w:t>
      </w:r>
    </w:p>
    <w:p>
      <w:pPr>
        <w:pStyle w:val="2"/>
        <w:ind w:left="0" w:leftChars="0" w:firstLine="0" w:firstLineChars="0"/>
        <w:rPr>
          <w:rFonts w:ascii="仿宋" w:hAnsi="仿宋" w:eastAsia="仿宋"/>
          <w:color w:val="000000" w:themeColor="text1"/>
          <w:sz w:val="32"/>
          <w:szCs w:val="32"/>
          <w14:textFill>
            <w14:solidFill>
              <w14:schemeClr w14:val="tx1"/>
            </w14:solidFill>
          </w14:textFill>
        </w:rPr>
      </w:pPr>
    </w:p>
    <w:p>
      <w:pPr>
        <w:pStyle w:val="2"/>
        <w:ind w:left="0" w:leftChars="0" w:firstLine="0" w:firstLineChars="0"/>
        <w:rPr>
          <w:rFonts w:ascii="仿宋" w:hAnsi="仿宋" w:eastAsia="仿宋"/>
          <w:color w:val="000000" w:themeColor="text1"/>
          <w:sz w:val="32"/>
          <w:szCs w:val="32"/>
          <w14:textFill>
            <w14:solidFill>
              <w14:schemeClr w14:val="tx1"/>
            </w14:solidFill>
          </w14:textFill>
        </w:rPr>
      </w:pPr>
      <w:bookmarkStart w:id="74" w:name="_GoBack"/>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194300" cy="2751455"/>
            <wp:effectExtent l="4445" t="4445" r="13335" b="1778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74"/>
    </w:p>
    <w:p>
      <w:pPr>
        <w:spacing w:line="600" w:lineRule="exact"/>
        <w:ind w:firstLine="482" w:firstLineChars="150"/>
        <w:rPr>
          <w:rFonts w:ascii="仿宋" w:hAnsi="仿宋" w:eastAsia="仿宋"/>
          <w:color w:val="000000"/>
          <w:sz w:val="32"/>
          <w:szCs w:val="32"/>
        </w:rPr>
      </w:pPr>
      <w:r>
        <w:rPr>
          <w:rFonts w:hint="eastAsia" w:ascii="仿宋" w:hAnsi="仿宋" w:eastAsia="仿宋"/>
          <w:b/>
          <w:color w:val="000000"/>
          <w:sz w:val="32"/>
          <w:szCs w:val="32"/>
        </w:rPr>
        <w:t>（一）一般公共预算财政拨款支出决算结构情况</w:t>
      </w:r>
      <w:bookmarkEnd w:id="33"/>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3036.68</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 xml:space="preserve"> 公共安全（204）</w:t>
      </w:r>
      <w:r>
        <w:rPr>
          <w:rFonts w:hint="eastAsia" w:ascii="仿宋" w:hAnsi="仿宋" w:eastAsia="仿宋"/>
          <w:bCs/>
          <w:color w:val="000000" w:themeColor="text1"/>
          <w:sz w:val="32"/>
          <w:szCs w:val="32"/>
          <w14:textFill>
            <w14:solidFill>
              <w14:schemeClr w14:val="tx1"/>
            </w14:solidFill>
          </w14:textFill>
        </w:rPr>
        <w:t>支出</w:t>
      </w:r>
      <w:r>
        <w:rPr>
          <w:rFonts w:hint="eastAsia" w:ascii="仿宋" w:hAnsi="仿宋" w:eastAsia="仿宋"/>
          <w:bCs/>
          <w:color w:val="000000" w:themeColor="text1"/>
          <w:sz w:val="32"/>
          <w:szCs w:val="32"/>
          <w:lang w:val="en-US" w:eastAsia="zh-CN"/>
          <w14:textFill>
            <w14:solidFill>
              <w14:schemeClr w14:val="tx1"/>
            </w14:solidFill>
          </w14:textFill>
        </w:rPr>
        <w:t>2674.31</w:t>
      </w:r>
      <w:r>
        <w:rPr>
          <w:rFonts w:hint="eastAsia" w:ascii="仿宋" w:hAnsi="仿宋" w:eastAsia="仿宋"/>
          <w:bCs/>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88.07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教育（205）</w:t>
      </w:r>
      <w:r>
        <w:rPr>
          <w:rFonts w:hint="eastAsia" w:ascii="仿宋" w:hAnsi="仿宋" w:eastAsia="仿宋"/>
          <w:color w:val="000000" w:themeColor="text1"/>
          <w:sz w:val="32"/>
          <w:szCs w:val="32"/>
          <w:lang w:val="en-US" w:eastAsia="zh-CN"/>
          <w14:textFill>
            <w14:solidFill>
              <w14:schemeClr w14:val="tx1"/>
            </w14:solidFill>
          </w14:textFill>
        </w:rPr>
        <w:t>支出</w:t>
      </w:r>
      <w:r>
        <w:rPr>
          <w:rFonts w:hint="eastAsia" w:ascii="仿宋" w:hAnsi="仿宋" w:eastAsia="仿宋"/>
          <w:bCs/>
          <w:color w:val="000000" w:themeColor="text1"/>
          <w:sz w:val="32"/>
          <w:szCs w:val="32"/>
          <w:lang w:val="en-US" w:eastAsia="zh-CN"/>
          <w14:textFill>
            <w14:solidFill>
              <w14:schemeClr w14:val="tx1"/>
            </w14:solidFill>
          </w14:textFill>
        </w:rPr>
        <w:t>0.2</w:t>
      </w:r>
      <w:r>
        <w:rPr>
          <w:rFonts w:hint="eastAsia" w:ascii="仿宋" w:hAnsi="仿宋" w:eastAsia="仿宋"/>
          <w:bCs/>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0.01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社会保障和就业（208）</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152.7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5.03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卫生健康</w:t>
      </w:r>
      <w:r>
        <w:rPr>
          <w:rFonts w:hint="eastAsia" w:ascii="仿宋" w:hAnsi="仿宋" w:eastAsia="仿宋"/>
          <w:b/>
          <w:bCs/>
          <w:color w:val="000000" w:themeColor="text1"/>
          <w:sz w:val="32"/>
          <w:szCs w:val="32"/>
          <w14:textFill>
            <w14:solidFill>
              <w14:schemeClr w14:val="tx1"/>
            </w14:solidFill>
          </w14:textFill>
        </w:rPr>
        <w:t>（210）</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79.10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2.60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住房保障支出（221）</w:t>
      </w:r>
      <w:r>
        <w:rPr>
          <w:rFonts w:hint="eastAsia" w:ascii="仿宋" w:hAnsi="仿宋" w:eastAsia="仿宋"/>
          <w:color w:val="000000" w:themeColor="text1"/>
          <w:sz w:val="32"/>
          <w:szCs w:val="32"/>
          <w:lang w:val="en-US" w:eastAsia="zh-CN"/>
          <w14:textFill>
            <w14:solidFill>
              <w14:schemeClr w14:val="tx1"/>
            </w14:solidFill>
          </w14:textFill>
        </w:rPr>
        <w:t>130.36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4.29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320" w:firstLineChars="1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pStyle w:val="2"/>
        <w:ind w:left="0" w:leftChars="0" w:firstLine="0" w:firstLineChars="0"/>
        <w:rPr>
          <w:rFonts w:ascii="仿宋" w:hAnsi="仿宋" w:eastAsia="仿宋"/>
          <w:b/>
          <w:color w:val="000000"/>
          <w:sz w:val="32"/>
          <w:szCs w:val="32"/>
        </w:rPr>
      </w:pPr>
      <w:r>
        <w:rPr>
          <w:rFonts w:hint="eastAsia" w:ascii="仿宋" w:hAnsi="仿宋" w:eastAsia="仿宋"/>
          <w:color w:val="000000"/>
          <w:sz w:val="32"/>
          <w:szCs w:val="32"/>
          <w:lang w:val="en-US" w:eastAsia="zh-CN"/>
        </w:rPr>
        <w:t xml:space="preserve">      </w:t>
      </w:r>
      <w:bookmarkStart w:id="34" w:name="_Toc15377212"/>
      <w:r>
        <w:rPr>
          <w:rFonts w:hint="eastAsia" w:ascii="仿宋" w:hAnsi="仿宋" w:eastAsia="仿宋"/>
          <w:color w:val="000000"/>
          <w:sz w:val="32"/>
          <w:szCs w:val="32"/>
          <w:lang w:eastAsia="zh-CN"/>
        </w:rPr>
        <w:drawing>
          <wp:inline distT="0" distB="0" distL="114300" distR="114300">
            <wp:extent cx="4234815" cy="3238500"/>
            <wp:effectExtent l="4445" t="4445" r="12700" b="18415"/>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（二）一般公共预算财政拨款支出决算具体情况</w:t>
      </w:r>
      <w:bookmarkEnd w:id="34"/>
    </w:p>
    <w:p>
      <w:pPr>
        <w:spacing w:line="600" w:lineRule="exact"/>
        <w:ind w:firstLine="640" w:firstLineChars="200"/>
        <w:outlineLvl w:val="2"/>
        <w:rPr>
          <w:rFonts w:ascii="仿宋" w:hAnsi="仿宋" w:eastAsia="仿宋"/>
          <w:bCs/>
          <w:color w:val="FF0000"/>
          <w:sz w:val="32"/>
          <w:szCs w:val="32"/>
        </w:rPr>
      </w:pPr>
      <w:bookmarkStart w:id="35" w:name="_Toc15378460"/>
      <w:bookmarkStart w:id="36" w:name="_Toc15377444"/>
      <w:bookmarkStart w:id="37" w:name="_Toc15377213"/>
      <w:r>
        <w:rPr>
          <w:rFonts w:hint="eastAsia" w:ascii="仿宋" w:hAnsi="仿宋" w:eastAsia="仿宋"/>
          <w:bCs/>
          <w:color w:val="000000" w:themeColor="text1"/>
          <w:sz w:val="32"/>
          <w:szCs w:val="32"/>
          <w14:textFill>
            <w14:solidFill>
              <w14:schemeClr w14:val="tx1"/>
            </w14:solidFill>
          </w14:textFill>
        </w:rPr>
        <w:t>202</w:t>
      </w:r>
      <w:r>
        <w:rPr>
          <w:rFonts w:hint="eastAsia" w:ascii="仿宋" w:hAnsi="仿宋" w:eastAsia="仿宋"/>
          <w:bCs/>
          <w:color w:val="000000" w:themeColor="text1"/>
          <w:sz w:val="32"/>
          <w:szCs w:val="32"/>
          <w:lang w:val="en-US" w:eastAsia="zh-CN"/>
          <w14:textFill>
            <w14:solidFill>
              <w14:schemeClr w14:val="tx1"/>
            </w14:solidFill>
          </w14:textFill>
        </w:rPr>
        <w:t>1</w:t>
      </w:r>
      <w:r>
        <w:rPr>
          <w:rFonts w:hint="eastAsia" w:ascii="仿宋" w:hAnsi="仿宋" w:eastAsia="仿宋"/>
          <w:bCs/>
          <w:color w:val="000000" w:themeColor="text1"/>
          <w:sz w:val="32"/>
          <w:szCs w:val="32"/>
          <w14:textFill>
            <w14:solidFill>
              <w14:schemeClr w14:val="tx1"/>
            </w14:solidFill>
          </w14:textFill>
        </w:rPr>
        <w:t>年一般公共预算支出决算数为</w:t>
      </w:r>
      <w:r>
        <w:rPr>
          <w:rFonts w:hint="eastAsia" w:ascii="仿宋" w:hAnsi="仿宋" w:eastAsia="仿宋"/>
          <w:bCs/>
          <w:color w:val="000000" w:themeColor="text1"/>
          <w:sz w:val="32"/>
          <w:szCs w:val="32"/>
          <w:lang w:val="en-US" w:eastAsia="zh-CN"/>
          <w14:textFill>
            <w14:solidFill>
              <w14:schemeClr w14:val="tx1"/>
            </w14:solidFill>
          </w14:textFill>
        </w:rPr>
        <w:t>3036.68</w:t>
      </w:r>
      <w:r>
        <w:rPr>
          <w:rFonts w:ascii="仿宋" w:hAnsi="仿宋" w:eastAsia="仿宋"/>
          <w:bCs/>
          <w:color w:val="000000" w:themeColor="text1"/>
          <w:sz w:val="32"/>
          <w:szCs w:val="32"/>
          <w14:textFill>
            <w14:solidFill>
              <w14:schemeClr w14:val="tx1"/>
            </w14:solidFill>
          </w14:textFill>
        </w:rPr>
        <w:t>万元</w:t>
      </w:r>
      <w:r>
        <w:rPr>
          <w:rFonts w:hint="eastAsia" w:ascii="仿宋" w:hAnsi="仿宋" w:eastAsia="仿宋"/>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完成</w:t>
      </w:r>
      <w:r>
        <w:rPr>
          <w:rStyle w:val="17"/>
          <w:rFonts w:hint="eastAsia" w:ascii="仿宋" w:hAnsi="仿宋" w:eastAsia="仿宋"/>
          <w:b w:val="0"/>
          <w:bCs/>
          <w:color w:val="000000"/>
          <w:sz w:val="32"/>
          <w:szCs w:val="32"/>
        </w:rPr>
        <w:t>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。其中：</w:t>
      </w:r>
      <w:bookmarkEnd w:id="35"/>
      <w:bookmarkEnd w:id="36"/>
      <w:bookmarkEnd w:id="37"/>
    </w:p>
    <w:p>
      <w:pPr>
        <w:spacing w:line="600" w:lineRule="exact"/>
        <w:ind w:firstLine="640" w:firstLineChars="200"/>
        <w:rPr>
          <w:rStyle w:val="17"/>
          <w:rFonts w:ascii="仿宋_GB2312" w:eastAsia="仿宋_GB2312"/>
          <w:b w:val="0"/>
          <w:bCs/>
          <w:color w:val="000000"/>
          <w:sz w:val="32"/>
          <w:szCs w:val="32"/>
        </w:rPr>
      </w:pPr>
      <w:r>
        <w:rPr>
          <w:rStyle w:val="17"/>
          <w:rFonts w:hint="eastAsia" w:ascii="仿宋" w:hAnsi="仿宋" w:eastAsia="仿宋"/>
          <w:b w:val="0"/>
          <w:bCs/>
          <w:color w:val="000000"/>
          <w:sz w:val="32"/>
          <w:szCs w:val="32"/>
        </w:rPr>
        <w:t>1.公共安全（204）检察（04）行政运行（01）:</w:t>
      </w:r>
      <w:r>
        <w:rPr>
          <w:rStyle w:val="17"/>
          <w:rFonts w:hint="eastAsia" w:ascii="仿宋_GB2312" w:eastAsia="仿宋_GB2312"/>
          <w:b w:val="0"/>
          <w:bCs/>
          <w:color w:val="000000"/>
          <w:sz w:val="32"/>
          <w:szCs w:val="32"/>
        </w:rPr>
        <w:t xml:space="preserve"> 支出决算为</w:t>
      </w:r>
      <w:r>
        <w:rPr>
          <w:rStyle w:val="17"/>
          <w:rFonts w:hint="eastAsia" w:ascii="仿宋_GB2312" w:eastAsia="仿宋_GB2312"/>
          <w:b w:val="0"/>
          <w:bCs/>
          <w:color w:val="000000"/>
          <w:sz w:val="32"/>
          <w:szCs w:val="32"/>
          <w:lang w:val="en-US" w:eastAsia="zh-CN"/>
        </w:rPr>
        <w:t>2023.68</w:t>
      </w:r>
      <w:r>
        <w:rPr>
          <w:rStyle w:val="17"/>
          <w:rFonts w:hint="eastAsia" w:ascii="仿宋_GB2312" w:eastAsia="仿宋_GB2312"/>
          <w:b w:val="0"/>
          <w:bCs/>
          <w:color w:val="000000"/>
          <w:sz w:val="32"/>
          <w:szCs w:val="32"/>
        </w:rPr>
        <w:t>万元，完成预算100%。</w:t>
      </w:r>
    </w:p>
    <w:p>
      <w:pPr>
        <w:spacing w:line="600" w:lineRule="exact"/>
        <w:ind w:firstLine="640" w:firstLineChars="200"/>
        <w:rPr>
          <w:rStyle w:val="17"/>
          <w:rFonts w:hint="eastAsia" w:ascii="仿宋" w:hAnsi="仿宋" w:eastAsia="仿宋"/>
          <w:b w:val="0"/>
          <w:bCs/>
          <w:color w:val="000000"/>
          <w:sz w:val="32"/>
          <w:szCs w:val="32"/>
        </w:rPr>
      </w:pPr>
      <w:r>
        <w:rPr>
          <w:rStyle w:val="17"/>
          <w:rFonts w:hint="eastAsia" w:ascii="仿宋" w:hAnsi="仿宋" w:eastAsia="仿宋"/>
          <w:b w:val="0"/>
          <w:bCs/>
          <w:color w:val="000000"/>
          <w:sz w:val="32"/>
          <w:szCs w:val="32"/>
        </w:rPr>
        <w:t>2.公共安全（204）检察（04）一般行政事务管理（02）:支出决算为</w:t>
      </w:r>
      <w:r>
        <w:rPr>
          <w:rStyle w:val="17"/>
          <w:rFonts w:hint="eastAsia" w:ascii="仿宋" w:hAnsi="仿宋" w:eastAsia="仿宋"/>
          <w:b w:val="0"/>
          <w:bCs/>
          <w:color w:val="000000"/>
          <w:sz w:val="32"/>
          <w:szCs w:val="32"/>
          <w:lang w:val="en-US" w:eastAsia="zh-CN"/>
        </w:rPr>
        <w:t>647.63</w:t>
      </w:r>
      <w:r>
        <w:rPr>
          <w:rStyle w:val="17"/>
          <w:rFonts w:hint="eastAsia" w:ascii="仿宋" w:hAnsi="仿宋" w:eastAsia="仿宋"/>
          <w:b w:val="0"/>
          <w:bCs/>
          <w:color w:val="000000"/>
          <w:sz w:val="32"/>
          <w:szCs w:val="32"/>
        </w:rPr>
        <w:t>万元，完成预算100%。</w:t>
      </w:r>
    </w:p>
    <w:p>
      <w:pPr>
        <w:spacing w:line="600" w:lineRule="exact"/>
        <w:ind w:firstLine="640" w:firstLineChars="200"/>
        <w:rPr>
          <w:rStyle w:val="17"/>
          <w:rFonts w:hint="eastAsia" w:ascii="仿宋" w:hAnsi="仿宋" w:eastAsia="仿宋"/>
          <w:b w:val="0"/>
          <w:bCs/>
          <w:color w:val="000000"/>
          <w:sz w:val="32"/>
          <w:szCs w:val="32"/>
        </w:rPr>
      </w:pPr>
      <w:r>
        <w:rPr>
          <w:rStyle w:val="17"/>
          <w:rFonts w:hint="eastAsia" w:ascii="仿宋" w:hAnsi="仿宋" w:eastAsia="仿宋"/>
          <w:b w:val="0"/>
          <w:bCs/>
          <w:color w:val="000000"/>
          <w:sz w:val="32"/>
          <w:szCs w:val="32"/>
          <w:lang w:val="en-US" w:eastAsia="zh-CN"/>
        </w:rPr>
        <w:t>3</w:t>
      </w:r>
      <w:r>
        <w:rPr>
          <w:rStyle w:val="17"/>
          <w:rFonts w:hint="eastAsia" w:ascii="仿宋" w:hAnsi="仿宋" w:eastAsia="仿宋"/>
          <w:b w:val="0"/>
          <w:bCs/>
          <w:color w:val="000000"/>
          <w:sz w:val="32"/>
          <w:szCs w:val="32"/>
        </w:rPr>
        <w:t>.公共安全（204）检察（04）</w:t>
      </w:r>
      <w:r>
        <w:rPr>
          <w:rStyle w:val="17"/>
          <w:rFonts w:hint="eastAsia" w:ascii="仿宋" w:hAnsi="仿宋" w:eastAsia="仿宋"/>
          <w:b w:val="0"/>
          <w:bCs/>
          <w:color w:val="000000"/>
          <w:sz w:val="32"/>
          <w:szCs w:val="32"/>
          <w:lang w:val="en-US" w:eastAsia="zh-CN"/>
        </w:rPr>
        <w:t>其他检察支出（99）</w:t>
      </w:r>
      <w:r>
        <w:rPr>
          <w:rStyle w:val="17"/>
          <w:rFonts w:hint="eastAsia" w:ascii="仿宋" w:hAnsi="仿宋" w:eastAsia="仿宋"/>
          <w:b w:val="0"/>
          <w:bCs/>
          <w:color w:val="000000"/>
          <w:sz w:val="32"/>
          <w:szCs w:val="32"/>
        </w:rPr>
        <w:t>: 支出决算为</w:t>
      </w:r>
      <w:r>
        <w:rPr>
          <w:rStyle w:val="17"/>
          <w:rFonts w:hint="eastAsia" w:ascii="仿宋" w:hAnsi="仿宋" w:eastAsia="仿宋"/>
          <w:b w:val="0"/>
          <w:bCs/>
          <w:color w:val="000000"/>
          <w:sz w:val="32"/>
          <w:szCs w:val="32"/>
          <w:lang w:val="en-US" w:eastAsia="zh-CN"/>
        </w:rPr>
        <w:t>3</w:t>
      </w:r>
      <w:r>
        <w:rPr>
          <w:rStyle w:val="17"/>
          <w:rFonts w:hint="eastAsia" w:ascii="仿宋" w:hAnsi="仿宋" w:eastAsia="仿宋"/>
          <w:b w:val="0"/>
          <w:bCs/>
          <w:color w:val="000000"/>
          <w:sz w:val="32"/>
          <w:szCs w:val="32"/>
        </w:rPr>
        <w:t>万元，完成预算100%。</w:t>
      </w:r>
    </w:p>
    <w:p>
      <w:pPr>
        <w:spacing w:line="600" w:lineRule="exact"/>
        <w:ind w:firstLine="640" w:firstLineChars="200"/>
        <w:rPr>
          <w:rStyle w:val="17"/>
          <w:rFonts w:hint="eastAsia" w:ascii="仿宋" w:hAnsi="仿宋" w:eastAsia="仿宋"/>
          <w:b w:val="0"/>
          <w:bCs/>
          <w:color w:val="000000"/>
          <w:sz w:val="32"/>
          <w:szCs w:val="32"/>
        </w:rPr>
      </w:pPr>
      <w:r>
        <w:rPr>
          <w:rStyle w:val="17"/>
          <w:rFonts w:hint="eastAsia" w:ascii="仿宋" w:hAnsi="仿宋" w:eastAsia="仿宋"/>
          <w:b w:val="0"/>
          <w:bCs/>
          <w:color w:val="000000"/>
          <w:sz w:val="32"/>
          <w:szCs w:val="32"/>
          <w:lang w:val="en-US" w:eastAsia="zh-CN"/>
        </w:rPr>
        <w:t>4</w:t>
      </w:r>
      <w:r>
        <w:rPr>
          <w:rStyle w:val="17"/>
          <w:rFonts w:hint="eastAsia" w:ascii="仿宋" w:hAnsi="仿宋" w:eastAsia="仿宋"/>
          <w:b w:val="0"/>
          <w:bCs/>
          <w:color w:val="000000"/>
          <w:sz w:val="32"/>
          <w:szCs w:val="32"/>
        </w:rPr>
        <w:t>.</w:t>
      </w:r>
      <w:r>
        <w:rPr>
          <w:rStyle w:val="17"/>
          <w:rFonts w:hint="eastAsia" w:ascii="仿宋" w:hAnsi="仿宋" w:eastAsia="仿宋"/>
          <w:b w:val="0"/>
          <w:bCs/>
          <w:color w:val="000000"/>
          <w:sz w:val="32"/>
          <w:szCs w:val="32"/>
          <w:lang w:val="en-US" w:eastAsia="zh-CN"/>
        </w:rPr>
        <w:t>教育支出</w:t>
      </w:r>
      <w:r>
        <w:rPr>
          <w:rStyle w:val="17"/>
          <w:rFonts w:hint="eastAsia" w:ascii="仿宋" w:hAnsi="仿宋" w:eastAsia="仿宋"/>
          <w:b w:val="0"/>
          <w:bCs/>
          <w:color w:val="000000"/>
          <w:sz w:val="32"/>
          <w:szCs w:val="32"/>
        </w:rPr>
        <w:t>（20</w:t>
      </w:r>
      <w:r>
        <w:rPr>
          <w:rStyle w:val="17"/>
          <w:rFonts w:hint="eastAsia" w:ascii="仿宋" w:hAnsi="仿宋" w:eastAsia="仿宋"/>
          <w:b w:val="0"/>
          <w:bCs/>
          <w:color w:val="000000"/>
          <w:sz w:val="32"/>
          <w:szCs w:val="32"/>
          <w:lang w:val="en-US" w:eastAsia="zh-CN"/>
        </w:rPr>
        <w:t>5</w:t>
      </w:r>
      <w:r>
        <w:rPr>
          <w:rStyle w:val="17"/>
          <w:rFonts w:hint="eastAsia" w:ascii="仿宋" w:hAnsi="仿宋" w:eastAsia="仿宋"/>
          <w:b w:val="0"/>
          <w:bCs/>
          <w:color w:val="000000"/>
          <w:sz w:val="32"/>
          <w:szCs w:val="32"/>
        </w:rPr>
        <w:t>）</w:t>
      </w:r>
      <w:r>
        <w:rPr>
          <w:rStyle w:val="17"/>
          <w:rFonts w:hint="eastAsia" w:ascii="仿宋" w:hAnsi="仿宋" w:eastAsia="仿宋"/>
          <w:b w:val="0"/>
          <w:bCs/>
          <w:color w:val="000000"/>
          <w:sz w:val="32"/>
          <w:szCs w:val="32"/>
          <w:lang w:val="en-US" w:eastAsia="zh-CN"/>
        </w:rPr>
        <w:t>其他教育支出</w:t>
      </w:r>
      <w:r>
        <w:rPr>
          <w:rStyle w:val="17"/>
          <w:rFonts w:hint="eastAsia" w:ascii="仿宋" w:hAnsi="仿宋" w:eastAsia="仿宋"/>
          <w:b w:val="0"/>
          <w:bCs/>
          <w:color w:val="000000"/>
          <w:sz w:val="32"/>
          <w:szCs w:val="32"/>
        </w:rPr>
        <w:t>（</w:t>
      </w:r>
      <w:r>
        <w:rPr>
          <w:rStyle w:val="17"/>
          <w:rFonts w:hint="eastAsia" w:ascii="仿宋" w:hAnsi="仿宋" w:eastAsia="仿宋"/>
          <w:b w:val="0"/>
          <w:bCs/>
          <w:color w:val="000000"/>
          <w:sz w:val="32"/>
          <w:szCs w:val="32"/>
          <w:lang w:val="en-US" w:eastAsia="zh-CN"/>
        </w:rPr>
        <w:t>99</w:t>
      </w:r>
      <w:r>
        <w:rPr>
          <w:rStyle w:val="17"/>
          <w:rFonts w:hint="eastAsia" w:ascii="仿宋" w:hAnsi="仿宋" w:eastAsia="仿宋"/>
          <w:b w:val="0"/>
          <w:bCs/>
          <w:color w:val="000000"/>
          <w:sz w:val="32"/>
          <w:szCs w:val="32"/>
        </w:rPr>
        <w:t>）</w:t>
      </w:r>
      <w:r>
        <w:rPr>
          <w:rStyle w:val="17"/>
          <w:rFonts w:hint="eastAsia" w:ascii="仿宋" w:hAnsi="仿宋" w:eastAsia="仿宋"/>
          <w:b w:val="0"/>
          <w:bCs/>
          <w:color w:val="000000"/>
          <w:sz w:val="32"/>
          <w:szCs w:val="32"/>
          <w:lang w:val="en-US" w:eastAsia="zh-CN"/>
        </w:rPr>
        <w:t>其他教育支出（99）</w:t>
      </w:r>
      <w:r>
        <w:rPr>
          <w:rStyle w:val="17"/>
          <w:rFonts w:hint="eastAsia" w:ascii="仿宋" w:hAnsi="仿宋" w:eastAsia="仿宋"/>
          <w:b w:val="0"/>
          <w:bCs/>
          <w:color w:val="000000"/>
          <w:sz w:val="32"/>
          <w:szCs w:val="32"/>
        </w:rPr>
        <w:t>: 支出决算为</w:t>
      </w:r>
      <w:r>
        <w:rPr>
          <w:rStyle w:val="17"/>
          <w:rFonts w:hint="eastAsia" w:ascii="仿宋" w:hAnsi="仿宋" w:eastAsia="仿宋"/>
          <w:b w:val="0"/>
          <w:bCs/>
          <w:color w:val="000000"/>
          <w:sz w:val="32"/>
          <w:szCs w:val="32"/>
          <w:lang w:val="en-US" w:eastAsia="zh-CN"/>
        </w:rPr>
        <w:t>0.2</w:t>
      </w:r>
      <w:r>
        <w:rPr>
          <w:rStyle w:val="17"/>
          <w:rFonts w:hint="eastAsia" w:ascii="仿宋" w:hAnsi="仿宋" w:eastAsia="仿宋"/>
          <w:b w:val="0"/>
          <w:bCs/>
          <w:color w:val="000000"/>
          <w:sz w:val="32"/>
          <w:szCs w:val="32"/>
        </w:rPr>
        <w:t>万元，完成预算100%。</w:t>
      </w:r>
    </w:p>
    <w:p>
      <w:pPr>
        <w:spacing w:line="600" w:lineRule="exact"/>
        <w:ind w:firstLine="640" w:firstLineChars="200"/>
        <w:rPr>
          <w:rStyle w:val="17"/>
          <w:rFonts w:ascii="仿宋_GB2312" w:eastAsia="仿宋_GB2312"/>
          <w:b w:val="0"/>
          <w:bCs/>
          <w:color w:val="000000"/>
          <w:sz w:val="32"/>
          <w:szCs w:val="32"/>
        </w:rPr>
      </w:pPr>
      <w:r>
        <w:rPr>
          <w:rStyle w:val="17"/>
          <w:rFonts w:hint="eastAsia" w:ascii="仿宋" w:hAnsi="仿宋" w:eastAsia="仿宋"/>
          <w:b w:val="0"/>
          <w:bCs/>
          <w:color w:val="000000"/>
          <w:sz w:val="32"/>
          <w:szCs w:val="32"/>
          <w:lang w:val="en-US" w:eastAsia="zh-CN"/>
        </w:rPr>
        <w:t>5</w:t>
      </w:r>
      <w:r>
        <w:rPr>
          <w:rStyle w:val="17"/>
          <w:rFonts w:hint="eastAsia" w:ascii="仿宋" w:hAnsi="仿宋" w:eastAsia="仿宋"/>
          <w:b w:val="0"/>
          <w:bCs/>
          <w:color w:val="000000"/>
          <w:sz w:val="32"/>
          <w:szCs w:val="32"/>
        </w:rPr>
        <w:t>. 社会保障和就业（208）行政事业单位</w:t>
      </w:r>
      <w:r>
        <w:rPr>
          <w:rStyle w:val="17"/>
          <w:rFonts w:hint="eastAsia" w:ascii="仿宋" w:hAnsi="仿宋" w:eastAsia="仿宋"/>
          <w:b w:val="0"/>
          <w:bCs/>
          <w:color w:val="000000"/>
          <w:sz w:val="32"/>
          <w:szCs w:val="32"/>
          <w:lang w:val="en-US" w:eastAsia="zh-CN"/>
        </w:rPr>
        <w:t>养老支出</w:t>
      </w:r>
      <w:r>
        <w:rPr>
          <w:rStyle w:val="17"/>
          <w:rFonts w:hint="eastAsia" w:ascii="仿宋" w:hAnsi="仿宋" w:eastAsia="仿宋"/>
          <w:b w:val="0"/>
          <w:bCs/>
          <w:color w:val="000000"/>
          <w:sz w:val="32"/>
          <w:szCs w:val="32"/>
        </w:rPr>
        <w:t>（05）  机关事业单位基本养老保险缴费支出（05）:</w:t>
      </w:r>
      <w:r>
        <w:rPr>
          <w:rStyle w:val="17"/>
          <w:rFonts w:hint="eastAsia" w:ascii="仿宋_GB2312" w:eastAsia="仿宋_GB2312"/>
          <w:b w:val="0"/>
          <w:bCs/>
          <w:color w:val="000000"/>
          <w:sz w:val="32"/>
          <w:szCs w:val="32"/>
        </w:rPr>
        <w:t xml:space="preserve"> 支出决算为</w:t>
      </w:r>
      <w:r>
        <w:rPr>
          <w:rStyle w:val="17"/>
          <w:rFonts w:hint="eastAsia" w:ascii="仿宋_GB2312" w:eastAsia="仿宋_GB2312"/>
          <w:b w:val="0"/>
          <w:bCs/>
          <w:color w:val="000000"/>
          <w:sz w:val="32"/>
          <w:szCs w:val="32"/>
          <w:lang w:val="en-US" w:eastAsia="zh-CN"/>
        </w:rPr>
        <w:t>101.67</w:t>
      </w:r>
      <w:r>
        <w:rPr>
          <w:rStyle w:val="17"/>
          <w:rFonts w:hint="eastAsia" w:ascii="仿宋_GB2312" w:eastAsia="仿宋_GB2312"/>
          <w:b w:val="0"/>
          <w:bCs/>
          <w:color w:val="000000"/>
          <w:sz w:val="32"/>
          <w:szCs w:val="32"/>
        </w:rPr>
        <w:t>万元，完成预算100%。</w:t>
      </w:r>
    </w:p>
    <w:p>
      <w:pPr>
        <w:spacing w:line="600" w:lineRule="exact"/>
        <w:ind w:firstLine="640" w:firstLineChars="200"/>
        <w:rPr>
          <w:rStyle w:val="17"/>
          <w:rFonts w:ascii="仿宋_GB2312" w:eastAsia="仿宋_GB2312"/>
          <w:b w:val="0"/>
          <w:bCs/>
          <w:color w:val="000000"/>
          <w:sz w:val="32"/>
          <w:szCs w:val="32"/>
        </w:rPr>
      </w:pPr>
      <w:r>
        <w:rPr>
          <w:rStyle w:val="17"/>
          <w:rFonts w:hint="eastAsia" w:ascii="仿宋" w:hAnsi="仿宋" w:eastAsia="仿宋"/>
          <w:b w:val="0"/>
          <w:bCs/>
          <w:color w:val="000000"/>
          <w:sz w:val="32"/>
          <w:szCs w:val="32"/>
          <w:lang w:val="en-US" w:eastAsia="zh-CN"/>
        </w:rPr>
        <w:t>6</w:t>
      </w:r>
      <w:r>
        <w:rPr>
          <w:rStyle w:val="17"/>
          <w:rFonts w:hint="eastAsia" w:ascii="仿宋" w:hAnsi="仿宋" w:eastAsia="仿宋"/>
          <w:b w:val="0"/>
          <w:bCs/>
          <w:color w:val="000000"/>
          <w:sz w:val="32"/>
          <w:szCs w:val="32"/>
        </w:rPr>
        <w:t>. 社会保障和就业（208）行政事业单位</w:t>
      </w:r>
      <w:r>
        <w:rPr>
          <w:rStyle w:val="17"/>
          <w:rFonts w:hint="eastAsia" w:ascii="仿宋" w:hAnsi="仿宋" w:eastAsia="仿宋"/>
          <w:b w:val="0"/>
          <w:bCs/>
          <w:color w:val="000000"/>
          <w:sz w:val="32"/>
          <w:szCs w:val="32"/>
          <w:lang w:val="en-US" w:eastAsia="zh-CN"/>
        </w:rPr>
        <w:t>养老支出</w:t>
      </w:r>
      <w:r>
        <w:rPr>
          <w:rStyle w:val="17"/>
          <w:rFonts w:hint="eastAsia" w:ascii="仿宋" w:hAnsi="仿宋" w:eastAsia="仿宋"/>
          <w:b w:val="0"/>
          <w:bCs/>
          <w:color w:val="000000"/>
          <w:sz w:val="32"/>
          <w:szCs w:val="32"/>
        </w:rPr>
        <w:t>（05）    机关事业单位职业年金缴费支出（06）</w:t>
      </w:r>
      <w:r>
        <w:rPr>
          <w:rStyle w:val="17"/>
          <w:rFonts w:hint="eastAsia" w:ascii="仿宋_GB2312" w:eastAsia="仿宋_GB2312"/>
          <w:b w:val="0"/>
          <w:bCs/>
          <w:color w:val="000000"/>
          <w:sz w:val="32"/>
          <w:szCs w:val="32"/>
        </w:rPr>
        <w:t>: 支出决算为</w:t>
      </w:r>
      <w:r>
        <w:rPr>
          <w:rStyle w:val="17"/>
          <w:rFonts w:hint="eastAsia" w:ascii="仿宋_GB2312" w:eastAsia="仿宋_GB2312"/>
          <w:b w:val="0"/>
          <w:bCs/>
          <w:color w:val="000000"/>
          <w:sz w:val="32"/>
          <w:szCs w:val="32"/>
          <w:lang w:val="en-US" w:eastAsia="zh-CN"/>
        </w:rPr>
        <w:t>51.03</w:t>
      </w:r>
      <w:r>
        <w:rPr>
          <w:rStyle w:val="17"/>
          <w:rFonts w:hint="eastAsia" w:ascii="仿宋_GB2312" w:eastAsia="仿宋_GB2312"/>
          <w:b w:val="0"/>
          <w:bCs/>
          <w:color w:val="000000"/>
          <w:sz w:val="32"/>
          <w:szCs w:val="32"/>
        </w:rPr>
        <w:t>万元，完成预算100%。</w:t>
      </w:r>
    </w:p>
    <w:p>
      <w:pPr>
        <w:spacing w:line="600" w:lineRule="exact"/>
        <w:ind w:firstLine="640" w:firstLineChars="200"/>
        <w:rPr>
          <w:rStyle w:val="17"/>
          <w:rFonts w:ascii="仿宋_GB2312" w:eastAsia="仿宋_GB2312"/>
          <w:b w:val="0"/>
          <w:bCs/>
          <w:color w:val="000000"/>
          <w:sz w:val="32"/>
          <w:szCs w:val="32"/>
        </w:rPr>
      </w:pPr>
      <w:r>
        <w:rPr>
          <w:rStyle w:val="17"/>
          <w:rFonts w:hint="eastAsia" w:ascii="仿宋" w:hAnsi="仿宋" w:eastAsia="仿宋"/>
          <w:b w:val="0"/>
          <w:bCs/>
          <w:color w:val="000000"/>
          <w:sz w:val="32"/>
          <w:szCs w:val="32"/>
          <w:lang w:val="en-US" w:eastAsia="zh-CN"/>
        </w:rPr>
        <w:t>7</w:t>
      </w:r>
      <w:r>
        <w:rPr>
          <w:rStyle w:val="17"/>
          <w:rFonts w:hint="eastAsia" w:ascii="仿宋" w:hAnsi="仿宋" w:eastAsia="仿宋"/>
          <w:b w:val="0"/>
          <w:bCs/>
          <w:color w:val="000000"/>
          <w:sz w:val="32"/>
          <w:szCs w:val="32"/>
        </w:rPr>
        <w:t xml:space="preserve">. </w:t>
      </w:r>
      <w:r>
        <w:rPr>
          <w:rStyle w:val="17"/>
          <w:rFonts w:hint="eastAsia" w:ascii="仿宋" w:hAnsi="仿宋" w:eastAsia="仿宋"/>
          <w:b w:val="0"/>
          <w:bCs/>
          <w:color w:val="000000"/>
          <w:sz w:val="32"/>
          <w:szCs w:val="32"/>
          <w:lang w:val="en-US" w:eastAsia="zh-CN"/>
        </w:rPr>
        <w:t>卫生健康支出</w:t>
      </w:r>
      <w:r>
        <w:rPr>
          <w:rStyle w:val="17"/>
          <w:rFonts w:hint="eastAsia" w:ascii="仿宋" w:hAnsi="仿宋" w:eastAsia="仿宋"/>
          <w:b w:val="0"/>
          <w:bCs/>
          <w:color w:val="000000"/>
          <w:sz w:val="32"/>
          <w:szCs w:val="32"/>
        </w:rPr>
        <w:t>（210）行政单位医疗（11）行政单位医疗（01）:</w:t>
      </w:r>
      <w:r>
        <w:rPr>
          <w:rStyle w:val="17"/>
          <w:rFonts w:hint="eastAsia" w:ascii="仿宋_GB2312" w:eastAsia="仿宋_GB2312"/>
          <w:b w:val="0"/>
          <w:bCs/>
          <w:color w:val="000000"/>
          <w:sz w:val="32"/>
          <w:szCs w:val="32"/>
        </w:rPr>
        <w:t>支出决算为</w:t>
      </w:r>
      <w:r>
        <w:rPr>
          <w:rStyle w:val="17"/>
          <w:rFonts w:hint="eastAsia" w:ascii="仿宋_GB2312" w:eastAsia="仿宋_GB2312"/>
          <w:b w:val="0"/>
          <w:bCs/>
          <w:color w:val="000000"/>
          <w:sz w:val="32"/>
          <w:szCs w:val="32"/>
          <w:lang w:val="en-US" w:eastAsia="zh-CN"/>
        </w:rPr>
        <w:t>59.91</w:t>
      </w:r>
      <w:r>
        <w:rPr>
          <w:rStyle w:val="17"/>
          <w:rFonts w:hint="eastAsia" w:ascii="仿宋_GB2312" w:eastAsia="仿宋_GB2312"/>
          <w:b w:val="0"/>
          <w:bCs/>
          <w:color w:val="000000"/>
          <w:sz w:val="32"/>
          <w:szCs w:val="32"/>
        </w:rPr>
        <w:t>万元，完成预算100%。</w:t>
      </w:r>
    </w:p>
    <w:p>
      <w:pPr>
        <w:spacing w:line="600" w:lineRule="exact"/>
        <w:ind w:firstLine="640" w:firstLineChars="200"/>
        <w:rPr>
          <w:rStyle w:val="17"/>
          <w:rFonts w:hint="eastAsia" w:ascii="仿宋" w:hAnsi="仿宋" w:eastAsia="仿宋"/>
          <w:b w:val="0"/>
          <w:bCs/>
          <w:color w:val="000000"/>
          <w:sz w:val="32"/>
          <w:szCs w:val="32"/>
        </w:rPr>
      </w:pPr>
      <w:r>
        <w:rPr>
          <w:rStyle w:val="17"/>
          <w:rFonts w:hint="eastAsia" w:ascii="仿宋" w:hAnsi="仿宋" w:eastAsia="仿宋"/>
          <w:b w:val="0"/>
          <w:bCs/>
          <w:color w:val="000000"/>
          <w:sz w:val="32"/>
          <w:szCs w:val="32"/>
          <w:lang w:val="en-US" w:eastAsia="zh-CN"/>
        </w:rPr>
        <w:t>8</w:t>
      </w:r>
      <w:r>
        <w:rPr>
          <w:rStyle w:val="17"/>
          <w:rFonts w:hint="eastAsia" w:ascii="仿宋" w:hAnsi="仿宋" w:eastAsia="仿宋"/>
          <w:b w:val="0"/>
          <w:bCs/>
          <w:color w:val="000000"/>
          <w:sz w:val="32"/>
          <w:szCs w:val="32"/>
        </w:rPr>
        <w:t>.</w:t>
      </w:r>
      <w:r>
        <w:rPr>
          <w:rStyle w:val="17"/>
          <w:rFonts w:hint="eastAsia" w:ascii="仿宋" w:hAnsi="仿宋" w:eastAsia="仿宋"/>
          <w:b w:val="0"/>
          <w:bCs/>
          <w:color w:val="000000"/>
          <w:sz w:val="32"/>
          <w:szCs w:val="32"/>
          <w:lang w:val="en-US" w:eastAsia="zh-CN"/>
        </w:rPr>
        <w:t>卫生健康支出</w:t>
      </w:r>
      <w:r>
        <w:rPr>
          <w:rStyle w:val="17"/>
          <w:rFonts w:hint="eastAsia" w:ascii="仿宋" w:hAnsi="仿宋" w:eastAsia="仿宋"/>
          <w:b w:val="0"/>
          <w:bCs/>
          <w:color w:val="000000"/>
          <w:sz w:val="32"/>
          <w:szCs w:val="32"/>
        </w:rPr>
        <w:t>（210）行政单位医疗（11）公务员医疗补助（03）:支出决算为</w:t>
      </w:r>
      <w:r>
        <w:rPr>
          <w:rStyle w:val="17"/>
          <w:rFonts w:hint="eastAsia" w:ascii="仿宋" w:hAnsi="仿宋" w:eastAsia="仿宋"/>
          <w:b w:val="0"/>
          <w:bCs/>
          <w:color w:val="000000"/>
          <w:sz w:val="32"/>
          <w:szCs w:val="32"/>
          <w:lang w:val="en-US" w:eastAsia="zh-CN"/>
        </w:rPr>
        <w:t>19.19</w:t>
      </w:r>
      <w:r>
        <w:rPr>
          <w:rStyle w:val="17"/>
          <w:rFonts w:hint="eastAsia" w:ascii="仿宋" w:hAnsi="仿宋" w:eastAsia="仿宋"/>
          <w:b w:val="0"/>
          <w:bCs/>
          <w:color w:val="000000"/>
          <w:sz w:val="32"/>
          <w:szCs w:val="32"/>
        </w:rPr>
        <w:t>万元，完成预算100%。</w:t>
      </w:r>
    </w:p>
    <w:p>
      <w:pPr>
        <w:spacing w:line="600" w:lineRule="exact"/>
        <w:ind w:firstLine="640"/>
        <w:rPr>
          <w:rFonts w:ascii="仿宋" w:hAnsi="仿宋" w:eastAsia="仿宋"/>
          <w:bCs/>
          <w:color w:val="000000"/>
          <w:sz w:val="32"/>
          <w:szCs w:val="32"/>
        </w:rPr>
      </w:pPr>
      <w:r>
        <w:rPr>
          <w:rStyle w:val="17"/>
          <w:rFonts w:hint="eastAsia" w:ascii="仿宋" w:hAnsi="仿宋" w:eastAsia="仿宋"/>
          <w:b w:val="0"/>
          <w:bCs/>
          <w:color w:val="000000"/>
          <w:sz w:val="32"/>
          <w:szCs w:val="32"/>
          <w:lang w:val="en-US" w:eastAsia="zh-CN"/>
        </w:rPr>
        <w:t>9</w:t>
      </w:r>
      <w:r>
        <w:rPr>
          <w:rStyle w:val="17"/>
          <w:rFonts w:hint="eastAsia" w:ascii="仿宋" w:hAnsi="仿宋" w:eastAsia="仿宋"/>
          <w:b w:val="0"/>
          <w:bCs/>
          <w:color w:val="000000"/>
          <w:sz w:val="32"/>
          <w:szCs w:val="32"/>
        </w:rPr>
        <w:t>.住房保障支出（221）住房改革支出（02）住房公积金（01）:</w:t>
      </w:r>
      <w:r>
        <w:rPr>
          <w:rStyle w:val="17"/>
          <w:rFonts w:hint="eastAsia" w:ascii="仿宋_GB2312" w:eastAsia="仿宋_GB2312"/>
          <w:b w:val="0"/>
          <w:bCs/>
          <w:color w:val="000000"/>
          <w:sz w:val="32"/>
          <w:szCs w:val="32"/>
        </w:rPr>
        <w:t>支出决算为</w:t>
      </w:r>
      <w:r>
        <w:rPr>
          <w:rStyle w:val="17"/>
          <w:rFonts w:hint="eastAsia" w:ascii="仿宋_GB2312" w:eastAsia="仿宋_GB2312"/>
          <w:b w:val="0"/>
          <w:bCs/>
          <w:color w:val="000000"/>
          <w:sz w:val="32"/>
          <w:szCs w:val="32"/>
          <w:lang w:val="en-US" w:eastAsia="zh-CN"/>
        </w:rPr>
        <w:t>130.36</w:t>
      </w:r>
      <w:r>
        <w:rPr>
          <w:rStyle w:val="17"/>
          <w:rFonts w:hint="eastAsia" w:ascii="仿宋_GB2312" w:eastAsia="仿宋_GB2312"/>
          <w:b w:val="0"/>
          <w:bCs/>
          <w:color w:val="000000"/>
          <w:sz w:val="32"/>
          <w:szCs w:val="32"/>
        </w:rPr>
        <w:t xml:space="preserve">万元，完成预算100%。  </w:t>
      </w:r>
    </w:p>
    <w:p>
      <w:pPr>
        <w:tabs>
          <w:tab w:val="right" w:pos="8306"/>
        </w:tabs>
        <w:spacing w:line="600" w:lineRule="exact"/>
        <w:ind w:firstLine="640" w:firstLineChars="200"/>
        <w:outlineLvl w:val="1"/>
        <w:rPr>
          <w:rStyle w:val="28"/>
        </w:rPr>
      </w:pPr>
      <w:bookmarkStart w:id="38" w:name="_Toc15377214"/>
      <w:bookmarkStart w:id="39"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38"/>
      <w:bookmarkEnd w:id="39"/>
      <w:r>
        <w:rPr>
          <w:rStyle w:val="28"/>
          <w:rFonts w:ascii="黑体" w:hAnsi="黑体" w:eastAsia="黑体"/>
          <w:b w:val="0"/>
        </w:rPr>
        <w:tab/>
      </w:r>
    </w:p>
    <w:p>
      <w:pPr>
        <w:spacing w:line="600" w:lineRule="exact"/>
        <w:ind w:firstLine="645"/>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2386.05</w:t>
      </w:r>
      <w:r>
        <w:rPr>
          <w:rFonts w:hint="eastAsia" w:ascii="仿宋" w:hAnsi="仿宋" w:eastAsia="仿宋"/>
          <w:color w:val="000000"/>
          <w:sz w:val="32"/>
          <w:szCs w:val="32"/>
        </w:rPr>
        <w:t>万元，其中：人员经费</w:t>
      </w:r>
      <w:r>
        <w:rPr>
          <w:rFonts w:hint="eastAsia" w:ascii="仿宋" w:hAnsi="仿宋" w:eastAsia="仿宋"/>
          <w:color w:val="000000"/>
          <w:sz w:val="32"/>
          <w:szCs w:val="32"/>
          <w:lang w:val="en-US" w:eastAsia="zh-CN"/>
        </w:rPr>
        <w:t>2016.83</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292.96</w:t>
      </w:r>
      <w:r>
        <w:rPr>
          <w:rFonts w:hint="eastAsia" w:ascii="仿宋" w:hAnsi="仿宋" w:eastAsia="仿宋"/>
          <w:color w:val="000000"/>
          <w:sz w:val="32"/>
          <w:szCs w:val="32"/>
        </w:rPr>
        <w:t>万元、津贴补贴</w:t>
      </w:r>
      <w:r>
        <w:rPr>
          <w:rFonts w:hint="eastAsia" w:ascii="仿宋" w:hAnsi="仿宋" w:eastAsia="仿宋"/>
          <w:color w:val="000000"/>
          <w:sz w:val="32"/>
          <w:szCs w:val="32"/>
          <w:lang w:val="en-US" w:eastAsia="zh-CN"/>
        </w:rPr>
        <w:t>388.47</w:t>
      </w:r>
      <w:r>
        <w:rPr>
          <w:rFonts w:hint="eastAsia" w:ascii="仿宋" w:hAnsi="仿宋" w:eastAsia="仿宋"/>
          <w:color w:val="000000"/>
          <w:sz w:val="32"/>
          <w:szCs w:val="32"/>
        </w:rPr>
        <w:t>万元、奖金</w:t>
      </w:r>
      <w:r>
        <w:rPr>
          <w:rFonts w:hint="eastAsia" w:ascii="仿宋" w:hAnsi="仿宋" w:eastAsia="仿宋"/>
          <w:color w:val="000000"/>
          <w:sz w:val="32"/>
          <w:szCs w:val="32"/>
          <w:lang w:val="en-US" w:eastAsia="zh-CN"/>
        </w:rPr>
        <w:t>24.04</w:t>
      </w:r>
      <w:r>
        <w:rPr>
          <w:rFonts w:hint="eastAsia" w:ascii="仿宋" w:hAnsi="仿宋" w:eastAsia="仿宋"/>
          <w:color w:val="000000"/>
          <w:sz w:val="32"/>
          <w:szCs w:val="32"/>
        </w:rPr>
        <w:t>万元、伙食补助费</w:t>
      </w:r>
      <w:r>
        <w:rPr>
          <w:rFonts w:hint="eastAsia" w:ascii="仿宋" w:hAnsi="仿宋" w:eastAsia="仿宋"/>
          <w:color w:val="000000"/>
          <w:sz w:val="32"/>
          <w:szCs w:val="32"/>
          <w:lang w:val="en-US" w:eastAsia="zh-CN"/>
        </w:rPr>
        <w:t>60.95</w:t>
      </w:r>
      <w:r>
        <w:rPr>
          <w:rFonts w:hint="eastAsia" w:ascii="仿宋" w:hAnsi="仿宋" w:eastAsia="仿宋"/>
          <w:color w:val="000000"/>
          <w:sz w:val="32"/>
          <w:szCs w:val="32"/>
        </w:rPr>
        <w:t>万元、机关事业单位基本养老保险费</w:t>
      </w:r>
      <w:r>
        <w:rPr>
          <w:rFonts w:hint="eastAsia" w:ascii="仿宋" w:hAnsi="仿宋" w:eastAsia="仿宋"/>
          <w:color w:val="000000"/>
          <w:sz w:val="32"/>
          <w:szCs w:val="32"/>
          <w:lang w:val="en-US" w:eastAsia="zh-CN"/>
        </w:rPr>
        <w:t>101.67</w:t>
      </w:r>
      <w:r>
        <w:rPr>
          <w:rFonts w:hint="eastAsia" w:ascii="仿宋" w:hAnsi="仿宋" w:eastAsia="仿宋"/>
          <w:color w:val="000000"/>
          <w:sz w:val="32"/>
          <w:szCs w:val="32"/>
        </w:rPr>
        <w:t>万元、职业年金缴费</w:t>
      </w:r>
      <w:r>
        <w:rPr>
          <w:rFonts w:hint="eastAsia" w:ascii="仿宋" w:hAnsi="仿宋" w:eastAsia="仿宋"/>
          <w:color w:val="000000"/>
          <w:sz w:val="32"/>
          <w:szCs w:val="32"/>
          <w:lang w:val="en-US" w:eastAsia="zh-CN"/>
        </w:rPr>
        <w:t>51.03</w:t>
      </w:r>
      <w:r>
        <w:rPr>
          <w:rFonts w:hint="eastAsia" w:ascii="仿宋" w:hAnsi="仿宋" w:eastAsia="仿宋"/>
          <w:color w:val="000000"/>
          <w:sz w:val="32"/>
          <w:szCs w:val="32"/>
        </w:rPr>
        <w:t>万元、职工基本医疗保险缴费</w:t>
      </w:r>
      <w:r>
        <w:rPr>
          <w:rFonts w:hint="eastAsia" w:ascii="仿宋" w:hAnsi="仿宋" w:eastAsia="仿宋"/>
          <w:color w:val="000000"/>
          <w:sz w:val="32"/>
          <w:szCs w:val="32"/>
          <w:lang w:val="en-US" w:eastAsia="zh-CN"/>
        </w:rPr>
        <w:t>59.91</w:t>
      </w:r>
      <w:r>
        <w:rPr>
          <w:rFonts w:hint="eastAsia" w:ascii="仿宋" w:hAnsi="仿宋" w:eastAsia="仿宋"/>
          <w:color w:val="000000"/>
          <w:sz w:val="32"/>
          <w:szCs w:val="32"/>
        </w:rPr>
        <w:t>万元，公务员医疗补助缴费</w:t>
      </w:r>
      <w:r>
        <w:rPr>
          <w:rFonts w:hint="eastAsia" w:ascii="仿宋" w:hAnsi="仿宋" w:eastAsia="仿宋"/>
          <w:color w:val="000000"/>
          <w:sz w:val="32"/>
          <w:szCs w:val="32"/>
          <w:lang w:val="en-US" w:eastAsia="zh-CN"/>
        </w:rPr>
        <w:t>19.19</w:t>
      </w:r>
      <w:r>
        <w:rPr>
          <w:rFonts w:hint="eastAsia" w:ascii="仿宋" w:hAnsi="仿宋" w:eastAsia="仿宋"/>
          <w:color w:val="000000"/>
          <w:sz w:val="32"/>
          <w:szCs w:val="32"/>
        </w:rPr>
        <w:t>万元，其他社会保障缴费</w:t>
      </w:r>
      <w:r>
        <w:rPr>
          <w:rFonts w:hint="eastAsia" w:ascii="仿宋" w:hAnsi="仿宋" w:eastAsia="仿宋"/>
          <w:color w:val="000000"/>
          <w:sz w:val="32"/>
          <w:szCs w:val="32"/>
          <w:lang w:val="en-US" w:eastAsia="zh-CN"/>
        </w:rPr>
        <w:t>2.70</w:t>
      </w:r>
      <w:r>
        <w:rPr>
          <w:rFonts w:hint="eastAsia" w:ascii="仿宋" w:hAnsi="仿宋" w:eastAsia="仿宋"/>
          <w:color w:val="000000"/>
          <w:sz w:val="32"/>
          <w:szCs w:val="32"/>
        </w:rPr>
        <w:t>万元、其他工资福利支出</w:t>
      </w:r>
      <w:r>
        <w:rPr>
          <w:rFonts w:hint="eastAsia" w:ascii="仿宋" w:hAnsi="仿宋" w:eastAsia="仿宋"/>
          <w:color w:val="000000"/>
          <w:sz w:val="32"/>
          <w:szCs w:val="32"/>
          <w:lang w:val="en-US" w:eastAsia="zh-CN"/>
        </w:rPr>
        <w:t>132.47</w:t>
      </w:r>
      <w:r>
        <w:rPr>
          <w:rFonts w:hint="eastAsia" w:ascii="仿宋" w:hAnsi="仿宋" w:eastAsia="仿宋"/>
          <w:color w:val="000000"/>
          <w:sz w:val="32"/>
          <w:szCs w:val="32"/>
        </w:rPr>
        <w:t>万元、离休费</w:t>
      </w:r>
      <w:r>
        <w:rPr>
          <w:rFonts w:hint="eastAsia" w:ascii="仿宋" w:hAnsi="仿宋" w:eastAsia="仿宋"/>
          <w:color w:val="000000"/>
          <w:sz w:val="32"/>
          <w:szCs w:val="32"/>
          <w:lang w:val="en-US" w:eastAsia="zh-CN"/>
        </w:rPr>
        <w:t>27</w:t>
      </w:r>
      <w:r>
        <w:rPr>
          <w:rFonts w:hint="eastAsia" w:ascii="仿宋" w:hAnsi="仿宋" w:eastAsia="仿宋"/>
          <w:color w:val="000000"/>
          <w:sz w:val="32"/>
          <w:szCs w:val="32"/>
        </w:rPr>
        <w:t>万元、抚恤金</w:t>
      </w:r>
      <w:r>
        <w:rPr>
          <w:rFonts w:hint="eastAsia" w:ascii="仿宋" w:hAnsi="仿宋" w:eastAsia="仿宋"/>
          <w:color w:val="000000"/>
          <w:sz w:val="32"/>
          <w:szCs w:val="32"/>
          <w:lang w:val="en-US" w:eastAsia="zh-CN"/>
        </w:rPr>
        <w:t>27.31</w:t>
      </w:r>
      <w:r>
        <w:rPr>
          <w:rFonts w:hint="eastAsia" w:ascii="仿宋" w:hAnsi="仿宋" w:eastAsia="仿宋"/>
          <w:color w:val="000000"/>
          <w:sz w:val="32"/>
          <w:szCs w:val="32"/>
        </w:rPr>
        <w:t>万元、生活补助</w:t>
      </w:r>
      <w:r>
        <w:rPr>
          <w:rFonts w:hint="eastAsia" w:ascii="仿宋" w:hAnsi="仿宋" w:eastAsia="仿宋"/>
          <w:color w:val="000000"/>
          <w:sz w:val="32"/>
          <w:szCs w:val="32"/>
          <w:lang w:val="en-US" w:eastAsia="zh-CN"/>
        </w:rPr>
        <w:t>147.53</w:t>
      </w:r>
      <w:r>
        <w:rPr>
          <w:rFonts w:hint="eastAsia" w:ascii="仿宋" w:hAnsi="仿宋" w:eastAsia="仿宋"/>
          <w:color w:val="000000"/>
          <w:sz w:val="32"/>
          <w:szCs w:val="32"/>
        </w:rPr>
        <w:t>万元、医疗费补助</w:t>
      </w:r>
      <w:r>
        <w:rPr>
          <w:rFonts w:hint="eastAsia" w:ascii="仿宋" w:hAnsi="仿宋" w:eastAsia="仿宋"/>
          <w:color w:val="000000"/>
          <w:sz w:val="32"/>
          <w:szCs w:val="32"/>
          <w:lang w:val="en-US" w:eastAsia="zh-CN"/>
        </w:rPr>
        <w:t>0.11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奖励金537.8</w:t>
      </w:r>
      <w:r>
        <w:rPr>
          <w:rFonts w:hint="eastAsia" w:ascii="仿宋" w:hAnsi="仿宋" w:eastAsia="仿宋"/>
          <w:color w:val="000000"/>
          <w:sz w:val="32"/>
          <w:szCs w:val="32"/>
        </w:rPr>
        <w:t>万元、住房公积金</w:t>
      </w:r>
      <w:r>
        <w:rPr>
          <w:rFonts w:hint="eastAsia" w:ascii="仿宋" w:hAnsi="仿宋" w:eastAsia="仿宋"/>
          <w:color w:val="000000"/>
          <w:sz w:val="32"/>
          <w:szCs w:val="32"/>
          <w:lang w:val="en-US" w:eastAsia="zh-CN"/>
        </w:rPr>
        <w:t>130.36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其他个人和家庭的补助支出13.34万元</w:t>
      </w:r>
      <w:r>
        <w:rPr>
          <w:rFonts w:hint="eastAsia" w:ascii="仿宋" w:hAnsi="仿宋" w:eastAsia="仿宋"/>
          <w:color w:val="000000"/>
          <w:sz w:val="32"/>
          <w:szCs w:val="32"/>
        </w:rPr>
        <w:t>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公用经费</w:t>
      </w:r>
      <w:r>
        <w:rPr>
          <w:rFonts w:hint="eastAsia" w:ascii="仿宋" w:hAnsi="仿宋" w:eastAsia="仿宋"/>
          <w:color w:val="000000"/>
          <w:sz w:val="32"/>
          <w:szCs w:val="32"/>
          <w:lang w:val="en-US" w:eastAsia="zh-CN"/>
        </w:rPr>
        <w:t>369.22</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70.92</w:t>
      </w:r>
      <w:r>
        <w:rPr>
          <w:rFonts w:hint="eastAsia" w:ascii="仿宋" w:hAnsi="仿宋" w:eastAsia="仿宋"/>
          <w:color w:val="000000"/>
          <w:sz w:val="32"/>
          <w:szCs w:val="32"/>
        </w:rPr>
        <w:t>万元、手续费</w:t>
      </w:r>
      <w:r>
        <w:rPr>
          <w:rFonts w:hint="eastAsia" w:ascii="仿宋" w:hAnsi="仿宋" w:eastAsia="仿宋"/>
          <w:color w:val="000000"/>
          <w:sz w:val="32"/>
          <w:szCs w:val="32"/>
          <w:lang w:val="en-US" w:eastAsia="zh-CN"/>
        </w:rPr>
        <w:t>0.14</w:t>
      </w:r>
      <w:r>
        <w:rPr>
          <w:rFonts w:hint="eastAsia" w:ascii="仿宋" w:hAnsi="仿宋" w:eastAsia="仿宋"/>
          <w:color w:val="000000"/>
          <w:sz w:val="32"/>
          <w:szCs w:val="32"/>
        </w:rPr>
        <w:t>万元、印刷费</w:t>
      </w:r>
      <w:r>
        <w:rPr>
          <w:rFonts w:hint="eastAsia" w:ascii="仿宋" w:hAnsi="仿宋" w:eastAsia="仿宋"/>
          <w:color w:val="000000"/>
          <w:sz w:val="32"/>
          <w:szCs w:val="32"/>
          <w:lang w:val="en-US" w:eastAsia="zh-CN"/>
        </w:rPr>
        <w:t>7.91</w:t>
      </w:r>
      <w:r>
        <w:rPr>
          <w:rFonts w:hint="eastAsia" w:ascii="仿宋" w:hAnsi="仿宋" w:eastAsia="仿宋"/>
          <w:color w:val="000000"/>
          <w:sz w:val="32"/>
          <w:szCs w:val="32"/>
        </w:rPr>
        <w:t>万元、水费</w:t>
      </w:r>
      <w:r>
        <w:rPr>
          <w:rFonts w:hint="eastAsia" w:ascii="仿宋" w:hAnsi="仿宋" w:eastAsia="仿宋"/>
          <w:color w:val="000000"/>
          <w:sz w:val="32"/>
          <w:szCs w:val="32"/>
          <w:lang w:val="en-US" w:eastAsia="zh-CN"/>
        </w:rPr>
        <w:t>6.01</w:t>
      </w:r>
      <w:r>
        <w:rPr>
          <w:rFonts w:hint="eastAsia" w:ascii="仿宋" w:hAnsi="仿宋" w:eastAsia="仿宋"/>
          <w:color w:val="000000"/>
          <w:sz w:val="32"/>
          <w:szCs w:val="32"/>
        </w:rPr>
        <w:t>万元、电费</w:t>
      </w:r>
      <w:r>
        <w:rPr>
          <w:rFonts w:hint="eastAsia" w:ascii="仿宋" w:hAnsi="仿宋" w:eastAsia="仿宋"/>
          <w:color w:val="000000"/>
          <w:sz w:val="32"/>
          <w:szCs w:val="32"/>
          <w:lang w:val="en-US" w:eastAsia="zh-CN"/>
        </w:rPr>
        <w:t>45.17</w:t>
      </w:r>
      <w:r>
        <w:rPr>
          <w:rFonts w:hint="eastAsia" w:ascii="仿宋" w:hAnsi="仿宋" w:eastAsia="仿宋"/>
          <w:color w:val="000000"/>
          <w:sz w:val="32"/>
          <w:szCs w:val="32"/>
        </w:rPr>
        <w:t>万元、邮电费</w:t>
      </w:r>
      <w:r>
        <w:rPr>
          <w:rFonts w:hint="eastAsia" w:ascii="仿宋" w:hAnsi="仿宋" w:eastAsia="仿宋"/>
          <w:color w:val="000000"/>
          <w:sz w:val="32"/>
          <w:szCs w:val="32"/>
          <w:lang w:val="en-US" w:eastAsia="zh-CN"/>
        </w:rPr>
        <w:t>20.14</w:t>
      </w:r>
      <w:r>
        <w:rPr>
          <w:rFonts w:hint="eastAsia" w:ascii="仿宋" w:hAnsi="仿宋" w:eastAsia="仿宋"/>
          <w:color w:val="000000"/>
          <w:sz w:val="32"/>
          <w:szCs w:val="32"/>
        </w:rPr>
        <w:t>万元、物业管理费</w:t>
      </w:r>
      <w:r>
        <w:rPr>
          <w:rFonts w:hint="eastAsia" w:ascii="仿宋" w:hAnsi="仿宋" w:eastAsia="仿宋"/>
          <w:color w:val="000000"/>
          <w:sz w:val="32"/>
          <w:szCs w:val="32"/>
          <w:lang w:val="en-US" w:eastAsia="zh-CN"/>
        </w:rPr>
        <w:t>49.12</w:t>
      </w:r>
      <w:r>
        <w:rPr>
          <w:rFonts w:hint="eastAsia" w:ascii="仿宋" w:hAnsi="仿宋" w:eastAsia="仿宋"/>
          <w:color w:val="000000"/>
          <w:sz w:val="32"/>
          <w:szCs w:val="32"/>
        </w:rPr>
        <w:t>万元、差旅费</w:t>
      </w:r>
      <w:r>
        <w:rPr>
          <w:rFonts w:hint="eastAsia" w:ascii="仿宋" w:hAnsi="仿宋" w:eastAsia="仿宋"/>
          <w:color w:val="000000"/>
          <w:sz w:val="32"/>
          <w:szCs w:val="32"/>
          <w:lang w:val="en-US" w:eastAsia="zh-CN"/>
        </w:rPr>
        <w:t>45.15</w:t>
      </w:r>
      <w:r>
        <w:rPr>
          <w:rFonts w:hint="eastAsia" w:ascii="仿宋" w:hAnsi="仿宋" w:eastAsia="仿宋"/>
          <w:color w:val="000000"/>
          <w:sz w:val="32"/>
          <w:szCs w:val="32"/>
        </w:rPr>
        <w:t>万元、维修（护）费</w:t>
      </w:r>
      <w:r>
        <w:rPr>
          <w:rFonts w:hint="eastAsia" w:ascii="仿宋" w:hAnsi="仿宋" w:eastAsia="仿宋"/>
          <w:color w:val="000000"/>
          <w:sz w:val="32"/>
          <w:szCs w:val="32"/>
          <w:lang w:val="en-US" w:eastAsia="zh-CN"/>
        </w:rPr>
        <w:t>40.65</w:t>
      </w:r>
      <w:r>
        <w:rPr>
          <w:rFonts w:hint="eastAsia" w:ascii="仿宋" w:hAnsi="仿宋" w:eastAsia="仿宋"/>
          <w:color w:val="000000"/>
          <w:sz w:val="32"/>
          <w:szCs w:val="32"/>
        </w:rPr>
        <w:t>万元、会议费</w:t>
      </w:r>
      <w:r>
        <w:rPr>
          <w:rFonts w:hint="eastAsia" w:ascii="仿宋" w:hAnsi="仿宋" w:eastAsia="仿宋"/>
          <w:color w:val="000000"/>
          <w:sz w:val="32"/>
          <w:szCs w:val="32"/>
          <w:lang w:val="en-US" w:eastAsia="zh-CN"/>
        </w:rPr>
        <w:t>1.46</w:t>
      </w:r>
      <w:r>
        <w:rPr>
          <w:rFonts w:hint="eastAsia" w:ascii="仿宋" w:hAnsi="仿宋" w:eastAsia="仿宋"/>
          <w:color w:val="000000"/>
          <w:sz w:val="32"/>
          <w:szCs w:val="32"/>
        </w:rPr>
        <w:t>万元、培训费</w:t>
      </w:r>
      <w:r>
        <w:rPr>
          <w:rFonts w:hint="eastAsia" w:ascii="仿宋" w:hAnsi="仿宋" w:eastAsia="仿宋"/>
          <w:color w:val="000000"/>
          <w:sz w:val="32"/>
          <w:szCs w:val="32"/>
          <w:lang w:val="en-US" w:eastAsia="zh-CN"/>
        </w:rPr>
        <w:t>20.82</w:t>
      </w:r>
      <w:r>
        <w:rPr>
          <w:rFonts w:hint="eastAsia" w:ascii="仿宋" w:hAnsi="仿宋" w:eastAsia="仿宋"/>
          <w:color w:val="000000"/>
          <w:sz w:val="32"/>
          <w:szCs w:val="32"/>
        </w:rPr>
        <w:t>万元、公务接待费</w:t>
      </w:r>
      <w:r>
        <w:rPr>
          <w:rFonts w:hint="eastAsia" w:ascii="仿宋" w:hAnsi="仿宋" w:eastAsia="仿宋"/>
          <w:color w:val="000000"/>
          <w:sz w:val="32"/>
          <w:szCs w:val="32"/>
          <w:lang w:val="en-US" w:eastAsia="zh-CN"/>
        </w:rPr>
        <w:t>0.76</w:t>
      </w:r>
      <w:r>
        <w:rPr>
          <w:rFonts w:hint="eastAsia" w:ascii="仿宋" w:hAnsi="仿宋" w:eastAsia="仿宋"/>
          <w:color w:val="000000"/>
          <w:sz w:val="32"/>
          <w:szCs w:val="32"/>
        </w:rPr>
        <w:t>万元、劳务费</w:t>
      </w:r>
      <w:r>
        <w:rPr>
          <w:rFonts w:hint="eastAsia" w:ascii="仿宋" w:hAnsi="仿宋" w:eastAsia="仿宋"/>
          <w:color w:val="000000"/>
          <w:sz w:val="32"/>
          <w:szCs w:val="32"/>
          <w:lang w:val="en-US" w:eastAsia="zh-CN"/>
        </w:rPr>
        <w:t>11.83</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福利费11.64万元、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33.04</w:t>
      </w:r>
      <w:r>
        <w:rPr>
          <w:rFonts w:hint="eastAsia" w:ascii="仿宋" w:hAnsi="仿宋" w:eastAsia="仿宋"/>
          <w:color w:val="000000"/>
          <w:sz w:val="32"/>
          <w:szCs w:val="32"/>
        </w:rPr>
        <w:t>万元、其他商品和服务支出</w:t>
      </w:r>
      <w:r>
        <w:rPr>
          <w:rFonts w:hint="eastAsia" w:ascii="仿宋" w:hAnsi="仿宋" w:eastAsia="仿宋"/>
          <w:color w:val="000000"/>
          <w:sz w:val="32"/>
          <w:szCs w:val="32"/>
          <w:lang w:val="en-US" w:eastAsia="zh-CN"/>
        </w:rPr>
        <w:t>4.46</w:t>
      </w:r>
      <w:r>
        <w:rPr>
          <w:rFonts w:hint="eastAsia" w:ascii="仿宋" w:hAnsi="仿宋" w:eastAsia="仿宋"/>
          <w:color w:val="000000"/>
          <w:sz w:val="32"/>
          <w:szCs w:val="32"/>
        </w:rPr>
        <w:t>万元。</w:t>
      </w:r>
    </w:p>
    <w:p>
      <w:pPr>
        <w:spacing w:line="600" w:lineRule="exact"/>
        <w:ind w:firstLine="640"/>
        <w:outlineLvl w:val="1"/>
        <w:rPr>
          <w:rFonts w:ascii="黑体" w:hAnsi="黑体" w:eastAsia="黑体" w:cstheme="majorBidi"/>
          <w:bCs/>
          <w:sz w:val="32"/>
          <w:szCs w:val="32"/>
        </w:rPr>
      </w:pPr>
      <w:bookmarkStart w:id="40" w:name="_Toc15377215"/>
      <w:bookmarkStart w:id="41" w:name="_Toc1539660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0"/>
      <w:bookmarkEnd w:id="41"/>
      <w:bookmarkStart w:id="42" w:name="_Toc15377216"/>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（一）“三公”经费财政拨款支出决算总体情况说明</w:t>
      </w:r>
      <w:bookmarkEnd w:id="42"/>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154.82</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，与预算数持平。</w:t>
      </w:r>
    </w:p>
    <w:p>
      <w:pPr>
        <w:spacing w:line="600" w:lineRule="exact"/>
        <w:ind w:firstLine="640"/>
        <w:outlineLvl w:val="2"/>
        <w:rPr>
          <w:rFonts w:ascii="仿宋" w:hAnsi="仿宋" w:eastAsia="仿宋"/>
          <w:b/>
          <w:color w:val="000000"/>
          <w:sz w:val="32"/>
          <w:szCs w:val="32"/>
        </w:rPr>
      </w:pPr>
      <w:bookmarkStart w:id="43" w:name="_Toc15377217"/>
      <w:r>
        <w:rPr>
          <w:rFonts w:hint="eastAsia" w:ascii="仿宋" w:hAnsi="仿宋" w:eastAsia="仿宋"/>
          <w:b/>
          <w:color w:val="000000"/>
          <w:sz w:val="32"/>
          <w:szCs w:val="32"/>
        </w:rPr>
        <w:t>（二）“三公”经费财政拨款支出决算具体情况说明</w:t>
      </w:r>
      <w:bookmarkEnd w:id="4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153.93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99.43</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0.89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0.57</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：“三公”经费财政拨款支出结构）（饼状图）</w:t>
      </w:r>
    </w:p>
    <w:p>
      <w:pPr>
        <w:pStyle w:val="2"/>
        <w:ind w:left="0" w:leftChars="0" w:firstLine="0" w:firstLineChars="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080000" cy="2674620"/>
            <wp:effectExtent l="4445" t="4445" r="5715" b="18415"/>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numPr>
          <w:numId w:val="0"/>
        </w:num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7"/>
          <w:rFonts w:hint="eastAsia" w:ascii="仿宋" w:hAnsi="仿宋" w:eastAsia="仿宋"/>
          <w:bCs/>
          <w:color w:val="000000"/>
          <w:sz w:val="32"/>
          <w:szCs w:val="32"/>
        </w:rPr>
        <w:t>完成预算100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3" w:firstLineChars="200"/>
        <w:rPr>
          <w:rFonts w:hint="eastAsia" w:ascii="仿宋_GB2312" w:eastAsia="仿宋"/>
          <w:b/>
          <w:color w:val="0000FF"/>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截至202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年12月底，单位共有公务用车2辆，其中：越野车1辆、载客汽车1辆。截至202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年12月底，单位共有执法执勤用车2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辆、载客汽车1辆。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153.93</w:t>
      </w:r>
      <w:r>
        <w:rPr>
          <w:rFonts w:hint="eastAsia" w:ascii="仿宋_GB2312" w:eastAsia="仿宋_GB2312"/>
          <w:color w:val="000000"/>
          <w:sz w:val="32"/>
          <w:szCs w:val="32"/>
        </w:rPr>
        <w:t>万元。主要用于</w:t>
      </w:r>
      <w:r>
        <w:rPr>
          <w:rFonts w:ascii="仿宋_GB2312" w:eastAsia="仿宋_GB2312"/>
          <w:color w:val="000000"/>
          <w:sz w:val="32"/>
          <w:szCs w:val="32"/>
        </w:rPr>
        <w:t>执法办案</w:t>
      </w:r>
      <w:r>
        <w:rPr>
          <w:rFonts w:hint="eastAsia" w:ascii="仿宋_GB2312" w:eastAsia="仿宋_GB2312"/>
          <w:color w:val="000000"/>
          <w:sz w:val="32"/>
          <w:szCs w:val="32"/>
        </w:rPr>
        <w:t>、检务督察、两联一进联系乡等所需的公务用车燃料费、维修费、过路过桥费、保险费等支出。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0.89</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0.27</w:t>
      </w:r>
      <w:r>
        <w:rPr>
          <w:rFonts w:hint="eastAsia" w:ascii="仿宋_GB2312" w:eastAsia="仿宋_GB2312"/>
          <w:color w:val="000000"/>
          <w:sz w:val="32"/>
          <w:szCs w:val="32"/>
        </w:rPr>
        <w:t>万元，减少</w:t>
      </w:r>
      <w:r>
        <w:rPr>
          <w:rFonts w:hint="eastAsia" w:ascii="仿宋_GB2312" w:eastAsia="仿宋_GB2312"/>
          <w:color w:val="000000"/>
          <w:sz w:val="32"/>
          <w:szCs w:val="32"/>
          <w:lang w:val="en-US" w:eastAsia="zh-CN"/>
        </w:rPr>
        <w:t>23.28</w:t>
      </w:r>
      <w:r>
        <w:rPr>
          <w:rFonts w:ascii="仿宋_GB2312" w:eastAsia="仿宋_GB2312"/>
          <w:color w:val="000000"/>
          <w:sz w:val="32"/>
          <w:szCs w:val="32"/>
        </w:rPr>
        <w:t>%</w:t>
      </w:r>
      <w:r>
        <w:rPr>
          <w:rFonts w:hint="eastAsia" w:ascii="仿宋_GB2312" w:eastAsia="仿宋_GB2312"/>
          <w:color w:val="000000"/>
          <w:sz w:val="32"/>
          <w:szCs w:val="32"/>
        </w:rPr>
        <w:t>。主要原因是1.因疫情影响检察业务交流减少；2援藏工作交流减少。</w:t>
      </w:r>
    </w:p>
    <w:p>
      <w:pPr>
        <w:spacing w:line="640" w:lineRule="exact"/>
        <w:ind w:firstLine="64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95</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0.89</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val="en-US" w:eastAsia="zh-CN"/>
        </w:rPr>
        <w:t>乐山市法院等</w:t>
      </w:r>
      <w:r>
        <w:rPr>
          <w:rFonts w:hint="eastAsia" w:ascii="仿宋_GB2312" w:eastAsia="仿宋_GB2312"/>
          <w:color w:val="000000"/>
          <w:sz w:val="32"/>
          <w:szCs w:val="32"/>
        </w:rPr>
        <w:t>共计支出接待费</w:t>
      </w:r>
      <w:r>
        <w:rPr>
          <w:rFonts w:hint="eastAsia" w:ascii="仿宋_GB2312" w:eastAsia="仿宋_GB2312"/>
          <w:color w:val="000000"/>
          <w:sz w:val="32"/>
          <w:szCs w:val="32"/>
          <w:lang w:val="en-US" w:eastAsia="zh-CN"/>
        </w:rPr>
        <w:t>0.89</w:t>
      </w:r>
      <w:r>
        <w:rPr>
          <w:rFonts w:hint="eastAsia" w:ascii="仿宋_GB2312" w:eastAsia="仿宋_GB2312"/>
          <w:color w:val="000000"/>
          <w:sz w:val="32"/>
          <w:szCs w:val="32"/>
        </w:rPr>
        <w:t>万元。其中：无外事接待。</w:t>
      </w:r>
    </w:p>
    <w:p>
      <w:pPr>
        <w:spacing w:line="600" w:lineRule="exact"/>
        <w:ind w:firstLine="964" w:firstLineChars="3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 xml:space="preserve"> </w:t>
      </w:r>
      <w:bookmarkStart w:id="44" w:name="_Toc15377218"/>
      <w:bookmarkStart w:id="45" w:name="_Toc15396610"/>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年政府性基金预算拨款支出0万元。</w:t>
      </w:r>
    </w:p>
    <w:p>
      <w:pPr>
        <w:numPr>
          <w:ilvl w:val="0"/>
          <w:numId w:val="5"/>
        </w:numPr>
        <w:spacing w:line="600" w:lineRule="exact"/>
        <w:ind w:firstLine="640"/>
        <w:outlineLvl w:val="1"/>
        <w:rPr>
          <w:rStyle w:val="28"/>
          <w:rFonts w:ascii="黑体" w:hAnsi="黑体" w:eastAsia="黑体"/>
          <w:b w:val="0"/>
        </w:rPr>
      </w:pPr>
      <w:bookmarkStart w:id="46" w:name="_Toc15396611"/>
      <w:bookmarkStart w:id="47" w:name="_Toc15377219"/>
      <w:r>
        <w:rPr>
          <w:rStyle w:val="28"/>
          <w:rFonts w:hint="eastAsia" w:ascii="黑体" w:hAnsi="黑体" w:eastAsia="黑体"/>
          <w:b w:val="0"/>
        </w:rPr>
        <w:t>国有资本经营预算支出决算情况说明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年国有资本经营预算拨款支出0万元。</w:t>
      </w:r>
    </w:p>
    <w:p>
      <w:pPr>
        <w:pStyle w:val="26"/>
        <w:numPr>
          <w:ilvl w:val="0"/>
          <w:numId w:val="6"/>
        </w:numPr>
        <w:spacing w:line="580" w:lineRule="exact"/>
        <w:ind w:firstLineChars="0"/>
        <w:rPr>
          <w:rStyle w:val="28"/>
          <w:rFonts w:ascii="黑体" w:hAnsi="黑体" w:eastAsia="黑体"/>
          <w:b w:val="0"/>
        </w:rPr>
      </w:pPr>
      <w:r>
        <w:rPr>
          <w:rStyle w:val="28"/>
          <w:rFonts w:hint="eastAsia" w:ascii="黑体" w:hAnsi="黑体" w:eastAsia="黑体"/>
          <w:b w:val="0"/>
        </w:rPr>
        <w:t>预算绩效情况说明</w:t>
      </w:r>
    </w:p>
    <w:p>
      <w:pPr>
        <w:numPr>
          <w:ilvl w:val="0"/>
          <w:numId w:val="7"/>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bookmarkStart w:id="48" w:name="_Toc15377225"/>
      <w:bookmarkStart w:id="49" w:name="_Toc15396613"/>
      <w:r>
        <w:rPr>
          <w:rFonts w:hint="eastAsia" w:ascii="仿宋_GB2312" w:hAnsi="仿宋_GB2312" w:eastAsia="仿宋_GB2312" w:cs="仿宋_GB2312"/>
          <w:sz w:val="32"/>
          <w:szCs w:val="32"/>
        </w:rPr>
        <w:t>根据预算绩效管理要求，本部门（单位）在年初预算编制阶段，组织对《阿坝检察》印刷费、检察信息化建设软硬件设备维护更新开展了预算事前绩效评估，对10个项目编制了绩效目标，预算执行过程中，选取5个项目开展绩效监控，年终执行完毕后，对1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年部门整体支出开展绩效自评，从评价情况来看项目基本达到年初绩效目标。本部门还自行组织了10个项目绩效评价，从评价情况来看项目基本到达单位自行制定的绩效目标。</w:t>
      </w:r>
    </w:p>
    <w:p>
      <w:pPr>
        <w:numPr>
          <w:ilvl w:val="0"/>
          <w:numId w:val="7"/>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年度部门决算中反映“《阿坝检察》印刷费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检察信息化建设软硬件设备维护更新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 全州检察机关涉密信息系统安全保密运维服务费”“人民监督员”“业务经费”等5个项目绩效目标实际完成情况。（本单位部门项目绩效目标个数在5个以上的，选取5个项目进行公开，目标个数在5个以下的，全部进行公开，公开内容包括完成情况综述和完成情况表）。</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1.《阿坝检察》印刷项目绩效目标完成情况综述。项目全年预算数2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万元，完成预算的100%。通过项目实施，《阿坝检察》共出版刊物2期，全州检察机关踊跃投稿，出版刊物共计100余篇。</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2.检察信息化建设软硬件设备维护更新项目绩效目标完成情况综述。项目全年预算数15万元，执行数为</w:t>
      </w:r>
      <w:r>
        <w:rPr>
          <w:rFonts w:hint="eastAsia" w:ascii="仿宋_GB2312" w:hAnsi="仿宋_GB2312" w:eastAsia="仿宋_GB2312" w:cs="仿宋_GB2312"/>
          <w:sz w:val="32"/>
          <w:szCs w:val="32"/>
          <w:lang w:val="en-US" w:eastAsia="zh-CN"/>
        </w:rPr>
        <w:t>12.92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86.13</w:t>
      </w:r>
      <w:r>
        <w:rPr>
          <w:rFonts w:hint="eastAsia" w:ascii="仿宋_GB2312" w:hAnsi="仿宋_GB2312" w:eastAsia="仿宋_GB2312" w:cs="仿宋_GB2312"/>
          <w:sz w:val="32"/>
          <w:szCs w:val="32"/>
        </w:rPr>
        <w:t>%。通过项目实施，保障了州检察院各类应用系统设备维护，确保全州检察内网网上办公、办案等系统的正常运行。</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3.人民监督员工作项目绩效目标完成情况综述。项目全年预算数5万元，执行数为5万元，完成预算的100%。通过项目实施，</w:t>
      </w:r>
      <w:r>
        <w:rPr>
          <w:rFonts w:hint="eastAsia" w:ascii="仿宋_GB2312" w:hAnsi="仿宋_GB2312" w:eastAsia="仿宋_GB2312" w:cs="仿宋_GB2312"/>
          <w:color w:val="000000"/>
          <w:sz w:val="32"/>
          <w:szCs w:val="32"/>
        </w:rPr>
        <w:t>扎实</w:t>
      </w:r>
      <w:r>
        <w:rPr>
          <w:rFonts w:hint="eastAsia" w:ascii="仿宋_GB2312" w:hAnsi="仿宋_GB2312" w:eastAsia="仿宋_GB2312" w:cs="仿宋_GB2312"/>
          <w:sz w:val="32"/>
          <w:szCs w:val="32"/>
        </w:rPr>
        <w:t>推进人民监督员制度建设</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在202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年我院召开人民监督员和特约检察员工作会议2次，完成全年目标任务数的100%，</w:t>
      </w:r>
    </w:p>
    <w:p>
      <w:pPr>
        <w:pStyle w:val="14"/>
        <w:widowControl/>
        <w:spacing w:line="640" w:lineRule="exact"/>
        <w:ind w:firstLine="627" w:firstLineChars="196"/>
        <w:rPr>
          <w:rFonts w:ascii="仿宋_GB2312" w:hAnsi="宋体" w:eastAsia="仿宋_GB2312" w:cs="宋体"/>
          <w:color w:val="2A2A2A"/>
          <w:sz w:val="32"/>
          <w:szCs w:val="32"/>
        </w:rPr>
      </w:pPr>
      <w:r>
        <w:rPr>
          <w:rFonts w:hint="eastAsia" w:ascii="仿宋_GB2312" w:hAnsi="仿宋_GB2312" w:eastAsia="仿宋_GB2312" w:cs="仿宋_GB2312"/>
          <w:sz w:val="32"/>
          <w:szCs w:val="32"/>
        </w:rPr>
        <w:t>4.“ 办公、办案网络信息网络费”项目绩效目标完成情况综述。项目全年预算数</w:t>
      </w:r>
      <w:r>
        <w:rPr>
          <w:rFonts w:hint="eastAsia" w:ascii="仿宋_GB2312" w:hAnsi="仿宋_GB2312" w:eastAsia="仿宋_GB2312" w:cs="仿宋_GB2312"/>
          <w:sz w:val="32"/>
          <w:szCs w:val="32"/>
          <w:lang w:val="en-US" w:eastAsia="zh-CN"/>
        </w:rPr>
        <w:t>10.2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10.2</w:t>
      </w:r>
      <w:r>
        <w:rPr>
          <w:rFonts w:hint="eastAsia" w:ascii="仿宋_GB2312" w:hAnsi="仿宋_GB2312" w:eastAsia="仿宋_GB2312" w:cs="仿宋_GB2312"/>
          <w:sz w:val="32"/>
          <w:szCs w:val="32"/>
        </w:rPr>
        <w:t>万元，完成预算的100%。通过项目实施使</w:t>
      </w:r>
      <w:r>
        <w:rPr>
          <w:rFonts w:hint="eastAsia" w:ascii="仿宋_GB2312" w:hAnsi="宋体" w:eastAsia="仿宋_GB2312" w:cs="宋体"/>
          <w:color w:val="2A2A2A"/>
          <w:sz w:val="32"/>
          <w:szCs w:val="32"/>
        </w:rPr>
        <w:t>我院</w:t>
      </w:r>
      <w:r>
        <w:rPr>
          <w:rFonts w:hint="eastAsia" w:ascii="仿宋_GB2312" w:hAnsi="仿宋_GB2312" w:eastAsia="仿宋_GB2312" w:cs="仿宋_GB2312"/>
          <w:sz w:val="32"/>
          <w:szCs w:val="32"/>
        </w:rPr>
        <w:t>办公、办案</w:t>
      </w:r>
      <w:r>
        <w:rPr>
          <w:rFonts w:hint="eastAsia" w:ascii="仿宋_GB2312" w:hAnsi="宋体" w:eastAsia="仿宋_GB2312" w:cs="宋体"/>
          <w:color w:val="2A2A2A"/>
          <w:sz w:val="32"/>
          <w:szCs w:val="32"/>
        </w:rPr>
        <w:t>工作进一步加强，保障我院办案水平进一步提高。完成了2020年度绩效任务。</w:t>
      </w:r>
    </w:p>
    <w:p>
      <w:pPr>
        <w:pStyle w:val="14"/>
        <w:widowControl/>
        <w:spacing w:line="640" w:lineRule="exact"/>
        <w:ind w:firstLine="627" w:firstLineChars="196"/>
        <w:rPr>
          <w:rFonts w:hint="eastAsia" w:hAnsi="ˎ̥" w:cs="宋体"/>
          <w:szCs w:val="30"/>
        </w:rPr>
      </w:pPr>
      <w:r>
        <w:rPr>
          <w:rFonts w:hint="eastAsia" w:ascii="仿宋_GB2312" w:hAnsi="宋体" w:eastAsia="仿宋_GB2312" w:cs="宋体"/>
          <w:color w:val="2A2A2A"/>
          <w:sz w:val="32"/>
          <w:szCs w:val="32"/>
        </w:rPr>
        <w:t>5.</w:t>
      </w:r>
      <w:r>
        <w:rPr>
          <w:rFonts w:hint="eastAsia" w:hAnsi="ˎ̥" w:cs="宋体"/>
          <w:szCs w:val="30"/>
        </w:rPr>
        <w:t xml:space="preserve"> </w:t>
      </w:r>
      <w:r>
        <w:rPr>
          <w:rFonts w:hint="eastAsia" w:ascii="仿宋_GB2312" w:hAnsi="宋体" w:eastAsia="仿宋_GB2312" w:cs="宋体"/>
          <w:color w:val="2A2A2A"/>
          <w:sz w:val="32"/>
          <w:szCs w:val="32"/>
        </w:rPr>
        <w:t>全州检察机关涉密信息系统安全保密运维服务费</w:t>
      </w:r>
      <w:r>
        <w:rPr>
          <w:rFonts w:hint="eastAsia" w:ascii="仿宋_GB2312" w:hAnsi="仿宋_GB2312" w:eastAsia="仿宋_GB2312" w:cs="仿宋_GB2312"/>
          <w:sz w:val="32"/>
          <w:szCs w:val="32"/>
        </w:rPr>
        <w:t>项目绩效目标完成情况综述。项目全年预算数63万元，执行数为63万元，完成预算的100%。通过项目实施，保障了202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年全州检察机关涉密信息系统安全保密运维服务。</w:t>
      </w:r>
      <w:r>
        <w:rPr>
          <w:rFonts w:hint="eastAsia" w:ascii="仿宋_GB2312" w:hAnsi="宋体" w:eastAsia="仿宋_GB2312" w:cs="宋体"/>
          <w:color w:val="2A2A2A"/>
          <w:sz w:val="32"/>
          <w:szCs w:val="32"/>
        </w:rPr>
        <w:t>完成了202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年度绩效任务。</w:t>
      </w: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
              <w:widowControl/>
              <w:ind w:left="3580" w:leftChars="1310" w:hanging="829" w:hangingChars="395"/>
              <w:textAlignment w:val="center"/>
              <w:rPr>
                <w:rFonts w:hint="eastAsia" w:ascii="黑体" w:hAnsi="黑体" w:eastAsia="黑体" w:cs="宋体"/>
                <w:bCs/>
                <w:color w:val="000000"/>
                <w:kern w:val="0"/>
                <w:szCs w:val="21"/>
                <w:lang w:eastAsia="zh-CN"/>
              </w:rPr>
            </w:pPr>
            <w:r>
              <w:rPr>
                <w:rFonts w:hint="eastAsia" w:ascii="黑体" w:hAnsi="黑体" w:eastAsia="黑体" w:cs="宋体"/>
                <w:bCs/>
                <w:color w:val="000000"/>
                <w:kern w:val="0"/>
                <w:szCs w:val="21"/>
              </w:rPr>
              <w:t>项目支出绩效目标完成情况表</w:t>
            </w:r>
          </w:p>
          <w:p>
            <w:pPr>
              <w:pStyle w:val="2"/>
              <w:widowControl/>
              <w:ind w:left="3580" w:leftChars="1310" w:hanging="829" w:hangingChars="395"/>
              <w:textAlignment w:val="center"/>
              <w:rPr>
                <w:rFonts w:ascii="宋体" w:hAnsi="宋体" w:cs="宋体"/>
                <w:color w:val="000000"/>
                <w:szCs w:val="21"/>
              </w:rPr>
            </w:pPr>
            <w:r>
              <w:rPr>
                <w:rFonts w:hint="eastAsia" w:ascii="宋体" w:hAnsi="宋体" w:cs="宋体"/>
                <w:color w:val="000000"/>
                <w:kern w:val="0"/>
                <w:szCs w:val="21"/>
              </w:rPr>
              <w:t>(202</w:t>
            </w:r>
            <w:r>
              <w:rPr>
                <w:rFonts w:hint="eastAsia" w:ascii="宋体" w:hAnsi="宋体" w:cs="宋体"/>
                <w:color w:val="000000"/>
                <w:kern w:val="0"/>
                <w:szCs w:val="21"/>
                <w:lang w:val="en-US" w:eastAsia="zh-CN"/>
              </w:rPr>
              <w:t>1</w:t>
            </w:r>
            <w:r>
              <w:rPr>
                <w:rFonts w:hint="eastAsia" w:ascii="宋体" w:hAnsi="宋体" w:cs="宋体"/>
                <w:color w:val="000000"/>
                <w:kern w:val="0"/>
                <w:szCs w:val="21"/>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人民监督员经费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阿坝州检察院</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Cs w:val="21"/>
              </w:rPr>
            </w:pPr>
            <w:r>
              <w:rPr>
                <w:rFonts w:hint="eastAsia" w:ascii="宋体" w:hAnsi="宋体" w:cs="宋体"/>
                <w:color w:val="000000"/>
                <w:szCs w:val="21"/>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推进司法体制改革，以健全确保依法独立公正行使检察权的监督制约机制为目标，改革人民监督员选任和管理方式，扩大人民监督员监督范围，完善人民监督员监督程序，进一步拓宽人民群众有序参与司法的渠道。指导各县（市）加强检察院人民监督员制度建设，全面提升检察院整体工作效能，全面发挥藏区人民监督员、特约检察院在依法治藏和各类案件中的作用。</w:t>
            </w:r>
          </w:p>
          <w:p>
            <w:pPr>
              <w:widowControl/>
              <w:jc w:val="left"/>
              <w:textAlignment w:val="center"/>
              <w:rPr>
                <w:rFonts w:ascii="宋体" w:hAnsi="宋体" w:cs="宋体"/>
                <w:color w:val="000000"/>
                <w:szCs w:val="21"/>
              </w:rPr>
            </w:pPr>
            <w:r>
              <w:rPr>
                <w:rFonts w:hint="eastAsia" w:ascii="宋体" w:hAnsi="宋体" w:cs="宋体"/>
                <w:color w:val="000000"/>
                <w:szCs w:val="21"/>
              </w:rPr>
              <w:t>深入推进人民监督员工作，规范人民监督员工作流程，确保发挥人民监督员在司法办案中的监督作用。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20</w:t>
            </w:r>
            <w:r>
              <w:rPr>
                <w:rFonts w:hint="eastAsia" w:ascii="宋体" w:hAnsi="宋体" w:cs="宋体"/>
                <w:color w:val="000000"/>
                <w:szCs w:val="21"/>
                <w:lang w:val="en-US" w:eastAsia="zh-CN"/>
              </w:rPr>
              <w:t>21</w:t>
            </w:r>
            <w:r>
              <w:rPr>
                <w:rFonts w:hint="eastAsia" w:ascii="宋体" w:hAnsi="宋体" w:cs="宋体"/>
                <w:color w:val="000000"/>
                <w:szCs w:val="21"/>
              </w:rPr>
              <w:t>年人民监督员在监督工作中履行下列职责：对人民检察院办理直接受理立案侦查案件的情形实施了监督。人民监督员应邀参加了人民检察院组织的执法检查活动2次，并提出了宝贵意见和建议。人民监督员可以对检察机关的其他检察工作、检察队伍建设也出意见、建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指导全州检察机关开展人民监督员工作和州本级检察机关开展人民监督员工作。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加强对全州13个县人民调监督员和州检察院本级人民监督员的工作开展。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20" w:firstLineChars="200"/>
              <w:jc w:val="left"/>
              <w:textAlignment w:val="center"/>
              <w:rPr>
                <w:rFonts w:ascii="宋体" w:hAnsi="宋体" w:cs="宋体"/>
                <w:color w:val="000000"/>
                <w:szCs w:val="21"/>
              </w:rPr>
            </w:pPr>
            <w:r>
              <w:rPr>
                <w:rFonts w:hint="eastAsia" w:ascii="宋体" w:hAnsi="宋体" w:cs="宋体"/>
                <w:color w:val="000000"/>
                <w:szCs w:val="21"/>
              </w:rPr>
              <w:t>对阿坝州人民检察院办理直接受理立案侦查案件的实施了监督;人民监督员应邀参加阿坝州人民检察院组织的有关执法检查和检察开放日等活动，并提出意见和建议。人民监督员对检察机关的其他检察工作、检察队伍建设等提出意见、建议。</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提高人民监督员。司法所面积、人员、业务工作、外观和室内规范达到省级标准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20</w:t>
            </w:r>
            <w:r>
              <w:rPr>
                <w:rFonts w:hint="eastAsia" w:ascii="宋体" w:hAnsi="宋体" w:cs="宋体"/>
                <w:color w:val="000000"/>
                <w:szCs w:val="21"/>
                <w:lang w:val="en-US" w:eastAsia="zh-CN"/>
              </w:rPr>
              <w:t>21</w:t>
            </w:r>
            <w:r>
              <w:rPr>
                <w:rFonts w:hint="eastAsia" w:ascii="宋体" w:hAnsi="宋体" w:cs="宋体"/>
                <w:color w:val="000000"/>
                <w:szCs w:val="21"/>
              </w:rPr>
              <w:t>年阿坝州人民检察院人民监督员工作得以顺利开展。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对人民检察院办理直接受理立案侦查案件的实施了监督;人民监督员应邀参加人民检察院组织的有关执法检查和检察开放日等活动，并提出意见和建议。人民监督员对检察机关的其他检察工作、检察队伍建设等提出意见、建议</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人民监督员办公费出3万元、人民监督员材料、图片印刷费支出2万元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实际支出5万元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政府和群众满意度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满意率90%以上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满意率90%以上</w:t>
            </w:r>
          </w:p>
        </w:tc>
      </w:tr>
    </w:tbl>
    <w:p>
      <w:pPr>
        <w:spacing w:line="580" w:lineRule="exact"/>
        <w:rPr>
          <w:rFonts w:ascii="仿宋_GB2312" w:hAnsi="仿宋_GB2312" w:eastAsia="仿宋_GB2312" w:cs="仿宋_GB2312"/>
          <w:sz w:val="32"/>
          <w:szCs w:val="32"/>
        </w:rPr>
      </w:pPr>
    </w:p>
    <w:p>
      <w:pPr>
        <w:numPr>
          <w:ilvl w:val="0"/>
          <w:numId w:val="7"/>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年部门整体支出绩效评价情况开展自评，《阿坝州人民检察院202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本部门自行组织对人民监督员项目，《阿坝州人民检察院人民监督员项目202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年绩效评价报告》见附件。</w:t>
      </w:r>
    </w:p>
    <w:p>
      <w:pPr>
        <w:spacing w:line="600" w:lineRule="exact"/>
        <w:ind w:firstLine="800" w:firstLineChars="250"/>
        <w:outlineLvl w:val="1"/>
        <w:rPr>
          <w:rStyle w:val="28"/>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8"/>
          <w:rFonts w:hint="eastAsia" w:ascii="黑体" w:hAnsi="黑体" w:eastAsia="黑体"/>
        </w:rPr>
        <w:t>一、其他重要事项的情况说明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w:t>
      </w:r>
      <w:r>
        <w:rPr>
          <w:rFonts w:hint="eastAsia" w:ascii="仿宋_GB2312" w:eastAsia="仿宋_GB2312"/>
          <w:color w:val="000000"/>
          <w:sz w:val="32"/>
          <w:szCs w:val="32"/>
        </w:rPr>
        <w:t>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年，阿坝州人民检察院机关运行经费支出</w:t>
      </w:r>
      <w:r>
        <w:rPr>
          <w:rFonts w:hint="eastAsia" w:ascii="仿宋_GB2312" w:eastAsia="仿宋_GB2312"/>
          <w:color w:val="000000"/>
          <w:sz w:val="32"/>
          <w:szCs w:val="32"/>
          <w:lang w:val="en-US" w:eastAsia="zh-CN"/>
        </w:rPr>
        <w:t>369.22</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74.04</w:t>
      </w:r>
      <w:r>
        <w:rPr>
          <w:rFonts w:hint="eastAsia" w:ascii="仿宋_GB2312" w:eastAsia="仿宋_GB2312"/>
          <w:color w:val="000000"/>
          <w:sz w:val="32"/>
          <w:szCs w:val="32"/>
        </w:rPr>
        <w:t>万元，减少</w:t>
      </w:r>
      <w:r>
        <w:rPr>
          <w:rFonts w:hint="eastAsia" w:ascii="仿宋_GB2312" w:eastAsia="仿宋_GB2312"/>
          <w:color w:val="000000"/>
          <w:sz w:val="32"/>
          <w:szCs w:val="32"/>
          <w:lang w:val="en-US" w:eastAsia="zh-CN"/>
        </w:rPr>
        <w:t>16.70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主要原因是1.人员经费减少2.厉行节约。</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年，阿坝州人民检察院政府采购支出总额</w:t>
      </w:r>
      <w:r>
        <w:rPr>
          <w:rFonts w:hint="eastAsia" w:ascii="仿宋_GB2312" w:eastAsia="仿宋_GB2312"/>
          <w:color w:val="000000"/>
          <w:sz w:val="32"/>
          <w:szCs w:val="32"/>
          <w:lang w:val="en-US" w:eastAsia="zh-CN"/>
        </w:rPr>
        <w:t>220.97</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220.97</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112.13</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50.74</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日，阿坝州人民检察院共有车辆24辆，其中：执法执勤用车辆</w:t>
      </w:r>
      <w:r>
        <w:rPr>
          <w:rFonts w:hint="eastAsia" w:ascii="仿宋_GB2312" w:eastAsia="仿宋_GB2312"/>
          <w:color w:val="000000"/>
          <w:sz w:val="32"/>
          <w:szCs w:val="32"/>
          <w:lang w:val="en-US" w:eastAsia="zh-CN"/>
        </w:rPr>
        <w:t>17</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辆；</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8"/>
        </w:numPr>
        <w:spacing w:line="600" w:lineRule="exact"/>
        <w:ind w:firstLine="663" w:firstLineChars="150"/>
        <w:jc w:val="center"/>
        <w:outlineLvl w:val="0"/>
        <w:rPr>
          <w:rStyle w:val="27"/>
          <w:rFonts w:ascii="黑体" w:hAnsi="黑体" w:eastAsia="黑体"/>
          <w:b w:val="0"/>
        </w:rPr>
      </w:pPr>
      <w:r>
        <w:rPr>
          <w:rFonts w:hint="eastAsia" w:ascii="黑体" w:hAnsi="黑体" w:eastAsia="黑体"/>
          <w:b/>
          <w:color w:val="000000"/>
          <w:sz w:val="44"/>
          <w:szCs w:val="44"/>
        </w:rPr>
        <w:t>名</w:t>
      </w:r>
      <w:r>
        <w:rPr>
          <w:rStyle w:val="27"/>
          <w:rFonts w:hint="eastAsia" w:ascii="黑体" w:hAnsi="黑体" w:eastAsia="黑体"/>
          <w:b w:val="0"/>
        </w:rPr>
        <w:t>词解释</w:t>
      </w:r>
      <w:bookmarkEnd w:id="48"/>
      <w:bookmarkEnd w:id="49"/>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四川省检察院补助的办案业务经费</w:t>
      </w:r>
      <w:r>
        <w:rPr>
          <w:rFonts w:hint="eastAsia" w:ascii="仿宋_GB2312" w:eastAsia="仿宋_GB2312"/>
          <w:sz w:val="32"/>
          <w:szCs w:val="32"/>
        </w:rPr>
        <w:t>。</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ageBreakBefore w:val="0"/>
        <w:kinsoku/>
        <w:wordWrap/>
        <w:overflowPunct/>
        <w:topLinePunct w:val="0"/>
        <w:bidi w:val="0"/>
        <w:spacing w:line="560" w:lineRule="exact"/>
        <w:ind w:firstLine="640" w:firstLineChars="200"/>
        <w:textAlignment w:val="auto"/>
        <w:rPr>
          <w:rFonts w:hint="eastAsia" w:ascii="仿宋_GB2312" w:hAnsi="Times New Roman" w:eastAsia="仿宋_GB2312" w:cs="Times New Roman"/>
          <w:color w:val="auto"/>
          <w:kern w:val="0"/>
          <w:sz w:val="32"/>
          <w:szCs w:val="32"/>
          <w:lang w:val="en-US" w:eastAsia="zh-CN" w:bidi="ar"/>
        </w:rPr>
      </w:pPr>
      <w:r>
        <w:rPr>
          <w:rFonts w:hint="eastAsia" w:ascii="仿宋_GB2312" w:hAnsi="Times New Roman" w:eastAsia="仿宋_GB2312" w:cs="Times New Roman"/>
          <w:color w:val="auto"/>
          <w:kern w:val="0"/>
          <w:sz w:val="32"/>
          <w:szCs w:val="32"/>
          <w:lang w:val="en-US" w:eastAsia="zh-CN" w:bidi="ar"/>
        </w:rPr>
        <w:t>6.公共安全支出（类）检察（款）行政运行（项）：指</w:t>
      </w:r>
      <w:r>
        <w:rPr>
          <w:rFonts w:hint="eastAsia" w:ascii="仿宋_GB2312" w:eastAsia="仿宋_GB2312" w:cs="Times New Roman"/>
          <w:color w:val="auto"/>
          <w:kern w:val="0"/>
          <w:sz w:val="32"/>
          <w:szCs w:val="32"/>
          <w:lang w:val="en-US" w:eastAsia="zh-CN" w:bidi="ar"/>
        </w:rPr>
        <w:t>行政单位（包括实行公务员管理的事业单位）的基本支出</w:t>
      </w:r>
      <w:r>
        <w:rPr>
          <w:rFonts w:hint="eastAsia" w:ascii="仿宋_GB2312" w:hAnsi="Times New Roman" w:eastAsia="仿宋_GB2312" w:cs="Times New Roman"/>
          <w:color w:val="auto"/>
          <w:kern w:val="0"/>
          <w:sz w:val="32"/>
          <w:szCs w:val="32"/>
          <w:lang w:val="en-US" w:eastAsia="zh-CN" w:bidi="ar"/>
        </w:rPr>
        <w:t>。</w:t>
      </w:r>
    </w:p>
    <w:p>
      <w:pPr>
        <w:pageBreakBefore w:val="0"/>
        <w:kinsoku/>
        <w:wordWrap/>
        <w:overflowPunct/>
        <w:topLinePunct w:val="0"/>
        <w:bidi w:val="0"/>
        <w:spacing w:line="560" w:lineRule="exact"/>
        <w:ind w:firstLine="640" w:firstLineChars="200"/>
        <w:textAlignment w:val="auto"/>
        <w:rPr>
          <w:rFonts w:hint="eastAsia" w:ascii="仿宋_GB2312" w:hAnsi="Times New Roman" w:eastAsia="仿宋_GB2312" w:cs="Times New Roman"/>
          <w:color w:val="auto"/>
          <w:kern w:val="0"/>
          <w:sz w:val="32"/>
          <w:szCs w:val="32"/>
          <w:lang w:val="en-US" w:eastAsia="zh-CN" w:bidi="ar"/>
        </w:rPr>
      </w:pPr>
      <w:r>
        <w:rPr>
          <w:rFonts w:hint="eastAsia" w:ascii="仿宋_GB2312" w:hAnsi="Times New Roman" w:eastAsia="仿宋_GB2312" w:cs="Times New Roman"/>
          <w:color w:val="auto"/>
          <w:kern w:val="0"/>
          <w:sz w:val="32"/>
          <w:szCs w:val="32"/>
          <w:lang w:val="en-US" w:eastAsia="zh-CN" w:bidi="ar"/>
        </w:rPr>
        <w:t>7.公共安全支出（类）检察（款）一般行政管理事务（项）：指</w:t>
      </w:r>
      <w:r>
        <w:rPr>
          <w:rFonts w:hint="eastAsia" w:ascii="仿宋_GB2312" w:eastAsia="仿宋_GB2312" w:cs="Times New Roman"/>
          <w:color w:val="auto"/>
          <w:kern w:val="0"/>
          <w:sz w:val="32"/>
          <w:szCs w:val="32"/>
          <w:lang w:val="en-US" w:eastAsia="zh-CN" w:bidi="ar"/>
        </w:rPr>
        <w:t>行政单位（包括实行公务员管理的事业单位）未独立设置项级科目的其他项目支出</w:t>
      </w:r>
      <w:r>
        <w:rPr>
          <w:rFonts w:hint="eastAsia" w:ascii="仿宋_GB2312" w:hAnsi="Times New Roman" w:eastAsia="仿宋_GB2312" w:cs="Times New Roman"/>
          <w:color w:val="auto"/>
          <w:kern w:val="0"/>
          <w:sz w:val="32"/>
          <w:szCs w:val="32"/>
          <w:lang w:val="en-US" w:eastAsia="zh-CN" w:bidi="ar"/>
        </w:rPr>
        <w:t>。</w:t>
      </w:r>
    </w:p>
    <w:p>
      <w:pPr>
        <w:pStyle w:val="25"/>
        <w:spacing w:line="560" w:lineRule="exact"/>
        <w:ind w:firstLine="640" w:firstLineChars="200"/>
        <w:rPr>
          <w:rFonts w:hint="eastAsia" w:ascii="仿宋_GB2312" w:eastAsia="仿宋_GB2312"/>
          <w:sz w:val="32"/>
          <w:szCs w:val="32"/>
        </w:rPr>
      </w:pPr>
      <w:r>
        <w:rPr>
          <w:rFonts w:hint="eastAsia" w:ascii="仿宋_GB2312" w:hAnsi="Times New Roman" w:eastAsia="仿宋_GB2312" w:cs="Times New Roman"/>
          <w:color w:val="auto"/>
          <w:kern w:val="0"/>
          <w:sz w:val="32"/>
          <w:szCs w:val="32"/>
          <w:lang w:val="en-US" w:eastAsia="zh-CN" w:bidi="ar"/>
        </w:rPr>
        <w:t>8.公共安全支出（类）检察（款）其他检察支出（项）：指</w:t>
      </w:r>
      <w:r>
        <w:rPr>
          <w:rFonts w:hint="eastAsia" w:ascii="仿宋_GB2312" w:eastAsia="仿宋_GB2312" w:cs="Times New Roman"/>
          <w:color w:val="auto"/>
          <w:kern w:val="0"/>
          <w:sz w:val="32"/>
          <w:szCs w:val="32"/>
          <w:lang w:val="en-US" w:eastAsia="zh-CN" w:bidi="ar"/>
        </w:rPr>
        <w:t>其他用于检察方面的支出。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（类）</w:t>
      </w:r>
      <w:r>
        <w:rPr>
          <w:rFonts w:hint="eastAsia" w:ascii="仿宋" w:hAnsi="仿宋" w:eastAsia="仿宋" w:cs="仿宋"/>
          <w:color w:val="000000"/>
          <w:sz w:val="32"/>
          <w:szCs w:val="32"/>
          <w:lang w:eastAsia="zh-CN"/>
        </w:rPr>
        <w:t>行政事业单位</w:t>
      </w:r>
      <w:r>
        <w:rPr>
          <w:rFonts w:hint="eastAsia" w:ascii="仿宋" w:hAnsi="仿宋" w:eastAsia="仿宋" w:cs="仿宋"/>
          <w:color w:val="000000"/>
          <w:sz w:val="32"/>
          <w:szCs w:val="32"/>
          <w:lang w:val="en-US" w:eastAsia="zh-CN"/>
        </w:rPr>
        <w:t>养老支出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由单位缴纳的基本养老保险费支出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hAnsi="Times New Roman"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 w:hAnsi="仿宋" w:eastAsia="仿宋" w:cs="仿宋"/>
          <w:color w:val="000000"/>
          <w:sz w:val="32"/>
          <w:szCs w:val="32"/>
          <w:lang w:eastAsia="zh-CN"/>
        </w:rPr>
        <w:t>行政事业单位</w:t>
      </w:r>
      <w:r>
        <w:rPr>
          <w:rFonts w:hint="eastAsia" w:ascii="仿宋" w:hAnsi="仿宋" w:eastAsia="仿宋" w:cs="仿宋"/>
          <w:color w:val="000000"/>
          <w:sz w:val="32"/>
          <w:szCs w:val="32"/>
          <w:lang w:val="en-US" w:eastAsia="zh-CN"/>
        </w:rPr>
        <w:t>养老支出</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机关事业单位职业年金缴费支出</w:t>
      </w:r>
      <w:r>
        <w:rPr>
          <w:rFonts w:hint="eastAsia" w:ascii="仿宋_GB2312" w:hAnsi="Times New Roman" w:eastAsia="仿宋_GB2312" w:cs="Times New Roman"/>
          <w:color w:val="000000"/>
          <w:sz w:val="32"/>
          <w:szCs w:val="32"/>
          <w:lang w:eastAsia="zh-CN"/>
        </w:rPr>
        <w:t>（项）：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机关事业单位实施养老保险制度由单位实际缴纳的职业年金</w:t>
      </w:r>
      <w:r>
        <w:rPr>
          <w:rFonts w:hint="eastAsia" w:ascii="仿宋_GB2312" w:eastAsia="仿宋_GB2312"/>
          <w:color w:val="000000"/>
          <w:sz w:val="32"/>
          <w:szCs w:val="32"/>
        </w:rPr>
        <w:t>。</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11</w:t>
      </w:r>
      <w:r>
        <w:rPr>
          <w:rFonts w:hint="eastAsia" w:ascii="仿宋_GB2312" w:hAnsi="Times New Roman" w:eastAsia="仿宋_GB2312" w:cs="Times New Roman"/>
          <w:color w:val="000000"/>
          <w:sz w:val="32"/>
          <w:szCs w:val="32"/>
          <w:lang w:eastAsia="zh-CN"/>
        </w:rPr>
        <w:t>.卫生健康支出</w:t>
      </w:r>
      <w:r>
        <w:rPr>
          <w:rFonts w:hint="eastAsia" w:ascii="仿宋_GB2312" w:hAnsi="Times New Roman" w:eastAsia="仿宋_GB2312" w:cs="Times New Roman"/>
          <w:color w:val="000000"/>
          <w:sz w:val="32"/>
          <w:szCs w:val="32"/>
          <w:lang w:val="en-US" w:eastAsia="zh-CN"/>
        </w:rPr>
        <w:t>（类）行政事业单位医疗（</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行政单位医疗</w:t>
      </w:r>
      <w:r>
        <w:rPr>
          <w:rFonts w:hint="eastAsia" w:ascii="仿宋_GB2312" w:hAnsi="Times New Roman" w:eastAsia="仿宋_GB2312" w:cs="Times New Roman"/>
          <w:color w:val="000000"/>
          <w:sz w:val="32"/>
          <w:szCs w:val="32"/>
          <w:lang w:eastAsia="zh-CN"/>
        </w:rPr>
        <w:t>（项）：指财政部门集中安排的行政单位基本医疗保险缴费经费。</w:t>
      </w:r>
    </w:p>
    <w:p>
      <w:pPr>
        <w:pStyle w:val="2"/>
        <w:rPr>
          <w:rFonts w:hint="eastAsia"/>
          <w:lang w:eastAsia="zh-CN"/>
        </w:rPr>
      </w:pPr>
      <w:r>
        <w:rPr>
          <w:rFonts w:hint="eastAsia" w:ascii="仿宋_GB2312" w:eastAsia="仿宋_GB2312" w:cs="Times New Roman"/>
          <w:color w:val="000000"/>
          <w:sz w:val="32"/>
          <w:szCs w:val="32"/>
          <w:lang w:val="en-US" w:eastAsia="zh-CN"/>
        </w:rPr>
        <w:t>12</w:t>
      </w:r>
      <w:r>
        <w:rPr>
          <w:rFonts w:hint="eastAsia" w:ascii="仿宋_GB2312" w:hAnsi="Times New Roman" w:eastAsia="仿宋_GB2312" w:cs="Times New Roman"/>
          <w:color w:val="000000"/>
          <w:sz w:val="32"/>
          <w:szCs w:val="32"/>
          <w:lang w:eastAsia="zh-CN"/>
        </w:rPr>
        <w:t>.卫生健康支出</w:t>
      </w:r>
      <w:r>
        <w:rPr>
          <w:rFonts w:hint="eastAsia" w:ascii="仿宋_GB2312" w:hAnsi="Times New Roman" w:eastAsia="仿宋_GB2312" w:cs="Times New Roman"/>
          <w:color w:val="000000"/>
          <w:sz w:val="32"/>
          <w:szCs w:val="32"/>
          <w:lang w:val="en-US" w:eastAsia="zh-CN"/>
        </w:rPr>
        <w:t>（类）行政事业单位医疗（</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公务员医疗补助</w:t>
      </w:r>
      <w:r>
        <w:rPr>
          <w:rFonts w:hint="eastAsia" w:ascii="仿宋_GB2312" w:hAnsi="Times New Roman" w:eastAsia="仿宋_GB2312" w:cs="Times New Roman"/>
          <w:color w:val="000000"/>
          <w:sz w:val="32"/>
          <w:szCs w:val="32"/>
          <w:lang w:eastAsia="zh-CN"/>
        </w:rPr>
        <w:t>（项）：指财政部门集中安排的行政单位</w:t>
      </w:r>
      <w:r>
        <w:rPr>
          <w:rFonts w:hint="eastAsia" w:ascii="仿宋_GB2312" w:hAnsi="Times New Roman" w:eastAsia="仿宋_GB2312" w:cs="Times New Roman"/>
          <w:color w:val="000000"/>
          <w:sz w:val="32"/>
          <w:szCs w:val="32"/>
          <w:lang w:val="en-US" w:eastAsia="zh-CN"/>
        </w:rPr>
        <w:t>公务员医疗补助</w:t>
      </w:r>
      <w:r>
        <w:rPr>
          <w:rFonts w:hint="eastAsia" w:ascii="仿宋_GB2312" w:hAnsi="Times New Roman" w:eastAsia="仿宋_GB2312" w:cs="Times New Roman"/>
          <w:color w:val="000000"/>
          <w:sz w:val="32"/>
          <w:szCs w:val="32"/>
          <w:lang w:eastAsia="zh-CN"/>
        </w:rPr>
        <w:t>保险缴费经费。</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lang w:val="en-US" w:eastAsia="zh-CN"/>
        </w:rPr>
        <w:t>.住房保障支出（类）住房改革支出（款）住房公积金（项）：指行政事业单位</w:t>
      </w:r>
      <w:r>
        <w:rPr>
          <w:rFonts w:hint="eastAsia" w:ascii="仿宋_GB2312" w:hAnsi="Times New Roman" w:eastAsia="仿宋_GB2312" w:cs="Times New Roman"/>
          <w:color w:val="000000"/>
          <w:sz w:val="32"/>
          <w:szCs w:val="32"/>
          <w:lang w:eastAsia="zh-CN"/>
        </w:rPr>
        <w:t>安装工资比例为职工缴纳的住房公积金。</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14</w:t>
      </w:r>
      <w:r>
        <w:rPr>
          <w:rFonts w:hint="eastAsia" w:ascii="仿宋_GB2312" w:hAnsi="Times New Roman" w:eastAsia="仿宋_GB2312" w:cs="Times New Roman"/>
          <w:color w:val="000000"/>
          <w:sz w:val="32"/>
          <w:szCs w:val="32"/>
          <w:lang w:eastAsia="zh-CN"/>
        </w:rPr>
        <w:t>.基本支出：指为保障机构正常运转、完成日常工作任务而发生的人员支出和公用支出。</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15</w:t>
      </w:r>
      <w:r>
        <w:rPr>
          <w:rFonts w:hint="eastAsia" w:ascii="仿宋_GB2312" w:hAnsi="Times New Roman" w:eastAsia="仿宋_GB2312" w:cs="Times New Roman"/>
          <w:color w:val="000000"/>
          <w:sz w:val="32"/>
          <w:szCs w:val="32"/>
          <w:lang w:eastAsia="zh-CN"/>
        </w:rPr>
        <w:t>.项目支出：指在基本支出之外为完成特定行政任务和事业发展目标所发生的支出。</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16</w:t>
      </w:r>
      <w:r>
        <w:rPr>
          <w:rFonts w:hint="eastAsia" w:ascii="仿宋_GB2312" w:hAnsi="Times New Roman" w:eastAsia="仿宋_GB2312" w:cs="Times New Roman"/>
          <w:color w:val="000000"/>
          <w:sz w:val="32"/>
          <w:szCs w:val="32"/>
          <w:lang w:eastAsia="zh-CN"/>
        </w:rPr>
        <w:t>.经营支出：指事业单位在专业业务活动及其辅助活动之外开展非独立核算经营活动发生的支出。</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17</w:t>
      </w:r>
      <w:r>
        <w:rPr>
          <w:rFonts w:hint="eastAsia" w:ascii="仿宋_GB2312" w:hAnsi="Times New Roman" w:eastAsia="仿宋_GB2312" w:cs="Times New Roman"/>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w:t>
      </w:r>
      <w:r>
        <w:rPr>
          <w:rFonts w:hint="eastAsia" w:ascii="仿宋_GB2312" w:hAnsi="Times New Roman" w:eastAsia="仿宋_GB2312" w:cs="Times New Roman"/>
          <w:color w:val="000000"/>
          <w:sz w:val="32"/>
          <w:szCs w:val="32"/>
          <w:lang w:val="en-US" w:eastAsia="zh-CN"/>
        </w:rPr>
        <w:t>会议费、</w:t>
      </w:r>
      <w:r>
        <w:rPr>
          <w:rFonts w:hint="eastAsia" w:ascii="仿宋_GB2312" w:hAnsi="Times New Roman" w:eastAsia="仿宋_GB2312" w:cs="Times New Roman"/>
          <w:color w:val="000000"/>
          <w:sz w:val="32"/>
          <w:szCs w:val="32"/>
          <w:lang w:eastAsia="zh-CN"/>
        </w:rPr>
        <w:t>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cs="Times New Roman"/>
          <w:color w:val="000000"/>
          <w:sz w:val="32"/>
          <w:szCs w:val="32"/>
          <w:lang w:val="en-US" w:eastAsia="zh-CN"/>
        </w:rPr>
        <w:t>18</w:t>
      </w:r>
      <w:r>
        <w:rPr>
          <w:rFonts w:hint="eastAsia" w:ascii="仿宋_GB2312" w:hAnsi="Times New Roman" w:eastAsia="仿宋_GB2312" w:cs="Times New Roman"/>
          <w:color w:val="000000"/>
          <w:sz w:val="32"/>
          <w:szCs w:val="32"/>
          <w:lang w:eastAsia="zh-CN"/>
        </w:rPr>
        <w:t>.机关运行经费：为保障行政单位（含参照公务员法管理的事业单位）运行用于购买货物和服务的各项资金，包括办公及印刷费、</w:t>
      </w:r>
      <w:r>
        <w:rPr>
          <w:rFonts w:hint="eastAsia" w:ascii="仿宋_GB2312" w:hAnsi="Times New Roman" w:eastAsia="仿宋_GB2312" w:cs="Times New Roman"/>
          <w:color w:val="000000"/>
          <w:sz w:val="32"/>
          <w:szCs w:val="32"/>
          <w:lang w:val="en-US" w:eastAsia="zh-CN"/>
        </w:rPr>
        <w:t>手续费、</w:t>
      </w:r>
      <w:r>
        <w:rPr>
          <w:rFonts w:hint="eastAsia" w:ascii="仿宋_GB2312" w:hAnsi="Times New Roman" w:eastAsia="仿宋_GB2312" w:cs="Times New Roman"/>
          <w:color w:val="000000"/>
          <w:sz w:val="32"/>
          <w:szCs w:val="32"/>
          <w:lang w:eastAsia="zh-CN"/>
        </w:rPr>
        <w:t>邮电费、差旅费、会议费、</w:t>
      </w:r>
      <w:r>
        <w:rPr>
          <w:rFonts w:hint="eastAsia" w:ascii="仿宋_GB2312" w:hAnsi="Times New Roman" w:eastAsia="仿宋_GB2312" w:cs="Times New Roman"/>
          <w:color w:val="000000"/>
          <w:sz w:val="32"/>
          <w:szCs w:val="32"/>
          <w:lang w:val="en-US" w:eastAsia="zh-CN"/>
        </w:rPr>
        <w:t>培训费、</w:t>
      </w:r>
      <w:r>
        <w:rPr>
          <w:rFonts w:hint="eastAsia" w:ascii="仿宋_GB2312" w:hAnsi="Times New Roman" w:eastAsia="仿宋_GB2312" w:cs="Times New Roman"/>
          <w:color w:val="000000"/>
          <w:sz w:val="32"/>
          <w:szCs w:val="32"/>
          <w:lang w:eastAsia="zh-CN"/>
        </w:rPr>
        <w:t>福利费、日常维修（</w:t>
      </w:r>
      <w:r>
        <w:rPr>
          <w:rFonts w:hint="eastAsia" w:ascii="仿宋_GB2312" w:hAnsi="Times New Roman" w:eastAsia="仿宋_GB2312" w:cs="Times New Roman"/>
          <w:color w:val="000000"/>
          <w:sz w:val="32"/>
          <w:szCs w:val="32"/>
          <w:lang w:val="en-US" w:eastAsia="zh-CN"/>
        </w:rPr>
        <w:t>护）</w:t>
      </w:r>
      <w:r>
        <w:rPr>
          <w:rFonts w:hint="eastAsia" w:ascii="仿宋_GB2312" w:hAnsi="Times New Roman" w:eastAsia="仿宋_GB2312" w:cs="Times New Roman"/>
          <w:color w:val="000000"/>
          <w:sz w:val="32"/>
          <w:szCs w:val="32"/>
          <w:lang w:eastAsia="zh-CN"/>
        </w:rPr>
        <w:t>）费、</w:t>
      </w:r>
      <w:r>
        <w:rPr>
          <w:rFonts w:hint="eastAsia" w:ascii="仿宋_GB2312" w:hAnsi="Times New Roman" w:eastAsia="仿宋_GB2312" w:cs="Times New Roman"/>
          <w:color w:val="000000"/>
          <w:sz w:val="32"/>
          <w:szCs w:val="32"/>
          <w:lang w:val="en-US" w:eastAsia="zh-CN"/>
        </w:rPr>
        <w:t>公务接待费、</w:t>
      </w:r>
      <w:r>
        <w:rPr>
          <w:rFonts w:hint="eastAsia" w:ascii="仿宋_GB2312" w:hAnsi="Times New Roman" w:eastAsia="仿宋_GB2312" w:cs="Times New Roman"/>
          <w:color w:val="000000"/>
          <w:sz w:val="32"/>
          <w:szCs w:val="32"/>
          <w:lang w:eastAsia="zh-CN"/>
        </w:rPr>
        <w:t>办公用房水电费、办公用房取暖费、办公用房物业管理费、公务用车运行维护费以及其他</w:t>
      </w:r>
      <w:r>
        <w:rPr>
          <w:rFonts w:hint="eastAsia" w:ascii="仿宋_GB2312" w:hAnsi="Times New Roman" w:eastAsia="仿宋_GB2312" w:cs="Times New Roman"/>
          <w:color w:val="000000"/>
          <w:sz w:val="32"/>
          <w:szCs w:val="32"/>
          <w:lang w:val="en-US" w:eastAsia="zh-CN"/>
        </w:rPr>
        <w:t>商品和服务支出</w:t>
      </w:r>
      <w:r>
        <w:rPr>
          <w:rFonts w:hint="eastAsia" w:ascii="仿宋_GB2312" w:hAnsi="Times New Roman" w:eastAsia="仿宋_GB2312" w:cs="Times New Roman"/>
          <w:color w:val="000000"/>
          <w:sz w:val="32"/>
          <w:szCs w:val="32"/>
          <w:lang w:eastAsia="zh-CN"/>
        </w:rPr>
        <w:t>。</w:t>
      </w:r>
    </w:p>
    <w:p>
      <w:pPr>
        <w:pStyle w:val="25"/>
        <w:spacing w:line="560" w:lineRule="exact"/>
        <w:ind w:firstLine="640" w:firstLineChars="200"/>
        <w:rPr>
          <w:rFonts w:ascii="仿宋_GB2312" w:eastAsia="仿宋_GB2312" w:cs="黑体"/>
          <w:sz w:val="32"/>
          <w:szCs w:val="32"/>
        </w:rPr>
      </w:pPr>
    </w:p>
    <w:p>
      <w:pPr>
        <w:spacing w:line="600" w:lineRule="exact"/>
        <w:jc w:val="center"/>
        <w:outlineLvl w:val="0"/>
        <w:rPr>
          <w:rStyle w:val="27"/>
          <w:rFonts w:ascii="黑体" w:hAnsi="黑体" w:eastAsia="黑体"/>
          <w:b w:val="0"/>
        </w:rPr>
      </w:pPr>
      <w:bookmarkStart w:id="55" w:name="_Toc15377226"/>
      <w:r>
        <w:rPr>
          <w:rFonts w:ascii="宋体"/>
          <w:b/>
          <w:color w:val="000000"/>
          <w:sz w:val="44"/>
          <w:szCs w:val="44"/>
        </w:rPr>
        <w:br w:type="page"/>
      </w:r>
      <w:bookmarkStart w:id="56"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56"/>
    </w:p>
    <w:p>
      <w:pPr>
        <w:spacing w:line="600" w:lineRule="exact"/>
        <w:jc w:val="center"/>
        <w:outlineLvl w:val="0"/>
        <w:rPr>
          <w:rStyle w:val="27"/>
        </w:rPr>
      </w:pPr>
    </w:p>
    <w:p>
      <w:pPr>
        <w:pStyle w:val="4"/>
        <w:rPr>
          <w:rStyle w:val="27"/>
          <w:rFonts w:ascii="仿宋" w:hAnsi="仿宋" w:eastAsia="仿宋"/>
          <w:b w:val="0"/>
          <w:bCs w:val="0"/>
          <w:sz w:val="32"/>
          <w:szCs w:val="32"/>
        </w:rPr>
      </w:pPr>
      <w:bookmarkStart w:id="57" w:name="_Toc15396615"/>
      <w:r>
        <w:rPr>
          <w:rStyle w:val="27"/>
          <w:rFonts w:hint="eastAsia" w:ascii="仿宋" w:hAnsi="仿宋" w:eastAsia="仿宋"/>
          <w:b w:val="0"/>
          <w:bCs w:val="0"/>
          <w:sz w:val="32"/>
          <w:szCs w:val="32"/>
        </w:rPr>
        <w:t>附件1</w:t>
      </w:r>
      <w:bookmarkEnd w:id="57"/>
    </w:p>
    <w:p>
      <w:pPr>
        <w:spacing w:line="600" w:lineRule="exact"/>
        <w:jc w:val="center"/>
        <w:outlineLvl w:val="0"/>
        <w:rPr>
          <w:rFonts w:ascii="黑体" w:hAnsi="黑体" w:eastAsia="黑体" w:cs="方正小标宋简体"/>
          <w:sz w:val="36"/>
          <w:szCs w:val="36"/>
        </w:rPr>
      </w:pPr>
      <w:bookmarkStart w:id="58" w:name="_Toc15396616"/>
      <w:r>
        <w:rPr>
          <w:rFonts w:hint="eastAsia" w:ascii="黑体" w:hAnsi="黑体" w:eastAsia="黑体" w:cs="方正小标宋简体"/>
          <w:sz w:val="36"/>
          <w:szCs w:val="36"/>
        </w:rPr>
        <w:t>阿坝州人民检察院</w:t>
      </w:r>
    </w:p>
    <w:p>
      <w:pPr>
        <w:spacing w:line="600" w:lineRule="exact"/>
        <w:jc w:val="center"/>
        <w:outlineLvl w:val="0"/>
        <w:rPr>
          <w:rFonts w:ascii="黑体" w:hAnsi="黑体" w:eastAsia="黑体" w:cs="方正小标宋简体"/>
          <w:sz w:val="36"/>
          <w:szCs w:val="36"/>
        </w:rPr>
      </w:pPr>
      <w:r>
        <w:rPr>
          <w:rFonts w:hint="eastAsia" w:ascii="黑体" w:hAnsi="黑体" w:eastAsia="黑体" w:cs="方正小标宋简体"/>
          <w:sz w:val="36"/>
          <w:szCs w:val="36"/>
        </w:rPr>
        <w:t>202</w:t>
      </w:r>
      <w:r>
        <w:rPr>
          <w:rFonts w:hint="eastAsia" w:ascii="黑体" w:hAnsi="黑体" w:eastAsia="黑体" w:cs="方正小标宋简体"/>
          <w:sz w:val="36"/>
          <w:szCs w:val="36"/>
          <w:lang w:val="en-US" w:eastAsia="zh-CN"/>
        </w:rPr>
        <w:t>1</w:t>
      </w:r>
      <w:r>
        <w:rPr>
          <w:rFonts w:hint="eastAsia" w:ascii="黑体" w:hAnsi="黑体" w:eastAsia="黑体" w:cs="方正小标宋简体"/>
          <w:sz w:val="36"/>
          <w:szCs w:val="36"/>
        </w:rPr>
        <w:t>年部门整体支出绩效评价报告</w:t>
      </w:r>
      <w:bookmarkEnd w:id="58"/>
    </w:p>
    <w:bookmarkEnd w:id="55"/>
    <w:p>
      <w:pPr>
        <w:spacing w:line="580" w:lineRule="exact"/>
        <w:rPr>
          <w:rFonts w:ascii="黑体" w:hAnsi="黑体" w:eastAsia="黑体" w:cs="黑体"/>
          <w:sz w:val="32"/>
          <w:szCs w:val="32"/>
        </w:rPr>
      </w:pPr>
    </w:p>
    <w:p>
      <w:pPr>
        <w:pStyle w:val="14"/>
        <w:widowControl/>
        <w:spacing w:line="640" w:lineRule="exact"/>
        <w:rPr>
          <w:rFonts w:hint="eastAsia" w:ascii="仿宋_GB2312" w:eastAsia="仿宋_GB2312"/>
          <w:sz w:val="32"/>
          <w:szCs w:val="32"/>
        </w:rPr>
      </w:pPr>
      <w:bookmarkStart w:id="59" w:name="_Toc15396617"/>
      <w:r>
        <w:rPr>
          <w:rFonts w:hint="eastAsia" w:ascii="仿宋_GB2312" w:hAnsi="宋体" w:eastAsia="仿宋_GB2312" w:cs="宋体"/>
          <w:color w:val="2A2A2A"/>
          <w:sz w:val="32"/>
          <w:szCs w:val="32"/>
          <w:lang w:val="en-US" w:eastAsia="zh-CN"/>
        </w:rPr>
        <w:t>州财政局</w:t>
      </w:r>
      <w:r>
        <w:rPr>
          <w:rFonts w:hint="eastAsia" w:ascii="仿宋_GB2312" w:hAnsi="宋体" w:eastAsia="仿宋_GB2312" w:cs="宋体"/>
          <w:color w:val="2A2A2A"/>
          <w:sz w:val="32"/>
          <w:szCs w:val="32"/>
        </w:rPr>
        <w:t>：</w:t>
      </w:r>
    </w:p>
    <w:p>
      <w:pPr>
        <w:pStyle w:val="14"/>
        <w:widowControl/>
        <w:spacing w:line="640" w:lineRule="exact"/>
        <w:ind w:firstLine="640" w:firstLineChars="200"/>
        <w:rPr>
          <w:rFonts w:hint="eastAsia" w:ascii="仿宋_GB2312" w:eastAsia="仿宋_GB2312"/>
          <w:sz w:val="32"/>
          <w:szCs w:val="32"/>
        </w:rPr>
      </w:pPr>
      <w:r>
        <w:rPr>
          <w:rFonts w:hint="eastAsia" w:ascii="仿宋_GB2312" w:hAnsi="宋体" w:eastAsia="仿宋_GB2312" w:cs="宋体"/>
          <w:color w:val="2A2A2A"/>
          <w:sz w:val="32"/>
          <w:szCs w:val="32"/>
        </w:rPr>
        <w:t>根据阿坝州财政局《关于开展</w:t>
      </w: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年财政支出绩效评价工作的通知》（阿州财</w:t>
      </w:r>
      <w:r>
        <w:rPr>
          <w:rFonts w:hint="eastAsia" w:ascii="仿宋_GB2312" w:hAnsi="宋体" w:eastAsia="仿宋_GB2312" w:cs="宋体"/>
          <w:color w:val="2A2A2A"/>
          <w:sz w:val="32"/>
          <w:szCs w:val="32"/>
          <w:lang w:eastAsia="zh-CN"/>
        </w:rPr>
        <w:t>监绩</w:t>
      </w:r>
      <w:r>
        <w:rPr>
          <w:rFonts w:hint="eastAsia" w:ascii="仿宋_GB2312" w:hAnsi="宋体" w:eastAsia="仿宋_GB2312" w:cs="宋体"/>
          <w:color w:val="2A2A2A"/>
          <w:sz w:val="32"/>
          <w:szCs w:val="32"/>
        </w:rPr>
        <w:t>〔20</w:t>
      </w:r>
      <w:r>
        <w:rPr>
          <w:rFonts w:hint="eastAsia" w:ascii="仿宋_GB2312" w:hAnsi="宋体" w:eastAsia="仿宋_GB2312" w:cs="宋体"/>
          <w:color w:val="2A2A2A"/>
          <w:sz w:val="32"/>
          <w:szCs w:val="32"/>
          <w:lang w:val="en-US" w:eastAsia="zh-CN"/>
        </w:rPr>
        <w:t>21</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11</w:t>
      </w:r>
      <w:r>
        <w:rPr>
          <w:rFonts w:hint="eastAsia" w:ascii="仿宋_GB2312" w:hAnsi="宋体" w:eastAsia="仿宋_GB2312" w:cs="宋体"/>
          <w:color w:val="2A2A2A"/>
          <w:sz w:val="32"/>
          <w:szCs w:val="32"/>
        </w:rPr>
        <w:t>号），我院按照“全范围、全级次、全内容”的原则要求，对本院</w:t>
      </w:r>
      <w:r>
        <w:rPr>
          <w:rFonts w:hint="eastAsia" w:ascii="仿宋_GB2312" w:hAnsi="宋体" w:eastAsia="仿宋_GB2312" w:cs="宋体"/>
          <w:color w:val="2A2A2A"/>
          <w:sz w:val="32"/>
          <w:szCs w:val="32"/>
          <w:lang w:val="en-US" w:eastAsia="zh-CN"/>
        </w:rPr>
        <w:t>中央对地方专项转移支付预算执行情况绩效</w:t>
      </w:r>
      <w:r>
        <w:rPr>
          <w:rFonts w:hint="eastAsia" w:ascii="仿宋_GB2312" w:hAnsi="宋体" w:eastAsia="仿宋_GB2312" w:cs="宋体"/>
          <w:color w:val="2A2A2A"/>
          <w:sz w:val="32"/>
          <w:szCs w:val="32"/>
        </w:rPr>
        <w:t>自查自评，现将自查自评工作报告如下:</w:t>
      </w:r>
    </w:p>
    <w:p>
      <w:pPr>
        <w:pStyle w:val="14"/>
        <w:widowControl/>
        <w:spacing w:line="640" w:lineRule="exact"/>
        <w:ind w:firstLine="790" w:firstLineChars="246"/>
        <w:rPr>
          <w:rFonts w:hint="eastAsia" w:ascii="宋体" w:hAnsi="宋体"/>
          <w:b/>
          <w:sz w:val="32"/>
          <w:szCs w:val="32"/>
        </w:rPr>
      </w:pPr>
      <w:r>
        <w:rPr>
          <w:rFonts w:hint="eastAsia" w:ascii="宋体" w:hAnsi="宋体" w:cs="宋体"/>
          <w:b/>
          <w:color w:val="2A2A2A"/>
          <w:sz w:val="32"/>
          <w:szCs w:val="32"/>
        </w:rPr>
        <w:t>一、单位概况</w:t>
      </w:r>
    </w:p>
    <w:p>
      <w:pPr>
        <w:pStyle w:val="14"/>
        <w:widowControl/>
        <w:spacing w:line="640" w:lineRule="exact"/>
        <w:ind w:firstLine="630" w:firstLineChars="196"/>
        <w:rPr>
          <w:rFonts w:hint="eastAsia" w:ascii="仿宋_GB2312" w:hAnsi="宋体" w:eastAsia="仿宋_GB2312" w:cs="宋体"/>
          <w:color w:val="2A2A2A"/>
          <w:sz w:val="32"/>
          <w:szCs w:val="32"/>
        </w:rPr>
      </w:pPr>
      <w:r>
        <w:rPr>
          <w:rFonts w:hint="eastAsia" w:ascii="仿宋_GB2312" w:hAnsi="宋体" w:eastAsia="仿宋_GB2312" w:cs="宋体"/>
          <w:b/>
          <w:color w:val="2A2A2A"/>
          <w:sz w:val="32"/>
          <w:szCs w:val="32"/>
        </w:rPr>
        <w:t>（一）机构</w:t>
      </w:r>
      <w:r>
        <w:rPr>
          <w:rFonts w:hint="eastAsia" w:ascii="仿宋_GB2312" w:hAnsi="宋体" w:eastAsia="仿宋_GB2312" w:cs="宋体"/>
          <w:b/>
          <w:color w:val="2A2A2A"/>
          <w:sz w:val="32"/>
          <w:szCs w:val="32"/>
          <w:lang w:val="en-US" w:eastAsia="zh-CN"/>
        </w:rPr>
        <w:t>组成</w:t>
      </w:r>
      <w:r>
        <w:rPr>
          <w:rFonts w:hint="eastAsia" w:ascii="仿宋_GB2312" w:hAnsi="宋体" w:eastAsia="仿宋_GB2312" w:cs="宋体"/>
          <w:b/>
          <w:color w:val="2A2A2A"/>
          <w:sz w:val="32"/>
          <w:szCs w:val="32"/>
        </w:rPr>
        <w:t>。</w:t>
      </w:r>
      <w:r>
        <w:rPr>
          <w:rFonts w:hint="eastAsia" w:ascii="仿宋_GB2312" w:hAnsi="宋体" w:eastAsia="仿宋_GB2312" w:cs="宋体"/>
          <w:color w:val="2A2A2A"/>
          <w:sz w:val="32"/>
          <w:szCs w:val="32"/>
        </w:rPr>
        <w:t>我院内设机构</w:t>
      </w:r>
      <w:r>
        <w:rPr>
          <w:rFonts w:hint="eastAsia" w:ascii="仿宋_GB2312" w:hAnsi="宋体" w:eastAsia="仿宋_GB2312" w:cs="宋体"/>
          <w:color w:val="2A2A2A"/>
          <w:sz w:val="32"/>
          <w:szCs w:val="32"/>
          <w:lang w:val="en-US" w:eastAsia="zh-CN"/>
        </w:rPr>
        <w:t>14</w:t>
      </w:r>
      <w:r>
        <w:rPr>
          <w:rFonts w:hint="eastAsia" w:ascii="仿宋_GB2312" w:hAnsi="宋体" w:eastAsia="仿宋_GB2312" w:cs="宋体"/>
          <w:color w:val="2A2A2A"/>
          <w:sz w:val="32"/>
          <w:szCs w:val="32"/>
        </w:rPr>
        <w:t>个，具体是：办公室、政治</w:t>
      </w:r>
      <w:r>
        <w:rPr>
          <w:rFonts w:hint="eastAsia" w:ascii="仿宋_GB2312" w:hAnsi="宋体" w:eastAsia="仿宋_GB2312" w:cs="宋体"/>
          <w:color w:val="2A2A2A"/>
          <w:sz w:val="32"/>
          <w:szCs w:val="32"/>
          <w:lang w:val="en-US" w:eastAsia="zh-CN"/>
        </w:rPr>
        <w:t>部、</w:t>
      </w:r>
      <w:r>
        <w:rPr>
          <w:rFonts w:hint="eastAsia" w:ascii="仿宋_GB2312" w:hAnsi="宋体" w:eastAsia="仿宋_GB2312" w:cs="宋体"/>
          <w:color w:val="2A2A2A"/>
          <w:sz w:val="32"/>
          <w:szCs w:val="32"/>
          <w:lang w:eastAsia="zh-CN"/>
        </w:rPr>
        <w:t>第一检察部、第</w:t>
      </w:r>
      <w:r>
        <w:rPr>
          <w:rFonts w:hint="eastAsia" w:ascii="仿宋_GB2312" w:hAnsi="宋体" w:eastAsia="仿宋_GB2312" w:cs="宋体"/>
          <w:color w:val="2A2A2A"/>
          <w:sz w:val="32"/>
          <w:szCs w:val="32"/>
          <w:lang w:val="en-US" w:eastAsia="zh-CN"/>
        </w:rPr>
        <w:t>二</w:t>
      </w:r>
      <w:r>
        <w:rPr>
          <w:rFonts w:hint="eastAsia" w:ascii="仿宋_GB2312" w:hAnsi="宋体" w:eastAsia="仿宋_GB2312" w:cs="宋体"/>
          <w:color w:val="2A2A2A"/>
          <w:sz w:val="32"/>
          <w:szCs w:val="32"/>
          <w:lang w:eastAsia="zh-CN"/>
        </w:rPr>
        <w:t>检察部、第</w:t>
      </w:r>
      <w:r>
        <w:rPr>
          <w:rFonts w:hint="eastAsia" w:ascii="仿宋_GB2312" w:hAnsi="宋体" w:eastAsia="仿宋_GB2312" w:cs="宋体"/>
          <w:color w:val="2A2A2A"/>
          <w:sz w:val="32"/>
          <w:szCs w:val="32"/>
          <w:lang w:val="en-US" w:eastAsia="zh-CN"/>
        </w:rPr>
        <w:t>三</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w:t>
      </w:r>
      <w:r>
        <w:rPr>
          <w:rFonts w:hint="eastAsia" w:ascii="仿宋_GB2312" w:hAnsi="宋体" w:eastAsia="仿宋_GB2312" w:cs="宋体"/>
          <w:color w:val="2A2A2A"/>
          <w:sz w:val="32"/>
          <w:szCs w:val="32"/>
          <w:lang w:val="en-US" w:eastAsia="zh-CN"/>
        </w:rPr>
        <w:t>四</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w:t>
      </w:r>
      <w:r>
        <w:rPr>
          <w:rFonts w:hint="eastAsia" w:ascii="仿宋_GB2312" w:hAnsi="宋体" w:eastAsia="仿宋_GB2312" w:cs="宋体"/>
          <w:color w:val="2A2A2A"/>
          <w:sz w:val="32"/>
          <w:szCs w:val="32"/>
          <w:lang w:val="en-US" w:eastAsia="zh-CN"/>
        </w:rPr>
        <w:t>五</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w:t>
      </w:r>
      <w:r>
        <w:rPr>
          <w:rFonts w:hint="eastAsia" w:ascii="仿宋_GB2312" w:hAnsi="宋体" w:eastAsia="仿宋_GB2312" w:cs="宋体"/>
          <w:color w:val="2A2A2A"/>
          <w:sz w:val="32"/>
          <w:szCs w:val="32"/>
          <w:lang w:val="en-US" w:eastAsia="zh-CN"/>
        </w:rPr>
        <w:t>六</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w:t>
      </w:r>
      <w:r>
        <w:rPr>
          <w:rFonts w:hint="eastAsia" w:ascii="仿宋_GB2312" w:hAnsi="宋体" w:eastAsia="仿宋_GB2312" w:cs="宋体"/>
          <w:color w:val="2A2A2A"/>
          <w:sz w:val="32"/>
          <w:szCs w:val="32"/>
          <w:lang w:val="en-US" w:eastAsia="zh-CN"/>
        </w:rPr>
        <w:t>七</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w:t>
      </w:r>
      <w:r>
        <w:rPr>
          <w:rFonts w:hint="eastAsia" w:ascii="仿宋_GB2312" w:hAnsi="宋体" w:eastAsia="仿宋_GB2312" w:cs="宋体"/>
          <w:color w:val="2A2A2A"/>
          <w:sz w:val="32"/>
          <w:szCs w:val="32"/>
          <w:lang w:val="en-US" w:eastAsia="zh-CN"/>
        </w:rPr>
        <w:t>八</w:t>
      </w:r>
      <w:r>
        <w:rPr>
          <w:rFonts w:hint="eastAsia" w:ascii="仿宋_GB2312" w:hAnsi="宋体" w:eastAsia="仿宋_GB2312" w:cs="宋体"/>
          <w:color w:val="2A2A2A"/>
          <w:sz w:val="32"/>
          <w:szCs w:val="32"/>
          <w:lang w:eastAsia="zh-CN"/>
        </w:rPr>
        <w:t>检察部、</w:t>
      </w:r>
      <w:r>
        <w:rPr>
          <w:rFonts w:hint="eastAsia" w:ascii="仿宋_GB2312" w:hAnsi="宋体" w:eastAsia="仿宋_GB2312" w:cs="宋体"/>
          <w:color w:val="2A2A2A"/>
          <w:sz w:val="32"/>
          <w:szCs w:val="32"/>
        </w:rPr>
        <w:t>计划财务装备</w:t>
      </w:r>
      <w:r>
        <w:rPr>
          <w:rFonts w:hint="eastAsia" w:ascii="仿宋_GB2312" w:hAnsi="宋体" w:eastAsia="仿宋_GB2312" w:cs="宋体"/>
          <w:color w:val="2A2A2A"/>
          <w:sz w:val="32"/>
          <w:szCs w:val="32"/>
          <w:lang w:eastAsia="zh-CN"/>
        </w:rPr>
        <w:t>部、</w:t>
      </w:r>
      <w:r>
        <w:rPr>
          <w:rFonts w:hint="eastAsia" w:ascii="仿宋_GB2312" w:hAnsi="宋体" w:eastAsia="仿宋_GB2312" w:cs="宋体"/>
          <w:color w:val="2A2A2A"/>
          <w:sz w:val="32"/>
          <w:szCs w:val="32"/>
        </w:rPr>
        <w:t>法律政策研究室、人民监督员办公室、案件管理办公室。</w:t>
      </w:r>
    </w:p>
    <w:p>
      <w:pPr>
        <w:pStyle w:val="7"/>
        <w:spacing w:line="360" w:lineRule="auto"/>
        <w:ind w:firstLine="643" w:firstLineChars="200"/>
        <w:rPr>
          <w:rFonts w:hint="eastAsia" w:ascii="仿宋_GB2312"/>
          <w:b/>
          <w:sz w:val="30"/>
          <w:szCs w:val="30"/>
        </w:rPr>
      </w:pPr>
      <w:r>
        <w:rPr>
          <w:rFonts w:hint="eastAsia" w:ascii="仿宋_GB2312" w:hAnsi="宋体" w:eastAsia="仿宋_GB2312" w:cs="宋体"/>
          <w:b/>
          <w:i w:val="0"/>
          <w:color w:val="2A2A2A"/>
          <w:spacing w:val="0"/>
          <w:kern w:val="0"/>
          <w:sz w:val="32"/>
          <w:szCs w:val="32"/>
          <w:lang w:val="en-US" w:eastAsia="zh-CN" w:bidi="ar"/>
        </w:rPr>
        <w:t>（二）机构职能</w:t>
      </w:r>
      <w:r>
        <w:rPr>
          <w:rFonts w:hint="eastAsia" w:ascii="仿宋_GB2312" w:cs="宋体"/>
          <w:b/>
          <w:i w:val="0"/>
          <w:color w:val="2A2A2A"/>
          <w:spacing w:val="0"/>
          <w:kern w:val="0"/>
          <w:sz w:val="32"/>
          <w:szCs w:val="32"/>
          <w:lang w:val="en-US" w:eastAsia="zh-CN" w:bidi="ar"/>
        </w:rPr>
        <w:t>。</w:t>
      </w:r>
      <w:r>
        <w:rPr>
          <w:rFonts w:hint="eastAsia" w:ascii="仿宋_GB2312"/>
          <w:sz w:val="30"/>
          <w:szCs w:val="30"/>
        </w:rPr>
        <w:t>阿坝州人民检察院是国家的法律监督机关。领导全州各县人民检察院的工作，对阿坝州人民代表大会及其常务委员会负责并报告工作，根据我国宪法规定，人民检察院主要职责是：依法履行监督职能，保证国家法律的统一和正确实施</w:t>
      </w:r>
      <w:r>
        <w:rPr>
          <w:rFonts w:hint="eastAsia" w:ascii="仿宋_GB2312"/>
          <w:b/>
          <w:sz w:val="30"/>
          <w:szCs w:val="30"/>
        </w:rPr>
        <w:t>。</w:t>
      </w:r>
    </w:p>
    <w:p>
      <w:pPr>
        <w:pStyle w:val="7"/>
        <w:spacing w:line="360" w:lineRule="auto"/>
        <w:ind w:firstLine="900" w:firstLineChars="300"/>
        <w:rPr>
          <w:rFonts w:hint="eastAsia" w:ascii="仿宋_GB2312" w:hAnsi="宋体" w:eastAsia="仿宋_GB2312" w:cs="宋体"/>
          <w:color w:val="2A2A2A"/>
          <w:sz w:val="32"/>
          <w:szCs w:val="32"/>
        </w:rPr>
      </w:pPr>
      <w:r>
        <w:rPr>
          <w:rFonts w:hint="eastAsia" w:ascii="仿宋_GB2312"/>
          <w:sz w:val="30"/>
          <w:szCs w:val="30"/>
        </w:rPr>
        <w:t>根据州委、州政府关于</w:t>
      </w:r>
      <w:r>
        <w:rPr>
          <w:rFonts w:hint="eastAsia" w:ascii="仿宋_GB2312"/>
          <w:sz w:val="30"/>
          <w:szCs w:val="30"/>
          <w:lang w:val="en-US" w:eastAsia="zh-CN"/>
        </w:rPr>
        <w:t>202</w:t>
      </w:r>
      <w:r>
        <w:rPr>
          <w:rFonts w:hint="eastAsia"/>
          <w:sz w:val="30"/>
          <w:szCs w:val="30"/>
          <w:lang w:val="en-US" w:eastAsia="zh-CN"/>
        </w:rPr>
        <w:t>1</w:t>
      </w:r>
      <w:r>
        <w:rPr>
          <w:rFonts w:hint="eastAsia" w:ascii="仿宋_GB2312"/>
          <w:sz w:val="30"/>
          <w:szCs w:val="30"/>
        </w:rPr>
        <w:t>年全州工作的总体部署，</w:t>
      </w:r>
      <w:r>
        <w:rPr>
          <w:rFonts w:hint="eastAsia" w:ascii="仿宋_GB2312"/>
          <w:sz w:val="30"/>
          <w:szCs w:val="30"/>
          <w:lang w:val="en-US" w:eastAsia="zh-CN"/>
        </w:rPr>
        <w:t>202</w:t>
      </w:r>
      <w:r>
        <w:rPr>
          <w:rFonts w:hint="eastAsia"/>
          <w:sz w:val="30"/>
          <w:szCs w:val="30"/>
          <w:lang w:val="en-US" w:eastAsia="zh-CN"/>
        </w:rPr>
        <w:t>1</w:t>
      </w:r>
      <w:r>
        <w:rPr>
          <w:rFonts w:hint="eastAsia" w:ascii="仿宋_GB2312"/>
          <w:sz w:val="30"/>
          <w:szCs w:val="30"/>
        </w:rPr>
        <w:t>年主要工作是: 1.负责全州人民检察院宏观管理、指挥和协调。2.负责依法查处办理</w:t>
      </w:r>
      <w:r>
        <w:rPr>
          <w:rFonts w:hint="eastAsia" w:ascii="仿宋_GB2312"/>
          <w:sz w:val="30"/>
          <w:szCs w:val="30"/>
          <w:lang w:val="en-US" w:eastAsia="zh-CN"/>
        </w:rPr>
        <w:t>国家司法执法人员</w:t>
      </w:r>
      <w:r>
        <w:rPr>
          <w:rFonts w:hint="eastAsia" w:ascii="仿宋_GB2312"/>
          <w:sz w:val="30"/>
          <w:szCs w:val="30"/>
        </w:rPr>
        <w:t>贪污贿赂犯罪和国家</w:t>
      </w:r>
      <w:r>
        <w:rPr>
          <w:rFonts w:hint="eastAsia" w:ascii="仿宋_GB2312"/>
          <w:sz w:val="30"/>
          <w:szCs w:val="30"/>
          <w:lang w:val="en-US" w:eastAsia="zh-CN"/>
        </w:rPr>
        <w:t>司法执法</w:t>
      </w:r>
      <w:r>
        <w:rPr>
          <w:rFonts w:hint="eastAsia" w:ascii="仿宋_GB2312"/>
          <w:sz w:val="30"/>
          <w:szCs w:val="30"/>
        </w:rPr>
        <w:t xml:space="preserve">工作人员的渎职犯罪的案件。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检查、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负责检察系统不稳定因素的协调和调解工作；担负机关维稳、综治、消防等工作。 </w:t>
      </w:r>
    </w:p>
    <w:p>
      <w:pPr>
        <w:pStyle w:val="14"/>
        <w:widowControl/>
        <w:spacing w:line="640" w:lineRule="exact"/>
        <w:ind w:firstLine="482" w:firstLineChars="150"/>
        <w:rPr>
          <w:rFonts w:hint="eastAsia" w:ascii="仿宋_GB2312" w:hAnsi="Times New Roman" w:eastAsia="仿宋_GB2312" w:cs="Times New Roman"/>
          <w:kern w:val="0"/>
          <w:sz w:val="30"/>
          <w:szCs w:val="30"/>
          <w:lang w:val="en-US" w:eastAsia="zh-CN" w:bidi="ar-SA"/>
        </w:rPr>
      </w:pPr>
      <w:r>
        <w:rPr>
          <w:rFonts w:hint="eastAsia" w:ascii="仿宋_GB2312" w:hAnsi="宋体" w:eastAsia="仿宋_GB2312" w:cs="宋体"/>
          <w:b/>
          <w:color w:val="2A2A2A"/>
          <w:sz w:val="32"/>
          <w:szCs w:val="32"/>
        </w:rPr>
        <w:t>（二）人员</w:t>
      </w:r>
      <w:r>
        <w:rPr>
          <w:rFonts w:hint="eastAsia" w:ascii="仿宋_GB2312" w:hAnsi="宋体" w:eastAsia="仿宋_GB2312" w:cs="宋体"/>
          <w:b/>
          <w:color w:val="2A2A2A"/>
          <w:sz w:val="32"/>
          <w:szCs w:val="32"/>
          <w:lang w:val="en-US" w:eastAsia="zh-CN"/>
        </w:rPr>
        <w:t>概况</w:t>
      </w:r>
      <w:r>
        <w:rPr>
          <w:rFonts w:hint="eastAsia" w:ascii="仿宋_GB2312" w:hAnsi="宋体" w:eastAsia="仿宋_GB2312" w:cs="宋体"/>
          <w:b/>
          <w:color w:val="2A2A2A"/>
          <w:sz w:val="32"/>
          <w:szCs w:val="32"/>
        </w:rPr>
        <w:t>。</w:t>
      </w:r>
      <w:r>
        <w:rPr>
          <w:rFonts w:hint="eastAsia" w:ascii="仿宋_GB2312" w:hAnsi="Times New Roman" w:eastAsia="仿宋_GB2312" w:cs="Times New Roman"/>
          <w:kern w:val="0"/>
          <w:sz w:val="30"/>
          <w:szCs w:val="30"/>
          <w:lang w:val="en-US" w:eastAsia="zh-CN" w:bidi="ar-SA"/>
        </w:rPr>
        <w:t>我院人员编制数72名，其中政法专项编制59名，工勤编制13名。截止2021年6月底在职人员总数59名，其中政法专项编制52人，工勤人员7人；退休人员39人、离休人员2人。检察长1人，副检察长3人，党组成员7人（含正副检察长）。纪检组长、政治部主任、2名专检委委员、1名机关党总支书记为实职副县级领导干部。</w:t>
      </w:r>
    </w:p>
    <w:p>
      <w:pPr>
        <w:pStyle w:val="14"/>
        <w:widowControl/>
        <w:spacing w:line="640" w:lineRule="exact"/>
        <w:ind w:firstLine="630" w:firstLineChars="196"/>
        <w:rPr>
          <w:rFonts w:hint="eastAsia" w:ascii="宋体" w:hAnsi="宋体" w:cs="宋体"/>
          <w:b/>
          <w:color w:val="2A2A2A"/>
          <w:sz w:val="32"/>
          <w:szCs w:val="32"/>
        </w:rPr>
      </w:pPr>
      <w:r>
        <w:rPr>
          <w:rFonts w:hint="eastAsia" w:ascii="宋体" w:hAnsi="宋体" w:cs="宋体"/>
          <w:b/>
          <w:color w:val="2A2A2A"/>
          <w:sz w:val="32"/>
          <w:szCs w:val="32"/>
        </w:rPr>
        <w:t>二、财政资金收支情况</w:t>
      </w:r>
    </w:p>
    <w:p>
      <w:pPr>
        <w:pStyle w:val="14"/>
        <w:widowControl/>
        <w:spacing w:line="640" w:lineRule="exact"/>
        <w:ind w:firstLine="472" w:firstLineChars="147"/>
        <w:rPr>
          <w:rFonts w:hint="eastAsia" w:ascii="仿宋_GB2312" w:hAnsi="宋体" w:eastAsia="仿宋_GB2312" w:cs="宋体"/>
          <w:color w:val="2A2A2A"/>
          <w:sz w:val="32"/>
          <w:szCs w:val="32"/>
        </w:rPr>
      </w:pPr>
      <w:r>
        <w:rPr>
          <w:rFonts w:hint="eastAsia" w:ascii="仿宋_GB2312" w:hAnsi="宋体" w:eastAsia="仿宋_GB2312" w:cs="宋体"/>
          <w:b/>
          <w:color w:val="2A2A2A"/>
          <w:sz w:val="32"/>
          <w:szCs w:val="32"/>
        </w:rPr>
        <w:t>（一）财政资金收入情况</w:t>
      </w:r>
      <w:r>
        <w:rPr>
          <w:rFonts w:hint="eastAsia" w:ascii="仿宋_GB2312" w:hAnsi="宋体" w:eastAsia="仿宋_GB2312" w:cs="宋体"/>
          <w:color w:val="2A2A2A"/>
          <w:sz w:val="32"/>
          <w:szCs w:val="32"/>
        </w:rPr>
        <w:t>。</w:t>
      </w:r>
    </w:p>
    <w:p>
      <w:pPr>
        <w:pStyle w:val="14"/>
        <w:widowControl/>
        <w:spacing w:line="640" w:lineRule="exact"/>
        <w:ind w:firstLine="784" w:firstLineChars="245"/>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20</w:t>
      </w:r>
      <w:r>
        <w:rPr>
          <w:rFonts w:hint="eastAsia" w:ascii="仿宋_GB2312" w:hAnsi="宋体" w:eastAsia="仿宋_GB2312" w:cs="宋体"/>
          <w:color w:val="2A2A2A"/>
          <w:sz w:val="32"/>
          <w:szCs w:val="32"/>
          <w:lang w:val="en-US" w:eastAsia="zh-CN"/>
        </w:rPr>
        <w:t>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中央对地方专项转移支付（中央政法纪检监察转移支付资金）预算</w:t>
      </w:r>
      <w:r>
        <w:rPr>
          <w:rFonts w:hint="eastAsia" w:ascii="仿宋_GB2312" w:hAnsi="宋体" w:eastAsia="仿宋_GB2312" w:cs="宋体"/>
          <w:color w:val="2A2A2A"/>
          <w:sz w:val="32"/>
          <w:szCs w:val="32"/>
        </w:rPr>
        <w:t>总收入为：</w:t>
      </w:r>
      <w:r>
        <w:rPr>
          <w:rFonts w:hint="eastAsia" w:ascii="仿宋_GB2312" w:hAnsi="宋体" w:eastAsia="仿宋_GB2312" w:cs="宋体"/>
          <w:color w:val="2A2A2A"/>
          <w:sz w:val="32"/>
          <w:szCs w:val="32"/>
          <w:lang w:val="en-US" w:eastAsia="zh-CN"/>
        </w:rPr>
        <w:t>330</w:t>
      </w:r>
      <w:r>
        <w:rPr>
          <w:rFonts w:hint="eastAsia" w:ascii="仿宋_GB2312" w:hAnsi="宋体" w:eastAsia="仿宋_GB2312" w:cs="宋体"/>
          <w:color w:val="2A2A2A"/>
          <w:sz w:val="32"/>
          <w:szCs w:val="32"/>
        </w:rPr>
        <w:t>万元。</w:t>
      </w:r>
    </w:p>
    <w:p>
      <w:pPr>
        <w:pStyle w:val="14"/>
        <w:widowControl/>
        <w:spacing w:line="640" w:lineRule="exact"/>
        <w:ind w:firstLine="630" w:firstLineChars="196"/>
        <w:rPr>
          <w:rFonts w:hint="eastAsia" w:ascii="仿宋_GB2312" w:hAnsi="宋体" w:eastAsia="仿宋_GB2312" w:cs="宋体"/>
          <w:b/>
          <w:color w:val="2A2A2A"/>
          <w:sz w:val="32"/>
          <w:szCs w:val="32"/>
        </w:rPr>
      </w:pPr>
      <w:r>
        <w:rPr>
          <w:rFonts w:hint="eastAsia" w:ascii="仿宋_GB2312" w:hAnsi="宋体" w:eastAsia="仿宋_GB2312" w:cs="宋体"/>
          <w:b/>
          <w:color w:val="2A2A2A"/>
          <w:sz w:val="32"/>
          <w:szCs w:val="32"/>
        </w:rPr>
        <w:t>（二）财政资金支出情况。</w:t>
      </w:r>
    </w:p>
    <w:p>
      <w:pPr>
        <w:pStyle w:val="14"/>
        <w:widowControl/>
        <w:spacing w:line="640" w:lineRule="exact"/>
        <w:ind w:firstLine="627" w:firstLineChars="196"/>
        <w:rPr>
          <w:rFonts w:hint="default" w:ascii="仿宋_GB2312" w:hAnsi="宋体" w:eastAsia="仿宋_GB2312" w:cs="宋体"/>
          <w:color w:val="2A2A2A"/>
          <w:sz w:val="32"/>
          <w:szCs w:val="32"/>
          <w:lang w:val="en-US" w:eastAsia="zh-CN"/>
        </w:rPr>
      </w:pP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w:t>
      </w:r>
      <w:r>
        <w:rPr>
          <w:rFonts w:hint="eastAsia" w:ascii="仿宋_GB2312" w:hAnsi="宋体" w:eastAsia="仿宋_GB2312" w:cs="宋体"/>
          <w:color w:val="2A2A2A"/>
          <w:sz w:val="32"/>
          <w:szCs w:val="32"/>
        </w:rPr>
        <w:t>总支出</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包括往年款</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rPr>
        <w:t>为：</w:t>
      </w:r>
      <w:r>
        <w:rPr>
          <w:rFonts w:hint="eastAsia" w:ascii="仿宋_GB2312" w:hAnsi="宋体" w:eastAsia="仿宋_GB2312" w:cs="宋体"/>
          <w:color w:val="2A2A2A"/>
          <w:sz w:val="32"/>
          <w:szCs w:val="32"/>
          <w:lang w:val="en-US" w:eastAsia="zh-CN"/>
        </w:rPr>
        <w:t>453.44</w:t>
      </w:r>
      <w:r>
        <w:rPr>
          <w:rFonts w:hint="eastAsia" w:ascii="仿宋_GB2312" w:hAnsi="宋体" w:eastAsia="仿宋_GB2312" w:cs="宋体"/>
          <w:color w:val="2A2A2A"/>
          <w:sz w:val="32"/>
          <w:szCs w:val="32"/>
        </w:rPr>
        <w:t>万元，其中</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rPr>
        <w:t>阿州财行【202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11</w:t>
      </w:r>
      <w:r>
        <w:rPr>
          <w:rFonts w:hint="eastAsia" w:ascii="仿宋_GB2312" w:hAnsi="宋体" w:eastAsia="仿宋_GB2312" w:cs="宋体"/>
          <w:color w:val="2A2A2A"/>
          <w:sz w:val="32"/>
          <w:szCs w:val="32"/>
        </w:rPr>
        <w:t>号</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 xml:space="preserve">59号 </w:t>
      </w:r>
      <w:r>
        <w:rPr>
          <w:rFonts w:hint="eastAsia" w:ascii="仿宋_GB2312" w:hAnsi="宋体" w:eastAsia="仿宋_GB2312" w:cs="宋体"/>
          <w:color w:val="2A2A2A"/>
          <w:sz w:val="32"/>
          <w:szCs w:val="32"/>
        </w:rPr>
        <w:t>-关于下达202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年政法纪检监察转移支付资金的通知（办案业务经费）支出为</w:t>
      </w:r>
      <w:r>
        <w:rPr>
          <w:rFonts w:hint="eastAsia" w:ascii="仿宋_GB2312" w:hAnsi="宋体" w:eastAsia="仿宋_GB2312" w:cs="宋体"/>
          <w:color w:val="2A2A2A"/>
          <w:sz w:val="32"/>
          <w:szCs w:val="32"/>
          <w:lang w:val="en-US" w:eastAsia="zh-CN"/>
        </w:rPr>
        <w:t>152.52</w:t>
      </w:r>
      <w:r>
        <w:rPr>
          <w:rFonts w:hint="eastAsia" w:ascii="仿宋_GB2312" w:hAnsi="宋体" w:eastAsia="仿宋_GB2312" w:cs="宋体"/>
          <w:color w:val="2A2A2A"/>
          <w:sz w:val="32"/>
          <w:szCs w:val="32"/>
        </w:rPr>
        <w:t>万元。阿州财行【202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22</w:t>
      </w:r>
      <w:r>
        <w:rPr>
          <w:rFonts w:hint="eastAsia" w:ascii="仿宋_GB2312" w:hAnsi="宋体" w:eastAsia="仿宋_GB2312" w:cs="宋体"/>
          <w:color w:val="2A2A2A"/>
          <w:sz w:val="32"/>
          <w:szCs w:val="32"/>
        </w:rPr>
        <w:t>号—1-关于下达202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年政法纪检监察转移支付资金的通知（业务装备经费）</w:t>
      </w:r>
      <w:r>
        <w:rPr>
          <w:rFonts w:hint="eastAsia" w:ascii="仿宋_GB2312" w:hAnsi="宋体" w:eastAsia="仿宋_GB2312" w:cs="宋体"/>
          <w:color w:val="2A2A2A"/>
          <w:sz w:val="32"/>
          <w:szCs w:val="32"/>
          <w:lang w:val="en-US" w:eastAsia="zh-CN"/>
        </w:rPr>
        <w:t>支出45.88万元。</w:t>
      </w:r>
    </w:p>
    <w:p>
      <w:pPr>
        <w:pStyle w:val="14"/>
        <w:widowControl/>
        <w:spacing w:line="640" w:lineRule="exact"/>
        <w:ind w:firstLine="630" w:firstLineChars="196"/>
        <w:rPr>
          <w:rFonts w:hint="eastAsia" w:ascii="宋体" w:hAnsi="宋体"/>
          <w:b/>
          <w:sz w:val="32"/>
          <w:szCs w:val="32"/>
        </w:rPr>
      </w:pPr>
      <w:r>
        <w:rPr>
          <w:rFonts w:hint="eastAsia" w:ascii="宋体" w:hAnsi="宋体" w:cs="宋体"/>
          <w:b/>
          <w:color w:val="2A2A2A"/>
          <w:sz w:val="32"/>
          <w:szCs w:val="32"/>
        </w:rPr>
        <w:t>三、支出管理情况</w:t>
      </w:r>
    </w:p>
    <w:p>
      <w:pPr>
        <w:pStyle w:val="14"/>
        <w:widowControl/>
        <w:spacing w:line="640" w:lineRule="exact"/>
        <w:ind w:firstLine="630" w:firstLineChars="196"/>
        <w:rPr>
          <w:rFonts w:hint="eastAsia" w:ascii="仿宋_GB2312" w:hAnsi="宋体" w:eastAsia="仿宋_GB2312" w:cs="宋体"/>
          <w:color w:val="2A2A2A"/>
          <w:sz w:val="32"/>
          <w:szCs w:val="32"/>
        </w:rPr>
      </w:pPr>
      <w:r>
        <w:rPr>
          <w:rFonts w:hint="eastAsia" w:ascii="仿宋_GB2312" w:hAnsi="宋体" w:eastAsia="仿宋_GB2312" w:cs="宋体"/>
          <w:b/>
          <w:color w:val="2A2A2A"/>
          <w:sz w:val="32"/>
          <w:szCs w:val="32"/>
        </w:rPr>
        <w:t>（一）预算编制情况</w:t>
      </w:r>
      <w:r>
        <w:rPr>
          <w:rFonts w:hint="eastAsia" w:ascii="仿宋_GB2312" w:hAnsi="宋体" w:eastAsia="仿宋_GB2312" w:cs="宋体"/>
          <w:color w:val="2A2A2A"/>
          <w:sz w:val="32"/>
          <w:szCs w:val="32"/>
        </w:rPr>
        <w:t>。</w:t>
      </w:r>
    </w:p>
    <w:p>
      <w:pPr>
        <w:pStyle w:val="14"/>
        <w:widowControl/>
        <w:spacing w:line="640" w:lineRule="exact"/>
        <w:ind w:firstLine="800" w:firstLineChars="250"/>
        <w:rPr>
          <w:rFonts w:hint="eastAsia" w:ascii="仿宋_GB2312" w:eastAsia="仿宋_GB2312"/>
          <w:sz w:val="32"/>
          <w:szCs w:val="32"/>
        </w:rPr>
      </w:pP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 xml:space="preserve">. </w:t>
      </w: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w:t>
      </w:r>
      <w:r>
        <w:rPr>
          <w:rFonts w:hint="eastAsia" w:ascii="仿宋_GB2312" w:hAnsi="宋体" w:eastAsia="仿宋_GB2312" w:cs="宋体"/>
          <w:color w:val="2A2A2A"/>
          <w:sz w:val="32"/>
          <w:szCs w:val="32"/>
        </w:rPr>
        <w:t>预算总收入为</w:t>
      </w:r>
      <w:r>
        <w:rPr>
          <w:rFonts w:hint="eastAsia" w:ascii="仿宋_GB2312" w:hAnsi="宋体" w:eastAsia="仿宋_GB2312" w:cs="宋体"/>
          <w:color w:val="2A2A2A"/>
          <w:sz w:val="32"/>
          <w:szCs w:val="32"/>
          <w:lang w:val="en-US" w:eastAsia="zh-CN"/>
        </w:rPr>
        <w:t>330</w:t>
      </w:r>
      <w:r>
        <w:rPr>
          <w:rFonts w:hint="eastAsia" w:ascii="仿宋_GB2312" w:hAnsi="宋体" w:eastAsia="仿宋_GB2312" w:cs="宋体"/>
          <w:color w:val="2A2A2A"/>
          <w:sz w:val="32"/>
          <w:szCs w:val="32"/>
        </w:rPr>
        <w:t>万元。</w:t>
      </w:r>
    </w:p>
    <w:p>
      <w:pPr>
        <w:pStyle w:val="14"/>
        <w:widowControl/>
        <w:spacing w:line="640" w:lineRule="exact"/>
        <w:ind w:firstLine="627" w:firstLineChars="196"/>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（1）</w:t>
      </w: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中央对地方专项转移支付（中央政法纪检监察转移支付资金）办案业务经费</w:t>
      </w:r>
      <w:r>
        <w:rPr>
          <w:rFonts w:hint="eastAsia" w:ascii="仿宋_GB2312" w:hAnsi="宋体" w:eastAsia="仿宋_GB2312" w:cs="宋体"/>
          <w:color w:val="2A2A2A"/>
          <w:sz w:val="32"/>
          <w:szCs w:val="32"/>
        </w:rPr>
        <w:t>预算为：</w:t>
      </w:r>
      <w:r>
        <w:rPr>
          <w:rFonts w:hint="default" w:ascii="仿宋_GB2312" w:hAnsi="宋体" w:eastAsia="仿宋_GB2312" w:cs="宋体"/>
          <w:color w:val="2A2A2A"/>
          <w:sz w:val="32"/>
          <w:szCs w:val="32"/>
          <w:lang w:eastAsia="zh-CN"/>
        </w:rPr>
        <w:t>17</w:t>
      </w:r>
      <w:r>
        <w:rPr>
          <w:rFonts w:hint="eastAsia" w:ascii="仿宋_GB2312" w:hAnsi="宋体" w:eastAsia="仿宋_GB2312" w:cs="宋体"/>
          <w:color w:val="2A2A2A"/>
          <w:sz w:val="32"/>
          <w:szCs w:val="32"/>
          <w:lang w:val="en-US" w:eastAsia="zh-CN"/>
        </w:rPr>
        <w:t>0</w:t>
      </w:r>
      <w:r>
        <w:rPr>
          <w:rFonts w:hint="eastAsia" w:ascii="仿宋_GB2312" w:hAnsi="宋体" w:eastAsia="仿宋_GB2312" w:cs="宋体"/>
          <w:color w:val="2A2A2A"/>
          <w:sz w:val="32"/>
          <w:szCs w:val="32"/>
        </w:rPr>
        <w:t>万元。</w:t>
      </w:r>
    </w:p>
    <w:p>
      <w:pPr>
        <w:pStyle w:val="14"/>
        <w:widowControl/>
        <w:spacing w:line="640" w:lineRule="exact"/>
        <w:ind w:firstLine="627" w:firstLineChars="196"/>
        <w:rPr>
          <w:rFonts w:hint="eastAsia" w:ascii="仿宋_GB2312" w:hAnsi="宋体" w:eastAsia="仿宋_GB2312" w:cs="宋体"/>
          <w:color w:val="2A2A2A"/>
          <w:sz w:val="32"/>
          <w:szCs w:val="32"/>
          <w:lang w:val="en-US" w:eastAsia="zh-CN"/>
        </w:rPr>
      </w:pPr>
      <w:r>
        <w:rPr>
          <w:rFonts w:hint="eastAsia" w:ascii="仿宋_GB2312" w:eastAsia="仿宋_GB2312"/>
          <w:sz w:val="32"/>
          <w:szCs w:val="32"/>
        </w:rPr>
        <w:t>（2）</w:t>
      </w: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中央对地方专项转移支付（中央政法纪检监察转移支付资金）办案业务装备费预算为160</w:t>
      </w:r>
      <w:r>
        <w:rPr>
          <w:rFonts w:hint="eastAsia" w:ascii="仿宋_GB2312" w:hAnsi="宋体" w:eastAsia="仿宋_GB2312" w:cs="宋体"/>
          <w:color w:val="2A2A2A"/>
          <w:sz w:val="32"/>
          <w:szCs w:val="32"/>
        </w:rPr>
        <w:t>万元。</w:t>
      </w:r>
      <w:r>
        <w:rPr>
          <w:rFonts w:hint="eastAsia" w:ascii="仿宋_GB2312" w:hAnsi="宋体" w:eastAsia="仿宋_GB2312" w:cs="宋体"/>
          <w:color w:val="2A2A2A"/>
          <w:sz w:val="32"/>
          <w:szCs w:val="32"/>
          <w:lang w:val="en-US" w:eastAsia="zh-CN"/>
        </w:rPr>
        <w:t xml:space="preserve">                                    </w:t>
      </w:r>
    </w:p>
    <w:p>
      <w:pPr>
        <w:pStyle w:val="14"/>
        <w:widowControl/>
        <w:spacing w:line="640" w:lineRule="exact"/>
        <w:ind w:firstLine="630" w:firstLineChars="196"/>
        <w:rPr>
          <w:rFonts w:hint="eastAsia" w:ascii="仿宋_GB2312" w:eastAsia="仿宋_GB2312"/>
          <w:b/>
          <w:sz w:val="32"/>
          <w:szCs w:val="32"/>
        </w:rPr>
      </w:pPr>
      <w:r>
        <w:rPr>
          <w:rFonts w:hint="eastAsia" w:ascii="仿宋_GB2312" w:hAnsi="宋体" w:eastAsia="仿宋_GB2312" w:cs="宋体"/>
          <w:b/>
          <w:color w:val="2A2A2A"/>
          <w:sz w:val="32"/>
          <w:szCs w:val="32"/>
        </w:rPr>
        <w:t>（二）预算执行情情况</w:t>
      </w:r>
    </w:p>
    <w:p>
      <w:pPr>
        <w:pStyle w:val="14"/>
        <w:widowControl/>
        <w:spacing w:line="640" w:lineRule="exact"/>
        <w:ind w:firstLine="627" w:firstLineChars="196"/>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1、我院截止</w:t>
      </w:r>
      <w:r>
        <w:rPr>
          <w:rFonts w:hint="default" w:ascii="仿宋_GB2312" w:hAnsi="宋体" w:eastAsia="仿宋_GB2312" w:cs="宋体"/>
          <w:color w:val="2A2A2A"/>
          <w:sz w:val="32"/>
          <w:szCs w:val="32"/>
          <w:lang w:eastAsia="zh-CN"/>
        </w:rPr>
        <w:t>202</w:t>
      </w:r>
      <w:r>
        <w:rPr>
          <w:rFonts w:hint="eastAsia" w:ascii="仿宋_GB2312" w:hAnsi="宋体" w:eastAsia="仿宋_GB2312" w:cs="宋体"/>
          <w:color w:val="2A2A2A"/>
          <w:sz w:val="32"/>
          <w:szCs w:val="32"/>
          <w:lang w:val="en-US" w:eastAsia="zh-CN"/>
        </w:rPr>
        <w:t>1年12月31日</w:t>
      </w:r>
      <w:r>
        <w:rPr>
          <w:rFonts w:hint="eastAsia" w:ascii="仿宋_GB2312" w:hAnsi="宋体" w:eastAsia="仿宋_GB2312" w:cs="宋体"/>
          <w:color w:val="2A2A2A"/>
          <w:sz w:val="32"/>
          <w:szCs w:val="32"/>
        </w:rPr>
        <w:t>年我院总支出为：</w:t>
      </w:r>
      <w:r>
        <w:rPr>
          <w:rFonts w:hint="eastAsia" w:ascii="仿宋_GB2312" w:hAnsi="宋体" w:eastAsia="仿宋_GB2312" w:cs="宋体"/>
          <w:color w:val="2A2A2A"/>
          <w:sz w:val="32"/>
          <w:szCs w:val="32"/>
          <w:lang w:val="en-US" w:eastAsia="zh-CN"/>
        </w:rPr>
        <w:t>453.44</w:t>
      </w:r>
      <w:r>
        <w:rPr>
          <w:rFonts w:hint="eastAsia" w:ascii="仿宋_GB2312" w:hAnsi="宋体" w:eastAsia="仿宋_GB2312" w:cs="宋体"/>
          <w:color w:val="2A2A2A"/>
          <w:sz w:val="32"/>
          <w:szCs w:val="32"/>
        </w:rPr>
        <w:t>万元，其中</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年中央和省级政法转移支付资金的通知</w:t>
      </w:r>
      <w:r>
        <w:rPr>
          <w:rFonts w:hint="eastAsia" w:ascii="仿宋_GB2312" w:hAnsi="宋体" w:eastAsia="仿宋_GB2312" w:cs="宋体"/>
          <w:color w:val="2A2A2A"/>
          <w:sz w:val="32"/>
          <w:szCs w:val="32"/>
          <w:lang w:val="en-US" w:eastAsia="zh-CN"/>
        </w:rPr>
        <w:t>办案业务经费</w:t>
      </w:r>
      <w:r>
        <w:rPr>
          <w:rFonts w:hint="eastAsia" w:ascii="仿宋_GB2312" w:hAnsi="宋体" w:eastAsia="仿宋_GB2312" w:cs="宋体"/>
          <w:color w:val="2A2A2A"/>
          <w:sz w:val="32"/>
          <w:szCs w:val="32"/>
        </w:rPr>
        <w:t>支出为</w:t>
      </w:r>
      <w:r>
        <w:rPr>
          <w:rFonts w:hint="eastAsia" w:ascii="仿宋_GB2312" w:hAnsi="宋体" w:eastAsia="仿宋_GB2312" w:cs="宋体"/>
          <w:color w:val="2A2A2A"/>
          <w:sz w:val="32"/>
          <w:szCs w:val="32"/>
          <w:lang w:val="en-US" w:eastAsia="zh-CN"/>
        </w:rPr>
        <w:t>327.23</w:t>
      </w:r>
      <w:r>
        <w:rPr>
          <w:rFonts w:hint="eastAsia" w:ascii="仿宋_GB2312" w:hAnsi="宋体" w:eastAsia="仿宋_GB2312" w:cs="宋体"/>
          <w:color w:val="2A2A2A"/>
          <w:sz w:val="32"/>
          <w:szCs w:val="32"/>
        </w:rPr>
        <w:t>万元，20</w:t>
      </w:r>
      <w:r>
        <w:rPr>
          <w:rFonts w:hint="eastAsia" w:ascii="仿宋_GB2312" w:hAnsi="宋体" w:eastAsia="仿宋_GB2312" w:cs="宋体"/>
          <w:color w:val="2A2A2A"/>
          <w:sz w:val="32"/>
          <w:szCs w:val="32"/>
          <w:lang w:val="en-US" w:eastAsia="zh-CN"/>
        </w:rPr>
        <w:t>21</w:t>
      </w:r>
      <w:r>
        <w:rPr>
          <w:rFonts w:hint="eastAsia" w:ascii="仿宋_GB2312" w:hAnsi="宋体" w:eastAsia="仿宋_GB2312" w:cs="宋体"/>
          <w:color w:val="2A2A2A"/>
          <w:sz w:val="32"/>
          <w:szCs w:val="32"/>
        </w:rPr>
        <w:t>年中央和省级政法转移支付资金</w:t>
      </w:r>
      <w:r>
        <w:rPr>
          <w:rFonts w:hint="eastAsia" w:ascii="仿宋_GB2312" w:hAnsi="宋体" w:eastAsia="仿宋_GB2312" w:cs="宋体"/>
          <w:color w:val="2A2A2A"/>
          <w:sz w:val="32"/>
          <w:szCs w:val="32"/>
          <w:lang w:val="en-US" w:eastAsia="zh-CN"/>
        </w:rPr>
        <w:t>业务装备经费</w:t>
      </w:r>
      <w:r>
        <w:rPr>
          <w:rFonts w:hint="eastAsia" w:ascii="仿宋_GB2312" w:hAnsi="宋体" w:eastAsia="仿宋_GB2312" w:cs="宋体"/>
          <w:color w:val="2A2A2A"/>
          <w:sz w:val="32"/>
          <w:szCs w:val="32"/>
        </w:rPr>
        <w:t>支出为</w:t>
      </w:r>
      <w:r>
        <w:rPr>
          <w:rFonts w:hint="eastAsia" w:ascii="仿宋_GB2312" w:hAnsi="宋体" w:eastAsia="仿宋_GB2312" w:cs="宋体"/>
          <w:color w:val="2A2A2A"/>
          <w:sz w:val="32"/>
          <w:szCs w:val="32"/>
          <w:lang w:val="en-US" w:eastAsia="zh-CN"/>
        </w:rPr>
        <w:t>126.21</w:t>
      </w:r>
      <w:r>
        <w:rPr>
          <w:rFonts w:hint="eastAsia" w:ascii="仿宋_GB2312" w:hAnsi="宋体" w:eastAsia="仿宋_GB2312" w:cs="宋体"/>
          <w:color w:val="2A2A2A"/>
          <w:sz w:val="32"/>
          <w:szCs w:val="32"/>
        </w:rPr>
        <w:t>万元。</w:t>
      </w:r>
    </w:p>
    <w:p>
      <w:pPr>
        <w:pStyle w:val="14"/>
        <w:widowControl/>
        <w:spacing w:line="640" w:lineRule="exact"/>
        <w:ind w:firstLine="630" w:firstLineChars="196"/>
        <w:rPr>
          <w:rFonts w:hint="eastAsia" w:ascii="仿宋_GB2312" w:eastAsia="仿宋_GB2312"/>
          <w:b/>
          <w:sz w:val="32"/>
          <w:szCs w:val="32"/>
        </w:rPr>
      </w:pPr>
      <w:r>
        <w:rPr>
          <w:rFonts w:hint="eastAsia" w:ascii="仿宋_GB2312" w:hAnsi="宋体" w:eastAsia="仿宋_GB2312" w:cs="宋体"/>
          <w:b/>
          <w:color w:val="2A2A2A"/>
          <w:sz w:val="32"/>
          <w:szCs w:val="32"/>
        </w:rPr>
        <w:t>（三）专项预算项目支出绩效情况</w:t>
      </w:r>
    </w:p>
    <w:p>
      <w:pPr>
        <w:pStyle w:val="14"/>
        <w:widowControl/>
        <w:spacing w:line="640" w:lineRule="exact"/>
        <w:ind w:firstLine="627" w:firstLineChars="196"/>
        <w:rPr>
          <w:rFonts w:hint="eastAsia" w:ascii="仿宋_GB2312" w:hAnsi="宋体" w:eastAsia="仿宋_GB2312" w:cs="宋体"/>
          <w:color w:val="2A2A2A"/>
          <w:sz w:val="32"/>
          <w:szCs w:val="32"/>
          <w:lang w:val="en-US" w:eastAsia="zh-CN"/>
        </w:rPr>
      </w:pPr>
      <w:r>
        <w:rPr>
          <w:rFonts w:hint="eastAsia" w:ascii="仿宋_GB2312" w:hAnsi="宋体" w:eastAsia="仿宋_GB2312" w:cs="宋体"/>
          <w:color w:val="2A2A2A"/>
          <w:sz w:val="32"/>
          <w:szCs w:val="32"/>
        </w:rPr>
        <w:t>我院经费保障工作进一步加强，保障水平进一步提高，经费保障的强化，有力地保障了机关的正常地运转，确保了各项检察</w:t>
      </w:r>
      <w:r>
        <w:rPr>
          <w:rFonts w:hint="eastAsia" w:ascii="仿宋_GB2312" w:hAnsi="宋体" w:eastAsia="仿宋_GB2312" w:cs="宋体"/>
          <w:color w:val="2A2A2A"/>
          <w:sz w:val="32"/>
          <w:szCs w:val="32"/>
          <w:lang w:val="en-US" w:eastAsia="zh-CN"/>
        </w:rPr>
        <w:t>业务</w:t>
      </w:r>
      <w:r>
        <w:rPr>
          <w:rFonts w:hint="eastAsia" w:ascii="仿宋_GB2312" w:hAnsi="宋体" w:eastAsia="仿宋_GB2312" w:cs="宋体"/>
          <w:color w:val="2A2A2A"/>
          <w:sz w:val="32"/>
          <w:szCs w:val="32"/>
        </w:rPr>
        <w:t>的顺利开展</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基本</w:t>
      </w:r>
      <w:r>
        <w:rPr>
          <w:rFonts w:hint="eastAsia" w:ascii="仿宋_GB2312" w:hAnsi="宋体" w:eastAsia="仿宋_GB2312" w:cs="宋体"/>
          <w:color w:val="2A2A2A"/>
          <w:sz w:val="32"/>
          <w:szCs w:val="32"/>
        </w:rPr>
        <w:t>完成了</w:t>
      </w:r>
      <w:r>
        <w:rPr>
          <w:rFonts w:hint="default" w:ascii="仿宋_GB2312" w:hAnsi="宋体" w:eastAsia="仿宋_GB2312" w:cs="宋体"/>
          <w:color w:val="2A2A2A"/>
          <w:sz w:val="32"/>
          <w:szCs w:val="32"/>
          <w:lang w:eastAsia="zh-CN"/>
        </w:rPr>
        <w:t>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年度绩效任务。</w:t>
      </w:r>
      <w:r>
        <w:rPr>
          <w:rFonts w:hint="eastAsia" w:ascii="仿宋_GB2312" w:hAnsi="宋体" w:eastAsia="仿宋_GB2312" w:cs="宋体"/>
          <w:color w:val="2A2A2A"/>
          <w:sz w:val="32"/>
          <w:szCs w:val="32"/>
          <w:lang w:val="en-US" w:eastAsia="zh-CN"/>
        </w:rPr>
        <w:t>具体如下：</w:t>
      </w:r>
    </w:p>
    <w:tbl>
      <w:tblPr>
        <w:tblStyle w:val="15"/>
        <w:tblW w:w="8760" w:type="dxa"/>
        <w:tblInd w:w="0" w:type="dxa"/>
        <w:tblLayout w:type="autofit"/>
        <w:tblCellMar>
          <w:top w:w="0" w:type="dxa"/>
          <w:left w:w="0" w:type="dxa"/>
          <w:bottom w:w="0" w:type="dxa"/>
          <w:right w:w="0" w:type="dxa"/>
        </w:tblCellMar>
      </w:tblPr>
      <w:tblGrid>
        <w:gridCol w:w="4575"/>
        <w:gridCol w:w="1121"/>
        <w:gridCol w:w="1139"/>
        <w:gridCol w:w="1925"/>
      </w:tblGrid>
      <w:tr>
        <w:tblPrEx>
          <w:tblCellMar>
            <w:top w:w="0" w:type="dxa"/>
            <w:left w:w="0" w:type="dxa"/>
            <w:bottom w:w="0" w:type="dxa"/>
            <w:right w:w="0" w:type="dxa"/>
          </w:tblCellMar>
        </w:tblPrEx>
        <w:trPr>
          <w:trHeight w:val="522"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1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1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全年完成值</w:t>
            </w:r>
          </w:p>
        </w:tc>
        <w:tc>
          <w:tcPr>
            <w:tcW w:w="192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未完成原因和改进措施</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审查逮捕人数(人)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审查批准延长羁押人数（人）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审查起诉人数（人）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二审上诉案件办理数（件）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民事行政案件办理数（件）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公益诉讼案件办理数（件）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各类信访案件办理数（件）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国家司法救助人数（人）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刑事申诉案件办理数（件）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刑事申诉案件立案复查数（件）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检察技术案件办理数（件）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业务装备修理维护数(台套)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检察宣传次数(次)</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培训人次(次)</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购置信息网络设备数量(台套)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购置检察业务常规设备数量(台套)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w:t>
            </w:r>
          </w:p>
        </w:tc>
      </w:tr>
    </w:tbl>
    <w:p>
      <w:pPr>
        <w:pStyle w:val="14"/>
        <w:widowControl/>
        <w:spacing w:line="640" w:lineRule="exact"/>
        <w:ind w:firstLine="630" w:firstLineChars="196"/>
        <w:rPr>
          <w:rFonts w:hint="eastAsia" w:ascii="仿宋_GB2312" w:eastAsia="仿宋_GB2312"/>
          <w:b/>
          <w:sz w:val="32"/>
          <w:szCs w:val="32"/>
        </w:rPr>
      </w:pPr>
      <w:r>
        <w:rPr>
          <w:rFonts w:hint="eastAsia" w:ascii="仿宋_GB2312" w:hAnsi="宋体" w:eastAsia="仿宋_GB2312" w:cs="宋体"/>
          <w:b/>
          <w:color w:val="2A2A2A"/>
          <w:sz w:val="32"/>
          <w:szCs w:val="32"/>
        </w:rPr>
        <w:t>2、专项预算项目支出绩效</w:t>
      </w:r>
    </w:p>
    <w:p>
      <w:pPr>
        <w:pStyle w:val="14"/>
        <w:widowControl/>
        <w:spacing w:line="640" w:lineRule="exact"/>
        <w:ind w:firstLine="630" w:firstLineChars="196"/>
        <w:rPr>
          <w:rFonts w:hint="eastAsia" w:ascii="仿宋_GB2312" w:eastAsia="仿宋_GB2312"/>
          <w:sz w:val="32"/>
          <w:szCs w:val="32"/>
        </w:rPr>
      </w:pPr>
      <w:r>
        <w:rPr>
          <w:rFonts w:hint="eastAsia" w:ascii="仿宋_GB2312" w:hAnsi="宋体" w:eastAsia="仿宋_GB2312" w:cs="宋体"/>
          <w:b/>
          <w:color w:val="2A2A2A"/>
          <w:sz w:val="32"/>
          <w:szCs w:val="32"/>
        </w:rPr>
        <w:t>（1）资金绩效分配情况</w:t>
      </w:r>
    </w:p>
    <w:p>
      <w:pPr>
        <w:pStyle w:val="14"/>
        <w:widowControl/>
        <w:spacing w:line="640" w:lineRule="exact"/>
        <w:ind w:firstLine="627" w:firstLineChars="196"/>
        <w:rPr>
          <w:rFonts w:hint="eastAsia" w:ascii="仿宋_GB2312" w:hAnsi="宋体" w:eastAsia="仿宋_GB2312" w:cs="宋体"/>
          <w:color w:val="2A2A2A"/>
          <w:sz w:val="32"/>
          <w:szCs w:val="32"/>
        </w:rPr>
      </w:pPr>
      <w:r>
        <w:rPr>
          <w:rFonts w:hint="default" w:ascii="仿宋_GB2312" w:hAnsi="宋体" w:eastAsia="仿宋_GB2312" w:cs="宋体"/>
          <w:color w:val="2A2A2A"/>
          <w:sz w:val="32"/>
          <w:szCs w:val="32"/>
        </w:rPr>
        <w:t>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年州财政下达我院中央转移支付资金</w:t>
      </w:r>
      <w:r>
        <w:rPr>
          <w:rFonts w:hint="eastAsia" w:ascii="仿宋_GB2312" w:hAnsi="宋体" w:eastAsia="仿宋_GB2312" w:cs="宋体"/>
          <w:color w:val="2A2A2A"/>
          <w:sz w:val="32"/>
          <w:szCs w:val="32"/>
          <w:lang w:val="en-US" w:eastAsia="zh-CN"/>
        </w:rPr>
        <w:t>330</w:t>
      </w:r>
      <w:r>
        <w:rPr>
          <w:rFonts w:hint="eastAsia" w:ascii="仿宋_GB2312" w:hAnsi="宋体" w:eastAsia="仿宋_GB2312" w:cs="宋体"/>
          <w:color w:val="2A2A2A"/>
          <w:sz w:val="32"/>
          <w:szCs w:val="32"/>
        </w:rPr>
        <w:t>万元，其中办案补助</w:t>
      </w:r>
      <w:r>
        <w:rPr>
          <w:rFonts w:hint="eastAsia" w:ascii="仿宋_GB2312" w:hAnsi="宋体" w:eastAsia="仿宋_GB2312" w:cs="宋体"/>
          <w:color w:val="2A2A2A"/>
          <w:sz w:val="32"/>
          <w:szCs w:val="32"/>
          <w:lang w:val="en-US" w:eastAsia="zh-CN"/>
        </w:rPr>
        <w:t>170</w:t>
      </w:r>
      <w:r>
        <w:rPr>
          <w:rFonts w:hint="eastAsia" w:ascii="仿宋_GB2312" w:hAnsi="宋体" w:eastAsia="仿宋_GB2312" w:cs="宋体"/>
          <w:color w:val="2A2A2A"/>
          <w:sz w:val="32"/>
          <w:szCs w:val="32"/>
        </w:rPr>
        <w:t>万元，装备补助</w:t>
      </w:r>
      <w:r>
        <w:rPr>
          <w:rFonts w:hint="eastAsia" w:ascii="仿宋_GB2312" w:hAnsi="宋体" w:eastAsia="仿宋_GB2312" w:cs="宋体"/>
          <w:color w:val="2A2A2A"/>
          <w:sz w:val="32"/>
          <w:szCs w:val="32"/>
          <w:lang w:val="en-US" w:eastAsia="zh-CN"/>
        </w:rPr>
        <w:t>160</w:t>
      </w:r>
      <w:r>
        <w:rPr>
          <w:rFonts w:hint="eastAsia" w:ascii="仿宋_GB2312" w:hAnsi="宋体" w:eastAsia="仿宋_GB2312" w:cs="宋体"/>
          <w:color w:val="2A2A2A"/>
          <w:sz w:val="32"/>
          <w:szCs w:val="32"/>
        </w:rPr>
        <w:t>万元。</w:t>
      </w:r>
    </w:p>
    <w:p>
      <w:pPr>
        <w:pStyle w:val="14"/>
        <w:widowControl/>
        <w:spacing w:line="640" w:lineRule="exact"/>
        <w:ind w:firstLine="627" w:firstLineChars="196"/>
        <w:rPr>
          <w:rFonts w:hint="eastAsia" w:ascii="仿宋_GB2312" w:hAnsi="宋体" w:eastAsia="仿宋_GB2312" w:cs="宋体"/>
          <w:color w:val="2A2A2A"/>
          <w:sz w:val="32"/>
          <w:szCs w:val="32"/>
        </w:rPr>
      </w:pPr>
      <w:r>
        <w:rPr>
          <w:rFonts w:hint="default" w:ascii="仿宋_GB2312" w:hAnsi="宋体" w:eastAsia="仿宋_GB2312" w:cs="宋体"/>
          <w:color w:val="2A2A2A"/>
          <w:sz w:val="32"/>
          <w:szCs w:val="32"/>
        </w:rPr>
        <w:t>业务装备经费</w:t>
      </w:r>
      <w:r>
        <w:rPr>
          <w:rFonts w:hint="eastAsia" w:ascii="仿宋_GB2312" w:hAnsi="宋体" w:eastAsia="仿宋_GB2312" w:cs="宋体"/>
          <w:color w:val="2A2A2A"/>
          <w:sz w:val="32"/>
          <w:szCs w:val="32"/>
        </w:rPr>
        <w:t>支出</w:t>
      </w:r>
      <w:r>
        <w:rPr>
          <w:rFonts w:hint="eastAsia" w:ascii="仿宋_GB2312" w:hAnsi="宋体" w:eastAsia="仿宋_GB2312" w:cs="宋体"/>
          <w:color w:val="2A2A2A"/>
          <w:sz w:val="32"/>
          <w:szCs w:val="32"/>
          <w:lang w:val="en-US" w:eastAsia="zh-CN"/>
        </w:rPr>
        <w:t>327.23</w:t>
      </w:r>
      <w:r>
        <w:rPr>
          <w:rFonts w:hint="eastAsia" w:ascii="仿宋_GB2312" w:hAnsi="宋体" w:eastAsia="仿宋_GB2312" w:cs="宋体"/>
          <w:color w:val="2A2A2A"/>
          <w:sz w:val="32"/>
          <w:szCs w:val="32"/>
        </w:rPr>
        <w:t>万元</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办案业务经费</w:t>
      </w:r>
      <w:r>
        <w:rPr>
          <w:rFonts w:hint="eastAsia" w:ascii="仿宋_GB2312" w:hAnsi="宋体" w:eastAsia="仿宋_GB2312" w:cs="宋体"/>
          <w:color w:val="2A2A2A"/>
          <w:sz w:val="32"/>
          <w:szCs w:val="32"/>
        </w:rPr>
        <w:t>支出为</w:t>
      </w:r>
      <w:r>
        <w:rPr>
          <w:rFonts w:hint="eastAsia" w:ascii="仿宋_GB2312" w:hAnsi="宋体" w:eastAsia="仿宋_GB2312" w:cs="宋体"/>
          <w:color w:val="2A2A2A"/>
          <w:sz w:val="32"/>
          <w:szCs w:val="32"/>
          <w:lang w:val="en-US" w:eastAsia="zh-CN"/>
        </w:rPr>
        <w:t>126.21</w:t>
      </w:r>
      <w:r>
        <w:rPr>
          <w:rFonts w:hint="eastAsia" w:ascii="仿宋_GB2312" w:hAnsi="宋体" w:eastAsia="仿宋_GB2312" w:cs="宋体"/>
          <w:color w:val="2A2A2A"/>
          <w:sz w:val="32"/>
          <w:szCs w:val="32"/>
        </w:rPr>
        <w:t>万元。</w:t>
      </w:r>
    </w:p>
    <w:p>
      <w:pPr>
        <w:pStyle w:val="14"/>
        <w:widowControl/>
        <w:spacing w:line="640" w:lineRule="exact"/>
        <w:ind w:firstLine="630" w:firstLineChars="196"/>
        <w:rPr>
          <w:rFonts w:hint="eastAsia" w:ascii="仿宋_GB2312" w:eastAsia="仿宋_GB2312"/>
          <w:b/>
          <w:sz w:val="32"/>
          <w:szCs w:val="32"/>
        </w:rPr>
      </w:pPr>
      <w:r>
        <w:rPr>
          <w:rFonts w:hint="eastAsia" w:ascii="仿宋_GB2312" w:hAnsi="宋体" w:eastAsia="仿宋_GB2312" w:cs="宋体"/>
          <w:b/>
          <w:color w:val="2A2A2A"/>
          <w:sz w:val="32"/>
          <w:szCs w:val="32"/>
        </w:rPr>
        <w:t>（2）项目资金管理情况</w:t>
      </w:r>
    </w:p>
    <w:p>
      <w:pPr>
        <w:pStyle w:val="14"/>
        <w:widowControl/>
        <w:spacing w:line="640" w:lineRule="exact"/>
        <w:ind w:firstLine="627" w:firstLineChars="196"/>
        <w:rPr>
          <w:rFonts w:hint="eastAsia" w:ascii="仿宋_GB2312" w:eastAsia="仿宋_GB2312"/>
          <w:sz w:val="32"/>
          <w:szCs w:val="32"/>
        </w:rPr>
      </w:pPr>
      <w:r>
        <w:rPr>
          <w:rFonts w:hint="eastAsia" w:ascii="仿宋_GB2312" w:hAnsi="宋体" w:eastAsia="仿宋_GB2312" w:cs="宋体"/>
          <w:color w:val="2A2A2A"/>
          <w:sz w:val="32"/>
          <w:szCs w:val="32"/>
        </w:rPr>
        <w:t>中央专项资金严格执行最高人民检察院及财政部门的规定，专款专用，办案补助全部用于办理各类案件，未挪作他用，超范围使用。装备补助严格执照省院及州财政部门批复执行，并严格按照采购法进行装备的采购，其他项目亦坚持专款专用，单独核算，接受审计的原则。</w:t>
      </w:r>
    </w:p>
    <w:p>
      <w:pPr>
        <w:pStyle w:val="14"/>
        <w:widowControl/>
        <w:spacing w:line="640" w:lineRule="exact"/>
        <w:ind w:firstLine="630" w:firstLineChars="196"/>
        <w:rPr>
          <w:rFonts w:hint="eastAsia" w:ascii="仿宋_GB2312" w:eastAsia="仿宋_GB2312"/>
          <w:b/>
          <w:sz w:val="32"/>
          <w:szCs w:val="32"/>
        </w:rPr>
      </w:pPr>
      <w:r>
        <w:rPr>
          <w:rFonts w:hint="eastAsia" w:ascii="仿宋_GB2312" w:eastAsia="仿宋_GB2312"/>
          <w:b/>
          <w:sz w:val="32"/>
          <w:szCs w:val="32"/>
        </w:rPr>
        <w:t>（3）绩效目标完成情况</w:t>
      </w:r>
    </w:p>
    <w:p>
      <w:pPr>
        <w:pStyle w:val="14"/>
        <w:widowControl/>
        <w:spacing w:line="640" w:lineRule="exact"/>
        <w:ind w:firstLine="627" w:firstLineChars="196"/>
        <w:rPr>
          <w:rFonts w:hint="eastAsia" w:ascii="仿宋_GB2312" w:eastAsia="仿宋_GB2312"/>
          <w:sz w:val="32"/>
          <w:szCs w:val="32"/>
        </w:rPr>
      </w:pP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年中央和省级政法转移支付资金</w:t>
      </w:r>
      <w:r>
        <w:rPr>
          <w:rFonts w:hint="eastAsia" w:ascii="仿宋_GB2312" w:hAnsi="宋体" w:eastAsia="仿宋_GB2312" w:cs="宋体"/>
          <w:color w:val="2A2A2A"/>
          <w:sz w:val="32"/>
          <w:szCs w:val="32"/>
          <w:lang w:val="en-US" w:eastAsia="zh-CN"/>
        </w:rPr>
        <w:t>办案业务经费</w:t>
      </w:r>
      <w:r>
        <w:rPr>
          <w:rFonts w:hint="eastAsia" w:ascii="仿宋_GB2312" w:hAnsi="宋体" w:eastAsia="仿宋_GB2312" w:cs="宋体"/>
          <w:color w:val="2A2A2A"/>
          <w:sz w:val="32"/>
          <w:szCs w:val="32"/>
        </w:rPr>
        <w:t>支出</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包括往年款</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rPr>
        <w:t>为</w:t>
      </w:r>
      <w:r>
        <w:rPr>
          <w:rFonts w:hint="eastAsia" w:ascii="仿宋_GB2312" w:hAnsi="宋体" w:eastAsia="仿宋_GB2312" w:cs="宋体"/>
          <w:color w:val="2A2A2A"/>
          <w:sz w:val="32"/>
          <w:szCs w:val="32"/>
          <w:lang w:val="en-US" w:eastAsia="zh-CN"/>
        </w:rPr>
        <w:t>327.23</w:t>
      </w:r>
      <w:r>
        <w:rPr>
          <w:rFonts w:hint="eastAsia" w:ascii="仿宋_GB2312" w:hAnsi="宋体" w:eastAsia="仿宋_GB2312" w:cs="宋体"/>
          <w:color w:val="2A2A2A"/>
          <w:sz w:val="32"/>
          <w:szCs w:val="32"/>
        </w:rPr>
        <w:t>万元，执行率为</w:t>
      </w:r>
      <w:r>
        <w:rPr>
          <w:rFonts w:hint="eastAsia" w:ascii="仿宋_GB2312" w:hAnsi="宋体" w:eastAsia="仿宋_GB2312" w:cs="宋体"/>
          <w:color w:val="2A2A2A"/>
          <w:sz w:val="32"/>
          <w:szCs w:val="32"/>
          <w:lang w:val="en-US" w:eastAsia="zh-CN"/>
        </w:rPr>
        <w:t>192.49%，主要用于2021年各类案件办理差旅费、公务用车运行维护费、检察业务宣传费、检察业务印刷费等</w:t>
      </w:r>
      <w:r>
        <w:rPr>
          <w:rFonts w:hint="eastAsia" w:ascii="仿宋_GB2312" w:eastAsia="仿宋_GB2312"/>
          <w:sz w:val="32"/>
          <w:szCs w:val="32"/>
        </w:rPr>
        <w:t>。</w:t>
      </w:r>
    </w:p>
    <w:p>
      <w:pPr>
        <w:spacing w:line="640" w:lineRule="exact"/>
        <w:ind w:firstLine="630"/>
        <w:rPr>
          <w:rFonts w:hint="eastAsia" w:ascii="仿宋_GB2312" w:eastAsia="仿宋_GB2312"/>
          <w:sz w:val="32"/>
          <w:szCs w:val="32"/>
        </w:rPr>
      </w:pPr>
      <w:r>
        <w:rPr>
          <w:rFonts w:hint="eastAsia" w:ascii="仿宋_GB2312" w:hAnsi="宋体" w:eastAsia="仿宋_GB2312" w:cs="宋体"/>
          <w:sz w:val="32"/>
          <w:szCs w:val="32"/>
          <w:lang w:val="en-US" w:eastAsia="zh-CN"/>
        </w:rPr>
        <w:t>2021</w:t>
      </w:r>
      <w:r>
        <w:rPr>
          <w:rFonts w:hint="eastAsia" w:ascii="仿宋_GB2312" w:hAnsi="宋体" w:eastAsia="仿宋_GB2312" w:cs="宋体"/>
          <w:sz w:val="32"/>
          <w:szCs w:val="32"/>
        </w:rPr>
        <w:t>年</w:t>
      </w:r>
      <w:r>
        <w:rPr>
          <w:rFonts w:hint="eastAsia" w:ascii="仿宋_GB2312" w:eastAsia="仿宋_GB2312"/>
          <w:sz w:val="32"/>
          <w:szCs w:val="32"/>
        </w:rPr>
        <w:t>办案</w:t>
      </w:r>
      <w:r>
        <w:rPr>
          <w:rFonts w:hint="eastAsia" w:ascii="仿宋_GB2312" w:eastAsia="仿宋_GB2312"/>
          <w:sz w:val="32"/>
          <w:szCs w:val="32"/>
          <w:lang w:val="en-US" w:eastAsia="zh-CN"/>
        </w:rPr>
        <w:t>业务装备费</w:t>
      </w:r>
      <w:r>
        <w:rPr>
          <w:rFonts w:hint="eastAsia" w:ascii="仿宋_GB2312" w:eastAsia="仿宋_GB2312"/>
          <w:sz w:val="32"/>
          <w:szCs w:val="32"/>
        </w:rPr>
        <w:t>支出</w:t>
      </w:r>
      <w:r>
        <w:rPr>
          <w:rFonts w:hint="eastAsia" w:ascii="仿宋_GB2312" w:eastAsia="仿宋_GB2312"/>
          <w:sz w:val="32"/>
          <w:szCs w:val="32"/>
          <w:lang w:val="en-US" w:eastAsia="zh-CN"/>
        </w:rPr>
        <w:t>126.21</w:t>
      </w:r>
      <w:r>
        <w:rPr>
          <w:rFonts w:hint="eastAsia" w:ascii="仿宋_GB2312" w:eastAsia="仿宋_GB2312"/>
          <w:sz w:val="32"/>
          <w:szCs w:val="32"/>
        </w:rPr>
        <w:t>万元，执行率为</w:t>
      </w:r>
      <w:r>
        <w:rPr>
          <w:rFonts w:hint="eastAsia" w:ascii="仿宋_GB2312" w:eastAsia="仿宋_GB2312"/>
          <w:sz w:val="32"/>
          <w:szCs w:val="32"/>
          <w:lang w:val="en-US" w:eastAsia="zh-CN"/>
        </w:rPr>
        <w:t>78.88</w:t>
      </w:r>
      <w:r>
        <w:rPr>
          <w:rFonts w:hint="eastAsia" w:ascii="仿宋_GB2312" w:eastAsia="仿宋_GB2312"/>
          <w:sz w:val="32"/>
          <w:szCs w:val="32"/>
        </w:rPr>
        <w:t>%，主要</w:t>
      </w:r>
      <w:r>
        <w:rPr>
          <w:rFonts w:hint="eastAsia" w:ascii="仿宋_GB2312" w:eastAsia="仿宋_GB2312"/>
          <w:sz w:val="32"/>
          <w:szCs w:val="32"/>
          <w:lang w:val="en-US" w:eastAsia="zh-CN"/>
        </w:rPr>
        <w:t>原因是：按照《2021年业务装备配备实施计划》的规划，我院2021年业务装备费预算下达共计160万元</w:t>
      </w:r>
      <w:r>
        <w:rPr>
          <w:rFonts w:hint="eastAsia" w:ascii="仿宋_GB2312" w:eastAsia="仿宋_GB2312"/>
          <w:sz w:val="32"/>
          <w:szCs w:val="32"/>
        </w:rPr>
        <w:t>。</w:t>
      </w:r>
    </w:p>
    <w:p>
      <w:pPr>
        <w:spacing w:line="640" w:lineRule="exact"/>
        <w:ind w:firstLine="630"/>
        <w:rPr>
          <w:rFonts w:hint="eastAsia" w:ascii="仿宋_GB2312" w:eastAsia="仿宋_GB2312"/>
          <w:b/>
          <w:sz w:val="32"/>
          <w:szCs w:val="32"/>
        </w:rPr>
      </w:pPr>
      <w:r>
        <w:rPr>
          <w:rFonts w:hint="eastAsia" w:ascii="仿宋_GB2312" w:hAnsi="宋体" w:eastAsia="仿宋_GB2312" w:cs="宋体"/>
          <w:b/>
          <w:color w:val="2A2A2A"/>
          <w:sz w:val="32"/>
          <w:szCs w:val="32"/>
        </w:rPr>
        <w:t>（四）财务管理情况</w:t>
      </w:r>
    </w:p>
    <w:p>
      <w:pPr>
        <w:pStyle w:val="14"/>
        <w:widowControl/>
        <w:spacing w:line="640" w:lineRule="exact"/>
        <w:ind w:firstLine="640" w:firstLineChars="200"/>
        <w:rPr>
          <w:rFonts w:hint="eastAsia" w:ascii="仿宋_GB2312" w:eastAsia="仿宋_GB2312"/>
          <w:sz w:val="32"/>
          <w:szCs w:val="32"/>
        </w:rPr>
      </w:pPr>
      <w:r>
        <w:rPr>
          <w:rFonts w:hint="eastAsia" w:ascii="仿宋_GB2312" w:hAnsi="宋体" w:eastAsia="仿宋_GB2312" w:cs="宋体"/>
          <w:color w:val="2A2A2A"/>
          <w:sz w:val="32"/>
          <w:szCs w:val="32"/>
        </w:rPr>
        <w:t>严格执行财政部、最高检察院《人民检察院财务管理暂行办法（试行）》以及相关财务制度、财经纪律，结合实际制定了《公务接待管理制度》、《差旅费管理制度》、《公务用车管理制度》。一是加强“三公”经费管理，严格执行中央八项规定，促进“三公”经费管理规范化、制度化，公务接待严格执行接待标准，接待范围，坚持“三单”制度，“三单”不全一律不予报销，大力推行公务卡结算，尽量减少现金支付；二是加强公务用车管理，实行“派车单”和“维修单”制度，车辆维修由分管副检察长审批；三是加强经费支出管理，重大支出由院党组审定，每笔支出必须有经办人、部门负责人、审核人、分管副检察长签字才能支出；四是加强机关水、电管理，千方百计节能降耗。</w:t>
      </w:r>
    </w:p>
    <w:p>
      <w:pPr>
        <w:pStyle w:val="14"/>
        <w:widowControl/>
        <w:spacing w:line="640" w:lineRule="exact"/>
        <w:ind w:firstLine="482" w:firstLineChars="150"/>
        <w:rPr>
          <w:rFonts w:hint="eastAsia" w:ascii="仿宋_GB2312" w:hAnsi="宋体" w:eastAsia="仿宋_GB2312" w:cs="宋体"/>
          <w:b/>
          <w:color w:val="2A2A2A"/>
          <w:sz w:val="32"/>
          <w:szCs w:val="32"/>
        </w:rPr>
      </w:pPr>
      <w:r>
        <w:rPr>
          <w:rFonts w:hint="eastAsia" w:ascii="仿宋_GB2312" w:hAnsi="宋体" w:eastAsia="仿宋_GB2312" w:cs="宋体"/>
          <w:b/>
          <w:color w:val="2A2A2A"/>
          <w:sz w:val="32"/>
          <w:szCs w:val="32"/>
        </w:rPr>
        <w:t>（五）绩效管理工作开展情况。</w:t>
      </w:r>
    </w:p>
    <w:p>
      <w:pPr>
        <w:pStyle w:val="14"/>
        <w:widowControl/>
        <w:spacing w:line="640" w:lineRule="exact"/>
        <w:ind w:firstLine="627" w:firstLineChars="196"/>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2012年以来，我院高度重视支出绩效管理工作，不断完善管理制度，强化财务管理，通过财政支出绩效自评，我院财政支出绩效管理工作取得了以上成效，应予充分肯定，在今后的工作中更上一层楼。</w:t>
      </w:r>
    </w:p>
    <w:p>
      <w:pPr>
        <w:pStyle w:val="14"/>
        <w:widowControl/>
        <w:spacing w:line="640" w:lineRule="exact"/>
        <w:ind w:firstLine="4640" w:firstLineChars="1450"/>
        <w:rPr>
          <w:rFonts w:hint="eastAsia" w:ascii="仿宋_GB2312" w:hAnsi="宋体" w:eastAsia="仿宋_GB2312" w:cs="宋体"/>
          <w:color w:val="2A2A2A"/>
          <w:sz w:val="32"/>
          <w:szCs w:val="32"/>
        </w:rPr>
      </w:pPr>
      <w:r>
        <w:rPr>
          <w:rFonts w:hint="eastAsia" w:ascii="仿宋_GB2312" w:hAnsi="宋体" w:eastAsia="仿宋_GB2312" w:cs="宋体"/>
          <w:color w:val="2A2A2A"/>
          <w:sz w:val="32"/>
          <w:szCs w:val="32"/>
        </w:rPr>
        <w:t>阿坝州人民检察院</w:t>
      </w:r>
    </w:p>
    <w:p>
      <w:pPr>
        <w:spacing w:line="64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2022年09月26日</w:t>
      </w:r>
    </w:p>
    <w:p>
      <w:pPr>
        <w:pStyle w:val="2"/>
        <w:rPr>
          <w:rFonts w:hint="eastAsia"/>
        </w:rPr>
      </w:pPr>
    </w:p>
    <w:p>
      <w:pPr>
        <w:pStyle w:val="4"/>
        <w:rPr>
          <w:rStyle w:val="27"/>
          <w:rFonts w:ascii="仿宋" w:hAnsi="仿宋" w:eastAsia="仿宋"/>
          <w:b w:val="0"/>
          <w:bCs w:val="0"/>
        </w:rPr>
      </w:pPr>
      <w:r>
        <w:rPr>
          <w:rStyle w:val="27"/>
          <w:rFonts w:hint="eastAsia" w:ascii="仿宋" w:hAnsi="仿宋" w:eastAsia="仿宋"/>
          <w:b/>
          <w:bCs/>
        </w:rPr>
        <w:t>附件2</w:t>
      </w:r>
      <w:bookmarkEnd w:id="59"/>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202</w:t>
      </w:r>
      <w:r>
        <w:rPr>
          <w:rFonts w:hint="eastAsia" w:ascii="黑体" w:hAnsi="黑体" w:eastAsia="黑体" w:cs="方正小标宋简体"/>
          <w:sz w:val="44"/>
          <w:szCs w:val="44"/>
          <w:lang w:val="en-US" w:eastAsia="zh-CN"/>
        </w:rPr>
        <w:t>1</w:t>
      </w:r>
      <w:r>
        <w:rPr>
          <w:rFonts w:hint="eastAsia" w:ascii="黑体" w:hAnsi="黑体" w:eastAsia="黑体" w:cs="方正小标宋简体"/>
          <w:sz w:val="44"/>
          <w:szCs w:val="44"/>
        </w:rPr>
        <w:t>年阿坝州人民检察院项目支出绩效评价报告</w:t>
      </w:r>
    </w:p>
    <w:p>
      <w:pPr>
        <w:spacing w:line="580" w:lineRule="exact"/>
        <w:ind w:firstLine="640" w:firstLineChars="200"/>
        <w:rPr>
          <w:rFonts w:ascii="仿宋_GB2312" w:hAnsi="仿宋_GB2312" w:eastAsia="仿宋_GB2312" w:cs="仿宋_GB2312"/>
          <w:sz w:val="32"/>
          <w:szCs w:val="32"/>
        </w:rPr>
      </w:pPr>
    </w:p>
    <w:p>
      <w:pPr>
        <w:keepNext w:val="0"/>
        <w:keepLines w:val="0"/>
        <w:pageBreakBefore w:val="0"/>
        <w:widowControl w:val="0"/>
        <w:numPr>
          <w:ilvl w:val="0"/>
          <w:numId w:val="9"/>
        </w:numPr>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b/>
          <w:bCs/>
          <w:sz w:val="32"/>
          <w:szCs w:val="32"/>
        </w:rPr>
      </w:pPr>
      <w:bookmarkStart w:id="60" w:name="_Toc15396618"/>
      <w:r>
        <w:rPr>
          <w:rFonts w:hint="eastAsia" w:ascii="黑体" w:hAnsi="黑体" w:eastAsia="黑体" w:cs="黑体"/>
          <w:b/>
          <w:bCs/>
          <w:sz w:val="32"/>
          <w:szCs w:val="32"/>
        </w:rPr>
        <w:t>基本情况</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1.项目名称：</w:t>
      </w:r>
      <w:r>
        <w:rPr>
          <w:rFonts w:hint="eastAsia" w:ascii="仿宋_GB2312" w:hAnsi="仿宋_GB2312" w:eastAsia="仿宋_GB2312" w:cs="仿宋_GB2312"/>
          <w:color w:val="2A2A2A"/>
          <w:sz w:val="32"/>
          <w:szCs w:val="32"/>
          <w:lang w:val="en-US" w:eastAsia="zh-CN"/>
        </w:rPr>
        <w:t>中央政法纪检监察转移支付资金。</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2.项目实施情况：2021年项目已开始实施</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中央专项转移支付</w:t>
      </w:r>
      <w:r>
        <w:rPr>
          <w:rFonts w:hint="eastAsia" w:ascii="仿宋_GB2312" w:hAnsi="仿宋_GB2312" w:eastAsia="仿宋_GB2312" w:cs="仿宋_GB2312"/>
          <w:sz w:val="32"/>
          <w:szCs w:val="32"/>
          <w:lang w:val="en-US" w:eastAsia="zh-CN"/>
        </w:rPr>
        <w:t>资金投入使用情况</w:t>
      </w:r>
    </w:p>
    <w:p>
      <w:pPr>
        <w:pStyle w:val="14"/>
        <w:keepNext w:val="0"/>
        <w:keepLines w:val="0"/>
        <w:pageBreakBefore w:val="0"/>
        <w:widowControl/>
        <w:kinsoku/>
        <w:wordWrap/>
        <w:overflowPunct/>
        <w:topLinePunct w:val="0"/>
        <w:autoSpaceDE/>
        <w:autoSpaceDN/>
        <w:bidi w:val="0"/>
        <w:adjustRightInd/>
        <w:snapToGrid/>
        <w:spacing w:line="640" w:lineRule="exact"/>
        <w:ind w:firstLine="627" w:firstLineChars="196"/>
        <w:rPr>
          <w:rFonts w:hint="eastAsia" w:ascii="仿宋_GB2312" w:hAnsi="仿宋_GB2312" w:eastAsia="仿宋_GB2312" w:cs="仿宋_GB2312"/>
          <w:color w:val="2A2A2A"/>
          <w:sz w:val="32"/>
          <w:szCs w:val="32"/>
        </w:rPr>
      </w:pPr>
      <w:r>
        <w:rPr>
          <w:rFonts w:hint="eastAsia" w:ascii="仿宋_GB2312" w:hAnsi="仿宋_GB2312" w:eastAsia="仿宋_GB2312" w:cs="仿宋_GB2312"/>
          <w:color w:val="2A2A2A"/>
          <w:sz w:val="32"/>
          <w:szCs w:val="32"/>
          <w:lang w:val="en-US" w:eastAsia="zh-CN"/>
        </w:rPr>
        <w:t>中央财政下达专项转移支付资金330万元。</w:t>
      </w:r>
      <w:r>
        <w:rPr>
          <w:rFonts w:hint="eastAsia" w:ascii="仿宋_GB2312" w:hAnsi="仿宋_GB2312" w:eastAsia="仿宋_GB2312" w:cs="仿宋_GB2312"/>
          <w:color w:val="2A2A2A"/>
          <w:sz w:val="32"/>
          <w:szCs w:val="32"/>
        </w:rPr>
        <w:t>其中</w:t>
      </w:r>
      <w:r>
        <w:rPr>
          <w:rFonts w:hint="eastAsia" w:ascii="仿宋_GB2312" w:hAnsi="仿宋_GB2312" w:eastAsia="仿宋_GB2312" w:cs="仿宋_GB2312"/>
          <w:color w:val="2A2A2A"/>
          <w:sz w:val="32"/>
          <w:szCs w:val="32"/>
          <w:lang w:eastAsia="zh-CN"/>
        </w:rPr>
        <w:t>：</w:t>
      </w:r>
      <w:r>
        <w:rPr>
          <w:rFonts w:hint="eastAsia" w:ascii="仿宋_GB2312" w:hAnsi="仿宋_GB2312" w:eastAsia="仿宋_GB2312" w:cs="仿宋_GB2312"/>
          <w:color w:val="2A2A2A"/>
          <w:sz w:val="32"/>
          <w:szCs w:val="32"/>
          <w:lang w:val="en-US" w:eastAsia="zh-CN"/>
        </w:rPr>
        <w:t>2021</w:t>
      </w:r>
      <w:r>
        <w:rPr>
          <w:rFonts w:hint="eastAsia" w:ascii="仿宋_GB2312" w:hAnsi="仿宋_GB2312" w:eastAsia="仿宋_GB2312" w:cs="仿宋_GB2312"/>
          <w:color w:val="2A2A2A"/>
          <w:sz w:val="32"/>
          <w:szCs w:val="32"/>
        </w:rPr>
        <w:t>年我院</w:t>
      </w:r>
      <w:r>
        <w:rPr>
          <w:rFonts w:hint="eastAsia" w:ascii="仿宋_GB2312" w:hAnsi="仿宋_GB2312" w:eastAsia="仿宋_GB2312" w:cs="仿宋_GB2312"/>
          <w:color w:val="2A2A2A"/>
          <w:sz w:val="32"/>
          <w:szCs w:val="32"/>
          <w:lang w:val="en-US" w:eastAsia="zh-CN"/>
        </w:rPr>
        <w:t>中央政法纪检监察转移支付资金（办案业务经费）</w:t>
      </w:r>
      <w:r>
        <w:rPr>
          <w:rFonts w:hint="eastAsia" w:ascii="仿宋_GB2312" w:hAnsi="仿宋_GB2312" w:eastAsia="仿宋_GB2312" w:cs="仿宋_GB2312"/>
          <w:color w:val="2A2A2A"/>
          <w:sz w:val="32"/>
          <w:szCs w:val="32"/>
        </w:rPr>
        <w:t>预算为：</w:t>
      </w:r>
      <w:r>
        <w:rPr>
          <w:rFonts w:hint="eastAsia" w:ascii="仿宋_GB2312" w:hAnsi="仿宋_GB2312" w:eastAsia="仿宋_GB2312" w:cs="仿宋_GB2312"/>
          <w:color w:val="2A2A2A"/>
          <w:sz w:val="32"/>
          <w:szCs w:val="32"/>
          <w:lang w:val="en-US" w:eastAsia="zh-CN"/>
        </w:rPr>
        <w:t>170</w:t>
      </w:r>
      <w:r>
        <w:rPr>
          <w:rFonts w:hint="eastAsia" w:ascii="仿宋_GB2312" w:hAnsi="仿宋_GB2312" w:eastAsia="仿宋_GB2312" w:cs="仿宋_GB2312"/>
          <w:color w:val="2A2A2A"/>
          <w:sz w:val="32"/>
          <w:szCs w:val="32"/>
        </w:rPr>
        <w:t>万元。</w:t>
      </w:r>
      <w:r>
        <w:rPr>
          <w:rFonts w:hint="eastAsia" w:ascii="仿宋_GB2312" w:hAnsi="仿宋_GB2312" w:eastAsia="仿宋_GB2312" w:cs="仿宋_GB2312"/>
          <w:color w:val="2A2A2A"/>
          <w:sz w:val="32"/>
          <w:szCs w:val="32"/>
          <w:lang w:val="en-US" w:eastAsia="zh-CN"/>
        </w:rPr>
        <w:t>2021</w:t>
      </w:r>
      <w:r>
        <w:rPr>
          <w:rFonts w:hint="eastAsia" w:ascii="仿宋_GB2312" w:hAnsi="仿宋_GB2312" w:eastAsia="仿宋_GB2312" w:cs="仿宋_GB2312"/>
          <w:color w:val="2A2A2A"/>
          <w:sz w:val="32"/>
          <w:szCs w:val="32"/>
        </w:rPr>
        <w:t>年我院</w:t>
      </w:r>
      <w:r>
        <w:rPr>
          <w:rFonts w:hint="eastAsia" w:ascii="仿宋_GB2312" w:hAnsi="仿宋_GB2312" w:eastAsia="仿宋_GB2312" w:cs="仿宋_GB2312"/>
          <w:color w:val="2A2A2A"/>
          <w:sz w:val="32"/>
          <w:szCs w:val="32"/>
          <w:lang w:val="en-US" w:eastAsia="zh-CN"/>
        </w:rPr>
        <w:t>中央政法纪检监察转移支付资金办案业务装备费预算为160</w:t>
      </w:r>
      <w:r>
        <w:rPr>
          <w:rFonts w:hint="eastAsia" w:ascii="仿宋_GB2312" w:hAnsi="仿宋_GB2312" w:eastAsia="仿宋_GB2312" w:cs="仿宋_GB2312"/>
          <w:color w:val="2A2A2A"/>
          <w:sz w:val="32"/>
          <w:szCs w:val="32"/>
        </w:rPr>
        <w:t>万元。</w:t>
      </w:r>
    </w:p>
    <w:p>
      <w:pPr>
        <w:pStyle w:val="14"/>
        <w:widowControl/>
        <w:spacing w:line="640" w:lineRule="exact"/>
        <w:ind w:firstLine="627" w:firstLineChars="196"/>
        <w:rPr>
          <w:rFonts w:hint="eastAsia" w:ascii="仿宋_GB2312" w:hAnsi="仿宋_GB2312" w:eastAsia="仿宋_GB2312" w:cs="仿宋_GB2312"/>
          <w:color w:val="2A2A2A"/>
          <w:sz w:val="32"/>
          <w:szCs w:val="32"/>
          <w:lang w:val="en-US" w:eastAsia="zh-CN"/>
        </w:rPr>
      </w:pPr>
      <w:r>
        <w:rPr>
          <w:rFonts w:hint="eastAsia" w:ascii="仿宋_GB2312" w:hAnsi="宋体" w:eastAsia="仿宋_GB2312" w:cs="宋体"/>
          <w:color w:val="2A2A2A"/>
          <w:sz w:val="32"/>
          <w:szCs w:val="32"/>
          <w:lang w:val="en-US" w:eastAsia="zh-CN"/>
        </w:rPr>
        <w:t>2021</w:t>
      </w:r>
      <w:r>
        <w:rPr>
          <w:rFonts w:hint="eastAsia" w:ascii="仿宋_GB2312" w:hAnsi="宋体" w:eastAsia="仿宋_GB2312" w:cs="宋体"/>
          <w:color w:val="2A2A2A"/>
          <w:sz w:val="32"/>
          <w:szCs w:val="32"/>
        </w:rPr>
        <w:t>年我院</w:t>
      </w:r>
      <w:r>
        <w:rPr>
          <w:rFonts w:hint="eastAsia" w:ascii="仿宋_GB2312" w:hAnsi="宋体" w:eastAsia="仿宋_GB2312" w:cs="宋体"/>
          <w:color w:val="2A2A2A"/>
          <w:sz w:val="32"/>
          <w:szCs w:val="32"/>
          <w:lang w:val="en-US" w:eastAsia="zh-CN"/>
        </w:rPr>
        <w:t>中央对地方专项转移支付（中央政法纪检监察转移支付资金）</w:t>
      </w:r>
      <w:r>
        <w:rPr>
          <w:rFonts w:hint="eastAsia" w:ascii="仿宋_GB2312" w:hAnsi="宋体" w:eastAsia="仿宋_GB2312" w:cs="宋体"/>
          <w:color w:val="2A2A2A"/>
          <w:sz w:val="32"/>
          <w:szCs w:val="32"/>
        </w:rPr>
        <w:t>总支出</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包括往年款</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rPr>
        <w:t>为：</w:t>
      </w:r>
      <w:r>
        <w:rPr>
          <w:rFonts w:hint="eastAsia" w:ascii="仿宋_GB2312" w:hAnsi="宋体" w:eastAsia="仿宋_GB2312" w:cs="宋体"/>
          <w:color w:val="2A2A2A"/>
          <w:sz w:val="32"/>
          <w:szCs w:val="32"/>
          <w:lang w:val="en-US" w:eastAsia="zh-CN"/>
        </w:rPr>
        <w:t>453.44</w:t>
      </w:r>
      <w:r>
        <w:rPr>
          <w:rFonts w:hint="eastAsia" w:ascii="仿宋_GB2312" w:hAnsi="宋体" w:eastAsia="仿宋_GB2312" w:cs="宋体"/>
          <w:color w:val="2A2A2A"/>
          <w:sz w:val="32"/>
          <w:szCs w:val="32"/>
        </w:rPr>
        <w:t>万元，其中</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rPr>
        <w:t>阿州财行【202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11</w:t>
      </w:r>
      <w:r>
        <w:rPr>
          <w:rFonts w:hint="eastAsia" w:ascii="仿宋_GB2312" w:hAnsi="宋体" w:eastAsia="仿宋_GB2312" w:cs="宋体"/>
          <w:color w:val="2A2A2A"/>
          <w:sz w:val="32"/>
          <w:szCs w:val="32"/>
        </w:rPr>
        <w:t>号</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lang w:val="en-US" w:eastAsia="zh-CN"/>
        </w:rPr>
        <w:t xml:space="preserve">59号 </w:t>
      </w:r>
      <w:r>
        <w:rPr>
          <w:rFonts w:hint="eastAsia" w:ascii="仿宋_GB2312" w:hAnsi="宋体" w:eastAsia="仿宋_GB2312" w:cs="宋体"/>
          <w:color w:val="2A2A2A"/>
          <w:sz w:val="32"/>
          <w:szCs w:val="32"/>
        </w:rPr>
        <w:t>-关于下达202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年政法纪检监察转移支付资金的通知（办案业务经费）支出为</w:t>
      </w:r>
      <w:r>
        <w:rPr>
          <w:rFonts w:hint="eastAsia" w:ascii="仿宋_GB2312" w:hAnsi="宋体" w:eastAsia="仿宋_GB2312" w:cs="宋体"/>
          <w:color w:val="2A2A2A"/>
          <w:sz w:val="32"/>
          <w:szCs w:val="32"/>
          <w:lang w:val="en-US" w:eastAsia="zh-CN"/>
        </w:rPr>
        <w:t>152.52</w:t>
      </w:r>
      <w:r>
        <w:rPr>
          <w:rFonts w:hint="eastAsia" w:ascii="仿宋_GB2312" w:hAnsi="宋体" w:eastAsia="仿宋_GB2312" w:cs="宋体"/>
          <w:color w:val="2A2A2A"/>
          <w:sz w:val="32"/>
          <w:szCs w:val="32"/>
        </w:rPr>
        <w:t>万元。阿州财行【202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22</w:t>
      </w:r>
      <w:r>
        <w:rPr>
          <w:rFonts w:hint="eastAsia" w:ascii="仿宋_GB2312" w:hAnsi="宋体" w:eastAsia="仿宋_GB2312" w:cs="宋体"/>
          <w:color w:val="2A2A2A"/>
          <w:sz w:val="32"/>
          <w:szCs w:val="32"/>
        </w:rPr>
        <w:t>号—1-关于下达202</w:t>
      </w:r>
      <w:r>
        <w:rPr>
          <w:rFonts w:hint="eastAsia" w:ascii="仿宋_GB2312" w:hAnsi="宋体" w:eastAsia="仿宋_GB2312" w:cs="宋体"/>
          <w:color w:val="2A2A2A"/>
          <w:sz w:val="32"/>
          <w:szCs w:val="32"/>
          <w:lang w:val="en-US" w:eastAsia="zh-CN"/>
        </w:rPr>
        <w:t>1</w:t>
      </w:r>
      <w:r>
        <w:rPr>
          <w:rFonts w:hint="eastAsia" w:ascii="仿宋_GB2312" w:hAnsi="宋体" w:eastAsia="仿宋_GB2312" w:cs="宋体"/>
          <w:color w:val="2A2A2A"/>
          <w:sz w:val="32"/>
          <w:szCs w:val="32"/>
        </w:rPr>
        <w:t>年政法纪检监察转移支付资金的通知（业务装备经费）</w:t>
      </w:r>
      <w:r>
        <w:rPr>
          <w:rFonts w:hint="eastAsia" w:ascii="仿宋_GB2312" w:hAnsi="宋体" w:eastAsia="仿宋_GB2312" w:cs="宋体"/>
          <w:color w:val="2A2A2A"/>
          <w:sz w:val="32"/>
          <w:szCs w:val="32"/>
          <w:lang w:val="en-US" w:eastAsia="zh-CN"/>
        </w:rPr>
        <w:t>支出45.88万元。</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绩效目标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支持202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年度各项办案任务经费支出，购置办案需要装备支出，全面完成全年工作的目标任务。</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二、绩效自评工作开展情况</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color w:val="2A2A2A"/>
          <w:sz w:val="32"/>
          <w:szCs w:val="32"/>
        </w:rPr>
        <w:t>根据阿坝州财政局《关于开展</w:t>
      </w:r>
      <w:r>
        <w:rPr>
          <w:rFonts w:hint="eastAsia" w:ascii="仿宋_GB2312" w:hAnsi="仿宋_GB2312" w:eastAsia="仿宋_GB2312" w:cs="仿宋_GB2312"/>
          <w:color w:val="2A2A2A"/>
          <w:sz w:val="32"/>
          <w:szCs w:val="32"/>
          <w:lang w:val="en-US" w:eastAsia="zh-CN"/>
        </w:rPr>
        <w:t>2021</w:t>
      </w:r>
      <w:r>
        <w:rPr>
          <w:rFonts w:hint="eastAsia" w:ascii="仿宋_GB2312" w:hAnsi="仿宋_GB2312" w:eastAsia="仿宋_GB2312" w:cs="仿宋_GB2312"/>
          <w:color w:val="2A2A2A"/>
          <w:sz w:val="32"/>
          <w:szCs w:val="32"/>
        </w:rPr>
        <w:t>年财政支出绩效评价工作的通知》（阿州财</w:t>
      </w:r>
      <w:r>
        <w:rPr>
          <w:rFonts w:hint="eastAsia" w:ascii="仿宋_GB2312" w:hAnsi="仿宋_GB2312" w:eastAsia="仿宋_GB2312" w:cs="仿宋_GB2312"/>
          <w:color w:val="2A2A2A"/>
          <w:sz w:val="32"/>
          <w:szCs w:val="32"/>
          <w:lang w:eastAsia="zh-CN"/>
        </w:rPr>
        <w:t>监绩</w:t>
      </w:r>
      <w:r>
        <w:rPr>
          <w:rFonts w:hint="eastAsia" w:ascii="仿宋_GB2312" w:hAnsi="仿宋_GB2312" w:eastAsia="仿宋_GB2312" w:cs="仿宋_GB2312"/>
          <w:color w:val="2A2A2A"/>
          <w:sz w:val="32"/>
          <w:szCs w:val="32"/>
        </w:rPr>
        <w:t>〔20</w:t>
      </w:r>
      <w:r>
        <w:rPr>
          <w:rFonts w:hint="eastAsia" w:ascii="仿宋_GB2312" w:hAnsi="仿宋_GB2312" w:eastAsia="仿宋_GB2312" w:cs="仿宋_GB2312"/>
          <w:color w:val="2A2A2A"/>
          <w:sz w:val="32"/>
          <w:szCs w:val="32"/>
          <w:lang w:val="en-US" w:eastAsia="zh-CN"/>
        </w:rPr>
        <w:t>21</w:t>
      </w:r>
      <w:r>
        <w:rPr>
          <w:rFonts w:hint="eastAsia" w:ascii="仿宋_GB2312" w:hAnsi="仿宋_GB2312" w:eastAsia="仿宋_GB2312" w:cs="仿宋_GB2312"/>
          <w:color w:val="2A2A2A"/>
          <w:sz w:val="32"/>
          <w:szCs w:val="32"/>
        </w:rPr>
        <w:t>〕</w:t>
      </w:r>
      <w:r>
        <w:rPr>
          <w:rFonts w:hint="eastAsia" w:ascii="仿宋_GB2312" w:hAnsi="仿宋_GB2312" w:eastAsia="仿宋_GB2312" w:cs="仿宋_GB2312"/>
          <w:color w:val="2A2A2A"/>
          <w:sz w:val="32"/>
          <w:szCs w:val="32"/>
          <w:lang w:val="en-US" w:eastAsia="zh-CN"/>
        </w:rPr>
        <w:t>11</w:t>
      </w:r>
      <w:r>
        <w:rPr>
          <w:rFonts w:hint="eastAsia" w:ascii="仿宋_GB2312" w:hAnsi="仿宋_GB2312" w:eastAsia="仿宋_GB2312" w:cs="仿宋_GB2312"/>
          <w:color w:val="2A2A2A"/>
          <w:sz w:val="32"/>
          <w:szCs w:val="32"/>
        </w:rPr>
        <w:t>号），我院按照“全范围、全级次、全内容”的原则要求，对本院</w:t>
      </w:r>
      <w:r>
        <w:rPr>
          <w:rFonts w:hint="eastAsia" w:ascii="仿宋_GB2312" w:hAnsi="仿宋_GB2312" w:eastAsia="仿宋_GB2312" w:cs="仿宋_GB2312"/>
          <w:color w:val="2A2A2A"/>
          <w:sz w:val="32"/>
          <w:szCs w:val="32"/>
          <w:lang w:val="en-US" w:eastAsia="zh-CN"/>
        </w:rPr>
        <w:t>中央对地方专项转移支付预算执行情况绩效</w:t>
      </w:r>
      <w:r>
        <w:rPr>
          <w:rFonts w:hint="eastAsia" w:ascii="仿宋_GB2312" w:hAnsi="仿宋_GB2312" w:eastAsia="仿宋_GB2312" w:cs="仿宋_GB2312"/>
          <w:color w:val="2A2A2A"/>
          <w:sz w:val="32"/>
          <w:szCs w:val="32"/>
        </w:rPr>
        <w:t>自查自评</w:t>
      </w:r>
      <w:r>
        <w:rPr>
          <w:rFonts w:hint="eastAsia" w:ascii="仿宋_GB2312" w:hAnsi="仿宋_GB2312" w:eastAsia="仿宋_GB2312" w:cs="仿宋_GB2312"/>
          <w:color w:val="2A2A2A"/>
          <w:sz w:val="32"/>
          <w:szCs w:val="32"/>
          <w:lang w:val="en-US" w:eastAsia="zh-CN"/>
        </w:rPr>
        <w:t>的</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我院</w:t>
      </w:r>
      <w:r>
        <w:rPr>
          <w:rFonts w:hint="eastAsia" w:ascii="仿宋_GB2312" w:hAnsi="仿宋_GB2312" w:eastAsia="仿宋_GB2312" w:cs="仿宋_GB2312"/>
          <w:sz w:val="32"/>
          <w:szCs w:val="32"/>
        </w:rPr>
        <w:t>认真学习理解通知精神，并根据通知要求全面梳理项目实施和资金拨付情况，全面开展绩效自评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我局对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年中央财政专项转移支付资金绩效情况进行统一自评，形成自评报告。</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三、综合评价结论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color w:val="2A2A2A"/>
          <w:sz w:val="32"/>
          <w:szCs w:val="32"/>
          <w:lang w:val="en-US" w:eastAsia="zh-CN"/>
        </w:rPr>
        <w:t>2021</w:t>
      </w:r>
      <w:r>
        <w:rPr>
          <w:rFonts w:hint="eastAsia" w:ascii="仿宋_GB2312" w:hAnsi="仿宋_GB2312" w:eastAsia="仿宋_GB2312" w:cs="仿宋_GB2312"/>
          <w:color w:val="2A2A2A"/>
          <w:sz w:val="32"/>
          <w:szCs w:val="32"/>
        </w:rPr>
        <w:t>年我院</w:t>
      </w:r>
      <w:r>
        <w:rPr>
          <w:rFonts w:hint="eastAsia" w:ascii="仿宋_GB2312" w:hAnsi="仿宋_GB2312" w:eastAsia="仿宋_GB2312" w:cs="仿宋_GB2312"/>
          <w:color w:val="2A2A2A"/>
          <w:sz w:val="32"/>
          <w:szCs w:val="32"/>
          <w:lang w:val="en-US" w:eastAsia="zh-CN"/>
        </w:rPr>
        <w:t>中央政法纪检监察转移支付资金</w:t>
      </w:r>
      <w:r>
        <w:rPr>
          <w:rFonts w:hint="eastAsia" w:ascii="仿宋_GB2312" w:hAnsi="仿宋_GB2312" w:eastAsia="仿宋_GB2312" w:cs="仿宋_GB2312"/>
          <w:sz w:val="32"/>
          <w:szCs w:val="32"/>
        </w:rPr>
        <w:t>资金，项目基本完成预定目标，达到了预期效果，项目效益明显。</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四、</w:t>
      </w:r>
      <w:r>
        <w:rPr>
          <w:rFonts w:hint="eastAsia" w:ascii="黑体" w:hAnsi="黑体" w:eastAsia="黑体" w:cs="黑体"/>
          <w:b/>
          <w:bCs/>
          <w:sz w:val="32"/>
          <w:szCs w:val="32"/>
        </w:rPr>
        <w:t>绩效指标</w:t>
      </w:r>
      <w:r>
        <w:rPr>
          <w:rFonts w:hint="eastAsia" w:ascii="黑体" w:hAnsi="黑体" w:eastAsia="黑体" w:cs="黑体"/>
          <w:b/>
          <w:bCs/>
          <w:sz w:val="32"/>
          <w:szCs w:val="32"/>
          <w:lang w:val="en-US" w:eastAsia="zh-CN"/>
        </w:rPr>
        <w:t>评价</w:t>
      </w:r>
      <w:r>
        <w:rPr>
          <w:rFonts w:hint="eastAsia" w:ascii="黑体" w:hAnsi="黑体" w:eastAsia="黑体" w:cs="黑体"/>
          <w:b/>
          <w:bCs/>
          <w:sz w:val="32"/>
          <w:szCs w:val="32"/>
        </w:rPr>
        <w:t>分析。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1.产出指标完成情况分析。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（1）数量指标。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年我院办理各类案件数量指标如下图：</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p>
    <w:tbl>
      <w:tblPr>
        <w:tblStyle w:val="15"/>
        <w:tblW w:w="8760" w:type="dxa"/>
        <w:tblInd w:w="0" w:type="dxa"/>
        <w:tblLayout w:type="autofit"/>
        <w:tblCellMar>
          <w:top w:w="0" w:type="dxa"/>
          <w:left w:w="0" w:type="dxa"/>
          <w:bottom w:w="0" w:type="dxa"/>
          <w:right w:w="0" w:type="dxa"/>
        </w:tblCellMar>
      </w:tblPr>
      <w:tblGrid>
        <w:gridCol w:w="4575"/>
        <w:gridCol w:w="1121"/>
        <w:gridCol w:w="1139"/>
        <w:gridCol w:w="1925"/>
      </w:tblGrid>
      <w:tr>
        <w:trPr>
          <w:trHeight w:val="522"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三级指标</w:t>
            </w:r>
          </w:p>
        </w:tc>
        <w:tc>
          <w:tcPr>
            <w:tcW w:w="11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年度指标值</w:t>
            </w:r>
          </w:p>
        </w:tc>
        <w:tc>
          <w:tcPr>
            <w:tcW w:w="11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全年完成值</w:t>
            </w:r>
          </w:p>
        </w:tc>
        <w:tc>
          <w:tcPr>
            <w:tcW w:w="192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未完成原因和改进措施</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审查逮捕人数(人)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审查批准延长羁押人数（人）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审查起诉人数（人）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15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15</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二审上诉案件办理数（件）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20</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民事行政案件办理数（件）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9</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公益诉讼案件办理数（件）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各类信访案件办理数（件）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41</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国家司法救助人数（人）</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刑事申诉案件办理数（件）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6</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刑事申诉案件立案复查数（件）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检察技术案件办理数（件）</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8</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业务装备修理维护数(台套)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检察宣传次数(次)</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8</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培训人次(次)</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7</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购置信息网络设备数量(台套)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4</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r>
        <w:tblPrEx>
          <w:tblCellMar>
            <w:top w:w="0" w:type="dxa"/>
            <w:left w:w="0" w:type="dxa"/>
            <w:bottom w:w="0" w:type="dxa"/>
            <w:right w:w="0" w:type="dxa"/>
          </w:tblCellMar>
        </w:tblPrEx>
        <w:trPr>
          <w:trHeight w:val="288" w:hRule="atLeast"/>
        </w:trPr>
        <w:tc>
          <w:tcPr>
            <w:tcW w:w="45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购置检察业务常规设备数量(台套)</w:t>
            </w: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20</w:t>
            </w:r>
          </w:p>
        </w:tc>
        <w:tc>
          <w:tcPr>
            <w:tcW w:w="11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26</w:t>
            </w:r>
          </w:p>
        </w:tc>
        <w:tc>
          <w:tcPr>
            <w:tcW w:w="192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仿宋_GB2312" w:hAnsi="仿宋_GB2312" w:eastAsia="仿宋_GB2312" w:cs="仿宋_GB2312"/>
                <w:i w:val="0"/>
                <w:color w:val="000000"/>
                <w:sz w:val="18"/>
                <w:szCs w:val="18"/>
                <w:u w:val="none"/>
              </w:rPr>
            </w:pPr>
            <w:r>
              <w:rPr>
                <w:rFonts w:hint="eastAsia" w:ascii="仿宋_GB2312" w:hAnsi="仿宋_GB2312" w:eastAsia="仿宋_GB2312" w:cs="仿宋_GB2312"/>
                <w:i w:val="0"/>
                <w:color w:val="000000"/>
                <w:kern w:val="0"/>
                <w:sz w:val="18"/>
                <w:szCs w:val="18"/>
                <w:u w:val="none"/>
                <w:lang w:val="en-US" w:eastAsia="zh-CN" w:bidi="ar"/>
              </w:rPr>
              <w:t>完成</w:t>
            </w:r>
          </w:p>
        </w:tc>
      </w:tr>
    </w:tbl>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（2）质量指标。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年我院案件办结率98%，业务装备采购质量合格率达100%。</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（3）时效指标。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年我院业务装备采购及时，财政下拨政法转移资金及时足额，装备到位率达100%。</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2.效益指标完成情况分析。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（1）经济效益。</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color w:val="0000FF"/>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年我院在检察环节扣押、追缴违法所得</w:t>
      </w:r>
      <w:r>
        <w:rPr>
          <w:rFonts w:hint="eastAsia" w:ascii="仿宋_GB2312" w:hAnsi="仿宋_GB2312" w:eastAsia="仿宋_GB2312" w:cs="仿宋_GB2312"/>
          <w:sz w:val="32"/>
          <w:szCs w:val="32"/>
          <w:lang w:val="en-US" w:eastAsia="zh-CN"/>
        </w:rPr>
        <w:t>627.3</w:t>
      </w:r>
      <w:r>
        <w:rPr>
          <w:rFonts w:hint="eastAsia" w:ascii="仿宋_GB2312" w:hAnsi="仿宋_GB2312" w:eastAsia="仿宋_GB2312" w:cs="仿宋_GB2312"/>
          <w:sz w:val="32"/>
          <w:szCs w:val="32"/>
        </w:rPr>
        <w:t>万元，全部已上缴国库。</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（2）社会效益。</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年我院继续在立足检察职能打击各类刑事犯罪，依法履行法律监督职能，为维护社会治安稳定和社会公平正义等方面提供了有力的司法保障。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（3）生态效益。</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在有力呵护绿美名山，开展</w:t>
      </w:r>
      <w:r>
        <w:rPr>
          <w:rFonts w:hint="eastAsia" w:ascii="仿宋_GB2312" w:hAnsi="仿宋_GB2312" w:eastAsia="仿宋_GB2312" w:cs="仿宋_GB2312"/>
          <w:sz w:val="32"/>
          <w:szCs w:val="32"/>
          <w:lang w:val="en-US" w:eastAsia="zh-CN"/>
        </w:rPr>
        <w:t>黄河、</w:t>
      </w:r>
      <w:r>
        <w:rPr>
          <w:rFonts w:hint="eastAsia" w:ascii="仿宋_GB2312" w:hAnsi="仿宋_GB2312" w:eastAsia="仿宋_GB2312" w:cs="仿宋_GB2312"/>
          <w:sz w:val="32"/>
          <w:szCs w:val="32"/>
        </w:rPr>
        <w:t>长江流域“十年禁渔”行动，筑牢长江上游生态屏障，起诉非法采矿、非法捕捞水产品、非法采伐毁坏国家重点保护植物等破坏环境资源犯罪。在追究当事人刑事责任的同时，要求违法行为人对其造成的生态破坏进行修复，对破坏环境资源刑事犯罪提起附带民事公益诉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修复受损生态，保护生物多样性。</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（4）可持续影响。</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建立扫黑除恶、环境保护、未成年人保护等长效工作机制，长期致力于为维护社会治安稳定和维护社会公平正义提供保障。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3.满意度指标完成情况分析。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通过对违法犯罪行为的打击、环境保护、化解社会矛盾纠纷、扫黑除恶等工作的推进，确保了社会公众对我院的满意度达100%，并持续改善干警办案工作环境，加大办案经费投入力度确保办案人员满意度达100%。</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sz w:val="32"/>
          <w:szCs w:val="32"/>
        </w:rPr>
      </w:pPr>
      <w:r>
        <w:rPr>
          <w:rFonts w:hint="eastAsia" w:ascii="黑体" w:hAnsi="黑体" w:eastAsia="黑体" w:cs="黑体"/>
          <w:b/>
          <w:bCs/>
          <w:sz w:val="32"/>
          <w:szCs w:val="32"/>
          <w:lang w:val="en-US" w:eastAsia="zh-CN"/>
        </w:rPr>
        <w:t>五、存在主要问题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年，我院的政法转移资金支付项目完全按照项目要求支付，</w:t>
      </w:r>
      <w:r>
        <w:rPr>
          <w:rFonts w:hint="eastAsia" w:ascii="仿宋_GB2312" w:hAnsi="仿宋_GB2312" w:eastAsia="仿宋_GB2312" w:cs="仿宋_GB2312"/>
          <w:sz w:val="32"/>
          <w:szCs w:val="32"/>
          <w:lang w:val="en-US" w:eastAsia="zh-CN"/>
        </w:rPr>
        <w:t>支付进度较慢</w:t>
      </w:r>
      <w:r>
        <w:rPr>
          <w:rFonts w:hint="eastAsia" w:ascii="仿宋_GB2312" w:hAnsi="仿宋_GB2312" w:eastAsia="仿宋_GB2312" w:cs="仿宋_GB2312"/>
          <w:sz w:val="32"/>
          <w:szCs w:val="32"/>
        </w:rPr>
        <w:t>。</w:t>
      </w:r>
    </w:p>
    <w:p>
      <w:pPr>
        <w:keepNext w:val="0"/>
        <w:keepLines w:val="0"/>
        <w:pageBreakBefore w:val="0"/>
        <w:widowControl w:val="0"/>
        <w:numPr>
          <w:ilvl w:val="0"/>
          <w:numId w:val="10"/>
        </w:numPr>
        <w:kinsoku/>
        <w:wordWrap/>
        <w:overflowPunct/>
        <w:topLinePunct w:val="0"/>
        <w:autoSpaceDE/>
        <w:autoSpaceDN/>
        <w:bidi w:val="0"/>
        <w:adjustRightInd/>
        <w:snapToGrid/>
        <w:spacing w:line="640"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相关措施建议</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ind w:left="0" w:leftChars="0" w:firstLine="0" w:firstLineChars="0"/>
        <w:rPr>
          <w:rFonts w:hint="eastAsia" w:ascii="黑体" w:hAnsi="黑体" w:eastAsia="黑体"/>
          <w:color w:val="000000"/>
          <w:sz w:val="44"/>
          <w:szCs w:val="44"/>
        </w:rPr>
      </w:pPr>
    </w:p>
    <w:p>
      <w:pPr>
        <w:spacing w:line="600" w:lineRule="exact"/>
        <w:jc w:val="center"/>
        <w:outlineLvl w:val="0"/>
        <w:rPr>
          <w:rFonts w:ascii="仿宋" w:hAnsi="仿宋" w:eastAsia="仿宋"/>
          <w:b/>
          <w:color w:val="000000"/>
          <w:sz w:val="44"/>
          <w:szCs w:val="44"/>
        </w:rPr>
      </w:pPr>
      <w:r>
        <w:rPr>
          <w:rFonts w:hint="eastAsia" w:ascii="黑体" w:hAnsi="黑体" w:eastAsia="黑体"/>
          <w:color w:val="000000"/>
          <w:sz w:val="44"/>
          <w:szCs w:val="44"/>
        </w:rPr>
        <w:t>第</w:t>
      </w:r>
      <w:r>
        <w:rPr>
          <w:rStyle w:val="27"/>
          <w:rFonts w:hint="eastAsia" w:ascii="黑体" w:hAnsi="黑体" w:eastAsia="黑体"/>
        </w:rPr>
        <w:t>五部分 附表</w:t>
      </w:r>
      <w:bookmarkEnd w:id="60"/>
    </w:p>
    <w:p>
      <w:pPr>
        <w:pStyle w:val="4"/>
        <w:rPr>
          <w:rFonts w:ascii="仿宋" w:hAnsi="仿宋" w:eastAsia="仿宋"/>
          <w:color w:val="000000"/>
        </w:rPr>
      </w:pPr>
      <w:bookmarkStart w:id="61" w:name="_Toc15396619"/>
      <w:r>
        <w:rPr>
          <w:rFonts w:hint="eastAsia" w:ascii="仿宋" w:hAnsi="仿宋" w:eastAsia="仿宋"/>
          <w:b w:val="0"/>
          <w:color w:val="000000"/>
        </w:rPr>
        <w:t>一、收</w:t>
      </w:r>
      <w:r>
        <w:rPr>
          <w:rStyle w:val="28"/>
          <w:rFonts w:hint="eastAsia" w:ascii="仿宋" w:hAnsi="仿宋" w:eastAsia="仿宋"/>
          <w:b/>
          <w:bCs/>
        </w:rPr>
        <w:t>入支出决算总表</w:t>
      </w:r>
      <w:bookmarkEnd w:id="61"/>
    </w:p>
    <w:p>
      <w:pPr>
        <w:pStyle w:val="4"/>
        <w:rPr>
          <w:rFonts w:ascii="仿宋" w:hAnsi="仿宋" w:eastAsia="仿宋"/>
          <w:color w:val="000000"/>
        </w:rPr>
      </w:pPr>
      <w:bookmarkStart w:id="62" w:name="_Toc15396620"/>
      <w:r>
        <w:rPr>
          <w:rFonts w:hint="eastAsia" w:ascii="仿宋" w:hAnsi="仿宋" w:eastAsia="仿宋"/>
          <w:b w:val="0"/>
          <w:color w:val="000000"/>
        </w:rPr>
        <w:t>二、收</w:t>
      </w:r>
      <w:r>
        <w:rPr>
          <w:rStyle w:val="28"/>
          <w:rFonts w:hint="eastAsia" w:ascii="仿宋" w:hAnsi="仿宋" w:eastAsia="仿宋"/>
          <w:b/>
          <w:bCs/>
        </w:rPr>
        <w:t>入总表</w:t>
      </w:r>
      <w:bookmarkEnd w:id="62"/>
    </w:p>
    <w:p>
      <w:pPr>
        <w:pStyle w:val="4"/>
        <w:rPr>
          <w:rFonts w:ascii="仿宋" w:hAnsi="仿宋" w:eastAsia="仿宋"/>
          <w:color w:val="000000"/>
        </w:rPr>
      </w:pPr>
      <w:bookmarkStart w:id="63" w:name="_Toc15396621"/>
      <w:r>
        <w:rPr>
          <w:rStyle w:val="28"/>
          <w:rFonts w:hint="eastAsia" w:ascii="仿宋" w:hAnsi="仿宋" w:eastAsia="仿宋"/>
          <w:b/>
          <w:bCs/>
        </w:rPr>
        <w:t>三、</w:t>
      </w:r>
      <w:r>
        <w:rPr>
          <w:rFonts w:hint="eastAsia" w:ascii="仿宋" w:hAnsi="仿宋" w:eastAsia="仿宋"/>
          <w:b w:val="0"/>
          <w:color w:val="000000"/>
        </w:rPr>
        <w:t>支</w:t>
      </w:r>
      <w:r>
        <w:rPr>
          <w:rStyle w:val="28"/>
          <w:rFonts w:hint="eastAsia" w:ascii="仿宋" w:hAnsi="仿宋" w:eastAsia="仿宋"/>
          <w:b/>
          <w:bCs/>
        </w:rPr>
        <w:t>出总表</w:t>
      </w:r>
      <w:bookmarkEnd w:id="63"/>
    </w:p>
    <w:p>
      <w:pPr>
        <w:pStyle w:val="4"/>
        <w:rPr>
          <w:rFonts w:ascii="仿宋" w:hAnsi="仿宋" w:eastAsia="仿宋"/>
          <w:b w:val="0"/>
          <w:color w:val="000000"/>
        </w:rPr>
      </w:pPr>
      <w:bookmarkStart w:id="64" w:name="_Toc15396622"/>
      <w:r>
        <w:rPr>
          <w:rStyle w:val="28"/>
          <w:rFonts w:hint="eastAsia" w:ascii="仿宋" w:hAnsi="仿宋" w:eastAsia="仿宋"/>
          <w:b/>
          <w:bCs/>
        </w:rPr>
        <w:t>四、</w:t>
      </w:r>
      <w:r>
        <w:rPr>
          <w:rFonts w:hint="eastAsia" w:ascii="仿宋" w:hAnsi="仿宋" w:eastAsia="仿宋"/>
          <w:b w:val="0"/>
          <w:color w:val="000000"/>
        </w:rPr>
        <w:t>财</w:t>
      </w:r>
      <w:r>
        <w:rPr>
          <w:rStyle w:val="28"/>
          <w:rFonts w:hint="eastAsia" w:ascii="仿宋" w:hAnsi="仿宋" w:eastAsia="仿宋"/>
          <w:b/>
          <w:bCs/>
        </w:rPr>
        <w:t>政拨款收入支出决算总表</w:t>
      </w:r>
      <w:bookmarkEnd w:id="64"/>
    </w:p>
    <w:p>
      <w:pPr>
        <w:pStyle w:val="4"/>
        <w:rPr>
          <w:rFonts w:ascii="仿宋" w:hAnsi="仿宋" w:eastAsia="仿宋"/>
          <w:color w:val="000000"/>
        </w:rPr>
      </w:pPr>
      <w:bookmarkStart w:id="65" w:name="_Toc15396623"/>
      <w:r>
        <w:rPr>
          <w:rStyle w:val="28"/>
          <w:rFonts w:hint="eastAsia" w:ascii="仿宋" w:hAnsi="仿宋" w:eastAsia="仿宋"/>
          <w:b/>
          <w:bCs/>
        </w:rPr>
        <w:t>五、</w:t>
      </w:r>
      <w:r>
        <w:rPr>
          <w:rFonts w:hint="eastAsia" w:ascii="仿宋" w:hAnsi="仿宋" w:eastAsia="仿宋"/>
          <w:b w:val="0"/>
          <w:color w:val="000000"/>
        </w:rPr>
        <w:t>财</w:t>
      </w:r>
      <w:r>
        <w:rPr>
          <w:rStyle w:val="28"/>
          <w:rFonts w:hint="eastAsia" w:ascii="仿宋" w:hAnsi="仿宋" w:eastAsia="仿宋"/>
          <w:b/>
          <w:bCs/>
        </w:rPr>
        <w:t>政拨款支出决算明细表（政府经济分类科目）</w:t>
      </w:r>
      <w:bookmarkEnd w:id="65"/>
    </w:p>
    <w:p>
      <w:pPr>
        <w:pStyle w:val="4"/>
        <w:rPr>
          <w:rFonts w:ascii="仿宋" w:hAnsi="仿宋" w:eastAsia="仿宋"/>
          <w:color w:val="000000"/>
        </w:rPr>
      </w:pPr>
      <w:bookmarkStart w:id="66" w:name="_Toc15396624"/>
      <w:r>
        <w:rPr>
          <w:rStyle w:val="28"/>
          <w:rFonts w:hint="eastAsia" w:ascii="仿宋" w:hAnsi="仿宋" w:eastAsia="仿宋"/>
          <w:b/>
          <w:bCs/>
        </w:rPr>
        <w:t>六、</w:t>
      </w:r>
      <w:r>
        <w:rPr>
          <w:rFonts w:hint="eastAsia" w:ascii="仿宋" w:hAnsi="仿宋" w:eastAsia="仿宋"/>
          <w:b w:val="0"/>
          <w:color w:val="000000"/>
        </w:rPr>
        <w:t>一</w:t>
      </w:r>
      <w:r>
        <w:rPr>
          <w:rStyle w:val="28"/>
          <w:rFonts w:hint="eastAsia" w:ascii="仿宋" w:hAnsi="仿宋" w:eastAsia="仿宋"/>
          <w:b/>
          <w:bCs/>
        </w:rPr>
        <w:t>般公共预算财政拨款支出决算表</w:t>
      </w:r>
      <w:bookmarkEnd w:id="66"/>
    </w:p>
    <w:p>
      <w:pPr>
        <w:pStyle w:val="4"/>
        <w:rPr>
          <w:rFonts w:ascii="仿宋" w:hAnsi="仿宋" w:eastAsia="仿宋"/>
          <w:color w:val="000000"/>
        </w:rPr>
      </w:pPr>
      <w:bookmarkStart w:id="67" w:name="_Toc15396625"/>
      <w:r>
        <w:rPr>
          <w:rStyle w:val="28"/>
          <w:rFonts w:hint="eastAsia" w:ascii="仿宋" w:hAnsi="仿宋" w:eastAsia="仿宋"/>
          <w:b/>
          <w:bCs/>
        </w:rPr>
        <w:t>七、</w:t>
      </w:r>
      <w:r>
        <w:rPr>
          <w:rFonts w:hint="eastAsia" w:ascii="仿宋" w:hAnsi="仿宋" w:eastAsia="仿宋"/>
          <w:b w:val="0"/>
          <w:color w:val="000000"/>
        </w:rPr>
        <w:t>一</w:t>
      </w:r>
      <w:r>
        <w:rPr>
          <w:rStyle w:val="28"/>
          <w:rFonts w:hint="eastAsia" w:ascii="仿宋" w:hAnsi="仿宋" w:eastAsia="仿宋"/>
          <w:b/>
          <w:bCs/>
        </w:rPr>
        <w:t>般公共预算财政拨款支出决算明细表</w:t>
      </w:r>
      <w:bookmarkEnd w:id="67"/>
    </w:p>
    <w:p>
      <w:pPr>
        <w:pStyle w:val="4"/>
        <w:rPr>
          <w:rFonts w:ascii="仿宋" w:hAnsi="仿宋" w:eastAsia="仿宋"/>
          <w:color w:val="000000"/>
        </w:rPr>
      </w:pPr>
      <w:bookmarkStart w:id="68" w:name="_Toc15396626"/>
      <w:r>
        <w:rPr>
          <w:rStyle w:val="28"/>
          <w:rFonts w:hint="eastAsia" w:ascii="仿宋" w:hAnsi="仿宋" w:eastAsia="仿宋"/>
          <w:b/>
          <w:bCs/>
        </w:rPr>
        <w:t>八、</w:t>
      </w:r>
      <w:r>
        <w:rPr>
          <w:rFonts w:hint="eastAsia" w:ascii="仿宋" w:hAnsi="仿宋" w:eastAsia="仿宋"/>
          <w:b w:val="0"/>
          <w:color w:val="000000"/>
        </w:rPr>
        <w:t>一</w:t>
      </w:r>
      <w:r>
        <w:rPr>
          <w:rStyle w:val="28"/>
          <w:rFonts w:hint="eastAsia" w:ascii="仿宋" w:hAnsi="仿宋" w:eastAsia="仿宋"/>
          <w:b/>
          <w:bCs/>
        </w:rPr>
        <w:t>般公共预算财政拨款基本支出决算表</w:t>
      </w:r>
      <w:bookmarkEnd w:id="68"/>
    </w:p>
    <w:p>
      <w:pPr>
        <w:pStyle w:val="4"/>
        <w:rPr>
          <w:rFonts w:ascii="仿宋" w:hAnsi="仿宋" w:eastAsia="仿宋"/>
          <w:color w:val="000000"/>
        </w:rPr>
      </w:pPr>
      <w:bookmarkStart w:id="69" w:name="_Toc15396627"/>
      <w:r>
        <w:rPr>
          <w:rStyle w:val="28"/>
          <w:rFonts w:hint="eastAsia" w:ascii="仿宋" w:hAnsi="仿宋" w:eastAsia="仿宋"/>
          <w:b/>
          <w:bCs/>
        </w:rPr>
        <w:t>九、</w:t>
      </w:r>
      <w:r>
        <w:rPr>
          <w:rFonts w:hint="eastAsia" w:ascii="仿宋" w:hAnsi="仿宋" w:eastAsia="仿宋"/>
          <w:b w:val="0"/>
          <w:color w:val="000000"/>
        </w:rPr>
        <w:t>一</w:t>
      </w:r>
      <w:r>
        <w:rPr>
          <w:rStyle w:val="28"/>
          <w:rFonts w:hint="eastAsia" w:ascii="仿宋" w:hAnsi="仿宋" w:eastAsia="仿宋"/>
          <w:b/>
          <w:bCs/>
        </w:rPr>
        <w:t>般公共预算财政拨款项目支出决算表</w:t>
      </w:r>
      <w:bookmarkEnd w:id="69"/>
    </w:p>
    <w:p>
      <w:pPr>
        <w:pStyle w:val="4"/>
        <w:rPr>
          <w:rFonts w:ascii="仿宋" w:hAnsi="仿宋" w:eastAsia="仿宋"/>
          <w:color w:val="000000"/>
        </w:rPr>
      </w:pPr>
      <w:bookmarkStart w:id="70" w:name="_Toc15396628"/>
      <w:r>
        <w:rPr>
          <w:rStyle w:val="28"/>
          <w:rFonts w:hint="eastAsia" w:ascii="仿宋" w:hAnsi="仿宋" w:eastAsia="仿宋"/>
          <w:b/>
          <w:bCs/>
        </w:rPr>
        <w:t>十、</w:t>
      </w:r>
      <w:r>
        <w:rPr>
          <w:rFonts w:hint="eastAsia" w:ascii="仿宋" w:hAnsi="仿宋" w:eastAsia="仿宋"/>
          <w:b w:val="0"/>
          <w:color w:val="000000"/>
        </w:rPr>
        <w:t>一</w:t>
      </w:r>
      <w:r>
        <w:rPr>
          <w:rStyle w:val="28"/>
          <w:rFonts w:hint="eastAsia" w:ascii="仿宋" w:hAnsi="仿宋" w:eastAsia="仿宋"/>
          <w:b/>
          <w:bCs/>
        </w:rPr>
        <w:t>般公共预算财政拨款“三公”经费支出决算表</w:t>
      </w:r>
      <w:bookmarkEnd w:id="70"/>
    </w:p>
    <w:p>
      <w:pPr>
        <w:pStyle w:val="4"/>
        <w:rPr>
          <w:rFonts w:ascii="仿宋" w:hAnsi="仿宋" w:eastAsia="仿宋"/>
          <w:color w:val="000000"/>
        </w:rPr>
      </w:pPr>
      <w:bookmarkStart w:id="71" w:name="_Toc15396629"/>
      <w:r>
        <w:rPr>
          <w:rStyle w:val="28"/>
          <w:rFonts w:hint="eastAsia" w:ascii="仿宋" w:hAnsi="仿宋" w:eastAsia="仿宋"/>
          <w:b/>
          <w:bCs/>
        </w:rPr>
        <w:t>十一、</w:t>
      </w:r>
      <w:r>
        <w:rPr>
          <w:rFonts w:hint="eastAsia" w:ascii="仿宋" w:hAnsi="仿宋" w:eastAsia="仿宋"/>
          <w:b w:val="0"/>
          <w:color w:val="000000"/>
        </w:rPr>
        <w:t>政</w:t>
      </w:r>
      <w:r>
        <w:rPr>
          <w:rStyle w:val="28"/>
          <w:rFonts w:hint="eastAsia" w:ascii="仿宋" w:hAnsi="仿宋" w:eastAsia="仿宋"/>
          <w:b/>
          <w:bCs/>
        </w:rPr>
        <w:t>府性基金预算财政拨款收入支出决算表</w:t>
      </w:r>
      <w:bookmarkEnd w:id="71"/>
    </w:p>
    <w:p>
      <w:pPr>
        <w:pStyle w:val="4"/>
        <w:rPr>
          <w:rFonts w:ascii="仿宋" w:hAnsi="仿宋" w:eastAsia="仿宋"/>
          <w:color w:val="000000"/>
        </w:rPr>
      </w:pPr>
      <w:bookmarkStart w:id="72" w:name="_Toc15396630"/>
      <w:r>
        <w:rPr>
          <w:rStyle w:val="28"/>
          <w:rFonts w:hint="eastAsia" w:ascii="仿宋" w:hAnsi="仿宋" w:eastAsia="仿宋"/>
          <w:b/>
          <w:bCs/>
        </w:rPr>
        <w:t>十二、</w:t>
      </w:r>
      <w:r>
        <w:rPr>
          <w:rFonts w:hint="eastAsia" w:ascii="仿宋" w:hAnsi="仿宋" w:eastAsia="仿宋"/>
          <w:b w:val="0"/>
          <w:color w:val="000000"/>
        </w:rPr>
        <w:t>政</w:t>
      </w:r>
      <w:r>
        <w:rPr>
          <w:rStyle w:val="28"/>
          <w:rFonts w:hint="eastAsia" w:ascii="仿宋" w:hAnsi="仿宋" w:eastAsia="仿宋"/>
          <w:b/>
          <w:bCs/>
        </w:rPr>
        <w:t>府性基金预算财政拨款“三公”经费支出决算表</w:t>
      </w:r>
      <w:bookmarkEnd w:id="72"/>
    </w:p>
    <w:p>
      <w:pPr>
        <w:pStyle w:val="4"/>
        <w:rPr>
          <w:rFonts w:ascii="仿宋" w:hAnsi="仿宋" w:eastAsia="仿宋"/>
          <w:color w:val="000000" w:themeColor="text1"/>
          <w14:textFill>
            <w14:solidFill>
              <w14:schemeClr w14:val="tx1"/>
            </w14:solidFill>
          </w14:textFill>
        </w:rPr>
      </w:pPr>
      <w:bookmarkStart w:id="73" w:name="_Toc15396631"/>
      <w:r>
        <w:rPr>
          <w:rStyle w:val="28"/>
          <w:rFonts w:hint="eastAsia" w:ascii="仿宋" w:hAnsi="仿宋" w:eastAsia="仿宋"/>
          <w:b/>
          <w:bCs/>
        </w:rPr>
        <w:t>十三、</w:t>
      </w:r>
      <w:r>
        <w:rPr>
          <w:rFonts w:hint="eastAsia" w:ascii="仿宋" w:hAnsi="仿宋" w:eastAsia="仿宋"/>
          <w:b w:val="0"/>
          <w:color w:val="000000"/>
        </w:rPr>
        <w:t>国</w:t>
      </w:r>
      <w:r>
        <w:rPr>
          <w:rStyle w:val="28"/>
          <w:rFonts w:hint="eastAsia" w:ascii="仿宋" w:hAnsi="仿宋" w:eastAsia="仿宋"/>
          <w:b/>
          <w:bCs/>
        </w:rPr>
        <w:t>有资本经营预算支出决算表</w:t>
      </w:r>
      <w:bookmarkEnd w:id="73"/>
    </w:p>
    <w:p>
      <w:pPr>
        <w:spacing w:line="580" w:lineRule="exact"/>
        <w:ind w:firstLine="420" w:firstLineChars="200"/>
        <w:rPr>
          <w:rFonts w:ascii="仿宋" w:hAnsi="仿宋" w:eastAsia="仿宋"/>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Dotum">
    <w:altName w:val="Malgun Gothic"/>
    <w:panose1 w:val="020B0600000101010101"/>
    <w:charset w:val="81"/>
    <w:family w:val="swiss"/>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22</w:t>
        </w:r>
        <w:r>
          <w:rPr>
            <w:lang w:val="zh-CN"/>
          </w:rP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130050"/>
    <w:multiLevelType w:val="singleLevel"/>
    <w:tmpl w:val="8F130050"/>
    <w:lvl w:ilvl="0" w:tentative="0">
      <w:start w:val="1"/>
      <w:numFmt w:val="chineseCounting"/>
      <w:suff w:val="nothing"/>
      <w:lvlText w:val="（%1）"/>
      <w:lvlJc w:val="left"/>
      <w:rPr>
        <w:rFonts w:hint="eastAsia"/>
        <w:b/>
        <w:bCs/>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543F304"/>
    <w:multiLevelType w:val="singleLevel"/>
    <w:tmpl w:val="E543F304"/>
    <w:lvl w:ilvl="0" w:tentative="0">
      <w:start w:val="1"/>
      <w:numFmt w:val="chineseCounting"/>
      <w:suff w:val="nothing"/>
      <w:lvlText w:val="（%1）"/>
      <w:lvlJc w:val="left"/>
      <w:rPr>
        <w:rFonts w:hint="eastAsia"/>
        <w:b w:val="0"/>
        <w:bCs w:val="0"/>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24FE5DD0"/>
    <w:multiLevelType w:val="singleLevel"/>
    <w:tmpl w:val="24FE5DD0"/>
    <w:lvl w:ilvl="0" w:tentative="0">
      <w:start w:val="6"/>
      <w:numFmt w:val="chineseCounting"/>
      <w:suff w:val="nothing"/>
      <w:lvlText w:val="%1、"/>
      <w:lvlJc w:val="left"/>
      <w:rPr>
        <w:rFonts w:hint="eastAsia"/>
      </w:rPr>
    </w:lvl>
  </w:abstractNum>
  <w:abstractNum w:abstractNumId="8">
    <w:nsid w:val="7DD5BE24"/>
    <w:multiLevelType w:val="singleLevel"/>
    <w:tmpl w:val="7DD5BE24"/>
    <w:lvl w:ilvl="0" w:tentative="0">
      <w:start w:val="1"/>
      <w:numFmt w:val="chineseCounting"/>
      <w:suff w:val="nothing"/>
      <w:lvlText w:val="%1、"/>
      <w:lvlJc w:val="left"/>
      <w:rPr>
        <w:rFonts w:hint="eastAsia"/>
      </w:rPr>
    </w:lvl>
  </w:abstractNum>
  <w:abstractNum w:abstractNumId="9">
    <w:nsid w:val="7FF52B93"/>
    <w:multiLevelType w:val="multilevel"/>
    <w:tmpl w:val="7FF52B93"/>
    <w:lvl w:ilvl="0" w:tentative="0">
      <w:start w:val="1"/>
      <w:numFmt w:val="japaneseCounting"/>
      <w:lvlText w:val="%1、"/>
      <w:lvlJc w:val="left"/>
      <w:pPr>
        <w:ind w:left="672" w:hanging="672"/>
      </w:pPr>
      <w:rPr>
        <w:rFonts w:hint="eastAsia"/>
        <w:b/>
        <w:bCs/>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3"/>
  </w:num>
  <w:num w:numId="3">
    <w:abstractNumId w:val="0"/>
  </w:num>
  <w:num w:numId="4">
    <w:abstractNumId w:val="5"/>
  </w:num>
  <w:num w:numId="5">
    <w:abstractNumId w:val="1"/>
  </w:num>
  <w:num w:numId="6">
    <w:abstractNumId w:val="6"/>
  </w:num>
  <w:num w:numId="7">
    <w:abstractNumId w:val="4"/>
  </w:num>
  <w:num w:numId="8">
    <w:abstractNumId w:val="2"/>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4NDM5NTQ0YmY0YTk3NTQwMTZhMTZmNGIxYzgzY2YifQ=="/>
  </w:docVars>
  <w:rsids>
    <w:rsidRoot w:val="00F1361C"/>
    <w:rsid w:val="00005FDF"/>
    <w:rsid w:val="000222C6"/>
    <w:rsid w:val="000241F2"/>
    <w:rsid w:val="0002549F"/>
    <w:rsid w:val="000408F5"/>
    <w:rsid w:val="00040D2A"/>
    <w:rsid w:val="000574EA"/>
    <w:rsid w:val="00062ED6"/>
    <w:rsid w:val="0006487A"/>
    <w:rsid w:val="00065F8F"/>
    <w:rsid w:val="000768F2"/>
    <w:rsid w:val="0009184B"/>
    <w:rsid w:val="0009593C"/>
    <w:rsid w:val="000B047F"/>
    <w:rsid w:val="000B5923"/>
    <w:rsid w:val="000B5A48"/>
    <w:rsid w:val="000B6FF3"/>
    <w:rsid w:val="000C2138"/>
    <w:rsid w:val="000C3467"/>
    <w:rsid w:val="000C3CA6"/>
    <w:rsid w:val="000D1267"/>
    <w:rsid w:val="000D1D50"/>
    <w:rsid w:val="000D4968"/>
    <w:rsid w:val="000D5782"/>
    <w:rsid w:val="000E41C0"/>
    <w:rsid w:val="000E6613"/>
    <w:rsid w:val="000E7119"/>
    <w:rsid w:val="000F1964"/>
    <w:rsid w:val="00111C63"/>
    <w:rsid w:val="00114E9B"/>
    <w:rsid w:val="00137AA1"/>
    <w:rsid w:val="0014729F"/>
    <w:rsid w:val="00153BB9"/>
    <w:rsid w:val="00157BAB"/>
    <w:rsid w:val="001654D1"/>
    <w:rsid w:val="0018106D"/>
    <w:rsid w:val="001877A7"/>
    <w:rsid w:val="00191536"/>
    <w:rsid w:val="00196687"/>
    <w:rsid w:val="001A1C8A"/>
    <w:rsid w:val="001C0962"/>
    <w:rsid w:val="001C60E8"/>
    <w:rsid w:val="001D7531"/>
    <w:rsid w:val="001E737D"/>
    <w:rsid w:val="001F0592"/>
    <w:rsid w:val="001F7506"/>
    <w:rsid w:val="002006CD"/>
    <w:rsid w:val="00202B36"/>
    <w:rsid w:val="00204B7A"/>
    <w:rsid w:val="0021101A"/>
    <w:rsid w:val="00220536"/>
    <w:rsid w:val="00235629"/>
    <w:rsid w:val="00260C38"/>
    <w:rsid w:val="002616C0"/>
    <w:rsid w:val="002662AA"/>
    <w:rsid w:val="00274A07"/>
    <w:rsid w:val="00280496"/>
    <w:rsid w:val="00284986"/>
    <w:rsid w:val="002900A4"/>
    <w:rsid w:val="00295495"/>
    <w:rsid w:val="002B2613"/>
    <w:rsid w:val="002C5797"/>
    <w:rsid w:val="002D7417"/>
    <w:rsid w:val="002F1818"/>
    <w:rsid w:val="002F567B"/>
    <w:rsid w:val="003216A9"/>
    <w:rsid w:val="0033082B"/>
    <w:rsid w:val="00346865"/>
    <w:rsid w:val="003519CF"/>
    <w:rsid w:val="0037013F"/>
    <w:rsid w:val="00371F8B"/>
    <w:rsid w:val="00380C92"/>
    <w:rsid w:val="0039385C"/>
    <w:rsid w:val="003A484F"/>
    <w:rsid w:val="003B0BE0"/>
    <w:rsid w:val="003B0C1B"/>
    <w:rsid w:val="003B688C"/>
    <w:rsid w:val="003C0291"/>
    <w:rsid w:val="003C39AE"/>
    <w:rsid w:val="003C7B60"/>
    <w:rsid w:val="003D1FB2"/>
    <w:rsid w:val="003D66DA"/>
    <w:rsid w:val="003E1310"/>
    <w:rsid w:val="003E6F55"/>
    <w:rsid w:val="00400DF8"/>
    <w:rsid w:val="0040503F"/>
    <w:rsid w:val="00406254"/>
    <w:rsid w:val="00415873"/>
    <w:rsid w:val="004223DE"/>
    <w:rsid w:val="00434489"/>
    <w:rsid w:val="00437085"/>
    <w:rsid w:val="00443880"/>
    <w:rsid w:val="004464F4"/>
    <w:rsid w:val="00455533"/>
    <w:rsid w:val="00463918"/>
    <w:rsid w:val="00471401"/>
    <w:rsid w:val="00473F31"/>
    <w:rsid w:val="0048263A"/>
    <w:rsid w:val="00487E5D"/>
    <w:rsid w:val="00491D29"/>
    <w:rsid w:val="004934BE"/>
    <w:rsid w:val="004A6A78"/>
    <w:rsid w:val="004A711F"/>
    <w:rsid w:val="004B199D"/>
    <w:rsid w:val="004B4690"/>
    <w:rsid w:val="004C0D66"/>
    <w:rsid w:val="004D20AA"/>
    <w:rsid w:val="004E0A2D"/>
    <w:rsid w:val="004E206B"/>
    <w:rsid w:val="004E6DF7"/>
    <w:rsid w:val="004F0FBD"/>
    <w:rsid w:val="004F1D7A"/>
    <w:rsid w:val="00505A47"/>
    <w:rsid w:val="00512FDA"/>
    <w:rsid w:val="00520DA0"/>
    <w:rsid w:val="00547083"/>
    <w:rsid w:val="005664BB"/>
    <w:rsid w:val="0056674D"/>
    <w:rsid w:val="0057481D"/>
    <w:rsid w:val="0058486E"/>
    <w:rsid w:val="00591C03"/>
    <w:rsid w:val="005D1C8B"/>
    <w:rsid w:val="005D43A8"/>
    <w:rsid w:val="005D5CED"/>
    <w:rsid w:val="005F168F"/>
    <w:rsid w:val="005F1A4C"/>
    <w:rsid w:val="005F5FC7"/>
    <w:rsid w:val="00605688"/>
    <w:rsid w:val="00606719"/>
    <w:rsid w:val="006070AF"/>
    <w:rsid w:val="00607E6C"/>
    <w:rsid w:val="006101B1"/>
    <w:rsid w:val="00612A53"/>
    <w:rsid w:val="00614E44"/>
    <w:rsid w:val="00622830"/>
    <w:rsid w:val="00630AEF"/>
    <w:rsid w:val="006325F8"/>
    <w:rsid w:val="00634C9A"/>
    <w:rsid w:val="006440E4"/>
    <w:rsid w:val="0066343B"/>
    <w:rsid w:val="00664777"/>
    <w:rsid w:val="006748A4"/>
    <w:rsid w:val="006759C4"/>
    <w:rsid w:val="00676A35"/>
    <w:rsid w:val="00683E73"/>
    <w:rsid w:val="006A3141"/>
    <w:rsid w:val="006A59E3"/>
    <w:rsid w:val="006A5E34"/>
    <w:rsid w:val="006B2422"/>
    <w:rsid w:val="006B2B9A"/>
    <w:rsid w:val="006B4A3F"/>
    <w:rsid w:val="006C1937"/>
    <w:rsid w:val="006F020C"/>
    <w:rsid w:val="007037E5"/>
    <w:rsid w:val="0070441A"/>
    <w:rsid w:val="00706E8D"/>
    <w:rsid w:val="007127B7"/>
    <w:rsid w:val="007416B6"/>
    <w:rsid w:val="00746F48"/>
    <w:rsid w:val="0075404D"/>
    <w:rsid w:val="0076182A"/>
    <w:rsid w:val="00767B7E"/>
    <w:rsid w:val="0077426B"/>
    <w:rsid w:val="007770C3"/>
    <w:rsid w:val="00784D24"/>
    <w:rsid w:val="00785FBA"/>
    <w:rsid w:val="00786E4A"/>
    <w:rsid w:val="007875EB"/>
    <w:rsid w:val="007905E1"/>
    <w:rsid w:val="0079426B"/>
    <w:rsid w:val="007A2E13"/>
    <w:rsid w:val="007C2716"/>
    <w:rsid w:val="007D312A"/>
    <w:rsid w:val="007D3F19"/>
    <w:rsid w:val="007E23B0"/>
    <w:rsid w:val="007E7741"/>
    <w:rsid w:val="007F1991"/>
    <w:rsid w:val="007F2C2F"/>
    <w:rsid w:val="007F55FC"/>
    <w:rsid w:val="007F5665"/>
    <w:rsid w:val="00800112"/>
    <w:rsid w:val="00824E83"/>
    <w:rsid w:val="008253BB"/>
    <w:rsid w:val="008334A5"/>
    <w:rsid w:val="008340A2"/>
    <w:rsid w:val="0083706E"/>
    <w:rsid w:val="0084091F"/>
    <w:rsid w:val="008423A5"/>
    <w:rsid w:val="00850625"/>
    <w:rsid w:val="00853718"/>
    <w:rsid w:val="00855221"/>
    <w:rsid w:val="00860645"/>
    <w:rsid w:val="00871F71"/>
    <w:rsid w:val="008722C3"/>
    <w:rsid w:val="00885AF4"/>
    <w:rsid w:val="008939CD"/>
    <w:rsid w:val="008B3617"/>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0245"/>
    <w:rsid w:val="00982EF2"/>
    <w:rsid w:val="00984D29"/>
    <w:rsid w:val="0098660A"/>
    <w:rsid w:val="009931C3"/>
    <w:rsid w:val="009B2C43"/>
    <w:rsid w:val="009B4EAE"/>
    <w:rsid w:val="009B7573"/>
    <w:rsid w:val="009C22F4"/>
    <w:rsid w:val="009C2E98"/>
    <w:rsid w:val="009D3447"/>
    <w:rsid w:val="009D4711"/>
    <w:rsid w:val="009E719C"/>
    <w:rsid w:val="009F1185"/>
    <w:rsid w:val="009F18CD"/>
    <w:rsid w:val="009F2A13"/>
    <w:rsid w:val="00A04EB0"/>
    <w:rsid w:val="00A13CC1"/>
    <w:rsid w:val="00A16847"/>
    <w:rsid w:val="00A237D8"/>
    <w:rsid w:val="00A268C4"/>
    <w:rsid w:val="00A307CD"/>
    <w:rsid w:val="00A40A00"/>
    <w:rsid w:val="00A4142F"/>
    <w:rsid w:val="00A56DF2"/>
    <w:rsid w:val="00A67AB5"/>
    <w:rsid w:val="00A90DAB"/>
    <w:rsid w:val="00A91760"/>
    <w:rsid w:val="00A93B00"/>
    <w:rsid w:val="00A93C21"/>
    <w:rsid w:val="00AC3C6A"/>
    <w:rsid w:val="00AD5620"/>
    <w:rsid w:val="00AD7C1B"/>
    <w:rsid w:val="00AE16BA"/>
    <w:rsid w:val="00AE1EBE"/>
    <w:rsid w:val="00AF7691"/>
    <w:rsid w:val="00B03C9D"/>
    <w:rsid w:val="00B060AE"/>
    <w:rsid w:val="00B10517"/>
    <w:rsid w:val="00B14E76"/>
    <w:rsid w:val="00B161B8"/>
    <w:rsid w:val="00B2048C"/>
    <w:rsid w:val="00B24A2B"/>
    <w:rsid w:val="00B310B9"/>
    <w:rsid w:val="00B35F3F"/>
    <w:rsid w:val="00B36CBB"/>
    <w:rsid w:val="00B425E0"/>
    <w:rsid w:val="00B440AA"/>
    <w:rsid w:val="00B44B70"/>
    <w:rsid w:val="00B501B6"/>
    <w:rsid w:val="00B53C56"/>
    <w:rsid w:val="00B56DFD"/>
    <w:rsid w:val="00B77EA6"/>
    <w:rsid w:val="00B81598"/>
    <w:rsid w:val="00B841F1"/>
    <w:rsid w:val="00B944D6"/>
    <w:rsid w:val="00BB0682"/>
    <w:rsid w:val="00BB4DF0"/>
    <w:rsid w:val="00BC289F"/>
    <w:rsid w:val="00BC5361"/>
    <w:rsid w:val="00BC5460"/>
    <w:rsid w:val="00BC6B50"/>
    <w:rsid w:val="00BD0E25"/>
    <w:rsid w:val="00BD0E2B"/>
    <w:rsid w:val="00BD3FB1"/>
    <w:rsid w:val="00BF1B53"/>
    <w:rsid w:val="00BF5BD6"/>
    <w:rsid w:val="00C03E31"/>
    <w:rsid w:val="00C159EF"/>
    <w:rsid w:val="00C20612"/>
    <w:rsid w:val="00C33E72"/>
    <w:rsid w:val="00C354B2"/>
    <w:rsid w:val="00C35554"/>
    <w:rsid w:val="00C42709"/>
    <w:rsid w:val="00C42CC4"/>
    <w:rsid w:val="00C533CC"/>
    <w:rsid w:val="00C5751C"/>
    <w:rsid w:val="00C61BFC"/>
    <w:rsid w:val="00C62B85"/>
    <w:rsid w:val="00C65438"/>
    <w:rsid w:val="00C759ED"/>
    <w:rsid w:val="00C87E7E"/>
    <w:rsid w:val="00C90266"/>
    <w:rsid w:val="00C91CBB"/>
    <w:rsid w:val="00CC09B6"/>
    <w:rsid w:val="00CC666F"/>
    <w:rsid w:val="00CD1E3F"/>
    <w:rsid w:val="00CD359A"/>
    <w:rsid w:val="00CE44F6"/>
    <w:rsid w:val="00CE49DA"/>
    <w:rsid w:val="00CE61C9"/>
    <w:rsid w:val="00CE7B61"/>
    <w:rsid w:val="00D00095"/>
    <w:rsid w:val="00D12650"/>
    <w:rsid w:val="00D20620"/>
    <w:rsid w:val="00D26091"/>
    <w:rsid w:val="00D33A28"/>
    <w:rsid w:val="00D34E7C"/>
    <w:rsid w:val="00D35489"/>
    <w:rsid w:val="00D51276"/>
    <w:rsid w:val="00D7035F"/>
    <w:rsid w:val="00D8352D"/>
    <w:rsid w:val="00DA0A2C"/>
    <w:rsid w:val="00DA65AC"/>
    <w:rsid w:val="00DB1913"/>
    <w:rsid w:val="00DC410D"/>
    <w:rsid w:val="00DC68CA"/>
    <w:rsid w:val="00DC7CBA"/>
    <w:rsid w:val="00DD73B7"/>
    <w:rsid w:val="00DD7FD3"/>
    <w:rsid w:val="00DF28BC"/>
    <w:rsid w:val="00DF34B9"/>
    <w:rsid w:val="00DF4922"/>
    <w:rsid w:val="00DF6059"/>
    <w:rsid w:val="00E01053"/>
    <w:rsid w:val="00E06589"/>
    <w:rsid w:val="00E07ACF"/>
    <w:rsid w:val="00E1284A"/>
    <w:rsid w:val="00E15D63"/>
    <w:rsid w:val="00E331A1"/>
    <w:rsid w:val="00E33202"/>
    <w:rsid w:val="00E336A9"/>
    <w:rsid w:val="00E50624"/>
    <w:rsid w:val="00E53DD6"/>
    <w:rsid w:val="00E568DF"/>
    <w:rsid w:val="00E64269"/>
    <w:rsid w:val="00E82267"/>
    <w:rsid w:val="00E9719F"/>
    <w:rsid w:val="00EA010F"/>
    <w:rsid w:val="00EB567A"/>
    <w:rsid w:val="00ED1B63"/>
    <w:rsid w:val="00ED3C1F"/>
    <w:rsid w:val="00ED4085"/>
    <w:rsid w:val="00ED420E"/>
    <w:rsid w:val="00EE2F57"/>
    <w:rsid w:val="00EF4C34"/>
    <w:rsid w:val="00EF77C6"/>
    <w:rsid w:val="00F0025A"/>
    <w:rsid w:val="00F01988"/>
    <w:rsid w:val="00F05438"/>
    <w:rsid w:val="00F1104D"/>
    <w:rsid w:val="00F1361C"/>
    <w:rsid w:val="00F160C7"/>
    <w:rsid w:val="00F36D8F"/>
    <w:rsid w:val="00F417B1"/>
    <w:rsid w:val="00F47FB2"/>
    <w:rsid w:val="00F568EB"/>
    <w:rsid w:val="00F602DF"/>
    <w:rsid w:val="00F65E0B"/>
    <w:rsid w:val="00F81FD9"/>
    <w:rsid w:val="00F841AA"/>
    <w:rsid w:val="00FA23E8"/>
    <w:rsid w:val="00FB41FE"/>
    <w:rsid w:val="00FC599D"/>
    <w:rsid w:val="00FD3CC1"/>
    <w:rsid w:val="00FF1E02"/>
    <w:rsid w:val="00FF2426"/>
    <w:rsid w:val="00FF30B4"/>
    <w:rsid w:val="02775BC8"/>
    <w:rsid w:val="04675A50"/>
    <w:rsid w:val="04B23965"/>
    <w:rsid w:val="066866CD"/>
    <w:rsid w:val="087948CF"/>
    <w:rsid w:val="0EF22FA1"/>
    <w:rsid w:val="10C055FF"/>
    <w:rsid w:val="10CA5AE1"/>
    <w:rsid w:val="10DE238F"/>
    <w:rsid w:val="11F245B9"/>
    <w:rsid w:val="135C2A02"/>
    <w:rsid w:val="16BA2F6A"/>
    <w:rsid w:val="16BB723D"/>
    <w:rsid w:val="1815023F"/>
    <w:rsid w:val="191368FD"/>
    <w:rsid w:val="198D79A8"/>
    <w:rsid w:val="19C800D8"/>
    <w:rsid w:val="1A0A41E4"/>
    <w:rsid w:val="1B26368F"/>
    <w:rsid w:val="1E9536B7"/>
    <w:rsid w:val="22612F34"/>
    <w:rsid w:val="240371BF"/>
    <w:rsid w:val="252726F7"/>
    <w:rsid w:val="26D36379"/>
    <w:rsid w:val="27E86D24"/>
    <w:rsid w:val="29FD04D3"/>
    <w:rsid w:val="300E51F4"/>
    <w:rsid w:val="319F7F4E"/>
    <w:rsid w:val="374A6F7B"/>
    <w:rsid w:val="3B4270C8"/>
    <w:rsid w:val="3C664263"/>
    <w:rsid w:val="3CDA5B2E"/>
    <w:rsid w:val="3E6764E4"/>
    <w:rsid w:val="428B38FB"/>
    <w:rsid w:val="441017BC"/>
    <w:rsid w:val="47B31B40"/>
    <w:rsid w:val="47DF2A82"/>
    <w:rsid w:val="498D1D14"/>
    <w:rsid w:val="4C8C3EFF"/>
    <w:rsid w:val="4DED2B53"/>
    <w:rsid w:val="50546455"/>
    <w:rsid w:val="50BF6559"/>
    <w:rsid w:val="521976C1"/>
    <w:rsid w:val="530A7726"/>
    <w:rsid w:val="53846ABB"/>
    <w:rsid w:val="5626634F"/>
    <w:rsid w:val="565144BB"/>
    <w:rsid w:val="5903189D"/>
    <w:rsid w:val="595C637A"/>
    <w:rsid w:val="5C784720"/>
    <w:rsid w:val="5D3647D6"/>
    <w:rsid w:val="5DBF512A"/>
    <w:rsid w:val="5DEA7A17"/>
    <w:rsid w:val="6399164F"/>
    <w:rsid w:val="68991E73"/>
    <w:rsid w:val="69C50BC1"/>
    <w:rsid w:val="6AD93CCF"/>
    <w:rsid w:val="6AEF4CC0"/>
    <w:rsid w:val="6B2B1A8B"/>
    <w:rsid w:val="6C482404"/>
    <w:rsid w:val="6EEB5D7F"/>
    <w:rsid w:val="6FBB667C"/>
    <w:rsid w:val="72520A2F"/>
    <w:rsid w:val="75501437"/>
    <w:rsid w:val="76674E7E"/>
    <w:rsid w:val="77E35AD2"/>
    <w:rsid w:val="782F550C"/>
    <w:rsid w:val="78D640B1"/>
    <w:rsid w:val="79302248"/>
    <w:rsid w:val="79B544EB"/>
    <w:rsid w:val="7B8141DD"/>
    <w:rsid w:val="7DC90D95"/>
    <w:rsid w:val="7FCD4B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style>
  <w:style w:type="paragraph" w:styleId="6">
    <w:name w:val="caption"/>
    <w:basedOn w:val="1"/>
    <w:next w:val="1"/>
    <w:unhideWhenUsed/>
    <w:qFormat/>
    <w:uiPriority w:val="35"/>
    <w:rPr>
      <w:rFonts w:eastAsia="黑体" w:asciiTheme="majorHAnsi" w:hAnsiTheme="majorHAnsi" w:cstheme="majorBidi"/>
      <w:sz w:val="20"/>
      <w:szCs w:val="20"/>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jc w:val="left"/>
    </w:pPr>
    <w:rPr>
      <w:rFonts w:ascii="Calibri" w:hAnsi="Calibri"/>
      <w:kern w:val="0"/>
      <w:sz w:val="24"/>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6"/>
    <w:link w:val="3"/>
    <w:qFormat/>
    <w:uiPriority w:val="9"/>
    <w:rPr>
      <w:rFonts w:ascii="Times New Roman" w:hAnsi="Times New Roman"/>
      <w:b/>
      <w:bCs/>
      <w:kern w:val="44"/>
      <w:sz w:val="44"/>
      <w:szCs w:val="44"/>
    </w:rPr>
  </w:style>
  <w:style w:type="character" w:customStyle="1" w:styleId="28">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6"/>
    <w:link w:val="9"/>
    <w:semiHidden/>
    <w:qFormat/>
    <w:uiPriority w:val="99"/>
    <w:rPr>
      <w:rFonts w:ascii="Times New Roman" w:hAnsi="Times New Roman"/>
      <w:kern w:val="2"/>
      <w:sz w:val="18"/>
      <w:szCs w:val="18"/>
    </w:rPr>
  </w:style>
  <w:style w:type="character" w:customStyle="1" w:styleId="31">
    <w:name w:val="标题 3 Char"/>
    <w:basedOn w:val="16"/>
    <w:link w:val="5"/>
    <w:qFormat/>
    <w:uiPriority w:val="9"/>
    <w:rPr>
      <w:rFonts w:ascii="Times New Roman" w:hAnsi="Times New Roman"/>
      <w:b/>
      <w:bCs/>
      <w:kern w:val="2"/>
      <w:sz w:val="32"/>
      <w:szCs w:val="32"/>
    </w:rPr>
  </w:style>
  <w:style w:type="paragraph" w:customStyle="1" w:styleId="32">
    <w:name w:val="正文1"/>
    <w:qFormat/>
    <w:uiPriority w:val="0"/>
    <w:pPr>
      <w:widowControl w:val="0"/>
      <w:jc w:val="both"/>
    </w:pPr>
    <w:rPr>
      <w:rFonts w:ascii="Times New Roman" w:hAnsi="Times New Roman" w:eastAsia="宋体" w:cs="Times New Roman"/>
      <w:sz w:val="21"/>
      <w:lang w:val="en-US" w:eastAsia="zh-CN" w:bidi="ar-SA"/>
    </w:rPr>
  </w:style>
  <w:style w:type="paragraph" w:customStyle="1" w:styleId="3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87"/>
          <c:y val="0.0413844996237773"/>
          <c:w val="0.8938"/>
          <c:h val="0.823814898419864"/>
        </c:manualLayout>
      </c:layout>
      <c:barChart>
        <c:barDir val="col"/>
        <c:grouping val="clustered"/>
        <c:varyColors val="0"/>
        <c:ser>
          <c:idx val="0"/>
          <c:order val="0"/>
          <c:tx>
            <c:strRef>
              <c:f>Sheet1!$B$1</c:f>
              <c:strCache>
                <c:ptCount val="1"/>
                <c:pt idx="0">
                  <c:v>收入</c:v>
                </c:pt>
              </c:strCache>
            </c:strRef>
          </c:tx>
          <c:spPr>
            <a:solidFill>
              <a:schemeClr val="accent4">
                <a:lumMod val="50000"/>
              </a:schemeClr>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2320.29</c:v>
                </c:pt>
                <c:pt idx="1">
                  <c:v>2729.46</c:v>
                </c:pt>
              </c:numCache>
            </c:numRef>
          </c:val>
        </c:ser>
        <c:ser>
          <c:idx val="1"/>
          <c:order val="1"/>
          <c:tx>
            <c:strRef>
              <c:f>Sheet1!$C$1</c:f>
              <c:strCache>
                <c:ptCount val="1"/>
                <c:pt idx="0">
                  <c:v>支出</c:v>
                </c:pt>
              </c:strCache>
            </c:strRef>
          </c:tx>
          <c:spPr>
            <a:solidFill>
              <a:schemeClr val="accent4">
                <a:lumMod val="60000"/>
                <a:lumOff val="40000"/>
              </a:schemeClr>
            </a:solidFill>
            <a:ln>
              <a:noFill/>
            </a:ln>
            <a:effectLst/>
          </c:spPr>
          <c:invertIfNegative val="0"/>
          <c:dLbls>
            <c:delete val="1"/>
          </c:dLbls>
          <c:cat>
            <c:strRef>
              <c:f>Sheet1!$A$2:$A$3</c:f>
              <c:strCache>
                <c:ptCount val="2"/>
                <c:pt idx="0">
                  <c:v>2020年</c:v>
                </c:pt>
                <c:pt idx="1">
                  <c:v>2021年</c:v>
                </c:pt>
              </c:strCache>
            </c:strRef>
          </c:cat>
          <c:val>
            <c:numRef>
              <c:f>Sheet1!$C$2:$C$3</c:f>
              <c:numCache>
                <c:formatCode>General</c:formatCode>
                <c:ptCount val="2"/>
                <c:pt idx="0">
                  <c:v>2595.01</c:v>
                </c:pt>
                <c:pt idx="1">
                  <c:v>3065.88</c:v>
                </c:pt>
              </c:numCache>
            </c:numRef>
          </c:val>
        </c:ser>
        <c:dLbls>
          <c:showLegendKey val="0"/>
          <c:showVal val="0"/>
          <c:showCatName val="0"/>
          <c:showSerName val="0"/>
          <c:showPercent val="0"/>
          <c:showBubbleSize val="0"/>
        </c:dLbls>
        <c:gapWidth val="219"/>
        <c:overlap val="-27"/>
        <c:axId val="499369483"/>
        <c:axId val="807312937"/>
      </c:barChart>
      <c:catAx>
        <c:axId val="49936948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7312937"/>
        <c:crosses val="autoZero"/>
        <c:auto val="1"/>
        <c:lblAlgn val="ctr"/>
        <c:lblOffset val="100"/>
        <c:noMultiLvlLbl val="0"/>
      </c:catAx>
      <c:valAx>
        <c:axId val="8073129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936948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a:solidFill>
              <a:schemeClr val="accent4">
                <a:lumMod val="50000"/>
              </a:schemeClr>
            </a:solidFill>
          </c:spPr>
          <c:explosion val="0"/>
          <c:dPt>
            <c:idx val="0"/>
            <c:bubble3D val="0"/>
            <c:spPr>
              <a:solidFill>
                <a:schemeClr val="accent4">
                  <a:lumMod val="50000"/>
                </a:schemeClr>
              </a:solidFill>
              <a:ln w="19050">
                <a:solidFill>
                  <a:schemeClr val="lt1"/>
                </a:solidFill>
              </a:ln>
              <a:effectLst/>
            </c:spPr>
          </c:dPt>
          <c:dPt>
            <c:idx val="1"/>
            <c:bubble3D val="0"/>
            <c:spPr>
              <a:solidFill>
                <a:schemeClr val="accent4">
                  <a:lumMod val="60000"/>
                  <a:lumOff val="4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0.00%</c:formatCode>
                <c:ptCount val="2"/>
                <c:pt idx="0">
                  <c:v>0.9835</c:v>
                </c:pt>
                <c:pt idx="1">
                  <c:v>0.0165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Sheet1!$A$2</c:f>
              <c:strCache>
                <c:ptCount val="1"/>
                <c:pt idx="0">
                  <c:v>全年支出</c:v>
                </c:pt>
              </c:strCache>
            </c:strRef>
          </c:tx>
          <c:explosion val="0"/>
          <c:dPt>
            <c:idx val="0"/>
            <c:bubble3D val="0"/>
            <c:spPr>
              <a:solidFill>
                <a:schemeClr val="accent4">
                  <a:lumMod val="60000"/>
                  <a:lumOff val="40000"/>
                </a:schemeClr>
              </a:solidFill>
            </c:spPr>
          </c:dPt>
          <c:dPt>
            <c:idx val="1"/>
            <c:bubble3D val="0"/>
            <c:spPr>
              <a:solidFill>
                <a:schemeClr val="accent4">
                  <a:lumMod val="20000"/>
                  <a:lumOff val="80000"/>
                </a:schemeClr>
              </a:solidFill>
            </c:spPr>
          </c:dPt>
          <c:dLbls>
            <c:dLbl>
              <c:idx val="0"/>
              <c:layout>
                <c:manualLayout>
                  <c:x val="-0.0816993464052288"/>
                  <c:y val="-0.16551724137931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基本支出</a:t>
                    </a:r>
                    <a:r>
                      <a:rPr lang="en-US"/>
                      <a:t>2415.25</a:t>
                    </a:r>
                    <a:r>
                      <a:rPr altLang="en-US"/>
                      <a:t>万元</a:t>
                    </a:r>
                    <a:r>
                      <a:t>, </a:t>
                    </a:r>
                    <a:r>
                      <a:rPr lang="en-US" altLang="zh-CN"/>
                      <a:t>78.78</a:t>
                    </a:r>
                    <a:r>
                      <a:t>%</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193464052287582"/>
                  <c:y val="0.12528735632183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项目支出, ¥</a:t>
                    </a:r>
                    <a:r>
                      <a:rPr lang="en-US" altLang="zh-CN"/>
                      <a:t>650.63</a:t>
                    </a:r>
                    <a:r>
                      <a:rPr altLang="en-US"/>
                      <a:t>万元</a:t>
                    </a:r>
                    <a:endParaRPr altLang="en-US"/>
                  </a:p>
                  <a:p>
                    <a:pPr>
                      <a:defRPr lang="zh-CN" sz="1000" b="0" i="0" u="none" strike="noStrike" kern="1200" baseline="0">
                        <a:solidFill>
                          <a:schemeClr val="tx1"/>
                        </a:solidFill>
                        <a:latin typeface="+mn-lt"/>
                        <a:ea typeface="+mn-ea"/>
                        <a:cs typeface="+mn-cs"/>
                      </a:defRPr>
                    </a:pPr>
                    <a:r>
                      <a:t>, </a:t>
                    </a:r>
                    <a:r>
                      <a:rPr lang="en-US" altLang="zh-CN"/>
                      <a:t>21.22</a:t>
                    </a:r>
                    <a:r>
                      <a:t>%</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198039215686275"/>
                      <c:h val="0.224712643678161"/>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Sheet1!$B$2:$C$2</c:f>
              <c:numCache>
                <c:formatCode>0.00%</c:formatCode>
                <c:ptCount val="2"/>
                <c:pt idx="0">
                  <c:v>0.7878</c:v>
                </c:pt>
                <c:pt idx="1">
                  <c:v>0.2122</c:v>
                </c:pt>
              </c:numCache>
            </c:numRef>
          </c:val>
        </c:ser>
        <c:ser>
          <c:idx val="1"/>
          <c:order val="1"/>
          <c:tx>
            <c:strRef>
              <c:f>Sheet1!#REF!</c:f>
              <c:strCache>
                <c:ptCount val="1"/>
                <c:pt idx="0">
                  <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Sheet1!#REF!</c:f>
              <c:numCache>
                <c:formatCode>General</c:formatCode>
                <c:ptCount val="1"/>
                <c:pt idx="0">
                  <c:v>1</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4">
                <a:lumMod val="50000"/>
              </a:schemeClr>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2320.29</c:v>
                </c:pt>
                <c:pt idx="1">
                  <c:v>2684.46</c:v>
                </c:pt>
              </c:numCache>
            </c:numRef>
          </c:val>
        </c:ser>
        <c:ser>
          <c:idx val="1"/>
          <c:order val="1"/>
          <c:tx>
            <c:strRef>
              <c:f>Sheet1!$C$1</c:f>
              <c:strCache>
                <c:ptCount val="1"/>
                <c:pt idx="0">
                  <c:v>支出</c:v>
                </c:pt>
              </c:strCache>
            </c:strRef>
          </c:tx>
          <c:spPr>
            <a:solidFill>
              <a:schemeClr val="accent4">
                <a:lumMod val="40000"/>
                <a:lumOff val="60000"/>
              </a:schemeClr>
            </a:solidFill>
            <a:ln>
              <a:noFill/>
            </a:ln>
            <a:effectLst/>
          </c:spPr>
          <c:invertIfNegative val="0"/>
          <c:dLbls>
            <c:delete val="1"/>
          </c:dLbls>
          <c:cat>
            <c:strRef>
              <c:f>Sheet1!$A$2:$A$3</c:f>
              <c:strCache>
                <c:ptCount val="2"/>
                <c:pt idx="0">
                  <c:v>2020年</c:v>
                </c:pt>
                <c:pt idx="1">
                  <c:v>2021年</c:v>
                </c:pt>
              </c:strCache>
            </c:strRef>
          </c:cat>
          <c:val>
            <c:numRef>
              <c:f>Sheet1!$C$2:$C$3</c:f>
              <c:numCache>
                <c:formatCode>General</c:formatCode>
                <c:ptCount val="2"/>
                <c:pt idx="0">
                  <c:v>3684.46</c:v>
                </c:pt>
                <c:pt idx="1">
                  <c:v>2591.05</c:v>
                </c:pt>
              </c:numCache>
            </c:numRef>
          </c:val>
        </c:ser>
        <c:dLbls>
          <c:showLegendKey val="0"/>
          <c:showVal val="0"/>
          <c:showCatName val="0"/>
          <c:showSerName val="0"/>
          <c:showPercent val="0"/>
          <c:showBubbleSize val="0"/>
        </c:dLbls>
        <c:gapWidth val="219"/>
        <c:overlap val="-27"/>
        <c:axId val="345964432"/>
        <c:axId val="309495304"/>
      </c:barChart>
      <c:catAx>
        <c:axId val="345964432"/>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9495304"/>
        <c:crosses val="autoZero"/>
        <c:auto val="1"/>
        <c:lblAlgn val="ctr"/>
        <c:lblOffset val="100"/>
        <c:noMultiLvlLbl val="0"/>
      </c:catAx>
      <c:valAx>
        <c:axId val="309495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5964432"/>
        <c:crosses val="autoZero"/>
        <c:crossBetween val="between"/>
      </c:valAx>
      <c:spPr>
        <a:noFill/>
        <a:ln>
          <a:noFill/>
        </a:ln>
        <a:effectLst/>
      </c:spPr>
    </c:plotArea>
    <c:legend>
      <c:legendPos val="b"/>
      <c:layout>
        <c:manualLayout>
          <c:xMode val="edge"/>
          <c:yMode val="edge"/>
          <c:x val="0.411125"/>
          <c:y val="0.924166666666667"/>
          <c:w val="0.2755"/>
          <c:h val="0.0558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26894865525672"/>
          <c:y val="0.0320793907223633"/>
          <c:w val="0.893814180929095"/>
          <c:h val="0.872467112854835"/>
        </c:manualLayout>
      </c:layout>
      <c:barChart>
        <c:barDir val="col"/>
        <c:grouping val="clustered"/>
        <c:varyColors val="0"/>
        <c:ser>
          <c:idx val="0"/>
          <c:order val="0"/>
          <c:tx>
            <c:strRef>
              <c:f>Sheet1!$B$1</c:f>
              <c:strCache>
                <c:ptCount val="1"/>
                <c:pt idx="0">
                  <c:v>一般公共预算财政拨款支出</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75000"/>
                </a:schemeClr>
              </a:solidFill>
              <a:ln>
                <a:noFill/>
              </a:ln>
              <a:effectLst/>
            </c:spPr>
          </c:dPt>
          <c:dPt>
            <c:idx val="1"/>
            <c:invertIfNegative val="0"/>
            <c:bubble3D val="0"/>
            <c:spPr>
              <a:solidFill>
                <a:schemeClr val="accent4">
                  <a:lumMod val="40000"/>
                  <a:lumOff val="60000"/>
                </a:schemeClr>
              </a:solidFill>
              <a:ln>
                <a:noFill/>
              </a:ln>
              <a:effectLst/>
            </c:spPr>
          </c:dPt>
          <c:dLbls>
            <c:delete val="1"/>
          </c:dLbls>
          <c:cat>
            <c:strRef>
              <c:f>Sheet1!$A$2:$A$3</c:f>
              <c:strCache>
                <c:ptCount val="2"/>
                <c:pt idx="0">
                  <c:v>2020年</c:v>
                </c:pt>
                <c:pt idx="1">
                  <c:v>2021年</c:v>
                </c:pt>
              </c:strCache>
            </c:strRef>
          </c:cat>
          <c:val>
            <c:numRef>
              <c:f>Sheet1!$B$2:$B$3</c:f>
              <c:numCache>
                <c:formatCode>General</c:formatCode>
                <c:ptCount val="2"/>
                <c:pt idx="0">
                  <c:v>2595.01</c:v>
                </c:pt>
                <c:pt idx="1">
                  <c:v>3036.68</c:v>
                </c:pt>
              </c:numCache>
            </c:numRef>
          </c:val>
        </c:ser>
        <c:dLbls>
          <c:showLegendKey val="0"/>
          <c:showVal val="0"/>
          <c:showCatName val="0"/>
          <c:showSerName val="0"/>
          <c:showPercent val="0"/>
          <c:showBubbleSize val="0"/>
        </c:dLbls>
        <c:gapWidth val="219"/>
        <c:overlap val="-27"/>
        <c:axId val="103592183"/>
        <c:axId val="940048569"/>
      </c:barChart>
      <c:catAx>
        <c:axId val="10359218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0048569"/>
        <c:crosses val="autoZero"/>
        <c:auto val="1"/>
        <c:lblAlgn val="ctr"/>
        <c:lblOffset val="100"/>
        <c:noMultiLvlLbl val="0"/>
      </c:catAx>
      <c:valAx>
        <c:axId val="94004856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921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4">
                  <a:lumMod val="50000"/>
                </a:schemeClr>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4">
                  <a:lumMod val="20000"/>
                  <a:lumOff val="80000"/>
                </a:schemeClr>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4">
                  <a:lumMod val="60000"/>
                  <a:lumOff val="40000"/>
                </a:schemeClr>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dLbl>
              <c:idx val="2"/>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dLblPos val="bestFit"/>
              <c:showLegendKey val="0"/>
              <c:showVal val="1"/>
              <c:showCatName val="0"/>
              <c:showSerName val="0"/>
              <c:showPercent val="0"/>
              <c:showBubbleSize val="0"/>
              <c:extLst>
                <c:ext xmlns:c15="http://schemas.microsoft.com/office/drawing/2012/chart" uri="{CE6537A1-D6FC-4f65-9D91-7224C49458BB}"/>
              </c:extLst>
            </c:dLbl>
            <c:dLbl>
              <c:idx val="4"/>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公共安全支出</c:v>
                </c:pt>
                <c:pt idx="1">
                  <c:v>教育支出</c:v>
                </c:pt>
                <c:pt idx="2">
                  <c:v>社会保障和就业支出</c:v>
                </c:pt>
                <c:pt idx="3">
                  <c:v>卫生健康支出</c:v>
                </c:pt>
                <c:pt idx="4">
                  <c:v>住房保障支出</c:v>
                </c:pt>
              </c:strCache>
            </c:strRef>
          </c:cat>
          <c:val>
            <c:numRef>
              <c:f>Sheet1!$B$2:$B$6</c:f>
              <c:numCache>
                <c:formatCode>0.00%</c:formatCode>
                <c:ptCount val="5"/>
                <c:pt idx="0">
                  <c:v>0.8807</c:v>
                </c:pt>
                <c:pt idx="1">
                  <c:v>0.0001</c:v>
                </c:pt>
                <c:pt idx="2">
                  <c:v>0.0503</c:v>
                </c:pt>
                <c:pt idx="3">
                  <c:v>0.026</c:v>
                </c:pt>
                <c:pt idx="4">
                  <c:v>0.0429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4">
                  <a:lumMod val="75000"/>
                </a:schemeClr>
              </a:solidFill>
              <a:ln w="19050">
                <a:solidFill>
                  <a:schemeClr val="lt1"/>
                </a:solidFill>
              </a:ln>
              <a:effectLst/>
            </c:spPr>
          </c:dPt>
          <c:dPt>
            <c:idx val="2"/>
            <c:bubble3D val="0"/>
            <c:spPr>
              <a:solidFill>
                <a:schemeClr val="accent4">
                  <a:lumMod val="20000"/>
                  <a:lumOff val="80000"/>
                </a:schemeClr>
              </a:solidFill>
              <a:ln w="19050">
                <a:solidFill>
                  <a:schemeClr val="lt1"/>
                </a:solidFill>
              </a:ln>
              <a:effectLst/>
            </c:spPr>
          </c:dPt>
          <c:dLbls>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formatCode="0.00%">
                  <c:v>0.9943</c:v>
                </c:pt>
                <c:pt idx="2" c:formatCode="0.00%">
                  <c:v>0.0057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17AFC-CBF6-479F-9E88-667A1486455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11520</Words>
  <Characters>12649</Characters>
  <Lines>27</Lines>
  <Paragraphs>25</Paragraphs>
  <TotalTime>9</TotalTime>
  <ScaleCrop>false</ScaleCrop>
  <LinksUpToDate>false</LinksUpToDate>
  <CharactersWithSpaces>13436</CharactersWithSpaces>
  <Application>WPS Office_11.1.0.12358_F1E327BC-269C-435d-A152-05C5408002CA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2021-09-18T09:11:00Z</dcterms:created>
  <dc:creator>张彬茜</dc:creator>
  <cp:lastModifiedBy>王清美朵</cp:lastModifiedBy>
  <cp:lastPrinted>2022-09-23T08:47:00Z</cp:lastPrinted>
  <dcterms:modified xsi:type="dcterms:W3CDTF">2022-09-26T08:06:18Z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E8A9509FF85745538636A1779F2D036A</vt:lpwstr>
  </property>
</Properties>
</file>