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spacing w:before="93"/>
        <w:jc w:val="center"/>
        <w:rPr>
          <w:rFonts w:ascii="Times New Roman" w:eastAsia="方正小标宋简体"/>
          <w:kern w:val="2"/>
          <w:sz w:val="44"/>
          <w:szCs w:val="44"/>
        </w:rPr>
      </w:pPr>
      <w:bookmarkStart w:id="0" w:name="_Toc15377425"/>
      <w:bookmarkStart w:id="1" w:name="_Toc15396475"/>
      <w:bookmarkStart w:id="2" w:name="_Toc15396597"/>
      <w:bookmarkStart w:id="3" w:name="_Toc15377193"/>
      <w:bookmarkStart w:id="4" w:name="_Toc15378441"/>
      <w:bookmarkStart w:id="5" w:name="_Toc15306267"/>
    </w:p>
    <w:p>
      <w:pPr>
        <w:pStyle w:val="8"/>
        <w:spacing w:before="93"/>
        <w:jc w:val="center"/>
        <w:rPr>
          <w:rFonts w:ascii="Times New Roman" w:eastAsia="方正小标宋简体"/>
          <w:kern w:val="2"/>
          <w:sz w:val="44"/>
          <w:szCs w:val="44"/>
        </w:rPr>
      </w:pPr>
    </w:p>
    <w:bookmarkEnd w:id="0"/>
    <w:bookmarkEnd w:id="1"/>
    <w:bookmarkEnd w:id="2"/>
    <w:bookmarkEnd w:id="3"/>
    <w:bookmarkEnd w:id="4"/>
    <w:p>
      <w:pPr>
        <w:pStyle w:val="8"/>
        <w:spacing w:before="93"/>
        <w:jc w:val="center"/>
        <w:rPr>
          <w:rFonts w:hint="eastAsia" w:ascii="Times New Roman" w:eastAsia="方正小标宋简体"/>
          <w:kern w:val="2"/>
          <w:sz w:val="44"/>
          <w:szCs w:val="44"/>
        </w:rPr>
      </w:pPr>
      <w:bookmarkStart w:id="6" w:name="_Toc15378442"/>
      <w:bookmarkStart w:id="7" w:name="_Toc15377426"/>
      <w:bookmarkStart w:id="8" w:name="_Toc15396598"/>
      <w:bookmarkStart w:id="9" w:name="_Toc15377194"/>
      <w:bookmarkStart w:id="10" w:name="_Toc15396476"/>
    </w:p>
    <w:p>
      <w:pPr>
        <w:pStyle w:val="8"/>
        <w:spacing w:before="93"/>
        <w:jc w:val="center"/>
        <w:rPr>
          <w:rFonts w:hint="eastAsia" w:ascii="Times New Roman" w:eastAsia="方正小标宋简体"/>
          <w:kern w:val="2"/>
          <w:sz w:val="44"/>
          <w:szCs w:val="44"/>
        </w:rPr>
      </w:pPr>
    </w:p>
    <w:p>
      <w:pPr>
        <w:pStyle w:val="8"/>
        <w:spacing w:before="93"/>
        <w:jc w:val="center"/>
        <w:rPr>
          <w:rFonts w:hint="eastAsia" w:ascii="Times New Roman" w:eastAsia="方正小标宋简体"/>
          <w:kern w:val="2"/>
          <w:sz w:val="44"/>
          <w:szCs w:val="44"/>
        </w:rPr>
      </w:pPr>
    </w:p>
    <w:p>
      <w:pPr>
        <w:pStyle w:val="8"/>
        <w:spacing w:before="93"/>
        <w:jc w:val="center"/>
        <w:rPr>
          <w:rFonts w:hint="eastAsia" w:ascii="Times New Roman" w:eastAsia="方正小标宋简体"/>
          <w:kern w:val="2"/>
          <w:sz w:val="44"/>
          <w:szCs w:val="44"/>
        </w:rPr>
      </w:pPr>
    </w:p>
    <w:p>
      <w:pPr>
        <w:pStyle w:val="8"/>
        <w:spacing w:before="93"/>
        <w:jc w:val="center"/>
        <w:rPr>
          <w:rFonts w:hint="eastAsia" w:ascii="Times New Roman" w:eastAsia="方正小标宋简体"/>
          <w:kern w:val="2"/>
          <w:sz w:val="44"/>
          <w:szCs w:val="44"/>
        </w:rPr>
      </w:pPr>
    </w:p>
    <w:p>
      <w:pPr>
        <w:pStyle w:val="8"/>
        <w:spacing w:before="93"/>
        <w:jc w:val="center"/>
        <w:rPr>
          <w:rFonts w:hint="eastAsia" w:ascii="Times New Roman" w:eastAsia="方正小标宋简体"/>
          <w:kern w:val="2"/>
          <w:sz w:val="44"/>
          <w:szCs w:val="44"/>
        </w:rPr>
      </w:pPr>
      <w:r>
        <w:rPr>
          <w:rFonts w:hint="eastAsia" w:ascii="Times New Roman" w:eastAsia="方正小标宋简体"/>
          <w:kern w:val="2"/>
          <w:sz w:val="44"/>
          <w:szCs w:val="44"/>
        </w:rPr>
        <w:t>2024年度</w:t>
      </w:r>
      <w:bookmarkEnd w:id="5"/>
      <w:bookmarkStart w:id="11" w:name="_Toc15306268"/>
      <w:r>
        <w:rPr>
          <w:rFonts w:hint="eastAsia" w:ascii="Times New Roman" w:eastAsia="方正小标宋简体"/>
          <w:kern w:val="2"/>
          <w:sz w:val="44"/>
          <w:szCs w:val="44"/>
        </w:rPr>
        <w:t>四川省阿坝州法官培训中心</w:t>
      </w:r>
    </w:p>
    <w:p>
      <w:pPr>
        <w:pStyle w:val="8"/>
        <w:spacing w:before="93"/>
        <w:jc w:val="center"/>
        <w:rPr>
          <w:rFonts w:ascii="Times New Roman" w:eastAsia="方正小标宋简体"/>
          <w:kern w:val="2"/>
          <w:sz w:val="44"/>
          <w:szCs w:val="44"/>
        </w:rPr>
      </w:pPr>
      <w:r>
        <w:rPr>
          <w:rFonts w:hint="eastAsia" w:ascii="Times New Roman" w:eastAsia="方正小标宋简体"/>
          <w:kern w:val="2"/>
          <w:sz w:val="44"/>
          <w:szCs w:val="44"/>
          <w:lang w:val="en-US" w:eastAsia="zh-CN"/>
        </w:rPr>
        <w:t>单位</w:t>
      </w:r>
      <w:r>
        <w:rPr>
          <w:rFonts w:hint="eastAsia" w:ascii="Times New Roman" w:eastAsia="方正小标宋简体"/>
          <w:kern w:val="2"/>
          <w:sz w:val="44"/>
          <w:szCs w:val="44"/>
        </w:rPr>
        <w:t>决算</w:t>
      </w:r>
      <w:bookmarkEnd w:id="6"/>
      <w:bookmarkEnd w:id="7"/>
      <w:bookmarkEnd w:id="8"/>
      <w:bookmarkEnd w:id="9"/>
      <w:bookmarkEnd w:id="10"/>
      <w:bookmarkEnd w:id="11"/>
    </w:p>
    <w:p>
      <w:pPr>
        <w:widowControl/>
        <w:jc w:val="center"/>
        <w:rPr>
          <w:rFonts w:eastAsia="方正小标宋简体"/>
          <w:sz w:val="36"/>
          <w:szCs w:val="36"/>
        </w:rPr>
      </w:pPr>
    </w:p>
    <w:p>
      <w:pPr>
        <w:widowControl/>
        <w:tabs>
          <w:tab w:val="center" w:pos="4213"/>
          <w:tab w:val="left" w:pos="7222"/>
        </w:tabs>
        <w:jc w:val="left"/>
        <w:rPr>
          <w:rFonts w:hint="eastAsia" w:eastAsia="黑体"/>
          <w:sz w:val="48"/>
          <w:szCs w:val="48"/>
          <w:lang w:eastAsia="zh-CN"/>
        </w:rPr>
      </w:pPr>
      <w:r>
        <w:rPr>
          <w:rFonts w:eastAsia="方正小标宋简体"/>
          <w:sz w:val="36"/>
          <w:szCs w:val="36"/>
        </w:rPr>
        <w:br w:type="page"/>
      </w:r>
      <w:r>
        <w:rPr>
          <w:rFonts w:hint="eastAsia" w:eastAsia="方正小标宋简体"/>
          <w:sz w:val="36"/>
          <w:szCs w:val="36"/>
          <w:lang w:eastAsia="zh-CN"/>
        </w:rPr>
        <w:tab/>
      </w:r>
      <w:r>
        <w:rPr>
          <w:rFonts w:hint="eastAsia" w:eastAsia="黑体"/>
          <w:sz w:val="48"/>
          <w:szCs w:val="48"/>
        </w:rPr>
        <w:t>目录</w:t>
      </w:r>
      <w:r>
        <w:rPr>
          <w:rFonts w:hint="eastAsia" w:eastAsia="黑体"/>
          <w:sz w:val="48"/>
          <w:szCs w:val="48"/>
          <w:lang w:eastAsia="zh-CN"/>
        </w:rPr>
        <w:tab/>
      </w:r>
    </w:p>
    <w:p>
      <w:pPr>
        <w:widowControl/>
        <w:jc w:val="center"/>
        <w:rPr>
          <w:rFonts w:eastAsia="黑体" w:cstheme="minorBidi"/>
          <w:sz w:val="28"/>
          <w:szCs w:val="28"/>
        </w:rPr>
      </w:pPr>
    </w:p>
    <w:p>
      <w:pPr>
        <w:pStyle w:val="13"/>
        <w:rPr>
          <w:rFonts w:ascii="Times New Roman" w:hAnsi="Times New Roman" w:eastAsia="仿宋_GB2312" w:cs="仿宋_GB2312"/>
          <w:sz w:val="32"/>
          <w:szCs w:val="32"/>
        </w:rPr>
      </w:pPr>
      <w:r>
        <w:rPr>
          <w:rFonts w:hint="eastAsia" w:ascii="Times New Roman" w:hAnsi="Times New Roman" w:eastAsia="仿宋_GB2312" w:cs="仿宋_GB2312"/>
          <w:sz w:val="32"/>
          <w:szCs w:val="32"/>
        </w:rPr>
        <w:t>公开时间：202</w:t>
      </w:r>
      <w:r>
        <w:rPr>
          <w:rFonts w:hint="eastAsia" w:ascii="Times New Roman" w:hAnsi="Times New Roman" w:eastAsia="仿宋_GB2312" w:cs="仿宋_GB2312"/>
          <w:sz w:val="32"/>
          <w:szCs w:val="32"/>
          <w:lang w:val="en-US" w:eastAsia="zh-CN"/>
        </w:rPr>
        <w:t>5</w:t>
      </w:r>
      <w:r>
        <w:rPr>
          <w:rFonts w:hint="eastAsia" w:ascii="Times New Roman" w:hAnsi="Times New Roman" w:eastAsia="仿宋_GB2312" w:cs="仿宋_GB2312"/>
          <w:sz w:val="32"/>
          <w:szCs w:val="32"/>
        </w:rPr>
        <w:t>年</w:t>
      </w:r>
      <w:r>
        <w:rPr>
          <w:rFonts w:hint="eastAsia" w:ascii="Times New Roman" w:hAnsi="Times New Roman" w:eastAsia="仿宋_GB2312" w:cs="仿宋_GB2312"/>
          <w:sz w:val="32"/>
          <w:szCs w:val="32"/>
          <w:lang w:val="en-US" w:eastAsia="zh-CN"/>
        </w:rPr>
        <w:t>9</w:t>
      </w:r>
      <w:r>
        <w:rPr>
          <w:rFonts w:hint="eastAsia" w:ascii="Times New Roman" w:hAnsi="Times New Roman" w:eastAsia="仿宋_GB2312" w:cs="仿宋_GB2312"/>
          <w:sz w:val="32"/>
          <w:szCs w:val="32"/>
        </w:rPr>
        <w:t>月</w:t>
      </w:r>
      <w:r>
        <w:rPr>
          <w:rFonts w:hint="eastAsia" w:ascii="Times New Roman" w:hAnsi="Times New Roman" w:eastAsia="仿宋_GB2312" w:cs="仿宋_GB2312"/>
          <w:sz w:val="32"/>
          <w:szCs w:val="32"/>
          <w:lang w:val="en-US" w:eastAsia="zh-CN"/>
        </w:rPr>
        <w:t>20</w:t>
      </w:r>
      <w:bookmarkStart w:id="97" w:name="_GoBack"/>
      <w:bookmarkEnd w:id="97"/>
      <w:r>
        <w:rPr>
          <w:rFonts w:hint="eastAsia" w:ascii="Times New Roman" w:hAnsi="Times New Roman" w:eastAsia="仿宋_GB2312" w:cs="仿宋_GB2312"/>
          <w:sz w:val="32"/>
          <w:szCs w:val="32"/>
        </w:rPr>
        <w:t>日</w:t>
      </w:r>
    </w:p>
    <w:p/>
    <w:sdt>
      <w:sdtPr>
        <w:rPr>
          <w:rFonts w:ascii="宋体" w:hAnsi="宋体" w:eastAsia="宋体" w:cs="Times New Roman"/>
          <w:kern w:val="2"/>
          <w:sz w:val="21"/>
          <w:szCs w:val="24"/>
          <w:lang w:val="en-US" w:eastAsia="zh-CN" w:bidi="ar-SA"/>
        </w:rPr>
        <w:id w:val="147478506"/>
        <w15:color w:val="DBDBDB"/>
        <w:docPartObj>
          <w:docPartGallery w:val="Table of Contents"/>
          <w:docPartUnique/>
        </w:docPartObj>
      </w:sdtPr>
      <w:sdtEndPr>
        <w:rPr>
          <w:rFonts w:ascii="宋体" w:hAnsi="宋体" w:eastAsia="宋体" w:cs="Times New Roman"/>
          <w:kern w:val="2"/>
          <w:sz w:val="21"/>
          <w:szCs w:val="24"/>
          <w:lang w:val="en-US" w:eastAsia="zh-CN" w:bidi="ar-SA"/>
        </w:rPr>
      </w:sdtEndPr>
      <w:sdtContent>
        <w:p>
          <w:pPr>
            <w:spacing w:before="0" w:beforeLines="0" w:after="0" w:afterLines="0" w:line="240" w:lineRule="auto"/>
            <w:ind w:left="0" w:leftChars="0" w:right="0" w:rightChars="0" w:firstLine="0" w:firstLineChars="0"/>
            <w:jc w:val="center"/>
          </w:pPr>
          <w:r>
            <w:rPr>
              <w:rFonts w:ascii="宋体" w:hAnsi="宋体" w:eastAsia="宋体"/>
              <w:sz w:val="21"/>
            </w:rPr>
            <w:t>目录</w:t>
          </w:r>
        </w:p>
        <w:p>
          <w:pPr>
            <w:pStyle w:val="13"/>
            <w:tabs>
              <w:tab w:val="right" w:leader="dot" w:pos="8306"/>
              <w:tab w:val="clear" w:pos="8296"/>
            </w:tabs>
          </w:pPr>
          <w:r>
            <w:fldChar w:fldCharType="begin"/>
          </w:r>
          <w:r>
            <w:instrText xml:space="preserve">TOC \o "1-1" \h \u </w:instrText>
          </w:r>
          <w:r>
            <w:fldChar w:fldCharType="separate"/>
          </w:r>
          <w:r>
            <w:rPr>
              <w:rFonts w:hint="eastAsia" w:ascii="Times New Roman" w:hAnsi="Times New Roman" w:eastAsia="黑体" w:cs="黑体"/>
              <w:sz w:val="32"/>
              <w:szCs w:val="32"/>
            </w:rPr>
            <w:fldChar w:fldCharType="begin"/>
          </w:r>
          <w:r>
            <w:rPr>
              <w:rFonts w:hint="eastAsia" w:ascii="Times New Roman" w:hAnsi="Times New Roman" w:eastAsia="黑体" w:cs="黑体"/>
              <w:sz w:val="32"/>
              <w:szCs w:val="32"/>
            </w:rPr>
            <w:instrText xml:space="preserve"> HYPERLINK \l _Toc16611 </w:instrText>
          </w:r>
          <w:r>
            <w:rPr>
              <w:rFonts w:hint="eastAsia" w:ascii="Times New Roman" w:hAnsi="Times New Roman" w:eastAsia="黑体" w:cs="黑体"/>
              <w:sz w:val="32"/>
              <w:szCs w:val="32"/>
            </w:rPr>
            <w:fldChar w:fldCharType="separate"/>
          </w:r>
          <w:r>
            <w:rPr>
              <w:rFonts w:hint="eastAsia" w:ascii="Times New Roman" w:hAnsi="Times New Roman" w:eastAsia="黑体" w:cs="黑体"/>
              <w:sz w:val="32"/>
              <w:szCs w:val="32"/>
            </w:rPr>
            <w:t>第一部分  部门概况</w:t>
          </w:r>
          <w:r>
            <w:rPr>
              <w:rFonts w:hint="eastAsia"/>
            </w:rPr>
            <w:tab/>
          </w:r>
          <w:r>
            <w:rPr>
              <w:rFonts w:hint="eastAsia"/>
            </w:rPr>
            <w:fldChar w:fldCharType="begin"/>
          </w:r>
          <w:r>
            <w:rPr>
              <w:rFonts w:hint="eastAsia"/>
            </w:rPr>
            <w:instrText xml:space="preserve"> PAGEREF _Toc16611 \h </w:instrText>
          </w:r>
          <w:r>
            <w:rPr>
              <w:rFonts w:hint="eastAsia"/>
            </w:rPr>
            <w:fldChar w:fldCharType="separate"/>
          </w:r>
          <w:r>
            <w:rPr>
              <w:rFonts w:hint="eastAsia"/>
            </w:rPr>
            <w:t>- 1 -</w:t>
          </w:r>
          <w:r>
            <w:rPr>
              <w:rFonts w:hint="eastAsia"/>
            </w:rPr>
            <w:fldChar w:fldCharType="end"/>
          </w:r>
          <w:r>
            <w:rPr>
              <w:rFonts w:hint="eastAsia" w:ascii="Times New Roman" w:hAnsi="Times New Roman" w:eastAsia="黑体" w:cs="黑体"/>
              <w:sz w:val="32"/>
              <w:szCs w:val="32"/>
            </w:rPr>
            <w:fldChar w:fldCharType="end"/>
          </w:r>
        </w:p>
        <w:p>
          <w:pPr>
            <w:pStyle w:val="13"/>
            <w:tabs>
              <w:tab w:val="right" w:leader="dot" w:pos="8306"/>
              <w:tab w:val="clear" w:pos="8296"/>
            </w:tabs>
          </w:pPr>
          <w:r>
            <w:fldChar w:fldCharType="begin"/>
          </w:r>
          <w:r>
            <w:instrText xml:space="preserve"> HYPERLINK \l _Toc27744 </w:instrText>
          </w:r>
          <w:r>
            <w:fldChar w:fldCharType="separate"/>
          </w:r>
          <w:r>
            <w:rPr>
              <w:rFonts w:hint="eastAsia" w:ascii="Times New Roman" w:hAnsi="Times New Roman" w:eastAsia="黑体"/>
            </w:rPr>
            <w:t>一、部门职责</w:t>
          </w:r>
          <w:r>
            <w:tab/>
          </w:r>
          <w:r>
            <w:fldChar w:fldCharType="begin"/>
          </w:r>
          <w:r>
            <w:instrText xml:space="preserve"> PAGEREF _Toc27744 \h </w:instrText>
          </w:r>
          <w:r>
            <w:fldChar w:fldCharType="separate"/>
          </w:r>
          <w:r>
            <w:t>- 1 -</w:t>
          </w:r>
          <w:r>
            <w:fldChar w:fldCharType="end"/>
          </w:r>
          <w:r>
            <w:fldChar w:fldCharType="end"/>
          </w:r>
        </w:p>
        <w:p>
          <w:pPr>
            <w:pStyle w:val="13"/>
            <w:tabs>
              <w:tab w:val="right" w:leader="dot" w:pos="8306"/>
              <w:tab w:val="clear" w:pos="8296"/>
            </w:tabs>
          </w:pPr>
          <w:r>
            <w:fldChar w:fldCharType="begin"/>
          </w:r>
          <w:r>
            <w:instrText xml:space="preserve"> HYPERLINK \l _Toc8382 </w:instrText>
          </w:r>
          <w:r>
            <w:fldChar w:fldCharType="separate"/>
          </w:r>
          <w:r>
            <w:rPr>
              <w:rFonts w:hint="eastAsia" w:ascii="Times New Roman" w:hAnsi="Times New Roman" w:eastAsia="黑体"/>
            </w:rPr>
            <w:t>二、机</w:t>
          </w:r>
          <w:r>
            <w:rPr>
              <w:rFonts w:hint="eastAsia" w:ascii="Times New Roman" w:hAnsi="Times New Roman" w:eastAsia="黑体"/>
              <w:bCs w:val="0"/>
            </w:rPr>
            <w:t>构设置</w:t>
          </w:r>
          <w:r>
            <w:tab/>
          </w:r>
          <w:r>
            <w:fldChar w:fldCharType="begin"/>
          </w:r>
          <w:r>
            <w:instrText xml:space="preserve"> PAGEREF _Toc8382 \h </w:instrText>
          </w:r>
          <w:r>
            <w:fldChar w:fldCharType="separate"/>
          </w:r>
          <w:r>
            <w:t>- 1 -</w:t>
          </w:r>
          <w:r>
            <w:fldChar w:fldCharType="end"/>
          </w:r>
          <w:r>
            <w:fldChar w:fldCharType="end"/>
          </w:r>
        </w:p>
        <w:p>
          <w:pPr>
            <w:pStyle w:val="13"/>
            <w:tabs>
              <w:tab w:val="right" w:leader="dot" w:pos="8306"/>
              <w:tab w:val="clear" w:pos="8296"/>
            </w:tabs>
          </w:pPr>
          <w:r>
            <w:fldChar w:fldCharType="begin"/>
          </w:r>
          <w:r>
            <w:instrText xml:space="preserve"> HYPERLINK \l _Toc14744 </w:instrText>
          </w:r>
          <w:r>
            <w:fldChar w:fldCharType="separate"/>
          </w:r>
          <w:r>
            <w:rPr>
              <w:rFonts w:hint="eastAsia" w:ascii="Times New Roman" w:hAnsi="Times New Roman" w:eastAsia="黑体" w:cs="黑体"/>
              <w:sz w:val="32"/>
              <w:szCs w:val="32"/>
            </w:rPr>
            <w:t>第二部分  2024年度部门决算情况说明</w:t>
          </w:r>
          <w:r>
            <w:tab/>
          </w:r>
          <w:r>
            <w:fldChar w:fldCharType="begin"/>
          </w:r>
          <w:r>
            <w:instrText xml:space="preserve"> PAGEREF _Toc14744 \h </w:instrText>
          </w:r>
          <w:r>
            <w:fldChar w:fldCharType="separate"/>
          </w:r>
          <w:r>
            <w:t>- 2 -</w:t>
          </w:r>
          <w:r>
            <w:fldChar w:fldCharType="end"/>
          </w:r>
          <w:r>
            <w:fldChar w:fldCharType="end"/>
          </w:r>
        </w:p>
        <w:p>
          <w:pPr>
            <w:pStyle w:val="13"/>
            <w:tabs>
              <w:tab w:val="right" w:leader="dot" w:pos="8306"/>
              <w:tab w:val="clear" w:pos="8296"/>
            </w:tabs>
          </w:pPr>
          <w:r>
            <w:fldChar w:fldCharType="begin"/>
          </w:r>
          <w:r>
            <w:instrText xml:space="preserve"> HYPERLINK \l _Toc32221 </w:instrText>
          </w:r>
          <w:r>
            <w:fldChar w:fldCharType="separate"/>
          </w:r>
          <w:r>
            <w:rPr>
              <w:rFonts w:hint="eastAsia" w:eastAsia="黑体"/>
              <w:szCs w:val="32"/>
            </w:rPr>
            <w:t>一、收</w:t>
          </w:r>
          <w:r>
            <w:rPr>
              <w:rFonts w:hint="eastAsia" w:ascii="Times New Roman" w:hAnsi="Times New Roman" w:eastAsia="黑体"/>
            </w:rPr>
            <w:t>入支出决算总体情况说明</w:t>
          </w:r>
          <w:r>
            <w:tab/>
          </w:r>
          <w:r>
            <w:fldChar w:fldCharType="begin"/>
          </w:r>
          <w:r>
            <w:instrText xml:space="preserve"> PAGEREF _Toc32221 \h </w:instrText>
          </w:r>
          <w:r>
            <w:fldChar w:fldCharType="separate"/>
          </w:r>
          <w:r>
            <w:t>- 2 -</w:t>
          </w:r>
          <w:r>
            <w:fldChar w:fldCharType="end"/>
          </w:r>
          <w:r>
            <w:fldChar w:fldCharType="end"/>
          </w:r>
        </w:p>
        <w:p>
          <w:pPr>
            <w:pStyle w:val="13"/>
            <w:tabs>
              <w:tab w:val="right" w:leader="dot" w:pos="8306"/>
              <w:tab w:val="clear" w:pos="8296"/>
            </w:tabs>
          </w:pPr>
          <w:r>
            <w:fldChar w:fldCharType="begin"/>
          </w:r>
          <w:r>
            <w:instrText xml:space="preserve"> HYPERLINK \l _Toc12932 </w:instrText>
          </w:r>
          <w:r>
            <w:fldChar w:fldCharType="separate"/>
          </w:r>
          <w:r>
            <w:rPr>
              <w:rFonts w:hint="eastAsia" w:eastAsia="黑体"/>
              <w:szCs w:val="32"/>
            </w:rPr>
            <w:t>二、收入决算情况说明</w:t>
          </w:r>
          <w:r>
            <w:tab/>
          </w:r>
          <w:r>
            <w:fldChar w:fldCharType="begin"/>
          </w:r>
          <w:r>
            <w:instrText xml:space="preserve"> PAGEREF _Toc12932 \h </w:instrText>
          </w:r>
          <w:r>
            <w:fldChar w:fldCharType="separate"/>
          </w:r>
          <w:r>
            <w:t>- 2 -</w:t>
          </w:r>
          <w:r>
            <w:fldChar w:fldCharType="end"/>
          </w:r>
          <w:r>
            <w:fldChar w:fldCharType="end"/>
          </w:r>
        </w:p>
        <w:p>
          <w:pPr>
            <w:pStyle w:val="13"/>
            <w:tabs>
              <w:tab w:val="right" w:leader="dot" w:pos="8306"/>
              <w:tab w:val="clear" w:pos="8296"/>
            </w:tabs>
          </w:pPr>
          <w:r>
            <w:fldChar w:fldCharType="begin"/>
          </w:r>
          <w:r>
            <w:instrText xml:space="preserve"> HYPERLINK \l _Toc18007 </w:instrText>
          </w:r>
          <w:r>
            <w:fldChar w:fldCharType="separate"/>
          </w:r>
          <w:r>
            <w:rPr>
              <w:rFonts w:hint="eastAsia" w:eastAsia="黑体"/>
              <w:szCs w:val="32"/>
            </w:rPr>
            <w:t>三、支</w:t>
          </w:r>
          <w:r>
            <w:rPr>
              <w:rFonts w:hint="eastAsia" w:ascii="Times New Roman" w:hAnsi="Times New Roman" w:eastAsia="黑体"/>
            </w:rPr>
            <w:t>出决算情况说明</w:t>
          </w:r>
          <w:r>
            <w:tab/>
          </w:r>
          <w:r>
            <w:fldChar w:fldCharType="begin"/>
          </w:r>
          <w:r>
            <w:instrText xml:space="preserve"> PAGEREF _Toc18007 \h </w:instrText>
          </w:r>
          <w:r>
            <w:fldChar w:fldCharType="separate"/>
          </w:r>
          <w:r>
            <w:t>- 3 -</w:t>
          </w:r>
          <w:r>
            <w:fldChar w:fldCharType="end"/>
          </w:r>
          <w:r>
            <w:fldChar w:fldCharType="end"/>
          </w:r>
        </w:p>
        <w:p>
          <w:pPr>
            <w:pStyle w:val="13"/>
            <w:tabs>
              <w:tab w:val="right" w:leader="dot" w:pos="8306"/>
              <w:tab w:val="clear" w:pos="8296"/>
            </w:tabs>
          </w:pPr>
          <w:r>
            <w:fldChar w:fldCharType="begin"/>
          </w:r>
          <w:r>
            <w:instrText xml:space="preserve"> HYPERLINK \l _Toc4853 </w:instrText>
          </w:r>
          <w:r>
            <w:fldChar w:fldCharType="separate"/>
          </w:r>
          <w:r>
            <w:rPr>
              <w:rFonts w:hint="eastAsia" w:eastAsia="黑体"/>
              <w:szCs w:val="32"/>
            </w:rPr>
            <w:t>四、财</w:t>
          </w:r>
          <w:r>
            <w:rPr>
              <w:rFonts w:hint="eastAsia" w:ascii="Times New Roman" w:hAnsi="Times New Roman" w:eastAsia="黑体"/>
            </w:rPr>
            <w:t>政拨款收入支出决算总体情况说明</w:t>
          </w:r>
          <w:r>
            <w:tab/>
          </w:r>
          <w:r>
            <w:fldChar w:fldCharType="begin"/>
          </w:r>
          <w:r>
            <w:instrText xml:space="preserve"> PAGEREF _Toc4853 \h </w:instrText>
          </w:r>
          <w:r>
            <w:fldChar w:fldCharType="separate"/>
          </w:r>
          <w:r>
            <w:t>- 3 -</w:t>
          </w:r>
          <w:r>
            <w:fldChar w:fldCharType="end"/>
          </w:r>
          <w:r>
            <w:fldChar w:fldCharType="end"/>
          </w:r>
        </w:p>
        <w:p>
          <w:pPr>
            <w:pStyle w:val="13"/>
            <w:tabs>
              <w:tab w:val="right" w:leader="dot" w:pos="8306"/>
              <w:tab w:val="clear" w:pos="8296"/>
            </w:tabs>
          </w:pPr>
          <w:r>
            <w:fldChar w:fldCharType="begin"/>
          </w:r>
          <w:r>
            <w:instrText xml:space="preserve"> HYPERLINK \l _Toc31881 </w:instrText>
          </w:r>
          <w:r>
            <w:fldChar w:fldCharType="separate"/>
          </w:r>
          <w:r>
            <w:rPr>
              <w:rFonts w:hint="eastAsia" w:eastAsia="黑体"/>
              <w:szCs w:val="32"/>
            </w:rPr>
            <w:t>五、一</w:t>
          </w:r>
          <w:r>
            <w:rPr>
              <w:rFonts w:hint="eastAsia" w:ascii="Times New Roman" w:hAnsi="Times New Roman" w:eastAsia="黑体"/>
            </w:rPr>
            <w:t>般公共预算财政拨款支出决算情况说明</w:t>
          </w:r>
          <w:r>
            <w:tab/>
          </w:r>
          <w:r>
            <w:fldChar w:fldCharType="begin"/>
          </w:r>
          <w:r>
            <w:instrText xml:space="preserve"> PAGEREF _Toc31881 \h </w:instrText>
          </w:r>
          <w:r>
            <w:fldChar w:fldCharType="separate"/>
          </w:r>
          <w:r>
            <w:t>- 4 -</w:t>
          </w:r>
          <w:r>
            <w:fldChar w:fldCharType="end"/>
          </w:r>
          <w:r>
            <w:fldChar w:fldCharType="end"/>
          </w:r>
        </w:p>
        <w:p>
          <w:pPr>
            <w:pStyle w:val="13"/>
            <w:tabs>
              <w:tab w:val="right" w:leader="dot" w:pos="8306"/>
              <w:tab w:val="clear" w:pos="8296"/>
            </w:tabs>
          </w:pPr>
          <w:r>
            <w:fldChar w:fldCharType="begin"/>
          </w:r>
          <w:r>
            <w:instrText xml:space="preserve"> HYPERLINK \l _Toc23155 </w:instrText>
          </w:r>
          <w:r>
            <w:fldChar w:fldCharType="separate"/>
          </w:r>
          <w:r>
            <w:rPr>
              <w:rFonts w:hint="eastAsia" w:eastAsia="黑体"/>
              <w:szCs w:val="32"/>
            </w:rPr>
            <w:t>六、一</w:t>
          </w:r>
          <w:r>
            <w:rPr>
              <w:rFonts w:hint="eastAsia" w:ascii="Times New Roman" w:hAnsi="Times New Roman" w:eastAsia="黑体"/>
            </w:rPr>
            <w:t>般公共预算财政拨款基本支出决算情况说明</w:t>
          </w:r>
          <w:r>
            <w:tab/>
          </w:r>
          <w:r>
            <w:fldChar w:fldCharType="begin"/>
          </w:r>
          <w:r>
            <w:instrText xml:space="preserve"> PAGEREF _Toc23155 \h </w:instrText>
          </w:r>
          <w:r>
            <w:fldChar w:fldCharType="separate"/>
          </w:r>
          <w:r>
            <w:t>- 6 -</w:t>
          </w:r>
          <w:r>
            <w:fldChar w:fldCharType="end"/>
          </w:r>
          <w:r>
            <w:fldChar w:fldCharType="end"/>
          </w:r>
        </w:p>
        <w:p>
          <w:pPr>
            <w:pStyle w:val="13"/>
            <w:tabs>
              <w:tab w:val="right" w:leader="dot" w:pos="8306"/>
              <w:tab w:val="clear" w:pos="8296"/>
            </w:tabs>
          </w:pPr>
          <w:r>
            <w:fldChar w:fldCharType="begin"/>
          </w:r>
          <w:r>
            <w:instrText xml:space="preserve"> HYPERLINK \l _Toc5615 </w:instrText>
          </w:r>
          <w:r>
            <w:fldChar w:fldCharType="separate"/>
          </w:r>
          <w:r>
            <w:rPr>
              <w:rFonts w:hint="eastAsia" w:eastAsia="黑体"/>
              <w:szCs w:val="32"/>
            </w:rPr>
            <w:t>七、</w:t>
          </w:r>
          <w:r>
            <w:rPr>
              <w:rFonts w:hint="eastAsia" w:ascii="Times New Roman" w:hAnsi="Times New Roman" w:eastAsia="黑体"/>
            </w:rPr>
            <w:t>财政拨款“三公”经费支出决算情况说明</w:t>
          </w:r>
          <w:r>
            <w:tab/>
          </w:r>
          <w:r>
            <w:fldChar w:fldCharType="begin"/>
          </w:r>
          <w:r>
            <w:instrText xml:space="preserve"> PAGEREF _Toc5615 \h </w:instrText>
          </w:r>
          <w:r>
            <w:fldChar w:fldCharType="separate"/>
          </w:r>
          <w:r>
            <w:t>- 7 -</w:t>
          </w:r>
          <w:r>
            <w:fldChar w:fldCharType="end"/>
          </w:r>
          <w:r>
            <w:fldChar w:fldCharType="end"/>
          </w:r>
        </w:p>
        <w:p>
          <w:pPr>
            <w:pStyle w:val="13"/>
            <w:tabs>
              <w:tab w:val="right" w:leader="dot" w:pos="8306"/>
              <w:tab w:val="clear" w:pos="8296"/>
            </w:tabs>
          </w:pPr>
          <w:r>
            <w:fldChar w:fldCharType="begin"/>
          </w:r>
          <w:r>
            <w:instrText xml:space="preserve"> HYPERLINK \l _Toc13376 </w:instrText>
          </w:r>
          <w:r>
            <w:fldChar w:fldCharType="separate"/>
          </w:r>
          <w:r>
            <w:rPr>
              <w:rFonts w:hint="eastAsia" w:eastAsia="黑体"/>
              <w:szCs w:val="32"/>
            </w:rPr>
            <w:t>八、</w:t>
          </w:r>
          <w:r>
            <w:rPr>
              <w:rFonts w:hint="eastAsia" w:ascii="Times New Roman" w:hAnsi="Times New Roman" w:eastAsia="黑体"/>
            </w:rPr>
            <w:t>政府性基金预算支出决算情况说明</w:t>
          </w:r>
          <w:r>
            <w:tab/>
          </w:r>
          <w:r>
            <w:fldChar w:fldCharType="begin"/>
          </w:r>
          <w:r>
            <w:instrText xml:space="preserve"> PAGEREF _Toc13376 \h </w:instrText>
          </w:r>
          <w:r>
            <w:fldChar w:fldCharType="separate"/>
          </w:r>
          <w:r>
            <w:t>- 7 -</w:t>
          </w:r>
          <w:r>
            <w:fldChar w:fldCharType="end"/>
          </w:r>
          <w:r>
            <w:fldChar w:fldCharType="end"/>
          </w:r>
        </w:p>
        <w:p>
          <w:pPr>
            <w:pStyle w:val="13"/>
            <w:tabs>
              <w:tab w:val="right" w:leader="dot" w:pos="8306"/>
              <w:tab w:val="clear" w:pos="8296"/>
            </w:tabs>
          </w:pPr>
          <w:r>
            <w:fldChar w:fldCharType="begin"/>
          </w:r>
          <w:r>
            <w:instrText xml:space="preserve"> HYPERLINK \l _Toc13745 </w:instrText>
          </w:r>
          <w:r>
            <w:fldChar w:fldCharType="separate"/>
          </w:r>
          <w:r>
            <w:rPr>
              <w:rFonts w:hint="eastAsia" w:ascii="Times New Roman" w:hAnsi="Times New Roman" w:eastAsia="黑体"/>
            </w:rPr>
            <w:t>九、国有资本经营预算支出决算情况说明</w:t>
          </w:r>
          <w:r>
            <w:tab/>
          </w:r>
          <w:r>
            <w:fldChar w:fldCharType="begin"/>
          </w:r>
          <w:r>
            <w:instrText xml:space="preserve"> PAGEREF _Toc13745 \h </w:instrText>
          </w:r>
          <w:r>
            <w:fldChar w:fldCharType="separate"/>
          </w:r>
          <w:r>
            <w:t>- 8 -</w:t>
          </w:r>
          <w:r>
            <w:fldChar w:fldCharType="end"/>
          </w:r>
          <w:r>
            <w:fldChar w:fldCharType="end"/>
          </w:r>
        </w:p>
        <w:p>
          <w:pPr>
            <w:pStyle w:val="13"/>
            <w:tabs>
              <w:tab w:val="right" w:leader="dot" w:pos="8306"/>
              <w:tab w:val="clear" w:pos="8296"/>
            </w:tabs>
          </w:pPr>
          <w:r>
            <w:fldChar w:fldCharType="begin"/>
          </w:r>
          <w:r>
            <w:instrText xml:space="preserve"> HYPERLINK \l _Toc28704 </w:instrText>
          </w:r>
          <w:r>
            <w:fldChar w:fldCharType="separate"/>
          </w:r>
          <w:r>
            <w:rPr>
              <w:rFonts w:hint="eastAsia" w:ascii="Times New Roman" w:hAnsi="Times New Roman" w:eastAsia="黑体"/>
            </w:rPr>
            <w:t>十、其他重要事项的情况说明</w:t>
          </w:r>
          <w:r>
            <w:tab/>
          </w:r>
          <w:r>
            <w:fldChar w:fldCharType="begin"/>
          </w:r>
          <w:r>
            <w:instrText xml:space="preserve"> PAGEREF _Toc28704 \h </w:instrText>
          </w:r>
          <w:r>
            <w:fldChar w:fldCharType="separate"/>
          </w:r>
          <w:r>
            <w:t>- 8 -</w:t>
          </w:r>
          <w:r>
            <w:fldChar w:fldCharType="end"/>
          </w:r>
          <w:r>
            <w:fldChar w:fldCharType="end"/>
          </w:r>
        </w:p>
        <w:p>
          <w:pPr>
            <w:pStyle w:val="13"/>
            <w:tabs>
              <w:tab w:val="right" w:leader="dot" w:pos="8306"/>
              <w:tab w:val="clear" w:pos="8296"/>
            </w:tabs>
          </w:pPr>
          <w:r>
            <w:fldChar w:fldCharType="begin"/>
          </w:r>
          <w:r>
            <w:instrText xml:space="preserve"> HYPERLINK \l _Toc18617 </w:instrText>
          </w:r>
          <w:r>
            <w:fldChar w:fldCharType="separate"/>
          </w:r>
          <w:r>
            <w:rPr>
              <w:rFonts w:hint="eastAsia" w:eastAsia="黑体"/>
              <w:szCs w:val="44"/>
            </w:rPr>
            <w:t>第三部分  名词解释</w:t>
          </w:r>
          <w:r>
            <w:tab/>
          </w:r>
          <w:r>
            <w:fldChar w:fldCharType="begin"/>
          </w:r>
          <w:r>
            <w:instrText xml:space="preserve"> PAGEREF _Toc18617 \h </w:instrText>
          </w:r>
          <w:r>
            <w:fldChar w:fldCharType="separate"/>
          </w:r>
          <w:r>
            <w:t>- 9 -</w:t>
          </w:r>
          <w:r>
            <w:fldChar w:fldCharType="end"/>
          </w:r>
          <w:r>
            <w:fldChar w:fldCharType="end"/>
          </w:r>
        </w:p>
        <w:p>
          <w:pPr>
            <w:pStyle w:val="13"/>
            <w:tabs>
              <w:tab w:val="right" w:leader="dot" w:pos="8306"/>
              <w:tab w:val="clear" w:pos="8296"/>
            </w:tabs>
          </w:pPr>
          <w:r>
            <w:fldChar w:fldCharType="begin"/>
          </w:r>
          <w:r>
            <w:instrText xml:space="preserve"> HYPERLINK \l _Toc6829 </w:instrText>
          </w:r>
          <w:r>
            <w:fldChar w:fldCharType="separate"/>
          </w:r>
          <w:r>
            <w:rPr>
              <w:rFonts w:hint="eastAsia" w:eastAsia="黑体"/>
              <w:szCs w:val="44"/>
            </w:rPr>
            <w:t>第四部分  附件</w:t>
          </w:r>
          <w:r>
            <w:tab/>
          </w:r>
          <w:r>
            <w:fldChar w:fldCharType="begin"/>
          </w:r>
          <w:r>
            <w:instrText xml:space="preserve"> PAGEREF _Toc6829 \h </w:instrText>
          </w:r>
          <w:r>
            <w:fldChar w:fldCharType="separate"/>
          </w:r>
          <w:r>
            <w:t>- 12 -</w:t>
          </w:r>
          <w:r>
            <w:fldChar w:fldCharType="end"/>
          </w:r>
          <w:r>
            <w:fldChar w:fldCharType="end"/>
          </w:r>
        </w:p>
        <w:p>
          <w:pPr>
            <w:pStyle w:val="13"/>
            <w:tabs>
              <w:tab w:val="right" w:leader="dot" w:pos="8306"/>
              <w:tab w:val="clear" w:pos="8296"/>
            </w:tabs>
          </w:pPr>
          <w:r>
            <w:fldChar w:fldCharType="begin"/>
          </w:r>
          <w:r>
            <w:instrText xml:space="preserve"> HYPERLINK \l _Toc30536 </w:instrText>
          </w:r>
          <w:r>
            <w:fldChar w:fldCharType="separate"/>
          </w:r>
          <w:r>
            <w:rPr>
              <w:rFonts w:hint="eastAsia" w:eastAsia="黑体"/>
              <w:szCs w:val="44"/>
            </w:rPr>
            <w:t>第</w:t>
          </w:r>
          <w:r>
            <w:rPr>
              <w:rFonts w:hint="eastAsia" w:eastAsia="黑体"/>
            </w:rPr>
            <w:t>五部分 附表</w:t>
          </w:r>
          <w:r>
            <w:tab/>
          </w:r>
          <w:r>
            <w:fldChar w:fldCharType="begin"/>
          </w:r>
          <w:r>
            <w:instrText xml:space="preserve"> PAGEREF _Toc30536 \h </w:instrText>
          </w:r>
          <w:r>
            <w:fldChar w:fldCharType="separate"/>
          </w:r>
          <w:r>
            <w:t>- 13 -</w:t>
          </w:r>
          <w:r>
            <w:fldChar w:fldCharType="end"/>
          </w:r>
          <w:r>
            <w:fldChar w:fldCharType="end"/>
          </w:r>
        </w:p>
        <w:p>
          <w:pPr>
            <w:pStyle w:val="13"/>
            <w:tabs>
              <w:tab w:val="right" w:leader="dot" w:pos="8306"/>
              <w:tab w:val="clear" w:pos="8296"/>
            </w:tabs>
          </w:pPr>
          <w:r>
            <w:fldChar w:fldCharType="begin"/>
          </w:r>
          <w:r>
            <w:instrText xml:space="preserve"> HYPERLINK \l _Toc30977 </w:instrText>
          </w:r>
          <w:r>
            <w:fldChar w:fldCharType="separate"/>
          </w:r>
          <w:r>
            <w:rPr>
              <w:rFonts w:hint="eastAsia" w:eastAsia="仿宋_GB2312" w:cs="仿宋_GB2312"/>
              <w:szCs w:val="32"/>
            </w:rPr>
            <w:t>一、收入支出决算总表</w:t>
          </w:r>
          <w:r>
            <w:tab/>
          </w:r>
          <w:r>
            <w:fldChar w:fldCharType="begin"/>
          </w:r>
          <w:r>
            <w:instrText xml:space="preserve"> PAGEREF _Toc30977 \h </w:instrText>
          </w:r>
          <w:r>
            <w:fldChar w:fldCharType="separate"/>
          </w:r>
          <w:r>
            <w:t>- 13 -</w:t>
          </w:r>
          <w:r>
            <w:fldChar w:fldCharType="end"/>
          </w:r>
          <w:r>
            <w:fldChar w:fldCharType="end"/>
          </w:r>
        </w:p>
        <w:p>
          <w:pPr>
            <w:pStyle w:val="13"/>
            <w:tabs>
              <w:tab w:val="right" w:leader="dot" w:pos="8306"/>
              <w:tab w:val="clear" w:pos="8296"/>
            </w:tabs>
          </w:pPr>
          <w:r>
            <w:fldChar w:fldCharType="begin"/>
          </w:r>
          <w:r>
            <w:instrText xml:space="preserve"> HYPERLINK \l _Toc16486 </w:instrText>
          </w:r>
          <w:r>
            <w:fldChar w:fldCharType="separate"/>
          </w:r>
          <w:r>
            <w:rPr>
              <w:rFonts w:hint="eastAsia" w:eastAsia="仿宋_GB2312" w:cs="仿宋_GB2312"/>
              <w:szCs w:val="32"/>
            </w:rPr>
            <w:t>二、收入决算表</w:t>
          </w:r>
          <w:r>
            <w:tab/>
          </w:r>
          <w:r>
            <w:fldChar w:fldCharType="begin"/>
          </w:r>
          <w:r>
            <w:instrText xml:space="preserve"> PAGEREF _Toc16486 \h </w:instrText>
          </w:r>
          <w:r>
            <w:fldChar w:fldCharType="separate"/>
          </w:r>
          <w:r>
            <w:t>- 13 -</w:t>
          </w:r>
          <w:r>
            <w:fldChar w:fldCharType="end"/>
          </w:r>
          <w:r>
            <w:fldChar w:fldCharType="end"/>
          </w:r>
        </w:p>
        <w:p>
          <w:pPr>
            <w:pStyle w:val="13"/>
            <w:tabs>
              <w:tab w:val="right" w:leader="dot" w:pos="8306"/>
              <w:tab w:val="clear" w:pos="8296"/>
            </w:tabs>
          </w:pPr>
          <w:r>
            <w:fldChar w:fldCharType="begin"/>
          </w:r>
          <w:r>
            <w:instrText xml:space="preserve"> HYPERLINK \l _Toc2811 </w:instrText>
          </w:r>
          <w:r>
            <w:fldChar w:fldCharType="separate"/>
          </w:r>
          <w:r>
            <w:rPr>
              <w:rFonts w:hint="eastAsia" w:eastAsia="仿宋_GB2312" w:cs="仿宋_GB2312"/>
              <w:szCs w:val="32"/>
            </w:rPr>
            <w:t>三、支出决算表</w:t>
          </w:r>
          <w:r>
            <w:tab/>
          </w:r>
          <w:r>
            <w:fldChar w:fldCharType="begin"/>
          </w:r>
          <w:r>
            <w:instrText xml:space="preserve"> PAGEREF _Toc2811 \h </w:instrText>
          </w:r>
          <w:r>
            <w:fldChar w:fldCharType="separate"/>
          </w:r>
          <w:r>
            <w:t>- 13 -</w:t>
          </w:r>
          <w:r>
            <w:fldChar w:fldCharType="end"/>
          </w:r>
          <w:r>
            <w:fldChar w:fldCharType="end"/>
          </w:r>
        </w:p>
        <w:p>
          <w:pPr>
            <w:pStyle w:val="13"/>
            <w:tabs>
              <w:tab w:val="right" w:leader="dot" w:pos="8306"/>
              <w:tab w:val="clear" w:pos="8296"/>
            </w:tabs>
          </w:pPr>
          <w:r>
            <w:fldChar w:fldCharType="begin"/>
          </w:r>
          <w:r>
            <w:instrText xml:space="preserve"> HYPERLINK \l _Toc30112 </w:instrText>
          </w:r>
          <w:r>
            <w:fldChar w:fldCharType="separate"/>
          </w:r>
          <w:r>
            <w:rPr>
              <w:rFonts w:hint="eastAsia" w:eastAsia="仿宋_GB2312" w:cs="仿宋_GB2312"/>
              <w:szCs w:val="32"/>
            </w:rPr>
            <w:t>四、财政拨款收入支出决算总表</w:t>
          </w:r>
          <w:r>
            <w:tab/>
          </w:r>
          <w:r>
            <w:fldChar w:fldCharType="begin"/>
          </w:r>
          <w:r>
            <w:instrText xml:space="preserve"> PAGEREF _Toc30112 \h </w:instrText>
          </w:r>
          <w:r>
            <w:fldChar w:fldCharType="separate"/>
          </w:r>
          <w:r>
            <w:t>- 13 -</w:t>
          </w:r>
          <w:r>
            <w:fldChar w:fldCharType="end"/>
          </w:r>
          <w:r>
            <w:fldChar w:fldCharType="end"/>
          </w:r>
        </w:p>
        <w:p>
          <w:pPr>
            <w:pStyle w:val="13"/>
            <w:tabs>
              <w:tab w:val="right" w:leader="dot" w:pos="8306"/>
              <w:tab w:val="clear" w:pos="8296"/>
            </w:tabs>
          </w:pPr>
          <w:r>
            <w:fldChar w:fldCharType="begin"/>
          </w:r>
          <w:r>
            <w:instrText xml:space="preserve"> HYPERLINK \l _Toc4208 </w:instrText>
          </w:r>
          <w:r>
            <w:fldChar w:fldCharType="separate"/>
          </w:r>
          <w:r>
            <w:rPr>
              <w:rFonts w:hint="eastAsia" w:eastAsia="仿宋_GB2312" w:cs="仿宋_GB2312"/>
              <w:szCs w:val="32"/>
            </w:rPr>
            <w:t>五、财政拨款支出决算明细表</w:t>
          </w:r>
          <w:r>
            <w:tab/>
          </w:r>
          <w:r>
            <w:fldChar w:fldCharType="begin"/>
          </w:r>
          <w:r>
            <w:instrText xml:space="preserve"> PAGEREF _Toc4208 \h </w:instrText>
          </w:r>
          <w:r>
            <w:fldChar w:fldCharType="separate"/>
          </w:r>
          <w:r>
            <w:t>- 13 -</w:t>
          </w:r>
          <w:r>
            <w:fldChar w:fldCharType="end"/>
          </w:r>
          <w:r>
            <w:fldChar w:fldCharType="end"/>
          </w:r>
        </w:p>
        <w:p>
          <w:pPr>
            <w:pStyle w:val="13"/>
            <w:tabs>
              <w:tab w:val="right" w:leader="dot" w:pos="8306"/>
              <w:tab w:val="clear" w:pos="8296"/>
            </w:tabs>
          </w:pPr>
          <w:r>
            <w:fldChar w:fldCharType="begin"/>
          </w:r>
          <w:r>
            <w:instrText xml:space="preserve"> HYPERLINK \l _Toc16885 </w:instrText>
          </w:r>
          <w:r>
            <w:fldChar w:fldCharType="separate"/>
          </w:r>
          <w:r>
            <w:rPr>
              <w:rFonts w:hint="eastAsia" w:eastAsia="仿宋_GB2312" w:cs="仿宋_GB2312"/>
              <w:szCs w:val="32"/>
            </w:rPr>
            <w:t>六、一般公共预算财政拨款支出决算表</w:t>
          </w:r>
          <w:r>
            <w:tab/>
          </w:r>
          <w:r>
            <w:fldChar w:fldCharType="begin"/>
          </w:r>
          <w:r>
            <w:instrText xml:space="preserve"> PAGEREF _Toc16885 \h </w:instrText>
          </w:r>
          <w:r>
            <w:fldChar w:fldCharType="separate"/>
          </w:r>
          <w:r>
            <w:t>- 13 -</w:t>
          </w:r>
          <w:r>
            <w:fldChar w:fldCharType="end"/>
          </w:r>
          <w:r>
            <w:fldChar w:fldCharType="end"/>
          </w:r>
        </w:p>
        <w:p>
          <w:pPr>
            <w:pStyle w:val="13"/>
            <w:tabs>
              <w:tab w:val="right" w:leader="dot" w:pos="8306"/>
              <w:tab w:val="clear" w:pos="8296"/>
            </w:tabs>
          </w:pPr>
          <w:r>
            <w:fldChar w:fldCharType="begin"/>
          </w:r>
          <w:r>
            <w:instrText xml:space="preserve"> HYPERLINK \l _Toc12538 </w:instrText>
          </w:r>
          <w:r>
            <w:fldChar w:fldCharType="separate"/>
          </w:r>
          <w:r>
            <w:rPr>
              <w:rFonts w:hint="eastAsia" w:eastAsia="仿宋_GB2312" w:cs="仿宋_GB2312"/>
              <w:szCs w:val="32"/>
            </w:rPr>
            <w:t>七、一般公共预算财政拨款支出决算明细表</w:t>
          </w:r>
          <w:r>
            <w:tab/>
          </w:r>
          <w:r>
            <w:fldChar w:fldCharType="begin"/>
          </w:r>
          <w:r>
            <w:instrText xml:space="preserve"> PAGEREF _Toc12538 \h </w:instrText>
          </w:r>
          <w:r>
            <w:fldChar w:fldCharType="separate"/>
          </w:r>
          <w:r>
            <w:t>- 13 -</w:t>
          </w:r>
          <w:r>
            <w:fldChar w:fldCharType="end"/>
          </w:r>
          <w:r>
            <w:fldChar w:fldCharType="end"/>
          </w:r>
        </w:p>
        <w:p>
          <w:pPr>
            <w:pStyle w:val="13"/>
            <w:tabs>
              <w:tab w:val="right" w:leader="dot" w:pos="8306"/>
              <w:tab w:val="clear" w:pos="8296"/>
            </w:tabs>
          </w:pPr>
          <w:r>
            <w:fldChar w:fldCharType="begin"/>
          </w:r>
          <w:r>
            <w:instrText xml:space="preserve"> HYPERLINK \l _Toc31966 </w:instrText>
          </w:r>
          <w:r>
            <w:fldChar w:fldCharType="separate"/>
          </w:r>
          <w:r>
            <w:rPr>
              <w:rFonts w:hint="eastAsia" w:eastAsia="仿宋_GB2312" w:cs="仿宋_GB2312"/>
              <w:szCs w:val="32"/>
            </w:rPr>
            <w:t>八、一般公共预算财政拨款基本支出决算表</w:t>
          </w:r>
          <w:r>
            <w:tab/>
          </w:r>
          <w:r>
            <w:fldChar w:fldCharType="begin"/>
          </w:r>
          <w:r>
            <w:instrText xml:space="preserve"> PAGEREF _Toc31966 \h </w:instrText>
          </w:r>
          <w:r>
            <w:fldChar w:fldCharType="separate"/>
          </w:r>
          <w:r>
            <w:t>- 13 -</w:t>
          </w:r>
          <w:r>
            <w:fldChar w:fldCharType="end"/>
          </w:r>
          <w:r>
            <w:fldChar w:fldCharType="end"/>
          </w:r>
        </w:p>
        <w:p>
          <w:pPr>
            <w:pStyle w:val="13"/>
            <w:tabs>
              <w:tab w:val="right" w:leader="dot" w:pos="8306"/>
              <w:tab w:val="clear" w:pos="8296"/>
            </w:tabs>
          </w:pPr>
          <w:r>
            <w:fldChar w:fldCharType="begin"/>
          </w:r>
          <w:r>
            <w:instrText xml:space="preserve"> HYPERLINK \l _Toc9040 </w:instrText>
          </w:r>
          <w:r>
            <w:fldChar w:fldCharType="separate"/>
          </w:r>
          <w:r>
            <w:rPr>
              <w:rFonts w:hint="eastAsia" w:eastAsia="仿宋_GB2312" w:cs="仿宋_GB2312"/>
              <w:szCs w:val="32"/>
            </w:rPr>
            <w:t>九、一般公共预算财政拨款项目支出决算表</w:t>
          </w:r>
          <w:r>
            <w:tab/>
          </w:r>
          <w:r>
            <w:fldChar w:fldCharType="begin"/>
          </w:r>
          <w:r>
            <w:instrText xml:space="preserve"> PAGEREF _Toc9040 \h </w:instrText>
          </w:r>
          <w:r>
            <w:fldChar w:fldCharType="separate"/>
          </w:r>
          <w:r>
            <w:t>- 13 -</w:t>
          </w:r>
          <w:r>
            <w:fldChar w:fldCharType="end"/>
          </w:r>
          <w:r>
            <w:fldChar w:fldCharType="end"/>
          </w:r>
        </w:p>
        <w:p>
          <w:pPr>
            <w:pStyle w:val="13"/>
            <w:tabs>
              <w:tab w:val="right" w:leader="dot" w:pos="8306"/>
              <w:tab w:val="clear" w:pos="8296"/>
            </w:tabs>
          </w:pPr>
          <w:r>
            <w:fldChar w:fldCharType="begin"/>
          </w:r>
          <w:r>
            <w:instrText xml:space="preserve"> HYPERLINK \l _Toc21197 </w:instrText>
          </w:r>
          <w:r>
            <w:fldChar w:fldCharType="separate"/>
          </w:r>
          <w:r>
            <w:rPr>
              <w:rFonts w:hint="eastAsia" w:eastAsia="仿宋_GB2312" w:cs="仿宋_GB2312"/>
              <w:szCs w:val="32"/>
            </w:rPr>
            <w:t>十、政府性基金预算财政拨款收入支出决算表</w:t>
          </w:r>
          <w:r>
            <w:tab/>
          </w:r>
          <w:r>
            <w:fldChar w:fldCharType="begin"/>
          </w:r>
          <w:r>
            <w:instrText xml:space="preserve"> PAGEREF _Toc21197 \h </w:instrText>
          </w:r>
          <w:r>
            <w:fldChar w:fldCharType="separate"/>
          </w:r>
          <w:r>
            <w:t>- 13 -</w:t>
          </w:r>
          <w:r>
            <w:fldChar w:fldCharType="end"/>
          </w:r>
          <w:r>
            <w:fldChar w:fldCharType="end"/>
          </w:r>
        </w:p>
        <w:p>
          <w:pPr>
            <w:pStyle w:val="13"/>
            <w:tabs>
              <w:tab w:val="right" w:leader="dot" w:pos="8306"/>
              <w:tab w:val="clear" w:pos="8296"/>
            </w:tabs>
          </w:pPr>
          <w:r>
            <w:fldChar w:fldCharType="begin"/>
          </w:r>
          <w:r>
            <w:instrText xml:space="preserve"> HYPERLINK \l _Toc22602 </w:instrText>
          </w:r>
          <w:r>
            <w:fldChar w:fldCharType="separate"/>
          </w:r>
          <w:r>
            <w:rPr>
              <w:rFonts w:hint="eastAsia" w:eastAsia="仿宋_GB2312" w:cs="仿宋_GB2312"/>
              <w:szCs w:val="32"/>
            </w:rPr>
            <w:t>十一、国有资本经营预算财政拨款收入支出决算表</w:t>
          </w:r>
          <w:r>
            <w:tab/>
          </w:r>
          <w:r>
            <w:fldChar w:fldCharType="begin"/>
          </w:r>
          <w:r>
            <w:instrText xml:space="preserve"> PAGEREF _Toc22602 \h </w:instrText>
          </w:r>
          <w:r>
            <w:fldChar w:fldCharType="separate"/>
          </w:r>
          <w:r>
            <w:t>- 13 -</w:t>
          </w:r>
          <w:r>
            <w:fldChar w:fldCharType="end"/>
          </w:r>
          <w:r>
            <w:fldChar w:fldCharType="end"/>
          </w:r>
        </w:p>
        <w:p>
          <w:pPr>
            <w:pStyle w:val="13"/>
            <w:tabs>
              <w:tab w:val="right" w:leader="dot" w:pos="8306"/>
              <w:tab w:val="clear" w:pos="8296"/>
            </w:tabs>
          </w:pPr>
          <w:r>
            <w:fldChar w:fldCharType="begin"/>
          </w:r>
          <w:r>
            <w:instrText xml:space="preserve"> HYPERLINK \l _Toc22186 </w:instrText>
          </w:r>
          <w:r>
            <w:fldChar w:fldCharType="separate"/>
          </w:r>
          <w:r>
            <w:rPr>
              <w:rFonts w:hint="eastAsia" w:eastAsia="仿宋_GB2312" w:cs="仿宋_GB2312"/>
              <w:szCs w:val="32"/>
            </w:rPr>
            <w:t>十二、国有资本经营预算财政拨款支出决算表</w:t>
          </w:r>
          <w:r>
            <w:tab/>
          </w:r>
          <w:r>
            <w:fldChar w:fldCharType="begin"/>
          </w:r>
          <w:r>
            <w:instrText xml:space="preserve"> PAGEREF _Toc22186 \h </w:instrText>
          </w:r>
          <w:r>
            <w:fldChar w:fldCharType="separate"/>
          </w:r>
          <w:r>
            <w:t>- 13 -</w:t>
          </w:r>
          <w:r>
            <w:fldChar w:fldCharType="end"/>
          </w:r>
          <w:r>
            <w:fldChar w:fldCharType="end"/>
          </w:r>
        </w:p>
        <w:p>
          <w:pPr>
            <w:pStyle w:val="13"/>
            <w:tabs>
              <w:tab w:val="right" w:leader="dot" w:pos="8306"/>
              <w:tab w:val="clear" w:pos="8296"/>
            </w:tabs>
          </w:pPr>
          <w:r>
            <w:fldChar w:fldCharType="begin"/>
          </w:r>
          <w:r>
            <w:instrText xml:space="preserve"> HYPERLINK \l _Toc3827 </w:instrText>
          </w:r>
          <w:r>
            <w:fldChar w:fldCharType="separate"/>
          </w:r>
          <w:r>
            <w:rPr>
              <w:rFonts w:hint="eastAsia" w:eastAsia="仿宋_GB2312" w:cs="仿宋_GB2312"/>
              <w:szCs w:val="32"/>
            </w:rPr>
            <w:t>十三、财政拨款“三公”经费支出决算表</w:t>
          </w:r>
          <w:r>
            <w:tab/>
          </w:r>
          <w:r>
            <w:fldChar w:fldCharType="begin"/>
          </w:r>
          <w:r>
            <w:instrText xml:space="preserve"> PAGEREF _Toc3827 \h </w:instrText>
          </w:r>
          <w:r>
            <w:fldChar w:fldCharType="separate"/>
          </w:r>
          <w:r>
            <w:t>- 13 -</w:t>
          </w:r>
          <w:r>
            <w:fldChar w:fldCharType="end"/>
          </w:r>
          <w:r>
            <w:fldChar w:fldCharType="end"/>
          </w:r>
        </w:p>
        <w:p>
          <w:r>
            <w:fldChar w:fldCharType="end"/>
          </w:r>
        </w:p>
      </w:sdtContent>
    </w:sdt>
    <w:p/>
    <w:p>
      <w:pPr>
        <w:pStyle w:val="5"/>
        <w:jc w:val="center"/>
        <w:rPr>
          <w:rFonts w:hint="eastAsia" w:eastAsia="方正小标宋简体" w:cs="方正小标宋简体"/>
          <w:b w:val="0"/>
        </w:rPr>
        <w:sectPr>
          <w:footerReference r:id="rId5" w:type="first"/>
          <w:headerReference r:id="rId3" w:type="default"/>
          <w:footerReference r:id="rId4" w:type="default"/>
          <w:pgSz w:w="11906" w:h="16838"/>
          <w:pgMar w:top="1440" w:right="1800" w:bottom="1440" w:left="1800" w:header="851" w:footer="992" w:gutter="0"/>
          <w:pgNumType w:fmt="numberInDash" w:start="1"/>
          <w:cols w:space="425" w:num="1"/>
          <w:titlePg/>
          <w:docGrid w:type="lines" w:linePitch="312" w:charSpace="0"/>
        </w:sectPr>
      </w:pPr>
      <w:bookmarkStart w:id="12" w:name="_Toc15377196"/>
      <w:bookmarkStart w:id="13" w:name="_Toc16611"/>
      <w:bookmarkStart w:id="14" w:name="_Toc15396599"/>
    </w:p>
    <w:p>
      <w:pPr>
        <w:pStyle w:val="5"/>
        <w:jc w:val="center"/>
        <w:rPr>
          <w:rStyle w:val="28"/>
          <w:rFonts w:eastAsia="方正小标宋简体" w:cs="方正小标宋简体"/>
          <w:b/>
          <w:bCs w:val="0"/>
        </w:rPr>
      </w:pPr>
      <w:r>
        <w:rPr>
          <w:rFonts w:hint="eastAsia" w:eastAsia="方正小标宋简体" w:cs="方正小标宋简体"/>
          <w:b w:val="0"/>
        </w:rPr>
        <w:t xml:space="preserve">第一部分  </w:t>
      </w:r>
      <w:r>
        <w:rPr>
          <w:rStyle w:val="28"/>
          <w:rFonts w:hint="eastAsia" w:eastAsia="方正小标宋简体" w:cs="方正小标宋简体"/>
          <w:b w:val="0"/>
          <w:bCs w:val="0"/>
        </w:rPr>
        <w:t>部门概况</w:t>
      </w:r>
      <w:bookmarkEnd w:id="12"/>
      <w:bookmarkEnd w:id="13"/>
      <w:bookmarkEnd w:id="14"/>
    </w:p>
    <w:p>
      <w:pPr>
        <w:widowControl/>
        <w:jc w:val="left"/>
        <w:rPr>
          <w:rFonts w:eastAsia="黑体"/>
          <w:sz w:val="32"/>
          <w:szCs w:val="32"/>
        </w:rPr>
      </w:pPr>
    </w:p>
    <w:p>
      <w:pPr>
        <w:pStyle w:val="7"/>
        <w:keepNext/>
        <w:keepLines/>
        <w:pageBreakBefore w:val="0"/>
        <w:widowControl w:val="0"/>
        <w:numPr>
          <w:ilvl w:val="0"/>
          <w:numId w:val="1"/>
        </w:numPr>
        <w:kinsoku/>
        <w:wordWrap/>
        <w:overflowPunct/>
        <w:topLinePunct w:val="0"/>
        <w:autoSpaceDE/>
        <w:autoSpaceDN/>
        <w:bidi w:val="0"/>
        <w:adjustRightInd/>
        <w:snapToGrid/>
        <w:spacing w:line="416" w:lineRule="auto"/>
        <w:ind w:left="0" w:leftChars="0" w:firstLine="640" w:firstLineChars="200"/>
        <w:textAlignment w:val="auto"/>
        <w:outlineLvl w:val="0"/>
        <w:rPr>
          <w:rFonts w:hint="eastAsia" w:ascii="Times New Roman" w:hAnsi="Times New Roman" w:eastAsia="黑体"/>
          <w:b w:val="0"/>
        </w:rPr>
      </w:pPr>
      <w:bookmarkStart w:id="15" w:name="_Toc27744"/>
      <w:r>
        <w:rPr>
          <w:rFonts w:hint="eastAsia" w:ascii="Times New Roman" w:hAnsi="Times New Roman" w:eastAsia="黑体"/>
          <w:b w:val="0"/>
        </w:rPr>
        <w:t>部门职责</w:t>
      </w:r>
      <w:bookmarkEnd w:id="15"/>
    </w:p>
    <w:p>
      <w:pPr>
        <w:pStyle w:val="8"/>
        <w:keepNext w:val="0"/>
        <w:keepLines w:val="0"/>
        <w:pageBreakBefore w:val="0"/>
        <w:widowControl w:val="0"/>
        <w:kinsoku/>
        <w:wordWrap/>
        <w:overflowPunct/>
        <w:topLinePunct w:val="0"/>
        <w:autoSpaceDE/>
        <w:autoSpaceDN/>
        <w:bidi w:val="0"/>
        <w:adjustRightInd w:val="0"/>
        <w:snapToGrid w:val="0"/>
        <w:spacing w:before="93" w:line="600" w:lineRule="exact"/>
        <w:ind w:firstLine="640" w:firstLineChars="200"/>
        <w:textAlignment w:val="auto"/>
        <w:rPr>
          <w:rFonts w:hint="eastAsia" w:ascii="仿宋_GB2312" w:hAnsi="仿宋_GB2312" w:eastAsia="仿宋_GB2312" w:cs="仿宋_GB2312"/>
          <w:sz w:val="32"/>
          <w:szCs w:val="32"/>
        </w:rPr>
      </w:pPr>
      <w:bookmarkStart w:id="16" w:name="_Toc15396601"/>
      <w:bookmarkStart w:id="17" w:name="_Toc15377200"/>
      <w:r>
        <w:rPr>
          <w:rFonts w:hint="eastAsia" w:ascii="仿宋_GB2312" w:hAnsi="仿宋_GB2312" w:eastAsia="仿宋_GB2312" w:cs="仿宋_GB2312"/>
          <w:sz w:val="32"/>
          <w:szCs w:val="32"/>
        </w:rPr>
        <w:t>着力提升全州两级法院干警的思想政治水平和司法业务能力。</w:t>
      </w:r>
    </w:p>
    <w:p>
      <w:pPr>
        <w:pStyle w:val="6"/>
        <w:keepNext/>
        <w:keepLines/>
        <w:pageBreakBefore w:val="0"/>
        <w:widowControl w:val="0"/>
        <w:kinsoku/>
        <w:wordWrap/>
        <w:overflowPunct/>
        <w:topLinePunct w:val="0"/>
        <w:autoSpaceDE/>
        <w:autoSpaceDN/>
        <w:bidi w:val="0"/>
        <w:adjustRightInd/>
        <w:snapToGrid/>
        <w:spacing w:line="416" w:lineRule="auto"/>
        <w:ind w:firstLine="640" w:firstLineChars="200"/>
        <w:textAlignment w:val="auto"/>
        <w:outlineLvl w:val="0"/>
        <w:rPr>
          <w:rStyle w:val="29"/>
          <w:rFonts w:ascii="Times New Roman" w:hAnsi="Times New Roman"/>
          <w:b w:val="0"/>
          <w:bCs w:val="0"/>
        </w:rPr>
      </w:pPr>
      <w:bookmarkStart w:id="18" w:name="_Toc8382"/>
      <w:r>
        <w:rPr>
          <w:rFonts w:hint="eastAsia" w:ascii="Times New Roman" w:hAnsi="Times New Roman" w:eastAsia="黑体"/>
          <w:b w:val="0"/>
        </w:rPr>
        <w:t>二、机</w:t>
      </w:r>
      <w:r>
        <w:rPr>
          <w:rStyle w:val="29"/>
          <w:rFonts w:hint="eastAsia" w:ascii="Times New Roman" w:hAnsi="Times New Roman" w:eastAsia="黑体"/>
          <w:b w:val="0"/>
          <w:bCs w:val="0"/>
        </w:rPr>
        <w:t>构设置</w:t>
      </w:r>
      <w:bookmarkEnd w:id="16"/>
      <w:bookmarkEnd w:id="17"/>
      <w:bookmarkEnd w:id="18"/>
    </w:p>
    <w:p>
      <w:pPr>
        <w:pStyle w:val="8"/>
        <w:keepNext w:val="0"/>
        <w:keepLines w:val="0"/>
        <w:pageBreakBefore w:val="0"/>
        <w:widowControl w:val="0"/>
        <w:kinsoku/>
        <w:wordWrap/>
        <w:overflowPunct/>
        <w:topLinePunct w:val="0"/>
        <w:autoSpaceDE/>
        <w:autoSpaceDN/>
        <w:bidi w:val="0"/>
        <w:adjustRightInd w:val="0"/>
        <w:snapToGrid w:val="0"/>
        <w:spacing w:before="93"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本单位本年度纳入本套决算编制范围的独立编制机构数共1个，比上年增加0个；独立核算机构数共1个，比上年增加0个。</w:t>
      </w:r>
    </w:p>
    <w:p>
      <w:pPr>
        <w:widowControl/>
        <w:jc w:val="left"/>
        <w:rPr>
          <w:rFonts w:eastAsia="仿宋"/>
          <w:kern w:val="0"/>
          <w:sz w:val="32"/>
          <w:szCs w:val="32"/>
        </w:rPr>
      </w:pPr>
      <w:r>
        <w:rPr>
          <w:rFonts w:eastAsia="仿宋"/>
          <w:sz w:val="32"/>
          <w:szCs w:val="32"/>
        </w:rPr>
        <w:br w:type="page"/>
      </w:r>
    </w:p>
    <w:p>
      <w:pPr>
        <w:pStyle w:val="5"/>
        <w:jc w:val="center"/>
        <w:rPr>
          <w:rFonts w:eastAsia="方正小标宋简体" w:cs="方正小标宋简体"/>
          <w:b w:val="0"/>
        </w:rPr>
      </w:pPr>
      <w:bookmarkStart w:id="19" w:name="_Toc15396602"/>
      <w:bookmarkStart w:id="20" w:name="_Toc14744"/>
      <w:bookmarkStart w:id="21" w:name="_Toc15377204"/>
      <w:r>
        <w:rPr>
          <w:rFonts w:hint="eastAsia" w:eastAsia="方正小标宋简体" w:cs="方正小标宋简体"/>
          <w:b w:val="0"/>
        </w:rPr>
        <w:t>第二部分  2024年度部门决算情况说明</w:t>
      </w:r>
      <w:bookmarkEnd w:id="19"/>
      <w:bookmarkEnd w:id="20"/>
      <w:bookmarkEnd w:id="21"/>
    </w:p>
    <w:p/>
    <w:p>
      <w:pPr>
        <w:pStyle w:val="27"/>
        <w:spacing w:line="600" w:lineRule="exact"/>
        <w:ind w:firstLine="640" w:firstLineChars="200"/>
        <w:outlineLvl w:val="0"/>
        <w:rPr>
          <w:rStyle w:val="29"/>
          <w:rFonts w:ascii="Times New Roman" w:hAnsi="Times New Roman" w:eastAsia="黑体"/>
          <w:b w:val="0"/>
        </w:rPr>
      </w:pPr>
      <w:bookmarkStart w:id="22" w:name="_Toc15396603"/>
      <w:bookmarkStart w:id="23" w:name="_Toc15377205"/>
      <w:bookmarkStart w:id="24" w:name="_Toc32221"/>
      <w:r>
        <w:rPr>
          <w:rFonts w:hint="eastAsia" w:eastAsia="黑体"/>
          <w:sz w:val="32"/>
          <w:szCs w:val="32"/>
        </w:rPr>
        <w:t>一、收</w:t>
      </w:r>
      <w:r>
        <w:rPr>
          <w:rStyle w:val="29"/>
          <w:rFonts w:hint="eastAsia" w:ascii="Times New Roman" w:hAnsi="Times New Roman" w:eastAsia="黑体"/>
          <w:b w:val="0"/>
        </w:rPr>
        <w:t>入支出决算总体情况说明</w:t>
      </w:r>
      <w:bookmarkEnd w:id="22"/>
      <w:bookmarkEnd w:id="23"/>
      <w:bookmarkEnd w:id="24"/>
    </w:p>
    <w:p>
      <w:pPr>
        <w:spacing w:line="600" w:lineRule="exact"/>
        <w:ind w:firstLine="640"/>
        <w:rPr>
          <w:rFonts w:hint="eastAsia" w:eastAsia="仿宋_GB2312" w:cs="仿宋_GB2312"/>
          <w:sz w:val="32"/>
          <w:szCs w:val="32"/>
          <w:lang w:eastAsia="zh-CN"/>
        </w:rPr>
      </w:pPr>
      <w:r>
        <w:rPr>
          <w:rFonts w:hint="eastAsia" w:eastAsia="仿宋_GB2312" w:cs="仿宋_GB2312"/>
          <w:sz w:val="32"/>
          <w:szCs w:val="32"/>
        </w:rPr>
        <w:t>2024年度收入、支出总计均为</w:t>
      </w:r>
      <w:r>
        <w:rPr>
          <w:rFonts w:hint="eastAsia" w:eastAsia="仿宋_GB2312" w:cs="仿宋_GB2312"/>
          <w:sz w:val="32"/>
          <w:szCs w:val="32"/>
          <w:lang w:val="en-US" w:eastAsia="zh-CN"/>
        </w:rPr>
        <w:t>44.96</w:t>
      </w:r>
      <w:r>
        <w:rPr>
          <w:rFonts w:hint="eastAsia" w:eastAsia="仿宋_GB2312" w:cs="仿宋_GB2312"/>
          <w:sz w:val="32"/>
          <w:szCs w:val="32"/>
        </w:rPr>
        <w:t>万元。与2023年度相比，收入、支出总计各</w:t>
      </w:r>
      <w:r>
        <w:rPr>
          <w:rFonts w:hint="eastAsia" w:eastAsia="仿宋_GB2312" w:cs="仿宋_GB2312"/>
          <w:sz w:val="32"/>
          <w:szCs w:val="32"/>
          <w:lang w:val="en-US" w:eastAsia="zh-CN"/>
        </w:rPr>
        <w:t>减少1.25</w:t>
      </w:r>
      <w:r>
        <w:rPr>
          <w:rFonts w:hint="eastAsia" w:eastAsia="仿宋_GB2312" w:cs="仿宋_GB2312"/>
          <w:sz w:val="32"/>
          <w:szCs w:val="32"/>
        </w:rPr>
        <w:t>万元，</w:t>
      </w:r>
      <w:r>
        <w:rPr>
          <w:rFonts w:hint="eastAsia" w:eastAsia="仿宋_GB2312" w:cs="仿宋_GB2312"/>
          <w:sz w:val="32"/>
          <w:szCs w:val="32"/>
          <w:lang w:val="en-US" w:eastAsia="zh-CN"/>
        </w:rPr>
        <w:t>下降2.7</w:t>
      </w:r>
      <w:r>
        <w:rPr>
          <w:rFonts w:hint="eastAsia" w:eastAsia="仿宋_GB2312" w:cs="仿宋_GB2312"/>
          <w:sz w:val="32"/>
          <w:szCs w:val="32"/>
        </w:rPr>
        <w:t>%。主要变动原因是厉行节约</w:t>
      </w:r>
      <w:r>
        <w:rPr>
          <w:rFonts w:hint="eastAsia" w:eastAsia="仿宋_GB2312" w:cs="仿宋_GB2312"/>
          <w:sz w:val="32"/>
          <w:szCs w:val="32"/>
          <w:lang w:eastAsia="zh-CN"/>
        </w:rPr>
        <w:t>，</w:t>
      </w:r>
      <w:r>
        <w:rPr>
          <w:rFonts w:hint="eastAsia" w:eastAsia="仿宋_GB2312" w:cs="仿宋_GB2312"/>
          <w:sz w:val="32"/>
          <w:szCs w:val="32"/>
          <w:lang w:val="en-US" w:eastAsia="zh-CN"/>
        </w:rPr>
        <w:t>缩减开支</w:t>
      </w:r>
      <w:r>
        <w:rPr>
          <w:rFonts w:hint="eastAsia" w:eastAsia="仿宋_GB2312" w:cs="仿宋_GB2312"/>
          <w:sz w:val="32"/>
          <w:szCs w:val="32"/>
          <w:lang w:eastAsia="zh-CN"/>
        </w:rPr>
        <w:t>。</w:t>
      </w:r>
    </w:p>
    <w:p>
      <w:pPr>
        <w:pStyle w:val="27"/>
        <w:spacing w:line="600" w:lineRule="exact"/>
        <w:ind w:firstLine="640"/>
        <w:jc w:val="center"/>
        <w:outlineLvl w:val="9"/>
        <w:rPr>
          <w:rFonts w:eastAsia="仿宋_GB2312" w:cs="仿宋_GB2312"/>
          <w:sz w:val="32"/>
          <w:szCs w:val="32"/>
        </w:rPr>
      </w:pPr>
      <w:r>
        <w:drawing>
          <wp:anchor distT="0" distB="0" distL="114300" distR="114300" simplePos="0" relativeHeight="251661312" behindDoc="0" locked="0" layoutInCell="1" allowOverlap="1">
            <wp:simplePos x="0" y="0"/>
            <wp:positionH relativeFrom="column">
              <wp:posOffset>147320</wp:posOffset>
            </wp:positionH>
            <wp:positionV relativeFrom="paragraph">
              <wp:posOffset>185420</wp:posOffset>
            </wp:positionV>
            <wp:extent cx="5012055" cy="2753360"/>
            <wp:effectExtent l="4445" t="4445" r="12700" b="10795"/>
            <wp:wrapSquare wrapText="bothSides"/>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rFonts w:hint="eastAsia" w:eastAsia="仿宋_GB2312" w:cs="仿宋_GB2312"/>
          <w:sz w:val="32"/>
          <w:szCs w:val="32"/>
        </w:rPr>
        <w:t>（图1：收入、支出决算总计变动情况图）</w:t>
      </w:r>
    </w:p>
    <w:p>
      <w:pPr>
        <w:pStyle w:val="27"/>
        <w:spacing w:line="600" w:lineRule="exact"/>
        <w:ind w:firstLine="640" w:firstLineChars="200"/>
        <w:outlineLvl w:val="0"/>
        <w:rPr>
          <w:rFonts w:eastAsia="黑体"/>
          <w:sz w:val="32"/>
          <w:szCs w:val="32"/>
        </w:rPr>
      </w:pPr>
      <w:bookmarkStart w:id="25" w:name="_Toc15396604"/>
      <w:bookmarkStart w:id="26" w:name="_Toc15377206"/>
      <w:bookmarkStart w:id="27" w:name="_Toc12932"/>
      <w:r>
        <w:rPr>
          <w:rFonts w:hint="eastAsia" w:eastAsia="黑体"/>
          <w:sz w:val="32"/>
          <w:szCs w:val="32"/>
        </w:rPr>
        <w:t>二、收入决算情况说明</w:t>
      </w:r>
      <w:bookmarkEnd w:id="25"/>
      <w:bookmarkEnd w:id="26"/>
      <w:bookmarkEnd w:id="27"/>
    </w:p>
    <w:p>
      <w:pPr>
        <w:spacing w:line="600" w:lineRule="exact"/>
        <w:ind w:firstLine="640"/>
        <w:rPr>
          <w:rFonts w:hint="eastAsia" w:ascii="仿宋_GB2312" w:hAnsi="仿宋_GB2312" w:eastAsia="仿宋_GB2312" w:cs="仿宋_GB2312"/>
          <w:sz w:val="32"/>
          <w:szCs w:val="32"/>
        </w:rPr>
      </w:pPr>
      <w:r>
        <w:rPr>
          <w:rFonts w:hint="eastAsia" w:eastAsia="仿宋_GB2312" w:cs="仿宋_GB2312"/>
          <w:sz w:val="32"/>
          <w:szCs w:val="32"/>
        </w:rPr>
        <w:t>2024年度本年收入合计</w:t>
      </w:r>
      <w:r>
        <w:rPr>
          <w:rFonts w:hint="eastAsia" w:eastAsia="仿宋_GB2312" w:cs="仿宋_GB2312"/>
          <w:sz w:val="32"/>
          <w:szCs w:val="32"/>
          <w:lang w:val="en-US" w:eastAsia="zh-CN"/>
        </w:rPr>
        <w:t>44.96</w:t>
      </w:r>
      <w:r>
        <w:rPr>
          <w:rFonts w:hint="eastAsia" w:eastAsia="仿宋_GB2312" w:cs="仿宋_GB2312"/>
          <w:sz w:val="32"/>
          <w:szCs w:val="32"/>
        </w:rPr>
        <w:t>万元，其中：一般公共预算财政拨款收入</w:t>
      </w:r>
      <w:r>
        <w:rPr>
          <w:rFonts w:hint="eastAsia" w:eastAsia="仿宋_GB2312" w:cs="仿宋_GB2312"/>
          <w:sz w:val="32"/>
          <w:szCs w:val="32"/>
          <w:lang w:val="en-US" w:eastAsia="zh-CN"/>
        </w:rPr>
        <w:t>44.96</w:t>
      </w:r>
      <w:r>
        <w:rPr>
          <w:rFonts w:hint="eastAsia" w:eastAsia="仿宋_GB2312" w:cs="仿宋_GB2312"/>
          <w:sz w:val="32"/>
          <w:szCs w:val="32"/>
        </w:rPr>
        <w:t>万元，占</w:t>
      </w:r>
      <w:r>
        <w:rPr>
          <w:rFonts w:hint="eastAsia" w:eastAsia="仿宋_GB2312" w:cs="仿宋_GB2312"/>
          <w:sz w:val="32"/>
          <w:szCs w:val="32"/>
          <w:lang w:val="en-US" w:eastAsia="zh-CN"/>
        </w:rPr>
        <w:t>100</w:t>
      </w:r>
      <w:r>
        <w:rPr>
          <w:rFonts w:hint="eastAsia" w:eastAsia="仿宋_GB2312" w:cs="仿宋_GB2312"/>
          <w:sz w:val="32"/>
          <w:szCs w:val="32"/>
        </w:rPr>
        <w:t>%；政府性基金预算财政拨款收入</w:t>
      </w:r>
      <w:r>
        <w:rPr>
          <w:rFonts w:hint="eastAsia" w:eastAsia="仿宋_GB2312" w:cs="仿宋_GB2312"/>
          <w:sz w:val="32"/>
          <w:szCs w:val="32"/>
          <w:lang w:val="en-US" w:eastAsia="zh-CN"/>
        </w:rPr>
        <w:t>0</w:t>
      </w:r>
      <w:r>
        <w:rPr>
          <w:rFonts w:hint="eastAsia" w:eastAsia="仿宋_GB2312" w:cs="仿宋_GB2312"/>
          <w:sz w:val="32"/>
          <w:szCs w:val="32"/>
        </w:rPr>
        <w:t>万元，占</w:t>
      </w:r>
      <w:r>
        <w:rPr>
          <w:rFonts w:hint="eastAsia" w:eastAsia="仿宋_GB2312" w:cs="仿宋_GB2312"/>
          <w:sz w:val="32"/>
          <w:szCs w:val="32"/>
          <w:lang w:val="en-US" w:eastAsia="zh-CN"/>
        </w:rPr>
        <w:t>0</w:t>
      </w:r>
      <w:r>
        <w:rPr>
          <w:rFonts w:hint="eastAsia" w:eastAsia="仿宋_GB2312" w:cs="仿宋_GB2312"/>
          <w:sz w:val="32"/>
          <w:szCs w:val="32"/>
        </w:rPr>
        <w:t>%；国有资本经营预算财政拨款收入</w:t>
      </w:r>
      <w:r>
        <w:rPr>
          <w:rFonts w:hint="eastAsia" w:eastAsia="仿宋_GB2312" w:cs="仿宋_GB2312"/>
          <w:sz w:val="32"/>
          <w:szCs w:val="32"/>
          <w:lang w:val="en-US" w:eastAsia="zh-CN"/>
        </w:rPr>
        <w:t>0</w:t>
      </w:r>
      <w:r>
        <w:rPr>
          <w:rFonts w:hint="eastAsia" w:eastAsia="仿宋_GB2312" w:cs="仿宋_GB2312"/>
          <w:sz w:val="32"/>
          <w:szCs w:val="32"/>
        </w:rPr>
        <w:t>万元，占</w:t>
      </w:r>
      <w:r>
        <w:rPr>
          <w:rFonts w:hint="eastAsia" w:eastAsia="仿宋_GB2312" w:cs="仿宋_GB2312"/>
          <w:sz w:val="32"/>
          <w:szCs w:val="32"/>
          <w:lang w:val="en-US" w:eastAsia="zh-CN"/>
        </w:rPr>
        <w:t>0</w:t>
      </w:r>
      <w:r>
        <w:rPr>
          <w:rFonts w:hint="eastAsia" w:eastAsia="仿宋_GB2312" w:cs="仿宋_GB2312"/>
          <w:sz w:val="32"/>
          <w:szCs w:val="32"/>
        </w:rPr>
        <w:t>%；上级补助收入</w:t>
      </w:r>
      <w:r>
        <w:rPr>
          <w:rFonts w:hint="eastAsia" w:eastAsia="仿宋_GB2312" w:cs="仿宋_GB2312"/>
          <w:sz w:val="32"/>
          <w:szCs w:val="32"/>
          <w:lang w:val="en-US" w:eastAsia="zh-CN"/>
        </w:rPr>
        <w:t>0</w:t>
      </w:r>
      <w:r>
        <w:rPr>
          <w:rFonts w:hint="eastAsia" w:eastAsia="仿宋_GB2312" w:cs="仿宋_GB2312"/>
          <w:sz w:val="32"/>
          <w:szCs w:val="32"/>
        </w:rPr>
        <w:t>万元，占</w:t>
      </w:r>
      <w:r>
        <w:rPr>
          <w:rFonts w:hint="eastAsia" w:eastAsia="仿宋_GB2312" w:cs="仿宋_GB2312"/>
          <w:sz w:val="32"/>
          <w:szCs w:val="32"/>
          <w:lang w:val="en-US" w:eastAsia="zh-CN"/>
        </w:rPr>
        <w:t>0</w:t>
      </w:r>
      <w:r>
        <w:rPr>
          <w:rFonts w:hint="eastAsia" w:eastAsia="仿宋_GB2312" w:cs="仿宋_GB2312"/>
          <w:sz w:val="32"/>
          <w:szCs w:val="32"/>
        </w:rPr>
        <w:t>%；事业收入</w:t>
      </w:r>
      <w:r>
        <w:rPr>
          <w:rFonts w:hint="eastAsia" w:eastAsia="仿宋_GB2312" w:cs="仿宋_GB2312"/>
          <w:sz w:val="32"/>
          <w:szCs w:val="32"/>
          <w:lang w:val="en-US" w:eastAsia="zh-CN"/>
        </w:rPr>
        <w:t>0</w:t>
      </w:r>
      <w:r>
        <w:rPr>
          <w:rFonts w:hint="eastAsia" w:eastAsia="仿宋_GB2312" w:cs="仿宋_GB2312"/>
          <w:sz w:val="32"/>
          <w:szCs w:val="32"/>
        </w:rPr>
        <w:t>万元，占</w:t>
      </w:r>
      <w:r>
        <w:rPr>
          <w:rFonts w:hint="eastAsia" w:eastAsia="仿宋_GB2312" w:cs="仿宋_GB2312"/>
          <w:sz w:val="32"/>
          <w:szCs w:val="32"/>
          <w:lang w:val="en-US" w:eastAsia="zh-CN"/>
        </w:rPr>
        <w:t>0</w:t>
      </w:r>
      <w:r>
        <w:rPr>
          <w:rFonts w:hint="eastAsia" w:eastAsia="仿宋_GB2312" w:cs="仿宋_GB2312"/>
          <w:sz w:val="32"/>
          <w:szCs w:val="32"/>
        </w:rPr>
        <w:t>%；经营收入</w:t>
      </w:r>
      <w:r>
        <w:rPr>
          <w:rFonts w:hint="eastAsia" w:eastAsia="仿宋_GB2312" w:cs="仿宋_GB2312"/>
          <w:sz w:val="32"/>
          <w:szCs w:val="32"/>
          <w:lang w:val="en-US" w:eastAsia="zh-CN"/>
        </w:rPr>
        <w:t>0</w:t>
      </w:r>
      <w:r>
        <w:rPr>
          <w:rFonts w:hint="eastAsia" w:eastAsia="仿宋_GB2312" w:cs="仿宋_GB2312"/>
          <w:sz w:val="32"/>
          <w:szCs w:val="32"/>
        </w:rPr>
        <w:t>万元，占</w:t>
      </w:r>
      <w:r>
        <w:rPr>
          <w:rFonts w:hint="eastAsia" w:eastAsia="仿宋_GB2312" w:cs="仿宋_GB2312"/>
          <w:sz w:val="32"/>
          <w:szCs w:val="32"/>
          <w:lang w:val="en-US" w:eastAsia="zh-CN"/>
        </w:rPr>
        <w:t>0</w:t>
      </w:r>
      <w:r>
        <w:rPr>
          <w:rFonts w:hint="eastAsia" w:eastAsia="仿宋_GB2312" w:cs="仿宋_GB2312"/>
          <w:sz w:val="32"/>
          <w:szCs w:val="32"/>
        </w:rPr>
        <w:t>%；附属单位上缴收入</w:t>
      </w:r>
      <w:r>
        <w:rPr>
          <w:rFonts w:hint="eastAsia" w:eastAsia="仿宋_GB2312" w:cs="仿宋_GB2312"/>
          <w:sz w:val="32"/>
          <w:szCs w:val="32"/>
          <w:lang w:val="en-US" w:eastAsia="zh-CN"/>
        </w:rPr>
        <w:t>0</w:t>
      </w:r>
      <w:r>
        <w:rPr>
          <w:rFonts w:hint="eastAsia" w:eastAsia="仿宋_GB2312" w:cs="仿宋_GB2312"/>
          <w:sz w:val="32"/>
          <w:szCs w:val="32"/>
        </w:rPr>
        <w:t>万元，占</w:t>
      </w:r>
      <w:r>
        <w:rPr>
          <w:rFonts w:hint="eastAsia" w:eastAsia="仿宋_GB2312" w:cs="仿宋_GB2312"/>
          <w:sz w:val="32"/>
          <w:szCs w:val="32"/>
          <w:lang w:val="en-US" w:eastAsia="zh-CN"/>
        </w:rPr>
        <w:t>0</w:t>
      </w:r>
      <w:r>
        <w:rPr>
          <w:rFonts w:hint="eastAsia" w:eastAsia="仿宋_GB2312" w:cs="仿宋_GB2312"/>
          <w:sz w:val="32"/>
          <w:szCs w:val="32"/>
        </w:rPr>
        <w:t>%；其他收入</w:t>
      </w:r>
      <w:r>
        <w:rPr>
          <w:rFonts w:hint="eastAsia" w:eastAsia="仿宋_GB2312" w:cs="仿宋_GB2312"/>
          <w:sz w:val="32"/>
          <w:szCs w:val="32"/>
          <w:lang w:val="en-US" w:eastAsia="zh-CN"/>
        </w:rPr>
        <w:t>0</w:t>
      </w:r>
      <w:r>
        <w:rPr>
          <w:rFonts w:hint="eastAsia" w:eastAsia="仿宋_GB2312" w:cs="仿宋_GB2312"/>
          <w:sz w:val="32"/>
          <w:szCs w:val="32"/>
        </w:rPr>
        <w:t>万元，占</w:t>
      </w:r>
      <w:r>
        <w:rPr>
          <w:rFonts w:hint="eastAsia" w:eastAsia="仿宋_GB2312" w:cs="仿宋_GB2312"/>
          <w:sz w:val="32"/>
          <w:szCs w:val="32"/>
          <w:lang w:val="en-US" w:eastAsia="zh-CN"/>
        </w:rPr>
        <w:t>0</w:t>
      </w:r>
      <w:r>
        <w:rPr>
          <w:rFonts w:hint="eastAsia" w:eastAsia="仿宋_GB2312" w:cs="仿宋_GB2312"/>
          <w:sz w:val="32"/>
          <w:szCs w:val="32"/>
        </w:rPr>
        <w:t>%。</w:t>
      </w:r>
    </w:p>
    <w:p>
      <w:pPr>
        <w:pStyle w:val="27"/>
        <w:spacing w:line="600" w:lineRule="exact"/>
        <w:ind w:firstLine="640"/>
        <w:jc w:val="center"/>
        <w:outlineLvl w:val="9"/>
        <w:rPr>
          <w:rFonts w:eastAsia="仿宋_GB2312" w:cs="仿宋_GB2312"/>
          <w:sz w:val="32"/>
          <w:szCs w:val="32"/>
        </w:rPr>
      </w:pPr>
      <w:r>
        <w:drawing>
          <wp:anchor distT="0" distB="0" distL="114300" distR="114300" simplePos="0" relativeHeight="251660288" behindDoc="0" locked="0" layoutInCell="1" allowOverlap="1">
            <wp:simplePos x="0" y="0"/>
            <wp:positionH relativeFrom="column">
              <wp:posOffset>73660</wp:posOffset>
            </wp:positionH>
            <wp:positionV relativeFrom="paragraph">
              <wp:posOffset>122555</wp:posOffset>
            </wp:positionV>
            <wp:extent cx="5273675" cy="2635250"/>
            <wp:effectExtent l="4445" t="4445" r="5080" b="14605"/>
            <wp:wrapSquare wrapText="bothSides"/>
            <wp:docPr id="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hint="eastAsia" w:eastAsia="仿宋_GB2312" w:cs="仿宋_GB2312"/>
          <w:sz w:val="32"/>
          <w:szCs w:val="32"/>
        </w:rPr>
        <w:t>（图2：收入决算结构图）</w:t>
      </w:r>
    </w:p>
    <w:p>
      <w:pPr>
        <w:pStyle w:val="27"/>
        <w:spacing w:line="600" w:lineRule="exact"/>
        <w:ind w:firstLine="640" w:firstLineChars="200"/>
        <w:outlineLvl w:val="0"/>
        <w:rPr>
          <w:rStyle w:val="29"/>
          <w:rFonts w:ascii="Times New Roman" w:hAnsi="Times New Roman" w:eastAsia="黑体"/>
          <w:b w:val="0"/>
        </w:rPr>
      </w:pPr>
      <w:bookmarkStart w:id="28" w:name="_Toc18007"/>
      <w:bookmarkStart w:id="29" w:name="_Toc15396605"/>
      <w:bookmarkStart w:id="30" w:name="_Toc15377207"/>
      <w:r>
        <w:rPr>
          <w:rFonts w:hint="eastAsia" w:eastAsia="黑体"/>
          <w:sz w:val="32"/>
          <w:szCs w:val="32"/>
        </w:rPr>
        <w:t>三、支</w:t>
      </w:r>
      <w:r>
        <w:rPr>
          <w:rStyle w:val="29"/>
          <w:rFonts w:hint="eastAsia" w:ascii="Times New Roman" w:hAnsi="Times New Roman" w:eastAsia="黑体"/>
          <w:b w:val="0"/>
        </w:rPr>
        <w:t>出决算情况说明</w:t>
      </w:r>
      <w:bookmarkEnd w:id="28"/>
      <w:bookmarkEnd w:id="29"/>
      <w:bookmarkEnd w:id="30"/>
    </w:p>
    <w:p>
      <w:pPr>
        <w:spacing w:line="600" w:lineRule="exact"/>
        <w:ind w:firstLine="640"/>
        <w:rPr>
          <w:rFonts w:eastAsia="仿宋_GB2312" w:cs="仿宋_GB2312"/>
          <w:sz w:val="32"/>
          <w:szCs w:val="32"/>
        </w:rPr>
      </w:pPr>
      <w:r>
        <w:rPr>
          <w:rFonts w:hint="eastAsia" w:eastAsia="仿宋_GB2312" w:cs="仿宋_GB2312"/>
          <w:sz w:val="32"/>
          <w:szCs w:val="32"/>
        </w:rPr>
        <w:t>2024年度本年支出合计</w:t>
      </w:r>
      <w:r>
        <w:rPr>
          <w:rFonts w:hint="eastAsia" w:eastAsia="仿宋_GB2312" w:cs="仿宋_GB2312"/>
          <w:sz w:val="32"/>
          <w:szCs w:val="32"/>
          <w:lang w:val="en-US" w:eastAsia="zh-CN"/>
        </w:rPr>
        <w:t>44.96</w:t>
      </w:r>
      <w:r>
        <w:rPr>
          <w:rFonts w:hint="eastAsia" w:eastAsia="仿宋_GB2312" w:cs="仿宋_GB2312"/>
          <w:sz w:val="32"/>
          <w:szCs w:val="32"/>
        </w:rPr>
        <w:t>万元，其中：基本支出</w:t>
      </w:r>
      <w:r>
        <w:rPr>
          <w:rFonts w:hint="eastAsia" w:eastAsia="仿宋_GB2312" w:cs="仿宋_GB2312"/>
          <w:sz w:val="32"/>
          <w:szCs w:val="32"/>
          <w:lang w:val="en-US" w:eastAsia="zh-CN"/>
        </w:rPr>
        <w:t>44.96</w:t>
      </w:r>
      <w:r>
        <w:rPr>
          <w:rFonts w:hint="eastAsia" w:eastAsia="仿宋_GB2312" w:cs="仿宋_GB2312"/>
          <w:sz w:val="32"/>
          <w:szCs w:val="32"/>
        </w:rPr>
        <w:t>万元，占</w:t>
      </w:r>
      <w:r>
        <w:rPr>
          <w:rFonts w:hint="eastAsia" w:eastAsia="仿宋_GB2312" w:cs="仿宋_GB2312"/>
          <w:sz w:val="32"/>
          <w:szCs w:val="32"/>
          <w:lang w:val="en-US" w:eastAsia="zh-CN"/>
        </w:rPr>
        <w:t>100</w:t>
      </w:r>
      <w:r>
        <w:rPr>
          <w:rFonts w:hint="eastAsia" w:eastAsia="仿宋_GB2312" w:cs="仿宋_GB2312"/>
          <w:sz w:val="32"/>
          <w:szCs w:val="32"/>
        </w:rPr>
        <w:t>%；项目支出</w:t>
      </w:r>
      <w:r>
        <w:rPr>
          <w:rFonts w:hint="eastAsia" w:eastAsia="仿宋_GB2312" w:cs="仿宋_GB2312"/>
          <w:sz w:val="32"/>
          <w:szCs w:val="32"/>
          <w:lang w:val="en-US" w:eastAsia="zh-CN"/>
        </w:rPr>
        <w:t>0</w:t>
      </w:r>
      <w:r>
        <w:rPr>
          <w:rFonts w:hint="eastAsia" w:eastAsia="仿宋_GB2312" w:cs="仿宋_GB2312"/>
          <w:sz w:val="32"/>
          <w:szCs w:val="32"/>
        </w:rPr>
        <w:t>万元，占</w:t>
      </w:r>
      <w:r>
        <w:rPr>
          <w:rFonts w:hint="eastAsia" w:eastAsia="仿宋_GB2312" w:cs="仿宋_GB2312"/>
          <w:sz w:val="32"/>
          <w:szCs w:val="32"/>
          <w:lang w:val="en-US" w:eastAsia="zh-CN"/>
        </w:rPr>
        <w:t>0</w:t>
      </w:r>
      <w:r>
        <w:rPr>
          <w:rFonts w:hint="eastAsia" w:eastAsia="仿宋_GB2312" w:cs="仿宋_GB2312"/>
          <w:sz w:val="32"/>
          <w:szCs w:val="32"/>
        </w:rPr>
        <w:t>%；上缴上级支出</w:t>
      </w:r>
      <w:r>
        <w:rPr>
          <w:rFonts w:hint="eastAsia" w:eastAsia="仿宋_GB2312" w:cs="仿宋_GB2312"/>
          <w:sz w:val="32"/>
          <w:szCs w:val="32"/>
          <w:lang w:val="en-US" w:eastAsia="zh-CN"/>
        </w:rPr>
        <w:t>0</w:t>
      </w:r>
      <w:r>
        <w:rPr>
          <w:rFonts w:hint="eastAsia" w:eastAsia="仿宋_GB2312" w:cs="仿宋_GB2312"/>
          <w:sz w:val="32"/>
          <w:szCs w:val="32"/>
        </w:rPr>
        <w:t>万元，占</w:t>
      </w:r>
      <w:r>
        <w:rPr>
          <w:rFonts w:hint="eastAsia" w:eastAsia="仿宋_GB2312" w:cs="仿宋_GB2312"/>
          <w:sz w:val="32"/>
          <w:szCs w:val="32"/>
          <w:lang w:val="en-US" w:eastAsia="zh-CN"/>
        </w:rPr>
        <w:t>0</w:t>
      </w:r>
      <w:r>
        <w:rPr>
          <w:rFonts w:hint="eastAsia" w:eastAsia="仿宋_GB2312" w:cs="仿宋_GB2312"/>
          <w:sz w:val="32"/>
          <w:szCs w:val="32"/>
        </w:rPr>
        <w:t>%；经营支出</w:t>
      </w:r>
      <w:r>
        <w:rPr>
          <w:rFonts w:hint="eastAsia" w:eastAsia="仿宋_GB2312" w:cs="仿宋_GB2312"/>
          <w:sz w:val="32"/>
          <w:szCs w:val="32"/>
          <w:lang w:val="en-US" w:eastAsia="zh-CN"/>
        </w:rPr>
        <w:t>0</w:t>
      </w:r>
      <w:r>
        <w:rPr>
          <w:rFonts w:hint="eastAsia" w:eastAsia="仿宋_GB2312" w:cs="仿宋_GB2312"/>
          <w:sz w:val="32"/>
          <w:szCs w:val="32"/>
        </w:rPr>
        <w:t>万元，占</w:t>
      </w:r>
      <w:r>
        <w:rPr>
          <w:rFonts w:hint="eastAsia" w:eastAsia="仿宋_GB2312" w:cs="仿宋_GB2312"/>
          <w:sz w:val="32"/>
          <w:szCs w:val="32"/>
          <w:lang w:val="en-US" w:eastAsia="zh-CN"/>
        </w:rPr>
        <w:t>0</w:t>
      </w:r>
      <w:r>
        <w:rPr>
          <w:rFonts w:hint="eastAsia" w:eastAsia="仿宋_GB2312" w:cs="仿宋_GB2312"/>
          <w:sz w:val="32"/>
          <w:szCs w:val="32"/>
        </w:rPr>
        <w:t>%；对附属单位补助支出</w:t>
      </w:r>
      <w:r>
        <w:rPr>
          <w:rFonts w:hint="eastAsia" w:eastAsia="仿宋_GB2312" w:cs="仿宋_GB2312"/>
          <w:sz w:val="32"/>
          <w:szCs w:val="32"/>
          <w:lang w:val="en-US" w:eastAsia="zh-CN"/>
        </w:rPr>
        <w:t>0</w:t>
      </w:r>
      <w:r>
        <w:rPr>
          <w:rFonts w:hint="eastAsia" w:eastAsia="仿宋_GB2312" w:cs="仿宋_GB2312"/>
          <w:sz w:val="32"/>
          <w:szCs w:val="32"/>
        </w:rPr>
        <w:t>万元，占</w:t>
      </w:r>
      <w:r>
        <w:rPr>
          <w:rFonts w:hint="eastAsia" w:eastAsia="仿宋_GB2312" w:cs="仿宋_GB2312"/>
          <w:sz w:val="32"/>
          <w:szCs w:val="32"/>
          <w:lang w:val="en-US" w:eastAsia="zh-CN"/>
        </w:rPr>
        <w:t>0</w:t>
      </w:r>
      <w:r>
        <w:rPr>
          <w:rFonts w:hint="eastAsia" w:eastAsia="仿宋_GB2312" w:cs="仿宋_GB2312"/>
          <w:sz w:val="32"/>
          <w:szCs w:val="32"/>
        </w:rPr>
        <w:t>%。</w:t>
      </w:r>
    </w:p>
    <w:p>
      <w:pPr>
        <w:ind w:firstLine="525" w:firstLineChars="250"/>
        <w:jc w:val="center"/>
        <w:rPr>
          <w:rFonts w:eastAsia="仿宋_GB2312" w:cs="仿宋_GB2312"/>
          <w:sz w:val="32"/>
          <w:szCs w:val="32"/>
        </w:rPr>
      </w:pPr>
      <w:r>
        <w:drawing>
          <wp:inline distT="0" distB="0" distL="114300" distR="114300">
            <wp:extent cx="4756150" cy="2667000"/>
            <wp:effectExtent l="4445" t="5080" r="14605" b="7620"/>
            <wp:docPr id="5"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Pr>
          <w:rFonts w:hint="eastAsia" w:eastAsia="仿宋_GB2312" w:cs="仿宋_GB2312"/>
          <w:sz w:val="32"/>
          <w:szCs w:val="32"/>
        </w:rPr>
        <w:t>（图3：支出决算结构图）</w:t>
      </w:r>
    </w:p>
    <w:p>
      <w:pPr>
        <w:spacing w:line="600" w:lineRule="exact"/>
        <w:ind w:firstLine="640" w:firstLineChars="200"/>
        <w:outlineLvl w:val="0"/>
        <w:rPr>
          <w:rStyle w:val="29"/>
          <w:rFonts w:ascii="Times New Roman" w:hAnsi="Times New Roman" w:eastAsia="黑体"/>
          <w:b w:val="0"/>
        </w:rPr>
      </w:pPr>
      <w:bookmarkStart w:id="31" w:name="_Toc4853"/>
      <w:bookmarkStart w:id="32" w:name="_Toc15377208"/>
      <w:bookmarkStart w:id="33" w:name="_Toc15396606"/>
      <w:r>
        <w:rPr>
          <w:rFonts w:hint="eastAsia" w:eastAsia="黑体"/>
          <w:sz w:val="32"/>
          <w:szCs w:val="32"/>
        </w:rPr>
        <w:t>四、财</w:t>
      </w:r>
      <w:r>
        <w:rPr>
          <w:rStyle w:val="29"/>
          <w:rFonts w:hint="eastAsia" w:ascii="Times New Roman" w:hAnsi="Times New Roman" w:eastAsia="黑体"/>
          <w:b w:val="0"/>
        </w:rPr>
        <w:t>政拨款收入支出决算总体情况说明</w:t>
      </w:r>
      <w:bookmarkEnd w:id="31"/>
      <w:bookmarkEnd w:id="32"/>
      <w:bookmarkEnd w:id="33"/>
    </w:p>
    <w:p>
      <w:pPr>
        <w:spacing w:line="600" w:lineRule="exact"/>
        <w:ind w:firstLine="640"/>
        <w:rPr>
          <w:rFonts w:hint="eastAsia" w:eastAsia="仿宋_GB2312" w:cs="仿宋_GB2312"/>
          <w:sz w:val="32"/>
          <w:szCs w:val="32"/>
          <w:lang w:eastAsia="zh-CN"/>
        </w:rPr>
      </w:pPr>
      <w:r>
        <w:rPr>
          <w:rFonts w:hint="eastAsia" w:eastAsia="仿宋_GB2312" w:cs="仿宋_GB2312"/>
          <w:sz w:val="32"/>
          <w:szCs w:val="32"/>
        </w:rPr>
        <w:t>2024年度财政拨款收入、支出总计均为</w:t>
      </w:r>
      <w:r>
        <w:rPr>
          <w:rFonts w:hint="eastAsia" w:eastAsia="仿宋_GB2312" w:cs="仿宋_GB2312"/>
          <w:sz w:val="32"/>
          <w:szCs w:val="32"/>
          <w:lang w:val="en-US" w:eastAsia="zh-CN"/>
        </w:rPr>
        <w:t>44.96</w:t>
      </w:r>
      <w:r>
        <w:rPr>
          <w:rFonts w:hint="eastAsia" w:eastAsia="仿宋_GB2312" w:cs="仿宋_GB2312"/>
          <w:sz w:val="32"/>
          <w:szCs w:val="32"/>
        </w:rPr>
        <w:t>万元。与2023年度相比，财政拨款收入总计、支出总计各</w:t>
      </w:r>
      <w:r>
        <w:rPr>
          <w:rFonts w:hint="eastAsia" w:eastAsia="仿宋_GB2312" w:cs="仿宋_GB2312"/>
          <w:sz w:val="32"/>
          <w:szCs w:val="32"/>
          <w:lang w:val="en-US" w:eastAsia="zh-CN"/>
        </w:rPr>
        <w:t>减少1.25</w:t>
      </w:r>
      <w:r>
        <w:rPr>
          <w:rFonts w:hint="eastAsia" w:eastAsia="仿宋_GB2312" w:cs="仿宋_GB2312"/>
          <w:sz w:val="32"/>
          <w:szCs w:val="32"/>
        </w:rPr>
        <w:t>万元，</w:t>
      </w:r>
      <w:r>
        <w:rPr>
          <w:rFonts w:hint="eastAsia" w:eastAsia="仿宋_GB2312" w:cs="仿宋_GB2312"/>
          <w:sz w:val="32"/>
          <w:szCs w:val="32"/>
          <w:lang w:val="en-US" w:eastAsia="zh-CN"/>
        </w:rPr>
        <w:t>下降2.7</w:t>
      </w:r>
      <w:r>
        <w:rPr>
          <w:rFonts w:hint="eastAsia" w:eastAsia="仿宋_GB2312" w:cs="仿宋_GB2312"/>
          <w:sz w:val="32"/>
          <w:szCs w:val="32"/>
        </w:rPr>
        <w:t>%。主要变动原因是厉行节约</w:t>
      </w:r>
      <w:r>
        <w:rPr>
          <w:rFonts w:hint="eastAsia" w:eastAsia="仿宋_GB2312" w:cs="仿宋_GB2312"/>
          <w:sz w:val="32"/>
          <w:szCs w:val="32"/>
          <w:lang w:eastAsia="zh-CN"/>
        </w:rPr>
        <w:t>，</w:t>
      </w:r>
      <w:r>
        <w:rPr>
          <w:rFonts w:hint="eastAsia" w:eastAsia="仿宋_GB2312" w:cs="仿宋_GB2312"/>
          <w:sz w:val="32"/>
          <w:szCs w:val="32"/>
          <w:lang w:val="en-US" w:eastAsia="zh-CN"/>
        </w:rPr>
        <w:t>缩减开支</w:t>
      </w:r>
      <w:r>
        <w:rPr>
          <w:rFonts w:hint="eastAsia" w:eastAsia="仿宋_GB2312" w:cs="仿宋_GB2312"/>
          <w:sz w:val="32"/>
          <w:szCs w:val="32"/>
          <w:lang w:eastAsia="zh-CN"/>
        </w:rPr>
        <w:t>。</w:t>
      </w:r>
    </w:p>
    <w:p>
      <w:pPr>
        <w:pStyle w:val="2"/>
        <w:rPr>
          <w:rFonts w:hint="eastAsia" w:eastAsia="仿宋_GB2312" w:cs="仿宋_GB2312"/>
          <w:sz w:val="32"/>
          <w:szCs w:val="32"/>
          <w:lang w:eastAsia="zh-CN"/>
        </w:rPr>
      </w:pPr>
      <w:r>
        <w:drawing>
          <wp:anchor distT="0" distB="0" distL="114300" distR="114300" simplePos="0" relativeHeight="251662336" behindDoc="0" locked="0" layoutInCell="1" allowOverlap="1">
            <wp:simplePos x="0" y="0"/>
            <wp:positionH relativeFrom="column">
              <wp:posOffset>300355</wp:posOffset>
            </wp:positionH>
            <wp:positionV relativeFrom="paragraph">
              <wp:posOffset>248285</wp:posOffset>
            </wp:positionV>
            <wp:extent cx="4653915" cy="2667000"/>
            <wp:effectExtent l="4445" t="4445" r="15240" b="8255"/>
            <wp:wrapSquare wrapText="bothSides"/>
            <wp:docPr id="6"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600" w:lineRule="exact"/>
        <w:ind w:firstLine="640" w:firstLineChars="200"/>
        <w:jc w:val="center"/>
        <w:rPr>
          <w:rFonts w:eastAsia="仿宋_GB2312" w:cs="仿宋_GB2312"/>
          <w:sz w:val="32"/>
          <w:szCs w:val="32"/>
        </w:rPr>
      </w:pPr>
      <w:r>
        <w:rPr>
          <w:rFonts w:hint="eastAsia" w:eastAsia="仿宋_GB2312" w:cs="仿宋_GB2312"/>
          <w:sz w:val="32"/>
          <w:szCs w:val="32"/>
        </w:rPr>
        <w:t>（图4：财政拨款收、支决算总计变动情况）</w:t>
      </w:r>
    </w:p>
    <w:p>
      <w:pPr>
        <w:spacing w:line="600" w:lineRule="exact"/>
        <w:ind w:firstLine="640" w:firstLineChars="200"/>
        <w:outlineLvl w:val="0"/>
        <w:rPr>
          <w:rStyle w:val="29"/>
          <w:rFonts w:ascii="Times New Roman" w:hAnsi="Times New Roman" w:eastAsia="黑体"/>
          <w:b w:val="0"/>
        </w:rPr>
      </w:pPr>
      <w:bookmarkStart w:id="34" w:name="_Toc15396607"/>
      <w:bookmarkStart w:id="35" w:name="_Toc15377209"/>
      <w:bookmarkStart w:id="36" w:name="_Toc31881"/>
      <w:r>
        <w:rPr>
          <w:rFonts w:hint="eastAsia" w:eastAsia="黑体"/>
          <w:sz w:val="32"/>
          <w:szCs w:val="32"/>
        </w:rPr>
        <w:t>五、</w:t>
      </w:r>
      <w:r>
        <w:rPr>
          <w:rFonts w:hint="eastAsia" w:eastAsia="黑体"/>
          <w:b/>
          <w:sz w:val="32"/>
          <w:szCs w:val="32"/>
        </w:rPr>
        <w:t>一</w:t>
      </w:r>
      <w:r>
        <w:rPr>
          <w:rStyle w:val="29"/>
          <w:rFonts w:hint="eastAsia" w:ascii="Times New Roman" w:hAnsi="Times New Roman" w:eastAsia="黑体"/>
          <w:b w:val="0"/>
        </w:rPr>
        <w:t>般公共预算财政拨款支出决算情况说明</w:t>
      </w:r>
      <w:bookmarkEnd w:id="34"/>
      <w:bookmarkEnd w:id="35"/>
      <w:bookmarkEnd w:id="36"/>
    </w:p>
    <w:p>
      <w:pPr>
        <w:spacing w:line="600" w:lineRule="exact"/>
        <w:ind w:firstLine="642" w:firstLineChars="200"/>
        <w:outlineLvl w:val="9"/>
        <w:rPr>
          <w:rFonts w:eastAsia="楷体_GB2312" w:cs="楷体_GB2312"/>
          <w:b/>
          <w:sz w:val="32"/>
          <w:szCs w:val="32"/>
        </w:rPr>
      </w:pPr>
      <w:bookmarkStart w:id="37" w:name="_Toc15377210"/>
      <w:r>
        <w:rPr>
          <w:rFonts w:hint="eastAsia" w:eastAsia="楷体_GB2312" w:cs="楷体_GB2312"/>
          <w:b/>
          <w:sz w:val="32"/>
          <w:szCs w:val="32"/>
        </w:rPr>
        <w:t>（一）一般公共预算财政拨款支出决算总体情况</w:t>
      </w:r>
      <w:bookmarkEnd w:id="37"/>
    </w:p>
    <w:p>
      <w:pPr>
        <w:spacing w:line="600" w:lineRule="exact"/>
        <w:ind w:firstLine="640"/>
        <w:rPr>
          <w:rFonts w:hint="eastAsia" w:eastAsia="仿宋_GB2312" w:cs="仿宋_GB2312"/>
          <w:sz w:val="32"/>
          <w:szCs w:val="32"/>
          <w:lang w:eastAsia="zh-CN"/>
        </w:rPr>
      </w:pPr>
      <w:r>
        <w:rPr>
          <w:rFonts w:hint="eastAsia" w:eastAsia="仿宋_GB2312" w:cs="仿宋_GB2312"/>
          <w:sz w:val="32"/>
          <w:szCs w:val="32"/>
        </w:rPr>
        <w:t>2024年度一般公共预算财政拨款支出</w:t>
      </w:r>
      <w:r>
        <w:rPr>
          <w:rFonts w:hint="eastAsia" w:eastAsia="仿宋_GB2312" w:cs="仿宋_GB2312"/>
          <w:sz w:val="32"/>
          <w:szCs w:val="32"/>
          <w:lang w:val="en-US" w:eastAsia="zh-CN"/>
        </w:rPr>
        <w:t>44.96</w:t>
      </w:r>
      <w:r>
        <w:rPr>
          <w:rFonts w:hint="eastAsia" w:eastAsia="仿宋_GB2312" w:cs="仿宋_GB2312"/>
          <w:sz w:val="32"/>
          <w:szCs w:val="32"/>
        </w:rPr>
        <w:t>万元，占本年支出合计的</w:t>
      </w:r>
      <w:r>
        <w:rPr>
          <w:rFonts w:hint="eastAsia" w:eastAsia="仿宋_GB2312" w:cs="仿宋_GB2312"/>
          <w:sz w:val="32"/>
          <w:szCs w:val="32"/>
          <w:lang w:val="en-US" w:eastAsia="zh-CN"/>
        </w:rPr>
        <w:t>100</w:t>
      </w:r>
      <w:r>
        <w:rPr>
          <w:rFonts w:hint="eastAsia" w:eastAsia="仿宋_GB2312" w:cs="仿宋_GB2312"/>
          <w:sz w:val="32"/>
          <w:szCs w:val="32"/>
        </w:rPr>
        <w:t>%。与2023年度相比，一般公共预算财政拨款支出</w:t>
      </w:r>
      <w:r>
        <w:rPr>
          <w:rFonts w:hint="eastAsia" w:eastAsia="仿宋_GB2312" w:cs="仿宋_GB2312"/>
          <w:sz w:val="32"/>
          <w:szCs w:val="32"/>
          <w:lang w:val="en-US" w:eastAsia="zh-CN"/>
        </w:rPr>
        <w:t>减少1.25</w:t>
      </w:r>
      <w:r>
        <w:rPr>
          <w:rFonts w:hint="eastAsia" w:eastAsia="仿宋_GB2312" w:cs="仿宋_GB2312"/>
          <w:sz w:val="32"/>
          <w:szCs w:val="32"/>
        </w:rPr>
        <w:t>万元，</w:t>
      </w:r>
      <w:r>
        <w:rPr>
          <w:rFonts w:hint="eastAsia" w:eastAsia="仿宋_GB2312" w:cs="仿宋_GB2312"/>
          <w:sz w:val="32"/>
          <w:szCs w:val="32"/>
          <w:lang w:val="en-US" w:eastAsia="zh-CN"/>
        </w:rPr>
        <w:t>下降2.7</w:t>
      </w:r>
      <w:r>
        <w:rPr>
          <w:rFonts w:hint="eastAsia" w:eastAsia="仿宋_GB2312" w:cs="仿宋_GB2312"/>
          <w:sz w:val="32"/>
          <w:szCs w:val="32"/>
        </w:rPr>
        <w:t>%。主要变动原因是厉行节约</w:t>
      </w:r>
      <w:r>
        <w:rPr>
          <w:rFonts w:hint="eastAsia" w:eastAsia="仿宋_GB2312" w:cs="仿宋_GB2312"/>
          <w:sz w:val="32"/>
          <w:szCs w:val="32"/>
          <w:lang w:eastAsia="zh-CN"/>
        </w:rPr>
        <w:t>，</w:t>
      </w:r>
      <w:r>
        <w:rPr>
          <w:rFonts w:hint="eastAsia" w:eastAsia="仿宋_GB2312" w:cs="仿宋_GB2312"/>
          <w:sz w:val="32"/>
          <w:szCs w:val="32"/>
          <w:lang w:val="en-US" w:eastAsia="zh-CN"/>
        </w:rPr>
        <w:t>缩减开支</w:t>
      </w:r>
      <w:r>
        <w:rPr>
          <w:rFonts w:hint="eastAsia" w:eastAsia="仿宋_GB2312" w:cs="仿宋_GB2312"/>
          <w:sz w:val="32"/>
          <w:szCs w:val="32"/>
          <w:lang w:eastAsia="zh-CN"/>
        </w:rPr>
        <w:t>。</w:t>
      </w:r>
    </w:p>
    <w:p>
      <w:pPr>
        <w:pStyle w:val="3"/>
        <w:jc w:val="center"/>
      </w:pPr>
      <w:r>
        <w:drawing>
          <wp:inline distT="0" distB="0" distL="114300" distR="114300">
            <wp:extent cx="4162425" cy="2844800"/>
            <wp:effectExtent l="4445" t="4445" r="11430" b="8255"/>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spacing w:line="600" w:lineRule="exact"/>
        <w:ind w:firstLine="640"/>
        <w:jc w:val="center"/>
        <w:rPr>
          <w:rFonts w:eastAsia="仿宋_GB2312" w:cs="仿宋_GB2312"/>
          <w:sz w:val="32"/>
          <w:szCs w:val="32"/>
        </w:rPr>
      </w:pPr>
      <w:r>
        <w:rPr>
          <w:rFonts w:hint="eastAsia" w:eastAsia="仿宋_GB2312" w:cs="仿宋_GB2312"/>
          <w:sz w:val="32"/>
          <w:szCs w:val="32"/>
        </w:rPr>
        <w:t>（图5：一般公共预算财政拨款支出决算变动情况）</w:t>
      </w:r>
    </w:p>
    <w:p>
      <w:pPr>
        <w:spacing w:line="600" w:lineRule="exact"/>
        <w:ind w:firstLine="642" w:firstLineChars="200"/>
        <w:outlineLvl w:val="9"/>
        <w:rPr>
          <w:rFonts w:eastAsia="楷体_GB2312" w:cs="楷体_GB2312"/>
          <w:b/>
          <w:sz w:val="32"/>
          <w:szCs w:val="32"/>
        </w:rPr>
      </w:pPr>
      <w:bookmarkStart w:id="38" w:name="_Toc15377211"/>
      <w:r>
        <w:rPr>
          <w:rFonts w:hint="eastAsia" w:eastAsia="楷体_GB2312" w:cs="楷体_GB2312"/>
          <w:b/>
          <w:sz w:val="32"/>
          <w:szCs w:val="32"/>
        </w:rPr>
        <w:t>（二）一般公共预算财政拨款支出决算结构情况</w:t>
      </w:r>
      <w:bookmarkEnd w:id="38"/>
    </w:p>
    <w:p>
      <w:pPr>
        <w:spacing w:line="600" w:lineRule="exact"/>
        <w:ind w:firstLine="640"/>
        <w:rPr>
          <w:rFonts w:hint="eastAsia" w:eastAsia="仿宋_GB2312" w:cs="仿宋_GB2312"/>
          <w:b/>
          <w:bCs/>
          <w:sz w:val="32"/>
          <w:szCs w:val="32"/>
        </w:rPr>
      </w:pPr>
      <w:r>
        <w:rPr>
          <w:rFonts w:hint="eastAsia" w:eastAsia="仿宋_GB2312" w:cs="仿宋_GB2312"/>
          <w:sz w:val="32"/>
          <w:szCs w:val="32"/>
        </w:rPr>
        <w:t>2024年度一般公共预算财政拨款支出</w:t>
      </w:r>
      <w:r>
        <w:rPr>
          <w:rFonts w:hint="eastAsia" w:eastAsia="仿宋_GB2312" w:cs="仿宋_GB2312"/>
          <w:sz w:val="32"/>
          <w:szCs w:val="32"/>
          <w:lang w:val="en-US" w:eastAsia="zh-CN"/>
        </w:rPr>
        <w:t>44.96</w:t>
      </w:r>
      <w:r>
        <w:rPr>
          <w:rFonts w:hint="eastAsia" w:eastAsia="仿宋_GB2312" w:cs="仿宋_GB2312"/>
          <w:sz w:val="32"/>
          <w:szCs w:val="32"/>
        </w:rPr>
        <w:t>万元，主要用于以下方面：公共安全支出32.47万元，占</w:t>
      </w:r>
      <w:r>
        <w:rPr>
          <w:rFonts w:hint="eastAsia" w:eastAsia="仿宋_GB2312" w:cs="仿宋_GB2312"/>
          <w:sz w:val="32"/>
          <w:szCs w:val="32"/>
          <w:lang w:val="en-US" w:eastAsia="zh-CN"/>
        </w:rPr>
        <w:t>72.2</w:t>
      </w:r>
      <w:r>
        <w:rPr>
          <w:rFonts w:hint="eastAsia" w:eastAsia="仿宋_GB2312" w:cs="仿宋_GB2312"/>
          <w:sz w:val="32"/>
          <w:szCs w:val="32"/>
        </w:rPr>
        <w:t>%；社会保障和就业支出5.72万元，占</w:t>
      </w:r>
      <w:r>
        <w:rPr>
          <w:rFonts w:hint="eastAsia" w:eastAsia="仿宋_GB2312" w:cs="仿宋_GB2312"/>
          <w:sz w:val="32"/>
          <w:szCs w:val="32"/>
          <w:lang w:val="en-US" w:eastAsia="zh-CN"/>
        </w:rPr>
        <w:t>12.7</w:t>
      </w:r>
      <w:r>
        <w:rPr>
          <w:rFonts w:hint="eastAsia" w:eastAsia="仿宋_GB2312" w:cs="仿宋_GB2312"/>
          <w:sz w:val="32"/>
          <w:szCs w:val="32"/>
        </w:rPr>
        <w:t>%；卫生健康支出3.39万元，占</w:t>
      </w:r>
      <w:r>
        <w:rPr>
          <w:rFonts w:hint="eastAsia" w:eastAsia="仿宋_GB2312" w:cs="仿宋_GB2312"/>
          <w:sz w:val="32"/>
          <w:szCs w:val="32"/>
          <w:lang w:val="en-US" w:eastAsia="zh-CN"/>
        </w:rPr>
        <w:t>7.5</w:t>
      </w:r>
      <w:r>
        <w:rPr>
          <w:rFonts w:hint="eastAsia" w:eastAsia="仿宋_GB2312" w:cs="仿宋_GB2312"/>
          <w:sz w:val="32"/>
          <w:szCs w:val="32"/>
        </w:rPr>
        <w:t>%；住房保障支出3.38万元，占</w:t>
      </w:r>
      <w:r>
        <w:rPr>
          <w:rFonts w:hint="eastAsia" w:eastAsia="仿宋_GB2312" w:cs="仿宋_GB2312"/>
          <w:sz w:val="32"/>
          <w:szCs w:val="32"/>
          <w:lang w:val="en-US" w:eastAsia="zh-CN"/>
        </w:rPr>
        <w:t>7.5</w:t>
      </w:r>
      <w:r>
        <w:rPr>
          <w:rFonts w:hint="eastAsia" w:eastAsia="仿宋_GB2312" w:cs="仿宋_GB2312"/>
          <w:sz w:val="32"/>
          <w:szCs w:val="32"/>
        </w:rPr>
        <w:t>%</w:t>
      </w:r>
      <w:r>
        <w:rPr>
          <w:rFonts w:hint="eastAsia" w:eastAsia="仿宋_GB2312" w:cs="仿宋_GB2312"/>
          <w:sz w:val="32"/>
          <w:szCs w:val="32"/>
          <w:lang w:eastAsia="zh-CN"/>
        </w:rPr>
        <w:t>。</w:t>
      </w:r>
    </w:p>
    <w:p>
      <w:pPr>
        <w:pStyle w:val="3"/>
        <w:jc w:val="both"/>
      </w:pPr>
      <w:r>
        <w:drawing>
          <wp:inline distT="0" distB="0" distL="114300" distR="114300">
            <wp:extent cx="4824095" cy="2667000"/>
            <wp:effectExtent l="4445" t="5080" r="10160" b="7620"/>
            <wp:docPr id="9"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pPr>
        <w:spacing w:line="600" w:lineRule="exact"/>
        <w:ind w:firstLine="640"/>
        <w:jc w:val="center"/>
        <w:rPr>
          <w:rFonts w:eastAsia="仿宋_GB2312" w:cs="仿宋_GB2312"/>
          <w:sz w:val="32"/>
          <w:szCs w:val="32"/>
        </w:rPr>
      </w:pPr>
      <w:r>
        <w:rPr>
          <w:rFonts w:hint="eastAsia" w:eastAsia="仿宋_GB2312" w:cs="仿宋_GB2312"/>
          <w:sz w:val="32"/>
          <w:szCs w:val="32"/>
        </w:rPr>
        <w:t>（图6：一般公共预算财政拨款支出决算结构）</w:t>
      </w:r>
    </w:p>
    <w:p>
      <w:pPr>
        <w:spacing w:line="600" w:lineRule="exact"/>
        <w:ind w:firstLine="642" w:firstLineChars="200"/>
        <w:outlineLvl w:val="9"/>
        <w:rPr>
          <w:rFonts w:eastAsia="楷体_GB2312" w:cs="楷体_GB2312"/>
          <w:b/>
          <w:sz w:val="32"/>
          <w:szCs w:val="32"/>
        </w:rPr>
      </w:pPr>
      <w:bookmarkStart w:id="39" w:name="_Toc15377212"/>
      <w:r>
        <w:rPr>
          <w:rFonts w:hint="eastAsia" w:eastAsia="楷体_GB2312" w:cs="楷体_GB2312"/>
          <w:b/>
          <w:sz w:val="32"/>
          <w:szCs w:val="32"/>
        </w:rPr>
        <w:t>（三）一般公共预算财政拨款支出决算具体情况</w:t>
      </w:r>
      <w:bookmarkEnd w:id="39"/>
    </w:p>
    <w:p>
      <w:pPr>
        <w:spacing w:line="600" w:lineRule="exact"/>
        <w:ind w:firstLine="640"/>
        <w:rPr>
          <w:rFonts w:eastAsia="仿宋_GB2312" w:cs="仿宋_GB2312"/>
          <w:sz w:val="32"/>
          <w:szCs w:val="32"/>
        </w:rPr>
      </w:pPr>
      <w:bookmarkStart w:id="40" w:name="_Toc15377213"/>
      <w:bookmarkStart w:id="41" w:name="_Toc15378460"/>
      <w:bookmarkStart w:id="42" w:name="_Toc15377444"/>
      <w:r>
        <w:rPr>
          <w:rFonts w:hint="eastAsia" w:eastAsia="仿宋_GB2312" w:cs="仿宋_GB2312"/>
          <w:sz w:val="32"/>
          <w:szCs w:val="32"/>
        </w:rPr>
        <w:t>2024年度一般公共预算财政拨款支出决算数为</w:t>
      </w:r>
      <w:r>
        <w:rPr>
          <w:rFonts w:hint="eastAsia" w:eastAsia="仿宋_GB2312" w:cs="仿宋_GB2312"/>
          <w:sz w:val="32"/>
          <w:szCs w:val="32"/>
          <w:lang w:val="en-US" w:eastAsia="zh-CN"/>
        </w:rPr>
        <w:t>44.96万元</w:t>
      </w:r>
      <w:r>
        <w:rPr>
          <w:rFonts w:hint="eastAsia" w:ascii="仿宋_GB2312" w:hAnsi="仿宋_GB2312" w:eastAsia="仿宋_GB2312" w:cs="仿宋_GB2312"/>
          <w:sz w:val="32"/>
          <w:szCs w:val="32"/>
        </w:rPr>
        <w:t>，</w:t>
      </w:r>
      <w:r>
        <w:rPr>
          <w:rFonts w:hint="eastAsia" w:eastAsia="仿宋_GB2312" w:cs="仿宋_GB2312"/>
          <w:sz w:val="32"/>
          <w:szCs w:val="32"/>
        </w:rPr>
        <w:t>完成预算</w:t>
      </w:r>
      <w:r>
        <w:rPr>
          <w:rFonts w:hint="eastAsia" w:eastAsia="仿宋_GB2312" w:cs="仿宋_GB2312"/>
          <w:sz w:val="32"/>
          <w:szCs w:val="32"/>
          <w:lang w:val="en-US" w:eastAsia="zh-CN"/>
        </w:rPr>
        <w:t>100</w:t>
      </w:r>
      <w:r>
        <w:rPr>
          <w:rFonts w:hint="eastAsia" w:eastAsia="仿宋_GB2312" w:cs="仿宋_GB2312"/>
          <w:sz w:val="32"/>
          <w:szCs w:val="32"/>
        </w:rPr>
        <w:t>%。其中：</w:t>
      </w:r>
      <w:bookmarkEnd w:id="40"/>
      <w:bookmarkEnd w:id="41"/>
      <w:bookmarkEnd w:id="42"/>
    </w:p>
    <w:p>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left="0" w:leftChars="0" w:firstLine="640" w:firstLineChars="200"/>
        <w:textAlignment w:val="auto"/>
        <w:rPr>
          <w:rFonts w:hint="eastAsia" w:eastAsia="仿宋_GB2312" w:cs="仿宋_GB2312"/>
          <w:sz w:val="32"/>
          <w:szCs w:val="32"/>
          <w:lang w:val="en-US" w:eastAsia="zh-CN"/>
        </w:rPr>
      </w:pPr>
      <w:r>
        <w:rPr>
          <w:rFonts w:hint="eastAsia" w:eastAsia="仿宋_GB2312" w:cs="仿宋_GB2312"/>
          <w:sz w:val="32"/>
          <w:szCs w:val="32"/>
        </w:rPr>
        <w:t>公共安全支出（类）法院（款）事业运行（项）：支出决算为32.47万元，完成预算</w:t>
      </w:r>
      <w:r>
        <w:rPr>
          <w:rFonts w:hint="eastAsia" w:eastAsia="仿宋_GB2312" w:cs="仿宋_GB2312"/>
          <w:sz w:val="32"/>
          <w:szCs w:val="32"/>
          <w:lang w:val="en-US" w:eastAsia="zh-CN"/>
        </w:rPr>
        <w:t>100</w:t>
      </w:r>
      <w:r>
        <w:rPr>
          <w:rFonts w:hint="eastAsia" w:eastAsia="仿宋_GB2312" w:cs="仿宋_GB2312"/>
          <w:sz w:val="32"/>
          <w:szCs w:val="32"/>
        </w:rPr>
        <w:t>%</w:t>
      </w:r>
      <w:r>
        <w:rPr>
          <w:rFonts w:hint="eastAsia" w:eastAsia="仿宋_GB2312" w:cs="仿宋_GB2312"/>
          <w:sz w:val="32"/>
          <w:szCs w:val="32"/>
          <w:lang w:eastAsia="zh-CN"/>
        </w:rPr>
        <w:t>。</w:t>
      </w:r>
    </w:p>
    <w:p>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left="0" w:leftChars="0" w:firstLine="640" w:firstLineChars="200"/>
        <w:textAlignment w:val="auto"/>
        <w:rPr>
          <w:rFonts w:hint="eastAsia" w:eastAsia="仿宋_GB2312" w:cs="仿宋_GB2312"/>
          <w:sz w:val="32"/>
          <w:szCs w:val="32"/>
        </w:rPr>
      </w:pPr>
      <w:r>
        <w:rPr>
          <w:rFonts w:hint="eastAsia" w:eastAsia="仿宋_GB2312" w:cs="仿宋_GB2312"/>
          <w:sz w:val="32"/>
          <w:szCs w:val="32"/>
        </w:rPr>
        <w:t>社会保障和就业（类）行政事业单位养老支出（款）机关事业单位基本养老保险缴费支出（项）：支出决算为3.81万元，完成预算</w:t>
      </w:r>
      <w:r>
        <w:rPr>
          <w:rFonts w:hint="eastAsia" w:eastAsia="仿宋_GB2312" w:cs="仿宋_GB2312"/>
          <w:sz w:val="32"/>
          <w:szCs w:val="32"/>
          <w:lang w:val="en-US" w:eastAsia="zh-CN"/>
        </w:rPr>
        <w:t>100</w:t>
      </w:r>
      <w:r>
        <w:rPr>
          <w:rFonts w:hint="eastAsia" w:eastAsia="仿宋_GB2312" w:cs="仿宋_GB2312"/>
          <w:sz w:val="32"/>
          <w:szCs w:val="32"/>
        </w:rPr>
        <w:t>%</w:t>
      </w:r>
      <w:r>
        <w:rPr>
          <w:rFonts w:hint="eastAsia" w:eastAsia="仿宋_GB2312" w:cs="仿宋_GB2312"/>
          <w:sz w:val="32"/>
          <w:szCs w:val="32"/>
          <w:lang w:eastAsia="zh-CN"/>
        </w:rPr>
        <w:t>。</w:t>
      </w:r>
    </w:p>
    <w:p>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left="0" w:leftChars="0" w:firstLine="640" w:firstLineChars="200"/>
        <w:textAlignment w:val="auto"/>
        <w:rPr>
          <w:rFonts w:eastAsia="仿宋_GB2312" w:cs="仿宋_GB2312"/>
          <w:sz w:val="32"/>
          <w:szCs w:val="32"/>
        </w:rPr>
      </w:pPr>
      <w:r>
        <w:rPr>
          <w:rFonts w:hint="eastAsia" w:eastAsia="仿宋_GB2312" w:cs="仿宋_GB2312"/>
          <w:sz w:val="32"/>
          <w:szCs w:val="32"/>
        </w:rPr>
        <w:t>社会保障和就业（类）行政事业单位养老支出（款）机关事业单位职业年金缴费支出（项）：支出决算为1.91万元，完成预算</w:t>
      </w:r>
      <w:r>
        <w:rPr>
          <w:rFonts w:hint="eastAsia" w:eastAsia="仿宋_GB2312" w:cs="仿宋_GB2312"/>
          <w:sz w:val="32"/>
          <w:szCs w:val="32"/>
          <w:lang w:val="en-US" w:eastAsia="zh-CN"/>
        </w:rPr>
        <w:t>100</w:t>
      </w:r>
      <w:r>
        <w:rPr>
          <w:rFonts w:hint="eastAsia" w:eastAsia="仿宋_GB2312" w:cs="仿宋_GB2312"/>
          <w:sz w:val="32"/>
          <w:szCs w:val="32"/>
        </w:rPr>
        <w:t>%</w:t>
      </w:r>
      <w:r>
        <w:rPr>
          <w:rFonts w:hint="eastAsia" w:eastAsia="仿宋_GB2312" w:cs="仿宋_GB2312"/>
          <w:sz w:val="32"/>
          <w:szCs w:val="32"/>
          <w:lang w:eastAsia="zh-CN"/>
        </w:rPr>
        <w:t>。</w:t>
      </w:r>
    </w:p>
    <w:p>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left="0" w:leftChars="0" w:firstLine="640" w:firstLineChars="200"/>
        <w:textAlignment w:val="auto"/>
        <w:rPr>
          <w:rFonts w:hint="eastAsia" w:eastAsia="仿宋_GB2312" w:cs="仿宋_GB2312"/>
          <w:sz w:val="32"/>
          <w:szCs w:val="32"/>
        </w:rPr>
      </w:pPr>
      <w:r>
        <w:rPr>
          <w:rFonts w:hint="eastAsia" w:eastAsia="仿宋_GB2312" w:cs="仿宋_GB2312"/>
          <w:sz w:val="32"/>
          <w:szCs w:val="32"/>
        </w:rPr>
        <w:t>卫生健康（类）行政事业单位医疗（款）事业单位医疗（项）：支出决算为3.39万元，完成预算</w:t>
      </w:r>
      <w:r>
        <w:rPr>
          <w:rFonts w:hint="eastAsia" w:eastAsia="仿宋_GB2312" w:cs="仿宋_GB2312"/>
          <w:sz w:val="32"/>
          <w:szCs w:val="32"/>
          <w:lang w:val="en-US" w:eastAsia="zh-CN"/>
        </w:rPr>
        <w:t>100</w:t>
      </w:r>
      <w:r>
        <w:rPr>
          <w:rFonts w:hint="eastAsia" w:eastAsia="仿宋_GB2312" w:cs="仿宋_GB2312"/>
          <w:sz w:val="32"/>
          <w:szCs w:val="32"/>
        </w:rPr>
        <w:t>%</w:t>
      </w:r>
      <w:r>
        <w:rPr>
          <w:rFonts w:hint="eastAsia" w:eastAsia="仿宋_GB2312" w:cs="仿宋_GB2312"/>
          <w:sz w:val="32"/>
          <w:szCs w:val="32"/>
          <w:lang w:eastAsia="zh-CN"/>
        </w:rPr>
        <w:t>。</w:t>
      </w:r>
    </w:p>
    <w:p>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left="0" w:leftChars="0" w:firstLine="640" w:firstLineChars="200"/>
        <w:textAlignment w:val="auto"/>
        <w:rPr>
          <w:rFonts w:hint="eastAsia" w:eastAsia="仿宋_GB2312" w:cs="仿宋_GB2312"/>
          <w:sz w:val="32"/>
          <w:szCs w:val="32"/>
        </w:rPr>
      </w:pPr>
      <w:r>
        <w:rPr>
          <w:rFonts w:hint="eastAsia" w:eastAsia="仿宋_GB2312" w:cs="仿宋_GB2312"/>
          <w:sz w:val="32"/>
          <w:szCs w:val="32"/>
        </w:rPr>
        <w:t>住房保障支出（类）住房改革支出（款）住房公积金（项）：支出决算为3.38万元，完成预算</w:t>
      </w:r>
      <w:r>
        <w:rPr>
          <w:rFonts w:hint="eastAsia" w:eastAsia="仿宋_GB2312" w:cs="仿宋_GB2312"/>
          <w:sz w:val="32"/>
          <w:szCs w:val="32"/>
          <w:lang w:val="en-US" w:eastAsia="zh-CN"/>
        </w:rPr>
        <w:t>100</w:t>
      </w:r>
      <w:r>
        <w:rPr>
          <w:rFonts w:hint="eastAsia" w:eastAsia="仿宋_GB2312" w:cs="仿宋_GB2312"/>
          <w:sz w:val="32"/>
          <w:szCs w:val="32"/>
        </w:rPr>
        <w:t>%</w:t>
      </w:r>
      <w:r>
        <w:rPr>
          <w:rFonts w:hint="eastAsia" w:eastAsia="仿宋_GB2312" w:cs="仿宋_GB2312"/>
          <w:sz w:val="32"/>
          <w:szCs w:val="32"/>
          <w:lang w:eastAsia="zh-CN"/>
        </w:rPr>
        <w:t>。</w:t>
      </w:r>
    </w:p>
    <w:p>
      <w:pPr>
        <w:tabs>
          <w:tab w:val="right" w:pos="8306"/>
        </w:tabs>
        <w:spacing w:line="600" w:lineRule="exact"/>
        <w:ind w:firstLine="640" w:firstLineChars="0"/>
        <w:outlineLvl w:val="0"/>
        <w:rPr>
          <w:rStyle w:val="29"/>
          <w:rFonts w:ascii="Times New Roman" w:hAnsi="Times New Roman"/>
        </w:rPr>
      </w:pPr>
      <w:bookmarkStart w:id="43" w:name="_Toc23155"/>
      <w:bookmarkStart w:id="44" w:name="_Toc15396608"/>
      <w:bookmarkStart w:id="45" w:name="_Toc15377214"/>
      <w:r>
        <w:rPr>
          <w:rFonts w:hint="eastAsia" w:eastAsia="黑体"/>
          <w:sz w:val="32"/>
          <w:szCs w:val="32"/>
        </w:rPr>
        <w:t>六</w:t>
      </w:r>
      <w:r>
        <w:rPr>
          <w:rFonts w:hint="eastAsia" w:eastAsia="黑体"/>
          <w:b/>
          <w:sz w:val="32"/>
          <w:szCs w:val="32"/>
        </w:rPr>
        <w:t>、一</w:t>
      </w:r>
      <w:r>
        <w:rPr>
          <w:rStyle w:val="29"/>
          <w:rFonts w:hint="eastAsia" w:ascii="Times New Roman" w:hAnsi="Times New Roman" w:eastAsia="黑体"/>
          <w:b w:val="0"/>
        </w:rPr>
        <w:t>般公共预算财政拨款基本支出决算情况说明</w:t>
      </w:r>
      <w:bookmarkEnd w:id="43"/>
      <w:bookmarkEnd w:id="44"/>
      <w:bookmarkEnd w:id="45"/>
      <w:r>
        <w:rPr>
          <w:rStyle w:val="29"/>
          <w:rFonts w:ascii="Times New Roman" w:hAnsi="Times New Roman" w:eastAsia="黑体"/>
          <w:b w:val="0"/>
        </w:rPr>
        <w:tab/>
      </w:r>
    </w:p>
    <w:p>
      <w:pPr>
        <w:spacing w:line="600" w:lineRule="exact"/>
        <w:ind w:firstLine="640"/>
        <w:rPr>
          <w:rFonts w:eastAsia="仿宋_GB2312" w:cs="仿宋_GB2312"/>
          <w:sz w:val="32"/>
          <w:szCs w:val="32"/>
        </w:rPr>
      </w:pPr>
      <w:r>
        <w:rPr>
          <w:rFonts w:hint="eastAsia" w:eastAsia="仿宋_GB2312" w:cs="仿宋_GB2312"/>
          <w:sz w:val="32"/>
          <w:szCs w:val="32"/>
        </w:rPr>
        <w:t>2024年度一般公共预算财政拨款基本支出</w:t>
      </w:r>
      <w:r>
        <w:rPr>
          <w:rFonts w:hint="eastAsia" w:eastAsia="仿宋_GB2312" w:cs="仿宋_GB2312"/>
          <w:sz w:val="32"/>
          <w:szCs w:val="32"/>
          <w:lang w:val="en-US" w:eastAsia="zh-CN"/>
        </w:rPr>
        <w:t>44.96</w:t>
      </w:r>
      <w:r>
        <w:rPr>
          <w:rFonts w:hint="eastAsia" w:ascii="仿宋_GB2312" w:hAnsi="仿宋_GB2312" w:eastAsia="仿宋_GB2312" w:cs="仿宋_GB2312"/>
          <w:sz w:val="32"/>
          <w:szCs w:val="32"/>
        </w:rPr>
        <w:t>万</w:t>
      </w:r>
      <w:r>
        <w:rPr>
          <w:rFonts w:hint="eastAsia" w:eastAsia="仿宋_GB2312" w:cs="仿宋_GB2312"/>
          <w:sz w:val="32"/>
          <w:szCs w:val="32"/>
        </w:rPr>
        <w:t>元，其中：</w:t>
      </w:r>
    </w:p>
    <w:p>
      <w:pPr>
        <w:spacing w:line="600" w:lineRule="exact"/>
        <w:ind w:firstLine="640"/>
        <w:rPr>
          <w:rFonts w:eastAsia="仿宋_GB2312" w:cs="仿宋_GB2312"/>
          <w:sz w:val="32"/>
          <w:szCs w:val="32"/>
        </w:rPr>
      </w:pPr>
      <w:r>
        <w:rPr>
          <w:rFonts w:hint="eastAsia" w:eastAsia="仿宋_GB2312" w:cs="仿宋_GB2312"/>
          <w:sz w:val="32"/>
          <w:szCs w:val="32"/>
        </w:rPr>
        <w:t>人员经费</w:t>
      </w:r>
      <w:r>
        <w:rPr>
          <w:rFonts w:hint="eastAsia" w:eastAsia="仿宋_GB2312" w:cs="仿宋_GB2312"/>
          <w:sz w:val="32"/>
          <w:szCs w:val="32"/>
          <w:lang w:val="en-US" w:eastAsia="zh-CN"/>
        </w:rPr>
        <w:t>42.55</w:t>
      </w:r>
      <w:r>
        <w:rPr>
          <w:rFonts w:hint="eastAsia" w:ascii="仿宋_GB2312" w:hAnsi="仿宋_GB2312" w:eastAsia="仿宋_GB2312" w:cs="仿宋_GB2312"/>
          <w:sz w:val="32"/>
          <w:szCs w:val="32"/>
        </w:rPr>
        <w:t>万</w:t>
      </w:r>
      <w:r>
        <w:rPr>
          <w:rFonts w:hint="eastAsia" w:eastAsia="仿宋_GB2312" w:cs="仿宋_GB2312"/>
          <w:sz w:val="32"/>
          <w:szCs w:val="32"/>
        </w:rPr>
        <w:t>元，主要包括：基本工资、津贴补贴、奖金、</w:t>
      </w:r>
      <w:r>
        <w:rPr>
          <w:rFonts w:hint="eastAsia" w:eastAsia="仿宋_GB2312" w:cs="仿宋_GB2312"/>
          <w:sz w:val="32"/>
          <w:szCs w:val="32"/>
          <w:lang w:val="en-US" w:eastAsia="zh-CN"/>
        </w:rPr>
        <w:t>绩效工资、</w:t>
      </w:r>
      <w:r>
        <w:rPr>
          <w:rFonts w:hint="eastAsia" w:eastAsia="仿宋_GB2312" w:cs="仿宋_GB2312"/>
          <w:sz w:val="32"/>
          <w:szCs w:val="32"/>
        </w:rPr>
        <w:t>机关事业单位基本养老保险缴费、职业年金缴费、职工基本医疗保险缴费</w:t>
      </w:r>
      <w:r>
        <w:rPr>
          <w:rFonts w:hint="eastAsia" w:eastAsia="仿宋_GB2312" w:cs="仿宋_GB2312"/>
          <w:sz w:val="32"/>
          <w:szCs w:val="32"/>
          <w:lang w:eastAsia="zh-CN"/>
        </w:rPr>
        <w:t>、</w:t>
      </w:r>
      <w:r>
        <w:rPr>
          <w:rFonts w:hint="eastAsia" w:eastAsia="仿宋_GB2312" w:cs="仿宋_GB2312"/>
          <w:sz w:val="32"/>
          <w:szCs w:val="32"/>
        </w:rPr>
        <w:t>其他社会保障缴费、住房公积金、生活补助、奖励金。</w:t>
      </w:r>
      <w:r>
        <w:rPr>
          <w:rFonts w:hint="eastAsia" w:eastAsia="仿宋_GB2312" w:cs="仿宋_GB2312"/>
          <w:sz w:val="32"/>
          <w:szCs w:val="32"/>
        </w:rPr>
        <w:br w:type="textWrapping"/>
      </w:r>
      <w:r>
        <w:rPr>
          <w:rFonts w:hint="eastAsia" w:eastAsia="仿宋_GB2312" w:cs="仿宋_GB2312"/>
          <w:sz w:val="32"/>
          <w:szCs w:val="32"/>
        </w:rPr>
        <w:t>　　公用经费</w:t>
      </w:r>
      <w:r>
        <w:rPr>
          <w:rFonts w:hint="eastAsia" w:eastAsia="仿宋_GB2312" w:cs="仿宋_GB2312"/>
          <w:sz w:val="32"/>
          <w:szCs w:val="32"/>
          <w:lang w:val="en-US" w:eastAsia="zh-CN"/>
        </w:rPr>
        <w:t>2.41</w:t>
      </w:r>
      <w:r>
        <w:rPr>
          <w:rFonts w:hint="eastAsia" w:ascii="仿宋_GB2312" w:hAnsi="仿宋_GB2312" w:eastAsia="仿宋_GB2312" w:cs="仿宋_GB2312"/>
          <w:sz w:val="32"/>
          <w:szCs w:val="32"/>
        </w:rPr>
        <w:t>万</w:t>
      </w:r>
      <w:r>
        <w:rPr>
          <w:rFonts w:hint="eastAsia" w:eastAsia="仿宋_GB2312" w:cs="仿宋_GB2312"/>
          <w:sz w:val="32"/>
          <w:szCs w:val="32"/>
        </w:rPr>
        <w:t>元，主要包括：办公费、水费、</w:t>
      </w:r>
      <w:r>
        <w:rPr>
          <w:rFonts w:hint="eastAsia" w:eastAsia="仿宋_GB2312" w:cs="仿宋_GB2312"/>
          <w:sz w:val="32"/>
          <w:szCs w:val="32"/>
          <w:lang w:val="en-US" w:eastAsia="zh-CN"/>
        </w:rPr>
        <w:t>专用燃料费</w:t>
      </w:r>
      <w:r>
        <w:rPr>
          <w:rFonts w:hint="eastAsia" w:eastAsia="仿宋_GB2312" w:cs="仿宋_GB2312"/>
          <w:sz w:val="32"/>
          <w:szCs w:val="32"/>
        </w:rPr>
        <w:t>。</w:t>
      </w:r>
    </w:p>
    <w:p>
      <w:pPr>
        <w:spacing w:line="600" w:lineRule="exact"/>
        <w:ind w:firstLine="640" w:firstLineChars="0"/>
        <w:outlineLvl w:val="0"/>
        <w:rPr>
          <w:rStyle w:val="29"/>
          <w:rFonts w:ascii="Times New Roman" w:hAnsi="Times New Roman" w:eastAsia="黑体"/>
          <w:b w:val="0"/>
        </w:rPr>
      </w:pPr>
      <w:bookmarkStart w:id="46" w:name="_Toc15396609"/>
      <w:bookmarkStart w:id="47" w:name="_Toc15377215"/>
      <w:bookmarkStart w:id="48" w:name="_Toc5615"/>
      <w:r>
        <w:rPr>
          <w:rFonts w:hint="eastAsia" w:eastAsia="黑体"/>
          <w:sz w:val="32"/>
          <w:szCs w:val="32"/>
        </w:rPr>
        <w:t>七、</w:t>
      </w:r>
      <w:r>
        <w:rPr>
          <w:rStyle w:val="29"/>
          <w:rFonts w:hint="eastAsia" w:ascii="Times New Roman" w:hAnsi="Times New Roman" w:eastAsia="黑体"/>
          <w:b w:val="0"/>
        </w:rPr>
        <w:t>财政拨款</w:t>
      </w:r>
      <w:r>
        <w:rPr>
          <w:rStyle w:val="29"/>
          <w:rFonts w:hint="eastAsia" w:ascii="Times New Roman" w:hAnsi="Times New Roman" w:eastAsia="黑体"/>
        </w:rPr>
        <w:t>“</w:t>
      </w:r>
      <w:r>
        <w:rPr>
          <w:rStyle w:val="29"/>
          <w:rFonts w:hint="eastAsia" w:ascii="Times New Roman" w:hAnsi="Times New Roman" w:eastAsia="黑体"/>
          <w:b w:val="0"/>
        </w:rPr>
        <w:t>三公”经费支出决算情况说明</w:t>
      </w:r>
      <w:bookmarkEnd w:id="46"/>
      <w:bookmarkEnd w:id="47"/>
      <w:bookmarkEnd w:id="48"/>
    </w:p>
    <w:p>
      <w:pPr>
        <w:spacing w:line="600" w:lineRule="exact"/>
        <w:ind w:firstLine="642" w:firstLineChars="200"/>
        <w:outlineLvl w:val="9"/>
        <w:rPr>
          <w:rFonts w:eastAsia="楷体_GB2312" w:cs="楷体_GB2312"/>
          <w:b/>
          <w:sz w:val="32"/>
          <w:szCs w:val="32"/>
        </w:rPr>
      </w:pPr>
      <w:bookmarkStart w:id="49" w:name="_Toc15377216"/>
      <w:r>
        <w:rPr>
          <w:rFonts w:hint="eastAsia" w:eastAsia="楷体_GB2312" w:cs="楷体_GB2312"/>
          <w:b/>
          <w:sz w:val="32"/>
          <w:szCs w:val="32"/>
        </w:rPr>
        <w:t>（一）“三公”经费财政拨款支出决算总体情况说明</w:t>
      </w:r>
      <w:bookmarkEnd w:id="49"/>
    </w:p>
    <w:p>
      <w:pPr>
        <w:spacing w:line="600" w:lineRule="exact"/>
        <w:ind w:firstLine="640"/>
        <w:rPr>
          <w:rFonts w:hint="eastAsia" w:eastAsia="仿宋_GB2312" w:cs="仿宋_GB2312"/>
          <w:sz w:val="32"/>
          <w:szCs w:val="32"/>
          <w:lang w:val="en-US" w:eastAsia="zh-CN"/>
        </w:rPr>
      </w:pPr>
      <w:r>
        <w:rPr>
          <w:rFonts w:hint="eastAsia" w:eastAsia="仿宋_GB2312" w:cs="仿宋_GB2312"/>
          <w:sz w:val="32"/>
          <w:szCs w:val="32"/>
        </w:rPr>
        <w:t>2024年度“三公”经费财政拨款支出决算为</w:t>
      </w:r>
      <w:r>
        <w:rPr>
          <w:rFonts w:hint="eastAsia" w:eastAsia="仿宋_GB2312" w:cs="仿宋_GB2312"/>
          <w:sz w:val="32"/>
          <w:szCs w:val="32"/>
          <w:lang w:val="en-US" w:eastAsia="zh-CN"/>
        </w:rPr>
        <w:t>0</w:t>
      </w:r>
      <w:r>
        <w:rPr>
          <w:rFonts w:hint="eastAsia" w:eastAsia="仿宋_GB2312" w:cs="仿宋_GB2312"/>
          <w:sz w:val="32"/>
          <w:szCs w:val="32"/>
        </w:rPr>
        <w:t>万元，完成预算</w:t>
      </w:r>
      <w:r>
        <w:rPr>
          <w:rFonts w:hint="eastAsia" w:eastAsia="仿宋_GB2312" w:cs="仿宋_GB2312"/>
          <w:sz w:val="32"/>
          <w:szCs w:val="32"/>
          <w:lang w:val="en-US" w:eastAsia="zh-CN"/>
        </w:rPr>
        <w:t>0</w:t>
      </w:r>
      <w:r>
        <w:rPr>
          <w:rFonts w:hint="eastAsia" w:eastAsia="仿宋_GB2312" w:cs="仿宋_GB2312"/>
          <w:sz w:val="32"/>
          <w:szCs w:val="32"/>
        </w:rPr>
        <w:t>%，</w:t>
      </w:r>
      <w:r>
        <w:rPr>
          <w:rFonts w:hint="eastAsia" w:eastAsia="仿宋_GB2312" w:cs="仿宋_GB2312"/>
          <w:sz w:val="32"/>
          <w:szCs w:val="32"/>
          <w:lang w:val="en-US" w:eastAsia="zh-CN"/>
        </w:rPr>
        <w:t>与</w:t>
      </w:r>
      <w:r>
        <w:rPr>
          <w:rFonts w:hint="eastAsia" w:eastAsia="仿宋_GB2312" w:cs="仿宋_GB2312"/>
          <w:sz w:val="32"/>
          <w:szCs w:val="32"/>
        </w:rPr>
        <w:t>上年度</w:t>
      </w:r>
      <w:r>
        <w:rPr>
          <w:rFonts w:hint="eastAsia" w:eastAsia="仿宋_GB2312" w:cs="仿宋_GB2312"/>
          <w:sz w:val="32"/>
          <w:szCs w:val="32"/>
          <w:lang w:val="en-US" w:eastAsia="zh-CN"/>
        </w:rPr>
        <w:t>一致</w:t>
      </w:r>
      <w:r>
        <w:rPr>
          <w:rFonts w:hint="eastAsia" w:eastAsia="仿宋_GB2312" w:cs="仿宋_GB2312"/>
          <w:sz w:val="32"/>
          <w:szCs w:val="32"/>
        </w:rPr>
        <w:t>。决算数与预算数持平</w:t>
      </w:r>
      <w:r>
        <w:rPr>
          <w:rFonts w:hint="eastAsia" w:eastAsia="仿宋_GB2312" w:cs="仿宋_GB2312"/>
          <w:sz w:val="32"/>
          <w:szCs w:val="32"/>
          <w:lang w:eastAsia="zh-CN"/>
        </w:rPr>
        <w:t>。</w:t>
      </w:r>
    </w:p>
    <w:p>
      <w:pPr>
        <w:spacing w:line="600" w:lineRule="exact"/>
        <w:ind w:firstLine="642" w:firstLineChars="200"/>
        <w:outlineLvl w:val="9"/>
        <w:rPr>
          <w:rFonts w:eastAsia="楷体_GB2312" w:cs="楷体_GB2312"/>
          <w:b/>
          <w:sz w:val="32"/>
          <w:szCs w:val="32"/>
        </w:rPr>
      </w:pPr>
      <w:bookmarkStart w:id="50" w:name="_Toc15377217"/>
      <w:r>
        <w:rPr>
          <w:rFonts w:hint="eastAsia" w:eastAsia="楷体_GB2312" w:cs="楷体_GB2312"/>
          <w:b/>
          <w:sz w:val="32"/>
          <w:szCs w:val="32"/>
        </w:rPr>
        <w:t>（二）“三公”经费财政拨款支出决算具体情况说明</w:t>
      </w:r>
      <w:bookmarkEnd w:id="50"/>
    </w:p>
    <w:p>
      <w:pPr>
        <w:spacing w:line="600" w:lineRule="exact"/>
        <w:ind w:firstLine="640"/>
        <w:rPr>
          <w:rFonts w:eastAsia="仿宋_GB2312" w:cs="仿宋_GB2312"/>
          <w:sz w:val="32"/>
          <w:szCs w:val="32"/>
        </w:rPr>
      </w:pPr>
      <w:r>
        <w:rPr>
          <w:rFonts w:hint="eastAsia" w:eastAsia="仿宋_GB2312" w:cs="仿宋_GB2312"/>
          <w:sz w:val="32"/>
          <w:szCs w:val="32"/>
        </w:rPr>
        <w:t>2024年度“三公”经费财政拨款支出决算中，因公出国（境）费支出决算</w:t>
      </w:r>
      <w:r>
        <w:rPr>
          <w:rFonts w:hint="eastAsia" w:eastAsia="仿宋_GB2312" w:cs="仿宋_GB2312"/>
          <w:sz w:val="32"/>
          <w:szCs w:val="32"/>
          <w:lang w:val="en-US" w:eastAsia="zh-CN"/>
        </w:rPr>
        <w:t>0</w:t>
      </w:r>
      <w:r>
        <w:rPr>
          <w:rFonts w:hint="eastAsia" w:eastAsia="仿宋_GB2312" w:cs="仿宋_GB2312"/>
          <w:sz w:val="32"/>
          <w:szCs w:val="32"/>
        </w:rPr>
        <w:t>万元，占</w:t>
      </w:r>
      <w:r>
        <w:rPr>
          <w:rFonts w:hint="eastAsia" w:eastAsia="仿宋_GB2312" w:cs="仿宋_GB2312"/>
          <w:sz w:val="32"/>
          <w:szCs w:val="32"/>
          <w:lang w:val="en-US" w:eastAsia="zh-CN"/>
        </w:rPr>
        <w:t>0</w:t>
      </w:r>
      <w:r>
        <w:rPr>
          <w:rFonts w:hint="eastAsia" w:eastAsia="仿宋_GB2312" w:cs="仿宋_GB2312"/>
          <w:sz w:val="32"/>
          <w:szCs w:val="32"/>
        </w:rPr>
        <w:t>%；公务用车购置及运行维护费支出决算</w:t>
      </w:r>
      <w:r>
        <w:rPr>
          <w:rFonts w:hint="eastAsia" w:eastAsia="仿宋_GB2312" w:cs="仿宋_GB2312"/>
          <w:sz w:val="32"/>
          <w:szCs w:val="32"/>
          <w:lang w:val="en-US" w:eastAsia="zh-CN"/>
        </w:rPr>
        <w:t>0</w:t>
      </w:r>
      <w:r>
        <w:rPr>
          <w:rFonts w:hint="eastAsia" w:eastAsia="仿宋_GB2312" w:cs="仿宋_GB2312"/>
          <w:sz w:val="32"/>
          <w:szCs w:val="32"/>
        </w:rPr>
        <w:t>万元，占</w:t>
      </w:r>
      <w:r>
        <w:rPr>
          <w:rFonts w:hint="eastAsia" w:eastAsia="仿宋_GB2312" w:cs="仿宋_GB2312"/>
          <w:sz w:val="32"/>
          <w:szCs w:val="32"/>
          <w:lang w:val="en-US" w:eastAsia="zh-CN"/>
        </w:rPr>
        <w:t>0</w:t>
      </w:r>
      <w:r>
        <w:rPr>
          <w:rFonts w:hint="eastAsia" w:eastAsia="仿宋_GB2312" w:cs="仿宋_GB2312"/>
          <w:sz w:val="32"/>
          <w:szCs w:val="32"/>
        </w:rPr>
        <w:t>%；公务接待费支出决算</w:t>
      </w:r>
      <w:r>
        <w:rPr>
          <w:rFonts w:hint="eastAsia" w:eastAsia="仿宋_GB2312" w:cs="仿宋_GB2312"/>
          <w:sz w:val="32"/>
          <w:szCs w:val="32"/>
          <w:lang w:val="en-US" w:eastAsia="zh-CN"/>
        </w:rPr>
        <w:t>0</w:t>
      </w:r>
      <w:r>
        <w:rPr>
          <w:rFonts w:hint="eastAsia" w:eastAsia="仿宋_GB2312" w:cs="仿宋_GB2312"/>
          <w:sz w:val="32"/>
          <w:szCs w:val="32"/>
        </w:rPr>
        <w:t>万元，占</w:t>
      </w:r>
      <w:r>
        <w:rPr>
          <w:rFonts w:hint="eastAsia" w:eastAsia="仿宋_GB2312" w:cs="仿宋_GB2312"/>
          <w:sz w:val="32"/>
          <w:szCs w:val="32"/>
          <w:lang w:val="en-US" w:eastAsia="zh-CN"/>
        </w:rPr>
        <w:t>0</w:t>
      </w:r>
      <w:r>
        <w:rPr>
          <w:rFonts w:hint="eastAsia" w:eastAsia="仿宋_GB2312" w:cs="仿宋_GB2312"/>
          <w:sz w:val="32"/>
          <w:szCs w:val="32"/>
        </w:rPr>
        <w:t>%。</w:t>
      </w:r>
    </w:p>
    <w:p>
      <w:pPr>
        <w:spacing w:line="600" w:lineRule="exact"/>
        <w:ind w:firstLine="640"/>
        <w:rPr>
          <w:rFonts w:eastAsia="仿宋_GB2312" w:cs="仿宋_GB2312"/>
          <w:sz w:val="32"/>
          <w:szCs w:val="32"/>
        </w:rPr>
      </w:pPr>
      <w:r>
        <w:rPr>
          <w:rFonts w:hint="eastAsia" w:eastAsia="仿宋_GB2312" w:cs="仿宋_GB2312"/>
          <w:b/>
          <w:bCs/>
          <w:sz w:val="32"/>
          <w:szCs w:val="32"/>
        </w:rPr>
        <w:t>1.因公出国（境）经费支出</w:t>
      </w:r>
      <w:r>
        <w:rPr>
          <w:rFonts w:hint="eastAsia" w:eastAsia="仿宋_GB2312" w:cs="仿宋_GB2312"/>
          <w:b/>
          <w:bCs/>
          <w:sz w:val="32"/>
          <w:szCs w:val="32"/>
          <w:lang w:val="en-US" w:eastAsia="zh-CN"/>
        </w:rPr>
        <w:t>0</w:t>
      </w:r>
      <w:r>
        <w:rPr>
          <w:rFonts w:hint="eastAsia" w:eastAsia="仿宋_GB2312" w:cs="仿宋_GB2312"/>
          <w:b/>
          <w:bCs/>
          <w:sz w:val="32"/>
          <w:szCs w:val="32"/>
        </w:rPr>
        <w:t>万元，完成预算</w:t>
      </w:r>
      <w:r>
        <w:rPr>
          <w:rFonts w:hint="eastAsia" w:eastAsia="仿宋_GB2312" w:cs="仿宋_GB2312"/>
          <w:b/>
          <w:bCs/>
          <w:sz w:val="32"/>
          <w:szCs w:val="32"/>
          <w:lang w:val="en-US" w:eastAsia="zh-CN"/>
        </w:rPr>
        <w:t>0</w:t>
      </w:r>
      <w:r>
        <w:rPr>
          <w:rFonts w:hint="eastAsia" w:eastAsia="仿宋_GB2312" w:cs="仿宋_GB2312"/>
          <w:b/>
          <w:bCs/>
          <w:sz w:val="32"/>
          <w:szCs w:val="32"/>
        </w:rPr>
        <w:t>%。</w:t>
      </w:r>
      <w:r>
        <w:rPr>
          <w:rFonts w:hint="eastAsia" w:eastAsia="仿宋_GB2312" w:cs="仿宋_GB2312"/>
          <w:sz w:val="32"/>
          <w:szCs w:val="32"/>
        </w:rPr>
        <w:t>全年安排因公出国（境）团</w:t>
      </w:r>
      <w:r>
        <w:rPr>
          <w:rFonts w:hint="eastAsia" w:ascii="仿宋_GB2312" w:hAnsi="仿宋_GB2312" w:eastAsia="仿宋_GB2312" w:cs="仿宋_GB2312"/>
          <w:sz w:val="32"/>
          <w:szCs w:val="32"/>
        </w:rPr>
        <w:t>组</w:t>
      </w:r>
      <w:r>
        <w:rPr>
          <w:rFonts w:hint="eastAsia" w:ascii="仿宋_GB2312" w:hAnsi="仿宋_GB2312" w:eastAsia="仿宋_GB2312" w:cs="仿宋_GB2312"/>
          <w:sz w:val="32"/>
          <w:szCs w:val="32"/>
          <w:lang w:val="en-US" w:eastAsia="zh-CN"/>
        </w:rPr>
        <w:t>0</w:t>
      </w:r>
      <w:r>
        <w:rPr>
          <w:rFonts w:hint="eastAsia" w:eastAsia="仿宋_GB2312" w:cs="仿宋_GB2312"/>
          <w:sz w:val="32"/>
          <w:szCs w:val="32"/>
        </w:rPr>
        <w:t>次，出国（境）</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人</w:t>
      </w:r>
      <w:r>
        <w:rPr>
          <w:rFonts w:hint="eastAsia" w:eastAsia="仿宋_GB2312" w:cs="仿宋_GB2312"/>
          <w:sz w:val="32"/>
          <w:szCs w:val="32"/>
        </w:rPr>
        <w:t>。</w:t>
      </w:r>
    </w:p>
    <w:p>
      <w:pPr>
        <w:spacing w:line="600" w:lineRule="exact"/>
        <w:ind w:firstLine="640"/>
        <w:rPr>
          <w:rFonts w:hint="eastAsia" w:eastAsia="仿宋_GB2312" w:cs="仿宋_GB2312"/>
          <w:sz w:val="32"/>
          <w:szCs w:val="32"/>
          <w:lang w:eastAsia="zh-CN"/>
        </w:rPr>
      </w:pPr>
      <w:r>
        <w:rPr>
          <w:rFonts w:hint="eastAsia" w:eastAsia="仿宋_GB2312" w:cs="仿宋_GB2312"/>
          <w:b/>
          <w:bCs/>
          <w:sz w:val="32"/>
          <w:szCs w:val="32"/>
        </w:rPr>
        <w:t>2.公务用车购置及运行维护费支出</w:t>
      </w:r>
      <w:r>
        <w:rPr>
          <w:rFonts w:hint="eastAsia" w:ascii="仿宋_GB2312" w:hAnsi="仿宋_GB2312" w:eastAsia="仿宋_GB2312" w:cs="仿宋_GB2312"/>
          <w:b/>
          <w:bCs/>
          <w:sz w:val="32"/>
          <w:szCs w:val="32"/>
          <w:lang w:val="en-US" w:eastAsia="zh-CN"/>
        </w:rPr>
        <w:t>0</w:t>
      </w:r>
      <w:r>
        <w:rPr>
          <w:rFonts w:hint="eastAsia" w:ascii="仿宋_GB2312" w:hAnsi="仿宋_GB2312" w:eastAsia="仿宋_GB2312" w:cs="仿宋_GB2312"/>
          <w:b/>
          <w:bCs/>
          <w:sz w:val="32"/>
          <w:szCs w:val="32"/>
        </w:rPr>
        <w:t>万</w:t>
      </w:r>
      <w:r>
        <w:rPr>
          <w:rFonts w:hint="eastAsia" w:eastAsia="仿宋_GB2312" w:cs="仿宋_GB2312"/>
          <w:b/>
          <w:bCs/>
          <w:sz w:val="32"/>
          <w:szCs w:val="32"/>
        </w:rPr>
        <w:t>元，完成预算</w:t>
      </w:r>
      <w:r>
        <w:rPr>
          <w:rFonts w:hint="eastAsia" w:eastAsia="仿宋_GB2312" w:cs="仿宋_GB2312"/>
          <w:b/>
          <w:bCs/>
          <w:sz w:val="32"/>
          <w:szCs w:val="32"/>
          <w:lang w:val="en-US" w:eastAsia="zh-CN"/>
        </w:rPr>
        <w:t>0</w:t>
      </w:r>
      <w:r>
        <w:rPr>
          <w:rFonts w:hint="eastAsia" w:eastAsia="仿宋_GB2312" w:cs="仿宋_GB2312"/>
          <w:b/>
          <w:bCs/>
          <w:sz w:val="32"/>
          <w:szCs w:val="32"/>
        </w:rPr>
        <w:t>%。</w:t>
      </w:r>
      <w:r>
        <w:rPr>
          <w:rFonts w:hint="eastAsia" w:eastAsia="仿宋_GB2312" w:cs="仿宋_GB2312"/>
          <w:sz w:val="32"/>
          <w:szCs w:val="32"/>
        </w:rPr>
        <w:t>公务用车购置及运行维护费支出决算</w:t>
      </w:r>
      <w:r>
        <w:rPr>
          <w:rFonts w:hint="eastAsia" w:eastAsia="仿宋_GB2312" w:cs="仿宋_GB2312"/>
          <w:sz w:val="32"/>
          <w:szCs w:val="32"/>
          <w:lang w:val="en-US" w:eastAsia="zh-CN"/>
        </w:rPr>
        <w:t>与</w:t>
      </w:r>
      <w:r>
        <w:rPr>
          <w:rFonts w:hint="eastAsia" w:eastAsia="仿宋_GB2312" w:cs="仿宋_GB2312"/>
          <w:sz w:val="32"/>
          <w:szCs w:val="32"/>
        </w:rPr>
        <w:t>2023年度</w:t>
      </w:r>
      <w:r>
        <w:rPr>
          <w:rFonts w:hint="eastAsia" w:eastAsia="仿宋_GB2312" w:cs="仿宋_GB2312"/>
          <w:sz w:val="32"/>
          <w:szCs w:val="32"/>
          <w:lang w:val="en-US" w:eastAsia="zh-CN"/>
        </w:rPr>
        <w:t>保持一致</w:t>
      </w:r>
      <w:r>
        <w:rPr>
          <w:rFonts w:hint="eastAsia" w:eastAsia="仿宋_GB2312" w:cs="仿宋_GB2312"/>
          <w:sz w:val="32"/>
          <w:szCs w:val="32"/>
          <w:lang w:eastAsia="zh-CN"/>
        </w:rPr>
        <w:t>。</w:t>
      </w:r>
    </w:p>
    <w:p>
      <w:pPr>
        <w:spacing w:line="600" w:lineRule="exact"/>
        <w:ind w:firstLine="640"/>
        <w:rPr>
          <w:rFonts w:hint="eastAsia" w:eastAsia="仿宋_GB2312" w:cs="仿宋_GB2312"/>
          <w:sz w:val="32"/>
          <w:szCs w:val="32"/>
        </w:rPr>
      </w:pPr>
      <w:r>
        <w:rPr>
          <w:rFonts w:hint="eastAsia" w:eastAsia="仿宋_GB2312" w:cs="仿宋_GB2312"/>
          <w:sz w:val="32"/>
          <w:szCs w:val="32"/>
        </w:rPr>
        <w:t>其中：公务用车购置支出</w:t>
      </w:r>
      <w:r>
        <w:rPr>
          <w:rFonts w:hint="eastAsia" w:eastAsia="仿宋_GB2312" w:cs="仿宋_GB2312"/>
          <w:sz w:val="32"/>
          <w:szCs w:val="32"/>
          <w:lang w:val="en-US" w:eastAsia="zh-CN"/>
        </w:rPr>
        <w:t>0</w:t>
      </w:r>
      <w:r>
        <w:rPr>
          <w:rFonts w:hint="eastAsia" w:eastAsia="仿宋_GB2312" w:cs="仿宋_GB2312"/>
          <w:sz w:val="32"/>
          <w:szCs w:val="32"/>
        </w:rPr>
        <w:t>万元。截至2024年12月31日，单位共有公务用车</w:t>
      </w:r>
      <w:r>
        <w:rPr>
          <w:rFonts w:hint="eastAsia" w:eastAsia="仿宋_GB2312" w:cs="仿宋_GB2312"/>
          <w:sz w:val="32"/>
          <w:szCs w:val="32"/>
          <w:lang w:val="en-US" w:eastAsia="zh-CN"/>
        </w:rPr>
        <w:t>0</w:t>
      </w:r>
      <w:r>
        <w:rPr>
          <w:rFonts w:hint="eastAsia" w:eastAsia="仿宋_GB2312" w:cs="仿宋_GB2312"/>
          <w:sz w:val="32"/>
          <w:szCs w:val="32"/>
        </w:rPr>
        <w:t>辆。</w:t>
      </w:r>
    </w:p>
    <w:p>
      <w:pPr>
        <w:spacing w:line="600" w:lineRule="exact"/>
        <w:ind w:firstLine="640"/>
        <w:rPr>
          <w:rFonts w:eastAsia="仿宋_GB2312" w:cs="仿宋_GB2312"/>
          <w:sz w:val="32"/>
          <w:szCs w:val="32"/>
        </w:rPr>
      </w:pPr>
      <w:r>
        <w:rPr>
          <w:rFonts w:hint="eastAsia" w:eastAsia="仿宋_GB2312" w:cs="仿宋_GB2312"/>
          <w:sz w:val="32"/>
          <w:szCs w:val="32"/>
        </w:rPr>
        <w:t>公务用车运行维护费支</w:t>
      </w:r>
      <w:r>
        <w:rPr>
          <w:rFonts w:hint="eastAsia" w:ascii="仿宋_GB2312" w:hAnsi="仿宋_GB2312" w:eastAsia="仿宋_GB2312" w:cs="仿宋_GB2312"/>
          <w:sz w:val="32"/>
          <w:szCs w:val="32"/>
        </w:rPr>
        <w:t>出</w:t>
      </w:r>
      <w:r>
        <w:rPr>
          <w:rFonts w:hint="eastAsia" w:eastAsia="仿宋_GB2312" w:cs="仿宋_GB2312"/>
          <w:sz w:val="32"/>
          <w:szCs w:val="32"/>
          <w:lang w:val="en-US" w:eastAsia="zh-CN"/>
        </w:rPr>
        <w:t>0</w:t>
      </w:r>
      <w:r>
        <w:rPr>
          <w:rFonts w:hint="eastAsia" w:eastAsia="仿宋_GB2312" w:cs="仿宋_GB2312"/>
          <w:sz w:val="32"/>
          <w:szCs w:val="32"/>
        </w:rPr>
        <w:t>万元。</w:t>
      </w:r>
    </w:p>
    <w:p>
      <w:pPr>
        <w:spacing w:line="600" w:lineRule="exact"/>
        <w:ind w:firstLine="640"/>
        <w:rPr>
          <w:rFonts w:eastAsia="仿宋_GB2312" w:cs="仿宋_GB2312"/>
          <w:sz w:val="32"/>
          <w:szCs w:val="32"/>
        </w:rPr>
      </w:pPr>
      <w:r>
        <w:rPr>
          <w:rFonts w:hint="eastAsia" w:eastAsia="仿宋_GB2312" w:cs="仿宋_GB2312"/>
          <w:b/>
          <w:bCs/>
          <w:sz w:val="32"/>
          <w:szCs w:val="32"/>
        </w:rPr>
        <w:t>3.公务接待费支出</w:t>
      </w:r>
      <w:r>
        <w:rPr>
          <w:rFonts w:hint="eastAsia" w:ascii="仿宋_GB2312" w:hAnsi="仿宋_GB2312" w:eastAsia="仿宋_GB2312" w:cs="仿宋_GB2312"/>
          <w:b/>
          <w:bCs/>
          <w:sz w:val="32"/>
          <w:szCs w:val="32"/>
          <w:lang w:val="en-US" w:eastAsia="zh-CN"/>
        </w:rPr>
        <w:t>0</w:t>
      </w:r>
      <w:r>
        <w:rPr>
          <w:rFonts w:hint="eastAsia" w:ascii="仿宋_GB2312" w:hAnsi="仿宋_GB2312" w:eastAsia="仿宋_GB2312" w:cs="仿宋_GB2312"/>
          <w:b/>
          <w:bCs/>
          <w:sz w:val="32"/>
          <w:szCs w:val="32"/>
        </w:rPr>
        <w:t>万</w:t>
      </w:r>
      <w:r>
        <w:rPr>
          <w:rFonts w:hint="eastAsia" w:eastAsia="仿宋_GB2312" w:cs="仿宋_GB2312"/>
          <w:b/>
          <w:bCs/>
          <w:sz w:val="32"/>
          <w:szCs w:val="32"/>
        </w:rPr>
        <w:t>元，完成预算</w:t>
      </w:r>
      <w:r>
        <w:rPr>
          <w:rFonts w:hint="eastAsia" w:eastAsia="仿宋_GB2312" w:cs="仿宋_GB2312"/>
          <w:b/>
          <w:bCs/>
          <w:sz w:val="32"/>
          <w:szCs w:val="32"/>
          <w:lang w:val="en-US" w:eastAsia="zh-CN"/>
        </w:rPr>
        <w:t>0</w:t>
      </w:r>
      <w:r>
        <w:rPr>
          <w:rFonts w:hint="eastAsia" w:eastAsia="仿宋_GB2312" w:cs="仿宋_GB2312"/>
          <w:b/>
          <w:bCs/>
          <w:sz w:val="32"/>
          <w:szCs w:val="32"/>
        </w:rPr>
        <w:t>%。</w:t>
      </w:r>
      <w:r>
        <w:rPr>
          <w:rFonts w:hint="eastAsia" w:eastAsia="仿宋_GB2312" w:cs="仿宋_GB2312"/>
          <w:sz w:val="32"/>
          <w:szCs w:val="32"/>
        </w:rPr>
        <w:t>公务接待费支出决算</w:t>
      </w:r>
      <w:r>
        <w:rPr>
          <w:rFonts w:hint="eastAsia" w:eastAsia="仿宋_GB2312" w:cs="仿宋_GB2312"/>
          <w:sz w:val="32"/>
          <w:szCs w:val="32"/>
          <w:lang w:val="en-US" w:eastAsia="zh-CN"/>
        </w:rPr>
        <w:t>与</w:t>
      </w:r>
      <w:r>
        <w:rPr>
          <w:rFonts w:hint="eastAsia" w:eastAsia="仿宋_GB2312" w:cs="仿宋_GB2312"/>
          <w:sz w:val="32"/>
          <w:szCs w:val="32"/>
        </w:rPr>
        <w:t>2023年度</w:t>
      </w:r>
      <w:r>
        <w:rPr>
          <w:rFonts w:hint="eastAsia" w:eastAsia="仿宋_GB2312" w:cs="仿宋_GB2312"/>
          <w:sz w:val="32"/>
          <w:szCs w:val="32"/>
          <w:lang w:val="en-US" w:eastAsia="zh-CN"/>
        </w:rPr>
        <w:t>保持一致</w:t>
      </w:r>
      <w:r>
        <w:rPr>
          <w:rFonts w:hint="eastAsia" w:eastAsia="仿宋_GB2312" w:cs="仿宋_GB2312"/>
          <w:sz w:val="32"/>
          <w:szCs w:val="32"/>
        </w:rPr>
        <w:t>。其中：</w:t>
      </w:r>
    </w:p>
    <w:p>
      <w:pPr>
        <w:spacing w:line="600" w:lineRule="exact"/>
        <w:ind w:firstLine="640"/>
        <w:rPr>
          <w:rFonts w:hint="eastAsia" w:eastAsia="仿宋_GB2312" w:cs="仿宋_GB2312"/>
          <w:sz w:val="32"/>
          <w:szCs w:val="32"/>
        </w:rPr>
      </w:pPr>
      <w:r>
        <w:rPr>
          <w:rFonts w:hint="eastAsia" w:eastAsia="仿宋_GB2312" w:cs="仿宋_GB2312"/>
          <w:sz w:val="32"/>
          <w:szCs w:val="32"/>
        </w:rPr>
        <w:t>国内公务接待支出</w:t>
      </w:r>
      <w:r>
        <w:rPr>
          <w:rFonts w:hint="eastAsia" w:eastAsia="仿宋_GB2312" w:cs="仿宋_GB2312"/>
          <w:sz w:val="32"/>
          <w:szCs w:val="32"/>
          <w:lang w:val="en-US" w:eastAsia="zh-CN"/>
        </w:rPr>
        <w:t>0</w:t>
      </w:r>
      <w:r>
        <w:rPr>
          <w:rFonts w:hint="eastAsia" w:eastAsia="仿宋_GB2312" w:cs="仿宋_GB2312"/>
          <w:sz w:val="32"/>
          <w:szCs w:val="32"/>
        </w:rPr>
        <w:t>万元。</w:t>
      </w:r>
    </w:p>
    <w:p>
      <w:pPr>
        <w:spacing w:line="600" w:lineRule="exact"/>
        <w:ind w:firstLine="640"/>
        <w:rPr>
          <w:rFonts w:hint="eastAsia" w:eastAsia="仿宋_GB2312" w:cs="仿宋_GB2312"/>
          <w:sz w:val="32"/>
          <w:szCs w:val="32"/>
        </w:rPr>
      </w:pPr>
      <w:r>
        <w:rPr>
          <w:rFonts w:hint="eastAsia" w:eastAsia="仿宋_GB2312" w:cs="仿宋_GB2312"/>
          <w:sz w:val="32"/>
          <w:szCs w:val="32"/>
        </w:rPr>
        <w:t>外事接待支出</w:t>
      </w:r>
      <w:r>
        <w:rPr>
          <w:rFonts w:hint="eastAsia" w:eastAsia="仿宋_GB2312" w:cs="仿宋_GB2312"/>
          <w:sz w:val="32"/>
          <w:szCs w:val="32"/>
          <w:lang w:val="en-US" w:eastAsia="zh-CN"/>
        </w:rPr>
        <w:t>0</w:t>
      </w:r>
      <w:r>
        <w:rPr>
          <w:rFonts w:hint="eastAsia" w:eastAsia="仿宋_GB2312" w:cs="仿宋_GB2312"/>
          <w:sz w:val="32"/>
          <w:szCs w:val="32"/>
        </w:rPr>
        <w:t>万元。</w:t>
      </w:r>
    </w:p>
    <w:p>
      <w:pPr>
        <w:spacing w:line="600" w:lineRule="exact"/>
        <w:ind w:firstLine="640" w:firstLineChars="0"/>
        <w:outlineLvl w:val="0"/>
        <w:rPr>
          <w:rStyle w:val="29"/>
          <w:rFonts w:ascii="Times New Roman" w:hAnsi="Times New Roman" w:eastAsia="黑体"/>
        </w:rPr>
      </w:pPr>
      <w:bookmarkStart w:id="51" w:name="_Toc13376"/>
      <w:bookmarkStart w:id="52" w:name="_Toc15396610"/>
      <w:bookmarkStart w:id="53" w:name="_Toc15377218"/>
      <w:r>
        <w:rPr>
          <w:rFonts w:hint="eastAsia" w:eastAsia="黑体"/>
          <w:sz w:val="32"/>
          <w:szCs w:val="32"/>
        </w:rPr>
        <w:t>八、</w:t>
      </w:r>
      <w:r>
        <w:rPr>
          <w:rStyle w:val="29"/>
          <w:rFonts w:hint="eastAsia" w:ascii="Times New Roman" w:hAnsi="Times New Roman" w:eastAsia="黑体"/>
          <w:b w:val="0"/>
        </w:rPr>
        <w:t>政府性基金预算支出决算情况说明</w:t>
      </w:r>
      <w:bookmarkEnd w:id="51"/>
      <w:bookmarkEnd w:id="52"/>
      <w:bookmarkEnd w:id="53"/>
    </w:p>
    <w:p>
      <w:pPr>
        <w:spacing w:line="600" w:lineRule="exact"/>
        <w:ind w:firstLine="640"/>
        <w:rPr>
          <w:rFonts w:hint="eastAsia" w:eastAsia="仿宋_GB2312" w:cs="仿宋_GB2312"/>
          <w:sz w:val="32"/>
          <w:szCs w:val="32"/>
        </w:rPr>
      </w:pPr>
      <w:r>
        <w:rPr>
          <w:rFonts w:hint="eastAsia" w:eastAsia="仿宋_GB2312" w:cs="仿宋_GB2312"/>
          <w:sz w:val="32"/>
          <w:szCs w:val="32"/>
        </w:rPr>
        <w:t>2024年度政府性基金预算财政拨款支出</w:t>
      </w:r>
      <w:r>
        <w:rPr>
          <w:rFonts w:hint="eastAsia" w:eastAsia="仿宋_GB2312" w:cs="仿宋_GB2312"/>
          <w:sz w:val="32"/>
          <w:szCs w:val="32"/>
          <w:lang w:val="en-US" w:eastAsia="zh-CN"/>
        </w:rPr>
        <w:t>0</w:t>
      </w:r>
      <w:r>
        <w:rPr>
          <w:rFonts w:hint="eastAsia" w:eastAsia="仿宋_GB2312" w:cs="仿宋_GB2312"/>
          <w:sz w:val="32"/>
          <w:szCs w:val="32"/>
        </w:rPr>
        <w:t>万元。</w:t>
      </w:r>
      <w:bookmarkStart w:id="54" w:name="_Toc15396611"/>
      <w:bookmarkStart w:id="55" w:name="_Toc15377219"/>
    </w:p>
    <w:p>
      <w:pPr>
        <w:spacing w:line="600" w:lineRule="exact"/>
        <w:ind w:left="630" w:leftChars="0"/>
        <w:outlineLvl w:val="0"/>
        <w:rPr>
          <w:rStyle w:val="29"/>
          <w:rFonts w:ascii="Times New Roman" w:hAnsi="Times New Roman" w:eastAsia="黑体"/>
          <w:b w:val="0"/>
        </w:rPr>
      </w:pPr>
      <w:bookmarkStart w:id="56" w:name="_Toc13745"/>
      <w:r>
        <w:rPr>
          <w:rStyle w:val="29"/>
          <w:rFonts w:hint="eastAsia" w:ascii="Times New Roman" w:hAnsi="Times New Roman" w:eastAsia="黑体"/>
          <w:b w:val="0"/>
        </w:rPr>
        <w:t>九、国有资本经营预算支出决算情况说明</w:t>
      </w:r>
      <w:bookmarkEnd w:id="54"/>
      <w:bookmarkEnd w:id="55"/>
      <w:bookmarkEnd w:id="56"/>
    </w:p>
    <w:p>
      <w:pPr>
        <w:spacing w:line="600" w:lineRule="exact"/>
        <w:ind w:firstLine="640"/>
        <w:rPr>
          <w:rFonts w:hint="eastAsia" w:eastAsia="仿宋_GB2312" w:cs="仿宋_GB2312"/>
          <w:sz w:val="32"/>
          <w:szCs w:val="32"/>
        </w:rPr>
      </w:pPr>
      <w:r>
        <w:rPr>
          <w:rFonts w:hint="eastAsia" w:eastAsia="仿宋_GB2312" w:cs="仿宋_GB2312"/>
          <w:sz w:val="32"/>
          <w:szCs w:val="32"/>
        </w:rPr>
        <w:t>2024年度国有资本经营预算财政拨款支出</w:t>
      </w:r>
      <w:r>
        <w:rPr>
          <w:rFonts w:hint="eastAsia" w:eastAsia="仿宋_GB2312" w:cs="仿宋_GB2312"/>
          <w:sz w:val="32"/>
          <w:szCs w:val="32"/>
          <w:lang w:val="en-US" w:eastAsia="zh-CN"/>
        </w:rPr>
        <w:t>0</w:t>
      </w:r>
      <w:r>
        <w:rPr>
          <w:rFonts w:hint="eastAsia" w:eastAsia="仿宋_GB2312" w:cs="仿宋_GB2312"/>
          <w:sz w:val="32"/>
          <w:szCs w:val="32"/>
        </w:rPr>
        <w:t>万元。</w:t>
      </w:r>
    </w:p>
    <w:p>
      <w:pPr>
        <w:spacing w:line="600" w:lineRule="exact"/>
        <w:ind w:left="630" w:leftChars="0"/>
        <w:outlineLvl w:val="0"/>
        <w:rPr>
          <w:rStyle w:val="29"/>
          <w:rFonts w:ascii="Times New Roman" w:hAnsi="Times New Roman" w:eastAsia="黑体"/>
          <w:b w:val="0"/>
        </w:rPr>
      </w:pPr>
      <w:bookmarkStart w:id="57" w:name="_Toc28704"/>
      <w:bookmarkStart w:id="58" w:name="_Toc15377221"/>
      <w:bookmarkStart w:id="59" w:name="_Toc15396612"/>
      <w:r>
        <w:rPr>
          <w:rStyle w:val="29"/>
          <w:rFonts w:hint="eastAsia" w:ascii="Times New Roman" w:hAnsi="Times New Roman" w:eastAsia="黑体"/>
          <w:b w:val="0"/>
        </w:rPr>
        <w:t>十、其他重要事项的情况说明</w:t>
      </w:r>
      <w:bookmarkEnd w:id="57"/>
      <w:bookmarkEnd w:id="58"/>
      <w:bookmarkEnd w:id="59"/>
    </w:p>
    <w:p>
      <w:pPr>
        <w:spacing w:line="600" w:lineRule="exact"/>
        <w:ind w:firstLine="640" w:firstLineChars="0"/>
        <w:outlineLvl w:val="9"/>
        <w:rPr>
          <w:rFonts w:eastAsia="楷体_GB2312" w:cs="楷体_GB2312"/>
          <w:b/>
          <w:sz w:val="32"/>
          <w:szCs w:val="32"/>
        </w:rPr>
      </w:pPr>
      <w:bookmarkStart w:id="60" w:name="_Toc15377222"/>
      <w:r>
        <w:rPr>
          <w:rFonts w:hint="eastAsia" w:eastAsia="楷体_GB2312" w:cs="楷体_GB2312"/>
          <w:b/>
          <w:sz w:val="32"/>
          <w:szCs w:val="32"/>
        </w:rPr>
        <w:t>（一）机关运行经费支出情况</w:t>
      </w:r>
      <w:bookmarkEnd w:id="60"/>
    </w:p>
    <w:p>
      <w:pPr>
        <w:spacing w:line="600" w:lineRule="exact"/>
        <w:ind w:firstLine="640"/>
        <w:rPr>
          <w:rFonts w:hint="eastAsia" w:eastAsia="仿宋_GB2312" w:cs="仿宋_GB2312"/>
          <w:sz w:val="32"/>
          <w:szCs w:val="32"/>
        </w:rPr>
      </w:pPr>
      <w:r>
        <w:rPr>
          <w:rFonts w:hint="eastAsia" w:eastAsia="仿宋_GB2312" w:cs="仿宋_GB2312"/>
          <w:sz w:val="32"/>
          <w:szCs w:val="32"/>
        </w:rPr>
        <w:t>2024年度，四川省阿坝州法官培训中心机关运行经费支出</w:t>
      </w:r>
      <w:r>
        <w:rPr>
          <w:rFonts w:hint="eastAsia" w:eastAsia="仿宋_GB2312" w:cs="仿宋_GB2312"/>
          <w:sz w:val="32"/>
          <w:szCs w:val="32"/>
          <w:lang w:val="en-US" w:eastAsia="zh-CN"/>
        </w:rPr>
        <w:t>0</w:t>
      </w:r>
      <w:r>
        <w:rPr>
          <w:rFonts w:hint="eastAsia" w:eastAsia="仿宋_GB2312" w:cs="仿宋_GB2312"/>
          <w:sz w:val="32"/>
          <w:szCs w:val="32"/>
        </w:rPr>
        <w:t>万元，</w:t>
      </w:r>
      <w:r>
        <w:rPr>
          <w:rFonts w:hint="eastAsia" w:eastAsia="仿宋_GB2312" w:cs="仿宋_GB2312"/>
          <w:sz w:val="32"/>
          <w:szCs w:val="32"/>
          <w:lang w:val="en-US" w:eastAsia="zh-CN"/>
        </w:rPr>
        <w:t>与</w:t>
      </w:r>
      <w:r>
        <w:rPr>
          <w:rFonts w:hint="eastAsia" w:eastAsia="仿宋_GB2312" w:cs="仿宋_GB2312"/>
          <w:sz w:val="32"/>
          <w:szCs w:val="32"/>
        </w:rPr>
        <w:t>2023年度</w:t>
      </w:r>
      <w:r>
        <w:rPr>
          <w:rFonts w:hint="eastAsia" w:eastAsia="仿宋_GB2312" w:cs="仿宋_GB2312"/>
          <w:sz w:val="32"/>
          <w:szCs w:val="32"/>
          <w:lang w:val="en-US" w:eastAsia="zh-CN"/>
        </w:rPr>
        <w:t>保持一致</w:t>
      </w:r>
      <w:r>
        <w:rPr>
          <w:rFonts w:hint="eastAsia" w:eastAsia="仿宋_GB2312" w:cs="仿宋_GB2312"/>
          <w:sz w:val="32"/>
          <w:szCs w:val="32"/>
          <w:lang w:eastAsia="zh-CN"/>
        </w:rPr>
        <w:t>。</w:t>
      </w:r>
    </w:p>
    <w:p>
      <w:pPr>
        <w:spacing w:line="600" w:lineRule="exact"/>
        <w:ind w:firstLine="642" w:firstLineChars="200"/>
        <w:outlineLvl w:val="9"/>
        <w:rPr>
          <w:rFonts w:eastAsia="楷体_GB2312" w:cs="楷体_GB2312"/>
          <w:b/>
          <w:sz w:val="32"/>
          <w:szCs w:val="32"/>
        </w:rPr>
      </w:pPr>
      <w:bookmarkStart w:id="61" w:name="_Toc15377223"/>
      <w:r>
        <w:rPr>
          <w:rFonts w:hint="eastAsia" w:eastAsia="楷体_GB2312" w:cs="楷体_GB2312"/>
          <w:b/>
          <w:sz w:val="32"/>
          <w:szCs w:val="32"/>
        </w:rPr>
        <w:t>（二）政府采购支出情况</w:t>
      </w:r>
      <w:bookmarkEnd w:id="61"/>
    </w:p>
    <w:p>
      <w:pPr>
        <w:spacing w:line="600" w:lineRule="exact"/>
        <w:ind w:firstLine="640"/>
        <w:rPr>
          <w:rFonts w:hint="eastAsia" w:eastAsia="仿宋_GB2312" w:cs="仿宋_GB2312"/>
          <w:sz w:val="32"/>
          <w:szCs w:val="32"/>
        </w:rPr>
      </w:pPr>
      <w:r>
        <w:rPr>
          <w:rFonts w:hint="eastAsia" w:eastAsia="仿宋_GB2312" w:cs="仿宋_GB2312"/>
          <w:sz w:val="32"/>
          <w:szCs w:val="32"/>
        </w:rPr>
        <w:t>2024年度，四川省阿坝州法官培训中心政府采购支出总额</w:t>
      </w:r>
      <w:r>
        <w:rPr>
          <w:rFonts w:hint="eastAsia" w:eastAsia="仿宋_GB2312" w:cs="仿宋_GB2312"/>
          <w:sz w:val="32"/>
          <w:szCs w:val="32"/>
          <w:lang w:val="en-US" w:eastAsia="zh-CN"/>
        </w:rPr>
        <w:t>0</w:t>
      </w:r>
      <w:r>
        <w:rPr>
          <w:rFonts w:hint="eastAsia" w:eastAsia="仿宋_GB2312" w:cs="仿宋_GB2312"/>
          <w:sz w:val="32"/>
          <w:szCs w:val="32"/>
        </w:rPr>
        <w:t>万元，其中：政府采购货物支出</w:t>
      </w:r>
      <w:r>
        <w:rPr>
          <w:rFonts w:hint="eastAsia" w:eastAsia="仿宋_GB2312" w:cs="仿宋_GB2312"/>
          <w:sz w:val="32"/>
          <w:szCs w:val="32"/>
          <w:lang w:val="en-US" w:eastAsia="zh-CN"/>
        </w:rPr>
        <w:t>0</w:t>
      </w:r>
      <w:r>
        <w:rPr>
          <w:rFonts w:hint="eastAsia" w:eastAsia="仿宋_GB2312" w:cs="仿宋_GB2312"/>
          <w:sz w:val="32"/>
          <w:szCs w:val="32"/>
        </w:rPr>
        <w:t>万元、政府采购工程支出</w:t>
      </w:r>
      <w:r>
        <w:rPr>
          <w:rFonts w:hint="eastAsia" w:eastAsia="仿宋_GB2312" w:cs="仿宋_GB2312"/>
          <w:sz w:val="32"/>
          <w:szCs w:val="32"/>
          <w:lang w:val="en-US" w:eastAsia="zh-CN"/>
        </w:rPr>
        <w:t>0</w:t>
      </w:r>
      <w:r>
        <w:rPr>
          <w:rFonts w:hint="eastAsia" w:eastAsia="仿宋_GB2312" w:cs="仿宋_GB2312"/>
          <w:sz w:val="32"/>
          <w:szCs w:val="32"/>
        </w:rPr>
        <w:t>万元、政府采购服务支出</w:t>
      </w:r>
      <w:r>
        <w:rPr>
          <w:rFonts w:hint="eastAsia" w:eastAsia="仿宋_GB2312" w:cs="仿宋_GB2312"/>
          <w:sz w:val="32"/>
          <w:szCs w:val="32"/>
          <w:lang w:val="en-US" w:eastAsia="zh-CN"/>
        </w:rPr>
        <w:t>0</w:t>
      </w:r>
      <w:r>
        <w:rPr>
          <w:rFonts w:hint="eastAsia" w:eastAsia="仿宋_GB2312" w:cs="仿宋_GB2312"/>
          <w:sz w:val="32"/>
          <w:szCs w:val="32"/>
        </w:rPr>
        <w:t>万元。主要用于</w:t>
      </w:r>
      <w:r>
        <w:rPr>
          <w:rFonts w:hint="eastAsia" w:eastAsia="仿宋_GB2312" w:cs="仿宋_GB2312"/>
          <w:sz w:val="32"/>
          <w:szCs w:val="32"/>
          <w:lang w:val="en-US" w:eastAsia="zh-CN"/>
        </w:rPr>
        <w:t>购买公务用车</w:t>
      </w:r>
      <w:r>
        <w:rPr>
          <w:rFonts w:hint="eastAsia" w:eastAsia="仿宋_GB2312" w:cs="仿宋_GB2312"/>
          <w:sz w:val="32"/>
          <w:szCs w:val="32"/>
        </w:rPr>
        <w:t>。授予中小企业合同金额</w:t>
      </w:r>
      <w:r>
        <w:rPr>
          <w:rFonts w:hint="eastAsia" w:eastAsia="仿宋_GB2312" w:cs="仿宋_GB2312"/>
          <w:sz w:val="32"/>
          <w:szCs w:val="32"/>
          <w:lang w:val="en-US" w:eastAsia="zh-CN"/>
        </w:rPr>
        <w:t>0</w:t>
      </w:r>
      <w:r>
        <w:rPr>
          <w:rFonts w:hint="eastAsia" w:eastAsia="仿宋_GB2312" w:cs="仿宋_GB2312"/>
          <w:sz w:val="32"/>
          <w:szCs w:val="32"/>
        </w:rPr>
        <w:t>万元，占政府采购支出总额的</w:t>
      </w:r>
      <w:r>
        <w:rPr>
          <w:rFonts w:hint="eastAsia" w:eastAsia="仿宋_GB2312" w:cs="仿宋_GB2312"/>
          <w:sz w:val="32"/>
          <w:szCs w:val="32"/>
          <w:lang w:val="en-US" w:eastAsia="zh-CN"/>
        </w:rPr>
        <w:t>0</w:t>
      </w:r>
      <w:r>
        <w:rPr>
          <w:rFonts w:hint="eastAsia" w:eastAsia="仿宋_GB2312" w:cs="仿宋_GB2312"/>
          <w:sz w:val="32"/>
          <w:szCs w:val="32"/>
        </w:rPr>
        <w:t>%，其中：授予小微企业合同金额</w:t>
      </w:r>
      <w:r>
        <w:rPr>
          <w:rFonts w:hint="eastAsia" w:eastAsia="仿宋_GB2312" w:cs="仿宋_GB2312"/>
          <w:sz w:val="32"/>
          <w:szCs w:val="32"/>
          <w:lang w:val="en-US" w:eastAsia="zh-CN"/>
        </w:rPr>
        <w:t>0</w:t>
      </w:r>
      <w:r>
        <w:rPr>
          <w:rFonts w:hint="eastAsia" w:eastAsia="仿宋_GB2312" w:cs="仿宋_GB2312"/>
          <w:sz w:val="32"/>
          <w:szCs w:val="32"/>
        </w:rPr>
        <w:t>万元，占政府采购支出总额的</w:t>
      </w:r>
      <w:r>
        <w:rPr>
          <w:rFonts w:hint="eastAsia" w:eastAsia="仿宋_GB2312" w:cs="仿宋_GB2312"/>
          <w:sz w:val="32"/>
          <w:szCs w:val="32"/>
          <w:lang w:val="en-US" w:eastAsia="zh-CN"/>
        </w:rPr>
        <w:t>0</w:t>
      </w:r>
      <w:r>
        <w:rPr>
          <w:rFonts w:hint="eastAsia" w:eastAsia="仿宋_GB2312" w:cs="仿宋_GB2312"/>
          <w:sz w:val="32"/>
          <w:szCs w:val="32"/>
        </w:rPr>
        <w:t>%。</w:t>
      </w:r>
    </w:p>
    <w:p>
      <w:pPr>
        <w:spacing w:line="600" w:lineRule="exact"/>
        <w:ind w:firstLine="642" w:firstLineChars="200"/>
        <w:outlineLvl w:val="9"/>
        <w:rPr>
          <w:rFonts w:eastAsia="楷体_GB2312" w:cs="楷体_GB2312"/>
          <w:b/>
          <w:sz w:val="32"/>
          <w:szCs w:val="32"/>
        </w:rPr>
      </w:pPr>
      <w:bookmarkStart w:id="62" w:name="_Toc15377224"/>
      <w:r>
        <w:rPr>
          <w:rFonts w:hint="eastAsia" w:eastAsia="楷体_GB2312" w:cs="楷体_GB2312"/>
          <w:b/>
          <w:sz w:val="32"/>
          <w:szCs w:val="32"/>
        </w:rPr>
        <w:t>（三）国有资产占有使用情况</w:t>
      </w:r>
      <w:bookmarkEnd w:id="62"/>
    </w:p>
    <w:p>
      <w:pPr>
        <w:spacing w:line="600" w:lineRule="exact"/>
        <w:ind w:firstLine="640"/>
        <w:rPr>
          <w:rFonts w:hint="eastAsia" w:eastAsia="仿宋_GB2312" w:cs="仿宋_GB2312"/>
          <w:sz w:val="32"/>
          <w:szCs w:val="32"/>
        </w:rPr>
      </w:pPr>
      <w:r>
        <w:rPr>
          <w:rFonts w:hint="eastAsia" w:eastAsia="仿宋_GB2312" w:cs="仿宋_GB2312"/>
          <w:sz w:val="32"/>
          <w:szCs w:val="32"/>
        </w:rPr>
        <w:t>截至2024年12月31日，四川省阿坝州法官培训中心共有车辆</w:t>
      </w:r>
      <w:r>
        <w:rPr>
          <w:rFonts w:hint="eastAsia" w:eastAsia="仿宋_GB2312" w:cs="仿宋_GB2312"/>
          <w:sz w:val="32"/>
          <w:szCs w:val="32"/>
          <w:lang w:val="en-US" w:eastAsia="zh-CN"/>
        </w:rPr>
        <w:t>0</w:t>
      </w:r>
      <w:r>
        <w:rPr>
          <w:rFonts w:hint="eastAsia" w:eastAsia="仿宋_GB2312" w:cs="仿宋_GB2312"/>
          <w:sz w:val="32"/>
          <w:szCs w:val="32"/>
        </w:rPr>
        <w:t>辆</w:t>
      </w:r>
      <w:r>
        <w:rPr>
          <w:rFonts w:hint="eastAsia" w:eastAsia="仿宋_GB2312" w:cs="仿宋_GB2312"/>
          <w:sz w:val="32"/>
          <w:szCs w:val="32"/>
          <w:lang w:val="en-US" w:eastAsia="zh-CN"/>
        </w:rPr>
        <w:t>。</w:t>
      </w:r>
      <w:r>
        <w:rPr>
          <w:rFonts w:hint="eastAsia" w:eastAsia="仿宋_GB2312" w:cs="仿宋_GB2312"/>
          <w:sz w:val="32"/>
          <w:szCs w:val="32"/>
        </w:rPr>
        <w:t>单价100万元（含）以上设备（不含车辆）</w:t>
      </w:r>
      <w:r>
        <w:rPr>
          <w:rFonts w:hint="eastAsia" w:eastAsia="仿宋_GB2312" w:cs="仿宋_GB2312"/>
          <w:sz w:val="32"/>
          <w:szCs w:val="32"/>
          <w:lang w:val="en-US" w:eastAsia="zh-CN"/>
        </w:rPr>
        <w:t>0</w:t>
      </w:r>
      <w:r>
        <w:rPr>
          <w:rFonts w:hint="eastAsia" w:eastAsia="仿宋_GB2312" w:cs="仿宋_GB2312"/>
          <w:sz w:val="32"/>
          <w:szCs w:val="32"/>
        </w:rPr>
        <w:t>台（套）。</w:t>
      </w:r>
    </w:p>
    <w:p>
      <w:pPr>
        <w:spacing w:line="600" w:lineRule="exact"/>
        <w:ind w:firstLine="642" w:firstLineChars="200"/>
        <w:outlineLvl w:val="9"/>
        <w:rPr>
          <w:rFonts w:eastAsia="楷体_GB2312" w:cs="楷体_GB2312"/>
          <w:b/>
          <w:sz w:val="32"/>
          <w:szCs w:val="32"/>
        </w:rPr>
      </w:pPr>
      <w:r>
        <w:rPr>
          <w:rFonts w:hint="eastAsia" w:eastAsia="楷体_GB2312" w:cs="楷体_GB2312"/>
          <w:b/>
          <w:sz w:val="32"/>
          <w:szCs w:val="32"/>
        </w:rPr>
        <w:t>（四）预算绩效管理情况</w:t>
      </w:r>
    </w:p>
    <w:p>
      <w:pPr>
        <w:spacing w:line="600" w:lineRule="exact"/>
        <w:ind w:firstLine="640"/>
        <w:rPr>
          <w:rFonts w:hint="eastAsia" w:eastAsia="仿宋_GB2312" w:cs="仿宋_GB2312"/>
          <w:sz w:val="32"/>
          <w:szCs w:val="32"/>
        </w:rPr>
      </w:pPr>
      <w:r>
        <w:rPr>
          <w:rFonts w:hint="eastAsia" w:eastAsia="仿宋_GB2312" w:cs="仿宋_GB2312"/>
          <w:sz w:val="32"/>
          <w:szCs w:val="32"/>
        </w:rPr>
        <w:t>根据预算绩效管理要求，本单位在202</w:t>
      </w:r>
      <w:r>
        <w:rPr>
          <w:rFonts w:hint="eastAsia" w:eastAsia="仿宋_GB2312" w:cs="仿宋_GB2312"/>
          <w:sz w:val="32"/>
          <w:szCs w:val="32"/>
          <w:lang w:val="en-US" w:eastAsia="zh-CN"/>
        </w:rPr>
        <w:t>4</w:t>
      </w:r>
      <w:r>
        <w:rPr>
          <w:rFonts w:hint="eastAsia" w:eastAsia="仿宋_GB2312" w:cs="仿宋_GB2312"/>
          <w:sz w:val="32"/>
          <w:szCs w:val="32"/>
        </w:rPr>
        <w:t>年度预算编制阶段未开展项目绩效评估。</w:t>
      </w:r>
      <w:r>
        <w:rPr>
          <w:rFonts w:hint="eastAsia" w:eastAsia="仿宋_GB2312" w:cs="仿宋_GB2312"/>
          <w:sz w:val="32"/>
          <w:szCs w:val="32"/>
        </w:rPr>
        <w:br w:type="page"/>
      </w:r>
    </w:p>
    <w:p>
      <w:pPr>
        <w:spacing w:line="600" w:lineRule="exact"/>
        <w:jc w:val="center"/>
        <w:outlineLvl w:val="0"/>
        <w:rPr>
          <w:rFonts w:eastAsia="黑体"/>
          <w:sz w:val="44"/>
          <w:szCs w:val="44"/>
        </w:rPr>
      </w:pPr>
      <w:bookmarkStart w:id="63" w:name="_Toc15396613"/>
      <w:bookmarkStart w:id="64" w:name="_Toc15377225"/>
      <w:bookmarkStart w:id="65" w:name="_Toc18617"/>
      <w:r>
        <w:rPr>
          <w:rFonts w:hint="eastAsia" w:eastAsia="黑体"/>
          <w:sz w:val="44"/>
          <w:szCs w:val="44"/>
        </w:rPr>
        <w:t>第三部分  名词解释</w:t>
      </w:r>
      <w:bookmarkEnd w:id="63"/>
      <w:bookmarkEnd w:id="64"/>
      <w:bookmarkEnd w:id="65"/>
    </w:p>
    <w:p>
      <w:pPr>
        <w:spacing w:line="600" w:lineRule="exact"/>
        <w:jc w:val="left"/>
        <w:rPr>
          <w:b/>
          <w:sz w:val="44"/>
          <w:szCs w:val="44"/>
        </w:rPr>
      </w:pPr>
    </w:p>
    <w:p>
      <w:pPr>
        <w:keepNext w:val="0"/>
        <w:keepLines w:val="0"/>
        <w:pageBreakBefore w:val="0"/>
        <w:widowControl w:val="0"/>
        <w:numPr>
          <w:ilvl w:val="0"/>
          <w:numId w:val="3"/>
        </w:numPr>
        <w:kinsoku/>
        <w:wordWrap/>
        <w:overflowPunct/>
        <w:topLinePunct w:val="0"/>
        <w:autoSpaceDE/>
        <w:autoSpaceDN/>
        <w:bidi w:val="0"/>
        <w:adjustRightInd/>
        <w:snapToGrid/>
        <w:spacing w:line="600" w:lineRule="exact"/>
        <w:ind w:left="0" w:leftChars="0" w:firstLine="640" w:firstLineChars="200"/>
        <w:textAlignment w:val="auto"/>
        <w:rPr>
          <w:rFonts w:eastAsia="仿宋_GB2312" w:cs="仿宋_GB2312"/>
          <w:sz w:val="32"/>
          <w:szCs w:val="32"/>
        </w:rPr>
      </w:pPr>
      <w:r>
        <w:rPr>
          <w:rFonts w:hint="eastAsia" w:eastAsia="仿宋_GB2312" w:cs="仿宋_GB2312"/>
          <w:sz w:val="32"/>
          <w:szCs w:val="32"/>
        </w:rPr>
        <w:t>财政拨款收入：指单位从同级财政部门取得的财政预算资金。</w:t>
      </w:r>
    </w:p>
    <w:p>
      <w:pPr>
        <w:keepNext w:val="0"/>
        <w:keepLines w:val="0"/>
        <w:pageBreakBefore w:val="0"/>
        <w:widowControl w:val="0"/>
        <w:numPr>
          <w:ilvl w:val="0"/>
          <w:numId w:val="3"/>
        </w:numPr>
        <w:kinsoku/>
        <w:wordWrap/>
        <w:overflowPunct/>
        <w:topLinePunct w:val="0"/>
        <w:autoSpaceDE/>
        <w:autoSpaceDN/>
        <w:bidi w:val="0"/>
        <w:adjustRightInd/>
        <w:snapToGrid/>
        <w:spacing w:line="600" w:lineRule="exact"/>
        <w:ind w:left="0" w:leftChars="0" w:firstLine="640" w:firstLineChars="200"/>
        <w:textAlignment w:val="auto"/>
        <w:rPr>
          <w:rFonts w:eastAsia="仿宋_GB2312" w:cs="仿宋_GB2312"/>
          <w:sz w:val="32"/>
          <w:szCs w:val="32"/>
        </w:rPr>
      </w:pPr>
      <w:r>
        <w:rPr>
          <w:rFonts w:hint="eastAsia" w:eastAsia="仿宋_GB2312" w:cs="仿宋_GB2312"/>
          <w:sz w:val="32"/>
          <w:szCs w:val="32"/>
        </w:rPr>
        <w:t>事业收入：指事业单位开展专业业务活动及辅助活动取得的收入。</w:t>
      </w:r>
    </w:p>
    <w:p>
      <w:pPr>
        <w:keepNext w:val="0"/>
        <w:keepLines w:val="0"/>
        <w:pageBreakBefore w:val="0"/>
        <w:widowControl w:val="0"/>
        <w:numPr>
          <w:ilvl w:val="0"/>
          <w:numId w:val="3"/>
        </w:numPr>
        <w:kinsoku/>
        <w:wordWrap/>
        <w:overflowPunct/>
        <w:topLinePunct w:val="0"/>
        <w:autoSpaceDE/>
        <w:autoSpaceDN/>
        <w:bidi w:val="0"/>
        <w:adjustRightInd/>
        <w:snapToGrid/>
        <w:spacing w:line="600" w:lineRule="exact"/>
        <w:ind w:left="0" w:leftChars="0" w:firstLine="640" w:firstLineChars="200"/>
        <w:textAlignment w:val="auto"/>
        <w:rPr>
          <w:rFonts w:eastAsia="仿宋_GB2312" w:cs="仿宋_GB2312"/>
          <w:sz w:val="32"/>
          <w:szCs w:val="32"/>
        </w:rPr>
      </w:pPr>
      <w:r>
        <w:rPr>
          <w:rFonts w:hint="eastAsia" w:eastAsia="仿宋_GB2312" w:cs="仿宋_GB2312"/>
          <w:sz w:val="32"/>
          <w:szCs w:val="32"/>
        </w:rPr>
        <w:t>经营收入：指事业单位在专业业务活动及其辅助活动之外开展非独立核算经营活动取得的收入。</w:t>
      </w:r>
    </w:p>
    <w:p>
      <w:pPr>
        <w:keepNext w:val="0"/>
        <w:keepLines w:val="0"/>
        <w:pageBreakBefore w:val="0"/>
        <w:widowControl w:val="0"/>
        <w:numPr>
          <w:ilvl w:val="0"/>
          <w:numId w:val="3"/>
        </w:numPr>
        <w:kinsoku/>
        <w:wordWrap/>
        <w:overflowPunct/>
        <w:topLinePunct w:val="0"/>
        <w:autoSpaceDE/>
        <w:autoSpaceDN/>
        <w:bidi w:val="0"/>
        <w:adjustRightInd/>
        <w:snapToGrid/>
        <w:spacing w:line="600" w:lineRule="exact"/>
        <w:ind w:left="0" w:leftChars="0" w:firstLine="640" w:firstLineChars="200"/>
        <w:textAlignment w:val="auto"/>
        <w:rPr>
          <w:rFonts w:eastAsia="仿宋_GB2312" w:cs="仿宋_GB2312"/>
          <w:sz w:val="32"/>
          <w:szCs w:val="32"/>
        </w:rPr>
      </w:pPr>
      <w:r>
        <w:rPr>
          <w:rFonts w:hint="eastAsia" w:eastAsia="仿宋_GB2312" w:cs="仿宋_GB2312"/>
          <w:sz w:val="32"/>
          <w:szCs w:val="32"/>
        </w:rPr>
        <w:t xml:space="preserve">其他收入：指单位取得的除上述收入以外的各项收入。 </w:t>
      </w:r>
    </w:p>
    <w:p>
      <w:pPr>
        <w:keepNext w:val="0"/>
        <w:keepLines w:val="0"/>
        <w:pageBreakBefore w:val="0"/>
        <w:widowControl w:val="0"/>
        <w:numPr>
          <w:ilvl w:val="0"/>
          <w:numId w:val="3"/>
        </w:numPr>
        <w:kinsoku/>
        <w:wordWrap/>
        <w:overflowPunct/>
        <w:topLinePunct w:val="0"/>
        <w:autoSpaceDE/>
        <w:autoSpaceDN/>
        <w:bidi w:val="0"/>
        <w:adjustRightInd/>
        <w:snapToGrid/>
        <w:spacing w:line="600" w:lineRule="exact"/>
        <w:ind w:left="0" w:leftChars="0" w:firstLine="640" w:firstLineChars="200"/>
        <w:textAlignment w:val="auto"/>
        <w:rPr>
          <w:rFonts w:eastAsia="仿宋_GB2312" w:cs="仿宋_GB2312"/>
          <w:sz w:val="32"/>
          <w:szCs w:val="32"/>
        </w:rPr>
      </w:pPr>
      <w:r>
        <w:rPr>
          <w:rFonts w:hint="eastAsia" w:eastAsia="仿宋_GB2312" w:cs="仿宋_GB2312"/>
          <w:sz w:val="32"/>
          <w:szCs w:val="32"/>
        </w:rPr>
        <w:t xml:space="preserve">使用非财政拨款结余（含专用结余）：指事业单位使用以前年度积累的非财政拨款结余弥补当年收支差额的金额。 </w:t>
      </w:r>
    </w:p>
    <w:p>
      <w:pPr>
        <w:keepNext w:val="0"/>
        <w:keepLines w:val="0"/>
        <w:pageBreakBefore w:val="0"/>
        <w:widowControl w:val="0"/>
        <w:numPr>
          <w:ilvl w:val="0"/>
          <w:numId w:val="3"/>
        </w:numPr>
        <w:kinsoku/>
        <w:wordWrap/>
        <w:overflowPunct/>
        <w:topLinePunct w:val="0"/>
        <w:autoSpaceDE/>
        <w:autoSpaceDN/>
        <w:bidi w:val="0"/>
        <w:adjustRightInd/>
        <w:snapToGrid/>
        <w:spacing w:line="600" w:lineRule="exact"/>
        <w:ind w:left="0" w:leftChars="0" w:firstLine="640" w:firstLineChars="200"/>
        <w:textAlignment w:val="auto"/>
        <w:rPr>
          <w:rFonts w:eastAsia="仿宋_GB2312" w:cs="仿宋_GB2312"/>
          <w:sz w:val="32"/>
          <w:szCs w:val="32"/>
        </w:rPr>
      </w:pPr>
      <w:r>
        <w:rPr>
          <w:rFonts w:hint="eastAsia" w:eastAsia="仿宋_GB2312" w:cs="仿宋_GB2312"/>
          <w:sz w:val="32"/>
          <w:szCs w:val="32"/>
        </w:rPr>
        <w:t xml:space="preserve">年初结转和结余：指以前年度尚未完成、结转到本年按有关规定继续使用的资金。 </w:t>
      </w:r>
    </w:p>
    <w:p>
      <w:pPr>
        <w:keepNext w:val="0"/>
        <w:keepLines w:val="0"/>
        <w:pageBreakBefore w:val="0"/>
        <w:widowControl w:val="0"/>
        <w:numPr>
          <w:ilvl w:val="0"/>
          <w:numId w:val="3"/>
        </w:numPr>
        <w:kinsoku/>
        <w:wordWrap/>
        <w:overflowPunct/>
        <w:topLinePunct w:val="0"/>
        <w:autoSpaceDE/>
        <w:autoSpaceDN/>
        <w:bidi w:val="0"/>
        <w:adjustRightInd/>
        <w:snapToGrid/>
        <w:spacing w:line="600" w:lineRule="exact"/>
        <w:ind w:left="0" w:leftChars="0" w:firstLine="640" w:firstLineChars="200"/>
        <w:textAlignment w:val="auto"/>
        <w:rPr>
          <w:rFonts w:eastAsia="仿宋_GB2312" w:cs="仿宋_GB2312"/>
          <w:sz w:val="32"/>
          <w:szCs w:val="32"/>
        </w:rPr>
      </w:pPr>
      <w:r>
        <w:rPr>
          <w:rFonts w:hint="eastAsia" w:eastAsia="仿宋_GB2312" w:cs="仿宋_GB2312"/>
          <w:sz w:val="32"/>
          <w:szCs w:val="32"/>
        </w:rPr>
        <w:t>结余分配：指事业单位按照会计制度规定缴纳的所得税、提取的专用结余以及转入非财政拨款结余的金额等。</w:t>
      </w:r>
    </w:p>
    <w:p>
      <w:pPr>
        <w:keepNext w:val="0"/>
        <w:keepLines w:val="0"/>
        <w:pageBreakBefore w:val="0"/>
        <w:widowControl w:val="0"/>
        <w:numPr>
          <w:ilvl w:val="0"/>
          <w:numId w:val="3"/>
        </w:numPr>
        <w:kinsoku/>
        <w:wordWrap/>
        <w:overflowPunct/>
        <w:topLinePunct w:val="0"/>
        <w:autoSpaceDE/>
        <w:autoSpaceDN/>
        <w:bidi w:val="0"/>
        <w:adjustRightInd/>
        <w:snapToGrid/>
        <w:spacing w:line="600" w:lineRule="exact"/>
        <w:ind w:left="0" w:leftChars="0" w:firstLine="640" w:firstLineChars="200"/>
        <w:textAlignment w:val="auto"/>
        <w:rPr>
          <w:rFonts w:eastAsia="仿宋_GB2312" w:cs="仿宋_GB2312"/>
          <w:sz w:val="32"/>
          <w:szCs w:val="32"/>
        </w:rPr>
      </w:pPr>
      <w:r>
        <w:rPr>
          <w:rFonts w:hint="eastAsia" w:eastAsia="仿宋_GB2312" w:cs="仿宋_GB2312"/>
          <w:sz w:val="32"/>
          <w:szCs w:val="32"/>
        </w:rPr>
        <w:t>年末结转和结余：指单位按有关规定结转到下年或以后年度继续使用的资金。</w:t>
      </w:r>
    </w:p>
    <w:p>
      <w:pPr>
        <w:keepNext w:val="0"/>
        <w:keepLines w:val="0"/>
        <w:pageBreakBefore w:val="0"/>
        <w:widowControl w:val="0"/>
        <w:numPr>
          <w:ilvl w:val="0"/>
          <w:numId w:val="3"/>
        </w:numPr>
        <w:kinsoku/>
        <w:wordWrap/>
        <w:overflowPunct/>
        <w:topLinePunct w:val="0"/>
        <w:autoSpaceDE/>
        <w:autoSpaceDN/>
        <w:bidi w:val="0"/>
        <w:adjustRightInd/>
        <w:snapToGrid/>
        <w:spacing w:line="600" w:lineRule="exact"/>
        <w:ind w:left="0" w:leftChars="0" w:firstLine="640" w:firstLineChars="200"/>
        <w:textAlignment w:val="auto"/>
        <w:rPr>
          <w:rFonts w:hint="eastAsia" w:eastAsia="仿宋_GB2312" w:cs="仿宋_GB2312"/>
          <w:sz w:val="32"/>
          <w:szCs w:val="32"/>
        </w:rPr>
      </w:pPr>
      <w:r>
        <w:rPr>
          <w:rFonts w:hint="eastAsia" w:eastAsia="仿宋_GB2312" w:cs="仿宋_GB2312"/>
          <w:sz w:val="32"/>
          <w:szCs w:val="32"/>
        </w:rPr>
        <w:t>公共安全支出（类）法院（款）事业运行（项）：反映事业单位的基本支出，不包括行政单位(包括实行公务员管理的事业单位)后勤服务中心、医务室等附属事业单位。</w:t>
      </w:r>
    </w:p>
    <w:p>
      <w:pPr>
        <w:keepNext w:val="0"/>
        <w:keepLines w:val="0"/>
        <w:pageBreakBefore w:val="0"/>
        <w:widowControl w:val="0"/>
        <w:numPr>
          <w:ilvl w:val="0"/>
          <w:numId w:val="3"/>
        </w:numPr>
        <w:kinsoku/>
        <w:wordWrap/>
        <w:overflowPunct/>
        <w:topLinePunct w:val="0"/>
        <w:autoSpaceDE/>
        <w:autoSpaceDN/>
        <w:bidi w:val="0"/>
        <w:adjustRightInd/>
        <w:snapToGrid/>
        <w:spacing w:line="600" w:lineRule="exact"/>
        <w:ind w:left="0" w:leftChars="0" w:firstLine="640" w:firstLineChars="200"/>
        <w:textAlignment w:val="auto"/>
        <w:rPr>
          <w:rFonts w:hint="eastAsia" w:eastAsia="仿宋_GB2312" w:cs="仿宋_GB2312"/>
          <w:sz w:val="32"/>
          <w:szCs w:val="32"/>
        </w:rPr>
      </w:pPr>
      <w:r>
        <w:rPr>
          <w:rFonts w:hint="eastAsia" w:eastAsia="仿宋_GB2312" w:cs="仿宋_GB2312"/>
          <w:sz w:val="32"/>
          <w:szCs w:val="32"/>
        </w:rPr>
        <w:t>社会保障和就业支出（类）行政事业单位养老支出（款）机关事业单位基本养老保险缴费支出（项）：反映机关事业单位实施养老保险制度由单位缴纳的基本养老保险费支出。</w:t>
      </w:r>
    </w:p>
    <w:p>
      <w:pPr>
        <w:keepNext w:val="0"/>
        <w:keepLines w:val="0"/>
        <w:pageBreakBefore w:val="0"/>
        <w:widowControl w:val="0"/>
        <w:numPr>
          <w:ilvl w:val="0"/>
          <w:numId w:val="3"/>
        </w:numPr>
        <w:kinsoku/>
        <w:wordWrap/>
        <w:overflowPunct/>
        <w:topLinePunct w:val="0"/>
        <w:autoSpaceDE/>
        <w:autoSpaceDN/>
        <w:bidi w:val="0"/>
        <w:adjustRightInd/>
        <w:snapToGrid/>
        <w:spacing w:line="600" w:lineRule="exact"/>
        <w:ind w:left="0" w:leftChars="0" w:firstLine="640" w:firstLineChars="200"/>
        <w:textAlignment w:val="auto"/>
        <w:rPr>
          <w:rFonts w:hint="eastAsia" w:eastAsia="仿宋_GB2312" w:cs="仿宋_GB2312"/>
          <w:sz w:val="32"/>
          <w:szCs w:val="32"/>
        </w:rPr>
      </w:pPr>
      <w:r>
        <w:rPr>
          <w:rFonts w:hint="eastAsia" w:eastAsia="仿宋_GB2312" w:cs="仿宋_GB2312"/>
          <w:sz w:val="32"/>
          <w:szCs w:val="32"/>
        </w:rPr>
        <w:t>社会保障和就业支出（类）行政事业单位养老支出（款）机关事业单位职业年金缴费支出（项）：反映机关事业单位实施养老保险制度由单位实际缴纳的职业年金支出。</w:t>
      </w:r>
    </w:p>
    <w:p>
      <w:pPr>
        <w:keepNext w:val="0"/>
        <w:keepLines w:val="0"/>
        <w:pageBreakBefore w:val="0"/>
        <w:widowControl w:val="0"/>
        <w:numPr>
          <w:ilvl w:val="0"/>
          <w:numId w:val="3"/>
        </w:numPr>
        <w:kinsoku/>
        <w:wordWrap/>
        <w:overflowPunct/>
        <w:topLinePunct w:val="0"/>
        <w:autoSpaceDE/>
        <w:autoSpaceDN/>
        <w:bidi w:val="0"/>
        <w:adjustRightInd/>
        <w:snapToGrid/>
        <w:spacing w:line="600" w:lineRule="exact"/>
        <w:ind w:left="0" w:leftChars="0" w:firstLine="640" w:firstLineChars="200"/>
        <w:textAlignment w:val="auto"/>
        <w:rPr>
          <w:rFonts w:hint="eastAsia" w:eastAsia="仿宋_GB2312" w:cs="仿宋_GB2312"/>
          <w:sz w:val="32"/>
          <w:szCs w:val="32"/>
        </w:rPr>
      </w:pPr>
      <w:r>
        <w:rPr>
          <w:rFonts w:hint="eastAsia" w:eastAsia="仿宋_GB2312" w:cs="仿宋_GB2312"/>
          <w:sz w:val="32"/>
          <w:szCs w:val="32"/>
        </w:rPr>
        <w:t>卫生健康支出（类）行政事业单位医疗（款）事业单位医疗（项）：反映财政部门安排的事业单位基本医疗保险缴费经费，未参加医疗保险的事业单位的公费医疗经费，按国家规定享受离休人员待遇的医疗经费。</w:t>
      </w:r>
    </w:p>
    <w:p>
      <w:pPr>
        <w:keepNext w:val="0"/>
        <w:keepLines w:val="0"/>
        <w:pageBreakBefore w:val="0"/>
        <w:widowControl w:val="0"/>
        <w:numPr>
          <w:ilvl w:val="0"/>
          <w:numId w:val="3"/>
        </w:numPr>
        <w:kinsoku/>
        <w:wordWrap/>
        <w:overflowPunct/>
        <w:topLinePunct w:val="0"/>
        <w:autoSpaceDE/>
        <w:autoSpaceDN/>
        <w:bidi w:val="0"/>
        <w:adjustRightInd/>
        <w:snapToGrid/>
        <w:spacing w:line="600" w:lineRule="exact"/>
        <w:ind w:left="0" w:leftChars="0" w:firstLine="640" w:firstLineChars="200"/>
        <w:textAlignment w:val="auto"/>
        <w:rPr>
          <w:rFonts w:eastAsia="仿宋_GB2312" w:cs="仿宋_GB2312"/>
          <w:sz w:val="32"/>
          <w:szCs w:val="32"/>
        </w:rPr>
      </w:pPr>
      <w:r>
        <w:rPr>
          <w:rFonts w:hint="eastAsia" w:eastAsia="仿宋_GB2312" w:cs="仿宋_GB2312"/>
          <w:sz w:val="32"/>
          <w:szCs w:val="32"/>
        </w:rPr>
        <w:t>住房保障支出（类）住房改革支出（款）住房公积金（项）：反映行政事业单位按人力资源和社会保障部、财政部规定的 基本工资和津贴补贴以及规定比例为职工缴纳的住房公积金。</w:t>
      </w:r>
    </w:p>
    <w:p>
      <w:pPr>
        <w:keepNext w:val="0"/>
        <w:keepLines w:val="0"/>
        <w:pageBreakBefore w:val="0"/>
        <w:widowControl w:val="0"/>
        <w:numPr>
          <w:ilvl w:val="0"/>
          <w:numId w:val="3"/>
        </w:numPr>
        <w:kinsoku/>
        <w:wordWrap/>
        <w:overflowPunct/>
        <w:topLinePunct w:val="0"/>
        <w:autoSpaceDE/>
        <w:autoSpaceDN/>
        <w:bidi w:val="0"/>
        <w:adjustRightInd/>
        <w:snapToGrid/>
        <w:spacing w:line="600" w:lineRule="exact"/>
        <w:ind w:left="0" w:leftChars="0" w:firstLine="640" w:firstLineChars="200"/>
        <w:textAlignment w:val="auto"/>
        <w:rPr>
          <w:rFonts w:eastAsia="仿宋_GB2312" w:cs="仿宋_GB2312"/>
          <w:sz w:val="32"/>
          <w:szCs w:val="32"/>
        </w:rPr>
      </w:pPr>
      <w:r>
        <w:rPr>
          <w:rFonts w:hint="eastAsia" w:eastAsia="仿宋_GB2312" w:cs="仿宋_GB2312"/>
          <w:sz w:val="32"/>
          <w:szCs w:val="32"/>
        </w:rPr>
        <w:t>基本支出：指为保障机构正常运转、完成日常工作任务而发生的人员支出和公用支出。</w:t>
      </w:r>
    </w:p>
    <w:p>
      <w:pPr>
        <w:keepNext w:val="0"/>
        <w:keepLines w:val="0"/>
        <w:pageBreakBefore w:val="0"/>
        <w:widowControl w:val="0"/>
        <w:numPr>
          <w:ilvl w:val="0"/>
          <w:numId w:val="3"/>
        </w:numPr>
        <w:kinsoku/>
        <w:wordWrap/>
        <w:overflowPunct/>
        <w:topLinePunct w:val="0"/>
        <w:autoSpaceDE/>
        <w:autoSpaceDN/>
        <w:bidi w:val="0"/>
        <w:adjustRightInd/>
        <w:snapToGrid/>
        <w:spacing w:line="600" w:lineRule="exact"/>
        <w:ind w:left="0" w:leftChars="0" w:firstLine="640" w:firstLineChars="200"/>
        <w:textAlignment w:val="auto"/>
        <w:rPr>
          <w:rFonts w:eastAsia="仿宋_GB2312" w:cs="仿宋_GB2312"/>
          <w:sz w:val="32"/>
          <w:szCs w:val="32"/>
        </w:rPr>
      </w:pPr>
      <w:r>
        <w:rPr>
          <w:rFonts w:hint="eastAsia" w:eastAsia="仿宋_GB2312" w:cs="仿宋_GB2312"/>
          <w:sz w:val="32"/>
          <w:szCs w:val="32"/>
        </w:rPr>
        <w:t xml:space="preserve">项目支出：指在基本支出之外为完成特定行政任务和事业发展目标所发生的支出。 </w:t>
      </w:r>
    </w:p>
    <w:p>
      <w:pPr>
        <w:keepNext w:val="0"/>
        <w:keepLines w:val="0"/>
        <w:pageBreakBefore w:val="0"/>
        <w:widowControl w:val="0"/>
        <w:numPr>
          <w:ilvl w:val="0"/>
          <w:numId w:val="3"/>
        </w:numPr>
        <w:kinsoku/>
        <w:wordWrap/>
        <w:overflowPunct/>
        <w:topLinePunct w:val="0"/>
        <w:autoSpaceDE/>
        <w:autoSpaceDN/>
        <w:bidi w:val="0"/>
        <w:adjustRightInd/>
        <w:snapToGrid/>
        <w:spacing w:line="600" w:lineRule="exact"/>
        <w:ind w:left="0" w:leftChars="0" w:firstLine="640" w:firstLineChars="200"/>
        <w:textAlignment w:val="auto"/>
        <w:rPr>
          <w:rFonts w:eastAsia="仿宋_GB2312" w:cs="仿宋_GB2312"/>
          <w:sz w:val="32"/>
          <w:szCs w:val="32"/>
        </w:rPr>
      </w:pPr>
      <w:r>
        <w:rPr>
          <w:rFonts w:hint="eastAsia" w:eastAsia="仿宋_GB2312" w:cs="仿宋_GB2312"/>
          <w:sz w:val="32"/>
          <w:szCs w:val="32"/>
        </w:rPr>
        <w:t>经营支出：指事业单位在专业业务活动及其辅助活动之外开展非独立核算经营活动发生的支出。</w:t>
      </w:r>
    </w:p>
    <w:p>
      <w:pPr>
        <w:keepNext w:val="0"/>
        <w:keepLines w:val="0"/>
        <w:pageBreakBefore w:val="0"/>
        <w:widowControl w:val="0"/>
        <w:numPr>
          <w:ilvl w:val="0"/>
          <w:numId w:val="3"/>
        </w:numPr>
        <w:kinsoku/>
        <w:wordWrap/>
        <w:overflowPunct/>
        <w:topLinePunct w:val="0"/>
        <w:autoSpaceDE/>
        <w:autoSpaceDN/>
        <w:bidi w:val="0"/>
        <w:adjustRightInd/>
        <w:snapToGrid/>
        <w:spacing w:line="600" w:lineRule="exact"/>
        <w:ind w:left="0" w:leftChars="0" w:firstLine="640" w:firstLineChars="200"/>
        <w:textAlignment w:val="auto"/>
        <w:rPr>
          <w:rFonts w:eastAsia="仿宋_GB2312" w:cs="仿宋_GB2312"/>
          <w:sz w:val="32"/>
          <w:szCs w:val="32"/>
        </w:rPr>
      </w:pPr>
      <w:r>
        <w:rPr>
          <w:rFonts w:hint="eastAsia" w:eastAsia="仿宋_GB2312" w:cs="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keepNext w:val="0"/>
        <w:keepLines w:val="0"/>
        <w:pageBreakBefore w:val="0"/>
        <w:widowControl w:val="0"/>
        <w:numPr>
          <w:ilvl w:val="0"/>
          <w:numId w:val="3"/>
        </w:numPr>
        <w:kinsoku/>
        <w:wordWrap/>
        <w:overflowPunct/>
        <w:topLinePunct w:val="0"/>
        <w:autoSpaceDE/>
        <w:autoSpaceDN/>
        <w:bidi w:val="0"/>
        <w:adjustRightInd/>
        <w:snapToGrid/>
        <w:spacing w:line="600" w:lineRule="exact"/>
        <w:ind w:left="0" w:leftChars="0" w:firstLine="640" w:firstLineChars="200"/>
        <w:textAlignment w:val="auto"/>
        <w:rPr>
          <w:rFonts w:eastAsia="仿宋_GB2312" w:cs="仿宋_GB2312"/>
          <w:sz w:val="32"/>
          <w:szCs w:val="32"/>
        </w:rPr>
      </w:pPr>
      <w:r>
        <w:rPr>
          <w:rFonts w:hint="eastAsia" w:eastAsia="仿宋_GB2312" w:cs="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ind w:firstLine="640"/>
        <w:rPr>
          <w:rFonts w:eastAsia="仿宋_GB2312" w:cs="仿宋_GB2312"/>
          <w:b/>
          <w:bCs/>
          <w:sz w:val="32"/>
          <w:szCs w:val="32"/>
        </w:rPr>
      </w:pPr>
    </w:p>
    <w:p>
      <w:pPr>
        <w:spacing w:line="600" w:lineRule="exact"/>
        <w:jc w:val="center"/>
        <w:outlineLvl w:val="0"/>
        <w:rPr>
          <w:rStyle w:val="28"/>
          <w:rFonts w:eastAsia="黑体"/>
          <w:b w:val="0"/>
        </w:rPr>
      </w:pPr>
      <w:bookmarkStart w:id="66" w:name="_Toc15377226"/>
      <w:r>
        <w:rPr>
          <w:rFonts w:hint="eastAsia" w:eastAsia="仿宋_GB2312" w:cs="仿宋_GB2312"/>
          <w:sz w:val="32"/>
          <w:szCs w:val="32"/>
        </w:rPr>
        <w:br w:type="page"/>
      </w:r>
      <w:bookmarkStart w:id="67" w:name="_Toc6829"/>
      <w:bookmarkStart w:id="68" w:name="_Toc15396614"/>
      <w:r>
        <w:rPr>
          <w:rFonts w:hint="eastAsia" w:eastAsia="黑体"/>
          <w:sz w:val="44"/>
          <w:szCs w:val="44"/>
        </w:rPr>
        <w:t>第四部分  附件</w:t>
      </w:r>
      <w:bookmarkEnd w:id="67"/>
      <w:bookmarkEnd w:id="68"/>
    </w:p>
    <w:p>
      <w:pPr>
        <w:spacing w:line="572" w:lineRule="exact"/>
        <w:jc w:val="left"/>
        <w:outlineLvl w:val="9"/>
        <w:rPr>
          <w:rFonts w:eastAsia="黑体" w:cs="黑体"/>
          <w:color w:val="FF0000"/>
          <w:sz w:val="32"/>
          <w:szCs w:val="32"/>
        </w:rPr>
      </w:pPr>
    </w:p>
    <w:p>
      <w:pPr>
        <w:spacing w:line="578" w:lineRule="exact"/>
        <w:ind w:firstLine="640"/>
        <w:rPr>
          <w:rFonts w:eastAsia="仿宋_GB2312" w:cs="仿宋_GB2312"/>
          <w:kern w:val="0"/>
          <w:sz w:val="32"/>
          <w:szCs w:val="32"/>
        </w:rPr>
      </w:pPr>
    </w:p>
    <w:p>
      <w:pPr>
        <w:spacing w:line="578" w:lineRule="exact"/>
        <w:ind w:firstLine="640"/>
        <w:rPr>
          <w:rFonts w:eastAsia="仿宋_GB2312" w:cs="仿宋_GB2312"/>
          <w:kern w:val="0"/>
          <w:sz w:val="32"/>
          <w:szCs w:val="32"/>
        </w:rPr>
      </w:pPr>
    </w:p>
    <w:p>
      <w:pPr>
        <w:spacing w:line="578" w:lineRule="exact"/>
        <w:ind w:firstLine="640"/>
        <w:rPr>
          <w:rFonts w:eastAsia="仿宋_GB2312" w:cs="仿宋_GB2312"/>
          <w:kern w:val="0"/>
          <w:sz w:val="32"/>
          <w:szCs w:val="32"/>
        </w:rPr>
      </w:pPr>
      <w:bookmarkStart w:id="69" w:name="_Toc15396618"/>
      <w:r>
        <w:rPr>
          <w:rFonts w:hint="eastAsia" w:eastAsia="仿宋_GB2312" w:cs="仿宋_GB2312"/>
          <w:kern w:val="0"/>
          <w:sz w:val="32"/>
          <w:szCs w:val="32"/>
        </w:rPr>
        <w:br w:type="page"/>
      </w:r>
    </w:p>
    <w:p>
      <w:pPr>
        <w:widowControl/>
        <w:jc w:val="center"/>
        <w:outlineLvl w:val="0"/>
        <w:rPr>
          <w:rFonts w:eastAsia="仿宋"/>
        </w:rPr>
      </w:pPr>
      <w:bookmarkStart w:id="70" w:name="_Toc30536"/>
      <w:r>
        <w:rPr>
          <w:rFonts w:hint="eastAsia" w:eastAsia="黑体"/>
          <w:sz w:val="44"/>
          <w:szCs w:val="44"/>
        </w:rPr>
        <w:t>第</w:t>
      </w:r>
      <w:r>
        <w:rPr>
          <w:rStyle w:val="28"/>
          <w:rFonts w:hint="eastAsia" w:eastAsia="黑体"/>
          <w:b w:val="0"/>
        </w:rPr>
        <w:t>五部分 附表</w:t>
      </w:r>
      <w:bookmarkEnd w:id="66"/>
      <w:bookmarkEnd w:id="69"/>
      <w:bookmarkEnd w:id="70"/>
      <w:bookmarkStart w:id="71" w:name="_Toc15396619"/>
    </w:p>
    <w:p>
      <w:pPr>
        <w:pStyle w:val="14"/>
        <w:adjustRightInd w:val="0"/>
        <w:snapToGrid w:val="0"/>
        <w:spacing w:line="560" w:lineRule="exact"/>
        <w:jc w:val="left"/>
        <w:rPr>
          <w:rFonts w:eastAsia="仿宋_GB2312" w:cs="仿宋_GB2312"/>
          <w:sz w:val="32"/>
          <w:szCs w:val="32"/>
        </w:rPr>
      </w:pPr>
    </w:p>
    <w:p>
      <w:pPr>
        <w:pStyle w:val="14"/>
        <w:adjustRightInd w:val="0"/>
        <w:snapToGrid w:val="0"/>
        <w:spacing w:line="560" w:lineRule="exact"/>
        <w:jc w:val="left"/>
        <w:outlineLvl w:val="0"/>
        <w:rPr>
          <w:rFonts w:hint="eastAsia" w:eastAsia="仿宋_GB2312" w:cs="仿宋_GB2312"/>
          <w:sz w:val="32"/>
          <w:szCs w:val="32"/>
        </w:rPr>
      </w:pPr>
      <w:bookmarkStart w:id="72" w:name="_Toc30977"/>
      <w:r>
        <w:rPr>
          <w:rFonts w:hint="eastAsia" w:eastAsia="仿宋_GB2312" w:cs="仿宋_GB2312"/>
          <w:sz w:val="32"/>
          <w:szCs w:val="32"/>
        </w:rPr>
        <w:t>一、收入支出决算总表</w:t>
      </w:r>
      <w:bookmarkEnd w:id="71"/>
      <w:bookmarkEnd w:id="72"/>
    </w:p>
    <w:p>
      <w:pPr>
        <w:pStyle w:val="14"/>
        <w:adjustRightInd w:val="0"/>
        <w:snapToGrid w:val="0"/>
        <w:spacing w:line="560" w:lineRule="exact"/>
        <w:jc w:val="left"/>
        <w:outlineLvl w:val="0"/>
        <w:rPr>
          <w:rFonts w:hint="eastAsia" w:eastAsia="仿宋_GB2312" w:cs="仿宋_GB2312"/>
          <w:sz w:val="32"/>
          <w:szCs w:val="32"/>
        </w:rPr>
      </w:pPr>
      <w:bookmarkStart w:id="73" w:name="_Toc16486"/>
      <w:bookmarkStart w:id="74" w:name="_Toc15396620"/>
      <w:r>
        <w:rPr>
          <w:rFonts w:hint="eastAsia" w:eastAsia="仿宋_GB2312" w:cs="仿宋_GB2312"/>
          <w:sz w:val="32"/>
          <w:szCs w:val="32"/>
        </w:rPr>
        <w:t>二、收入决算表</w:t>
      </w:r>
      <w:bookmarkEnd w:id="73"/>
      <w:bookmarkEnd w:id="74"/>
    </w:p>
    <w:p>
      <w:pPr>
        <w:pStyle w:val="14"/>
        <w:adjustRightInd w:val="0"/>
        <w:snapToGrid w:val="0"/>
        <w:spacing w:line="560" w:lineRule="exact"/>
        <w:jc w:val="left"/>
        <w:outlineLvl w:val="0"/>
        <w:rPr>
          <w:rFonts w:hint="eastAsia" w:eastAsia="仿宋_GB2312" w:cs="仿宋_GB2312"/>
          <w:sz w:val="32"/>
          <w:szCs w:val="32"/>
        </w:rPr>
      </w:pPr>
      <w:bookmarkStart w:id="75" w:name="_Toc2811"/>
      <w:bookmarkStart w:id="76" w:name="_Toc15396621"/>
      <w:r>
        <w:rPr>
          <w:rFonts w:hint="eastAsia" w:eastAsia="仿宋_GB2312" w:cs="仿宋_GB2312"/>
          <w:sz w:val="32"/>
          <w:szCs w:val="32"/>
        </w:rPr>
        <w:t>三、支出决算表</w:t>
      </w:r>
      <w:bookmarkEnd w:id="75"/>
      <w:bookmarkEnd w:id="76"/>
    </w:p>
    <w:p>
      <w:pPr>
        <w:pStyle w:val="14"/>
        <w:adjustRightInd w:val="0"/>
        <w:snapToGrid w:val="0"/>
        <w:spacing w:line="560" w:lineRule="exact"/>
        <w:jc w:val="left"/>
        <w:outlineLvl w:val="0"/>
        <w:rPr>
          <w:rFonts w:hint="eastAsia" w:eastAsia="仿宋_GB2312" w:cs="仿宋_GB2312"/>
          <w:sz w:val="32"/>
          <w:szCs w:val="32"/>
        </w:rPr>
      </w:pPr>
      <w:bookmarkStart w:id="77" w:name="_Toc30112"/>
      <w:bookmarkStart w:id="78" w:name="_Toc15396622"/>
      <w:r>
        <w:rPr>
          <w:rFonts w:hint="eastAsia" w:eastAsia="仿宋_GB2312" w:cs="仿宋_GB2312"/>
          <w:sz w:val="32"/>
          <w:szCs w:val="32"/>
        </w:rPr>
        <w:t>四、财政拨款收入支出决算总表</w:t>
      </w:r>
      <w:bookmarkEnd w:id="77"/>
      <w:bookmarkEnd w:id="78"/>
    </w:p>
    <w:p>
      <w:pPr>
        <w:pStyle w:val="14"/>
        <w:adjustRightInd w:val="0"/>
        <w:snapToGrid w:val="0"/>
        <w:spacing w:line="560" w:lineRule="exact"/>
        <w:jc w:val="left"/>
        <w:outlineLvl w:val="0"/>
        <w:rPr>
          <w:rFonts w:hint="eastAsia" w:eastAsia="仿宋_GB2312" w:cs="仿宋_GB2312"/>
          <w:sz w:val="32"/>
          <w:szCs w:val="32"/>
        </w:rPr>
      </w:pPr>
      <w:bookmarkStart w:id="79" w:name="_Toc15396623"/>
      <w:bookmarkStart w:id="80" w:name="_Toc4208"/>
      <w:r>
        <w:rPr>
          <w:rFonts w:hint="eastAsia" w:eastAsia="仿宋_GB2312" w:cs="仿宋_GB2312"/>
          <w:sz w:val="32"/>
          <w:szCs w:val="32"/>
        </w:rPr>
        <w:t>五、财政拨款支出决算明细表</w:t>
      </w:r>
      <w:bookmarkEnd w:id="79"/>
      <w:bookmarkEnd w:id="80"/>
      <w:bookmarkStart w:id="81" w:name="_Toc15396624"/>
    </w:p>
    <w:p>
      <w:pPr>
        <w:pStyle w:val="14"/>
        <w:adjustRightInd w:val="0"/>
        <w:snapToGrid w:val="0"/>
        <w:spacing w:line="560" w:lineRule="exact"/>
        <w:jc w:val="left"/>
        <w:outlineLvl w:val="0"/>
        <w:rPr>
          <w:rFonts w:hint="eastAsia" w:eastAsia="仿宋_GB2312" w:cs="仿宋_GB2312"/>
          <w:sz w:val="32"/>
          <w:szCs w:val="32"/>
        </w:rPr>
      </w:pPr>
      <w:bookmarkStart w:id="82" w:name="_Toc16885"/>
      <w:r>
        <w:rPr>
          <w:rFonts w:hint="eastAsia" w:eastAsia="仿宋_GB2312" w:cs="仿宋_GB2312"/>
          <w:sz w:val="32"/>
          <w:szCs w:val="32"/>
        </w:rPr>
        <w:t>六、一般公共预算财政拨款支出决算表</w:t>
      </w:r>
      <w:bookmarkEnd w:id="81"/>
      <w:bookmarkEnd w:id="82"/>
    </w:p>
    <w:p>
      <w:pPr>
        <w:pStyle w:val="14"/>
        <w:adjustRightInd w:val="0"/>
        <w:snapToGrid w:val="0"/>
        <w:spacing w:line="560" w:lineRule="exact"/>
        <w:jc w:val="left"/>
        <w:outlineLvl w:val="0"/>
        <w:rPr>
          <w:rFonts w:hint="eastAsia" w:eastAsia="仿宋_GB2312" w:cs="仿宋_GB2312"/>
          <w:sz w:val="32"/>
          <w:szCs w:val="32"/>
        </w:rPr>
      </w:pPr>
      <w:bookmarkStart w:id="83" w:name="_Toc12538"/>
      <w:bookmarkStart w:id="84" w:name="_Toc15396625"/>
      <w:r>
        <w:rPr>
          <w:rFonts w:hint="eastAsia" w:eastAsia="仿宋_GB2312" w:cs="仿宋_GB2312"/>
          <w:sz w:val="32"/>
          <w:szCs w:val="32"/>
        </w:rPr>
        <w:t>七、一般公共预算财政拨款支出决算明细表</w:t>
      </w:r>
      <w:bookmarkEnd w:id="83"/>
      <w:bookmarkEnd w:id="84"/>
    </w:p>
    <w:p>
      <w:pPr>
        <w:pStyle w:val="14"/>
        <w:adjustRightInd w:val="0"/>
        <w:snapToGrid w:val="0"/>
        <w:spacing w:line="560" w:lineRule="exact"/>
        <w:jc w:val="left"/>
        <w:outlineLvl w:val="0"/>
        <w:rPr>
          <w:rFonts w:hint="eastAsia" w:eastAsia="仿宋_GB2312" w:cs="仿宋_GB2312"/>
          <w:sz w:val="32"/>
          <w:szCs w:val="32"/>
        </w:rPr>
      </w:pPr>
      <w:bookmarkStart w:id="85" w:name="_Toc31966"/>
      <w:bookmarkStart w:id="86" w:name="_Toc15396626"/>
      <w:r>
        <w:rPr>
          <w:rFonts w:hint="eastAsia" w:eastAsia="仿宋_GB2312" w:cs="仿宋_GB2312"/>
          <w:sz w:val="32"/>
          <w:szCs w:val="32"/>
        </w:rPr>
        <w:t>八、一般公共预算财政拨款基本支出决算表</w:t>
      </w:r>
      <w:bookmarkEnd w:id="85"/>
      <w:bookmarkEnd w:id="86"/>
    </w:p>
    <w:p>
      <w:pPr>
        <w:pStyle w:val="14"/>
        <w:adjustRightInd w:val="0"/>
        <w:snapToGrid w:val="0"/>
        <w:spacing w:line="560" w:lineRule="exact"/>
        <w:jc w:val="left"/>
        <w:outlineLvl w:val="0"/>
        <w:rPr>
          <w:rFonts w:hint="eastAsia" w:eastAsia="仿宋_GB2312" w:cs="仿宋_GB2312"/>
          <w:sz w:val="32"/>
          <w:szCs w:val="32"/>
        </w:rPr>
      </w:pPr>
      <w:bookmarkStart w:id="87" w:name="_Toc9040"/>
      <w:bookmarkStart w:id="88" w:name="_Toc15396627"/>
      <w:r>
        <w:rPr>
          <w:rFonts w:hint="eastAsia" w:eastAsia="仿宋_GB2312" w:cs="仿宋_GB2312"/>
          <w:sz w:val="32"/>
          <w:szCs w:val="32"/>
        </w:rPr>
        <w:t>九、一般公共预算财政拨款项目支出决算表</w:t>
      </w:r>
      <w:bookmarkEnd w:id="87"/>
      <w:bookmarkEnd w:id="88"/>
    </w:p>
    <w:p>
      <w:pPr>
        <w:pStyle w:val="14"/>
        <w:adjustRightInd w:val="0"/>
        <w:snapToGrid w:val="0"/>
        <w:spacing w:line="560" w:lineRule="exact"/>
        <w:jc w:val="left"/>
        <w:outlineLvl w:val="0"/>
        <w:rPr>
          <w:rFonts w:hint="eastAsia" w:eastAsia="仿宋_GB2312" w:cs="仿宋_GB2312"/>
          <w:sz w:val="32"/>
          <w:szCs w:val="32"/>
        </w:rPr>
      </w:pPr>
      <w:bookmarkStart w:id="89" w:name="_Toc15396628"/>
      <w:bookmarkStart w:id="90" w:name="_Toc21197"/>
      <w:r>
        <w:rPr>
          <w:rFonts w:hint="eastAsia" w:eastAsia="仿宋_GB2312" w:cs="仿宋_GB2312"/>
          <w:sz w:val="32"/>
          <w:szCs w:val="32"/>
        </w:rPr>
        <w:t>十、</w:t>
      </w:r>
      <w:bookmarkEnd w:id="89"/>
      <w:r>
        <w:rPr>
          <w:rFonts w:hint="eastAsia" w:eastAsia="仿宋_GB2312" w:cs="仿宋_GB2312"/>
          <w:sz w:val="32"/>
          <w:szCs w:val="32"/>
        </w:rPr>
        <w:t>政府性基金预算财政拨款收入支出决算表</w:t>
      </w:r>
      <w:bookmarkEnd w:id="90"/>
    </w:p>
    <w:p>
      <w:pPr>
        <w:pStyle w:val="14"/>
        <w:adjustRightInd w:val="0"/>
        <w:snapToGrid w:val="0"/>
        <w:spacing w:line="560" w:lineRule="exact"/>
        <w:jc w:val="left"/>
        <w:outlineLvl w:val="0"/>
        <w:rPr>
          <w:rFonts w:hint="eastAsia" w:eastAsia="仿宋_GB2312" w:cs="仿宋_GB2312"/>
          <w:sz w:val="32"/>
          <w:szCs w:val="32"/>
        </w:rPr>
      </w:pPr>
      <w:bookmarkStart w:id="91" w:name="_Toc15396629"/>
      <w:bookmarkStart w:id="92" w:name="_Toc22602"/>
      <w:r>
        <w:rPr>
          <w:rFonts w:hint="eastAsia" w:eastAsia="仿宋_GB2312" w:cs="仿宋_GB2312"/>
          <w:sz w:val="32"/>
          <w:szCs w:val="32"/>
        </w:rPr>
        <w:t>十一、</w:t>
      </w:r>
      <w:bookmarkEnd w:id="91"/>
      <w:r>
        <w:rPr>
          <w:rFonts w:hint="eastAsia" w:eastAsia="仿宋_GB2312" w:cs="仿宋_GB2312"/>
          <w:sz w:val="32"/>
          <w:szCs w:val="32"/>
        </w:rPr>
        <w:t>国有资本经营预算财政拨款收入支出决算表</w:t>
      </w:r>
      <w:bookmarkEnd w:id="92"/>
    </w:p>
    <w:p>
      <w:pPr>
        <w:pStyle w:val="14"/>
        <w:adjustRightInd w:val="0"/>
        <w:snapToGrid w:val="0"/>
        <w:spacing w:line="560" w:lineRule="exact"/>
        <w:jc w:val="left"/>
        <w:outlineLvl w:val="0"/>
        <w:rPr>
          <w:rFonts w:hint="eastAsia" w:eastAsia="仿宋_GB2312" w:cs="仿宋_GB2312"/>
          <w:sz w:val="32"/>
          <w:szCs w:val="32"/>
        </w:rPr>
      </w:pPr>
      <w:bookmarkStart w:id="93" w:name="_Toc15396630"/>
      <w:bookmarkStart w:id="94" w:name="_Toc22186"/>
      <w:r>
        <w:rPr>
          <w:rFonts w:hint="eastAsia" w:eastAsia="仿宋_GB2312" w:cs="仿宋_GB2312"/>
          <w:sz w:val="32"/>
          <w:szCs w:val="32"/>
        </w:rPr>
        <w:t>十二、</w:t>
      </w:r>
      <w:bookmarkEnd w:id="93"/>
      <w:r>
        <w:rPr>
          <w:rFonts w:hint="eastAsia" w:eastAsia="仿宋_GB2312" w:cs="仿宋_GB2312"/>
          <w:sz w:val="32"/>
          <w:szCs w:val="32"/>
        </w:rPr>
        <w:t>国有资本经营预算财政拨款支出决算表</w:t>
      </w:r>
      <w:bookmarkEnd w:id="94"/>
    </w:p>
    <w:p>
      <w:pPr>
        <w:pStyle w:val="14"/>
        <w:adjustRightInd w:val="0"/>
        <w:snapToGrid w:val="0"/>
        <w:spacing w:line="560" w:lineRule="exact"/>
        <w:jc w:val="left"/>
        <w:outlineLvl w:val="0"/>
        <w:rPr>
          <w:rFonts w:hint="eastAsia" w:eastAsia="仿宋_GB2312" w:cs="仿宋_GB2312"/>
          <w:sz w:val="32"/>
          <w:szCs w:val="32"/>
        </w:rPr>
      </w:pPr>
      <w:bookmarkStart w:id="95" w:name="_Toc15396631"/>
      <w:bookmarkStart w:id="96" w:name="_Toc3827"/>
      <w:r>
        <w:rPr>
          <w:rFonts w:hint="eastAsia" w:eastAsia="仿宋_GB2312" w:cs="仿宋_GB2312"/>
          <w:sz w:val="32"/>
          <w:szCs w:val="32"/>
        </w:rPr>
        <w:t>十三、</w:t>
      </w:r>
      <w:bookmarkEnd w:id="95"/>
      <w:r>
        <w:rPr>
          <w:rFonts w:hint="eastAsia" w:eastAsia="仿宋_GB2312" w:cs="仿宋_GB2312"/>
          <w:sz w:val="32"/>
          <w:szCs w:val="32"/>
        </w:rPr>
        <w:t>财政拨款“三公”经费支出决算表</w:t>
      </w:r>
      <w:bookmarkEnd w:id="96"/>
    </w:p>
    <w:p>
      <w:pPr>
        <w:pStyle w:val="14"/>
        <w:adjustRightInd w:val="0"/>
        <w:snapToGrid w:val="0"/>
        <w:spacing w:line="560" w:lineRule="exact"/>
        <w:jc w:val="left"/>
        <w:outlineLvl w:val="1"/>
        <w:rPr>
          <w:rFonts w:hint="eastAsia" w:eastAsia="仿宋_GB2312" w:cs="仿宋_GB2312"/>
          <w:sz w:val="32"/>
          <w:szCs w:val="32"/>
        </w:rPr>
      </w:pPr>
    </w:p>
    <w:sectPr>
      <w:footerReference r:id="rId7" w:type="first"/>
      <w:footerReference r:id="rId6" w:type="default"/>
      <w:pgSz w:w="11906" w:h="16838"/>
      <w:pgMar w:top="1440" w:right="1800" w:bottom="1440" w:left="1800" w:header="851" w:footer="992" w:gutter="0"/>
      <w:pgNumType w:fmt="numberInDash"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2000000" w:usb3="00000000" w:csb0="2000019F" w:csb1="00000000"/>
  </w:font>
  <w:font w:name="仿宋_GB2312">
    <w:altName w:val="方正仿宋_GBK"/>
    <w:panose1 w:val="02010609030101010101"/>
    <w:charset w:val="86"/>
    <w:family w:val="modern"/>
    <w:pitch w:val="default"/>
    <w:sig w:usb0="00000000" w:usb1="00000000" w:usb2="0000001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
    <w:altName w:val="汉仪仿宋S"/>
    <w:panose1 w:val="00000000000000000000"/>
    <w:charset w:val="00"/>
    <w:family w:val="roman"/>
    <w:pitch w:val="default"/>
    <w:sig w:usb0="00000000" w:usb1="00000000" w:usb2="00000000" w:usb3="00000000" w:csb0="00000000" w:csb1="00000000"/>
  </w:font>
  <w:font w:name="方正小标宋简体">
    <w:panose1 w:val="02000000000000000000"/>
    <w:charset w:val="86"/>
    <w:family w:val="script"/>
    <w:pitch w:val="default"/>
    <w:sig w:usb0="A00002BF" w:usb1="184F6CFA" w:usb2="00000012" w:usb3="00000000" w:csb0="00040001" w:csb1="00000000"/>
  </w:font>
  <w:font w:name="楷体_GB2312">
    <w:altName w:val="方正楷体_GBK"/>
    <w:panose1 w:val="00000000000000000000"/>
    <w:charset w:val="86"/>
    <w:family w:val="auto"/>
    <w:pitch w:val="default"/>
    <w:sig w:usb0="00000000" w:usb1="00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NanumGothic">
    <w:panose1 w:val="020D0604000000000000"/>
    <w:charset w:val="81"/>
    <w:family w:val="auto"/>
    <w:pitch w:val="default"/>
    <w:sig w:usb0="900002A7" w:usb1="29D7FCFB" w:usb2="00000010" w:usb3="00000000" w:csb0="00080001" w:csb1="00000000"/>
  </w:font>
  <w:font w:name="方正楷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- 2 -</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GQA+L8aAgAAKwQAAA4AAAAAAAAAAQAgAAAANQEAAGRycy9lMm9Eb2MueG1sUEsFBgAA&#10;AAAGAAYAWQEAAMEFA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- 2 -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zQKKhHAIAACs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s0CioRwCAAArBAAADgAAAAAAAAABACAAAAA1AQAAZHJzL2Uyb0RvYy54bWxQSwUG&#10;AAAAAAYABgBZAQAAwwU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- 2 -</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MGCRB0dAgAAKwQAAA4AAAAAAAAAAQAgAAAANQEAAGRycy9lMm9Eb2MueG1sUEsF&#10;BgAAAAAGAAYAWQEAAMQFA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- 2 -</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B3BFp0dAgAAKwQAAA4AAAAAAAAAAQAgAAAANQEAAGRycy9lMm9Eb2MueG1sUEsF&#10;BgAAAAAGAAYAWQEAAMQFA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EB98407"/>
    <w:multiLevelType w:val="singleLevel"/>
    <w:tmpl w:val="0EB98407"/>
    <w:lvl w:ilvl="0" w:tentative="0">
      <w:start w:val="1"/>
      <w:numFmt w:val="chineseCounting"/>
      <w:suff w:val="nothing"/>
      <w:lvlText w:val="%1、"/>
      <w:lvlJc w:val="left"/>
      <w:pPr>
        <w:ind w:left="0" w:firstLine="420"/>
      </w:pPr>
      <w:rPr>
        <w:rFonts w:hint="eastAsia"/>
      </w:rPr>
    </w:lvl>
  </w:abstractNum>
  <w:abstractNum w:abstractNumId="1">
    <w:nsid w:val="1A6F4E69"/>
    <w:multiLevelType w:val="singleLevel"/>
    <w:tmpl w:val="1A6F4E69"/>
    <w:lvl w:ilvl="0" w:tentative="0">
      <w:start w:val="1"/>
      <w:numFmt w:val="decimal"/>
      <w:suff w:val="space"/>
      <w:lvlText w:val="%1."/>
      <w:lvlJc w:val="left"/>
      <w:pPr>
        <w:ind w:left="425" w:hanging="425"/>
      </w:pPr>
      <w:rPr>
        <w:rFonts w:hint="default"/>
      </w:rPr>
    </w:lvl>
  </w:abstractNum>
  <w:abstractNum w:abstractNumId="2">
    <w:nsid w:val="53F5724E"/>
    <w:multiLevelType w:val="singleLevel"/>
    <w:tmpl w:val="53F5724E"/>
    <w:lvl w:ilvl="0" w:tentative="0">
      <w:start w:val="1"/>
      <w:numFmt w:val="decimal"/>
      <w:suff w:val="space"/>
      <w:lvlText w:val="%1."/>
      <w:lvlJc w:val="left"/>
      <w:pPr>
        <w:ind w:left="425" w:hanging="425"/>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documentProtection w:enforcement="0"/>
  <w:defaultTabStop w:val="420"/>
  <w:drawingGridHorizontalSpacing w:val="105"/>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07004"/>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3795B"/>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22A3"/>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02FE1"/>
    <w:rsid w:val="00D114F0"/>
    <w:rsid w:val="00D20620"/>
    <w:rsid w:val="00D254F7"/>
    <w:rsid w:val="00D26091"/>
    <w:rsid w:val="00D2685C"/>
    <w:rsid w:val="00D34E7C"/>
    <w:rsid w:val="00D35489"/>
    <w:rsid w:val="00D36AFE"/>
    <w:rsid w:val="00D51276"/>
    <w:rsid w:val="00D5444D"/>
    <w:rsid w:val="00D7035F"/>
    <w:rsid w:val="00DA634F"/>
    <w:rsid w:val="00DA65AC"/>
    <w:rsid w:val="00DB1913"/>
    <w:rsid w:val="00DC2C99"/>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A5EC2"/>
    <w:rsid w:val="015975B8"/>
    <w:rsid w:val="02FEBE30"/>
    <w:rsid w:val="04916F1E"/>
    <w:rsid w:val="061E35DE"/>
    <w:rsid w:val="066E0107"/>
    <w:rsid w:val="07996F6E"/>
    <w:rsid w:val="07DFD8BA"/>
    <w:rsid w:val="08856DEC"/>
    <w:rsid w:val="09867E8F"/>
    <w:rsid w:val="0A2032A3"/>
    <w:rsid w:val="0CA8290A"/>
    <w:rsid w:val="0D35B1ED"/>
    <w:rsid w:val="0E254B6B"/>
    <w:rsid w:val="0F98263C"/>
    <w:rsid w:val="101860EC"/>
    <w:rsid w:val="101F47CC"/>
    <w:rsid w:val="10C055FF"/>
    <w:rsid w:val="11694EBD"/>
    <w:rsid w:val="11772AA4"/>
    <w:rsid w:val="118107EC"/>
    <w:rsid w:val="12E24EE2"/>
    <w:rsid w:val="13D50BC4"/>
    <w:rsid w:val="14B17F78"/>
    <w:rsid w:val="165E0673"/>
    <w:rsid w:val="16B831D5"/>
    <w:rsid w:val="16BB723D"/>
    <w:rsid w:val="17E50567"/>
    <w:rsid w:val="186504BB"/>
    <w:rsid w:val="19A445FC"/>
    <w:rsid w:val="1BE8440E"/>
    <w:rsid w:val="1CC6347C"/>
    <w:rsid w:val="1D155CEE"/>
    <w:rsid w:val="1D1638FE"/>
    <w:rsid w:val="1E312DEB"/>
    <w:rsid w:val="1E740ACF"/>
    <w:rsid w:val="1FF35744"/>
    <w:rsid w:val="1FF6BC77"/>
    <w:rsid w:val="2186353C"/>
    <w:rsid w:val="23860B96"/>
    <w:rsid w:val="240371BF"/>
    <w:rsid w:val="244F3473"/>
    <w:rsid w:val="24C97D99"/>
    <w:rsid w:val="25A718F0"/>
    <w:rsid w:val="25BB59F6"/>
    <w:rsid w:val="260F557C"/>
    <w:rsid w:val="26970054"/>
    <w:rsid w:val="281408E2"/>
    <w:rsid w:val="29FD04D3"/>
    <w:rsid w:val="2BFF7BC6"/>
    <w:rsid w:val="2C8A61B5"/>
    <w:rsid w:val="2DC21DC5"/>
    <w:rsid w:val="2DF04E50"/>
    <w:rsid w:val="2E586DFA"/>
    <w:rsid w:val="2F040D46"/>
    <w:rsid w:val="2F6B035B"/>
    <w:rsid w:val="2FAE5751"/>
    <w:rsid w:val="2FB1A395"/>
    <w:rsid w:val="2FD9A7D8"/>
    <w:rsid w:val="2FDBF714"/>
    <w:rsid w:val="30AB6865"/>
    <w:rsid w:val="319F7F4E"/>
    <w:rsid w:val="32BD1EF1"/>
    <w:rsid w:val="3304709D"/>
    <w:rsid w:val="33A773CB"/>
    <w:rsid w:val="349D6851"/>
    <w:rsid w:val="354C745F"/>
    <w:rsid w:val="35E6413B"/>
    <w:rsid w:val="36AA5135"/>
    <w:rsid w:val="36BE0DA7"/>
    <w:rsid w:val="37241ABE"/>
    <w:rsid w:val="376B6AA6"/>
    <w:rsid w:val="376D39B2"/>
    <w:rsid w:val="37E16F03"/>
    <w:rsid w:val="37F53A3B"/>
    <w:rsid w:val="389B6C89"/>
    <w:rsid w:val="38D469F0"/>
    <w:rsid w:val="39627CCD"/>
    <w:rsid w:val="397BAF1F"/>
    <w:rsid w:val="3AB79AF3"/>
    <w:rsid w:val="3ABE1B66"/>
    <w:rsid w:val="3AE834C0"/>
    <w:rsid w:val="3B2220F5"/>
    <w:rsid w:val="3B7EF35A"/>
    <w:rsid w:val="3B9FDB6C"/>
    <w:rsid w:val="3BF5BC2F"/>
    <w:rsid w:val="3CEBA265"/>
    <w:rsid w:val="3D98207C"/>
    <w:rsid w:val="3DEE7CF3"/>
    <w:rsid w:val="3E2C04A9"/>
    <w:rsid w:val="3E740A63"/>
    <w:rsid w:val="3E78745D"/>
    <w:rsid w:val="3EE17838"/>
    <w:rsid w:val="3F55381A"/>
    <w:rsid w:val="3F7F7599"/>
    <w:rsid w:val="3FF4CAE0"/>
    <w:rsid w:val="3FF7B227"/>
    <w:rsid w:val="44E268DA"/>
    <w:rsid w:val="450D13D7"/>
    <w:rsid w:val="45506656"/>
    <w:rsid w:val="486A6C7A"/>
    <w:rsid w:val="4A627F82"/>
    <w:rsid w:val="4B0E749A"/>
    <w:rsid w:val="4B2477C4"/>
    <w:rsid w:val="4B4F25DA"/>
    <w:rsid w:val="4BE068DB"/>
    <w:rsid w:val="4D577224"/>
    <w:rsid w:val="4DBF1CEB"/>
    <w:rsid w:val="4DF0007C"/>
    <w:rsid w:val="4EAB630A"/>
    <w:rsid w:val="4ECE2238"/>
    <w:rsid w:val="4F833267"/>
    <w:rsid w:val="4FE9BD67"/>
    <w:rsid w:val="4FFB052F"/>
    <w:rsid w:val="5012078F"/>
    <w:rsid w:val="534B2BB6"/>
    <w:rsid w:val="537E6D0A"/>
    <w:rsid w:val="53F74C96"/>
    <w:rsid w:val="55170BA8"/>
    <w:rsid w:val="553218C9"/>
    <w:rsid w:val="567E1AA5"/>
    <w:rsid w:val="56E47B74"/>
    <w:rsid w:val="57175D52"/>
    <w:rsid w:val="57BD3DD4"/>
    <w:rsid w:val="5AF92295"/>
    <w:rsid w:val="5B250254"/>
    <w:rsid w:val="5B81022D"/>
    <w:rsid w:val="5BDD79E6"/>
    <w:rsid w:val="5BF561CA"/>
    <w:rsid w:val="5BFF5DFC"/>
    <w:rsid w:val="5CD71FC4"/>
    <w:rsid w:val="5D1F11B5"/>
    <w:rsid w:val="5D695134"/>
    <w:rsid w:val="5DAE1B18"/>
    <w:rsid w:val="5DE7D9E5"/>
    <w:rsid w:val="5ECEC941"/>
    <w:rsid w:val="5FBF9FF3"/>
    <w:rsid w:val="5FCD4E2C"/>
    <w:rsid w:val="5FEF394A"/>
    <w:rsid w:val="5FF67715"/>
    <w:rsid w:val="62BF3928"/>
    <w:rsid w:val="63B3701E"/>
    <w:rsid w:val="640B4712"/>
    <w:rsid w:val="647F5392"/>
    <w:rsid w:val="65E66580"/>
    <w:rsid w:val="664B1D71"/>
    <w:rsid w:val="664B4E8E"/>
    <w:rsid w:val="67277B67"/>
    <w:rsid w:val="67AA3209"/>
    <w:rsid w:val="68B50CE7"/>
    <w:rsid w:val="698D0931"/>
    <w:rsid w:val="6A7FE5F3"/>
    <w:rsid w:val="6B053271"/>
    <w:rsid w:val="6BD050D2"/>
    <w:rsid w:val="6BDD78B3"/>
    <w:rsid w:val="6C4A05C8"/>
    <w:rsid w:val="6C8742B8"/>
    <w:rsid w:val="6DBF5E93"/>
    <w:rsid w:val="6DFF077E"/>
    <w:rsid w:val="6E714EF0"/>
    <w:rsid w:val="6E7E3605"/>
    <w:rsid w:val="6E7FDCC7"/>
    <w:rsid w:val="6ED6A62E"/>
    <w:rsid w:val="6EE00B15"/>
    <w:rsid w:val="6EFF1BD4"/>
    <w:rsid w:val="6F6FB3EB"/>
    <w:rsid w:val="6F8731EA"/>
    <w:rsid w:val="6FA07D8E"/>
    <w:rsid w:val="6FCE6052"/>
    <w:rsid w:val="6FD57C00"/>
    <w:rsid w:val="6FEFFFD8"/>
    <w:rsid w:val="6FF5CC65"/>
    <w:rsid w:val="6FFB47EC"/>
    <w:rsid w:val="6FFF034A"/>
    <w:rsid w:val="70425E72"/>
    <w:rsid w:val="70484440"/>
    <w:rsid w:val="712A28F1"/>
    <w:rsid w:val="715C0E4B"/>
    <w:rsid w:val="71992E7C"/>
    <w:rsid w:val="72233669"/>
    <w:rsid w:val="72734D90"/>
    <w:rsid w:val="73160E6D"/>
    <w:rsid w:val="7332FE48"/>
    <w:rsid w:val="73691968"/>
    <w:rsid w:val="73AB61DA"/>
    <w:rsid w:val="73AD73D5"/>
    <w:rsid w:val="73B6EB34"/>
    <w:rsid w:val="73FA497D"/>
    <w:rsid w:val="744731E5"/>
    <w:rsid w:val="74BBD01D"/>
    <w:rsid w:val="74ED5379"/>
    <w:rsid w:val="75DEEEC2"/>
    <w:rsid w:val="75E32345"/>
    <w:rsid w:val="76E3355F"/>
    <w:rsid w:val="76FF5125"/>
    <w:rsid w:val="776F6FFA"/>
    <w:rsid w:val="778769C8"/>
    <w:rsid w:val="77A75DCA"/>
    <w:rsid w:val="77DC22F5"/>
    <w:rsid w:val="783E271A"/>
    <w:rsid w:val="78616DE9"/>
    <w:rsid w:val="78E875D7"/>
    <w:rsid w:val="79086DAD"/>
    <w:rsid w:val="79D7FD79"/>
    <w:rsid w:val="79EE5BA4"/>
    <w:rsid w:val="7A894339"/>
    <w:rsid w:val="7AD284E8"/>
    <w:rsid w:val="7AFF7572"/>
    <w:rsid w:val="7B6C7DFB"/>
    <w:rsid w:val="7BBFBED0"/>
    <w:rsid w:val="7BC3E394"/>
    <w:rsid w:val="7C1F3737"/>
    <w:rsid w:val="7CBFC87B"/>
    <w:rsid w:val="7CFE0F48"/>
    <w:rsid w:val="7D272ABC"/>
    <w:rsid w:val="7D7EC23E"/>
    <w:rsid w:val="7E8ADEBF"/>
    <w:rsid w:val="7EB4618D"/>
    <w:rsid w:val="7EEF11D3"/>
    <w:rsid w:val="7EFE4840"/>
    <w:rsid w:val="7F0971A6"/>
    <w:rsid w:val="7F1D62E7"/>
    <w:rsid w:val="7F3F679B"/>
    <w:rsid w:val="7F4FC4EF"/>
    <w:rsid w:val="7F5E4D54"/>
    <w:rsid w:val="7F6E0135"/>
    <w:rsid w:val="7F79F205"/>
    <w:rsid w:val="7FA30C79"/>
    <w:rsid w:val="7FA79C44"/>
    <w:rsid w:val="7FAF8ABF"/>
    <w:rsid w:val="7FB7269E"/>
    <w:rsid w:val="7FC96657"/>
    <w:rsid w:val="7FDA9588"/>
    <w:rsid w:val="7FDF220F"/>
    <w:rsid w:val="7FEDC5F7"/>
    <w:rsid w:val="7FEDD9DE"/>
    <w:rsid w:val="7FF5890D"/>
    <w:rsid w:val="7FF93490"/>
    <w:rsid w:val="99FF2014"/>
    <w:rsid w:val="A6DD0D7F"/>
    <w:rsid w:val="ACFF4FBB"/>
    <w:rsid w:val="ADC6F725"/>
    <w:rsid w:val="B7CF06AB"/>
    <w:rsid w:val="B7CFA926"/>
    <w:rsid w:val="B7F8786B"/>
    <w:rsid w:val="BABB6AA1"/>
    <w:rsid w:val="BB2F4199"/>
    <w:rsid w:val="BCFFB442"/>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E9BE81"/>
    <w:rsid w:val="DFFFA9E8"/>
    <w:rsid w:val="E5F4E9DC"/>
    <w:rsid w:val="E70FE695"/>
    <w:rsid w:val="EB2E368B"/>
    <w:rsid w:val="ECFED1BC"/>
    <w:rsid w:val="ED1D69BB"/>
    <w:rsid w:val="ED7FD312"/>
    <w:rsid w:val="EF2E1AC6"/>
    <w:rsid w:val="EF53993F"/>
    <w:rsid w:val="EF6FD633"/>
    <w:rsid w:val="EFBFB2F4"/>
    <w:rsid w:val="EFBFFA21"/>
    <w:rsid w:val="F2BEBCB8"/>
    <w:rsid w:val="F36FB518"/>
    <w:rsid w:val="F3DE1A04"/>
    <w:rsid w:val="F3F722E5"/>
    <w:rsid w:val="F4FBCD07"/>
    <w:rsid w:val="FA5F1E70"/>
    <w:rsid w:val="FA5FDB97"/>
    <w:rsid w:val="FB7F486A"/>
    <w:rsid w:val="FBFF5B2E"/>
    <w:rsid w:val="FD7FFE2B"/>
    <w:rsid w:val="FDEE196B"/>
    <w:rsid w:val="FDFE6575"/>
    <w:rsid w:val="FEDFDDC2"/>
    <w:rsid w:val="FEED32F6"/>
    <w:rsid w:val="FEF781DD"/>
    <w:rsid w:val="FF3F7E3F"/>
    <w:rsid w:val="FFBA12D7"/>
    <w:rsid w:val="FFCBD314"/>
    <w:rsid w:val="FFDFF91C"/>
    <w:rsid w:val="FFDFFAEE"/>
    <w:rsid w:val="FFEF6777"/>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6">
    <w:name w:val="heading 2"/>
    <w:basedOn w:val="1"/>
    <w:next w:val="1"/>
    <w:link w:val="2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7">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unhideWhenUsed/>
    <w:qFormat/>
    <w:uiPriority w:val="99"/>
    <w:pPr>
      <w:ind w:firstLine="420" w:firstLineChars="200"/>
    </w:pPr>
  </w:style>
  <w:style w:type="paragraph" w:styleId="4">
    <w:name w:val="Body Text Indent"/>
    <w:basedOn w:val="1"/>
    <w:next w:val="3"/>
    <w:qFormat/>
    <w:uiPriority w:val="0"/>
    <w:pPr>
      <w:spacing w:after="120"/>
      <w:ind w:left="200" w:leftChars="200"/>
    </w:pPr>
    <w:rPr>
      <w:rFonts w:ascii="仿宋_GB2312"/>
      <w:szCs w:val="32"/>
    </w:rPr>
  </w:style>
  <w:style w:type="paragraph" w:styleId="8">
    <w:name w:val="Body Text"/>
    <w:basedOn w:val="1"/>
    <w:link w:val="25"/>
    <w:qFormat/>
    <w:uiPriority w:val="99"/>
    <w:pPr>
      <w:spacing w:beforeLines="30"/>
    </w:pPr>
    <w:rPr>
      <w:rFonts w:ascii="仿宋_GB2312" w:eastAsia="仿宋_GB2312"/>
      <w:kern w:val="0"/>
      <w:sz w:val="30"/>
    </w:r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1"/>
    <w:semiHidden/>
    <w:unhideWhenUsed/>
    <w:qFormat/>
    <w:uiPriority w:val="99"/>
    <w:rPr>
      <w:sz w:val="18"/>
      <w:szCs w:val="18"/>
    </w:rPr>
  </w:style>
  <w:style w:type="paragraph" w:styleId="11">
    <w:name w:val="footer"/>
    <w:basedOn w:val="1"/>
    <w:link w:val="23"/>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1"/>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toc 2"/>
    <w:basedOn w:val="1"/>
    <w:next w:val="1"/>
    <w:unhideWhenUsed/>
    <w:qFormat/>
    <w:uiPriority w:val="39"/>
    <w:pPr>
      <w:tabs>
        <w:tab w:val="right" w:leader="dot" w:pos="8296"/>
      </w:tabs>
      <w:ind w:left="420" w:leftChars="200"/>
    </w:p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14:textFill>
        <w14:solidFill>
          <w14:schemeClr w14:val="hlink"/>
        </w14:solidFill>
      </w14:textFill>
    </w:rPr>
  </w:style>
  <w:style w:type="paragraph" w:customStyle="1" w:styleId="19">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0">
    <w:name w:val="Header Char"/>
    <w:basedOn w:val="16"/>
    <w:semiHidden/>
    <w:qFormat/>
    <w:uiPriority w:val="99"/>
    <w:rPr>
      <w:rFonts w:ascii="Times New Roman" w:hAnsi="Times New Roman"/>
      <w:sz w:val="18"/>
      <w:szCs w:val="18"/>
    </w:rPr>
  </w:style>
  <w:style w:type="character" w:customStyle="1" w:styleId="21">
    <w:name w:val="页眉 字符"/>
    <w:link w:val="12"/>
    <w:semiHidden/>
    <w:qFormat/>
    <w:locked/>
    <w:uiPriority w:val="99"/>
    <w:rPr>
      <w:sz w:val="18"/>
    </w:rPr>
  </w:style>
  <w:style w:type="character" w:customStyle="1" w:styleId="22">
    <w:name w:val="Footer Char"/>
    <w:basedOn w:val="16"/>
    <w:semiHidden/>
    <w:qFormat/>
    <w:uiPriority w:val="99"/>
    <w:rPr>
      <w:rFonts w:ascii="Times New Roman" w:hAnsi="Times New Roman"/>
      <w:sz w:val="18"/>
      <w:szCs w:val="18"/>
    </w:rPr>
  </w:style>
  <w:style w:type="character" w:customStyle="1" w:styleId="23">
    <w:name w:val="页脚 字符"/>
    <w:link w:val="11"/>
    <w:qFormat/>
    <w:locked/>
    <w:uiPriority w:val="99"/>
    <w:rPr>
      <w:sz w:val="18"/>
    </w:rPr>
  </w:style>
  <w:style w:type="character" w:customStyle="1" w:styleId="24">
    <w:name w:val="Body Text Char"/>
    <w:basedOn w:val="16"/>
    <w:semiHidden/>
    <w:qFormat/>
    <w:uiPriority w:val="99"/>
    <w:rPr>
      <w:rFonts w:ascii="Times New Roman" w:hAnsi="Times New Roman"/>
      <w:szCs w:val="24"/>
    </w:rPr>
  </w:style>
  <w:style w:type="character" w:customStyle="1" w:styleId="25">
    <w:name w:val="正文文本 字符"/>
    <w:link w:val="8"/>
    <w:qFormat/>
    <w:locked/>
    <w:uiPriority w:val="99"/>
    <w:rPr>
      <w:rFonts w:ascii="仿宋_GB2312" w:hAnsi="Times New Roman" w:eastAsia="仿宋_GB2312"/>
      <w:sz w:val="24"/>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7">
    <w:name w:val="List Paragraph"/>
    <w:basedOn w:val="1"/>
    <w:qFormat/>
    <w:uiPriority w:val="34"/>
    <w:pPr>
      <w:ind w:firstLine="420" w:firstLineChars="200"/>
    </w:pPr>
  </w:style>
  <w:style w:type="character" w:customStyle="1" w:styleId="28">
    <w:name w:val="标题 1 字符"/>
    <w:basedOn w:val="16"/>
    <w:link w:val="5"/>
    <w:qFormat/>
    <w:uiPriority w:val="9"/>
    <w:rPr>
      <w:rFonts w:ascii="Times New Roman" w:hAnsi="Times New Roman"/>
      <w:b/>
      <w:bCs/>
      <w:kern w:val="44"/>
      <w:sz w:val="44"/>
      <w:szCs w:val="44"/>
    </w:rPr>
  </w:style>
  <w:style w:type="character" w:customStyle="1" w:styleId="29">
    <w:name w:val="标题 2 字符"/>
    <w:basedOn w:val="16"/>
    <w:link w:val="6"/>
    <w:qFormat/>
    <w:uiPriority w:val="9"/>
    <w:rPr>
      <w:rFonts w:asciiTheme="majorHAnsi" w:hAnsiTheme="majorHAnsi" w:eastAsiaTheme="majorEastAsia" w:cstheme="majorBidi"/>
      <w:b/>
      <w:bCs/>
      <w:kern w:val="2"/>
      <w:sz w:val="32"/>
      <w:szCs w:val="32"/>
    </w:rPr>
  </w:style>
  <w:style w:type="paragraph" w:customStyle="1" w:styleId="30">
    <w:name w:val="TOC 标题1"/>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1">
    <w:name w:val="批注框文本 字符"/>
    <w:basedOn w:val="16"/>
    <w:link w:val="10"/>
    <w:semiHidden/>
    <w:qFormat/>
    <w:uiPriority w:val="99"/>
    <w:rPr>
      <w:rFonts w:ascii="Times New Roman" w:hAnsi="Times New Roman"/>
      <w:kern w:val="2"/>
      <w:sz w:val="18"/>
      <w:szCs w:val="18"/>
    </w:rPr>
  </w:style>
  <w:style w:type="character" w:customStyle="1" w:styleId="32">
    <w:name w:val="标题 3 字符"/>
    <w:basedOn w:val="16"/>
    <w:link w:val="7"/>
    <w:qFormat/>
    <w:uiPriority w:val="9"/>
    <w:rPr>
      <w:rFonts w:ascii="Times New Roman" w:hAnsi="Times New Roman"/>
      <w:b/>
      <w:bCs/>
      <w:kern w:val="2"/>
      <w:sz w:val="32"/>
      <w:szCs w:val="32"/>
    </w:rPr>
  </w:style>
  <w:style w:type="paragraph" w:customStyle="1" w:styleId="33">
    <w:name w:val="TOC 标题2"/>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4">
    <w:name w:val="四号正文"/>
    <w:basedOn w:val="1"/>
    <w:qFormat/>
    <w:uiPriority w:val="0"/>
    <w:pPr>
      <w:spacing w:line="360" w:lineRule="auto"/>
    </w:pPr>
    <w:rPr>
      <w:rFonts w:ascii="??" w:hAnsi="??"/>
      <w:color w:val="000000"/>
      <w:kern w:val="0"/>
      <w:sz w:val="28"/>
      <w:szCs w:val="21"/>
      <w:lang w:val="zh-CN"/>
    </w:rPr>
  </w:style>
</w:styles>
</file>

<file path=word/_rels/document.xml.rels><?xml version="1.0" encoding="UTF-8" standalone="yes"?>
<Relationships xmlns="http://schemas.openxmlformats.org/package/2006/relationships"><Relationship Id="rId9" Type="http://schemas.openxmlformats.org/officeDocument/2006/relationships/chart" Target="charts/chart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chart" Target="charts/chart6.xml"/><Relationship Id="rId13" Type="http://schemas.openxmlformats.org/officeDocument/2006/relationships/chart" Target="charts/chart5.xml"/><Relationship Id="rId12" Type="http://schemas.openxmlformats.org/officeDocument/2006/relationships/chart" Target="charts/chart4.xml"/><Relationship Id="rId11" Type="http://schemas.openxmlformats.org/officeDocument/2006/relationships/chart" Target="charts/chart3.xml"/><Relationship Id="rId10" Type="http://schemas.openxmlformats.org/officeDocument/2006/relationships/chart" Target="charts/chart2.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21556;&#24422;&#31062;\Desktop\3-&#22270;&#34920;&#29983;&#25104;.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file:///C:\Users\&#21556;&#24422;&#31062;\Desktop\3-&#22270;&#34920;&#29983;&#25104;.xlsx"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C:\Users\&#21556;&#24422;&#31062;\Desktop\3-&#22270;&#34920;&#29983;&#25104;.xlsx"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21556;&#24422;&#31062;\Desktop\3-&#22270;&#34920;&#29983;&#25104;.xlsx"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C:\Users\&#21556;&#24422;&#31062;\Desktop\3-&#22270;&#34920;&#29983;&#25104;.xlsx"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C:\Users\&#21556;&#24422;&#31062;\Desktop\3-&#22270;&#34920;&#29983;&#2510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800" b="1" i="0" u="none" strike="noStrike" kern="1200" cap="all" spc="50" baseline="0">
                <a:solidFill>
                  <a:schemeClr val="tx1">
                    <a:lumMod val="65000"/>
                    <a:lumOff val="35000"/>
                  </a:schemeClr>
                </a:solidFill>
                <a:latin typeface="+mn-lt"/>
                <a:ea typeface="+mn-ea"/>
                <a:cs typeface="+mn-cs"/>
              </a:defRPr>
            </a:pPr>
            <a:r>
              <a:t>收、支决算总计变动情况图</a:t>
            </a:r>
          </a:p>
        </c:rich>
      </c:tx>
      <c:layout/>
      <c:overlay val="false"/>
      <c:spPr>
        <a:noFill/>
        <a:ln>
          <a:noFill/>
        </a:ln>
        <a:effectLst/>
      </c:spPr>
    </c:title>
    <c:autoTitleDeleted val="false"/>
    <c:plotArea>
      <c:layout/>
      <c:barChart>
        <c:barDir val="col"/>
        <c:grouping val="clustered"/>
        <c:varyColors val="false"/>
        <c:ser>
          <c:idx val="0"/>
          <c:order val="0"/>
          <c:spPr>
            <a:gradFill flip="none" rotWithShape="true">
              <a:gsLst>
                <a:gs pos="0">
                  <a:schemeClr val="accent1"/>
                </a:gs>
                <a:gs pos="75000">
                  <a:schemeClr val="accent1">
                    <a:lumMod val="60000"/>
                    <a:lumOff val="40000"/>
                  </a:schemeClr>
                </a:gs>
                <a:gs pos="51000">
                  <a:schemeClr val="accent1">
                    <a:alpha val="75000"/>
                  </a:schemeClr>
                </a:gs>
                <a:gs pos="100000">
                  <a:schemeClr val="accent1">
                    <a:lumMod val="20000"/>
                    <a:lumOff val="80000"/>
                    <a:alpha val="15000"/>
                  </a:schemeClr>
                </a:gs>
              </a:gsLst>
              <a:lin ang="5400000" scaled="false"/>
            </a:gradFill>
            <a:ln>
              <a:noFill/>
            </a:ln>
            <a:effectLst/>
          </c:spPr>
          <c:invertIfNegative val="false"/>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a:solidFill>
                        <a:schemeClr val="tx1">
                          <a:lumMod val="35000"/>
                          <a:lumOff val="65000"/>
                        </a:schemeClr>
                      </a:solidFill>
                    </a:ln>
                    <a:effectLst/>
                  </c:spPr>
                </c15:leaderLines>
              </c:ext>
            </c:extLst>
          </c:dLbls>
          <c:cat>
            <c:strRef>
              <c:f>'[3-图表生成.xlsx]Sheet1'!$A$3:$A$4</c:f>
              <c:strCache>
                <c:ptCount val="2"/>
                <c:pt idx="0">
                  <c:v>2023年（万元）</c:v>
                </c:pt>
                <c:pt idx="1">
                  <c:v>2024年（万元）</c:v>
                </c:pt>
              </c:strCache>
            </c:strRef>
          </c:cat>
          <c:val>
            <c:numRef>
              <c:f>'[3-图表生成.xlsx]Sheet1'!$B$3:$B$4</c:f>
              <c:numCache>
                <c:formatCode>#,##0.00</c:formatCode>
                <c:ptCount val="2"/>
                <c:pt idx="0">
                  <c:v>46.21</c:v>
                </c:pt>
                <c:pt idx="1">
                  <c:v>44.96</c:v>
                </c:pt>
              </c:numCache>
            </c:numRef>
          </c:val>
        </c:ser>
        <c:dLbls>
          <c:showLegendKey val="false"/>
          <c:showVal val="true"/>
          <c:showCatName val="false"/>
          <c:showSerName val="false"/>
          <c:showPercent val="false"/>
          <c:showBubbleSize val="false"/>
        </c:dLbls>
        <c:gapWidth val="355"/>
        <c:overlap val="-70"/>
        <c:axId val="658193259"/>
        <c:axId val="330015726"/>
      </c:barChart>
      <c:catAx>
        <c:axId val="658193259"/>
        <c:scaling>
          <c:orientation val="minMax"/>
        </c:scaling>
        <c:delete val="false"/>
        <c:axPos val="b"/>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330015726"/>
        <c:crosses val="autoZero"/>
        <c:auto val="true"/>
        <c:lblAlgn val="ctr"/>
        <c:lblOffset val="100"/>
        <c:noMultiLvlLbl val="false"/>
      </c:catAx>
      <c:valAx>
        <c:axId val="330015726"/>
        <c:scaling>
          <c:orientation val="minMax"/>
        </c:scaling>
        <c:delete val="false"/>
        <c:axPos val="l"/>
        <c:majorGridlines>
          <c:spPr>
            <a:ln w="9525" cap="flat" cmpd="sng" algn="ctr">
              <a:gradFill>
                <a:gsLst>
                  <a:gs pos="100000">
                    <a:schemeClr val="tx1">
                      <a:lumMod val="5000"/>
                      <a:lumOff val="95000"/>
                    </a:schemeClr>
                  </a:gs>
                  <a:gs pos="0">
                    <a:schemeClr val="tx1">
                      <a:lumMod val="25000"/>
                      <a:lumOff val="75000"/>
                    </a:schemeClr>
                  </a:gs>
                </a:gsLst>
                <a:lin ang="5400000" scaled="false"/>
              </a:gradFill>
              <a:round/>
            </a:ln>
            <a:effectLst/>
          </c:spPr>
        </c:majorGridlines>
        <c:numFmt formatCode="#,##0.00" sourceLinked="true"/>
        <c:majorTickMark val="out"/>
        <c:minorTickMark val="none"/>
        <c:tickLblPos val="nextTo"/>
        <c:spPr>
          <a:noFill/>
          <a:ln>
            <a:noFill/>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658193259"/>
        <c:crosses val="autoZero"/>
        <c:crossBetween val="between"/>
      </c:valAx>
      <c:spPr>
        <a:noFill/>
        <a:ln>
          <a:noFill/>
        </a:ln>
        <a:effectLst/>
      </c:spPr>
    </c:plotArea>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t>收入决算结构图</a:t>
            </a:r>
          </a:p>
        </c:rich>
      </c:tx>
      <c:layout/>
      <c:overlay val="false"/>
      <c:spPr>
        <a:noFill/>
        <a:ln>
          <a:noFill/>
        </a:ln>
        <a:effectLst/>
      </c:spPr>
    </c:title>
    <c:autoTitleDeleted val="false"/>
    <c:plotArea>
      <c:layout/>
      <c:pieChart>
        <c:varyColors val="true"/>
        <c:ser>
          <c:idx val="0"/>
          <c:order val="0"/>
          <c:spPr/>
          <c:explosion val="0"/>
          <c:dPt>
            <c:idx val="0"/>
            <c:bubble3D val="false"/>
            <c:spPr>
              <a:solidFill>
                <a:schemeClr val="accent1"/>
              </a:solidFill>
              <a:ln w="19050">
                <a:solidFill>
                  <a:schemeClr val="lt1"/>
                </a:solidFill>
              </a:ln>
              <a:effectLst/>
            </c:spPr>
          </c:dPt>
          <c:dLbls>
            <c:numFmt formatCode="0.00%" sourceLinked="false"/>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false"/>
            <c:showVal val="false"/>
            <c:showCatName val="false"/>
            <c:showSerName val="false"/>
            <c:showPercent val="true"/>
            <c:showBubbleSize val="false"/>
            <c:showLeaderLines val="false"/>
            <c:extLst>
              <c:ext xmlns:c15="http://schemas.microsoft.com/office/drawing/2012/chart" uri="{CE6537A1-D6FC-4f65-9D91-7224C49458BB}">
                <c15:layout/>
                <c15:showLeaderLines val="false"/>
                <c15:leaderLines>
                  <c:spPr>
                    <a:ln w="9525" cap="flat" cmpd="sng" algn="ctr">
                      <a:solidFill>
                        <a:schemeClr val="tx1">
                          <a:lumMod val="35000"/>
                          <a:lumOff val="65000"/>
                        </a:schemeClr>
                      </a:solidFill>
                      <a:round/>
                    </a:ln>
                    <a:effectLst/>
                  </c:spPr>
                </c15:leaderLines>
              </c:ext>
            </c:extLst>
          </c:dLbls>
          <c:cat>
            <c:strRef>
              <c:f>'[3-图表生成.xlsx]Sheet1'!$I$3</c:f>
              <c:strCache>
                <c:ptCount val="1"/>
                <c:pt idx="0">
                  <c:v>一般公共预算财政拨款收入</c:v>
                </c:pt>
              </c:strCache>
            </c:strRef>
          </c:cat>
          <c:val>
            <c:numRef>
              <c:f>'[3-图表生成.xlsx]Sheet1'!$J$3</c:f>
              <c:numCache>
                <c:formatCode>#,##0.00</c:formatCode>
                <c:ptCount val="1"/>
                <c:pt idx="0">
                  <c:v>5104.21</c:v>
                </c:pt>
              </c:numCache>
            </c:numRef>
          </c:val>
        </c:ser>
        <c:dLbls>
          <c:showLegendKey val="false"/>
          <c:showVal val="false"/>
          <c:showCatName val="false"/>
          <c:showSerName val="false"/>
          <c:showPercent val="true"/>
          <c:showBubbleSize val="false"/>
          <c:showLeaderLines val="false"/>
        </c:dLbls>
        <c:firstSliceAng val="0"/>
      </c:pieChart>
      <c:spPr>
        <a:noFill/>
        <a:ln>
          <a:noFill/>
        </a:ln>
        <a:effectLst/>
      </c:spPr>
    </c:plotArea>
    <c:legend>
      <c:legendPos val="t"/>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t>支出决算结构图</a:t>
            </a:r>
          </a:p>
        </c:rich>
      </c:tx>
      <c:layout/>
      <c:overlay val="false"/>
      <c:spPr>
        <a:noFill/>
        <a:ln>
          <a:noFill/>
        </a:ln>
        <a:effectLst/>
      </c:spPr>
    </c:title>
    <c:autoTitleDeleted val="false"/>
    <c:plotArea>
      <c:layout/>
      <c:pieChart>
        <c:varyColors val="true"/>
        <c:ser>
          <c:idx val="0"/>
          <c:order val="0"/>
          <c:spPr/>
          <c:explosion val="0"/>
          <c:dPt>
            <c:idx val="0"/>
            <c:bubble3D val="false"/>
            <c:spPr>
              <a:solidFill>
                <a:schemeClr val="accent1"/>
              </a:solidFill>
              <a:ln w="19050">
                <a:solidFill>
                  <a:schemeClr val="lt1"/>
                </a:solidFill>
              </a:ln>
              <a:effectLst/>
            </c:spPr>
          </c:dPt>
          <c:dLbls>
            <c:numFmt formatCode="0.00%" sourceLinked="false"/>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false"/>
            <c:showVal val="false"/>
            <c:showCatName val="false"/>
            <c:showSerName val="false"/>
            <c:showPercent val="true"/>
            <c:showBubbleSize val="false"/>
            <c:showLeaderLines val="tru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'[3-图表生成.xlsx]Sheet1'!$O$3</c:f>
              <c:strCache>
                <c:ptCount val="1"/>
                <c:pt idx="0">
                  <c:v>基本支出</c:v>
                </c:pt>
              </c:strCache>
            </c:strRef>
          </c:cat>
          <c:val>
            <c:numRef>
              <c:f>'[3-图表生成.xlsx]Sheet1'!$P$3</c:f>
              <c:numCache>
                <c:formatCode>#,##0.00</c:formatCode>
                <c:ptCount val="1"/>
                <c:pt idx="0">
                  <c:v>3795</c:v>
                </c:pt>
              </c:numCache>
            </c:numRef>
          </c:val>
        </c:ser>
        <c:dLbls>
          <c:showLegendKey val="false"/>
          <c:showVal val="true"/>
          <c:showCatName val="false"/>
          <c:showSerName val="false"/>
          <c:showPercent val="false"/>
          <c:showBubbleSize val="false"/>
          <c:showLeaderLines val="true"/>
        </c:dLbls>
        <c:firstSliceAng val="0"/>
      </c:pieChart>
      <c:spPr>
        <a:noFill/>
        <a:ln>
          <a:noFill/>
        </a:ln>
        <a:effectLst/>
      </c:spPr>
    </c:plotArea>
    <c:legend>
      <c:legendPos val="t"/>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财政拨款收、支决算总计变动情况</a:t>
            </a:r>
          </a:p>
        </c:rich>
      </c:tx>
      <c:layout/>
      <c:overlay val="false"/>
      <c:spPr>
        <a:noFill/>
        <a:ln>
          <a:noFill/>
        </a:ln>
        <a:effectLst/>
      </c:spPr>
    </c:title>
    <c:autoTitleDeleted val="false"/>
    <c:plotArea>
      <c:layout/>
      <c:barChart>
        <c:barDir val="col"/>
        <c:grouping val="clustered"/>
        <c:varyColors val="false"/>
        <c:ser>
          <c:idx val="0"/>
          <c:order val="0"/>
          <c:spPr>
            <a:solidFill>
              <a:schemeClr val="accent1"/>
            </a:solidFill>
            <a:ln>
              <a:noFill/>
            </a:ln>
            <a:effectLst/>
          </c:spPr>
          <c:invertIfNegative val="false"/>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'[3-图表生成.xlsx]Sheet1'!$A$25:$A$26</c:f>
              <c:strCache>
                <c:ptCount val="2"/>
                <c:pt idx="0">
                  <c:v>2023年（万元）</c:v>
                </c:pt>
                <c:pt idx="1">
                  <c:v>2024年（万元）</c:v>
                </c:pt>
              </c:strCache>
            </c:strRef>
          </c:cat>
          <c:val>
            <c:numRef>
              <c:f>'[3-图表生成.xlsx]Sheet1'!$B$25:$B$26</c:f>
              <c:numCache>
                <c:formatCode>#,##0.00</c:formatCode>
                <c:ptCount val="2"/>
                <c:pt idx="0">
                  <c:v>46.21</c:v>
                </c:pt>
                <c:pt idx="1">
                  <c:v>44.96</c:v>
                </c:pt>
              </c:numCache>
            </c:numRef>
          </c:val>
        </c:ser>
        <c:dLbls>
          <c:showLegendKey val="false"/>
          <c:showVal val="true"/>
          <c:showCatName val="false"/>
          <c:showSerName val="false"/>
          <c:showPercent val="false"/>
          <c:showBubbleSize val="false"/>
        </c:dLbls>
        <c:gapWidth val="150"/>
        <c:overlap val="0"/>
        <c:axId val="987151365"/>
        <c:axId val="911815620"/>
      </c:barChart>
      <c:catAx>
        <c:axId val="987151365"/>
        <c:scaling>
          <c:orientation val="minMax"/>
        </c:scaling>
        <c:delete val="false"/>
        <c:axPos val="b"/>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911815620"/>
        <c:crosses val="autoZero"/>
        <c:auto val="true"/>
        <c:lblAlgn val="ctr"/>
        <c:lblOffset val="100"/>
        <c:noMultiLvlLbl val="false"/>
      </c:catAx>
      <c:valAx>
        <c:axId val="911815620"/>
        <c:scaling>
          <c:orientation val="minMax"/>
        </c:scaling>
        <c:delete val="false"/>
        <c:axPos val="l"/>
        <c:majorGridlines>
          <c:spPr>
            <a:ln w="9525" cap="flat" cmpd="sng" algn="ctr">
              <a:solidFill>
                <a:schemeClr val="tx1">
                  <a:lumMod val="15000"/>
                  <a:lumOff val="85000"/>
                </a:schemeClr>
              </a:solidFill>
              <a:round/>
            </a:ln>
            <a:effectLst/>
          </c:spPr>
        </c:majorGridlines>
        <c:numFmt formatCode="#,##0.00" sourceLinked="true"/>
        <c:majorTickMark val="out"/>
        <c:minorTickMark val="none"/>
        <c:tickLblPos val="nextTo"/>
        <c:spPr>
          <a:noFill/>
          <a:ln>
            <a:noFill/>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987151365"/>
        <c:crosses val="autoZero"/>
        <c:crossBetween val="between"/>
      </c:valAx>
      <c:spPr>
        <a:noFill/>
        <a:ln>
          <a:noFill/>
        </a:ln>
        <a:effectLst/>
      </c:spPr>
    </c:plotArea>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一般公共预算财政拨款支出决算变动情况</a:t>
            </a:r>
          </a:p>
        </c:rich>
      </c:tx>
      <c:layout/>
      <c:overlay val="false"/>
      <c:spPr>
        <a:noFill/>
        <a:ln>
          <a:noFill/>
        </a:ln>
        <a:effectLst/>
      </c:spPr>
    </c:title>
    <c:autoTitleDeleted val="false"/>
    <c:plotArea>
      <c:layout/>
      <c:barChart>
        <c:barDir val="col"/>
        <c:grouping val="clustered"/>
        <c:varyColors val="false"/>
        <c:ser>
          <c:idx val="0"/>
          <c:order val="0"/>
          <c:spPr>
            <a:solidFill>
              <a:schemeClr val="accent1"/>
            </a:solidFill>
            <a:ln>
              <a:noFill/>
            </a:ln>
            <a:effectLst/>
          </c:spPr>
          <c:invertIfNegative val="false"/>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'[3-图表生成.xlsx]Sheet1'!$A$46:$A$47</c:f>
              <c:strCache>
                <c:ptCount val="2"/>
                <c:pt idx="0">
                  <c:v>2023年（万元）</c:v>
                </c:pt>
                <c:pt idx="1">
                  <c:v>2024年（万元）</c:v>
                </c:pt>
              </c:strCache>
            </c:strRef>
          </c:cat>
          <c:val>
            <c:numRef>
              <c:f>'[3-图表生成.xlsx]Sheet1'!$B$46:$B$47</c:f>
              <c:numCache>
                <c:formatCode>#,##0.00</c:formatCode>
                <c:ptCount val="2"/>
                <c:pt idx="0">
                  <c:v>46.21</c:v>
                </c:pt>
                <c:pt idx="1">
                  <c:v>44.96</c:v>
                </c:pt>
              </c:numCache>
            </c:numRef>
          </c:val>
        </c:ser>
        <c:dLbls>
          <c:showLegendKey val="false"/>
          <c:showVal val="true"/>
          <c:showCatName val="false"/>
          <c:showSerName val="false"/>
          <c:showPercent val="false"/>
          <c:showBubbleSize val="false"/>
        </c:dLbls>
        <c:gapWidth val="219"/>
        <c:overlap val="-27"/>
        <c:axId val="928854141"/>
        <c:axId val="188393366"/>
      </c:barChart>
      <c:catAx>
        <c:axId val="928854141"/>
        <c:scaling>
          <c:orientation val="minMax"/>
        </c:scaling>
        <c:delete val="false"/>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188393366"/>
        <c:crosses val="autoZero"/>
        <c:auto val="true"/>
        <c:lblAlgn val="ctr"/>
        <c:lblOffset val="100"/>
        <c:noMultiLvlLbl val="false"/>
      </c:catAx>
      <c:valAx>
        <c:axId val="188393366"/>
        <c:scaling>
          <c:orientation val="minMax"/>
        </c:scaling>
        <c:delete val="false"/>
        <c:axPos val="l"/>
        <c:majorGridlines>
          <c:spPr>
            <a:ln w="9525" cap="flat" cmpd="sng" algn="ctr">
              <a:solidFill>
                <a:schemeClr val="tx1">
                  <a:lumMod val="15000"/>
                  <a:lumOff val="85000"/>
                </a:schemeClr>
              </a:solidFill>
              <a:round/>
            </a:ln>
            <a:effectLst/>
          </c:spPr>
        </c:majorGridlines>
        <c:numFmt formatCode="#,##0.00" sourceLinked="true"/>
        <c:majorTickMark val="none"/>
        <c:minorTickMark val="none"/>
        <c:tickLblPos val="nextTo"/>
        <c:spPr>
          <a:noFill/>
          <a:ln>
            <a:noFill/>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928854141"/>
        <c:crosses val="autoZero"/>
        <c:crossBetween val="between"/>
      </c:valAx>
      <c:spPr>
        <a:noFill/>
        <a:ln>
          <a:noFill/>
        </a:ln>
        <a:effectLst/>
      </c:spPr>
    </c:plotArea>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a:t>
            </a:r>
          </a:p>
          <a:p>
            <a:pPr defTabSz="914400">
              <a:defRPr lang="zh-CN" sz="1400" b="0" i="0" u="none" strike="noStrike" kern="1200" spc="0" baseline="0">
                <a:solidFill>
                  <a:schemeClr val="tx1">
                    <a:lumMod val="65000"/>
                    <a:lumOff val="35000"/>
                  </a:schemeClr>
                </a:solidFill>
                <a:latin typeface="+mn-lt"/>
                <a:ea typeface="+mn-ea"/>
                <a:cs typeface="+mn-cs"/>
              </a:defRPr>
            </a:pPr>
            <a:r>
              <a:t>支出决算结构</a:t>
            </a:r>
          </a:p>
        </c:rich>
      </c:tx>
      <c:layout>
        <c:manualLayout>
          <c:xMode val="edge"/>
          <c:yMode val="edge"/>
          <c:x val="0.0108333333333333"/>
          <c:y val="0.0402777777777778"/>
        </c:manualLayout>
      </c:layout>
      <c:overlay val="false"/>
      <c:spPr>
        <a:noFill/>
        <a:ln>
          <a:noFill/>
        </a:ln>
        <a:effectLst/>
      </c:spPr>
    </c:title>
    <c:autoTitleDeleted val="false"/>
    <c:plotArea>
      <c:layout/>
      <c:pieChart>
        <c:varyColors val="true"/>
        <c:ser>
          <c:idx val="0"/>
          <c:order val="0"/>
          <c:spPr/>
          <c:explosion val="0"/>
          <c:dPt>
            <c:idx val="0"/>
            <c:bubble3D val="false"/>
            <c:spPr>
              <a:solidFill>
                <a:schemeClr val="accent1"/>
              </a:solidFill>
              <a:ln w="19050">
                <a:solidFill>
                  <a:schemeClr val="lt1"/>
                </a:solidFill>
              </a:ln>
              <a:effectLst/>
            </c:spPr>
          </c:dPt>
          <c:dPt>
            <c:idx val="1"/>
            <c:bubble3D val="false"/>
            <c:spPr>
              <a:solidFill>
                <a:schemeClr val="accent2"/>
              </a:solidFill>
              <a:ln w="19050">
                <a:solidFill>
                  <a:schemeClr val="lt1"/>
                </a:solidFill>
              </a:ln>
              <a:effectLst/>
            </c:spPr>
          </c:dPt>
          <c:dPt>
            <c:idx val="2"/>
            <c:bubble3D val="false"/>
            <c:spPr>
              <a:solidFill>
                <a:schemeClr val="accent3"/>
              </a:solidFill>
              <a:ln w="19050">
                <a:solidFill>
                  <a:schemeClr val="lt1"/>
                </a:solidFill>
              </a:ln>
              <a:effectLst/>
            </c:spPr>
          </c:dPt>
          <c:dPt>
            <c:idx val="3"/>
            <c:bubble3D val="false"/>
            <c:spPr>
              <a:solidFill>
                <a:schemeClr val="accent4"/>
              </a:solidFill>
              <a:ln w="19050">
                <a:solidFill>
                  <a:schemeClr val="lt1"/>
                </a:solidFill>
              </a:ln>
              <a:effectLst/>
            </c:spPr>
          </c:dPt>
          <c:dLbls>
            <c:dLbl>
              <c:idx val="0"/>
              <c:layout>
                <c:manualLayout>
                  <c:x val="0.148191462912574"/>
                  <c:y val="-0.00555555555555559"/>
                </c:manualLayout>
              </c:layout>
              <c:tx>
                <c:rich>
                  <a:bodyPr rot="0" spcFirstLastPara="0" vertOverflow="ellipsis" vert="horz" wrap="square" lIns="38100" tIns="19050" rIns="38100" bIns="19050" anchor="ctr" anchorCtr="true"/>
                  <a:lstStyle/>
                  <a:p>
                    <a:pPr defTabSz="914400">
                      <a:defRPr lang="zh-CN" sz="900" b="0" i="0" u="none" strike="noStrike" kern="1200" baseline="0">
                        <a:solidFill>
                          <a:schemeClr val="tx1">
                            <a:lumMod val="75000"/>
                            <a:lumOff val="25000"/>
                          </a:schemeClr>
                        </a:solidFill>
                        <a:latin typeface="+mn-lt"/>
                        <a:ea typeface="+mn-ea"/>
                        <a:cs typeface="+mn-cs"/>
                      </a:defRPr>
                    </a:pPr>
                    <a:r>
                      <a:t>72.2%</a:t>
                    </a:r>
                  </a:p>
                </c:rich>
              </c:tx>
              <c:dLblPos val="bestFit"/>
              <c:showLegendKey val="false"/>
              <c:showVal val="false"/>
              <c:showCatName val="false"/>
              <c:showSerName val="false"/>
              <c:showPercent val="true"/>
              <c:showBubbleSize val="false"/>
              <c:extLst>
                <c:ext xmlns:c15="http://schemas.microsoft.com/office/drawing/2012/chart" uri="{CE6537A1-D6FC-4f65-9D91-7224C49458BB}">
                  <c15:layout/>
                </c:ext>
              </c:extLst>
            </c:dLbl>
            <c:dLbl>
              <c:idx val="1"/>
              <c:layout/>
              <c:tx>
                <c:rich>
                  <a:bodyPr rot="0" spcFirstLastPara="0" vertOverflow="ellipsis" vert="horz" wrap="square" lIns="38100" tIns="19050" rIns="38100" bIns="19050" anchor="ctr" anchorCtr="true"/>
                  <a:lstStyle/>
                  <a:p>
                    <a:pPr defTabSz="914400">
                      <a:defRPr lang="zh-CN" sz="900" b="0" i="0" u="none" strike="noStrike" kern="1200" baseline="0">
                        <a:solidFill>
                          <a:schemeClr val="tx1">
                            <a:lumMod val="75000"/>
                            <a:lumOff val="25000"/>
                          </a:schemeClr>
                        </a:solidFill>
                        <a:latin typeface="+mn-lt"/>
                        <a:ea typeface="+mn-ea"/>
                        <a:cs typeface="+mn-cs"/>
                      </a:defRPr>
                    </a:pPr>
                    <a:r>
                      <a:t>12.7%</a:t>
                    </a:r>
                  </a:p>
                </c:rich>
              </c:tx>
              <c:dLblPos val="outEnd"/>
              <c:showLegendKey val="false"/>
              <c:showVal val="false"/>
              <c:showCatName val="false"/>
              <c:showSerName val="false"/>
              <c:showPercent val="true"/>
              <c:showBubbleSize val="false"/>
              <c:extLst>
                <c:ext xmlns:c15="http://schemas.microsoft.com/office/drawing/2012/chart" uri="{CE6537A1-D6FC-4f65-9D91-7224C49458BB}"/>
              </c:extLst>
            </c:dLbl>
            <c:dLbl>
              <c:idx val="2"/>
              <c:layout>
                <c:manualLayout>
                  <c:x val="-0.119912904216576"/>
                  <c:y val="0.12484126984127"/>
                </c:manualLayout>
              </c:layout>
              <c:tx>
                <c:rich>
                  <a:bodyPr rot="0" spcFirstLastPara="0" vertOverflow="ellipsis" vert="horz" wrap="square" lIns="38100" tIns="19050" rIns="38100" bIns="19050" anchor="ctr" anchorCtr="true"/>
                  <a:lstStyle/>
                  <a:p>
                    <a:pPr defTabSz="914400">
                      <a:defRPr lang="zh-CN" sz="900" b="0" i="0" u="none" strike="noStrike" kern="1200" baseline="0">
                        <a:solidFill>
                          <a:schemeClr val="tx1">
                            <a:lumMod val="75000"/>
                            <a:lumOff val="25000"/>
                          </a:schemeClr>
                        </a:solidFill>
                        <a:latin typeface="+mn-lt"/>
                        <a:ea typeface="+mn-ea"/>
                        <a:cs typeface="+mn-cs"/>
                      </a:defRPr>
                    </a:pPr>
                    <a:r>
                      <a:t>7.5%</a:t>
                    </a:r>
                  </a:p>
                </c:rich>
              </c:tx>
              <c:dLblPos val="bestFit"/>
              <c:showLegendKey val="false"/>
              <c:showVal val="false"/>
              <c:showCatName val="false"/>
              <c:showSerName val="false"/>
              <c:showPercent val="true"/>
              <c:showBubbleSize val="false"/>
              <c:extLst>
                <c:ext xmlns:c15="http://schemas.microsoft.com/office/drawing/2012/chart" uri="{CE6537A1-D6FC-4f65-9D91-7224C49458BB}">
                  <c15:layout/>
                </c:ext>
              </c:extLst>
            </c:dLbl>
            <c:dLbl>
              <c:idx val="3"/>
              <c:layout>
                <c:manualLayout>
                  <c:x val="-0.14"/>
                  <c:y val="0.0277777777777778"/>
                </c:manualLayout>
              </c:layout>
              <c:tx>
                <c:rich>
                  <a:bodyPr rot="0" spcFirstLastPara="0" vertOverflow="ellipsis" vert="horz" wrap="square" lIns="38100" tIns="19050" rIns="38100" bIns="19050" anchor="ctr" anchorCtr="true"/>
                  <a:lstStyle/>
                  <a:p>
                    <a:pPr defTabSz="914400">
                      <a:defRPr lang="zh-CN" sz="900" b="0" i="0" u="none" strike="noStrike" kern="1200" baseline="0">
                        <a:solidFill>
                          <a:schemeClr val="tx1">
                            <a:lumMod val="75000"/>
                            <a:lumOff val="25000"/>
                          </a:schemeClr>
                        </a:solidFill>
                        <a:latin typeface="+mn-lt"/>
                        <a:ea typeface="+mn-ea"/>
                        <a:cs typeface="+mn-cs"/>
                      </a:defRPr>
                    </a:pPr>
                    <a:r>
                      <a:t>7.5%</a:t>
                    </a:r>
                  </a:p>
                </c:rich>
              </c:tx>
              <c:dLblPos val="bestFit"/>
              <c:showLegendKey val="false"/>
              <c:showVal val="false"/>
              <c:showCatName val="false"/>
              <c:showSerName val="false"/>
              <c:showPercent val="true"/>
              <c:showBubbleSize val="false"/>
              <c:extLst>
                <c:ext xmlns:c15="http://schemas.microsoft.com/office/drawing/2012/chart" uri="{CE6537A1-D6FC-4f65-9D91-7224C49458BB}">
                  <c15:layout/>
                </c:ext>
              </c:extLst>
            </c:dLbl>
            <c:numFmt formatCode="0.00%" sourceLinked="false"/>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false"/>
            <c:showCatName val="false"/>
            <c:showSerName val="false"/>
            <c:showPercent val="true"/>
            <c:showBubbleSize val="false"/>
            <c:showLeaderLines val="tru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'[3-图表生成.xlsx]Sheet1'!$I$28:$I$31</c:f>
              <c:strCache>
                <c:ptCount val="4"/>
                <c:pt idx="0">
                  <c:v>公共安全支出</c:v>
                </c:pt>
                <c:pt idx="1">
                  <c:v>社会保障和就业支出</c:v>
                </c:pt>
                <c:pt idx="2">
                  <c:v>卫生健康支出</c:v>
                </c:pt>
                <c:pt idx="3">
                  <c:v>住房保障支出</c:v>
                </c:pt>
              </c:strCache>
            </c:strRef>
          </c:cat>
          <c:val>
            <c:numRef>
              <c:f>'[3-图表生成.xlsx]Sheet1'!$J$28:$J$31</c:f>
              <c:numCache>
                <c:formatCode>General</c:formatCode>
                <c:ptCount val="4"/>
                <c:pt idx="0">
                  <c:v>32.47</c:v>
                </c:pt>
                <c:pt idx="1">
                  <c:v>5.72</c:v>
                </c:pt>
                <c:pt idx="2">
                  <c:v>3.39</c:v>
                </c:pt>
                <c:pt idx="3">
                  <c:v>3.38</c:v>
                </c:pt>
              </c:numCache>
            </c:numRef>
          </c:val>
        </c:ser>
        <c:ser>
          <c:idx val="1"/>
          <c:order val="1"/>
          <c:spPr/>
          <c:explosion val="0"/>
          <c:dPt>
            <c:idx val="0"/>
            <c:bubble3D val="false"/>
            <c:spPr>
              <a:solidFill>
                <a:schemeClr val="accent1"/>
              </a:solidFill>
              <a:ln w="19050">
                <a:solidFill>
                  <a:schemeClr val="lt1"/>
                </a:solidFill>
              </a:ln>
              <a:effectLst/>
            </c:spPr>
          </c:dPt>
          <c:dPt>
            <c:idx val="1"/>
            <c:bubble3D val="false"/>
            <c:spPr>
              <a:solidFill>
                <a:schemeClr val="accent2"/>
              </a:solidFill>
              <a:ln w="19050">
                <a:solidFill>
                  <a:schemeClr val="lt1"/>
                </a:solidFill>
              </a:ln>
              <a:effectLst/>
            </c:spPr>
          </c:dPt>
          <c:dPt>
            <c:idx val="2"/>
            <c:bubble3D val="false"/>
            <c:spPr>
              <a:solidFill>
                <a:schemeClr val="accent3"/>
              </a:solidFill>
              <a:ln w="19050">
                <a:solidFill>
                  <a:schemeClr val="lt1"/>
                </a:solidFill>
              </a:ln>
              <a:effectLst/>
            </c:spPr>
          </c:dPt>
          <c:dPt>
            <c:idx val="3"/>
            <c:bubble3D val="false"/>
            <c:spPr>
              <a:solidFill>
                <a:schemeClr val="accent4"/>
              </a:solidFill>
              <a:ln w="19050">
                <a:solidFill>
                  <a:schemeClr val="lt1"/>
                </a:solidFill>
              </a:ln>
              <a:effectLst/>
            </c:spPr>
          </c:dPt>
          <c:dLbls>
            <c:numFmt formatCode="General" sourceLinked="true"/>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false"/>
            <c:showVal val="true"/>
            <c:showCatName val="false"/>
            <c:showSerName val="false"/>
            <c:showPercent val="false"/>
            <c:showBubbleSize val="false"/>
            <c:showLeaderLines val="tru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'[3-图表生成.xlsx]Sheet1'!$I$28:$I$31</c:f>
              <c:strCache>
                <c:ptCount val="4"/>
                <c:pt idx="0">
                  <c:v>公共安全支出</c:v>
                </c:pt>
                <c:pt idx="1">
                  <c:v>社会保障和就业支出</c:v>
                </c:pt>
                <c:pt idx="2">
                  <c:v>卫生健康支出</c:v>
                </c:pt>
                <c:pt idx="3">
                  <c:v>住房保障支出</c:v>
                </c:pt>
              </c:strCache>
            </c:strRef>
          </c:cat>
          <c:val>
            <c:numRef>
              <c:f>'[3-图表生成.xlsx]Sheet1'!$K$28:$K$31</c:f>
              <c:numCache>
                <c:formatCode>0.00%</c:formatCode>
                <c:ptCount val="4"/>
                <c:pt idx="0">
                  <c:v>0.722197508896797</c:v>
                </c:pt>
                <c:pt idx="1">
                  <c:v>0.127224199288256</c:v>
                </c:pt>
                <c:pt idx="2">
                  <c:v>0.0754003558718861</c:v>
                </c:pt>
                <c:pt idx="3">
                  <c:v>0.0751779359430605</c:v>
                </c:pt>
              </c:numCache>
            </c:numRef>
          </c:val>
        </c:ser>
        <c:dLbls>
          <c:showLegendKey val="false"/>
          <c:showVal val="true"/>
          <c:showCatName val="false"/>
          <c:showSerName val="false"/>
          <c:showPercent val="false"/>
          <c:showBubbleSize val="false"/>
          <c:showLeaderLines val="true"/>
        </c:dLbls>
        <c:firstSliceAng val="0"/>
      </c:pieChart>
      <c:spPr>
        <a:noFill/>
        <a:ln>
          <a:noFill/>
        </a:ln>
        <a:effectLst/>
      </c:spPr>
    </c:plotArea>
    <c:legend>
      <c:legendPos val="l"/>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0">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true">
      <a:spAutoFit/>
    </cs:bodyPr>
  </cs:dataLabelCallout>
  <cs:dataPoint>
    <cs:lnRef idx="0"/>
    <cs:fillRef idx="0">
      <cs:styleClr val="auto"/>
    </cs:fillRef>
    <cs:effectRef idx="0"/>
    <cs:fontRef idx="minor">
      <a:schemeClr val="dk1"/>
    </cs:fontRef>
    <cs:spPr>
      <a:gradFill flip="none" rotWithShape="true">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false"/>
      </a:gradFill>
    </cs:spPr>
  </cs:dataPoint>
  <cs:dataPoint3D>
    <cs:lnRef idx="0"/>
    <cs:fillRef idx="0">
      <cs:styleClr val="auto"/>
    </cs:fillRef>
    <cs:effectRef idx="0"/>
    <cs:fontRef idx="minor">
      <a:schemeClr val="dk1"/>
    </cs:fontRef>
    <cs:spPr>
      <a:gradFill flip="none" rotWithShape="true">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false"/>
      </a:gra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true">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false"/>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false"/>
        </a:gradFill>
        <a:round/>
      </a:ln>
    </cs:spPr>
  </cs:gridlineMajor>
  <cs:gridlineMin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false"/>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16</Pages>
  <Words>3960</Words>
  <Characters>4208</Characters>
  <Lines>60</Lines>
  <Paragraphs>17</Paragraphs>
  <TotalTime>185</TotalTime>
  <ScaleCrop>false</ScaleCrop>
  <LinksUpToDate>false</LinksUpToDate>
  <CharactersWithSpaces>4234</CharactersWithSpaces>
  <Application>WPS Office_11.8.2.9849_F1E327BC-269C-435d-A152-05C5408002CA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2020-08-09T17:49:00Z</dcterms:created>
  <dc:creator>曹颖</dc:creator>
  <cp:lastModifiedBy>李禄杰</cp:lastModifiedBy>
  <cp:lastPrinted>2025-08-07T01:34:00Z</cp:lastPrinted>
  <dcterms:modified xsi:type="dcterms:W3CDTF">2025-09-16T11:30:49Z</dcterms:modified>
  <dc:title>四川省***</dc:title>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2052-11.8.2.9849</vt:lpwstr>
  </property>
  <property fmtid="{D5CDD505-2E9C-101B-9397-08002B2CF9AE}" pid="3" name="ICV">
    <vt:lpwstr>5CFF28B91BEE405CAD080D80CA7F1CF4_13</vt:lpwstr>
  </property>
  <property fmtid="{D5CDD505-2E9C-101B-9397-08002B2CF9AE}" pid="4" name="KSOTemplateDocerSaveRecord">
    <vt:lpwstr>eyJoZGlkIjoiNGFlMDUwNWM0MTNlNTlkMWFhZmQ3ZWQzNmFhM2M4MGUiLCJ1c2VySWQiOiIzMTg5Nzk4OTQifQ==</vt:lpwstr>
  </property>
</Properties>
</file>