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96597"/>
      <w:bookmarkStart w:id="1" w:name="_Toc15378441"/>
      <w:bookmarkStart w:id="2" w:name="_Toc15377193"/>
      <w:bookmarkStart w:id="3" w:name="_Toc15396475"/>
      <w:bookmarkStart w:id="4" w:name="_Toc15377425"/>
      <w:bookmarkStart w:id="5" w:name="_Toc15306267"/>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bookmarkEnd w:id="0"/>
    <w:bookmarkEnd w:id="1"/>
    <w:bookmarkEnd w:id="2"/>
    <w:bookmarkEnd w:id="3"/>
    <w:bookmarkEnd w:id="4"/>
    <w:p>
      <w:pPr>
        <w:pStyle w:val="8"/>
        <w:spacing w:before="93"/>
        <w:jc w:val="center"/>
        <w:rPr>
          <w:rFonts w:ascii="Times New Roman" w:eastAsia="方正小标宋简体"/>
          <w:kern w:val="2"/>
          <w:sz w:val="44"/>
          <w:szCs w:val="44"/>
        </w:rPr>
      </w:pPr>
      <w:bookmarkStart w:id="6" w:name="_Toc15396476"/>
      <w:bookmarkStart w:id="7" w:name="_Toc15377426"/>
      <w:bookmarkStart w:id="8" w:name="_Toc15377194"/>
      <w:bookmarkStart w:id="9" w:name="_Toc15396598"/>
      <w:bookmarkStart w:id="10" w:name="_Toc15378442"/>
      <w:r>
        <w:rPr>
          <w:rFonts w:hint="eastAsia" w:ascii="Times New Roman" w:eastAsia="方正小标宋简体"/>
          <w:kern w:val="2"/>
          <w:sz w:val="44"/>
          <w:szCs w:val="44"/>
        </w:rPr>
        <w:t>2024年度</w:t>
      </w:r>
      <w:bookmarkEnd w:id="5"/>
      <w:bookmarkStart w:id="11" w:name="_Toc15306268"/>
      <w:r>
        <w:rPr>
          <w:rFonts w:hint="eastAsia" w:ascii="Times New Roman" w:eastAsia="方正小标宋简体"/>
          <w:kern w:val="2"/>
          <w:sz w:val="44"/>
          <w:szCs w:val="44"/>
        </w:rPr>
        <w:t>四川省藏族羌族自治州中级人民法院（本级）决算</w:t>
      </w:r>
      <w:bookmarkEnd w:id="6"/>
      <w:bookmarkEnd w:id="7"/>
      <w:bookmarkEnd w:id="8"/>
      <w:bookmarkEnd w:id="9"/>
      <w:bookmarkEnd w:id="10"/>
      <w:bookmarkEnd w:id="11"/>
    </w:p>
    <w:p>
      <w:pPr>
        <w:widowControl/>
        <w:jc w:val="center"/>
        <w:rPr>
          <w:rFonts w:hint="eastAsia" w:eastAsia="黑体"/>
          <w:sz w:val="48"/>
          <w:szCs w:val="48"/>
        </w:rPr>
        <w:sectPr>
          <w:headerReference r:id="rId3" w:type="default"/>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20</w:t>
      </w:r>
      <w:bookmarkStart w:id="97" w:name="_GoBack"/>
      <w:bookmarkEnd w:id="97"/>
      <w:r>
        <w:rPr>
          <w:rFonts w:hint="eastAsia" w:ascii="Times New Roman" w:hAnsi="Times New Roman" w:eastAsia="仿宋_GB2312" w:cs="仿宋_GB2312"/>
          <w:sz w:val="32"/>
          <w:szCs w:val="32"/>
        </w:rPr>
        <w:t>日</w:t>
      </w:r>
    </w:p>
    <w:p/>
    <w:sdt>
      <w:sdtPr>
        <w:rPr>
          <w:rFonts w:ascii="宋体" w:hAnsi="宋体" w:eastAsia="宋体" w:cs="Times New Roman"/>
          <w:kern w:val="2"/>
          <w:sz w:val="21"/>
          <w:szCs w:val="24"/>
          <w:lang w:val="en-US" w:eastAsia="zh-CN" w:bidi="ar-SA"/>
        </w:rPr>
        <w:id w:val="147478307"/>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3"/>
            <w:tabs>
              <w:tab w:val="right" w:leader="dot" w:pos="8306"/>
              <w:tab w:val="clear" w:pos="8296"/>
            </w:tabs>
          </w:pPr>
          <w:r>
            <w:fldChar w:fldCharType="begin"/>
          </w:r>
          <w:r>
            <w:instrText xml:space="preserve">TOC \o "1-1" \h \u </w:instrText>
          </w:r>
          <w:r>
            <w:fldChar w:fldCharType="separate"/>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HYPERLINK \l _Toc5997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第一部分  部门概况</w:t>
          </w:r>
          <w:r>
            <w:rPr>
              <w:rFonts w:hint="eastAsia"/>
            </w:rPr>
            <w:tab/>
          </w:r>
          <w:r>
            <w:rPr>
              <w:rFonts w:hint="eastAsia"/>
            </w:rPr>
            <w:fldChar w:fldCharType="begin"/>
          </w:r>
          <w:r>
            <w:rPr>
              <w:rFonts w:hint="eastAsia"/>
            </w:rPr>
            <w:instrText xml:space="preserve"> PAGEREF _Toc5997 \h </w:instrText>
          </w:r>
          <w:r>
            <w:rPr>
              <w:rFonts w:hint="eastAsia"/>
            </w:rPr>
            <w:fldChar w:fldCharType="separate"/>
          </w:r>
          <w:r>
            <w:rPr>
              <w:rFonts w:hint="eastAsia"/>
            </w:rPr>
            <w:t>- 1 -</w:t>
          </w:r>
          <w:r>
            <w:rPr>
              <w:rFonts w:hint="eastAsia"/>
            </w:rPr>
            <w:fldChar w:fldCharType="end"/>
          </w:r>
          <w:r>
            <w:rPr>
              <w:rFonts w:hint="eastAsia" w:ascii="Times New Roman" w:hAnsi="Times New Roman" w:eastAsia="黑体" w:cs="黑体"/>
              <w:sz w:val="32"/>
              <w:szCs w:val="32"/>
            </w:rPr>
            <w:fldChar w:fldCharType="end"/>
          </w:r>
        </w:p>
        <w:p>
          <w:pPr>
            <w:pStyle w:val="13"/>
            <w:tabs>
              <w:tab w:val="right" w:leader="dot" w:pos="8306"/>
              <w:tab w:val="clear" w:pos="8296"/>
            </w:tabs>
          </w:pPr>
          <w:r>
            <w:fldChar w:fldCharType="begin"/>
          </w:r>
          <w:r>
            <w:instrText xml:space="preserve"> HYPERLINK \l _Toc21367 </w:instrText>
          </w:r>
          <w:r>
            <w:fldChar w:fldCharType="separate"/>
          </w:r>
          <w:r>
            <w:rPr>
              <w:rFonts w:hint="eastAsia" w:ascii="Times New Roman" w:hAnsi="Times New Roman" w:eastAsia="黑体"/>
            </w:rPr>
            <w:t>一、 部门职责</w:t>
          </w:r>
          <w:r>
            <w:tab/>
          </w:r>
          <w:r>
            <w:fldChar w:fldCharType="begin"/>
          </w:r>
          <w:r>
            <w:instrText xml:space="preserve"> PAGEREF _Toc21367 \h </w:instrText>
          </w:r>
          <w:r>
            <w:fldChar w:fldCharType="separate"/>
          </w:r>
          <w:r>
            <w:t>- 1 -</w:t>
          </w:r>
          <w:r>
            <w:fldChar w:fldCharType="end"/>
          </w:r>
          <w:r>
            <w:fldChar w:fldCharType="end"/>
          </w:r>
        </w:p>
        <w:p>
          <w:pPr>
            <w:pStyle w:val="13"/>
            <w:tabs>
              <w:tab w:val="right" w:leader="dot" w:pos="8306"/>
              <w:tab w:val="clear" w:pos="8296"/>
            </w:tabs>
          </w:pPr>
          <w:r>
            <w:fldChar w:fldCharType="begin"/>
          </w:r>
          <w:r>
            <w:instrText xml:space="preserve"> HYPERLINK \l _Toc9555 </w:instrText>
          </w:r>
          <w:r>
            <w:fldChar w:fldCharType="separate"/>
          </w:r>
          <w:r>
            <w:rPr>
              <w:rFonts w:hint="eastAsia" w:ascii="Times New Roman" w:hAnsi="Times New Roman" w:eastAsia="黑体"/>
            </w:rPr>
            <w:t>二、机</w:t>
          </w:r>
          <w:r>
            <w:rPr>
              <w:rFonts w:hint="eastAsia" w:ascii="Times New Roman" w:hAnsi="Times New Roman" w:eastAsia="黑体"/>
              <w:bCs w:val="0"/>
            </w:rPr>
            <w:t>构设置</w:t>
          </w:r>
          <w:r>
            <w:tab/>
          </w:r>
          <w:r>
            <w:fldChar w:fldCharType="begin"/>
          </w:r>
          <w:r>
            <w:instrText xml:space="preserve"> PAGEREF _Toc9555 \h </w:instrText>
          </w:r>
          <w:r>
            <w:fldChar w:fldCharType="separate"/>
          </w:r>
          <w:r>
            <w:t>- 2 -</w:t>
          </w:r>
          <w:r>
            <w:fldChar w:fldCharType="end"/>
          </w:r>
          <w:r>
            <w:fldChar w:fldCharType="end"/>
          </w:r>
        </w:p>
        <w:p>
          <w:pPr>
            <w:pStyle w:val="13"/>
            <w:tabs>
              <w:tab w:val="right" w:leader="dot" w:pos="8306"/>
              <w:tab w:val="clear" w:pos="8296"/>
            </w:tabs>
          </w:pPr>
          <w:r>
            <w:fldChar w:fldCharType="begin"/>
          </w:r>
          <w:r>
            <w:instrText xml:space="preserve"> HYPERLINK \l _Toc4163 </w:instrText>
          </w:r>
          <w:r>
            <w:fldChar w:fldCharType="separate"/>
          </w:r>
          <w:r>
            <w:rPr>
              <w:rFonts w:hint="eastAsia" w:ascii="Times New Roman" w:hAnsi="Times New Roman" w:eastAsia="黑体" w:cs="黑体"/>
              <w:sz w:val="32"/>
              <w:szCs w:val="32"/>
            </w:rPr>
            <w:t>第二部分  2024年度部门决算情况说明</w:t>
          </w:r>
          <w:r>
            <w:tab/>
          </w:r>
          <w:r>
            <w:fldChar w:fldCharType="begin"/>
          </w:r>
          <w:r>
            <w:instrText xml:space="preserve"> PAGEREF _Toc4163 \h </w:instrText>
          </w:r>
          <w:r>
            <w:fldChar w:fldCharType="separate"/>
          </w:r>
          <w:r>
            <w:t>- 3 -</w:t>
          </w:r>
          <w:r>
            <w:fldChar w:fldCharType="end"/>
          </w:r>
          <w:r>
            <w:fldChar w:fldCharType="end"/>
          </w:r>
        </w:p>
        <w:p>
          <w:pPr>
            <w:pStyle w:val="13"/>
            <w:tabs>
              <w:tab w:val="right" w:leader="dot" w:pos="8306"/>
              <w:tab w:val="clear" w:pos="8296"/>
            </w:tabs>
          </w:pPr>
          <w:r>
            <w:fldChar w:fldCharType="begin"/>
          </w:r>
          <w:r>
            <w:instrText xml:space="preserve"> HYPERLINK \l _Toc5788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_Toc5788 \h </w:instrText>
          </w:r>
          <w:r>
            <w:fldChar w:fldCharType="separate"/>
          </w:r>
          <w:r>
            <w:t>- 3 -</w:t>
          </w:r>
          <w:r>
            <w:fldChar w:fldCharType="end"/>
          </w:r>
          <w:r>
            <w:fldChar w:fldCharType="end"/>
          </w:r>
        </w:p>
        <w:p>
          <w:pPr>
            <w:pStyle w:val="13"/>
            <w:tabs>
              <w:tab w:val="right" w:leader="dot" w:pos="8306"/>
              <w:tab w:val="clear" w:pos="8296"/>
            </w:tabs>
          </w:pPr>
          <w:r>
            <w:fldChar w:fldCharType="begin"/>
          </w:r>
          <w:r>
            <w:instrText xml:space="preserve"> HYPERLINK \l _Toc13318 </w:instrText>
          </w:r>
          <w:r>
            <w:fldChar w:fldCharType="separate"/>
          </w:r>
          <w:r>
            <w:rPr>
              <w:rFonts w:hint="eastAsia" w:eastAsia="黑体"/>
              <w:szCs w:val="32"/>
            </w:rPr>
            <w:t>二、收入决算情况说明</w:t>
          </w:r>
          <w:r>
            <w:tab/>
          </w:r>
          <w:r>
            <w:fldChar w:fldCharType="begin"/>
          </w:r>
          <w:r>
            <w:instrText xml:space="preserve"> PAGEREF _Toc13318 \h </w:instrText>
          </w:r>
          <w:r>
            <w:fldChar w:fldCharType="separate"/>
          </w:r>
          <w:r>
            <w:t>- 3 -</w:t>
          </w:r>
          <w:r>
            <w:fldChar w:fldCharType="end"/>
          </w:r>
          <w:r>
            <w:fldChar w:fldCharType="end"/>
          </w:r>
        </w:p>
        <w:p>
          <w:pPr>
            <w:pStyle w:val="13"/>
            <w:tabs>
              <w:tab w:val="right" w:leader="dot" w:pos="8306"/>
              <w:tab w:val="clear" w:pos="8296"/>
            </w:tabs>
          </w:pPr>
          <w:r>
            <w:fldChar w:fldCharType="begin"/>
          </w:r>
          <w:r>
            <w:instrText xml:space="preserve"> HYPERLINK \l _Toc30870 </w:instrText>
          </w:r>
          <w: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_Toc30870 \h </w:instrText>
          </w:r>
          <w:r>
            <w:fldChar w:fldCharType="separate"/>
          </w:r>
          <w:r>
            <w:t>- 4 -</w:t>
          </w:r>
          <w:r>
            <w:fldChar w:fldCharType="end"/>
          </w:r>
          <w:r>
            <w:fldChar w:fldCharType="end"/>
          </w:r>
        </w:p>
        <w:p>
          <w:pPr>
            <w:pStyle w:val="13"/>
            <w:tabs>
              <w:tab w:val="right" w:leader="dot" w:pos="8306"/>
              <w:tab w:val="clear" w:pos="8296"/>
            </w:tabs>
          </w:pPr>
          <w:r>
            <w:fldChar w:fldCharType="begin"/>
          </w:r>
          <w:r>
            <w:instrText xml:space="preserve"> HYPERLINK \l _Toc2539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_Toc2539 \h </w:instrText>
          </w:r>
          <w:r>
            <w:fldChar w:fldCharType="separate"/>
          </w:r>
          <w:r>
            <w:t>- 4 -</w:t>
          </w:r>
          <w:r>
            <w:fldChar w:fldCharType="end"/>
          </w:r>
          <w:r>
            <w:fldChar w:fldCharType="end"/>
          </w:r>
        </w:p>
        <w:p>
          <w:pPr>
            <w:pStyle w:val="13"/>
            <w:tabs>
              <w:tab w:val="right" w:leader="dot" w:pos="8306"/>
              <w:tab w:val="clear" w:pos="8296"/>
            </w:tabs>
          </w:pPr>
          <w:r>
            <w:fldChar w:fldCharType="begin"/>
          </w:r>
          <w:r>
            <w:instrText xml:space="preserve"> HYPERLINK \l _Toc22672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_Toc22672 \h </w:instrText>
          </w:r>
          <w:r>
            <w:fldChar w:fldCharType="separate"/>
          </w:r>
          <w:r>
            <w:t>- 5 -</w:t>
          </w:r>
          <w:r>
            <w:fldChar w:fldCharType="end"/>
          </w:r>
          <w:r>
            <w:fldChar w:fldCharType="end"/>
          </w:r>
        </w:p>
        <w:p>
          <w:pPr>
            <w:pStyle w:val="13"/>
            <w:tabs>
              <w:tab w:val="right" w:leader="dot" w:pos="8306"/>
              <w:tab w:val="clear" w:pos="8296"/>
            </w:tabs>
          </w:pPr>
          <w:r>
            <w:fldChar w:fldCharType="begin"/>
          </w:r>
          <w:r>
            <w:instrText xml:space="preserve"> HYPERLINK \l _Toc17831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_Toc17831 \h </w:instrText>
          </w:r>
          <w:r>
            <w:fldChar w:fldCharType="separate"/>
          </w:r>
          <w:r>
            <w:t>- 8 -</w:t>
          </w:r>
          <w:r>
            <w:fldChar w:fldCharType="end"/>
          </w:r>
          <w:r>
            <w:fldChar w:fldCharType="end"/>
          </w:r>
        </w:p>
        <w:p>
          <w:pPr>
            <w:pStyle w:val="13"/>
            <w:tabs>
              <w:tab w:val="right" w:leader="dot" w:pos="8306"/>
              <w:tab w:val="clear" w:pos="8296"/>
            </w:tabs>
          </w:pPr>
          <w:r>
            <w:fldChar w:fldCharType="begin"/>
          </w:r>
          <w:r>
            <w:instrText xml:space="preserve"> HYPERLINK \l _Toc4223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_Toc4223 \h </w:instrText>
          </w:r>
          <w:r>
            <w:fldChar w:fldCharType="separate"/>
          </w:r>
          <w:r>
            <w:t>- 8 -</w:t>
          </w:r>
          <w:r>
            <w:fldChar w:fldCharType="end"/>
          </w:r>
          <w:r>
            <w:fldChar w:fldCharType="end"/>
          </w:r>
        </w:p>
        <w:p>
          <w:pPr>
            <w:pStyle w:val="13"/>
            <w:tabs>
              <w:tab w:val="right" w:leader="dot" w:pos="8306"/>
              <w:tab w:val="clear" w:pos="8296"/>
            </w:tabs>
          </w:pPr>
          <w:r>
            <w:fldChar w:fldCharType="begin"/>
          </w:r>
          <w:r>
            <w:instrText xml:space="preserve"> HYPERLINK \l _Toc25098 </w:instrText>
          </w:r>
          <w: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_Toc25098 \h </w:instrText>
          </w:r>
          <w:r>
            <w:fldChar w:fldCharType="separate"/>
          </w:r>
          <w:r>
            <w:t>- 10 -</w:t>
          </w:r>
          <w:r>
            <w:fldChar w:fldCharType="end"/>
          </w:r>
          <w:r>
            <w:fldChar w:fldCharType="end"/>
          </w:r>
        </w:p>
        <w:p>
          <w:pPr>
            <w:pStyle w:val="13"/>
            <w:tabs>
              <w:tab w:val="right" w:leader="dot" w:pos="8306"/>
              <w:tab w:val="clear" w:pos="8296"/>
            </w:tabs>
          </w:pPr>
          <w:r>
            <w:fldChar w:fldCharType="begin"/>
          </w:r>
          <w:r>
            <w:instrText xml:space="preserve"> HYPERLINK \l _Toc24035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_Toc24035 \h </w:instrText>
          </w:r>
          <w:r>
            <w:fldChar w:fldCharType="separate"/>
          </w:r>
          <w:r>
            <w:t>- 10 -</w:t>
          </w:r>
          <w:r>
            <w:fldChar w:fldCharType="end"/>
          </w:r>
          <w:r>
            <w:fldChar w:fldCharType="end"/>
          </w:r>
        </w:p>
        <w:p>
          <w:pPr>
            <w:pStyle w:val="13"/>
            <w:tabs>
              <w:tab w:val="right" w:leader="dot" w:pos="8306"/>
              <w:tab w:val="clear" w:pos="8296"/>
            </w:tabs>
          </w:pPr>
          <w:r>
            <w:fldChar w:fldCharType="begin"/>
          </w:r>
          <w:r>
            <w:instrText xml:space="preserve"> HYPERLINK \l _Toc17625 </w:instrText>
          </w:r>
          <w:r>
            <w:fldChar w:fldCharType="separate"/>
          </w:r>
          <w:r>
            <w:rPr>
              <w:rFonts w:hint="eastAsia" w:ascii="Times New Roman" w:hAnsi="Times New Roman" w:eastAsia="黑体"/>
            </w:rPr>
            <w:t>十、其他重要事项的情况说明</w:t>
          </w:r>
          <w:r>
            <w:tab/>
          </w:r>
          <w:r>
            <w:fldChar w:fldCharType="begin"/>
          </w:r>
          <w:r>
            <w:instrText xml:space="preserve"> PAGEREF _Toc17625 \h </w:instrText>
          </w:r>
          <w:r>
            <w:fldChar w:fldCharType="separate"/>
          </w:r>
          <w:r>
            <w:t>- 10 -</w:t>
          </w:r>
          <w:r>
            <w:fldChar w:fldCharType="end"/>
          </w:r>
          <w:r>
            <w:fldChar w:fldCharType="end"/>
          </w:r>
        </w:p>
        <w:p>
          <w:pPr>
            <w:pStyle w:val="13"/>
            <w:tabs>
              <w:tab w:val="right" w:leader="dot" w:pos="8306"/>
              <w:tab w:val="clear" w:pos="8296"/>
            </w:tabs>
          </w:pPr>
          <w:r>
            <w:fldChar w:fldCharType="begin"/>
          </w:r>
          <w:r>
            <w:instrText xml:space="preserve"> HYPERLINK \l _Toc15524 </w:instrText>
          </w:r>
          <w:r>
            <w:fldChar w:fldCharType="separate"/>
          </w:r>
          <w:r>
            <w:rPr>
              <w:rFonts w:hint="eastAsia" w:eastAsia="黑体"/>
              <w:szCs w:val="44"/>
            </w:rPr>
            <w:t>第三部分  名词解释</w:t>
          </w:r>
          <w:r>
            <w:tab/>
          </w:r>
          <w:r>
            <w:fldChar w:fldCharType="begin"/>
          </w:r>
          <w:r>
            <w:instrText xml:space="preserve"> PAGEREF _Toc15524 \h </w:instrText>
          </w:r>
          <w:r>
            <w:fldChar w:fldCharType="separate"/>
          </w:r>
          <w:r>
            <w:t>- 12 -</w:t>
          </w:r>
          <w:r>
            <w:fldChar w:fldCharType="end"/>
          </w:r>
          <w:r>
            <w:fldChar w:fldCharType="end"/>
          </w:r>
        </w:p>
        <w:p>
          <w:pPr>
            <w:pStyle w:val="13"/>
            <w:tabs>
              <w:tab w:val="right" w:leader="dot" w:pos="8306"/>
              <w:tab w:val="clear" w:pos="8296"/>
            </w:tabs>
          </w:pPr>
          <w:r>
            <w:fldChar w:fldCharType="begin"/>
          </w:r>
          <w:r>
            <w:instrText xml:space="preserve"> HYPERLINK \l _Toc23214 </w:instrText>
          </w:r>
          <w:r>
            <w:fldChar w:fldCharType="separate"/>
          </w:r>
          <w:r>
            <w:rPr>
              <w:rFonts w:hint="eastAsia" w:eastAsia="黑体"/>
              <w:szCs w:val="44"/>
            </w:rPr>
            <w:t>第四部分  附件</w:t>
          </w:r>
          <w:r>
            <w:tab/>
          </w:r>
          <w:r>
            <w:fldChar w:fldCharType="begin"/>
          </w:r>
          <w:r>
            <w:instrText xml:space="preserve"> PAGEREF _Toc23214 \h </w:instrText>
          </w:r>
          <w:r>
            <w:fldChar w:fldCharType="separate"/>
          </w:r>
          <w:r>
            <w:t>- 16 -</w:t>
          </w:r>
          <w:r>
            <w:fldChar w:fldCharType="end"/>
          </w:r>
          <w:r>
            <w:fldChar w:fldCharType="end"/>
          </w:r>
        </w:p>
        <w:p>
          <w:pPr>
            <w:pStyle w:val="13"/>
            <w:tabs>
              <w:tab w:val="right" w:leader="dot" w:pos="8306"/>
              <w:tab w:val="clear" w:pos="8296"/>
            </w:tabs>
          </w:pPr>
          <w:r>
            <w:fldChar w:fldCharType="begin"/>
          </w:r>
          <w:r>
            <w:instrText xml:space="preserve"> HYPERLINK \l _Toc3581 </w:instrText>
          </w:r>
          <w:r>
            <w:fldChar w:fldCharType="separate"/>
          </w:r>
          <w:r>
            <w:rPr>
              <w:rFonts w:hint="eastAsia" w:eastAsia="黑体"/>
              <w:szCs w:val="44"/>
            </w:rPr>
            <w:t>第</w:t>
          </w:r>
          <w:r>
            <w:rPr>
              <w:rFonts w:hint="eastAsia" w:eastAsia="黑体"/>
            </w:rPr>
            <w:t>五部分 附表</w:t>
          </w:r>
          <w:r>
            <w:tab/>
          </w:r>
          <w:r>
            <w:fldChar w:fldCharType="begin"/>
          </w:r>
          <w:r>
            <w:instrText xml:space="preserve"> PAGEREF _Toc3581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_Toc12986 </w:instrText>
          </w:r>
          <w:r>
            <w:fldChar w:fldCharType="separate"/>
          </w:r>
          <w:r>
            <w:rPr>
              <w:rFonts w:hint="eastAsia" w:eastAsia="仿宋_GB2312" w:cs="仿宋_GB2312"/>
              <w:szCs w:val="32"/>
            </w:rPr>
            <w:t>一、收入支出决算总表</w:t>
          </w:r>
          <w:r>
            <w:tab/>
          </w:r>
          <w:r>
            <w:fldChar w:fldCharType="begin"/>
          </w:r>
          <w:r>
            <w:instrText xml:space="preserve"> PAGEREF _Toc12986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_Toc5047 </w:instrText>
          </w:r>
          <w:r>
            <w:fldChar w:fldCharType="separate"/>
          </w:r>
          <w:r>
            <w:rPr>
              <w:rFonts w:hint="eastAsia" w:eastAsia="仿宋_GB2312" w:cs="仿宋_GB2312"/>
              <w:szCs w:val="32"/>
            </w:rPr>
            <w:t>二、收入决算表</w:t>
          </w:r>
          <w:r>
            <w:tab/>
          </w:r>
          <w:r>
            <w:fldChar w:fldCharType="begin"/>
          </w:r>
          <w:r>
            <w:instrText xml:space="preserve"> PAGEREF _Toc5047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_Toc8593 </w:instrText>
          </w:r>
          <w:r>
            <w:fldChar w:fldCharType="separate"/>
          </w:r>
          <w:r>
            <w:rPr>
              <w:rFonts w:hint="eastAsia" w:eastAsia="仿宋_GB2312" w:cs="仿宋_GB2312"/>
              <w:szCs w:val="32"/>
            </w:rPr>
            <w:t>三、支出决算表</w:t>
          </w:r>
          <w:r>
            <w:tab/>
          </w:r>
          <w:r>
            <w:fldChar w:fldCharType="begin"/>
          </w:r>
          <w:r>
            <w:instrText xml:space="preserve"> PAGEREF _Toc8593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_Toc19008 </w:instrText>
          </w:r>
          <w:r>
            <w:fldChar w:fldCharType="separate"/>
          </w:r>
          <w:r>
            <w:rPr>
              <w:rFonts w:hint="eastAsia" w:eastAsia="仿宋_GB2312" w:cs="仿宋_GB2312"/>
              <w:szCs w:val="32"/>
            </w:rPr>
            <w:t>四、财政拨款收入支出决算总表</w:t>
          </w:r>
          <w:r>
            <w:tab/>
          </w:r>
          <w:r>
            <w:fldChar w:fldCharType="begin"/>
          </w:r>
          <w:r>
            <w:instrText xml:space="preserve"> PAGEREF _Toc19008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_Toc27503 </w:instrText>
          </w:r>
          <w:r>
            <w:fldChar w:fldCharType="separate"/>
          </w:r>
          <w:r>
            <w:rPr>
              <w:rFonts w:hint="eastAsia" w:eastAsia="仿宋_GB2312" w:cs="仿宋_GB2312"/>
              <w:szCs w:val="32"/>
            </w:rPr>
            <w:t>五、财政拨款支出决算明细表</w:t>
          </w:r>
          <w:r>
            <w:tab/>
          </w:r>
          <w:r>
            <w:fldChar w:fldCharType="begin"/>
          </w:r>
          <w:r>
            <w:instrText xml:space="preserve"> PAGEREF _Toc27503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_Toc16475 </w:instrText>
          </w:r>
          <w:r>
            <w:fldChar w:fldCharType="separate"/>
          </w:r>
          <w:r>
            <w:rPr>
              <w:rFonts w:hint="eastAsia" w:eastAsia="仿宋_GB2312" w:cs="仿宋_GB2312"/>
              <w:szCs w:val="32"/>
            </w:rPr>
            <w:t>六、一般公共预算财政拨款支出决算表</w:t>
          </w:r>
          <w:r>
            <w:tab/>
          </w:r>
          <w:r>
            <w:fldChar w:fldCharType="begin"/>
          </w:r>
          <w:r>
            <w:instrText xml:space="preserve"> PAGEREF _Toc16475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_Toc14747 </w:instrText>
          </w:r>
          <w:r>
            <w:fldChar w:fldCharType="separate"/>
          </w:r>
          <w:r>
            <w:rPr>
              <w:rFonts w:hint="eastAsia" w:eastAsia="仿宋_GB2312" w:cs="仿宋_GB2312"/>
              <w:szCs w:val="32"/>
            </w:rPr>
            <w:t>七、一般公共预算财政拨款支出决算明细表</w:t>
          </w:r>
          <w:r>
            <w:tab/>
          </w:r>
          <w:r>
            <w:fldChar w:fldCharType="begin"/>
          </w:r>
          <w:r>
            <w:instrText xml:space="preserve"> PAGEREF _Toc14747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_Toc16771 </w:instrText>
          </w:r>
          <w:r>
            <w:fldChar w:fldCharType="separate"/>
          </w:r>
          <w:r>
            <w:rPr>
              <w:rFonts w:hint="eastAsia" w:eastAsia="仿宋_GB2312" w:cs="仿宋_GB2312"/>
              <w:szCs w:val="32"/>
            </w:rPr>
            <w:t>八、一般公共预算财政拨款基本支出决算表</w:t>
          </w:r>
          <w:r>
            <w:tab/>
          </w:r>
          <w:r>
            <w:fldChar w:fldCharType="begin"/>
          </w:r>
          <w:r>
            <w:instrText xml:space="preserve"> PAGEREF _Toc16771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_Toc31686 </w:instrText>
          </w:r>
          <w:r>
            <w:fldChar w:fldCharType="separate"/>
          </w:r>
          <w:r>
            <w:rPr>
              <w:rFonts w:hint="eastAsia" w:eastAsia="仿宋_GB2312" w:cs="仿宋_GB2312"/>
              <w:szCs w:val="32"/>
            </w:rPr>
            <w:t>九、一般公共预算财政拨款项目支出决算表</w:t>
          </w:r>
          <w:r>
            <w:tab/>
          </w:r>
          <w:r>
            <w:fldChar w:fldCharType="begin"/>
          </w:r>
          <w:r>
            <w:instrText xml:space="preserve"> PAGEREF _Toc31686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_Toc4150 </w:instrText>
          </w:r>
          <w:r>
            <w:fldChar w:fldCharType="separate"/>
          </w:r>
          <w:r>
            <w:rPr>
              <w:rFonts w:hint="eastAsia" w:eastAsia="仿宋_GB2312" w:cs="仿宋_GB2312"/>
              <w:szCs w:val="32"/>
            </w:rPr>
            <w:t>十、政府性基金预算财政拨款收入支出决算表</w:t>
          </w:r>
          <w:r>
            <w:tab/>
          </w:r>
          <w:r>
            <w:fldChar w:fldCharType="begin"/>
          </w:r>
          <w:r>
            <w:instrText xml:space="preserve"> PAGEREF _Toc4150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_Toc7591 </w:instrText>
          </w:r>
          <w:r>
            <w:fldChar w:fldCharType="separate"/>
          </w:r>
          <w:r>
            <w:rPr>
              <w:rFonts w:hint="eastAsia" w:eastAsia="仿宋_GB2312" w:cs="仿宋_GB2312"/>
              <w:szCs w:val="32"/>
            </w:rPr>
            <w:t>十一、国有资本经营预算财政拨款收入支出决算表</w:t>
          </w:r>
          <w:r>
            <w:tab/>
          </w:r>
          <w:r>
            <w:fldChar w:fldCharType="begin"/>
          </w:r>
          <w:r>
            <w:instrText xml:space="preserve"> PAGEREF _Toc7591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_Toc6082 </w:instrText>
          </w:r>
          <w:r>
            <w:fldChar w:fldCharType="separate"/>
          </w:r>
          <w:r>
            <w:rPr>
              <w:rFonts w:hint="eastAsia" w:eastAsia="仿宋_GB2312" w:cs="仿宋_GB2312"/>
              <w:szCs w:val="32"/>
            </w:rPr>
            <w:t>十二、国有资本经营预算财政拨款支出决算表</w:t>
          </w:r>
          <w:r>
            <w:tab/>
          </w:r>
          <w:r>
            <w:fldChar w:fldCharType="begin"/>
          </w:r>
          <w:r>
            <w:instrText xml:space="preserve"> PAGEREF _Toc6082 \h </w:instrText>
          </w:r>
          <w:r>
            <w:fldChar w:fldCharType="separate"/>
          </w:r>
          <w:r>
            <w:t>- 40 -</w:t>
          </w:r>
          <w:r>
            <w:fldChar w:fldCharType="end"/>
          </w:r>
          <w:r>
            <w:fldChar w:fldCharType="end"/>
          </w:r>
        </w:p>
        <w:p>
          <w:pPr>
            <w:pStyle w:val="13"/>
            <w:tabs>
              <w:tab w:val="right" w:leader="dot" w:pos="8306"/>
              <w:tab w:val="clear" w:pos="8296"/>
            </w:tabs>
          </w:pPr>
          <w:r>
            <w:fldChar w:fldCharType="begin"/>
          </w:r>
          <w:r>
            <w:instrText xml:space="preserve"> HYPERLINK \l _Toc31258 </w:instrText>
          </w:r>
          <w:r>
            <w:fldChar w:fldCharType="separate"/>
          </w:r>
          <w:r>
            <w:rPr>
              <w:rFonts w:hint="eastAsia" w:eastAsia="仿宋_GB2312" w:cs="仿宋_GB2312"/>
              <w:szCs w:val="32"/>
            </w:rPr>
            <w:t>十三、财政拨款“三公”经费支出决算表</w:t>
          </w:r>
          <w:r>
            <w:tab/>
          </w:r>
          <w:r>
            <w:fldChar w:fldCharType="begin"/>
          </w:r>
          <w:r>
            <w:instrText xml:space="preserve"> PAGEREF _Toc31258 \h </w:instrText>
          </w:r>
          <w:r>
            <w:fldChar w:fldCharType="separate"/>
          </w:r>
          <w:r>
            <w:t>- 40 -</w:t>
          </w:r>
          <w:r>
            <w:fldChar w:fldCharType="end"/>
          </w:r>
          <w:r>
            <w:fldChar w:fldCharType="end"/>
          </w:r>
        </w:p>
        <w:p>
          <w:r>
            <w:fldChar w:fldCharType="end"/>
          </w:r>
        </w:p>
      </w:sdtContent>
    </w:sdt>
    <w:p/>
    <w:p>
      <w:pPr>
        <w:pStyle w:val="5"/>
        <w:jc w:val="center"/>
        <w:rPr>
          <w:rFonts w:hint="eastAsia" w:eastAsia="方正小标宋简体" w:cs="方正小标宋简体"/>
          <w:b w:val="0"/>
        </w:rPr>
        <w:sectPr>
          <w:footerReference r:id="rId5" w:type="first"/>
          <w:footerReference r:id="rId4" w:type="default"/>
          <w:pgSz w:w="11906" w:h="16838"/>
          <w:pgMar w:top="1440" w:right="1800" w:bottom="1440" w:left="1800" w:header="851" w:footer="992" w:gutter="0"/>
          <w:pgNumType w:fmt="numberInDash" w:start="1"/>
          <w:cols w:space="425" w:num="1"/>
          <w:docGrid w:type="lines" w:linePitch="312" w:charSpace="0"/>
        </w:sectPr>
      </w:pPr>
      <w:bookmarkStart w:id="12" w:name="_Toc15377196"/>
      <w:bookmarkStart w:id="13" w:name="_Toc15396599"/>
    </w:p>
    <w:p>
      <w:pPr>
        <w:pStyle w:val="5"/>
        <w:jc w:val="center"/>
        <w:rPr>
          <w:rStyle w:val="28"/>
          <w:rFonts w:eastAsia="方正小标宋简体" w:cs="方正小标宋简体"/>
          <w:b/>
          <w:bCs w:val="0"/>
        </w:rPr>
      </w:pPr>
      <w:bookmarkStart w:id="14" w:name="_Toc5997"/>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bookmarkEnd w:id="14"/>
    </w:p>
    <w:p>
      <w:pPr>
        <w:widowControl/>
        <w:jc w:val="left"/>
        <w:rPr>
          <w:rFonts w:eastAsia="黑体"/>
          <w:sz w:val="32"/>
          <w:szCs w:val="32"/>
        </w:rPr>
      </w:pPr>
    </w:p>
    <w:p>
      <w:pPr>
        <w:pStyle w:val="6"/>
        <w:numPr>
          <w:ilvl w:val="0"/>
          <w:numId w:val="1"/>
        </w:numPr>
        <w:outlineLvl w:val="0"/>
        <w:rPr>
          <w:rFonts w:hint="eastAsia" w:ascii="Times New Roman" w:hAnsi="Times New Roman" w:eastAsia="黑体"/>
          <w:b w:val="0"/>
        </w:rPr>
      </w:pPr>
      <w:bookmarkStart w:id="15" w:name="_Toc21367"/>
      <w:r>
        <w:rPr>
          <w:rFonts w:hint="eastAsia" w:ascii="Times New Roman" w:hAnsi="Times New Roman" w:eastAsia="黑体"/>
          <w:b w:val="0"/>
        </w:rPr>
        <w:t>部门职责</w:t>
      </w:r>
      <w:bookmarkEnd w:id="15"/>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阿坝州中级人民法院是国家审判机关，是指导和监督全州法院的审判工作，对阿坝州人民代表大会及其常务委员会负责并报告工作。其主要职责是：</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①依法审判法律规定由中级人民法院管辖的刑事、民事、行政等第一、二审案件。</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②依法担负最高人民法院授权高级人民法院核准的死刑案件的执行工作。</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③依法审理高级人民法院指令再审的案件。</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④依法审理本院判决、裁定发生法律效力的提起再审的案件；依法受理不服基层人民法院生效裁判的各类申诉和再审申请，对其中确有错误的，提审或指令下级人民法院再审。</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⑤依法审判由阿坝州人民检察院按照审判监督程序提出的抗诉案件。</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⑥依法对基层人民法院管辖不明的案件指定管辖。</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⑦监督基层人民法院的审判工作。</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⑧对全州法院审判工作中提出的具体适用法律问题作出司法解答。</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⑨法行使司法执行权和司法决定权。</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⑩依法国家赔偿。</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⑪对法律、法规、规章等草案提出意见；针对案件审理中发现的问题提出司法建议。</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⑫组织、指导全州人民法院办理司法协助事项。</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⑬对阿坝州中级人民法院的法官和其他工作人员进行思想教育、专业培训；指导基层人民法院思想政治、教育培训工作；按照权限管理法官和其他工作人员；协同州级主管部门管理人民法院机构设置、人员编制工作。</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⑭领导全州人民法院的监察工作。</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⑮规划和指导全州法院机关的计划财务装备工作。</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⑯在审判工作中宣传法制、教育公民自觉自觉地遵守宪法、法律、和社会公德。</w:t>
      </w:r>
    </w:p>
    <w:p>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⑰承办其他应由阿坝州中级人民法院负责的工作。</w:t>
      </w:r>
    </w:p>
    <w:p>
      <w:pPr>
        <w:pStyle w:val="6"/>
        <w:outlineLvl w:val="0"/>
        <w:rPr>
          <w:rStyle w:val="29"/>
          <w:rFonts w:ascii="Times New Roman" w:hAnsi="Times New Roman"/>
          <w:b w:val="0"/>
          <w:bCs w:val="0"/>
        </w:rPr>
      </w:pPr>
      <w:bookmarkStart w:id="16" w:name="_Toc15396601"/>
      <w:bookmarkStart w:id="17" w:name="_Toc15377200"/>
      <w:bookmarkStart w:id="18" w:name="_Toc9555"/>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6"/>
      <w:bookmarkEnd w:id="17"/>
      <w:bookmarkEnd w:id="18"/>
    </w:p>
    <w:p>
      <w:pPr>
        <w:pStyle w:val="8"/>
        <w:adjustRightInd w:val="0"/>
        <w:snapToGrid w:val="0"/>
        <w:spacing w:before="93" w:line="600" w:lineRule="exact"/>
        <w:ind w:firstLine="1120" w:firstLineChars="350"/>
        <w:rPr>
          <w:rFonts w:ascii="Times New Roman" w:cs="仿宋_GB2312"/>
          <w:sz w:val="32"/>
          <w:szCs w:val="32"/>
        </w:rPr>
      </w:pPr>
      <w:r>
        <w:rPr>
          <w:rFonts w:hint="eastAsia" w:ascii="仿宋_GB2312" w:hAnsi="仿宋_GB2312" w:eastAsia="仿宋_GB2312" w:cs="仿宋_GB2312"/>
          <w:sz w:val="32"/>
          <w:szCs w:val="32"/>
        </w:rPr>
        <w:t>本单位本年度纳入本套决算编制范围的独立编制机构数共1个，比上年增加0个；独立核算机构数共1个，比上年增加0个。</w:t>
      </w:r>
    </w:p>
    <w:p>
      <w:pPr>
        <w:widowControl/>
        <w:jc w:val="left"/>
        <w:rPr>
          <w:rFonts w:eastAsia="仿宋"/>
          <w:kern w:val="0"/>
          <w:sz w:val="32"/>
          <w:szCs w:val="32"/>
        </w:rPr>
      </w:pPr>
      <w:r>
        <w:rPr>
          <w:rFonts w:eastAsia="仿宋"/>
          <w:sz w:val="32"/>
          <w:szCs w:val="32"/>
        </w:rPr>
        <w:br w:type="page"/>
      </w:r>
    </w:p>
    <w:p>
      <w:pPr>
        <w:pStyle w:val="5"/>
        <w:jc w:val="center"/>
        <w:rPr>
          <w:rFonts w:eastAsia="方正小标宋简体" w:cs="方正小标宋简体"/>
          <w:b w:val="0"/>
        </w:rPr>
      </w:pPr>
      <w:bookmarkStart w:id="19" w:name="_Toc15377204"/>
      <w:bookmarkStart w:id="20" w:name="_Toc4163"/>
      <w:bookmarkStart w:id="21" w:name="_Toc15396602"/>
      <w:r>
        <w:rPr>
          <w:rFonts w:hint="eastAsia" w:eastAsia="方正小标宋简体" w:cs="方正小标宋简体"/>
          <w:b w:val="0"/>
        </w:rPr>
        <w:t>第二部分  2024年度部门决算情况说明</w:t>
      </w:r>
      <w:bookmarkEnd w:id="19"/>
      <w:bookmarkEnd w:id="20"/>
      <w:bookmarkEnd w:id="21"/>
    </w:p>
    <w:p/>
    <w:p>
      <w:pPr>
        <w:pStyle w:val="27"/>
        <w:spacing w:line="600" w:lineRule="exact"/>
        <w:ind w:firstLine="640" w:firstLineChars="200"/>
        <w:outlineLvl w:val="0"/>
        <w:rPr>
          <w:rStyle w:val="29"/>
          <w:rFonts w:ascii="Times New Roman" w:hAnsi="Times New Roman" w:eastAsia="黑体"/>
          <w:b w:val="0"/>
        </w:rPr>
      </w:pPr>
      <w:bookmarkStart w:id="22" w:name="_Toc15377205"/>
      <w:bookmarkStart w:id="23" w:name="_Toc5788"/>
      <w:bookmarkStart w:id="24"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22"/>
      <w:bookmarkEnd w:id="23"/>
      <w:bookmarkEnd w:id="24"/>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2024年度收入、支出总计均为</w:t>
      </w:r>
      <w:r>
        <w:rPr>
          <w:rFonts w:hint="eastAsia" w:eastAsia="仿宋_GB2312" w:cs="仿宋_GB2312"/>
          <w:sz w:val="32"/>
          <w:szCs w:val="32"/>
          <w:lang w:val="en-US" w:eastAsia="zh-CN"/>
        </w:rPr>
        <w:t>5104.21</w:t>
      </w:r>
      <w:r>
        <w:rPr>
          <w:rFonts w:hint="eastAsia" w:eastAsia="仿宋_GB2312" w:cs="仿宋_GB2312"/>
          <w:sz w:val="32"/>
          <w:szCs w:val="32"/>
        </w:rPr>
        <w:t>万元。与2023年度相比，收入、支出总计各增加</w:t>
      </w:r>
      <w:r>
        <w:rPr>
          <w:rFonts w:hint="eastAsia" w:eastAsia="仿宋_GB2312" w:cs="仿宋_GB2312"/>
          <w:sz w:val="32"/>
          <w:szCs w:val="32"/>
          <w:lang w:val="en-US" w:eastAsia="zh-CN"/>
        </w:rPr>
        <w:t>35.44</w:t>
      </w:r>
      <w:r>
        <w:rPr>
          <w:rFonts w:hint="eastAsia" w:eastAsia="仿宋_GB2312" w:cs="仿宋_GB2312"/>
          <w:sz w:val="32"/>
          <w:szCs w:val="32"/>
        </w:rPr>
        <w:t>万元，增长</w:t>
      </w:r>
      <w:r>
        <w:rPr>
          <w:rFonts w:hint="eastAsia" w:eastAsia="仿宋_GB2312" w:cs="仿宋_GB2312"/>
          <w:sz w:val="32"/>
          <w:szCs w:val="32"/>
          <w:lang w:val="en-US" w:eastAsia="zh-CN"/>
        </w:rPr>
        <w:t>0.7</w:t>
      </w:r>
      <w:r>
        <w:rPr>
          <w:rFonts w:hint="eastAsia" w:eastAsia="仿宋_GB2312" w:cs="仿宋_GB2312"/>
          <w:sz w:val="32"/>
          <w:szCs w:val="32"/>
        </w:rPr>
        <w:t>%。主要变动原因是按规定正常增员增资</w:t>
      </w:r>
      <w:r>
        <w:rPr>
          <w:rFonts w:hint="eastAsia" w:eastAsia="仿宋_GB2312" w:cs="仿宋_GB2312"/>
          <w:sz w:val="32"/>
          <w:szCs w:val="32"/>
          <w:lang w:eastAsia="zh-CN"/>
        </w:rPr>
        <w:t>。</w:t>
      </w:r>
    </w:p>
    <w:p>
      <w:pPr>
        <w:pStyle w:val="27"/>
        <w:spacing w:line="600" w:lineRule="exact"/>
        <w:ind w:firstLine="640"/>
        <w:jc w:val="center"/>
        <w:outlineLvl w:val="9"/>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190500</wp:posOffset>
            </wp:positionH>
            <wp:positionV relativeFrom="paragraph">
              <wp:posOffset>133985</wp:posOffset>
            </wp:positionV>
            <wp:extent cx="5012055" cy="2753360"/>
            <wp:effectExtent l="4445" t="4445" r="12700" b="1079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（图1：收入、支出决算总计变动情况图）</w:t>
      </w:r>
    </w:p>
    <w:p>
      <w:pPr>
        <w:pStyle w:val="27"/>
        <w:spacing w:line="600" w:lineRule="exact"/>
        <w:ind w:firstLine="640" w:firstLineChars="200"/>
        <w:outlineLvl w:val="0"/>
        <w:rPr>
          <w:rFonts w:eastAsia="黑体"/>
          <w:sz w:val="32"/>
          <w:szCs w:val="32"/>
        </w:rPr>
      </w:pPr>
      <w:bookmarkStart w:id="25" w:name="_Toc13318"/>
      <w:bookmarkStart w:id="26" w:name="_Toc15377206"/>
      <w:bookmarkStart w:id="27" w:name="_Toc15396604"/>
      <w:r>
        <w:rPr>
          <w:rFonts w:hint="eastAsia" w:eastAsia="黑体"/>
          <w:sz w:val="32"/>
          <w:szCs w:val="32"/>
        </w:rPr>
        <w:t>二、收入决算情况说明</w:t>
      </w:r>
      <w:bookmarkEnd w:id="25"/>
      <w:bookmarkEnd w:id="26"/>
      <w:bookmarkEnd w:id="27"/>
    </w:p>
    <w:p>
      <w:pPr>
        <w:spacing w:line="600" w:lineRule="exact"/>
        <w:ind w:firstLine="640"/>
        <w:rPr>
          <w:rFonts w:hint="eastAsia" w:ascii="仿宋_GB2312" w:hAnsi="仿宋_GB2312" w:eastAsia="仿宋_GB2312" w:cs="仿宋_GB2312"/>
          <w:sz w:val="32"/>
          <w:szCs w:val="32"/>
        </w:rPr>
      </w:pPr>
      <w:r>
        <w:rPr>
          <w:rFonts w:hint="eastAsia" w:eastAsia="仿宋_GB2312" w:cs="仿宋_GB2312"/>
          <w:sz w:val="32"/>
          <w:szCs w:val="32"/>
        </w:rPr>
        <w:t>2024年度本年收入合计5104.21万元，其中：一般公共预算财政拨款收入5104.21万元，占</w:t>
      </w:r>
      <w:r>
        <w:rPr>
          <w:rFonts w:hint="eastAsia" w:eastAsia="仿宋_GB2312" w:cs="仿宋_GB2312"/>
          <w:sz w:val="32"/>
          <w:szCs w:val="32"/>
          <w:lang w:val="en-US" w:eastAsia="zh-CN"/>
        </w:rPr>
        <w:t>100</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%；上级补助收入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%；事业收入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%；附属单位上缴收入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%；其他收入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pPr>
        <w:pStyle w:val="27"/>
        <w:spacing w:line="600" w:lineRule="exact"/>
        <w:ind w:firstLine="640"/>
        <w:jc w:val="center"/>
        <w:outlineLvl w:val="9"/>
        <w:rPr>
          <w:rFonts w:eastAsia="仿宋_GB2312" w:cs="仿宋_GB2312"/>
          <w:sz w:val="32"/>
          <w:szCs w:val="32"/>
        </w:rPr>
      </w:pPr>
      <w:r>
        <w:drawing>
          <wp:anchor distT="0" distB="0" distL="114300" distR="114300" simplePos="0" relativeHeight="251659264" behindDoc="0" locked="0" layoutInCell="1" allowOverlap="1">
            <wp:simplePos x="0" y="0"/>
            <wp:positionH relativeFrom="column">
              <wp:posOffset>73660</wp:posOffset>
            </wp:positionH>
            <wp:positionV relativeFrom="paragraph">
              <wp:posOffset>122555</wp:posOffset>
            </wp:positionV>
            <wp:extent cx="5273675" cy="2635250"/>
            <wp:effectExtent l="4445" t="4445" r="5080"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eastAsia="仿宋_GB2312" w:cs="仿宋_GB2312"/>
          <w:sz w:val="32"/>
          <w:szCs w:val="32"/>
        </w:rPr>
        <w:t>（图2：收入决算结构图）</w:t>
      </w:r>
    </w:p>
    <w:p>
      <w:pPr>
        <w:pStyle w:val="27"/>
        <w:spacing w:line="600" w:lineRule="exact"/>
        <w:ind w:firstLine="640" w:firstLineChars="200"/>
        <w:outlineLvl w:val="0"/>
        <w:rPr>
          <w:rStyle w:val="29"/>
          <w:rFonts w:ascii="Times New Roman" w:hAnsi="Times New Roman" w:eastAsia="黑体"/>
          <w:b w:val="0"/>
        </w:rPr>
      </w:pPr>
      <w:bookmarkStart w:id="28" w:name="_Toc15377207"/>
      <w:bookmarkStart w:id="29" w:name="_Toc30870"/>
      <w:bookmarkStart w:id="30" w:name="_Toc15396605"/>
      <w:r>
        <w:rPr>
          <w:rFonts w:hint="eastAsia" w:eastAsia="黑体"/>
          <w:sz w:val="32"/>
          <w:szCs w:val="32"/>
        </w:rPr>
        <w:t>三、支</w:t>
      </w:r>
      <w:r>
        <w:rPr>
          <w:rStyle w:val="29"/>
          <w:rFonts w:hint="eastAsia" w:ascii="Times New Roman" w:hAnsi="Times New Roman" w:eastAsia="黑体"/>
          <w:b w:val="0"/>
        </w:rPr>
        <w:t>出决算情况说明</w:t>
      </w:r>
      <w:bookmarkEnd w:id="28"/>
      <w:bookmarkEnd w:id="29"/>
      <w:bookmarkEnd w:id="30"/>
    </w:p>
    <w:p>
      <w:pPr>
        <w:spacing w:line="600" w:lineRule="exact"/>
        <w:ind w:firstLine="640"/>
        <w:rPr>
          <w:rFonts w:eastAsia="仿宋_GB2312" w:cs="仿宋_GB2312"/>
          <w:sz w:val="32"/>
          <w:szCs w:val="32"/>
        </w:rPr>
      </w:pPr>
      <w:r>
        <w:rPr>
          <w:rFonts w:hint="eastAsia" w:eastAsia="仿宋_GB2312" w:cs="仿宋_GB2312"/>
          <w:sz w:val="32"/>
          <w:szCs w:val="32"/>
        </w:rPr>
        <w:t>2024年度本年支出合计5104.21万元，其中：基本支出</w:t>
      </w:r>
      <w:r>
        <w:rPr>
          <w:rFonts w:hint="eastAsia" w:eastAsia="仿宋_GB2312" w:cs="仿宋_GB2312"/>
          <w:sz w:val="32"/>
          <w:szCs w:val="32"/>
          <w:lang w:val="en-US" w:eastAsia="zh-CN"/>
        </w:rPr>
        <w:t>3795</w:t>
      </w:r>
      <w:r>
        <w:rPr>
          <w:rFonts w:hint="eastAsia" w:eastAsia="仿宋_GB2312" w:cs="仿宋_GB2312"/>
          <w:sz w:val="32"/>
          <w:szCs w:val="32"/>
        </w:rPr>
        <w:t>万元，占</w:t>
      </w:r>
      <w:r>
        <w:rPr>
          <w:rFonts w:hint="eastAsia" w:eastAsia="仿宋_GB2312" w:cs="仿宋_GB2312"/>
          <w:sz w:val="32"/>
          <w:szCs w:val="32"/>
          <w:lang w:val="en-US" w:eastAsia="zh-CN"/>
        </w:rPr>
        <w:t>74.4</w:t>
      </w:r>
      <w:r>
        <w:rPr>
          <w:rFonts w:hint="eastAsia" w:eastAsia="仿宋_GB2312" w:cs="仿宋_GB2312"/>
          <w:sz w:val="32"/>
          <w:szCs w:val="32"/>
        </w:rPr>
        <w:t>%；项目支出</w:t>
      </w:r>
      <w:r>
        <w:rPr>
          <w:rFonts w:hint="eastAsia" w:eastAsia="仿宋_GB2312" w:cs="仿宋_GB2312"/>
          <w:sz w:val="32"/>
          <w:szCs w:val="32"/>
          <w:lang w:val="en-US" w:eastAsia="zh-CN"/>
        </w:rPr>
        <w:t>1309.22</w:t>
      </w:r>
      <w:r>
        <w:rPr>
          <w:rFonts w:hint="eastAsia" w:eastAsia="仿宋_GB2312" w:cs="仿宋_GB2312"/>
          <w:sz w:val="32"/>
          <w:szCs w:val="32"/>
        </w:rPr>
        <w:t>万元，占</w:t>
      </w:r>
      <w:r>
        <w:rPr>
          <w:rFonts w:hint="eastAsia" w:eastAsia="仿宋_GB2312" w:cs="仿宋_GB2312"/>
          <w:sz w:val="32"/>
          <w:szCs w:val="32"/>
          <w:lang w:val="en-US" w:eastAsia="zh-CN"/>
        </w:rPr>
        <w:t>25.6</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%；对附属单位补助支出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pPr>
        <w:ind w:firstLine="525" w:firstLineChars="250"/>
        <w:rPr>
          <w:rFonts w:hint="eastAsia" w:eastAsia="仿宋_GB2312" w:cs="仿宋_GB2312"/>
          <w:sz w:val="32"/>
          <w:szCs w:val="32"/>
        </w:rPr>
      </w:pPr>
      <w:r>
        <w:drawing>
          <wp:inline distT="0" distB="0" distL="114300" distR="114300">
            <wp:extent cx="4756150" cy="2667000"/>
            <wp:effectExtent l="4445" t="5080" r="14605" b="762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800" w:firstLineChars="250"/>
        <w:jc w:val="center"/>
        <w:rPr>
          <w:rFonts w:eastAsia="仿宋_GB2312" w:cs="仿宋_GB2312"/>
          <w:sz w:val="32"/>
          <w:szCs w:val="32"/>
        </w:rPr>
      </w:pPr>
      <w:r>
        <w:rPr>
          <w:rFonts w:hint="eastAsia" w:eastAsia="仿宋_GB2312" w:cs="仿宋_GB2312"/>
          <w:sz w:val="32"/>
          <w:szCs w:val="32"/>
        </w:rPr>
        <w:t>（图3：支出决算结构图）</w:t>
      </w:r>
    </w:p>
    <w:p>
      <w:pPr>
        <w:spacing w:line="600" w:lineRule="exact"/>
        <w:ind w:firstLine="640" w:firstLineChars="200"/>
        <w:outlineLvl w:val="0"/>
        <w:rPr>
          <w:rStyle w:val="29"/>
          <w:rFonts w:ascii="Times New Roman" w:hAnsi="Times New Roman" w:eastAsia="黑体"/>
          <w:b w:val="0"/>
        </w:rPr>
      </w:pPr>
      <w:bookmarkStart w:id="31" w:name="_Toc15377208"/>
      <w:bookmarkStart w:id="32" w:name="_Toc2539"/>
      <w:bookmarkStart w:id="33"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31"/>
      <w:bookmarkEnd w:id="32"/>
      <w:bookmarkEnd w:id="33"/>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2024年度财政拨款收入、支出总计均为5104.21万元。与2023年度相比，财政拨款收入总计、支出总计各</w:t>
      </w:r>
      <w:r>
        <w:rPr>
          <w:rFonts w:hint="eastAsia" w:eastAsia="仿宋_GB2312" w:cs="仿宋_GB2312"/>
          <w:sz w:val="32"/>
          <w:szCs w:val="32"/>
          <w:lang w:val="en-US" w:eastAsia="zh-CN"/>
        </w:rPr>
        <w:t>增加</w:t>
      </w:r>
      <w:r>
        <w:rPr>
          <w:rFonts w:hint="eastAsia" w:eastAsia="仿宋_GB2312" w:cs="仿宋_GB2312"/>
          <w:sz w:val="32"/>
          <w:szCs w:val="32"/>
        </w:rPr>
        <w:t>35.44万元，增长0.7%。主要变动原因是按规定正常增员增资</w:t>
      </w:r>
      <w:r>
        <w:rPr>
          <w:rFonts w:hint="eastAsia" w:eastAsia="仿宋_GB2312" w:cs="仿宋_GB2312"/>
          <w:sz w:val="32"/>
          <w:szCs w:val="32"/>
          <w:lang w:eastAsia="zh-CN"/>
        </w:rPr>
        <w:t>。</w:t>
      </w:r>
    </w:p>
    <w:p>
      <w:pPr>
        <w:pStyle w:val="2"/>
        <w:rPr>
          <w:rFonts w:hint="eastAsia" w:eastAsia="仿宋_GB2312" w:cs="仿宋_GB2312"/>
          <w:sz w:val="32"/>
          <w:szCs w:val="32"/>
          <w:lang w:eastAsia="zh-CN"/>
        </w:rPr>
      </w:pPr>
    </w:p>
    <w:p>
      <w:pPr>
        <w:pStyle w:val="3"/>
        <w:jc w:val="center"/>
        <w:rPr>
          <w:rFonts w:hint="eastAsia" w:eastAsia="仿宋_GB2312" w:cs="仿宋_GB2312"/>
          <w:sz w:val="32"/>
          <w:szCs w:val="32"/>
          <w:lang w:eastAsia="zh-CN"/>
        </w:rPr>
      </w:pPr>
      <w:r>
        <w:drawing>
          <wp:inline distT="0" distB="0" distL="114300" distR="114300">
            <wp:extent cx="4653915" cy="2667000"/>
            <wp:effectExtent l="4445" t="4445" r="15240" b="825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eastAsia="仿宋_GB2312" w:cs="仿宋_GB2312"/>
          <w:sz w:val="32"/>
          <w:szCs w:val="32"/>
        </w:rPr>
      </w:pPr>
      <w:r>
        <w:rPr>
          <w:rFonts w:hint="eastAsia" w:eastAsia="仿宋_GB2312" w:cs="仿宋_GB2312"/>
          <w:sz w:val="32"/>
          <w:szCs w:val="32"/>
        </w:rPr>
        <w:t>（图4：财政拨款收、支决算总计变动情况）</w:t>
      </w:r>
    </w:p>
    <w:p>
      <w:pPr>
        <w:spacing w:line="600" w:lineRule="exact"/>
        <w:ind w:firstLine="640" w:firstLineChars="200"/>
        <w:outlineLvl w:val="0"/>
        <w:rPr>
          <w:rStyle w:val="29"/>
          <w:rFonts w:ascii="Times New Roman" w:hAnsi="Times New Roman" w:eastAsia="黑体"/>
          <w:b w:val="0"/>
        </w:rPr>
      </w:pPr>
      <w:bookmarkStart w:id="34" w:name="_Toc15396607"/>
      <w:bookmarkStart w:id="35" w:name="_Toc15377209"/>
      <w:bookmarkStart w:id="36" w:name="_Toc22672"/>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34"/>
      <w:bookmarkEnd w:id="35"/>
      <w:bookmarkEnd w:id="36"/>
    </w:p>
    <w:p>
      <w:pPr>
        <w:spacing w:line="600" w:lineRule="exact"/>
        <w:ind w:firstLine="642" w:firstLineChars="200"/>
        <w:outlineLvl w:val="9"/>
        <w:rPr>
          <w:rFonts w:eastAsia="楷体_GB2312" w:cs="楷体_GB2312"/>
          <w:b/>
          <w:sz w:val="32"/>
          <w:szCs w:val="32"/>
        </w:rPr>
      </w:pPr>
      <w:bookmarkStart w:id="37" w:name="_Toc15377210"/>
      <w:r>
        <w:rPr>
          <w:rFonts w:hint="eastAsia" w:eastAsia="楷体_GB2312" w:cs="楷体_GB2312"/>
          <w:b/>
          <w:sz w:val="32"/>
          <w:szCs w:val="32"/>
        </w:rPr>
        <w:t>（一）一般公共预算财政拨款支出决算总体情况</w:t>
      </w:r>
      <w:bookmarkEnd w:id="37"/>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2024年度一般公共预算财政拨款支出5104.21万元，占本年支出合计的</w:t>
      </w:r>
      <w:r>
        <w:rPr>
          <w:rFonts w:hint="eastAsia" w:eastAsia="仿宋_GB2312" w:cs="仿宋_GB2312"/>
          <w:sz w:val="32"/>
          <w:szCs w:val="32"/>
          <w:lang w:val="en-US" w:eastAsia="zh-CN"/>
        </w:rPr>
        <w:t>100</w:t>
      </w:r>
      <w:r>
        <w:rPr>
          <w:rFonts w:hint="eastAsia" w:eastAsia="仿宋_GB2312" w:cs="仿宋_GB2312"/>
          <w:sz w:val="32"/>
          <w:szCs w:val="32"/>
        </w:rPr>
        <w:t>%。与2023年度相比，一般公共预算财政拨款支出增加35.44万元，增长0.7%。主要变动原因是按规定正常增员增资</w:t>
      </w:r>
      <w:r>
        <w:rPr>
          <w:rFonts w:hint="eastAsia" w:eastAsia="仿宋_GB2312" w:cs="仿宋_GB2312"/>
          <w:sz w:val="32"/>
          <w:szCs w:val="32"/>
          <w:lang w:eastAsia="zh-CN"/>
        </w:rPr>
        <w:t>。</w:t>
      </w:r>
    </w:p>
    <w:p>
      <w:pPr>
        <w:pStyle w:val="3"/>
        <w:jc w:val="center"/>
        <w:rPr>
          <w:rFonts w:hint="eastAsia" w:ascii="仿宋_GB2312" w:hAnsi="仿宋_GB2312" w:eastAsia="仿宋_GB2312" w:cs="仿宋_GB2312"/>
          <w:sz w:val="32"/>
          <w:szCs w:val="32"/>
        </w:rPr>
      </w:pPr>
      <w:r>
        <w:drawing>
          <wp:inline distT="0" distB="0" distL="114300" distR="114300">
            <wp:extent cx="4162425" cy="2844800"/>
            <wp:effectExtent l="4445" t="4445" r="11430" b="825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jc w:val="center"/>
        <w:rPr>
          <w:rFonts w:eastAsia="仿宋_GB2312" w:cs="仿宋_GB2312"/>
          <w:sz w:val="32"/>
          <w:szCs w:val="32"/>
        </w:rPr>
      </w:pPr>
      <w:r>
        <w:rPr>
          <w:rFonts w:hint="eastAsia" w:eastAsia="仿宋_GB2312" w:cs="仿宋_GB2312"/>
          <w:sz w:val="32"/>
          <w:szCs w:val="32"/>
        </w:rPr>
        <w:t>（图5：一般公共预算财政拨款支出决算变动情况）</w:t>
      </w:r>
    </w:p>
    <w:p>
      <w:pPr>
        <w:spacing w:line="600" w:lineRule="exact"/>
        <w:ind w:firstLine="642" w:firstLineChars="200"/>
        <w:outlineLvl w:val="9"/>
        <w:rPr>
          <w:rFonts w:eastAsia="楷体_GB2312" w:cs="楷体_GB2312"/>
          <w:b/>
          <w:sz w:val="32"/>
          <w:szCs w:val="32"/>
        </w:rPr>
      </w:pPr>
      <w:bookmarkStart w:id="38" w:name="_Toc15377211"/>
      <w:r>
        <w:rPr>
          <w:rFonts w:hint="eastAsia" w:eastAsia="楷体_GB2312" w:cs="楷体_GB2312"/>
          <w:b/>
          <w:sz w:val="32"/>
          <w:szCs w:val="32"/>
        </w:rPr>
        <w:t>（二）一般公共预算财政拨款支出决算结构情况</w:t>
      </w:r>
      <w:bookmarkEnd w:id="38"/>
    </w:p>
    <w:p>
      <w:pPr>
        <w:spacing w:line="600" w:lineRule="exact"/>
        <w:ind w:firstLine="640"/>
        <w:rPr>
          <w:rFonts w:hint="eastAsia" w:eastAsia="仿宋_GB2312" w:cs="仿宋_GB2312"/>
          <w:b/>
          <w:bCs/>
          <w:sz w:val="32"/>
          <w:szCs w:val="32"/>
        </w:rPr>
      </w:pPr>
      <w:r>
        <w:rPr>
          <w:rFonts w:hint="eastAsia" w:eastAsia="仿宋_GB2312" w:cs="仿宋_GB2312"/>
          <w:sz w:val="32"/>
          <w:szCs w:val="32"/>
        </w:rPr>
        <w:t>2024年度一般公共预算财政拨款支出5104.21万元，主要用于以下方面：公共安全支出4391.25万元，占</w:t>
      </w:r>
      <w:r>
        <w:rPr>
          <w:rFonts w:hint="eastAsia" w:eastAsia="仿宋_GB2312" w:cs="仿宋_GB2312"/>
          <w:sz w:val="32"/>
          <w:szCs w:val="32"/>
          <w:lang w:val="en-US" w:eastAsia="zh-CN"/>
        </w:rPr>
        <w:t>86</w:t>
      </w:r>
      <w:r>
        <w:rPr>
          <w:rFonts w:hint="eastAsia" w:eastAsia="仿宋_GB2312" w:cs="仿宋_GB2312"/>
          <w:sz w:val="32"/>
          <w:szCs w:val="32"/>
        </w:rPr>
        <w:t>%；教育支出</w:t>
      </w:r>
      <w:r>
        <w:rPr>
          <w:rFonts w:hint="eastAsia" w:eastAsia="仿宋_GB2312" w:cs="仿宋_GB2312"/>
          <w:sz w:val="32"/>
          <w:szCs w:val="32"/>
          <w:lang w:val="en-US" w:eastAsia="zh-CN"/>
        </w:rPr>
        <w:t>0.3万元，占0%；</w:t>
      </w:r>
      <w:r>
        <w:rPr>
          <w:rFonts w:hint="eastAsia" w:eastAsia="仿宋_GB2312" w:cs="仿宋_GB2312"/>
          <w:sz w:val="32"/>
          <w:szCs w:val="32"/>
        </w:rPr>
        <w:t>社会保障和就业支出331.53万元，占</w:t>
      </w:r>
      <w:r>
        <w:rPr>
          <w:rFonts w:hint="eastAsia" w:eastAsia="仿宋_GB2312" w:cs="仿宋_GB2312"/>
          <w:sz w:val="32"/>
          <w:szCs w:val="32"/>
          <w:lang w:val="en-US" w:eastAsia="zh-CN"/>
        </w:rPr>
        <w:t>6.5</w:t>
      </w:r>
      <w:r>
        <w:rPr>
          <w:rFonts w:hint="eastAsia" w:eastAsia="仿宋_GB2312" w:cs="仿宋_GB2312"/>
          <w:sz w:val="32"/>
          <w:szCs w:val="32"/>
        </w:rPr>
        <w:t>%；卫生健康支出157.05万元，占</w:t>
      </w:r>
      <w:r>
        <w:rPr>
          <w:rFonts w:hint="eastAsia" w:eastAsia="仿宋_GB2312" w:cs="仿宋_GB2312"/>
          <w:sz w:val="32"/>
          <w:szCs w:val="32"/>
          <w:lang w:val="en-US" w:eastAsia="zh-CN"/>
        </w:rPr>
        <w:t>3.1</w:t>
      </w:r>
      <w:r>
        <w:rPr>
          <w:rFonts w:hint="eastAsia" w:eastAsia="仿宋_GB2312" w:cs="仿宋_GB2312"/>
          <w:sz w:val="32"/>
          <w:szCs w:val="32"/>
        </w:rPr>
        <w:t>%；住房保障支出224.09万元，占</w:t>
      </w:r>
      <w:r>
        <w:rPr>
          <w:rFonts w:hint="eastAsia" w:eastAsia="仿宋_GB2312" w:cs="仿宋_GB2312"/>
          <w:sz w:val="32"/>
          <w:szCs w:val="32"/>
          <w:lang w:val="en-US" w:eastAsia="zh-CN"/>
        </w:rPr>
        <w:t>4.4</w:t>
      </w:r>
      <w:r>
        <w:rPr>
          <w:rFonts w:hint="eastAsia" w:eastAsia="仿宋_GB2312" w:cs="仿宋_GB2312"/>
          <w:sz w:val="32"/>
          <w:szCs w:val="32"/>
        </w:rPr>
        <w:t>%</w:t>
      </w:r>
      <w:r>
        <w:rPr>
          <w:rFonts w:hint="eastAsia" w:eastAsia="仿宋_GB2312" w:cs="仿宋_GB2312"/>
          <w:sz w:val="32"/>
          <w:szCs w:val="32"/>
          <w:lang w:eastAsia="zh-CN"/>
        </w:rPr>
        <w:t>。</w:t>
      </w:r>
    </w:p>
    <w:p>
      <w:pPr>
        <w:pStyle w:val="3"/>
        <w:jc w:val="both"/>
        <w:rPr>
          <w:rFonts w:hint="eastAsia" w:eastAsia="仿宋_GB2312" w:cs="仿宋_GB2312"/>
          <w:b/>
          <w:bCs/>
          <w:sz w:val="32"/>
          <w:szCs w:val="32"/>
        </w:rPr>
      </w:pPr>
      <w:r>
        <w:drawing>
          <wp:inline distT="0" distB="0" distL="114300" distR="114300">
            <wp:extent cx="4824095" cy="2667000"/>
            <wp:effectExtent l="4445" t="5080" r="10160" b="762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jc w:val="center"/>
        <w:rPr>
          <w:rFonts w:eastAsia="仿宋_GB2312" w:cs="仿宋_GB2312"/>
          <w:sz w:val="32"/>
          <w:szCs w:val="32"/>
        </w:rPr>
      </w:pPr>
      <w:r>
        <w:rPr>
          <w:rFonts w:hint="eastAsia" w:eastAsia="仿宋_GB2312" w:cs="仿宋_GB2312"/>
          <w:sz w:val="32"/>
          <w:szCs w:val="32"/>
        </w:rPr>
        <w:t>（图6：一般公共预算财政拨款支出决算结构）</w:t>
      </w:r>
    </w:p>
    <w:p>
      <w:pPr>
        <w:spacing w:line="600" w:lineRule="exact"/>
        <w:ind w:firstLine="642" w:firstLineChars="200"/>
        <w:outlineLvl w:val="9"/>
        <w:rPr>
          <w:rFonts w:eastAsia="楷体_GB2312" w:cs="楷体_GB2312"/>
          <w:b/>
          <w:sz w:val="32"/>
          <w:szCs w:val="32"/>
        </w:rPr>
      </w:pPr>
      <w:bookmarkStart w:id="39" w:name="_Toc15377212"/>
      <w:r>
        <w:rPr>
          <w:rFonts w:hint="eastAsia" w:eastAsia="楷体_GB2312" w:cs="楷体_GB2312"/>
          <w:b/>
          <w:sz w:val="32"/>
          <w:szCs w:val="32"/>
        </w:rPr>
        <w:t>（三）一般公共预算财政拨款支出决算具体情况</w:t>
      </w:r>
      <w:bookmarkEnd w:id="39"/>
    </w:p>
    <w:p>
      <w:pPr>
        <w:spacing w:line="600" w:lineRule="exact"/>
        <w:ind w:firstLine="640"/>
        <w:rPr>
          <w:rFonts w:eastAsia="仿宋_GB2312" w:cs="仿宋_GB2312"/>
          <w:sz w:val="32"/>
          <w:szCs w:val="32"/>
        </w:rPr>
      </w:pPr>
      <w:bookmarkStart w:id="40" w:name="_Toc15378460"/>
      <w:bookmarkStart w:id="41" w:name="_Toc15377444"/>
      <w:bookmarkStart w:id="42" w:name="_Toc15377213"/>
      <w:r>
        <w:rPr>
          <w:rFonts w:hint="eastAsia" w:eastAsia="仿宋_GB2312" w:cs="仿宋_GB2312"/>
          <w:sz w:val="32"/>
          <w:szCs w:val="32"/>
        </w:rPr>
        <w:t>2024年度一般公共预算财政拨款支出决算数为5104.21</w:t>
      </w:r>
      <w:r>
        <w:rPr>
          <w:rFonts w:hint="eastAsia" w:eastAsia="仿宋_GB2312" w:cs="仿宋_GB2312"/>
          <w:sz w:val="32"/>
          <w:szCs w:val="32"/>
          <w:lang w:val="en-US" w:eastAsia="zh-CN"/>
        </w:rPr>
        <w:t>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40"/>
      <w:bookmarkEnd w:id="41"/>
      <w:bookmarkEnd w:id="42"/>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lang w:val="en-US" w:eastAsia="zh-CN"/>
        </w:rPr>
      </w:pPr>
      <w:r>
        <w:rPr>
          <w:rFonts w:hint="eastAsia" w:eastAsia="仿宋_GB2312" w:cs="仿宋_GB2312"/>
          <w:sz w:val="32"/>
          <w:szCs w:val="32"/>
        </w:rPr>
        <w:t>公共安全支出（类）法院（款）行政运行（项）：支出决算为3082.33万元，完成预算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公共安全支出（类）法院（款）一般行政管理事务（项）：支出决算为1234.96万元，完成预算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公共安全支出（类）法院（款）案件执行（项）：支出决算为73.96万元，完成预算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教育支出（类）其他教育支出（款）其他教育支出（项）：支出决算为</w:t>
      </w:r>
      <w:r>
        <w:rPr>
          <w:rFonts w:hint="eastAsia" w:eastAsia="仿宋_GB2312" w:cs="仿宋_GB2312"/>
          <w:sz w:val="32"/>
          <w:szCs w:val="32"/>
          <w:lang w:val="en-US" w:eastAsia="zh-CN"/>
        </w:rPr>
        <w:t>0.3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社会保障和就业（类）行政事业单位养老支出（款）机关事业单位基本养老保险缴费支出（项）：支出决算为221.13万元，完成预算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社会保障和就业（类）行政事业单位养老支出（款）机关事业单位职业年金缴费支出（项）：支出决算为110.39万元，完成预算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卫生健康（类）行政事业单位医疗（款）行政单位医疗（项）：支出决算为127.54万元，完成预算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卫生健康（类）行政事业单位医疗（款）公务员医疗补助（项）：支出决算为29.51万元，完成预算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住房保障支出（类）住房改革支出（款）住房公积金（项）：支出决算为218.09万元，完成预算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住房保障支出（类）住房改革支出（款）购房补贴（项）：支出决算为</w:t>
      </w:r>
      <w:r>
        <w:rPr>
          <w:rFonts w:hint="eastAsia" w:eastAsia="仿宋_GB2312" w:cs="仿宋_GB2312"/>
          <w:sz w:val="32"/>
          <w:szCs w:val="32"/>
          <w:lang w:val="en-US" w:eastAsia="zh-CN"/>
        </w:rPr>
        <w:t>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pPr>
        <w:tabs>
          <w:tab w:val="right" w:pos="8306"/>
        </w:tabs>
        <w:spacing w:line="600" w:lineRule="exact"/>
        <w:ind w:firstLine="640" w:firstLineChars="0"/>
        <w:outlineLvl w:val="0"/>
        <w:rPr>
          <w:rStyle w:val="29"/>
          <w:rFonts w:ascii="Times New Roman" w:hAnsi="Times New Roman"/>
        </w:rPr>
      </w:pPr>
      <w:bookmarkStart w:id="43" w:name="_Toc17831"/>
      <w:bookmarkStart w:id="44" w:name="_Toc15396608"/>
      <w:bookmarkStart w:id="45"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43"/>
      <w:bookmarkEnd w:id="44"/>
      <w:bookmarkEnd w:id="45"/>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eastAsia="仿宋_GB2312" w:cs="仿宋_GB2312"/>
          <w:sz w:val="32"/>
          <w:szCs w:val="32"/>
          <w:lang w:val="en-US" w:eastAsia="zh-CN"/>
        </w:rPr>
        <w:t>3795</w:t>
      </w:r>
      <w:r>
        <w:rPr>
          <w:rFonts w:hint="eastAsia" w:ascii="仿宋_GB2312" w:hAnsi="仿宋_GB2312" w:eastAsia="仿宋_GB2312" w:cs="仿宋_GB2312"/>
          <w:sz w:val="32"/>
          <w:szCs w:val="32"/>
        </w:rPr>
        <w:t>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3328.29</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元，主要包括：基本工资、津贴补贴、奖金、机关事业单位基本养老保险缴费、职业年金缴费、职工基本医疗保险缴费</w:t>
      </w:r>
      <w:r>
        <w:rPr>
          <w:rFonts w:hint="eastAsia" w:eastAsia="仿宋_GB2312" w:cs="仿宋_GB2312"/>
          <w:sz w:val="32"/>
          <w:szCs w:val="32"/>
          <w:lang w:eastAsia="zh-CN"/>
        </w:rPr>
        <w:t>、公务员医疗补助缴费、</w:t>
      </w:r>
      <w:r>
        <w:rPr>
          <w:rFonts w:hint="eastAsia" w:eastAsia="仿宋_GB2312" w:cs="仿宋_GB2312"/>
          <w:sz w:val="32"/>
          <w:szCs w:val="32"/>
        </w:rPr>
        <w:t>其他社会保障缴费、住房公积金、其他工资福利支出、离休费、抚恤金、生活补助、奖励金、其他对个人和家庭的补助支出。</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466.71</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手续费、水费、邮电费、物业管理费、差旅费、维修（护）费、培训费、公务接待费、被装购置费、委托业务费、工会经费、福利费、公务用车运行维护费、其他交通费、其他商品和服务支出。</w:t>
      </w:r>
    </w:p>
    <w:p>
      <w:pPr>
        <w:spacing w:line="600" w:lineRule="exact"/>
        <w:ind w:firstLine="640" w:firstLineChars="0"/>
        <w:outlineLvl w:val="0"/>
        <w:rPr>
          <w:rStyle w:val="29"/>
          <w:rFonts w:ascii="Times New Roman" w:hAnsi="Times New Roman" w:eastAsia="黑体"/>
          <w:b w:val="0"/>
        </w:rPr>
      </w:pPr>
      <w:bookmarkStart w:id="46" w:name="_Toc15377215"/>
      <w:bookmarkStart w:id="47" w:name="_Toc4223"/>
      <w:bookmarkStart w:id="48"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46"/>
      <w:bookmarkEnd w:id="47"/>
      <w:bookmarkEnd w:id="48"/>
    </w:p>
    <w:p>
      <w:pPr>
        <w:spacing w:line="600" w:lineRule="exact"/>
        <w:ind w:firstLine="642" w:firstLineChars="200"/>
        <w:outlineLvl w:val="9"/>
        <w:rPr>
          <w:rFonts w:eastAsia="楷体_GB2312" w:cs="楷体_GB2312"/>
          <w:b/>
          <w:sz w:val="32"/>
          <w:szCs w:val="32"/>
        </w:rPr>
      </w:pPr>
      <w:bookmarkStart w:id="49" w:name="_Toc15377216"/>
      <w:r>
        <w:rPr>
          <w:rFonts w:hint="eastAsia" w:eastAsia="楷体_GB2312" w:cs="楷体_GB2312"/>
          <w:b/>
          <w:sz w:val="32"/>
          <w:szCs w:val="32"/>
        </w:rPr>
        <w:t>（一）“三公”经费财政拨款支出决算总体情况说明</w:t>
      </w:r>
      <w:bookmarkEnd w:id="49"/>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142.26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%，较上年度增加92.06万元，增长</w:t>
      </w:r>
      <w:r>
        <w:rPr>
          <w:rFonts w:hint="eastAsia" w:eastAsia="仿宋_GB2312" w:cs="仿宋_GB2312"/>
          <w:sz w:val="32"/>
          <w:szCs w:val="32"/>
          <w:lang w:val="en-US" w:eastAsia="zh-CN"/>
        </w:rPr>
        <w:t>183.4</w:t>
      </w:r>
      <w:r>
        <w:rPr>
          <w:rFonts w:hint="eastAsia" w:eastAsia="仿宋_GB2312" w:cs="仿宋_GB2312"/>
          <w:sz w:val="32"/>
          <w:szCs w:val="32"/>
        </w:rPr>
        <w:t>%。决算数与预算数持平</w:t>
      </w:r>
      <w:r>
        <w:rPr>
          <w:rFonts w:hint="eastAsia" w:eastAsia="仿宋_GB2312" w:cs="仿宋_GB2312"/>
          <w:sz w:val="32"/>
          <w:szCs w:val="32"/>
          <w:lang w:eastAsia="zh-CN"/>
        </w:rPr>
        <w:t>。</w:t>
      </w:r>
    </w:p>
    <w:p>
      <w:pPr>
        <w:spacing w:line="600" w:lineRule="exact"/>
        <w:ind w:firstLine="642" w:firstLineChars="200"/>
        <w:outlineLvl w:val="9"/>
        <w:rPr>
          <w:rFonts w:eastAsia="楷体_GB2312" w:cs="楷体_GB2312"/>
          <w:b/>
          <w:sz w:val="32"/>
          <w:szCs w:val="32"/>
        </w:rPr>
      </w:pPr>
      <w:bookmarkStart w:id="50" w:name="_Toc15377217"/>
      <w:r>
        <w:rPr>
          <w:rFonts w:hint="eastAsia" w:eastAsia="楷体_GB2312" w:cs="楷体_GB2312"/>
          <w:b/>
          <w:sz w:val="32"/>
          <w:szCs w:val="32"/>
        </w:rPr>
        <w:t>（二）“三公”经费财政拨款支出决算具体情况说明</w:t>
      </w:r>
      <w:bookmarkEnd w:id="50"/>
    </w:p>
    <w:p>
      <w:pPr>
        <w:spacing w:line="600" w:lineRule="exact"/>
        <w:ind w:firstLine="640"/>
        <w:rPr>
          <w:rFonts w:hint="eastAsia" w:eastAsia="仿宋_GB2312" w:cs="仿宋_GB2312"/>
          <w:sz w:val="32"/>
          <w:szCs w:val="32"/>
        </w:rPr>
      </w:pPr>
      <w:r>
        <w:rPr>
          <w:rFonts w:hint="eastAsia" w:eastAsia="仿宋_GB2312" w:cs="仿宋_GB2312"/>
          <w:sz w:val="32"/>
          <w:szCs w:val="32"/>
        </w:rPr>
        <w:t>2024年度“三公”经费财政拨款支出决算中，因公出国（境）费支出决算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%；公务用车购置及运行维护费支出决算136.92万元，占</w:t>
      </w:r>
      <w:r>
        <w:rPr>
          <w:rFonts w:hint="eastAsia" w:eastAsia="仿宋_GB2312" w:cs="仿宋_GB2312"/>
          <w:sz w:val="32"/>
          <w:szCs w:val="32"/>
          <w:lang w:val="en-US" w:eastAsia="zh-CN"/>
        </w:rPr>
        <w:t>96.2</w:t>
      </w:r>
      <w:r>
        <w:rPr>
          <w:rFonts w:hint="eastAsia" w:eastAsia="仿宋_GB2312" w:cs="仿宋_GB2312"/>
          <w:sz w:val="32"/>
          <w:szCs w:val="32"/>
        </w:rPr>
        <w:t>%；公务接待费支出决算5.34万元，占</w:t>
      </w:r>
      <w:r>
        <w:rPr>
          <w:rFonts w:hint="eastAsia" w:eastAsia="仿宋_GB2312" w:cs="仿宋_GB2312"/>
          <w:sz w:val="32"/>
          <w:szCs w:val="32"/>
          <w:lang w:val="en-US" w:eastAsia="zh-CN"/>
        </w:rPr>
        <w:t>3.8</w:t>
      </w:r>
      <w:r>
        <w:rPr>
          <w:rFonts w:hint="eastAsia" w:eastAsia="仿宋_GB2312" w:cs="仿宋_GB2312"/>
          <w:sz w:val="32"/>
          <w:szCs w:val="32"/>
        </w:rPr>
        <w:t>%。具体情况如下：</w:t>
      </w:r>
    </w:p>
    <w:p>
      <w:pPr>
        <w:pStyle w:val="2"/>
        <w:jc w:val="center"/>
        <w:rPr>
          <w:rFonts w:hint="eastAsia" w:eastAsia="仿宋_GB2312" w:cs="仿宋_GB2312"/>
          <w:sz w:val="32"/>
          <w:szCs w:val="32"/>
        </w:rPr>
      </w:pPr>
      <w:r>
        <w:drawing>
          <wp:inline distT="0" distB="0" distL="114300" distR="114300">
            <wp:extent cx="5240655" cy="2667000"/>
            <wp:effectExtent l="4445" t="4445" r="12700" b="825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jc w:val="center"/>
        <w:rPr>
          <w:rFonts w:eastAsia="仿宋_GB2312" w:cs="仿宋_GB2312"/>
          <w:sz w:val="32"/>
          <w:szCs w:val="32"/>
        </w:rPr>
      </w:pPr>
      <w:r>
        <w:rPr>
          <w:rFonts w:hint="eastAsia" w:eastAsia="仿宋_GB2312" w:cs="仿宋_GB2312"/>
          <w:sz w:val="32"/>
          <w:szCs w:val="32"/>
        </w:rPr>
        <w:t>（图7：“三公”经费财政拨款支出结构）</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136.92万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92.12</w:t>
      </w:r>
      <w:r>
        <w:rPr>
          <w:rFonts w:hint="eastAsia" w:eastAsia="仿宋_GB2312" w:cs="仿宋_GB2312"/>
          <w:sz w:val="32"/>
          <w:szCs w:val="32"/>
        </w:rPr>
        <w:t>万元，增长</w:t>
      </w:r>
      <w:r>
        <w:rPr>
          <w:rFonts w:hint="eastAsia" w:eastAsia="仿宋_GB2312" w:cs="仿宋_GB2312"/>
          <w:sz w:val="32"/>
          <w:szCs w:val="32"/>
          <w:lang w:val="en-US" w:eastAsia="zh-CN"/>
        </w:rPr>
        <w:t>205.6</w:t>
      </w:r>
      <w:r>
        <w:rPr>
          <w:rFonts w:hint="eastAsia" w:eastAsia="仿宋_GB2312" w:cs="仿宋_GB2312"/>
          <w:sz w:val="32"/>
          <w:szCs w:val="32"/>
        </w:rPr>
        <w:t>%。主要原因是公务车购置费用增加</w:t>
      </w:r>
      <w:r>
        <w:rPr>
          <w:rFonts w:hint="eastAsia" w:eastAsia="仿宋_GB2312" w:cs="仿宋_GB2312"/>
          <w:sz w:val="32"/>
          <w:szCs w:val="32"/>
          <w:lang w:eastAsia="zh-CN"/>
        </w:rPr>
        <w:t>。</w:t>
      </w:r>
    </w:p>
    <w:p>
      <w:pPr>
        <w:spacing w:line="600" w:lineRule="exact"/>
        <w:ind w:firstLine="640"/>
        <w:rPr>
          <w:rFonts w:hint="eastAsia"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121.8</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4</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辆、金额</w:t>
      </w:r>
      <w:r>
        <w:rPr>
          <w:rFonts w:hint="eastAsia" w:eastAsia="仿宋_GB2312" w:cs="仿宋_GB2312"/>
          <w:sz w:val="32"/>
          <w:szCs w:val="32"/>
          <w:lang w:val="en-US" w:eastAsia="zh-CN"/>
        </w:rPr>
        <w:t>16</w:t>
      </w:r>
      <w:r>
        <w:rPr>
          <w:rFonts w:hint="eastAsia" w:eastAsia="仿宋_GB2312" w:cs="仿宋_GB2312"/>
          <w:sz w:val="32"/>
          <w:szCs w:val="32"/>
        </w:rPr>
        <w:t>万元，越野车</w:t>
      </w:r>
      <w:r>
        <w:rPr>
          <w:rFonts w:hint="eastAsia" w:eastAsia="仿宋_GB2312" w:cs="仿宋_GB2312"/>
          <w:sz w:val="32"/>
          <w:szCs w:val="32"/>
          <w:lang w:val="en-US" w:eastAsia="zh-CN"/>
        </w:rPr>
        <w:t>3</w:t>
      </w:r>
      <w:r>
        <w:rPr>
          <w:rFonts w:hint="eastAsia" w:eastAsia="仿宋_GB2312" w:cs="仿宋_GB2312"/>
          <w:sz w:val="32"/>
          <w:szCs w:val="32"/>
        </w:rPr>
        <w:t>辆、金额</w:t>
      </w:r>
      <w:r>
        <w:rPr>
          <w:rFonts w:hint="eastAsia" w:eastAsia="仿宋_GB2312" w:cs="仿宋_GB2312"/>
          <w:sz w:val="32"/>
          <w:szCs w:val="32"/>
          <w:lang w:val="en-US" w:eastAsia="zh-CN"/>
        </w:rPr>
        <w:t>105.8</w:t>
      </w:r>
      <w:r>
        <w:rPr>
          <w:rFonts w:hint="eastAsia" w:eastAsia="仿宋_GB2312" w:cs="仿宋_GB2312"/>
          <w:sz w:val="32"/>
          <w:szCs w:val="32"/>
        </w:rPr>
        <w:t>万元，主要用于审判执行等执法执勤任务。截至2024年12月31日，单位共有公务用车</w:t>
      </w:r>
      <w:r>
        <w:rPr>
          <w:rFonts w:hint="eastAsia" w:eastAsia="仿宋_GB2312" w:cs="仿宋_GB2312"/>
          <w:sz w:val="32"/>
          <w:szCs w:val="32"/>
          <w:lang w:val="en-US" w:eastAsia="zh-CN"/>
        </w:rPr>
        <w:t>24</w:t>
      </w:r>
      <w:r>
        <w:rPr>
          <w:rFonts w:hint="eastAsia" w:eastAsia="仿宋_GB2312" w:cs="仿宋_GB2312"/>
          <w:sz w:val="32"/>
          <w:szCs w:val="32"/>
        </w:rPr>
        <w:t>辆，其中：轿车</w:t>
      </w:r>
      <w:r>
        <w:rPr>
          <w:rFonts w:hint="eastAsia" w:eastAsia="仿宋_GB2312" w:cs="仿宋_GB2312"/>
          <w:sz w:val="32"/>
          <w:szCs w:val="32"/>
          <w:lang w:val="en-US" w:eastAsia="zh-CN"/>
        </w:rPr>
        <w:t>3</w:t>
      </w:r>
      <w:r>
        <w:rPr>
          <w:rFonts w:hint="eastAsia" w:eastAsia="仿宋_GB2312" w:cs="仿宋_GB2312"/>
          <w:sz w:val="32"/>
          <w:szCs w:val="32"/>
        </w:rPr>
        <w:t>辆、越野车</w:t>
      </w:r>
      <w:r>
        <w:rPr>
          <w:rFonts w:hint="eastAsia" w:eastAsia="仿宋_GB2312" w:cs="仿宋_GB2312"/>
          <w:sz w:val="32"/>
          <w:szCs w:val="32"/>
          <w:lang w:val="en-US" w:eastAsia="zh-CN"/>
        </w:rPr>
        <w:t>19</w:t>
      </w:r>
      <w:r>
        <w:rPr>
          <w:rFonts w:hint="eastAsia" w:eastAsia="仿宋_GB2312" w:cs="仿宋_GB2312"/>
          <w:sz w:val="32"/>
          <w:szCs w:val="32"/>
        </w:rPr>
        <w:t>辆、载客汽车</w:t>
      </w:r>
      <w:r>
        <w:rPr>
          <w:rFonts w:hint="eastAsia" w:eastAsia="仿宋_GB2312" w:cs="仿宋_GB2312"/>
          <w:sz w:val="32"/>
          <w:szCs w:val="32"/>
          <w:lang w:val="en-US" w:eastAsia="zh-CN"/>
        </w:rPr>
        <w:t>2</w:t>
      </w:r>
      <w:r>
        <w:rPr>
          <w:rFonts w:hint="eastAsia" w:eastAsia="仿宋_GB2312" w:cs="仿宋_GB2312"/>
          <w:sz w:val="32"/>
          <w:szCs w:val="32"/>
        </w:rPr>
        <w:t>辆。</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eastAsia="仿宋_GB2312" w:cs="仿宋_GB2312"/>
          <w:sz w:val="32"/>
          <w:szCs w:val="32"/>
          <w:lang w:val="en-US" w:eastAsia="zh-CN"/>
        </w:rPr>
        <w:t>15.12</w:t>
      </w:r>
      <w:r>
        <w:rPr>
          <w:rFonts w:hint="eastAsia" w:eastAsia="仿宋_GB2312" w:cs="仿宋_GB2312"/>
          <w:sz w:val="32"/>
          <w:szCs w:val="32"/>
        </w:rPr>
        <w:t>万元。主要用于办案执法执勤用车所需的公务用车燃料费、维修费、过路过桥费、保险费等支出。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5.34</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w:t>
      </w:r>
      <w:r>
        <w:rPr>
          <w:rFonts w:hint="eastAsia" w:eastAsia="仿宋_GB2312" w:cs="仿宋_GB2312"/>
          <w:sz w:val="32"/>
          <w:szCs w:val="32"/>
          <w:lang w:val="en-US" w:eastAsia="zh-CN"/>
        </w:rPr>
        <w:t>减少0.06</w:t>
      </w:r>
      <w:r>
        <w:rPr>
          <w:rFonts w:hint="eastAsia" w:eastAsia="仿宋_GB2312" w:cs="仿宋_GB2312"/>
          <w:sz w:val="32"/>
          <w:szCs w:val="32"/>
        </w:rPr>
        <w:t>万元，下降</w:t>
      </w:r>
      <w:r>
        <w:rPr>
          <w:rFonts w:hint="eastAsia" w:eastAsia="仿宋_GB2312" w:cs="仿宋_GB2312"/>
          <w:sz w:val="32"/>
          <w:szCs w:val="32"/>
          <w:lang w:val="en-US" w:eastAsia="zh-CN"/>
        </w:rPr>
        <w:t>1.1</w:t>
      </w:r>
      <w:r>
        <w:rPr>
          <w:rFonts w:hint="eastAsia" w:eastAsia="仿宋_GB2312" w:cs="仿宋_GB2312"/>
          <w:sz w:val="32"/>
          <w:szCs w:val="32"/>
        </w:rPr>
        <w:t>%。主要原因是接待人数有减少。其中：</w:t>
      </w:r>
    </w:p>
    <w:p>
      <w:pPr>
        <w:spacing w:line="600" w:lineRule="exact"/>
        <w:ind w:firstLine="640"/>
        <w:rPr>
          <w:rFonts w:hint="eastAsia" w:eastAsia="仿宋_GB2312" w:cs="仿宋_GB2312"/>
          <w:sz w:val="32"/>
          <w:szCs w:val="32"/>
        </w:rPr>
      </w:pPr>
      <w:r>
        <w:rPr>
          <w:rFonts w:hint="eastAsia" w:eastAsia="仿宋_GB2312" w:cs="仿宋_GB2312"/>
          <w:sz w:val="32"/>
          <w:szCs w:val="32"/>
        </w:rPr>
        <w:t>国内公务接待支出5.34万元，主要用于执行公务、开展业务活动开支的交通费、住宿费、用餐费等。国内公务接待</w:t>
      </w:r>
      <w:r>
        <w:rPr>
          <w:rFonts w:hint="eastAsia" w:eastAsia="仿宋_GB2312" w:cs="仿宋_GB2312"/>
          <w:sz w:val="32"/>
          <w:szCs w:val="32"/>
          <w:lang w:val="en-US" w:eastAsia="zh-CN"/>
        </w:rPr>
        <w:t>69</w:t>
      </w:r>
      <w:r>
        <w:rPr>
          <w:rFonts w:hint="eastAsia" w:eastAsia="仿宋_GB2312" w:cs="仿宋_GB2312"/>
          <w:sz w:val="32"/>
          <w:szCs w:val="32"/>
        </w:rPr>
        <w:t>批次，</w:t>
      </w:r>
      <w:r>
        <w:rPr>
          <w:rFonts w:hint="eastAsia" w:eastAsia="仿宋_GB2312" w:cs="仿宋_GB2312"/>
          <w:sz w:val="32"/>
          <w:szCs w:val="32"/>
          <w:lang w:val="en-US" w:eastAsia="zh-CN"/>
        </w:rPr>
        <w:t>725</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5.34</w:t>
      </w:r>
      <w:r>
        <w:rPr>
          <w:rFonts w:hint="eastAsia" w:eastAsia="仿宋_GB2312" w:cs="仿宋_GB2312"/>
          <w:sz w:val="32"/>
          <w:szCs w:val="32"/>
        </w:rPr>
        <w:t>万元，具体内容包括：基层法院干警到我院汇报案件工作，省内其他法院到我院开展案件办理、对口援助工作，省法院来我院开展调研指导工作等。</w:t>
      </w:r>
    </w:p>
    <w:p>
      <w:pPr>
        <w:spacing w:line="600" w:lineRule="exact"/>
        <w:ind w:firstLine="640"/>
        <w:rPr>
          <w:rFonts w:hint="eastAsia"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firstLine="640" w:firstLineChars="0"/>
        <w:outlineLvl w:val="0"/>
        <w:rPr>
          <w:rStyle w:val="29"/>
          <w:rFonts w:ascii="Times New Roman" w:hAnsi="Times New Roman" w:eastAsia="黑体"/>
        </w:rPr>
      </w:pPr>
      <w:bookmarkStart w:id="51" w:name="_Toc25098"/>
      <w:bookmarkStart w:id="52" w:name="_Toc15396610"/>
      <w:bookmarkStart w:id="53" w:name="_Toc15377218"/>
      <w:r>
        <w:rPr>
          <w:rFonts w:hint="eastAsia" w:eastAsia="黑体"/>
          <w:sz w:val="32"/>
          <w:szCs w:val="32"/>
        </w:rPr>
        <w:t>八、</w:t>
      </w:r>
      <w:r>
        <w:rPr>
          <w:rStyle w:val="29"/>
          <w:rFonts w:hint="eastAsia" w:ascii="Times New Roman" w:hAnsi="Times New Roman" w:eastAsia="黑体"/>
          <w:b w:val="0"/>
        </w:rPr>
        <w:t>政府性基金预算支出决算情况说明</w:t>
      </w:r>
      <w:bookmarkEnd w:id="51"/>
      <w:bookmarkEnd w:id="52"/>
      <w:bookmarkEnd w:id="53"/>
    </w:p>
    <w:p>
      <w:pPr>
        <w:spacing w:line="600" w:lineRule="exact"/>
        <w:ind w:firstLine="640"/>
        <w:rPr>
          <w:rFonts w:hint="eastAsia" w:eastAsia="仿宋_GB2312" w:cs="仿宋_GB2312"/>
          <w:sz w:val="32"/>
          <w:szCs w:val="32"/>
        </w:rPr>
      </w:pPr>
      <w:r>
        <w:rPr>
          <w:rFonts w:hint="eastAsia" w:eastAsia="仿宋_GB2312" w:cs="仿宋_GB2312"/>
          <w:sz w:val="32"/>
          <w:szCs w:val="32"/>
        </w:rPr>
        <w:t>2024年度政府性基金预算财政拨款支出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54" w:name="_Toc15396611"/>
      <w:bookmarkStart w:id="55" w:name="_Toc15377219"/>
    </w:p>
    <w:p>
      <w:pPr>
        <w:spacing w:line="600" w:lineRule="exact"/>
        <w:ind w:left="630" w:leftChars="0"/>
        <w:outlineLvl w:val="0"/>
        <w:rPr>
          <w:rStyle w:val="29"/>
          <w:rFonts w:ascii="Times New Roman" w:hAnsi="Times New Roman" w:eastAsia="黑体"/>
          <w:b w:val="0"/>
        </w:rPr>
      </w:pPr>
      <w:bookmarkStart w:id="56" w:name="_Toc24035"/>
      <w:r>
        <w:rPr>
          <w:rStyle w:val="29"/>
          <w:rFonts w:hint="eastAsia" w:ascii="Times New Roman" w:hAnsi="Times New Roman" w:eastAsia="黑体"/>
          <w:b w:val="0"/>
        </w:rPr>
        <w:t>九、国有资本经营预算支出决算情况说明</w:t>
      </w:r>
      <w:bookmarkEnd w:id="54"/>
      <w:bookmarkEnd w:id="55"/>
      <w:bookmarkEnd w:id="56"/>
    </w:p>
    <w:p>
      <w:pPr>
        <w:spacing w:line="600" w:lineRule="exact"/>
        <w:ind w:firstLine="640"/>
        <w:rPr>
          <w:rFonts w:hint="eastAsia" w:eastAsia="仿宋_GB2312" w:cs="仿宋_GB2312"/>
          <w:sz w:val="32"/>
          <w:szCs w:val="32"/>
        </w:rPr>
      </w:pPr>
      <w:r>
        <w:rPr>
          <w:rFonts w:hint="eastAsia" w:eastAsia="仿宋_GB2312" w:cs="仿宋_GB2312"/>
          <w:sz w:val="32"/>
          <w:szCs w:val="32"/>
        </w:rPr>
        <w:t>2024年度国有资本经营预算财政拨款支出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p>
    <w:p>
      <w:pPr>
        <w:spacing w:line="600" w:lineRule="exact"/>
        <w:ind w:left="630" w:leftChars="0"/>
        <w:outlineLvl w:val="0"/>
        <w:rPr>
          <w:rStyle w:val="29"/>
          <w:rFonts w:ascii="Times New Roman" w:hAnsi="Times New Roman" w:eastAsia="黑体"/>
          <w:b w:val="0"/>
        </w:rPr>
      </w:pPr>
      <w:bookmarkStart w:id="57" w:name="_Toc15396612"/>
      <w:bookmarkStart w:id="58" w:name="_Toc17625"/>
      <w:bookmarkStart w:id="59" w:name="_Toc15377221"/>
      <w:r>
        <w:rPr>
          <w:rStyle w:val="29"/>
          <w:rFonts w:hint="eastAsia" w:ascii="Times New Roman" w:hAnsi="Times New Roman" w:eastAsia="黑体"/>
          <w:b w:val="0"/>
        </w:rPr>
        <w:t>十、其他重要事项的情况说明</w:t>
      </w:r>
      <w:bookmarkEnd w:id="57"/>
      <w:bookmarkEnd w:id="58"/>
      <w:bookmarkEnd w:id="59"/>
    </w:p>
    <w:p>
      <w:pPr>
        <w:spacing w:line="600" w:lineRule="exact"/>
        <w:ind w:firstLine="640" w:firstLineChars="0"/>
        <w:outlineLvl w:val="9"/>
        <w:rPr>
          <w:rFonts w:eastAsia="楷体_GB2312" w:cs="楷体_GB2312"/>
          <w:b/>
          <w:sz w:val="32"/>
          <w:szCs w:val="32"/>
        </w:rPr>
      </w:pPr>
      <w:bookmarkStart w:id="60" w:name="_Toc15377222"/>
      <w:r>
        <w:rPr>
          <w:rFonts w:hint="eastAsia" w:eastAsia="楷体_GB2312" w:cs="楷体_GB2312"/>
          <w:b/>
          <w:sz w:val="32"/>
          <w:szCs w:val="32"/>
        </w:rPr>
        <w:t>（一）机关运行经费支出情况</w:t>
      </w:r>
      <w:bookmarkEnd w:id="60"/>
    </w:p>
    <w:p>
      <w:pPr>
        <w:spacing w:line="600" w:lineRule="exact"/>
        <w:ind w:firstLine="640"/>
        <w:rPr>
          <w:rFonts w:hint="eastAsia" w:eastAsia="仿宋_GB2312" w:cs="仿宋_GB2312"/>
          <w:sz w:val="32"/>
          <w:szCs w:val="32"/>
        </w:rPr>
      </w:pPr>
      <w:r>
        <w:rPr>
          <w:rFonts w:hint="eastAsia" w:eastAsia="仿宋_GB2312" w:cs="仿宋_GB2312"/>
          <w:sz w:val="32"/>
          <w:szCs w:val="32"/>
        </w:rPr>
        <w:t>2024年度，四川省藏族羌族自治州中级人民法院（本级）机关运行经费支出</w:t>
      </w:r>
      <w:r>
        <w:rPr>
          <w:rFonts w:hint="eastAsia" w:eastAsia="仿宋_GB2312" w:cs="仿宋_GB2312"/>
          <w:sz w:val="32"/>
          <w:szCs w:val="32"/>
          <w:lang w:val="en-US" w:eastAsia="zh-CN"/>
        </w:rPr>
        <w:t>466.71</w:t>
      </w:r>
      <w:r>
        <w:rPr>
          <w:rFonts w:hint="eastAsia" w:eastAsia="仿宋_GB2312" w:cs="仿宋_GB2312"/>
          <w:sz w:val="32"/>
          <w:szCs w:val="32"/>
        </w:rPr>
        <w:t>万元，比2023年度增加227.39万元，增长</w:t>
      </w:r>
      <w:r>
        <w:rPr>
          <w:rFonts w:hint="eastAsia" w:eastAsia="仿宋_GB2312" w:cs="仿宋_GB2312"/>
          <w:sz w:val="32"/>
          <w:szCs w:val="32"/>
          <w:lang w:val="en-US" w:eastAsia="zh-CN"/>
        </w:rPr>
        <w:t>95</w:t>
      </w:r>
      <w:r>
        <w:rPr>
          <w:rFonts w:hint="eastAsia" w:eastAsia="仿宋_GB2312" w:cs="仿宋_GB2312"/>
          <w:sz w:val="32"/>
          <w:szCs w:val="32"/>
        </w:rPr>
        <w:t>%。主要原因是人员增加经随增加</w:t>
      </w:r>
      <w:r>
        <w:rPr>
          <w:rFonts w:hint="eastAsia" w:eastAsia="仿宋_GB2312" w:cs="仿宋_GB2312"/>
          <w:sz w:val="32"/>
          <w:szCs w:val="32"/>
          <w:lang w:eastAsia="zh-CN"/>
        </w:rPr>
        <w:t>。</w:t>
      </w:r>
    </w:p>
    <w:p>
      <w:pPr>
        <w:spacing w:line="600" w:lineRule="exact"/>
        <w:ind w:firstLine="642" w:firstLineChars="200"/>
        <w:outlineLvl w:val="9"/>
        <w:rPr>
          <w:rFonts w:eastAsia="楷体_GB2312" w:cs="楷体_GB2312"/>
          <w:b/>
          <w:sz w:val="32"/>
          <w:szCs w:val="32"/>
        </w:rPr>
      </w:pPr>
      <w:bookmarkStart w:id="61" w:name="_Toc15377223"/>
      <w:r>
        <w:rPr>
          <w:rFonts w:hint="eastAsia" w:eastAsia="楷体_GB2312" w:cs="楷体_GB2312"/>
          <w:b/>
          <w:sz w:val="32"/>
          <w:szCs w:val="32"/>
        </w:rPr>
        <w:t>（二）政府采购支出情况</w:t>
      </w:r>
      <w:bookmarkEnd w:id="61"/>
    </w:p>
    <w:p>
      <w:pPr>
        <w:spacing w:line="600" w:lineRule="exact"/>
        <w:ind w:firstLine="640"/>
        <w:rPr>
          <w:rFonts w:hint="eastAsia" w:eastAsia="仿宋_GB2312" w:cs="仿宋_GB2312"/>
          <w:sz w:val="32"/>
          <w:szCs w:val="32"/>
        </w:rPr>
      </w:pPr>
      <w:r>
        <w:rPr>
          <w:rFonts w:hint="eastAsia" w:eastAsia="仿宋_GB2312" w:cs="仿宋_GB2312"/>
          <w:sz w:val="32"/>
          <w:szCs w:val="32"/>
        </w:rPr>
        <w:t>2024年度，四川省藏族羌族自治州中级人民法院（本级）政府采购支出总额</w:t>
      </w:r>
      <w:r>
        <w:rPr>
          <w:rFonts w:hint="eastAsia" w:eastAsia="仿宋_GB2312" w:cs="仿宋_GB2312"/>
          <w:sz w:val="32"/>
          <w:szCs w:val="32"/>
          <w:lang w:val="en-US" w:eastAsia="zh-CN"/>
        </w:rPr>
        <w:t>121.8</w:t>
      </w:r>
      <w:r>
        <w:rPr>
          <w:rFonts w:hint="eastAsia" w:eastAsia="仿宋_GB2312" w:cs="仿宋_GB2312"/>
          <w:sz w:val="32"/>
          <w:szCs w:val="32"/>
        </w:rPr>
        <w:t>万元，其中：政府采购货物支出</w:t>
      </w:r>
      <w:r>
        <w:rPr>
          <w:rFonts w:hint="eastAsia" w:eastAsia="仿宋_GB2312" w:cs="仿宋_GB2312"/>
          <w:sz w:val="32"/>
          <w:szCs w:val="32"/>
          <w:lang w:val="en-US" w:eastAsia="zh-CN"/>
        </w:rPr>
        <w:t>121.8</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购买公务用车</w:t>
      </w:r>
      <w:r>
        <w:rPr>
          <w:rFonts w:hint="eastAsia" w:eastAsia="仿宋_GB2312" w:cs="仿宋_GB2312"/>
          <w:sz w:val="32"/>
          <w:szCs w:val="32"/>
        </w:rPr>
        <w:t>。授予中小企业合同金额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w:t>
      </w:r>
    </w:p>
    <w:p>
      <w:pPr>
        <w:spacing w:line="600" w:lineRule="exact"/>
        <w:ind w:firstLine="642" w:firstLineChars="200"/>
        <w:outlineLvl w:val="9"/>
        <w:rPr>
          <w:rFonts w:eastAsia="楷体_GB2312" w:cs="楷体_GB2312"/>
          <w:b/>
          <w:sz w:val="32"/>
          <w:szCs w:val="32"/>
        </w:rPr>
      </w:pPr>
      <w:bookmarkStart w:id="62" w:name="_Toc15377224"/>
      <w:r>
        <w:rPr>
          <w:rFonts w:hint="eastAsia" w:eastAsia="楷体_GB2312" w:cs="楷体_GB2312"/>
          <w:b/>
          <w:sz w:val="32"/>
          <w:szCs w:val="32"/>
        </w:rPr>
        <w:t>（三）国有资产占有使用情况</w:t>
      </w:r>
      <w:bookmarkEnd w:id="62"/>
    </w:p>
    <w:p>
      <w:pPr>
        <w:spacing w:line="600" w:lineRule="exact"/>
        <w:ind w:firstLine="640"/>
        <w:rPr>
          <w:rFonts w:hint="eastAsia" w:eastAsia="仿宋_GB2312" w:cs="仿宋_GB2312"/>
          <w:sz w:val="32"/>
          <w:szCs w:val="32"/>
        </w:rPr>
      </w:pPr>
      <w:r>
        <w:rPr>
          <w:rFonts w:hint="eastAsia" w:eastAsia="仿宋_GB2312" w:cs="仿宋_GB2312"/>
          <w:sz w:val="32"/>
          <w:szCs w:val="32"/>
        </w:rPr>
        <w:t>截至2024年12月31日，四川省藏族羌族自治州中级人民法院（本级）共有车辆</w:t>
      </w:r>
      <w:r>
        <w:rPr>
          <w:rFonts w:hint="eastAsia" w:eastAsia="仿宋_GB2312" w:cs="仿宋_GB2312"/>
          <w:sz w:val="32"/>
          <w:szCs w:val="32"/>
          <w:lang w:val="en-US" w:eastAsia="zh-CN"/>
        </w:rPr>
        <w:t>24</w:t>
      </w:r>
      <w:r>
        <w:rPr>
          <w:rFonts w:hint="eastAsia" w:eastAsia="仿宋_GB2312" w:cs="仿宋_GB2312"/>
          <w:sz w:val="32"/>
          <w:szCs w:val="32"/>
        </w:rPr>
        <w:t>辆，其中：应急保障用车</w:t>
      </w:r>
      <w:r>
        <w:rPr>
          <w:rFonts w:hint="eastAsia" w:eastAsia="仿宋_GB2312" w:cs="仿宋_GB2312"/>
          <w:sz w:val="32"/>
          <w:szCs w:val="32"/>
          <w:lang w:val="en-US" w:eastAsia="zh-CN"/>
        </w:rPr>
        <w:t>4</w:t>
      </w:r>
      <w:r>
        <w:rPr>
          <w:rFonts w:hint="eastAsia" w:eastAsia="仿宋_GB2312" w:cs="仿宋_GB2312"/>
          <w:sz w:val="32"/>
          <w:szCs w:val="32"/>
        </w:rPr>
        <w:t>辆、</w:t>
      </w:r>
      <w:r>
        <w:rPr>
          <w:rFonts w:hint="eastAsia" w:eastAsia="仿宋_GB2312" w:cs="仿宋_GB2312"/>
          <w:sz w:val="32"/>
          <w:szCs w:val="32"/>
          <w:lang w:val="en-US" w:eastAsia="zh-CN"/>
        </w:rPr>
        <w:t>执法执勤</w:t>
      </w:r>
      <w:r>
        <w:rPr>
          <w:rFonts w:hint="eastAsia" w:eastAsia="仿宋_GB2312" w:cs="仿宋_GB2312"/>
          <w:sz w:val="32"/>
          <w:szCs w:val="32"/>
        </w:rPr>
        <w:t>用车</w:t>
      </w:r>
      <w:r>
        <w:rPr>
          <w:rFonts w:hint="eastAsia" w:eastAsia="仿宋_GB2312" w:cs="仿宋_GB2312"/>
          <w:sz w:val="32"/>
          <w:szCs w:val="32"/>
          <w:lang w:val="en-US" w:eastAsia="zh-CN"/>
        </w:rPr>
        <w:t>11</w:t>
      </w:r>
      <w:r>
        <w:rPr>
          <w:rFonts w:hint="eastAsia" w:eastAsia="仿宋_GB2312" w:cs="仿宋_GB2312"/>
          <w:sz w:val="32"/>
          <w:szCs w:val="32"/>
        </w:rPr>
        <w:t>辆，</w:t>
      </w:r>
      <w:r>
        <w:rPr>
          <w:rFonts w:hint="eastAsia" w:eastAsia="仿宋_GB2312" w:cs="仿宋_GB2312"/>
          <w:sz w:val="32"/>
          <w:szCs w:val="32"/>
          <w:lang w:val="en-US" w:eastAsia="zh-CN"/>
        </w:rPr>
        <w:t>特种专业技术用车9辆。</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pPr>
        <w:spacing w:line="600" w:lineRule="exact"/>
        <w:ind w:firstLine="642" w:firstLineChars="200"/>
        <w:outlineLvl w:val="9"/>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根据预算绩效管理要求，四川省藏族羌族自治州中级人民法院（本级）在2024年度预算编制阶段，组织对破产案件费用专项基金</w:t>
      </w:r>
      <w:r>
        <w:rPr>
          <w:rFonts w:hint="eastAsia" w:eastAsia="仿宋_GB2312" w:cs="仿宋_GB2312"/>
          <w:sz w:val="32"/>
          <w:szCs w:val="32"/>
          <w:lang w:eastAsia="zh-CN"/>
        </w:rPr>
        <w:t>、制服购买</w:t>
      </w:r>
      <w:r>
        <w:rPr>
          <w:rFonts w:hint="eastAsia" w:eastAsia="仿宋_GB2312" w:cs="仿宋_GB2312"/>
          <w:sz w:val="32"/>
          <w:szCs w:val="32"/>
        </w:rPr>
        <w:t>等</w:t>
      </w:r>
      <w:r>
        <w:rPr>
          <w:rFonts w:hint="eastAsia" w:eastAsia="仿宋_GB2312" w:cs="仿宋_GB2312"/>
          <w:sz w:val="32"/>
          <w:szCs w:val="32"/>
          <w:lang w:val="en-US" w:eastAsia="zh-CN"/>
        </w:rPr>
        <w:t>24</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24</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24</w:t>
      </w:r>
      <w:r>
        <w:rPr>
          <w:rFonts w:hint="eastAsia" w:eastAsia="仿宋_GB2312" w:cs="仿宋_GB2312"/>
          <w:sz w:val="32"/>
          <w:szCs w:val="32"/>
        </w:rPr>
        <w:t>个项目开展绩效监控。</w:t>
      </w:r>
      <w:r>
        <w:rPr>
          <w:rFonts w:hint="eastAsia" w:eastAsia="仿宋_GB2312" w:cs="仿宋_GB2312"/>
          <w:sz w:val="32"/>
          <w:szCs w:val="32"/>
        </w:rPr>
        <w:br w:type="page"/>
      </w:r>
    </w:p>
    <w:p>
      <w:pPr>
        <w:spacing w:line="600" w:lineRule="exact"/>
        <w:jc w:val="center"/>
        <w:outlineLvl w:val="0"/>
        <w:rPr>
          <w:rFonts w:eastAsia="黑体"/>
          <w:sz w:val="44"/>
          <w:szCs w:val="44"/>
        </w:rPr>
      </w:pPr>
      <w:bookmarkStart w:id="63" w:name="_Toc15524"/>
      <w:bookmarkStart w:id="64" w:name="_Toc15377225"/>
      <w:bookmarkStart w:id="65" w:name="_Toc15396613"/>
      <w:r>
        <w:rPr>
          <w:rFonts w:hint="eastAsia" w:eastAsia="黑体"/>
          <w:sz w:val="44"/>
          <w:szCs w:val="44"/>
        </w:rPr>
        <w:t>第三部分  名词解释</w:t>
      </w:r>
      <w:bookmarkEnd w:id="63"/>
      <w:bookmarkEnd w:id="64"/>
      <w:bookmarkEnd w:id="65"/>
    </w:p>
    <w:p>
      <w:pPr>
        <w:spacing w:line="600" w:lineRule="exact"/>
        <w:jc w:val="left"/>
        <w:rPr>
          <w:b/>
          <w:sz w:val="44"/>
          <w:szCs w:val="44"/>
        </w:rPr>
      </w:pP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财政拨款收入：指单位从同级财政部门取得的财政预算资金。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事业收入：指事业单位开展专业业务活动及辅助活动取得的收入。</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经营收入：指事业单位在专业业务活动及其辅助活动之外开展非独立核算经营活动取得的收入。</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其他收入：指单位取得的除上述收入以外的各项收入。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使用非财政拨款结余（含专用结余）：指事业单位使用以前年度积累的非财政拨款结余弥补当年收支差额的金额。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年初结转和结余：指以前年度尚未完成、结转到本年按有关规定继续使用的资金。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结余分配：指事业单位按照会计制度规定缴纳的所得税、提取的专用结余以及转入非财政拨款结余的金额等。</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年末结转和结余：指单位按有关规定结转到下年或以后年度继续使用的资金。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公共安全支出（类）法院（款）行政运行（项）：反映行政单位(包括实行公务员管理的事业单位)的基本支出。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公共安全支出（类）法院（款）一般行政管理事务（项）: 反映行政单位(包括实行公务员管理的事业单位)未单独设置项级科目的其他项目支出。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公共安全支出（类）法院（款）案件执行（项）:反映人民法院对刑事、民事、行政、涉外等案件执行活动和对各种非诉执行活动的支出。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lang w:val="en-US" w:eastAsia="zh-CN"/>
        </w:rPr>
        <w:t>教育支出</w:t>
      </w:r>
      <w:r>
        <w:rPr>
          <w:rFonts w:hint="eastAsia" w:eastAsia="仿宋_GB2312" w:cs="仿宋_GB2312"/>
          <w:sz w:val="32"/>
          <w:szCs w:val="32"/>
        </w:rPr>
        <w:t>（类）</w:t>
      </w:r>
      <w:r>
        <w:rPr>
          <w:rFonts w:hint="eastAsia" w:eastAsia="仿宋_GB2312" w:cs="仿宋_GB2312"/>
          <w:sz w:val="32"/>
          <w:szCs w:val="32"/>
          <w:lang w:val="en-US" w:eastAsia="zh-CN"/>
        </w:rPr>
        <w:t>其他教育支出</w:t>
      </w:r>
      <w:r>
        <w:rPr>
          <w:rFonts w:hint="eastAsia" w:eastAsia="仿宋_GB2312" w:cs="仿宋_GB2312"/>
          <w:sz w:val="32"/>
          <w:szCs w:val="32"/>
        </w:rPr>
        <w:t>（款）</w:t>
      </w:r>
      <w:r>
        <w:rPr>
          <w:rFonts w:hint="eastAsia" w:eastAsia="仿宋_GB2312" w:cs="仿宋_GB2312"/>
          <w:sz w:val="32"/>
          <w:szCs w:val="32"/>
          <w:lang w:val="en-US" w:eastAsia="zh-CN"/>
        </w:rPr>
        <w:t>其他教育支出</w:t>
      </w:r>
      <w:r>
        <w:rPr>
          <w:rFonts w:hint="eastAsia" w:eastAsia="仿宋_GB2312" w:cs="仿宋_GB2312"/>
          <w:sz w:val="32"/>
          <w:szCs w:val="32"/>
        </w:rPr>
        <w:t>（项）: 反映除上述项目以外其他用于教育方面的支出。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社会保障和就业支出（类）行政事业单位养老支出（款）机关事业单位基本养老保险缴费支出（项）：反映机关事业单位实施养老保险制度由单位缴纳的基本养老保险费支出。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社会保障和就业支出（类）行政事业单位养老支出（款）机关事业单位职业年金缴费支出（项）：反映机关事业单位实施养老保险制度由单位实际缴纳的职业年金支出。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卫生健康支出（类）行政事业单位医疗（款）公务员医疗补助（项）：反映财政部门安排的公务员医疗补助经费。</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住房保障支出（类）住房改革支出（款）住房公积金（项）：反映行政事业单位按人力资源和社会保障部、财政部规定的 基本工资和津贴补贴以及规定比例为职工缴纳的住房公积金。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住房保障支出（类）住房改革支出（款）购房补贴（项）：反映按房改政策规定，行政事业单位向符合条件职工(含离退休人员)、军队(含武警)向转役复员离退休人员发放的用 于购买住房的补贴。</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基本支出：指为保障机构正常运转、完成日常工作任务而发生的人员支出和公用支出。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项目支出：指在基本支出之外为完成特定行政任务和事业发展目标所发生的支出。 </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经营支出：指事业单位在专业业务活动及其辅助活动之外开展非独立核算经营活动发生的支出。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eastAsia="仿宋_GB2312" w:cs="仿宋_GB2312"/>
          <w:b/>
          <w:bCs/>
          <w:sz w:val="32"/>
          <w:szCs w:val="32"/>
        </w:rPr>
      </w:pPr>
    </w:p>
    <w:p>
      <w:pPr>
        <w:spacing w:line="600" w:lineRule="exact"/>
        <w:jc w:val="center"/>
        <w:outlineLvl w:val="0"/>
        <w:rPr>
          <w:rFonts w:eastAsia="黑体" w:cs="黑体"/>
          <w:color w:val="FF0000"/>
          <w:sz w:val="32"/>
          <w:szCs w:val="32"/>
        </w:rPr>
      </w:pPr>
      <w:bookmarkStart w:id="66" w:name="_Toc15377226"/>
      <w:r>
        <w:rPr>
          <w:rFonts w:hint="eastAsia" w:eastAsia="仿宋_GB2312" w:cs="仿宋_GB2312"/>
          <w:sz w:val="32"/>
          <w:szCs w:val="32"/>
        </w:rPr>
        <w:br w:type="page"/>
      </w:r>
      <w:bookmarkStart w:id="67" w:name="_Toc23214"/>
      <w:bookmarkStart w:id="68" w:name="_Toc15396614"/>
      <w:r>
        <w:rPr>
          <w:rFonts w:hint="eastAsia" w:eastAsia="黑体"/>
          <w:sz w:val="44"/>
          <w:szCs w:val="44"/>
        </w:rPr>
        <w:t>第四部分  附件</w:t>
      </w:r>
      <w:bookmarkEnd w:id="67"/>
      <w:bookmarkEnd w:id="68"/>
    </w:p>
    <w:p>
      <w:pPr>
        <w:spacing w:line="578" w:lineRule="exact"/>
        <w:ind w:firstLine="640"/>
        <w:rPr>
          <w:rFonts w:hint="eastAsia" w:eastAsia="方正小标宋简体"/>
          <w:bCs/>
          <w:sz w:val="44"/>
          <w:szCs w:val="44"/>
          <w:shd w:val="clear" w:color="auto" w:fill="FFFFFF"/>
          <w:lang w:eastAsia="zh-CN"/>
        </w:rPr>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pPr>
      <w:r>
        <w:drawing>
          <wp:anchor distT="0" distB="0" distL="114300" distR="114300" simplePos="0" relativeHeight="251661312" behindDoc="0" locked="0" layoutInCell="1" allowOverlap="1">
            <wp:simplePos x="0" y="0"/>
            <wp:positionH relativeFrom="column">
              <wp:posOffset>29210</wp:posOffset>
            </wp:positionH>
            <wp:positionV relativeFrom="paragraph">
              <wp:posOffset>529590</wp:posOffset>
            </wp:positionV>
            <wp:extent cx="5266690" cy="4535170"/>
            <wp:effectExtent l="0" t="0" r="3810" b="11430"/>
            <wp:wrapSquare wrapText="bothSides"/>
            <wp:docPr id="15"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true"/>
                    </pic:cNvPicPr>
                  </pic:nvPicPr>
                  <pic:blipFill>
                    <a:blip r:embed="rId18"/>
                    <a:stretch>
                      <a:fillRect/>
                    </a:stretch>
                  </pic:blipFill>
                  <pic:spPr>
                    <a:xfrm>
                      <a:off x="0" y="0"/>
                      <a:ext cx="5266690" cy="4535170"/>
                    </a:xfrm>
                    <a:prstGeom prst="rect">
                      <a:avLst/>
                    </a:prstGeom>
                    <a:noFill/>
                    <a:ln>
                      <a:noFill/>
                    </a:ln>
                  </pic:spPr>
                </pic:pic>
              </a:graphicData>
            </a:graphic>
          </wp:anchor>
        </w:drawing>
      </w:r>
      <w:r>
        <w:rPr>
          <w:rFonts w:hint="eastAsia" w:eastAsia="方正小标宋简体"/>
          <w:bCs/>
          <w:sz w:val="44"/>
          <w:szCs w:val="44"/>
          <w:shd w:val="clear" w:color="auto" w:fill="FFFFFF"/>
          <w:lang w:eastAsia="zh-CN"/>
        </w:rPr>
        <w:br w:type="textWrapping"/>
      </w:r>
      <w:bookmarkStart w:id="69" w:name="_Toc15396618"/>
    </w:p>
    <w:p>
      <w:pPr>
        <w:spacing w:line="578" w:lineRule="exact"/>
        <w:rPr>
          <w:rFonts w:hint="eastAsia" w:eastAsia="仿宋_GB2312" w:cs="仿宋_GB2312"/>
          <w:kern w:val="0"/>
          <w:sz w:val="32"/>
          <w:szCs w:val="32"/>
        </w:rPr>
        <w:sectPr>
          <w:pgSz w:w="11906" w:h="16838"/>
          <w:pgMar w:top="1440" w:right="1800" w:bottom="1440" w:left="1800" w:header="851" w:footer="992" w:gutter="0"/>
          <w:pgNumType w:fmt="numberInDash"/>
          <w:cols w:space="425" w:num="1"/>
          <w:titlePg/>
          <w:docGrid w:type="lines" w:linePitch="312" w:charSpace="0"/>
        </w:sectPr>
      </w:pPr>
      <w:r>
        <w:drawing>
          <wp:anchor distT="0" distB="0" distL="114300" distR="114300" simplePos="0" relativeHeight="251662336" behindDoc="0" locked="0" layoutInCell="1" allowOverlap="1">
            <wp:simplePos x="0" y="0"/>
            <wp:positionH relativeFrom="column">
              <wp:posOffset>15240</wp:posOffset>
            </wp:positionH>
            <wp:positionV relativeFrom="paragraph">
              <wp:posOffset>107315</wp:posOffset>
            </wp:positionV>
            <wp:extent cx="5266690" cy="4486910"/>
            <wp:effectExtent l="0" t="0" r="3810" b="8890"/>
            <wp:wrapSquare wrapText="bothSides"/>
            <wp:docPr id="17"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true"/>
                    </pic:cNvPicPr>
                  </pic:nvPicPr>
                  <pic:blipFill>
                    <a:blip r:embed="rId19"/>
                    <a:stretch>
                      <a:fillRect/>
                    </a:stretch>
                  </pic:blipFill>
                  <pic:spPr>
                    <a:xfrm>
                      <a:off x="0" y="0"/>
                      <a:ext cx="5266690" cy="4486910"/>
                    </a:xfrm>
                    <a:prstGeom prst="rect">
                      <a:avLst/>
                    </a:prstGeom>
                    <a:noFill/>
                    <a:ln>
                      <a:noFill/>
                    </a:ln>
                  </pic:spPr>
                </pic:pic>
              </a:graphicData>
            </a:graphic>
          </wp:anchor>
        </w:drawing>
      </w:r>
    </w:p>
    <w:p>
      <w:pPr>
        <w:spacing w:line="578" w:lineRule="exact"/>
        <w:rPr>
          <w:rFonts w:hint="eastAsia" w:eastAsia="仿宋_GB2312" w:cs="仿宋_GB2312"/>
          <w:kern w:val="0"/>
          <w:sz w:val="32"/>
          <w:szCs w:val="32"/>
        </w:rPr>
        <w:sectPr>
          <w:pgSz w:w="11906" w:h="16838"/>
          <w:pgMar w:top="1440" w:right="1800" w:bottom="1440" w:left="1800" w:header="851" w:footer="992" w:gutter="0"/>
          <w:pgNumType w:fmt="numberInDash"/>
          <w:cols w:space="425" w:num="1"/>
          <w:titlePg/>
          <w:docGrid w:type="lines" w:linePitch="312" w:charSpace="0"/>
        </w:sectPr>
      </w:pPr>
      <w:r>
        <w:drawing>
          <wp:anchor distT="0" distB="0" distL="114300" distR="114300" simplePos="0" relativeHeight="251663360" behindDoc="0" locked="0" layoutInCell="1" allowOverlap="1">
            <wp:simplePos x="0" y="0"/>
            <wp:positionH relativeFrom="column">
              <wp:posOffset>13970</wp:posOffset>
            </wp:positionH>
            <wp:positionV relativeFrom="paragraph">
              <wp:posOffset>85090</wp:posOffset>
            </wp:positionV>
            <wp:extent cx="5266690" cy="4681855"/>
            <wp:effectExtent l="0" t="0" r="3810" b="4445"/>
            <wp:wrapSquare wrapText="bothSides"/>
            <wp:docPr id="18"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true"/>
                    </pic:cNvPicPr>
                  </pic:nvPicPr>
                  <pic:blipFill>
                    <a:blip r:embed="rId20"/>
                    <a:stretch>
                      <a:fillRect/>
                    </a:stretch>
                  </pic:blipFill>
                  <pic:spPr>
                    <a:xfrm>
                      <a:off x="0" y="0"/>
                      <a:ext cx="5266690" cy="4681855"/>
                    </a:xfrm>
                    <a:prstGeom prst="rect">
                      <a:avLst/>
                    </a:prstGeom>
                    <a:noFill/>
                    <a:ln>
                      <a:noFill/>
                    </a:ln>
                  </pic:spPr>
                </pic:pic>
              </a:graphicData>
            </a:graphic>
          </wp:anchor>
        </w:drawing>
      </w:r>
      <w:r>
        <w:rPr>
          <w:rFonts w:hint="eastAsia" w:eastAsia="仿宋_GB2312" w:cs="仿宋_GB2312"/>
          <w:kern w:val="0"/>
          <w:sz w:val="32"/>
          <w:szCs w:val="32"/>
        </w:rPr>
        <w:br w:type="page"/>
      </w:r>
    </w:p>
    <w:p>
      <w:pPr>
        <w:pStyle w:val="2"/>
        <w:sectPr>
          <w:footerReference r:id="rId9" w:type="first"/>
          <w:footerReference r:id="rId8" w:type="default"/>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250690"/>
            <wp:effectExtent l="0" t="0" r="3810" b="3810"/>
            <wp:docPr id="19"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true"/>
                    </pic:cNvPicPr>
                  </pic:nvPicPr>
                  <pic:blipFill>
                    <a:blip r:embed="rId21"/>
                    <a:stretch>
                      <a:fillRect/>
                    </a:stretch>
                  </pic:blipFill>
                  <pic:spPr>
                    <a:xfrm>
                      <a:off x="0" y="0"/>
                      <a:ext cx="5266690" cy="425069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084320"/>
            <wp:effectExtent l="0" t="0" r="3810" b="5080"/>
            <wp:docPr id="20"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true"/>
                    </pic:cNvPicPr>
                  </pic:nvPicPr>
                  <pic:blipFill>
                    <a:blip r:embed="rId22"/>
                    <a:stretch>
                      <a:fillRect/>
                    </a:stretch>
                  </pic:blipFill>
                  <pic:spPr>
                    <a:xfrm>
                      <a:off x="0" y="0"/>
                      <a:ext cx="5266690" cy="408432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3901440"/>
            <wp:effectExtent l="0" t="0" r="3810" b="10160"/>
            <wp:docPr id="21"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true"/>
                    </pic:cNvPicPr>
                  </pic:nvPicPr>
                  <pic:blipFill>
                    <a:blip r:embed="rId23"/>
                    <a:stretch>
                      <a:fillRect/>
                    </a:stretch>
                  </pic:blipFill>
                  <pic:spPr>
                    <a:xfrm>
                      <a:off x="0" y="0"/>
                      <a:ext cx="5266690" cy="390144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807585"/>
            <wp:effectExtent l="0" t="0" r="3810" b="5715"/>
            <wp:docPr id="22"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true"/>
                    </pic:cNvPicPr>
                  </pic:nvPicPr>
                  <pic:blipFill>
                    <a:blip r:embed="rId24"/>
                    <a:stretch>
                      <a:fillRect/>
                    </a:stretch>
                  </pic:blipFill>
                  <pic:spPr>
                    <a:xfrm>
                      <a:off x="0" y="0"/>
                      <a:ext cx="5266690" cy="4807585"/>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389120"/>
            <wp:effectExtent l="0" t="0" r="3810" b="5080"/>
            <wp:docPr id="23"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true"/>
                    </pic:cNvPicPr>
                  </pic:nvPicPr>
                  <pic:blipFill>
                    <a:blip r:embed="rId25"/>
                    <a:stretch>
                      <a:fillRect/>
                    </a:stretch>
                  </pic:blipFill>
                  <pic:spPr>
                    <a:xfrm>
                      <a:off x="0" y="0"/>
                      <a:ext cx="5266690" cy="438912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389120"/>
            <wp:effectExtent l="0" t="0" r="3810" b="5080"/>
            <wp:docPr id="24"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17"/>
                    <pic:cNvPicPr>
                      <a:picLocks noChangeAspect="true"/>
                    </pic:cNvPicPr>
                  </pic:nvPicPr>
                  <pic:blipFill>
                    <a:blip r:embed="rId26"/>
                    <a:stretch>
                      <a:fillRect/>
                    </a:stretch>
                  </pic:blipFill>
                  <pic:spPr>
                    <a:xfrm>
                      <a:off x="0" y="0"/>
                      <a:ext cx="5266690" cy="438912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535170"/>
            <wp:effectExtent l="0" t="0" r="3810" b="11430"/>
            <wp:docPr id="25"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true"/>
                    </pic:cNvPicPr>
                  </pic:nvPicPr>
                  <pic:blipFill>
                    <a:blip r:embed="rId27"/>
                    <a:stretch>
                      <a:fillRect/>
                    </a:stretch>
                  </pic:blipFill>
                  <pic:spPr>
                    <a:xfrm>
                      <a:off x="0" y="0"/>
                      <a:ext cx="5266690" cy="453517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250690"/>
            <wp:effectExtent l="0" t="0" r="3810" b="3810"/>
            <wp:docPr id="26"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19"/>
                    <pic:cNvPicPr>
                      <a:picLocks noChangeAspect="true"/>
                    </pic:cNvPicPr>
                  </pic:nvPicPr>
                  <pic:blipFill>
                    <a:blip r:embed="rId28"/>
                    <a:stretch>
                      <a:fillRect/>
                    </a:stretch>
                  </pic:blipFill>
                  <pic:spPr>
                    <a:xfrm>
                      <a:off x="0" y="0"/>
                      <a:ext cx="5266690" cy="425069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568190"/>
            <wp:effectExtent l="0" t="0" r="3810" b="3810"/>
            <wp:docPr id="27"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0"/>
                    <pic:cNvPicPr>
                      <a:picLocks noChangeAspect="true"/>
                    </pic:cNvPicPr>
                  </pic:nvPicPr>
                  <pic:blipFill>
                    <a:blip r:embed="rId29"/>
                    <a:stretch>
                      <a:fillRect/>
                    </a:stretch>
                  </pic:blipFill>
                  <pic:spPr>
                    <a:xfrm>
                      <a:off x="0" y="0"/>
                      <a:ext cx="5266690" cy="456819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433570"/>
            <wp:effectExtent l="0" t="0" r="3810" b="11430"/>
            <wp:docPr id="28"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1"/>
                    <pic:cNvPicPr>
                      <a:picLocks noChangeAspect="true"/>
                    </pic:cNvPicPr>
                  </pic:nvPicPr>
                  <pic:blipFill>
                    <a:blip r:embed="rId30"/>
                    <a:stretch>
                      <a:fillRect/>
                    </a:stretch>
                  </pic:blipFill>
                  <pic:spPr>
                    <a:xfrm>
                      <a:off x="0" y="0"/>
                      <a:ext cx="5266690" cy="443357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486910"/>
            <wp:effectExtent l="0" t="0" r="3810" b="8890"/>
            <wp:docPr id="29"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2"/>
                    <pic:cNvPicPr>
                      <a:picLocks noChangeAspect="true"/>
                    </pic:cNvPicPr>
                  </pic:nvPicPr>
                  <pic:blipFill>
                    <a:blip r:embed="rId31"/>
                    <a:stretch>
                      <a:fillRect/>
                    </a:stretch>
                  </pic:blipFill>
                  <pic:spPr>
                    <a:xfrm>
                      <a:off x="0" y="0"/>
                      <a:ext cx="5266690" cy="448691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389120"/>
            <wp:effectExtent l="0" t="0" r="3810" b="5080"/>
            <wp:docPr id="30"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true"/>
                    </pic:cNvPicPr>
                  </pic:nvPicPr>
                  <pic:blipFill>
                    <a:blip r:embed="rId32"/>
                    <a:stretch>
                      <a:fillRect/>
                    </a:stretch>
                  </pic:blipFill>
                  <pic:spPr>
                    <a:xfrm>
                      <a:off x="0" y="0"/>
                      <a:ext cx="5266690" cy="438912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535170"/>
            <wp:effectExtent l="0" t="0" r="3810" b="11430"/>
            <wp:docPr id="31"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true"/>
                    </pic:cNvPicPr>
                  </pic:nvPicPr>
                  <pic:blipFill>
                    <a:blip r:embed="rId33"/>
                    <a:stretch>
                      <a:fillRect/>
                    </a:stretch>
                  </pic:blipFill>
                  <pic:spPr>
                    <a:xfrm>
                      <a:off x="0" y="0"/>
                      <a:ext cx="5266690" cy="453517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389120"/>
            <wp:effectExtent l="0" t="0" r="3810" b="5080"/>
            <wp:docPr id="32"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true"/>
                    </pic:cNvPicPr>
                  </pic:nvPicPr>
                  <pic:blipFill>
                    <a:blip r:embed="rId34"/>
                    <a:stretch>
                      <a:fillRect/>
                    </a:stretch>
                  </pic:blipFill>
                  <pic:spPr>
                    <a:xfrm>
                      <a:off x="0" y="0"/>
                      <a:ext cx="5266690" cy="438912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121150"/>
            <wp:effectExtent l="0" t="0" r="3810" b="6350"/>
            <wp:docPr id="33"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26"/>
                    <pic:cNvPicPr>
                      <a:picLocks noChangeAspect="true"/>
                    </pic:cNvPicPr>
                  </pic:nvPicPr>
                  <pic:blipFill>
                    <a:blip r:embed="rId35"/>
                    <a:stretch>
                      <a:fillRect/>
                    </a:stretch>
                  </pic:blipFill>
                  <pic:spPr>
                    <a:xfrm>
                      <a:off x="0" y="0"/>
                      <a:ext cx="5266690" cy="412115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352290"/>
            <wp:effectExtent l="0" t="0" r="3810" b="3810"/>
            <wp:docPr id="34"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true"/>
                    </pic:cNvPicPr>
                  </pic:nvPicPr>
                  <pic:blipFill>
                    <a:blip r:embed="rId36"/>
                    <a:stretch>
                      <a:fillRect/>
                    </a:stretch>
                  </pic:blipFill>
                  <pic:spPr>
                    <a:xfrm>
                      <a:off x="0" y="0"/>
                      <a:ext cx="5266690" cy="435229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401185"/>
            <wp:effectExtent l="0" t="0" r="3810" b="5715"/>
            <wp:docPr id="35"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true"/>
                    </pic:cNvPicPr>
                  </pic:nvPicPr>
                  <pic:blipFill>
                    <a:blip r:embed="rId37"/>
                    <a:stretch>
                      <a:fillRect/>
                    </a:stretch>
                  </pic:blipFill>
                  <pic:spPr>
                    <a:xfrm>
                      <a:off x="0" y="0"/>
                      <a:ext cx="5266690" cy="4401185"/>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084320"/>
            <wp:effectExtent l="0" t="0" r="3810" b="5080"/>
            <wp:docPr id="36"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true"/>
                    </pic:cNvPicPr>
                  </pic:nvPicPr>
                  <pic:blipFill>
                    <a:blip r:embed="rId38"/>
                    <a:stretch>
                      <a:fillRect/>
                    </a:stretch>
                  </pic:blipFill>
                  <pic:spPr>
                    <a:xfrm>
                      <a:off x="0" y="0"/>
                      <a:ext cx="5266690" cy="408432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267200"/>
            <wp:effectExtent l="0" t="0" r="3810" b="0"/>
            <wp:docPr id="37" name="图片 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30"/>
                    <pic:cNvPicPr>
                      <a:picLocks noChangeAspect="true"/>
                    </pic:cNvPicPr>
                  </pic:nvPicPr>
                  <pic:blipFill>
                    <a:blip r:embed="rId39"/>
                    <a:stretch>
                      <a:fillRect/>
                    </a:stretch>
                  </pic:blipFill>
                  <pic:spPr>
                    <a:xfrm>
                      <a:off x="0" y="0"/>
                      <a:ext cx="5266690" cy="4267200"/>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401185"/>
            <wp:effectExtent l="0" t="0" r="3810" b="5715"/>
            <wp:docPr id="38"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true"/>
                    </pic:cNvPicPr>
                  </pic:nvPicPr>
                  <pic:blipFill>
                    <a:blip r:embed="rId40"/>
                    <a:stretch>
                      <a:fillRect/>
                    </a:stretch>
                  </pic:blipFill>
                  <pic:spPr>
                    <a:xfrm>
                      <a:off x="0" y="0"/>
                      <a:ext cx="5266690" cy="4401185"/>
                    </a:xfrm>
                    <a:prstGeom prst="rect">
                      <a:avLst/>
                    </a:prstGeom>
                    <a:noFill/>
                    <a:ln>
                      <a:noFill/>
                    </a:ln>
                  </pic:spPr>
                </pic:pic>
              </a:graphicData>
            </a:graphic>
          </wp:inline>
        </w:drawing>
      </w:r>
    </w:p>
    <w:p>
      <w:pPr>
        <w:pStyle w:val="3"/>
        <w:ind w:left="0" w:leftChars="0" w:firstLine="0" w:firstLineChars="0"/>
        <w:sectPr>
          <w:pgSz w:w="11906" w:h="16838"/>
          <w:pgMar w:top="1440" w:right="1800" w:bottom="1440" w:left="1800" w:header="851" w:footer="992" w:gutter="0"/>
          <w:pgNumType w:fmt="numberInDash"/>
          <w:cols w:space="425" w:num="1"/>
          <w:titlePg/>
          <w:docGrid w:type="lines" w:linePitch="312" w:charSpace="0"/>
        </w:sectPr>
      </w:pPr>
      <w:r>
        <w:drawing>
          <wp:inline distT="0" distB="0" distL="114300" distR="114300">
            <wp:extent cx="5266690" cy="4401185"/>
            <wp:effectExtent l="0" t="0" r="3810" b="5715"/>
            <wp:docPr id="39"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true"/>
                    </pic:cNvPicPr>
                  </pic:nvPicPr>
                  <pic:blipFill>
                    <a:blip r:embed="rId41"/>
                    <a:stretch>
                      <a:fillRect/>
                    </a:stretch>
                  </pic:blipFill>
                  <pic:spPr>
                    <a:xfrm>
                      <a:off x="0" y="0"/>
                      <a:ext cx="5266690" cy="4401185"/>
                    </a:xfrm>
                    <a:prstGeom prst="rect">
                      <a:avLst/>
                    </a:prstGeom>
                    <a:noFill/>
                    <a:ln>
                      <a:noFill/>
                    </a:ln>
                  </pic:spPr>
                </pic:pic>
              </a:graphicData>
            </a:graphic>
          </wp:inline>
        </w:drawing>
      </w:r>
    </w:p>
    <w:p>
      <w:pPr>
        <w:widowControl/>
        <w:jc w:val="center"/>
        <w:outlineLvl w:val="0"/>
        <w:rPr>
          <w:rFonts w:eastAsia="仿宋"/>
        </w:rPr>
      </w:pPr>
      <w:bookmarkStart w:id="70" w:name="_Toc3581"/>
      <w:r>
        <w:rPr>
          <w:rFonts w:hint="eastAsia" w:eastAsia="黑体"/>
          <w:sz w:val="44"/>
          <w:szCs w:val="44"/>
        </w:rPr>
        <w:t>第</w:t>
      </w:r>
      <w:r>
        <w:rPr>
          <w:rStyle w:val="28"/>
          <w:rFonts w:hint="eastAsia" w:eastAsia="黑体"/>
          <w:b w:val="0"/>
        </w:rPr>
        <w:t>五部分 附表</w:t>
      </w:r>
      <w:bookmarkEnd w:id="66"/>
      <w:bookmarkEnd w:id="69"/>
      <w:bookmarkEnd w:id="70"/>
      <w:bookmarkStart w:id="71"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outlineLvl w:val="0"/>
        <w:rPr>
          <w:rFonts w:eastAsia="仿宋_GB2312" w:cs="仿宋_GB2312"/>
          <w:sz w:val="32"/>
          <w:szCs w:val="32"/>
        </w:rPr>
      </w:pPr>
      <w:bookmarkStart w:id="72" w:name="_Toc12986"/>
      <w:r>
        <w:rPr>
          <w:rFonts w:hint="eastAsia" w:eastAsia="仿宋_GB2312" w:cs="仿宋_GB2312"/>
          <w:sz w:val="32"/>
          <w:szCs w:val="32"/>
        </w:rPr>
        <w:t>一、收入支出决算总表</w:t>
      </w:r>
      <w:bookmarkEnd w:id="71"/>
      <w:bookmarkEnd w:id="72"/>
    </w:p>
    <w:p>
      <w:pPr>
        <w:pStyle w:val="14"/>
        <w:adjustRightInd w:val="0"/>
        <w:snapToGrid w:val="0"/>
        <w:spacing w:line="560" w:lineRule="exact"/>
        <w:jc w:val="left"/>
        <w:outlineLvl w:val="0"/>
        <w:rPr>
          <w:rFonts w:hint="eastAsia" w:eastAsia="仿宋_GB2312" w:cs="仿宋_GB2312"/>
          <w:sz w:val="32"/>
          <w:szCs w:val="32"/>
        </w:rPr>
      </w:pPr>
      <w:bookmarkStart w:id="73" w:name="_Toc5047"/>
      <w:bookmarkStart w:id="74" w:name="_Toc15396620"/>
      <w:r>
        <w:rPr>
          <w:rFonts w:hint="eastAsia" w:eastAsia="仿宋_GB2312" w:cs="仿宋_GB2312"/>
          <w:sz w:val="32"/>
          <w:szCs w:val="32"/>
        </w:rPr>
        <w:t>二、收入决算表</w:t>
      </w:r>
      <w:bookmarkEnd w:id="73"/>
      <w:bookmarkEnd w:id="74"/>
    </w:p>
    <w:p>
      <w:pPr>
        <w:pStyle w:val="14"/>
        <w:adjustRightInd w:val="0"/>
        <w:snapToGrid w:val="0"/>
        <w:spacing w:line="560" w:lineRule="exact"/>
        <w:jc w:val="left"/>
        <w:outlineLvl w:val="0"/>
        <w:rPr>
          <w:rFonts w:hint="eastAsia" w:eastAsia="仿宋_GB2312" w:cs="仿宋_GB2312"/>
          <w:sz w:val="32"/>
          <w:szCs w:val="32"/>
        </w:rPr>
      </w:pPr>
      <w:bookmarkStart w:id="75" w:name="_Toc8593"/>
      <w:bookmarkStart w:id="76" w:name="_Toc15396621"/>
      <w:r>
        <w:rPr>
          <w:rFonts w:hint="eastAsia" w:eastAsia="仿宋_GB2312" w:cs="仿宋_GB2312"/>
          <w:sz w:val="32"/>
          <w:szCs w:val="32"/>
        </w:rPr>
        <w:t>三、支出决算表</w:t>
      </w:r>
      <w:bookmarkEnd w:id="75"/>
      <w:bookmarkEnd w:id="76"/>
    </w:p>
    <w:p>
      <w:pPr>
        <w:pStyle w:val="14"/>
        <w:adjustRightInd w:val="0"/>
        <w:snapToGrid w:val="0"/>
        <w:spacing w:line="560" w:lineRule="exact"/>
        <w:jc w:val="left"/>
        <w:outlineLvl w:val="0"/>
        <w:rPr>
          <w:rFonts w:hint="eastAsia" w:eastAsia="仿宋_GB2312" w:cs="仿宋_GB2312"/>
          <w:sz w:val="32"/>
          <w:szCs w:val="32"/>
        </w:rPr>
      </w:pPr>
      <w:bookmarkStart w:id="77" w:name="_Toc19008"/>
      <w:bookmarkStart w:id="78" w:name="_Toc15396622"/>
      <w:r>
        <w:rPr>
          <w:rFonts w:hint="eastAsia" w:eastAsia="仿宋_GB2312" w:cs="仿宋_GB2312"/>
          <w:sz w:val="32"/>
          <w:szCs w:val="32"/>
        </w:rPr>
        <w:t>四、财政拨款收入支出决算总表</w:t>
      </w:r>
      <w:bookmarkEnd w:id="77"/>
      <w:bookmarkEnd w:id="78"/>
    </w:p>
    <w:p>
      <w:pPr>
        <w:pStyle w:val="14"/>
        <w:adjustRightInd w:val="0"/>
        <w:snapToGrid w:val="0"/>
        <w:spacing w:line="560" w:lineRule="exact"/>
        <w:jc w:val="left"/>
        <w:outlineLvl w:val="0"/>
        <w:rPr>
          <w:rFonts w:hint="eastAsia" w:eastAsia="仿宋_GB2312" w:cs="仿宋_GB2312"/>
          <w:sz w:val="32"/>
          <w:szCs w:val="32"/>
        </w:rPr>
      </w:pPr>
      <w:bookmarkStart w:id="79" w:name="_Toc15396623"/>
      <w:bookmarkStart w:id="80" w:name="_Toc27503"/>
      <w:r>
        <w:rPr>
          <w:rFonts w:hint="eastAsia" w:eastAsia="仿宋_GB2312" w:cs="仿宋_GB2312"/>
          <w:sz w:val="32"/>
          <w:szCs w:val="32"/>
        </w:rPr>
        <w:t>五、财政拨款支出决算明细表</w:t>
      </w:r>
      <w:bookmarkEnd w:id="79"/>
      <w:bookmarkEnd w:id="80"/>
      <w:bookmarkStart w:id="81" w:name="_Toc15396624"/>
    </w:p>
    <w:p>
      <w:pPr>
        <w:pStyle w:val="14"/>
        <w:adjustRightInd w:val="0"/>
        <w:snapToGrid w:val="0"/>
        <w:spacing w:line="560" w:lineRule="exact"/>
        <w:jc w:val="left"/>
        <w:outlineLvl w:val="0"/>
        <w:rPr>
          <w:rFonts w:hint="eastAsia" w:eastAsia="仿宋_GB2312" w:cs="仿宋_GB2312"/>
          <w:sz w:val="32"/>
          <w:szCs w:val="32"/>
        </w:rPr>
      </w:pPr>
      <w:bookmarkStart w:id="82" w:name="_Toc16475"/>
      <w:r>
        <w:rPr>
          <w:rFonts w:hint="eastAsia" w:eastAsia="仿宋_GB2312" w:cs="仿宋_GB2312"/>
          <w:sz w:val="32"/>
          <w:szCs w:val="32"/>
        </w:rPr>
        <w:t>六、一般公共预算财政拨款支出决算表</w:t>
      </w:r>
      <w:bookmarkEnd w:id="81"/>
      <w:bookmarkEnd w:id="82"/>
    </w:p>
    <w:p>
      <w:pPr>
        <w:pStyle w:val="14"/>
        <w:adjustRightInd w:val="0"/>
        <w:snapToGrid w:val="0"/>
        <w:spacing w:line="560" w:lineRule="exact"/>
        <w:jc w:val="left"/>
        <w:outlineLvl w:val="0"/>
        <w:rPr>
          <w:rFonts w:hint="eastAsia" w:eastAsia="仿宋_GB2312" w:cs="仿宋_GB2312"/>
          <w:sz w:val="32"/>
          <w:szCs w:val="32"/>
        </w:rPr>
      </w:pPr>
      <w:bookmarkStart w:id="83" w:name="_Toc14747"/>
      <w:bookmarkStart w:id="84" w:name="_Toc15396625"/>
      <w:r>
        <w:rPr>
          <w:rFonts w:hint="eastAsia" w:eastAsia="仿宋_GB2312" w:cs="仿宋_GB2312"/>
          <w:sz w:val="32"/>
          <w:szCs w:val="32"/>
        </w:rPr>
        <w:t>七、一般公共预算财政拨款支出决算明细表</w:t>
      </w:r>
      <w:bookmarkEnd w:id="83"/>
      <w:bookmarkEnd w:id="84"/>
    </w:p>
    <w:p>
      <w:pPr>
        <w:pStyle w:val="14"/>
        <w:adjustRightInd w:val="0"/>
        <w:snapToGrid w:val="0"/>
        <w:spacing w:line="560" w:lineRule="exact"/>
        <w:jc w:val="left"/>
        <w:outlineLvl w:val="0"/>
        <w:rPr>
          <w:rFonts w:hint="eastAsia" w:eastAsia="仿宋_GB2312" w:cs="仿宋_GB2312"/>
          <w:sz w:val="32"/>
          <w:szCs w:val="32"/>
        </w:rPr>
      </w:pPr>
      <w:bookmarkStart w:id="85" w:name="_Toc15396626"/>
      <w:bookmarkStart w:id="86" w:name="_Toc16771"/>
      <w:r>
        <w:rPr>
          <w:rFonts w:hint="eastAsia" w:eastAsia="仿宋_GB2312" w:cs="仿宋_GB2312"/>
          <w:sz w:val="32"/>
          <w:szCs w:val="32"/>
        </w:rPr>
        <w:t>八、一般公共预算财政拨款基本支出决算表</w:t>
      </w:r>
      <w:bookmarkEnd w:id="85"/>
      <w:bookmarkEnd w:id="86"/>
    </w:p>
    <w:p>
      <w:pPr>
        <w:pStyle w:val="14"/>
        <w:adjustRightInd w:val="0"/>
        <w:snapToGrid w:val="0"/>
        <w:spacing w:line="560" w:lineRule="exact"/>
        <w:jc w:val="left"/>
        <w:outlineLvl w:val="0"/>
        <w:rPr>
          <w:rFonts w:hint="eastAsia" w:eastAsia="仿宋_GB2312" w:cs="仿宋_GB2312"/>
          <w:sz w:val="32"/>
          <w:szCs w:val="32"/>
        </w:rPr>
      </w:pPr>
      <w:bookmarkStart w:id="87" w:name="_Toc31686"/>
      <w:bookmarkStart w:id="88" w:name="_Toc15396627"/>
      <w:r>
        <w:rPr>
          <w:rFonts w:hint="eastAsia" w:eastAsia="仿宋_GB2312" w:cs="仿宋_GB2312"/>
          <w:sz w:val="32"/>
          <w:szCs w:val="32"/>
        </w:rPr>
        <w:t>九、一般公共预算财政拨款项目支出决算表</w:t>
      </w:r>
      <w:bookmarkEnd w:id="87"/>
      <w:bookmarkEnd w:id="88"/>
    </w:p>
    <w:p>
      <w:pPr>
        <w:pStyle w:val="14"/>
        <w:adjustRightInd w:val="0"/>
        <w:snapToGrid w:val="0"/>
        <w:spacing w:line="560" w:lineRule="exact"/>
        <w:jc w:val="left"/>
        <w:outlineLvl w:val="0"/>
        <w:rPr>
          <w:rFonts w:hint="eastAsia" w:eastAsia="仿宋_GB2312" w:cs="仿宋_GB2312"/>
          <w:sz w:val="32"/>
          <w:szCs w:val="32"/>
        </w:rPr>
      </w:pPr>
      <w:bookmarkStart w:id="89" w:name="_Toc15396628"/>
      <w:bookmarkStart w:id="90" w:name="_Toc4150"/>
      <w:r>
        <w:rPr>
          <w:rFonts w:hint="eastAsia" w:eastAsia="仿宋_GB2312" w:cs="仿宋_GB2312"/>
          <w:sz w:val="32"/>
          <w:szCs w:val="32"/>
        </w:rPr>
        <w:t>十、</w:t>
      </w:r>
      <w:bookmarkEnd w:id="89"/>
      <w:r>
        <w:rPr>
          <w:rFonts w:hint="eastAsia" w:eastAsia="仿宋_GB2312" w:cs="仿宋_GB2312"/>
          <w:sz w:val="32"/>
          <w:szCs w:val="32"/>
        </w:rPr>
        <w:t>政府性基金预算财政拨款收入支出决算表</w:t>
      </w:r>
      <w:bookmarkEnd w:id="90"/>
    </w:p>
    <w:p>
      <w:pPr>
        <w:pStyle w:val="14"/>
        <w:adjustRightInd w:val="0"/>
        <w:snapToGrid w:val="0"/>
        <w:spacing w:line="560" w:lineRule="exact"/>
        <w:jc w:val="left"/>
        <w:outlineLvl w:val="0"/>
        <w:rPr>
          <w:rFonts w:hint="eastAsia" w:eastAsia="仿宋_GB2312" w:cs="仿宋_GB2312"/>
          <w:sz w:val="32"/>
          <w:szCs w:val="32"/>
        </w:rPr>
      </w:pPr>
      <w:bookmarkStart w:id="91" w:name="_Toc15396629"/>
      <w:bookmarkStart w:id="92" w:name="_Toc7591"/>
      <w:r>
        <w:rPr>
          <w:rFonts w:hint="eastAsia" w:eastAsia="仿宋_GB2312" w:cs="仿宋_GB2312"/>
          <w:sz w:val="32"/>
          <w:szCs w:val="32"/>
        </w:rPr>
        <w:t>十一、</w:t>
      </w:r>
      <w:bookmarkEnd w:id="91"/>
      <w:r>
        <w:rPr>
          <w:rFonts w:hint="eastAsia" w:eastAsia="仿宋_GB2312" w:cs="仿宋_GB2312"/>
          <w:sz w:val="32"/>
          <w:szCs w:val="32"/>
        </w:rPr>
        <w:t>国有资本经营预算财政拨款收入支出决算表</w:t>
      </w:r>
      <w:bookmarkEnd w:id="92"/>
    </w:p>
    <w:p>
      <w:pPr>
        <w:pStyle w:val="14"/>
        <w:adjustRightInd w:val="0"/>
        <w:snapToGrid w:val="0"/>
        <w:spacing w:line="560" w:lineRule="exact"/>
        <w:jc w:val="left"/>
        <w:outlineLvl w:val="0"/>
        <w:rPr>
          <w:rFonts w:hint="eastAsia" w:eastAsia="仿宋_GB2312" w:cs="仿宋_GB2312"/>
          <w:sz w:val="32"/>
          <w:szCs w:val="32"/>
        </w:rPr>
      </w:pPr>
      <w:bookmarkStart w:id="93" w:name="_Toc15396630"/>
      <w:bookmarkStart w:id="94" w:name="_Toc6082"/>
      <w:r>
        <w:rPr>
          <w:rFonts w:hint="eastAsia" w:eastAsia="仿宋_GB2312" w:cs="仿宋_GB2312"/>
          <w:sz w:val="32"/>
          <w:szCs w:val="32"/>
        </w:rPr>
        <w:t>十二、</w:t>
      </w:r>
      <w:bookmarkEnd w:id="93"/>
      <w:r>
        <w:rPr>
          <w:rFonts w:hint="eastAsia" w:eastAsia="仿宋_GB2312" w:cs="仿宋_GB2312"/>
          <w:sz w:val="32"/>
          <w:szCs w:val="32"/>
        </w:rPr>
        <w:t>国有资本经营预算财政拨款支出决算表</w:t>
      </w:r>
      <w:bookmarkEnd w:id="94"/>
    </w:p>
    <w:p>
      <w:pPr>
        <w:pStyle w:val="14"/>
        <w:adjustRightInd w:val="0"/>
        <w:snapToGrid w:val="0"/>
        <w:spacing w:line="560" w:lineRule="exact"/>
        <w:jc w:val="left"/>
        <w:outlineLvl w:val="0"/>
        <w:rPr>
          <w:rFonts w:hint="eastAsia" w:eastAsia="仿宋_GB2312" w:cs="仿宋_GB2312"/>
          <w:sz w:val="32"/>
          <w:szCs w:val="32"/>
        </w:rPr>
      </w:pPr>
      <w:bookmarkStart w:id="95" w:name="_Toc15396631"/>
      <w:bookmarkStart w:id="96" w:name="_Toc31258"/>
      <w:r>
        <w:rPr>
          <w:rFonts w:hint="eastAsia" w:eastAsia="仿宋_GB2312" w:cs="仿宋_GB2312"/>
          <w:sz w:val="32"/>
          <w:szCs w:val="32"/>
        </w:rPr>
        <w:t>十三、</w:t>
      </w:r>
      <w:bookmarkEnd w:id="95"/>
      <w:r>
        <w:rPr>
          <w:rFonts w:hint="eastAsia" w:eastAsia="仿宋_GB2312" w:cs="仿宋_GB2312"/>
          <w:sz w:val="32"/>
          <w:szCs w:val="32"/>
        </w:rPr>
        <w:t>财政拨款“三公”经费支出决算表</w:t>
      </w:r>
      <w:bookmarkEnd w:id="96"/>
    </w:p>
    <w:p/>
    <w:sectPr>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汉仪仿宋S"/>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0000000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anumGothic">
    <w:panose1 w:val="020D0604000000000000"/>
    <w:charset w:val="81"/>
    <w:family w:val="auto"/>
    <w:pitch w:val="default"/>
    <w:sig w:usb0="900002A7" w:usb1="29D7FCFB" w:usb2="00000010" w:usb3="00000000" w:csb0="00080001" w:csb1="00000000"/>
  </w:font>
  <w:font w:name="方正楷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OFkURY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JOmt6o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5u20HQIAACs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c0OJZgozOn39cvr24/T9&#10;M8EbAGqtn8FvY+EZutemK2hwezGYPN5j613lVLzRFIEL0D5eEBZdIByP4+lkOs1h4rANClJk1+/W&#10;+fBGGEWiUFCHESZk2WHtw9l1cInZtFk1UqYxSk3agt6+fJW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Tm7bQ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2JAsIHQIAACsEAAAOAAAAZHJz&#10;L2Uyb0RvYy54bWytU82O0zAQviPxDpbvNGlhV1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v66oYSzRRmdPr65fTtx+n7&#10;Z4I3ANRaP4PfxsIzdK9NV9Dg9mIwebzH1rvKqXijKQIXoH28ICy6QDgex9PJdJrDxGEbFKTIrt+t&#10;8+GNMIpEoaAOI0zIssPah7Pr4BKzabNqpExjlJq0Bb19eZO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YkCwg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Z1mI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FfTSgxTGNGp29fT9+fTj++&#10;ELwBoMaFGfw2Dp6xfWPbgka/F4Mp4D213kqv042mCFyA9vGCsGgj4XgcTyfTaQ4Th21QkCK7fnc+&#10;xLfCapKEgnqMsEOWHdYhnl0Hl5TN2FWtVDdGZUhT0JuXr/P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OpnWYg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Ypb80HQIAACsEAAAOAAAAZHJz&#10;L2Uyb0RvYy54bWytU82O0zAQviPxDpbvNGkX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v68oYSzRRmdPr65fTtx+n7&#10;Z4I3ANRaP4PfxsIzdK9NV9Dg9mIwebzH1rvKqXijKQIXoH28ICy6QDgex9PJdJrDxGEbFKTIrt+t&#10;8+GNMIpEoaAOI0zIssPah7Pr4BKzabNqpExjlJq0Bb29eZW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JilvzQ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1C457"/>
    <w:multiLevelType w:val="singleLevel"/>
    <w:tmpl w:val="9BD1C457"/>
    <w:lvl w:ilvl="0" w:tentative="0">
      <w:start w:val="1"/>
      <w:numFmt w:val="chineseCounting"/>
      <w:suff w:val="nothing"/>
      <w:lvlText w:val="%1、"/>
      <w:lvlJc w:val="left"/>
      <w:rPr>
        <w:rFonts w:hint="eastAsia"/>
      </w:rPr>
    </w:lvl>
  </w:abstractNum>
  <w:abstractNum w:abstractNumId="1">
    <w:nsid w:val="1A6F4E69"/>
    <w:multiLevelType w:val="singleLevel"/>
    <w:tmpl w:val="1A6F4E69"/>
    <w:lvl w:ilvl="0" w:tentative="0">
      <w:start w:val="1"/>
      <w:numFmt w:val="decimal"/>
      <w:suff w:val="space"/>
      <w:lvlText w:val="%1."/>
      <w:lvlJc w:val="left"/>
      <w:pPr>
        <w:ind w:left="425" w:hanging="425"/>
      </w:pPr>
      <w:rPr>
        <w:rFonts w:hint="default"/>
      </w:rPr>
    </w:lvl>
  </w:abstractNum>
  <w:abstractNum w:abstractNumId="2">
    <w:nsid w:val="53F5724E"/>
    <w:multiLevelType w:val="singleLevel"/>
    <w:tmpl w:val="53F5724E"/>
    <w:lvl w:ilvl="0" w:tentative="0">
      <w:start w:val="1"/>
      <w:numFmt w:val="decimal"/>
      <w:suff w:val="space"/>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856DEC"/>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3860B96"/>
    <w:rsid w:val="240371BF"/>
    <w:rsid w:val="243D5372"/>
    <w:rsid w:val="244F3473"/>
    <w:rsid w:val="24C97D99"/>
    <w:rsid w:val="25A718F0"/>
    <w:rsid w:val="25BB59F6"/>
    <w:rsid w:val="260F557C"/>
    <w:rsid w:val="26970054"/>
    <w:rsid w:val="281408E2"/>
    <w:rsid w:val="29FD04D3"/>
    <w:rsid w:val="2BFF7BC6"/>
    <w:rsid w:val="2C8A61B5"/>
    <w:rsid w:val="2DC21DC5"/>
    <w:rsid w:val="2DF04E50"/>
    <w:rsid w:val="2E586DFA"/>
    <w:rsid w:val="2F040D46"/>
    <w:rsid w:val="2F5015A8"/>
    <w:rsid w:val="2F6B035B"/>
    <w:rsid w:val="2FAE5751"/>
    <w:rsid w:val="2FB1A395"/>
    <w:rsid w:val="2FD9A7D8"/>
    <w:rsid w:val="2FDBF714"/>
    <w:rsid w:val="30AB6865"/>
    <w:rsid w:val="319F7F4E"/>
    <w:rsid w:val="32BD1EF1"/>
    <w:rsid w:val="3304709D"/>
    <w:rsid w:val="33A773CB"/>
    <w:rsid w:val="349D6851"/>
    <w:rsid w:val="35E6413B"/>
    <w:rsid w:val="36AA5135"/>
    <w:rsid w:val="36BE0DA7"/>
    <w:rsid w:val="376B6AA6"/>
    <w:rsid w:val="376D39B2"/>
    <w:rsid w:val="37E16F03"/>
    <w:rsid w:val="37F53A3B"/>
    <w:rsid w:val="389B6C89"/>
    <w:rsid w:val="38D469F0"/>
    <w:rsid w:val="39627CCD"/>
    <w:rsid w:val="397BAF1F"/>
    <w:rsid w:val="3AB79AF3"/>
    <w:rsid w:val="3ABE1B66"/>
    <w:rsid w:val="3AE834C0"/>
    <w:rsid w:val="3B2220F5"/>
    <w:rsid w:val="3B7EF35A"/>
    <w:rsid w:val="3B9FDB6C"/>
    <w:rsid w:val="3BF5BC2F"/>
    <w:rsid w:val="3CEBA265"/>
    <w:rsid w:val="3D98207C"/>
    <w:rsid w:val="3DEE7CF3"/>
    <w:rsid w:val="3E740A63"/>
    <w:rsid w:val="3E78745D"/>
    <w:rsid w:val="3EE17838"/>
    <w:rsid w:val="3F55381A"/>
    <w:rsid w:val="3F7F2B5E"/>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012078F"/>
    <w:rsid w:val="537E6D0A"/>
    <w:rsid w:val="53F74C96"/>
    <w:rsid w:val="55170BA8"/>
    <w:rsid w:val="553218C9"/>
    <w:rsid w:val="567E1AA5"/>
    <w:rsid w:val="56E47B74"/>
    <w:rsid w:val="57175D52"/>
    <w:rsid w:val="57963475"/>
    <w:rsid w:val="57BD3DD4"/>
    <w:rsid w:val="5AF92295"/>
    <w:rsid w:val="5B250254"/>
    <w:rsid w:val="5BDD79E6"/>
    <w:rsid w:val="5BF561CA"/>
    <w:rsid w:val="5BFF5DFC"/>
    <w:rsid w:val="5CD71FC4"/>
    <w:rsid w:val="5D1F11B5"/>
    <w:rsid w:val="5D695134"/>
    <w:rsid w:val="5DAE1B18"/>
    <w:rsid w:val="5DE7D9E5"/>
    <w:rsid w:val="5ECEC941"/>
    <w:rsid w:val="5FBF6795"/>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050D2"/>
    <w:rsid w:val="6BDD78B3"/>
    <w:rsid w:val="6C4A05C8"/>
    <w:rsid w:val="6C8742B8"/>
    <w:rsid w:val="6DBF5E93"/>
    <w:rsid w:val="6DFF077E"/>
    <w:rsid w:val="6E714EF0"/>
    <w:rsid w:val="6E7E3605"/>
    <w:rsid w:val="6E7FDCC7"/>
    <w:rsid w:val="6ED6A62E"/>
    <w:rsid w:val="6EE00B15"/>
    <w:rsid w:val="6F6FB3EB"/>
    <w:rsid w:val="6F8731EA"/>
    <w:rsid w:val="6FA07D8E"/>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7A3564"/>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9FFD6D3"/>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96034E"/>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5"/>
    <w:qFormat/>
    <w:uiPriority w:val="9"/>
    <w:rPr>
      <w:rFonts w:ascii="Times New Roman" w:hAnsi="Times New Roman"/>
      <w:b/>
      <w:bCs/>
      <w:kern w:val="44"/>
      <w:sz w:val="44"/>
      <w:szCs w:val="44"/>
    </w:rPr>
  </w:style>
  <w:style w:type="character" w:customStyle="1" w:styleId="29">
    <w:name w:val="标题 2 字符"/>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10"/>
    <w:semiHidden/>
    <w:qFormat/>
    <w:uiPriority w:val="99"/>
    <w:rPr>
      <w:rFonts w:ascii="Times New Roman" w:hAnsi="Times New Roman"/>
      <w:kern w:val="2"/>
      <w:sz w:val="18"/>
      <w:szCs w:val="18"/>
    </w:rPr>
  </w:style>
  <w:style w:type="character" w:customStyle="1" w:styleId="32">
    <w:name w:val="标题 3 字符"/>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footer" Target="footer1.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1556;&#24422;&#31062;\Desktop\3-&#22270;&#34920;&#29983;&#25104;.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21556;&#24422;&#31062;\Desktop\3-&#22270;&#34920;&#29983;&#2510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21556;&#24422;&#31062;\Desktop\3-&#22270;&#34920;&#29983;&#2510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1556;&#24422;&#31062;\Desktop\3-&#22270;&#34920;&#29983;&#2510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1556;&#24422;&#31062;\Desktop\3-&#22270;&#34920;&#29983;&#2510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21556;&#24422;&#31062;\Desktop\3-&#22270;&#34920;&#29983;&#2510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21556;&#24422;&#31062;\Desktop\3-&#22270;&#34920;&#29983;&#251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cap="all" spc="50" baseline="0">
                <a:solidFill>
                  <a:schemeClr val="tx1">
                    <a:lumMod val="65000"/>
                    <a:lumOff val="35000"/>
                  </a:schemeClr>
                </a:solidFill>
                <a:latin typeface="+mn-lt"/>
                <a:ea typeface="+mn-ea"/>
                <a:cs typeface="+mn-cs"/>
              </a:defRPr>
            </a:pPr>
            <a:r>
              <a:t>收、支决算总计变动情况图</a:t>
            </a:r>
          </a:p>
        </c:rich>
      </c:tx>
      <c:layout/>
      <c:overlay val="false"/>
      <c:spPr>
        <a:noFill/>
        <a:ln>
          <a:noFill/>
        </a:ln>
        <a:effectLst/>
      </c:spPr>
    </c:title>
    <c:autoTitleDeleted val="false"/>
    <c:plotArea>
      <c:layout/>
      <c:barChart>
        <c:barDir val="col"/>
        <c:grouping val="clustered"/>
        <c:varyColors val="false"/>
        <c:ser>
          <c:idx val="0"/>
          <c:order val="0"/>
          <c:spPr>
            <a:gradFill flip="none" rotWithShape="true">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'[3-图表生成.xlsx]Sheet1'!$A$3:$A$4</c:f>
              <c:strCache>
                <c:ptCount val="2"/>
                <c:pt idx="0">
                  <c:v>2023年（万元）</c:v>
                </c:pt>
                <c:pt idx="1">
                  <c:v>2024年（万元）</c:v>
                </c:pt>
              </c:strCache>
            </c:strRef>
          </c:cat>
          <c:val>
            <c:numRef>
              <c:f>'[3-图表生成.xlsx]Sheet1'!$B$3:$B$4</c:f>
              <c:numCache>
                <c:formatCode>#,##0.00</c:formatCode>
                <c:ptCount val="2"/>
                <c:pt idx="0">
                  <c:v>5068.77</c:v>
                </c:pt>
                <c:pt idx="1">
                  <c:v>5104.21</c:v>
                </c:pt>
              </c:numCache>
            </c:numRef>
          </c:val>
        </c:ser>
        <c:dLbls>
          <c:showLegendKey val="false"/>
          <c:showVal val="true"/>
          <c:showCatName val="false"/>
          <c:showSerName val="false"/>
          <c:showPercent val="false"/>
          <c:showBubbleSize val="false"/>
        </c:dLbls>
        <c:gapWidth val="355"/>
        <c:overlap val="-70"/>
        <c:axId val="658193259"/>
        <c:axId val="330015726"/>
      </c:barChart>
      <c:catAx>
        <c:axId val="658193259"/>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30015726"/>
        <c:crosses val="autoZero"/>
        <c:auto val="true"/>
        <c:lblAlgn val="ctr"/>
        <c:lblOffset val="100"/>
        <c:noMultiLvlLbl val="false"/>
      </c:catAx>
      <c:valAx>
        <c:axId val="330015726"/>
        <c:scaling>
          <c:orientation val="minMax"/>
        </c:scaling>
        <c:delete val="false"/>
        <c:axPos val="l"/>
        <c:majorGridlines>
          <c:spPr>
            <a:ln w="9525" cap="flat" cmpd="sng" algn="ctr">
              <a:gradFill>
                <a:gsLst>
                  <a:gs pos="100000">
                    <a:schemeClr val="tx1">
                      <a:lumMod val="5000"/>
                      <a:lumOff val="95000"/>
                    </a:schemeClr>
                  </a:gs>
                  <a:gs pos="0">
                    <a:schemeClr val="tx1">
                      <a:lumMod val="25000"/>
                      <a:lumOff val="75000"/>
                    </a:schemeClr>
                  </a:gs>
                </a:gsLst>
                <a:lin ang="5400000" scaled="false"/>
              </a:gradFill>
              <a:round/>
            </a:ln>
            <a:effectLst/>
          </c:spPr>
        </c:majorGridlines>
        <c:numFmt formatCode="#,##0.00"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5819325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Lbls>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round/>
                    </a:ln>
                    <a:effectLst/>
                  </c:spPr>
                </c15:leaderLines>
              </c:ext>
            </c:extLst>
          </c:dLbls>
          <c:cat>
            <c:strRef>
              <c:f>'[3-图表生成.xlsx]Sheet1'!$I$3</c:f>
              <c:strCache>
                <c:ptCount val="1"/>
                <c:pt idx="0">
                  <c:v>一般公共预算财政拨款收入</c:v>
                </c:pt>
              </c:strCache>
            </c:strRef>
          </c:cat>
          <c:val>
            <c:numRef>
              <c:f>'[3-图表生成.xlsx]Sheet1'!$J$3</c:f>
              <c:numCache>
                <c:formatCode>#,##0.00</c:formatCode>
                <c:ptCount val="1"/>
                <c:pt idx="0">
                  <c:v>5104.21</c:v>
                </c:pt>
              </c:numCache>
            </c:numRef>
          </c:val>
        </c:ser>
        <c:dLbls>
          <c:showLegendKey val="false"/>
          <c:showVal val="false"/>
          <c:showCatName val="false"/>
          <c:showSerName val="false"/>
          <c:showPercent val="true"/>
          <c:showBubbleSize val="false"/>
          <c:showLeaderLines val="fals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74.</a:t>
                    </a:r>
                    <a:r>
                      <a:rPr lang="en-US" altLang="zh-CN"/>
                      <a:t>4</a:t>
                    </a:r>
                    <a:r>
                      <a:t>%</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25.</a:t>
                    </a:r>
                    <a:r>
                      <a:rPr lang="en-US" altLang="zh-CN"/>
                      <a:t>6</a:t>
                    </a:r>
                    <a:r>
                      <a:t>%</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'[3-图表生成.xlsx]Sheet1'!$O$3:$O$4</c:f>
              <c:strCache>
                <c:ptCount val="2"/>
                <c:pt idx="0">
                  <c:v>基本支出</c:v>
                </c:pt>
                <c:pt idx="1">
                  <c:v>项目支出</c:v>
                </c:pt>
              </c:strCache>
            </c:strRef>
          </c:cat>
          <c:val>
            <c:numRef>
              <c:f>'[3-图表生成.xlsx]Sheet1'!$P$3:$P$4</c:f>
              <c:numCache>
                <c:formatCode>#,##0.00</c:formatCode>
                <c:ptCount val="2"/>
                <c:pt idx="0">
                  <c:v>3795</c:v>
                </c:pt>
                <c:pt idx="1">
                  <c:v>1309.22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'[3-图表生成.xlsx]Sheet1'!$A$25:$A$26</c:f>
              <c:strCache>
                <c:ptCount val="2"/>
                <c:pt idx="0">
                  <c:v>2023年（万元）</c:v>
                </c:pt>
                <c:pt idx="1">
                  <c:v>2024年（万元）</c:v>
                </c:pt>
              </c:strCache>
            </c:strRef>
          </c:cat>
          <c:val>
            <c:numRef>
              <c:f>'[3-图表生成.xlsx]Sheet1'!$B$25:$B$26</c:f>
              <c:numCache>
                <c:formatCode>#,##0.00</c:formatCode>
                <c:ptCount val="2"/>
                <c:pt idx="0">
                  <c:v>5068.77</c:v>
                </c:pt>
                <c:pt idx="1">
                  <c:v>5104.21</c:v>
                </c:pt>
              </c:numCache>
            </c:numRef>
          </c:val>
        </c:ser>
        <c:dLbls>
          <c:showLegendKey val="false"/>
          <c:showVal val="true"/>
          <c:showCatName val="false"/>
          <c:showSerName val="false"/>
          <c:showPercent val="false"/>
          <c:showBubbleSize val="false"/>
        </c:dLbls>
        <c:gapWidth val="150"/>
        <c:overlap val="0"/>
        <c:axId val="987151365"/>
        <c:axId val="911815620"/>
      </c:barChart>
      <c:catAx>
        <c:axId val="987151365"/>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11815620"/>
        <c:crosses val="autoZero"/>
        <c:auto val="true"/>
        <c:lblAlgn val="ctr"/>
        <c:lblOffset val="100"/>
        <c:noMultiLvlLbl val="false"/>
      </c:catAx>
      <c:valAx>
        <c:axId val="911815620"/>
        <c:scaling>
          <c:orientation val="minMax"/>
        </c:scaling>
        <c:delete val="false"/>
        <c:axPos val="l"/>
        <c:majorGridlines>
          <c:spPr>
            <a:ln w="9525" cap="flat" cmpd="sng" algn="ctr">
              <a:solidFill>
                <a:schemeClr val="tx1">
                  <a:lumMod val="15000"/>
                  <a:lumOff val="85000"/>
                </a:schemeClr>
              </a:solidFill>
              <a:round/>
            </a:ln>
            <a:effectLst/>
          </c:spPr>
        </c:majorGridlines>
        <c:numFmt formatCode="#,##0.00"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8715136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'[3-图表生成.xlsx]Sheet1'!$A$46:$A$47</c:f>
              <c:strCache>
                <c:ptCount val="2"/>
                <c:pt idx="0">
                  <c:v>2023年（万元）</c:v>
                </c:pt>
                <c:pt idx="1">
                  <c:v>2024年（万元）</c:v>
                </c:pt>
              </c:strCache>
            </c:strRef>
          </c:cat>
          <c:val>
            <c:numRef>
              <c:f>'[3-图表生成.xlsx]Sheet1'!$B$46:$B$47</c:f>
              <c:numCache>
                <c:formatCode>#,##0.00</c:formatCode>
                <c:ptCount val="2"/>
                <c:pt idx="0">
                  <c:v>5068.77</c:v>
                </c:pt>
                <c:pt idx="1">
                  <c:v>5104.21</c:v>
                </c:pt>
              </c:numCache>
            </c:numRef>
          </c:val>
        </c:ser>
        <c:dLbls>
          <c:showLegendKey val="false"/>
          <c:showVal val="true"/>
          <c:showCatName val="false"/>
          <c:showSerName val="false"/>
          <c:showPercent val="false"/>
          <c:showBubbleSize val="false"/>
        </c:dLbls>
        <c:gapWidth val="219"/>
        <c:overlap val="-27"/>
        <c:axId val="928854141"/>
        <c:axId val="188393366"/>
      </c:barChart>
      <c:catAx>
        <c:axId val="928854141"/>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88393366"/>
        <c:crosses val="autoZero"/>
        <c:auto val="true"/>
        <c:lblAlgn val="ctr"/>
        <c:lblOffset val="100"/>
        <c:noMultiLvlLbl val="false"/>
      </c:catAx>
      <c:valAx>
        <c:axId val="188393366"/>
        <c:scaling>
          <c:orientation val="minMax"/>
        </c:scaling>
        <c:delete val="false"/>
        <c:axPos val="l"/>
        <c:majorGridlines>
          <c:spPr>
            <a:ln w="9525" cap="flat" cmpd="sng" algn="ctr">
              <a:solidFill>
                <a:schemeClr val="tx1">
                  <a:lumMod val="15000"/>
                  <a:lumOff val="85000"/>
                </a:schemeClr>
              </a:solidFill>
              <a:round/>
            </a:ln>
            <a:effectLst/>
          </c:spPr>
        </c:majorGridlines>
        <c:numFmt formatCode="#,##0.00"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28854141"/>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a:t>
            </a:r>
          </a:p>
          <a:p>
            <a:pPr defTabSz="914400">
              <a:defRPr lang="zh-CN" sz="1400" b="0" i="0" u="none" strike="noStrike" kern="1200" spc="0" baseline="0">
                <a:solidFill>
                  <a:schemeClr val="tx1">
                    <a:lumMod val="65000"/>
                    <a:lumOff val="35000"/>
                  </a:schemeClr>
                </a:solidFill>
                <a:latin typeface="+mn-lt"/>
                <a:ea typeface="+mn-ea"/>
                <a:cs typeface="+mn-cs"/>
              </a:defRPr>
            </a:pPr>
            <a:r>
              <a:t>支出决算结构</a:t>
            </a:r>
          </a:p>
        </c:rich>
      </c:tx>
      <c:layout>
        <c:manualLayout>
          <c:xMode val="edge"/>
          <c:yMode val="edge"/>
          <c:x val="0.0108333333333333"/>
          <c:y val="0.0402777777777778"/>
        </c:manualLayout>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Lbl>
              <c:idx val="0"/>
              <c:layout>
                <c:manualLayout>
                  <c:x val="0.195"/>
                  <c:y val="-0.00555555555555556"/>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86%</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0%</a:t>
                    </a:r>
                  </a:p>
                </c:rich>
              </c:tx>
              <c:dLblPos val="outEnd"/>
              <c:showLegendKey val="false"/>
              <c:showVal val="false"/>
              <c:showCatName val="false"/>
              <c:showSerName val="false"/>
              <c:showPercent val="true"/>
              <c:showBubbleSize val="false"/>
              <c:extLst>
                <c:ext xmlns:c15="http://schemas.microsoft.com/office/drawing/2012/chart" uri="{CE6537A1-D6FC-4f65-9D91-7224C49458BB}"/>
              </c:extLst>
            </c:dLbl>
            <c:dLbl>
              <c:idx val="2"/>
              <c:layout>
                <c:manualLayout>
                  <c:x val="-0.118333333333333"/>
                  <c:y val="0.122222222222222"/>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6.5%</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3"/>
              <c:layout>
                <c:manualLayout>
                  <c:x val="-0.14"/>
                  <c:y val="0.0277777777777778"/>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3.</a:t>
                    </a:r>
                    <a:r>
                      <a:rPr lang="en-US" altLang="zh-CN"/>
                      <a:t>1</a:t>
                    </a:r>
                    <a:r>
                      <a:t>%</a:t>
                    </a:r>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4"/>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4.</a:t>
                    </a:r>
                    <a:r>
                      <a:rPr lang="en-US" altLang="zh-CN"/>
                      <a:t>4</a:t>
                    </a:r>
                    <a:r>
                      <a:t>%</a:t>
                    </a:r>
                  </a:p>
                </c:rich>
              </c:tx>
              <c:dLblPos val="outEnd"/>
              <c:showLegendKey val="false"/>
              <c:showVal val="false"/>
              <c:showCatName val="false"/>
              <c:showSerName val="false"/>
              <c:showPercent val="true"/>
              <c:showBubbleSize val="false"/>
              <c:extLst>
                <c:ext xmlns:c15="http://schemas.microsoft.com/office/drawing/2012/chart" uri="{CE6537A1-D6FC-4f65-9D91-7224C49458BB}"/>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'[3-图表生成.xlsx]Sheet1'!$I$27:$I$31</c:f>
              <c:strCache>
                <c:ptCount val="5"/>
                <c:pt idx="0">
                  <c:v>公共安全支出</c:v>
                </c:pt>
                <c:pt idx="1">
                  <c:v>教育支出</c:v>
                </c:pt>
                <c:pt idx="2">
                  <c:v>社会保障和就业支出</c:v>
                </c:pt>
                <c:pt idx="3">
                  <c:v>卫生健康支出</c:v>
                </c:pt>
                <c:pt idx="4">
                  <c:v>住房保障支出</c:v>
                </c:pt>
              </c:strCache>
            </c:strRef>
          </c:cat>
          <c:val>
            <c:numRef>
              <c:f>'[3-图表生成.xlsx]Sheet1'!$J$27:$J$31</c:f>
              <c:numCache>
                <c:formatCode>0.00_ </c:formatCode>
                <c:ptCount val="5"/>
                <c:pt idx="0">
                  <c:v>4391.25</c:v>
                </c:pt>
                <c:pt idx="1">
                  <c:v>0.3</c:v>
                </c:pt>
                <c:pt idx="2">
                  <c:v>331.53</c:v>
                </c:pt>
                <c:pt idx="3">
                  <c:v>157.05</c:v>
                </c:pt>
                <c:pt idx="4">
                  <c:v>224.09</c:v>
                </c:pt>
              </c:numCache>
            </c:numRef>
          </c:val>
        </c:ser>
        <c:ser>
          <c:idx val="1"/>
          <c:order val="1"/>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'[3-图表生成.xlsx]Sheet1'!$I$27:$I$31</c:f>
              <c:strCache>
                <c:ptCount val="5"/>
                <c:pt idx="0">
                  <c:v>公共安全支出</c:v>
                </c:pt>
                <c:pt idx="1">
                  <c:v>教育支出</c:v>
                </c:pt>
                <c:pt idx="2">
                  <c:v>社会保障和就业支出</c:v>
                </c:pt>
                <c:pt idx="3">
                  <c:v>卫生健康支出</c:v>
                </c:pt>
                <c:pt idx="4">
                  <c:v>住房保障支出</c:v>
                </c:pt>
              </c:strCache>
            </c:strRef>
          </c:cat>
          <c:val>
            <c:numRef>
              <c:f>'[3-图表生成.xlsx]Sheet1'!$K$27:$K$31</c:f>
              <c:numCache>
                <c:formatCode>0.00%</c:formatCode>
                <c:ptCount val="5"/>
                <c:pt idx="0">
                  <c:v>0.860317541171815</c:v>
                </c:pt>
                <c:pt idx="1">
                  <c:v>5.87748960663921e-5</c:v>
                </c:pt>
                <c:pt idx="2">
                  <c:v>0.0649521376429699</c:v>
                </c:pt>
                <c:pt idx="3">
                  <c:v>0.0307686580907563</c:v>
                </c:pt>
                <c:pt idx="4">
                  <c:v>0.0439028881983927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l"/>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经费财政拨款支出结构</a:t>
            </a:r>
            <a:endParaRPr altLang="en-US"/>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96.2%</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3.</a:t>
                    </a:r>
                    <a:r>
                      <a:rPr lang="en-US" altLang="zh-CN"/>
                      <a:t>8</a:t>
                    </a:r>
                    <a:r>
                      <a:t>%</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'[3-图表生成.xlsx]Sheet1'!$I$44:$I$45</c:f>
              <c:strCache>
                <c:ptCount val="2"/>
                <c:pt idx="0">
                  <c:v>公务用车购置及运行维护费支出</c:v>
                </c:pt>
                <c:pt idx="1">
                  <c:v>公务接待费支出</c:v>
                </c:pt>
              </c:strCache>
            </c:strRef>
          </c:cat>
          <c:val>
            <c:numRef>
              <c:f>'[3-图表生成.xlsx]Sheet1'!$J$44:$J$45</c:f>
              <c:numCache>
                <c:formatCode>General</c:formatCode>
                <c:ptCount val="2"/>
                <c:pt idx="0">
                  <c:v>136.92</c:v>
                </c:pt>
                <c:pt idx="1">
                  <c:v>5.34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cs:spPr>
  </cs:dataPoint>
  <cs:dataPoint3D>
    <cs:lnRef idx="0"/>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false"/>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false"/>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43</Pages>
  <Words>5658</Words>
  <Characters>6108</Characters>
  <Lines>60</Lines>
  <Paragraphs>17</Paragraphs>
  <TotalTime>4</TotalTime>
  <ScaleCrop>false</ScaleCrop>
  <LinksUpToDate>false</LinksUpToDate>
  <CharactersWithSpaces>6228</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李禄杰</cp:lastModifiedBy>
  <cp:lastPrinted>2025-08-07T09:34:00Z</cp:lastPrinted>
  <dcterms:modified xsi:type="dcterms:W3CDTF">2025-09-16T11:30:55Z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6A6BDED0311E44CFAA86686AAD955342_13</vt:lpwstr>
  </property>
  <property fmtid="{D5CDD505-2E9C-101B-9397-08002B2CF9AE}" pid="4" name="KSOTemplateDocerSaveRecord">
    <vt:lpwstr>eyJoZGlkIjoiNGFlMDUwNWM0MTNlNTlkMWFhZmQ3ZWQzNmFhM2M4MGUiLCJ1c2VySWQiOiIzMTg5Nzk4OTQifQ==</vt:lpwstr>
  </property>
</Properties>
</file>