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9DA6A">
      <w:pPr>
        <w:pStyle w:val="1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96597"/>
      <w:bookmarkStart w:id="3" w:name="_Toc15377193"/>
      <w:bookmarkStart w:id="4" w:name="_Toc15378441"/>
      <w:bookmarkStart w:id="5" w:name="_Toc15396475"/>
    </w:p>
    <w:p w14:paraId="3D335028">
      <w:pPr>
        <w:pStyle w:val="15"/>
        <w:rPr>
          <w:rFonts w:hint="eastAsia" w:ascii="Times New Roman" w:hAnsi="Times New Roman" w:eastAsia="方正小标宋简体" w:cs="Times New Roman"/>
          <w:color w:val="auto"/>
          <w:kern w:val="2"/>
          <w:sz w:val="72"/>
          <w:szCs w:val="72"/>
          <w:highlight w:val="none"/>
          <w:lang w:val="en-US" w:eastAsia="zh-CN" w:bidi="ar-SA"/>
        </w:rPr>
      </w:pPr>
    </w:p>
    <w:p w14:paraId="57DE2B7F">
      <w:pPr>
        <w:pStyle w:val="15"/>
        <w:rPr>
          <w:rFonts w:hint="eastAsia" w:ascii="Times New Roman" w:hAnsi="Times New Roman" w:eastAsia="方正小标宋简体" w:cs="Times New Roman"/>
          <w:color w:val="auto"/>
          <w:kern w:val="2"/>
          <w:sz w:val="72"/>
          <w:szCs w:val="72"/>
          <w:highlight w:val="none"/>
          <w:lang w:val="en-US" w:eastAsia="zh-CN" w:bidi="ar-SA"/>
        </w:rPr>
      </w:pPr>
    </w:p>
    <w:p w14:paraId="66A2F9A1">
      <w:pPr>
        <w:pStyle w:val="15"/>
        <w:rPr>
          <w:rFonts w:hint="eastAsia" w:ascii="Times New Roman" w:hAnsi="Times New Roman" w:eastAsia="方正小标宋简体" w:cs="Times New Roman"/>
          <w:color w:val="auto"/>
          <w:kern w:val="2"/>
          <w:sz w:val="72"/>
          <w:szCs w:val="72"/>
          <w:highlight w:val="none"/>
          <w:lang w:val="en-US" w:eastAsia="zh-CN" w:bidi="ar-SA"/>
        </w:rPr>
      </w:pPr>
    </w:p>
    <w:p w14:paraId="7AA169E3">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hAnsi="Calibri" w:eastAsia="方正小标宋简体" w:cs="方正小标宋简体"/>
          <w:color w:val="auto"/>
          <w:kern w:val="2"/>
          <w:sz w:val="72"/>
          <w:szCs w:val="72"/>
          <w:highlight w:val="none"/>
          <w:lang w:val="en-US" w:eastAsia="zh-CN" w:bidi="ar-SA"/>
        </w:rPr>
        <w:t>2025年度</w:t>
      </w:r>
      <w:r>
        <w:rPr>
          <w:rFonts w:hint="eastAsia" w:ascii="方正小标宋简体" w:eastAsia="方正小标宋简体" w:cs="方正小标宋简体"/>
          <w:color w:val="auto"/>
          <w:sz w:val="72"/>
          <w:szCs w:val="72"/>
          <w:highlight w:val="none"/>
          <w:lang w:val="en-US" w:eastAsia="zh-CN" w:bidi="ar-SA"/>
        </w:rPr>
        <w:t>四川省</w:t>
      </w:r>
      <w:bookmarkStart w:id="6" w:name="_Toc18675"/>
    </w:p>
    <w:p w14:paraId="3E78CAB6">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eastAsia="方正小标宋简体" w:cs="方正小标宋简体"/>
          <w:color w:val="auto"/>
          <w:sz w:val="72"/>
          <w:szCs w:val="72"/>
          <w:highlight w:val="none"/>
          <w:lang w:bidi="ar-SA"/>
        </w:rPr>
        <w:t>阿坝州</w:t>
      </w:r>
      <w:r>
        <w:rPr>
          <w:rFonts w:hint="eastAsia" w:ascii="方正小标宋简体" w:eastAsia="方正小标宋简体" w:cs="方正小标宋简体"/>
          <w:color w:val="auto"/>
          <w:sz w:val="72"/>
          <w:szCs w:val="72"/>
          <w:highlight w:val="none"/>
          <w:lang w:val="en-US" w:eastAsia="zh-CN" w:bidi="ar-SA"/>
        </w:rPr>
        <w:t>人民政府办</w:t>
      </w:r>
      <w:bookmarkEnd w:id="6"/>
      <w:r>
        <w:rPr>
          <w:rFonts w:hint="eastAsia" w:ascii="方正小标宋简体" w:eastAsia="方正小标宋简体" w:cs="方正小标宋简体"/>
          <w:color w:val="auto"/>
          <w:sz w:val="72"/>
          <w:szCs w:val="72"/>
          <w:highlight w:val="none"/>
          <w:lang w:val="en-US" w:eastAsia="zh-CN" w:bidi="ar-SA"/>
        </w:rPr>
        <w:t>公室</w:t>
      </w:r>
    </w:p>
    <w:p w14:paraId="1B82462C">
      <w:pPr>
        <w:adjustRightInd w:val="0"/>
        <w:snapToGrid w:val="0"/>
        <w:spacing w:line="360" w:lineRule="auto"/>
        <w:jc w:val="center"/>
        <w:outlineLvl w:val="0"/>
        <w:rPr>
          <w:rFonts w:hint="eastAsia" w:ascii="方正小标宋简体" w:eastAsia="方正小标宋简体" w:cs="方正小标宋简体"/>
          <w:color w:val="auto"/>
          <w:sz w:val="72"/>
          <w:szCs w:val="72"/>
          <w:highlight w:val="none"/>
          <w:lang w:val="en-US" w:eastAsia="zh-CN" w:bidi="ar-SA"/>
        </w:rPr>
      </w:pPr>
      <w:r>
        <w:rPr>
          <w:rFonts w:hint="eastAsia" w:ascii="方正小标宋简体" w:eastAsia="方正小标宋简体" w:cs="方正小标宋简体"/>
          <w:color w:val="auto"/>
          <w:sz w:val="72"/>
          <w:szCs w:val="72"/>
          <w:highlight w:val="none"/>
          <w:lang w:val="en-US" w:eastAsia="zh-CN" w:bidi="ar-SA"/>
        </w:rPr>
        <w:t>单位决算</w:t>
      </w:r>
    </w:p>
    <w:p w14:paraId="61B5527A">
      <w:pPr>
        <w:pStyle w:val="17"/>
        <w:rPr>
          <w:rFonts w:ascii="Times New Roman" w:hAnsi="Times New Roman" w:eastAsia="方正小标宋简体"/>
          <w:color w:val="auto"/>
          <w:sz w:val="72"/>
          <w:szCs w:val="72"/>
          <w:highlight w:val="none"/>
        </w:rPr>
      </w:pPr>
    </w:p>
    <w:p w14:paraId="3BA09752">
      <w:pPr>
        <w:pStyle w:val="17"/>
        <w:rPr>
          <w:rFonts w:ascii="Times New Roman" w:hAnsi="Times New Roman" w:eastAsia="方正小标宋简体"/>
          <w:color w:val="auto"/>
          <w:sz w:val="72"/>
          <w:szCs w:val="72"/>
          <w:highlight w:val="none"/>
        </w:rPr>
      </w:pPr>
    </w:p>
    <w:p w14:paraId="30D756E2">
      <w:pPr>
        <w:widowControl/>
        <w:jc w:val="center"/>
        <w:rPr>
          <w:rFonts w:hint="eastAsia" w:ascii="仿宋_GB2312" w:eastAsia="仿宋_GB2312" w:cs="仿宋_GB2312"/>
          <w:color w:val="auto"/>
          <w:sz w:val="36"/>
          <w:szCs w:val="36"/>
          <w:highlight w:val="none"/>
          <w:lang w:val="en-US" w:eastAsia="zh-CN" w:bidi="ar-SA"/>
        </w:rPr>
      </w:pPr>
      <w:r>
        <w:rPr>
          <w:rFonts w:hint="eastAsia" w:ascii="仿宋_GB2312" w:eastAsia="仿宋_GB2312" w:cs="仿宋_GB2312"/>
          <w:color w:val="auto"/>
          <w:sz w:val="36"/>
          <w:szCs w:val="36"/>
          <w:highlight w:val="none"/>
          <w:lang w:val="en-US" w:eastAsia="zh-CN" w:bidi="ar-SA"/>
        </w:rPr>
        <w:t>已保密审查、内容审定，同意对外公开</w:t>
      </w:r>
    </w:p>
    <w:p w14:paraId="654632F1">
      <w:pPr>
        <w:pStyle w:val="17"/>
        <w:rPr>
          <w:rFonts w:hint="default" w:ascii="仿宋_GB2312" w:hAnsi="Times New Roman" w:eastAsia="仿宋_GB2312" w:cs="仿宋_GB2312"/>
          <w:b w:val="0"/>
          <w:color w:val="auto"/>
          <w:kern w:val="2"/>
          <w:sz w:val="36"/>
          <w:szCs w:val="36"/>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仿宋_GB2312" w:eastAsia="仿宋_GB2312" w:cs="仿宋_GB2312"/>
          <w:color w:val="auto"/>
          <w:sz w:val="36"/>
          <w:szCs w:val="36"/>
          <w:highlight w:val="none"/>
          <w:lang w:val="en-US" w:eastAsia="zh-CN" w:bidi="ar-SA"/>
        </w:rPr>
        <w:t>本报告以“万元”为单位，合计数与明细数由于四舍五入的原因可能存在尾数误差</w:t>
      </w:r>
      <w:r>
        <w:rPr>
          <w:rFonts w:hint="eastAsia" w:ascii="仿宋_GB2312" w:hAnsi="Times New Roman" w:eastAsia="仿宋_GB2312" w:cs="仿宋_GB2312"/>
          <w:b w:val="0"/>
          <w:color w:val="auto"/>
          <w:kern w:val="2"/>
          <w:sz w:val="36"/>
          <w:szCs w:val="36"/>
          <w:highlight w:val="none"/>
          <w:lang w:val="en-US" w:eastAsia="zh-CN" w:bidi="ar-SA"/>
        </w:rPr>
        <w:t>，</w:t>
      </w:r>
      <w:r>
        <w:rPr>
          <w:rFonts w:hint="eastAsia" w:eastAsia="仿宋_GB2312" w:cs="仿宋_GB2312"/>
          <w:b w:val="0"/>
          <w:color w:val="auto"/>
          <w:kern w:val="2"/>
          <w:sz w:val="36"/>
          <w:szCs w:val="36"/>
          <w:highlight w:val="none"/>
          <w:lang w:val="en-US" w:eastAsia="zh-CN" w:bidi="ar-SA"/>
        </w:rPr>
        <w:t>且</w:t>
      </w:r>
      <w:r>
        <w:rPr>
          <w:rFonts w:hint="eastAsia" w:ascii="仿宋_GB2312" w:hAnsi="Times New Roman" w:eastAsia="仿宋_GB2312" w:cs="仿宋_GB2312"/>
          <w:b w:val="0"/>
          <w:color w:val="auto"/>
          <w:kern w:val="2"/>
          <w:sz w:val="36"/>
          <w:szCs w:val="36"/>
          <w:highlight w:val="none"/>
          <w:lang w:val="en-US" w:eastAsia="zh-CN" w:bidi="ar-SA"/>
        </w:rPr>
        <w:t>已扣除涉密资金</w:t>
      </w:r>
      <w:r>
        <w:rPr>
          <w:rFonts w:hint="eastAsia" w:eastAsia="仿宋_GB2312" w:cs="仿宋_GB2312"/>
          <w:b w:val="0"/>
          <w:color w:val="auto"/>
          <w:kern w:val="2"/>
          <w:sz w:val="36"/>
          <w:szCs w:val="36"/>
          <w:highlight w:val="none"/>
          <w:lang w:val="en-US" w:eastAsia="zh-CN" w:bidi="ar-SA"/>
        </w:rPr>
        <w:t>。</w:t>
      </w:r>
      <w:bookmarkEnd w:id="0"/>
      <w:bookmarkEnd w:id="1"/>
      <w:bookmarkEnd w:id="2"/>
      <w:bookmarkEnd w:id="3"/>
      <w:bookmarkEnd w:id="4"/>
      <w:bookmarkEnd w:id="5"/>
    </w:p>
    <w:p w14:paraId="60B538B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6019BA9">
      <w:pPr>
        <w:widowControl/>
        <w:jc w:val="center"/>
        <w:rPr>
          <w:rFonts w:ascii="Times New Roman" w:hAnsi="Times New Roman" w:eastAsia="黑体" w:cstheme="minorBidi"/>
          <w:color w:val="auto"/>
          <w:sz w:val="28"/>
          <w:szCs w:val="28"/>
          <w:highlight w:val="none"/>
        </w:rPr>
      </w:pPr>
    </w:p>
    <w:p w14:paraId="5B7E57C4">
      <w:pPr>
        <w:pStyle w:val="27"/>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w:t>
      </w:r>
      <w:r>
        <w:rPr>
          <w:rFonts w:hint="eastAsia" w:ascii="Times New Roman" w:hAnsi="Times New Roman" w:eastAsia="仿宋_GB2312" w:cs="仿宋_GB2312"/>
          <w:color w:val="auto"/>
          <w:sz w:val="32"/>
          <w:szCs w:val="32"/>
          <w:highlight w:val="none"/>
        </w:rPr>
        <w:t>日</w:t>
      </w:r>
    </w:p>
    <w:p w14:paraId="7F03DDD2">
      <w:pPr>
        <w:rPr>
          <w:rFonts w:ascii="Times New Roman" w:hAnsi="Times New Roman"/>
          <w:color w:val="auto"/>
          <w:highlight w:val="none"/>
        </w:rPr>
      </w:pPr>
    </w:p>
    <w:p w14:paraId="257A3861">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0941E3C">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..................................................................3</w:t>
      </w:r>
    </w:p>
    <w:p w14:paraId="3959CE9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..................................................................4</w:t>
      </w:r>
    </w:p>
    <w:p w14:paraId="4A5C255F">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w:t>
      </w:r>
    </w:p>
    <w:p w14:paraId="21F55F5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..................................5</w:t>
      </w:r>
    </w:p>
    <w:p w14:paraId="49FE9EF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2AA7284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40E426F0">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5450301A">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019BF10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65C5C2B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239BE6F5">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28A2AC57">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6E016EC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496D5F3">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...............................................................14</w:t>
      </w:r>
    </w:p>
    <w:p w14:paraId="7FD35511">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4377E619">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.......................................................................59</w:t>
      </w:r>
    </w:p>
    <w:p w14:paraId="20F92FAE">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.................................................59</w:t>
      </w:r>
    </w:p>
    <w:p w14:paraId="0D98C97D">
      <w:pPr>
        <w:pStyle w:val="2"/>
        <w:bidi w:val="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二、收入决算表.............................................................59</w:t>
      </w:r>
    </w:p>
    <w:p w14:paraId="7FFF17F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.............................................................59</w:t>
      </w:r>
    </w:p>
    <w:p w14:paraId="310DE54B">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................................59</w:t>
      </w:r>
    </w:p>
    <w:p w14:paraId="7F973DD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....................................59</w:t>
      </w:r>
    </w:p>
    <w:p w14:paraId="7C38BCD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....................59</w:t>
      </w:r>
    </w:p>
    <w:p w14:paraId="301424C5">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............59</w:t>
      </w:r>
    </w:p>
    <w:p w14:paraId="511F46B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....59</w:t>
      </w:r>
    </w:p>
    <w:p w14:paraId="726CB99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............59</w:t>
      </w:r>
    </w:p>
    <w:p w14:paraId="49ED0B07">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........59</w:t>
      </w:r>
    </w:p>
    <w:p w14:paraId="6E8C400C">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59</w:t>
      </w:r>
    </w:p>
    <w:p w14:paraId="6EE4842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........59</w:t>
      </w:r>
    </w:p>
    <w:p w14:paraId="459CCF4D">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.................59</w:t>
      </w:r>
    </w:p>
    <w:p w14:paraId="69DB8B3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77196"/>
      <w:bookmarkStart w:id="8" w:name="_Toc15396599"/>
      <w:r>
        <w:rPr>
          <w:rFonts w:hint="eastAsia" w:ascii="Times New Roman" w:hAnsi="Times New Roman" w:eastAsia="仿宋_GB2312" w:cs="仿宋_GB2312"/>
          <w:b/>
          <w:color w:val="auto"/>
          <w:sz w:val="32"/>
          <w:szCs w:val="32"/>
          <w:highlight w:val="none"/>
        </w:rPr>
        <w:br w:type="page" w:clear="all"/>
      </w:r>
    </w:p>
    <w:p w14:paraId="2B9A39B0">
      <w:pPr>
        <w:pStyle w:val="4"/>
        <w:pageBreakBefore w:val="0"/>
        <w:kinsoku/>
        <w:wordWrap/>
        <w:overflowPunct/>
        <w:topLinePunct w:val="0"/>
        <w:autoSpaceDE/>
        <w:autoSpaceDN/>
        <w:bidi w:val="0"/>
        <w:spacing w:line="560" w:lineRule="exact"/>
        <w:jc w:val="center"/>
        <w:textAlignment w:val="auto"/>
        <w:rPr>
          <w:rStyle w:val="197"/>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97"/>
          <w:rFonts w:hint="eastAsia" w:ascii="Times New Roman" w:hAnsi="Times New Roman" w:eastAsia="方正小标宋简体" w:cs="方正小标宋简体"/>
          <w:b w:val="0"/>
          <w:bCs w:val="0"/>
          <w:color w:val="auto"/>
          <w:highlight w:val="none"/>
        </w:rPr>
        <w:t>部门概况</w:t>
      </w:r>
      <w:bookmarkEnd w:id="7"/>
      <w:bookmarkEnd w:id="8"/>
    </w:p>
    <w:p w14:paraId="5E580F3D">
      <w:pPr>
        <w:pStyle w:val="5"/>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14:paraId="36754C97">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bookmarkStart w:id="9" w:name="_Toc15396601"/>
      <w:bookmarkStart w:id="10" w:name="_Toc15377200"/>
      <w:r>
        <w:rPr>
          <w:rFonts w:hint="eastAsia" w:ascii="仿宋_GB2312" w:hAnsi="仿宋_GB2312" w:eastAsia="仿宋_GB2312" w:cs="仿宋_GB2312"/>
          <w:color w:val="auto"/>
          <w:kern w:val="2"/>
          <w:sz w:val="32"/>
          <w:szCs w:val="32"/>
          <w:highlight w:val="none"/>
          <w:lang w:val="en-US" w:eastAsia="zh-CN" w:bidi="ar-SA"/>
        </w:rPr>
        <w:t>（一）协助州政府领导起草或组织起草、审核以州政府、州政府办公室名义印发的公文。负责起草或组织起草《政府工作报告》和州政府领导重要文稿、州政府综合性文稿以及向省委、省政府、州委的汇报材料。办理党中央、国务院及其办公厅，省委、省政府及其办公厅，以及省直各部门、其他市（州）发送州政府的文电。指导全州行政机关公文处理工作。</w:t>
      </w:r>
    </w:p>
    <w:p w14:paraId="38B5141B">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（二）针对县（市）政府、州政府各部门、直属机构和有关单位报送州政府的各类公文，研究提出拟办意见，报州政府领导审批。</w:t>
      </w:r>
    </w:p>
    <w:p w14:paraId="3DEA80F2">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（三）围绕州政府中心工作和州政府领导指示，组织专题调查研究，及时反映情况，提出政策性建议。</w:t>
      </w:r>
    </w:p>
    <w:p w14:paraId="660E8690">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（四）负责州政府部门和县（市）政府对上级党委、政府重大决策部署和州政府决定事项，以及州政府领导批示、交办事项落实情况的监督检查，并及时向州政府领导报告。</w:t>
      </w:r>
    </w:p>
    <w:p w14:paraId="6C3CA75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（五）负责州政府各类会议、活动、接待的组织、协调或审核、指导工作，协助州政府领导组织实施会议决定事项。</w:t>
      </w:r>
    </w:p>
    <w:p w14:paraId="32644F0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（六）根据州政府领导指示，对县（市）政府、州政府部门之间出现的争议问题提出处理意见和建议，报州政府领导决定。</w:t>
      </w:r>
    </w:p>
    <w:p w14:paraId="7005579C">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（七）负责推进、指导、协调、监督全州政府信息公开工作，负责州政府信息公开工作。</w:t>
      </w:r>
    </w:p>
    <w:p w14:paraId="5AC01C32">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（八）负责政府政务信息工作，指导全州政府系统政务信息工作。</w:t>
      </w:r>
    </w:p>
    <w:p w14:paraId="0476910D">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（九）负责州政府值班工作，指导县（市）政府和州政府部门值班工作，及时报告重要情况。</w:t>
      </w:r>
    </w:p>
    <w:p w14:paraId="5830207B">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（十）负责协调、指导、督促涉及州政府工作的人大代表建议、批评、意见和政协提案的办理。</w:t>
      </w:r>
    </w:p>
    <w:p w14:paraId="65C4C119">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（十一）负责统筹、指导和协调推进九寨沟、黄龙等机场航空口岸临时开放工作。承担省口岸物流办交办的促进现代物流业发展相关工作。</w:t>
      </w:r>
    </w:p>
    <w:p w14:paraId="0C35ED8E">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（十二）做好机关事务工作，为州政府领导做好服务。</w:t>
      </w:r>
    </w:p>
    <w:p w14:paraId="25E06589">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（十三）负责职责范围内的安全生产和职业健康、生态环境保护、审批服务便民化等工作。</w:t>
      </w:r>
    </w:p>
    <w:p w14:paraId="1E15D4A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（十四）完成州委、州政府和州国防动员委员会交办的其他任务。</w:t>
      </w:r>
    </w:p>
    <w:p w14:paraId="6E07C36B">
      <w:pPr>
        <w:pStyle w:val="5"/>
        <w:pageBreakBefore w:val="0"/>
        <w:kinsoku/>
        <w:wordWrap/>
        <w:overflowPunct/>
        <w:topLinePunct w:val="0"/>
        <w:autoSpaceDE/>
        <w:autoSpaceDN/>
        <w:bidi w:val="0"/>
        <w:spacing w:line="560" w:lineRule="exact"/>
        <w:ind w:firstLine="640" w:firstLineChars="200"/>
        <w:textAlignment w:val="auto"/>
        <w:rPr>
          <w:rStyle w:val="198"/>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198"/>
          <w:rFonts w:hint="eastAsia" w:ascii="Times New Roman" w:hAnsi="Times New Roman" w:eastAsia="黑体"/>
          <w:b w:val="0"/>
          <w:bCs w:val="0"/>
          <w:color w:val="auto"/>
          <w:highlight w:val="none"/>
        </w:rPr>
        <w:t>构设置</w:t>
      </w:r>
      <w:bookmarkEnd w:id="9"/>
      <w:bookmarkEnd w:id="10"/>
    </w:p>
    <w:p w14:paraId="37F44995">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阿坝州人民政府办公室（102001）</w:t>
      </w:r>
      <w:r>
        <w:rPr>
          <w:rFonts w:hint="eastAsia" w:ascii="仿宋_GB2312" w:hAnsi="仿宋_GB2312" w:eastAsia="仿宋_GB2312" w:cs="仿宋_GB2312"/>
          <w:color w:val="auto"/>
          <w:sz w:val="32"/>
          <w:szCs w:val="32"/>
          <w:highlight w:val="none"/>
        </w:rPr>
        <w:t>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事业单位0个（代管州政府信息公开和电子政务服务中心项目）</w:t>
      </w:r>
      <w:r>
        <w:rPr>
          <w:rFonts w:hint="eastAsia" w:ascii="仿宋_GB2312" w:hAnsi="仿宋_GB2312" w:eastAsia="仿宋_GB2312" w:cs="仿宋_GB2312"/>
          <w:color w:val="auto"/>
          <w:sz w:val="32"/>
          <w:szCs w:val="32"/>
          <w:highlight w:val="none"/>
        </w:rPr>
        <w:t>。</w:t>
      </w:r>
    </w:p>
    <w:p w14:paraId="39497C26">
      <w:pPr>
        <w:pStyle w:val="15"/>
        <w:pageBreakBefore w:val="0"/>
        <w:kinsoku/>
        <w:wordWrap/>
        <w:overflowPunct/>
        <w:topLinePunct w:val="0"/>
        <w:autoSpaceDE/>
        <w:autoSpaceDN/>
        <w:bidi w:val="0"/>
        <w:adjustRightInd w:val="0"/>
        <w:snapToGrid w:val="0"/>
        <w:spacing w:before="93" w:line="560" w:lineRule="exact"/>
        <w:ind w:firstLine="665" w:firstLineChars="208"/>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lang w:val="en-US" w:eastAsia="zh-CN"/>
        </w:rPr>
        <w:t>阿坝州人民政府办公室（102001）</w:t>
      </w:r>
      <w:r>
        <w:rPr>
          <w:rFonts w:hint="eastAsia" w:ascii="仿宋_GB2312" w:hAnsi="仿宋_GB2312" w:eastAsia="仿宋_GB2312" w:cs="仿宋_GB2312"/>
          <w:color w:val="auto"/>
          <w:sz w:val="32"/>
          <w:szCs w:val="32"/>
          <w:highlight w:val="none"/>
          <w:lang w:eastAsia="zh-CN"/>
        </w:rPr>
        <w:t>202</w:t>
      </w:r>
      <w:r>
        <w:rPr>
          <w:rFonts w:hint="eastAsia"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年度部门决算编制范围的二级预算单位包括：</w:t>
      </w:r>
    </w:p>
    <w:p w14:paraId="3182C5A2">
      <w:pPr>
        <w:pStyle w:val="15"/>
        <w:pageBreakBefore w:val="0"/>
        <w:kinsoku/>
        <w:wordWrap/>
        <w:overflowPunct/>
        <w:topLinePunct w:val="0"/>
        <w:autoSpaceDE/>
        <w:autoSpaceDN/>
        <w:bidi w:val="0"/>
        <w:adjustRightInd w:val="0"/>
        <w:snapToGrid w:val="0"/>
        <w:spacing w:before="93" w:line="560" w:lineRule="exact"/>
        <w:ind w:left="630"/>
        <w:textAlignment w:val="auto"/>
        <w:outlineLvl w:val="2"/>
        <w:rPr>
          <w:rFonts w:hint="eastAsia" w:ascii="仿宋_GB2312" w:hAnsi="仿宋_GB2312" w:eastAsia="仿宋_GB2312" w:cs="仿宋_GB2312"/>
          <w:color w:val="auto"/>
          <w:sz w:val="32"/>
          <w:szCs w:val="32"/>
          <w:highlight w:val="none"/>
        </w:rPr>
      </w:pPr>
      <w:bookmarkStart w:id="11" w:name="_Toc15378449"/>
      <w:bookmarkStart w:id="12" w:name="_Toc15377202"/>
      <w:bookmarkStart w:id="13" w:name="_Toc15377433"/>
      <w:bookmarkStart w:id="14" w:name="_Toc15306276"/>
      <w:r>
        <w:rPr>
          <w:rFonts w:hint="eastAsia" w:ascii="仿宋_GB2312" w:hAnsi="仿宋_GB2312" w:eastAsia="仿宋_GB2312" w:cs="仿宋_GB2312"/>
          <w:color w:val="auto"/>
          <w:sz w:val="32"/>
          <w:szCs w:val="32"/>
          <w:highlight w:val="none"/>
          <w:lang w:val="en-US" w:eastAsia="zh-CN"/>
        </w:rPr>
        <w:t>1.阿坝州人民政府办公室</w:t>
      </w:r>
      <w:bookmarkEnd w:id="11"/>
      <w:bookmarkEnd w:id="12"/>
      <w:bookmarkEnd w:id="13"/>
      <w:bookmarkEnd w:id="14"/>
    </w:p>
    <w:p w14:paraId="4F8B6FC2">
      <w:pPr>
        <w:pStyle w:val="15"/>
        <w:pageBreakBefore w:val="0"/>
        <w:kinsoku/>
        <w:wordWrap/>
        <w:overflowPunct/>
        <w:topLinePunct w:val="0"/>
        <w:autoSpaceDE/>
        <w:autoSpaceDN/>
        <w:bidi w:val="0"/>
        <w:adjustRightInd w:val="0"/>
        <w:snapToGrid w:val="0"/>
        <w:spacing w:before="93" w:line="560" w:lineRule="exact"/>
        <w:ind w:left="63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2.阿坝州人民政府</w:t>
      </w:r>
      <w:r>
        <w:rPr>
          <w:rFonts w:hint="eastAsia" w:hAnsi="仿宋_GB2312" w:cs="仿宋_GB2312"/>
          <w:color w:val="auto"/>
          <w:sz w:val="32"/>
          <w:szCs w:val="32"/>
          <w:highlight w:val="none"/>
          <w:lang w:val="en-US" w:eastAsia="zh-CN"/>
        </w:rPr>
        <w:t>GFDY</w:t>
      </w:r>
      <w:r>
        <w:rPr>
          <w:rFonts w:hint="eastAsia" w:ascii="仿宋_GB2312" w:hAnsi="仿宋_GB2312" w:eastAsia="仿宋_GB2312" w:cs="仿宋_GB2312"/>
          <w:color w:val="auto"/>
          <w:sz w:val="32"/>
          <w:szCs w:val="32"/>
          <w:highlight w:val="none"/>
          <w:lang w:val="en-US" w:eastAsia="zh-CN"/>
        </w:rPr>
        <w:t>办公室</w:t>
      </w:r>
    </w:p>
    <w:p w14:paraId="4D1FA379">
      <w:pPr>
        <w:pStyle w:val="15"/>
        <w:pageBreakBefore w:val="0"/>
        <w:kinsoku/>
        <w:wordWrap/>
        <w:overflowPunct/>
        <w:topLinePunct w:val="0"/>
        <w:autoSpaceDE/>
        <w:autoSpaceDN/>
        <w:bidi w:val="0"/>
        <w:adjustRightInd w:val="0"/>
        <w:snapToGrid w:val="0"/>
        <w:spacing w:before="93" w:line="560" w:lineRule="exact"/>
        <w:ind w:left="630"/>
        <w:textAlignment w:val="auto"/>
        <w:rPr>
          <w:rFonts w:hint="eastAsia" w:ascii="仿宋_GB2312" w:hAnsi="仿宋_GB2312" w:eastAsia="仿宋_GB2312" w:cs="仿宋_GB2312"/>
          <w:color w:val="auto"/>
          <w:sz w:val="32"/>
          <w:szCs w:val="32"/>
          <w:highlight w:val="none"/>
          <w:lang w:val="en-US" w:eastAsia="en-US"/>
        </w:rPr>
      </w:pPr>
    </w:p>
    <w:p w14:paraId="28D8C6A5">
      <w:pPr>
        <w:pStyle w:val="15"/>
        <w:pageBreakBefore w:val="0"/>
        <w:kinsoku/>
        <w:wordWrap/>
        <w:overflowPunct/>
        <w:topLinePunct w:val="0"/>
        <w:autoSpaceDE/>
        <w:autoSpaceDN/>
        <w:bidi w:val="0"/>
        <w:adjustRightInd w:val="0"/>
        <w:snapToGrid w:val="0"/>
        <w:spacing w:before="93" w:line="560" w:lineRule="exact"/>
        <w:jc w:val="center"/>
        <w:textAlignment w:val="auto"/>
        <w:outlineLvl w:val="2"/>
        <w:rPr>
          <w:rFonts w:hint="eastAsia" w:ascii="方正小标宋简体" w:hAnsi="方正小标宋简体" w:eastAsia="方正小标宋简体" w:cs="方正小标宋简体"/>
          <w:b w:val="0"/>
          <w:color w:val="auto"/>
          <w:sz w:val="44"/>
          <w:szCs w:val="44"/>
          <w:highlight w:val="none"/>
        </w:rPr>
      </w:pPr>
      <w:bookmarkStart w:id="15" w:name="_Toc15377204"/>
      <w:bookmarkStart w:id="16" w:name="_Toc15396602"/>
      <w:r>
        <w:rPr>
          <w:rFonts w:hint="eastAsia" w:ascii="方正小标宋简体" w:hAnsi="方正小标宋简体" w:eastAsia="方正小标宋简体" w:cs="方正小标宋简体"/>
          <w:b w:val="0"/>
          <w:color w:val="auto"/>
          <w:sz w:val="44"/>
          <w:szCs w:val="44"/>
          <w:highlight w:val="none"/>
        </w:rPr>
        <w:t>第二部分</w:t>
      </w:r>
      <w:r>
        <w:rPr>
          <w:rFonts w:hint="eastAsia" w:ascii="方正小标宋简体" w:hAnsi="方正小标宋简体" w:eastAsia="方正小标宋简体" w:cs="方正小标宋简体"/>
          <w:b w:val="0"/>
          <w:color w:val="auto"/>
          <w:sz w:val="44"/>
          <w:szCs w:val="44"/>
          <w:highlight w:val="none"/>
          <w:lang w:val="en-US" w:eastAsia="zh-CN"/>
        </w:rPr>
        <w:t xml:space="preserve"> </w:t>
      </w:r>
      <w:r>
        <w:rPr>
          <w:rFonts w:hint="eastAsia" w:ascii="方正小标宋简体" w:hAnsi="方正小标宋简体" w:eastAsia="方正小标宋简体" w:cs="方正小标宋简体"/>
          <w:b w:val="0"/>
          <w:color w:val="auto"/>
          <w:sz w:val="44"/>
          <w:szCs w:val="44"/>
          <w:highlight w:val="none"/>
        </w:rPr>
        <w:t xml:space="preserve"> </w:t>
      </w:r>
      <w:r>
        <w:rPr>
          <w:rFonts w:hint="eastAsia" w:ascii="方正小标宋简体" w:hAnsi="方正小标宋简体" w:eastAsia="方正小标宋简体" w:cs="方正小标宋简体"/>
          <w:b w:val="0"/>
          <w:color w:val="auto"/>
          <w:sz w:val="44"/>
          <w:szCs w:val="44"/>
          <w:highlight w:val="none"/>
          <w:lang w:val="en-US" w:eastAsia="zh-CN"/>
        </w:rPr>
        <w:t>2025年度</w:t>
      </w:r>
      <w:r>
        <w:rPr>
          <w:rFonts w:hint="eastAsia" w:ascii="方正小标宋简体" w:hAnsi="方正小标宋简体" w:eastAsia="方正小标宋简体" w:cs="方正小标宋简体"/>
          <w:b w:val="0"/>
          <w:color w:val="auto"/>
          <w:sz w:val="44"/>
          <w:szCs w:val="44"/>
          <w:highlight w:val="none"/>
        </w:rPr>
        <w:t>部门决算情况说明</w:t>
      </w:r>
      <w:bookmarkEnd w:id="15"/>
      <w:bookmarkEnd w:id="16"/>
    </w:p>
    <w:p w14:paraId="14A58B7C">
      <w:pPr>
        <w:rPr>
          <w:rFonts w:ascii="Times New Roman" w:hAnsi="Times New Roman"/>
          <w:color w:val="auto"/>
          <w:highlight w:val="none"/>
        </w:rPr>
      </w:pPr>
    </w:p>
    <w:p w14:paraId="7CE09C18">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198"/>
          <w:rFonts w:hint="eastAsia" w:ascii="Times New Roman" w:hAnsi="Times New Roman" w:eastAsia="黑体"/>
          <w:b w:val="0"/>
          <w:color w:val="auto"/>
          <w:highlight w:val="none"/>
        </w:rPr>
      </w:pPr>
      <w:bookmarkStart w:id="17" w:name="_Toc15377205"/>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98"/>
          <w:rFonts w:hint="eastAsia" w:ascii="Times New Roman" w:hAnsi="Times New Roman" w:eastAsia="黑体"/>
          <w:b w:val="0"/>
          <w:color w:val="auto"/>
          <w:highlight w:val="none"/>
        </w:rPr>
        <w:t>入支出决算总体情况说明</w:t>
      </w:r>
      <w:bookmarkEnd w:id="17"/>
      <w:bookmarkEnd w:id="18"/>
    </w:p>
    <w:p w14:paraId="3E79ABBD">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5,530.1</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val="en-US" w:eastAsia="zh-CN"/>
        </w:rPr>
        <w:t>增加</w:t>
      </w:r>
      <w:r>
        <w:rPr>
          <w:rFonts w:hint="eastAsia" w:ascii="仿宋_GB2312" w:hAnsi="仿宋_GB2312" w:eastAsia="仿宋_GB2312" w:cs="仿宋_GB2312"/>
          <w:sz w:val="32"/>
          <w:szCs w:val="32"/>
          <w:lang w:val="en-US" w:eastAsia="zh-CN"/>
        </w:rPr>
        <w:t>837.14</w:t>
      </w:r>
      <w:r>
        <w:rPr>
          <w:rFonts w:hint="eastAsia" w:ascii="仿宋_GB2312" w:hAnsi="仿宋_GB2312" w:eastAsia="仿宋_GB2312" w:cs="仿宋_GB2312"/>
          <w:sz w:val="32"/>
          <w:szCs w:val="32"/>
        </w:rPr>
        <w:t>万</w:t>
      </w:r>
      <w:r>
        <w:rPr>
          <w:rFonts w:hint="eastAsia" w:ascii="Times New Roman" w:hAnsi="Times New Roman" w:eastAsia="仿宋_GB2312" w:cs="仿宋_GB2312"/>
          <w:color w:val="auto"/>
          <w:sz w:val="32"/>
          <w:szCs w:val="32"/>
          <w:highlight w:val="none"/>
        </w:rPr>
        <w:t>元，</w:t>
      </w:r>
      <w:r>
        <w:rPr>
          <w:rFonts w:hint="eastAsia" w:eastAsia="仿宋_GB2312" w:cs="仿宋_GB2312"/>
          <w:color w:val="auto"/>
          <w:sz w:val="32"/>
          <w:szCs w:val="32"/>
          <w:highlight w:val="none"/>
          <w:lang w:val="en-US" w:eastAsia="zh-CN"/>
        </w:rPr>
        <w:t>增长17.84</w:t>
      </w:r>
      <w:r>
        <w:rPr>
          <w:rFonts w:hint="eastAsia" w:ascii="Times New Roman" w:hAnsi="Times New Roman" w:eastAsia="仿宋_GB2312" w:cs="仿宋_GB2312"/>
          <w:color w:val="auto"/>
          <w:sz w:val="32"/>
          <w:szCs w:val="32"/>
          <w:highlight w:val="none"/>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项目经费预算，二是人员变动使预算人员经费存在差异。</w:t>
      </w:r>
    </w:p>
    <w:p w14:paraId="644BEEA5">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5377206"/>
      <w:bookmarkStart w:id="20" w:name="_Toc15396604"/>
      <w:r>
        <w:rPr>
          <w:rFonts w:ascii="仿宋_GB2312" w:eastAsia="仿宋_GB2312"/>
          <w:color w:val="auto"/>
          <w:sz w:val="32"/>
          <w:szCs w:val="32"/>
          <w:highlight w:val="none"/>
          <w:lang w:eastAsia="zh-CN"/>
        </w:rPr>
        <w:pict>
          <v:shape id="_x0000_s1026" o:spid="_x0000_s1026" o:spt="75" type="#_x0000_t75" style="position:absolute;left:0pt;margin-left:-2.4pt;margin-top:16.3pt;height:226pt;width:428.8pt;mso-wrap-distance-bottom:0pt;mso-wrap-distance-top:0pt;z-index:251660288;mso-width-relative:page;mso-height-relative:page;" o:ole="t" filled="f" stroked="f" coordsize="21600,21600">
            <v:path/>
            <v:fill on="f" focussize="0,0"/>
            <v:stroke on="f"/>
            <v:imagedata r:id="rId10" o:title=""/>
            <o:lock v:ext="edit" aspectratio="t"/>
            <w10:wrap type="topAndBottom"/>
          </v:shape>
          <o:OLEObject Type="Embed" ProgID="Excel.Sheet.8" ShapeID="_x0000_s1026" DrawAspect="Content" ObjectID="_1468075725" r:id="rId9">
            <o:LockedField>false</o:LockedField>
          </o:OLEObject>
        </w:pict>
      </w:r>
      <w:r>
        <w:rPr>
          <w:rFonts w:hint="eastAsia" w:ascii="Times New Roman" w:hAnsi="Times New Roman" w:eastAsia="黑体"/>
          <w:color w:val="auto"/>
          <w:sz w:val="32"/>
          <w:szCs w:val="32"/>
          <w:highlight w:val="none"/>
          <w:lang w:eastAsia="zh-CN"/>
        </w:rPr>
        <w:t>二、收入决算情况说明</w:t>
      </w:r>
      <w:bookmarkEnd w:id="19"/>
      <w:bookmarkEnd w:id="20"/>
    </w:p>
    <w:p w14:paraId="2280B626">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color w:val="auto"/>
          <w:sz w:val="32"/>
          <w:szCs w:val="32"/>
          <w:highlight w:val="none"/>
          <w:lang w:eastAsia="zh-CN"/>
        </w:rPr>
        <w:t>%。</w:t>
      </w:r>
    </w:p>
    <w:p w14:paraId="1D04717E">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Times New Roman" w:hAnsi="Times New Roman" w:eastAsia="仿宋_GB2312" w:cs="仿宋_GB2312"/>
          <w:color w:val="auto"/>
          <w:sz w:val="32"/>
          <w:szCs w:val="32"/>
          <w:highlight w:val="none"/>
          <w:lang w:eastAsia="zh-CN"/>
        </w:rPr>
      </w:pPr>
      <w:r>
        <w:rPr>
          <w:rFonts w:ascii="仿宋" w:eastAsia="仿宋"/>
          <w:color w:val="auto"/>
          <w:sz w:val="32"/>
          <w:szCs w:val="32"/>
          <w:highlight w:val="none"/>
          <w:lang w:eastAsia="zh-CN"/>
        </w:rPr>
        <w:pict>
          <v:shape id="_x0000_s1027" o:spid="_x0000_s1027" o:spt="75" type="#_x0000_t75" style="position:absolute;left:0pt;margin-left:18.2pt;margin-top:27.2pt;height:204.8pt;width:418.6pt;mso-wrap-distance-bottom:0pt;mso-wrap-distance-top:0pt;z-index:251661312;mso-width-relative:page;mso-height-relative:page;" o:ole="t" filled="f" stroked="f" coordsize="21600,21600">
            <v:path/>
            <v:fill on="f" focussize="0,0"/>
            <v:stroke on="f"/>
            <v:imagedata r:id="rId12" o:title=""/>
            <o:lock v:ext="edit" aspectratio="t"/>
            <w10:wrap type="topAndBottom"/>
          </v:shape>
          <o:OLEObject Type="Embed" ProgID="Excel.Sheet.8" ShapeID="_x0000_s1027" DrawAspect="Content" ObjectID="_1468075726" r:id="rId11">
            <o:LockedField>false</o:LockedField>
          </o:OLEObject>
        </w:pict>
      </w:r>
    </w:p>
    <w:p w14:paraId="4856DA9E">
      <w:pPr>
        <w:pStyle w:val="19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21" w:name="_Toc15396605"/>
      <w:bookmarkStart w:id="22" w:name="_Toc15377207"/>
    </w:p>
    <w:p w14:paraId="0135D184">
      <w:pPr>
        <w:pStyle w:val="19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98"/>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98"/>
          <w:rFonts w:hint="eastAsia" w:ascii="Times New Roman" w:hAnsi="Times New Roman" w:eastAsia="黑体"/>
          <w:b w:val="0"/>
          <w:color w:val="auto"/>
          <w:highlight w:val="none"/>
        </w:rPr>
        <w:t>出决算情况说明</w:t>
      </w:r>
      <w:bookmarkEnd w:id="21"/>
      <w:bookmarkEnd w:id="22"/>
    </w:p>
    <w:p w14:paraId="7926EE0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5,511.13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,257.28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59.1</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2253.85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40.9</w:t>
      </w:r>
      <w:r>
        <w:rPr>
          <w:rFonts w:hint="eastAsia" w:ascii="仿宋_GB2312" w:hAnsi="仿宋_GB2312" w:eastAsia="仿宋_GB2312" w:cs="仿宋_GB2312"/>
          <w:color w:val="auto"/>
          <w:sz w:val="32"/>
          <w:szCs w:val="32"/>
          <w:highlight w:val="none"/>
          <w:lang w:eastAsia="zh-CN"/>
        </w:rPr>
        <w:t>%；</w:t>
      </w:r>
    </w:p>
    <w:p w14:paraId="5954176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0" distR="0">
            <wp:extent cx="4799965" cy="2440305"/>
            <wp:effectExtent l="4445" t="5080" r="11430" b="825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A6B5E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ascii="Times New Roman" w:hAnsi="Times New Roman" w:eastAsia="黑体"/>
          <w:b w:val="0"/>
          <w:color w:val="auto"/>
          <w:highlight w:val="none"/>
        </w:rPr>
      </w:pPr>
      <w:bookmarkStart w:id="23" w:name="_Toc15377208"/>
      <w:bookmarkStart w:id="24" w:name="_Toc15396606"/>
      <w:r>
        <w:rPr>
          <w:rFonts w:hint="eastAsia" w:ascii="Times New Roman" w:hAnsi="Times New Roman" w:eastAsia="黑体"/>
          <w:color w:val="auto"/>
          <w:sz w:val="32"/>
          <w:szCs w:val="32"/>
          <w:highlight w:val="none"/>
        </w:rPr>
        <w:t>四、财</w:t>
      </w:r>
      <w:r>
        <w:rPr>
          <w:rStyle w:val="198"/>
          <w:rFonts w:hint="eastAsia" w:ascii="Times New Roman" w:hAnsi="Times New Roman" w:eastAsia="黑体"/>
          <w:b w:val="0"/>
          <w:color w:val="auto"/>
          <w:highlight w:val="none"/>
        </w:rPr>
        <w:t>政拨款收入支出决算总体情况说明</w:t>
      </w:r>
      <w:bookmarkEnd w:id="23"/>
      <w:bookmarkEnd w:id="24"/>
    </w:p>
    <w:p w14:paraId="33F13A5A">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sz w:val="32"/>
          <w:szCs w:val="32"/>
          <w:lang w:val="en-US" w:eastAsia="zh-CN"/>
        </w:rPr>
        <w:t>,484.94</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增加916.87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增长20.07</w:t>
      </w:r>
      <w:r>
        <w:rPr>
          <w:rFonts w:hint="eastAsia" w:ascii="Times New Roman" w:hAnsi="Times New Roman" w:eastAsia="仿宋_GB2312" w:cs="仿宋_GB2312"/>
          <w:color w:val="auto"/>
          <w:kern w:val="2"/>
          <w:sz w:val="32"/>
          <w:szCs w:val="32"/>
          <w:highlight w:val="none"/>
          <w:lang w:val="en-US" w:eastAsia="zh-CN" w:bidi="ar-SA"/>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项目经费预算，二是人员变动使预算人员经费存在差异。</w:t>
      </w:r>
    </w:p>
    <w:p w14:paraId="47816C4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ascii="Times New Roman" w:hAnsi="Times New Roman" w:eastAsia="黑体"/>
          <w:b w:val="0"/>
          <w:color w:val="auto"/>
          <w:highlight w:val="none"/>
        </w:rPr>
      </w:pPr>
      <w:bookmarkStart w:id="25" w:name="_Toc15396607"/>
      <w:bookmarkStart w:id="26" w:name="_Toc15377209"/>
      <w:r>
        <w:rPr>
          <w:rFonts w:ascii="仿宋" w:eastAsia="仿宋"/>
          <w:color w:val="auto"/>
          <w:sz w:val="32"/>
          <w:szCs w:val="32"/>
          <w:highlight w:val="none"/>
          <w:lang w:eastAsia="zh-CN"/>
        </w:rPr>
        <w:pict>
          <v:shape id="_x0000_s1028" o:spid="_x0000_s1028" o:spt="75" type="#_x0000_t75" style="position:absolute;left:0pt;margin-left:-4.5pt;margin-top:15.3pt;height:218.5pt;width:399pt;mso-wrap-distance-bottom:0pt;mso-wrap-distance-top:0pt;z-index:251662336;mso-width-relative:page;mso-height-relative:page;" o:ole="t" filled="f" stroked="f" coordsize="21600,21600">
            <v:path/>
            <v:fill on="f" focussize="0,0"/>
            <v:stroke on="f"/>
            <v:imagedata r:id="rId15" o:title=""/>
            <o:lock v:ext="edit" aspectratio="t"/>
            <w10:wrap type="topAndBottom"/>
          </v:shape>
          <o:OLEObject Type="Embed" ProgID="Excel.Sheet.8" ShapeID="_x0000_s1028" DrawAspect="Content" ObjectID="_1468075727" r:id="rId14">
            <o:LockedField>false</o:LockedField>
          </o:OLEObject>
        </w:pict>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98"/>
          <w:rFonts w:hint="eastAsia" w:ascii="Times New Roman" w:hAnsi="Times New Roman" w:eastAsia="黑体"/>
          <w:b w:val="0"/>
          <w:color w:val="auto"/>
          <w:highlight w:val="none"/>
        </w:rPr>
        <w:t>般公共预算财政拨款支出决算情况说明</w:t>
      </w:r>
      <w:bookmarkEnd w:id="25"/>
      <w:bookmarkEnd w:id="26"/>
    </w:p>
    <w:p w14:paraId="616673B6">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7"/>
    </w:p>
    <w:p w14:paraId="70BA0116">
      <w:pPr>
        <w:keepNext w:val="0"/>
        <w:keepLines w:val="0"/>
        <w:pageBreakBefore w:val="0"/>
        <w:widowControl w:val="0"/>
        <w:kinsoku/>
        <w:wordWrap/>
        <w:overflowPunct/>
        <w:topLinePunct w:val="0"/>
        <w:autoSpaceDE/>
        <w:autoSpaceDN/>
        <w:bidi w:val="0"/>
        <w:adjustRightInd/>
        <w:spacing w:line="560" w:lineRule="exact"/>
        <w:ind w:firstLine="640"/>
        <w:textAlignment w:val="auto"/>
        <w:rPr>
          <w:rStyle w:val="40"/>
          <w:rFonts w:hint="eastAsia" w:ascii="仿宋_GB2312" w:hAnsi="仿宋_GB2312" w:eastAsia="仿宋_GB2312" w:cs="仿宋_GB2312"/>
          <w:b w:val="0"/>
          <w:bCs/>
          <w:sz w:val="32"/>
          <w:szCs w:val="32"/>
          <w:lang w:val="en-US" w:eastAsia="zh-CN"/>
        </w:rPr>
      </w:pPr>
      <w:r>
        <w:rPr>
          <w:rFonts w:ascii="仿宋" w:eastAsia="仿宋"/>
          <w:color w:val="auto"/>
          <w:sz w:val="32"/>
          <w:szCs w:val="32"/>
          <w:highlight w:val="none"/>
        </w:rPr>
        <w:pict>
          <v:shape id="_x0000_s1029" o:spid="_x0000_s1029" o:spt="75" type="#_x0000_t75" style="position:absolute;left:0pt;margin-left:9.2pt;margin-top:71.4pt;height:194.3pt;width:382pt;mso-wrap-distance-bottom:0pt;mso-wrap-distance-top:0pt;z-index:251663360;mso-width-relative:page;mso-height-relative:page;" o:ole="t" filled="f" stroked="f" coordsize="21600,21600">
            <v:path/>
            <v:fill on="f" focussize="0,0"/>
            <v:stroke on="f"/>
            <v:imagedata r:id="rId17" o:title=""/>
            <o:lock v:ext="edit" aspectratio="t"/>
            <w10:wrap type="topAndBottom"/>
          </v:shape>
          <o:OLEObject Type="Embed" ProgID="Excel.Sheet.8" ShapeID="_x0000_s1029" DrawAspect="Content" ObjectID="_1468075728" r:id="rId16">
            <o:LockedField>false</o:LockedField>
          </o:OLEObject>
        </w:pict>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99.52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%。与2024年度相比，一般公共预算财政拨款支出增加916.87万元，增长</w:t>
      </w:r>
      <w:r>
        <w:rPr>
          <w:rFonts w:hint="eastAsia" w:eastAsia="仿宋_GB2312" w:cs="仿宋_GB2312"/>
          <w:color w:val="auto"/>
          <w:kern w:val="2"/>
          <w:sz w:val="32"/>
          <w:szCs w:val="32"/>
          <w:highlight w:val="none"/>
          <w:lang w:val="en-US" w:eastAsia="zh-CN" w:bidi="ar-SA"/>
        </w:rPr>
        <w:t>20.07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。主要变动原因</w:t>
      </w:r>
      <w:r>
        <w:rPr>
          <w:rStyle w:val="40"/>
          <w:rFonts w:hint="eastAsia" w:ascii="仿宋_GB2312" w:hAnsi="仿宋_GB2312" w:eastAsia="仿宋_GB2312" w:cs="仿宋_GB2312"/>
          <w:b w:val="0"/>
          <w:bCs/>
          <w:sz w:val="32"/>
          <w:szCs w:val="32"/>
        </w:rPr>
        <w:t>一是202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w:t>
      </w:r>
      <w:r>
        <w:rPr>
          <w:rStyle w:val="40"/>
          <w:rFonts w:hint="eastAsia" w:ascii="仿宋_GB2312" w:hAnsi="仿宋_GB2312" w:eastAsia="仿宋_GB2312" w:cs="仿宋_GB2312"/>
          <w:b w:val="0"/>
          <w:bCs/>
          <w:sz w:val="32"/>
          <w:szCs w:val="32"/>
          <w:lang w:val="en-US" w:eastAsia="zh-CN"/>
        </w:rPr>
        <w:t>增加</w:t>
      </w:r>
      <w:r>
        <w:rPr>
          <w:rStyle w:val="40"/>
          <w:rFonts w:hint="eastAsia" w:ascii="仿宋_GB2312" w:hAnsi="仿宋_GB2312" w:eastAsia="仿宋_GB2312" w:cs="仿宋_GB2312"/>
          <w:b w:val="0"/>
          <w:bCs/>
          <w:sz w:val="32"/>
          <w:szCs w:val="32"/>
        </w:rPr>
        <w:t>项目经费预算，二是人员变动使预算人员经费存在差</w:t>
      </w:r>
      <w:r>
        <w:rPr>
          <w:rStyle w:val="40"/>
          <w:rFonts w:hint="eastAsia" w:ascii="仿宋_GB2312" w:hAnsi="仿宋_GB2312" w:eastAsia="仿宋_GB2312" w:cs="仿宋_GB2312"/>
          <w:b w:val="0"/>
          <w:bCs/>
          <w:sz w:val="32"/>
          <w:szCs w:val="32"/>
          <w:lang w:val="en-US" w:eastAsia="zh-CN"/>
        </w:rPr>
        <w:t>异。</w:t>
      </w:r>
    </w:p>
    <w:p w14:paraId="3CD8237B">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8"/>
    </w:p>
    <w:p w14:paraId="7EDE98F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4,847.68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88.38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340.69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6.21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121.56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175.01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6A52B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auto"/>
          <w:sz w:val="32"/>
          <w:szCs w:val="32"/>
          <w:highlight w:val="none"/>
        </w:rPr>
        <w:pict>
          <v:shape id="_x0000_s1030" o:spid="_x0000_s1030" o:spt="75" type="#_x0000_t75" style="position:absolute;left:0pt;margin-left:0.9pt;margin-top:13.5pt;height:240pt;width:417.6pt;mso-wrap-distance-bottom:0pt;mso-wrap-distance-top:0pt;z-index:251664384;mso-width-relative:page;mso-height-relative:page;" o:ole="t" filled="f" stroked="f" coordsize="21600,21600">
            <v:path/>
            <v:fill on="f" focussize="0,0"/>
            <v:stroke on="f"/>
            <v:imagedata r:id="rId19" o:title=""/>
            <o:lock v:ext="edit" aspectratio="t"/>
            <w10:wrap type="topAndBottom"/>
          </v:shape>
          <o:OLEObject Type="Embed" ProgID="Excel.Sheet.8" ShapeID="_x0000_s1030" DrawAspect="Content" ObjectID="_1468075729" r:id="rId18">
            <o:LockedField>false</o:LockedField>
          </o:OLEObject>
        </w:pict>
      </w:r>
    </w:p>
    <w:p w14:paraId="05D446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9"/>
    </w:p>
    <w:p w14:paraId="3B13DE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0" w:name="_Toc15377444"/>
      <w:bookmarkStart w:id="31" w:name="_Toc15377213"/>
      <w:bookmarkStart w:id="32"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5,484.94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0"/>
      <w:bookmarkEnd w:id="31"/>
      <w:bookmarkEnd w:id="32"/>
    </w:p>
    <w:p w14:paraId="2C921047">
      <w:pPr>
        <w:spacing w:line="600" w:lineRule="exact"/>
        <w:ind w:firstLine="643" w:firstLineChars="200"/>
        <w:rPr>
          <w:rFonts w:hint="eastAsia" w:ascii="仿宋" w:eastAsia="仿宋"/>
          <w:b/>
          <w:color w:val="auto"/>
          <w:sz w:val="32"/>
          <w:szCs w:val="32"/>
          <w:highlight w:val="none"/>
        </w:rPr>
      </w:pPr>
      <w:r>
        <w:rPr>
          <w:rStyle w:val="40"/>
          <w:rFonts w:hint="eastAsia" w:ascii="仿宋" w:eastAsia="仿宋"/>
          <w:bCs/>
          <w:color w:val="auto"/>
          <w:sz w:val="32"/>
          <w:szCs w:val="32"/>
          <w:highlight w:val="none"/>
        </w:rPr>
        <w:t>1.一般公共服务</w:t>
      </w:r>
      <w:r>
        <w:rPr>
          <w:rStyle w:val="40"/>
          <w:rFonts w:hint="eastAsia" w:ascii="仿宋_GB2312" w:eastAsia="仿宋_GB2312" w:cs="仿宋_GB2312"/>
          <w:sz w:val="32"/>
          <w:szCs w:val="32"/>
          <w:lang w:bidi="ar-SA"/>
        </w:rPr>
        <w:t>（类）</w:t>
      </w:r>
      <w:r>
        <w:rPr>
          <w:rStyle w:val="40"/>
          <w:rFonts w:hint="eastAsia" w:ascii="仿宋_GB2312" w:eastAsia="仿宋_GB2312" w:cs="仿宋_GB2312"/>
          <w:bCs/>
          <w:color w:val="000000"/>
          <w:sz w:val="32"/>
          <w:szCs w:val="32"/>
          <w:lang w:val="en-US" w:eastAsia="zh-CN" w:bidi="ar-SA"/>
        </w:rPr>
        <w:t>政府办公厅（室）及相关机构事务</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行政运行</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000000"/>
          <w:sz w:val="32"/>
          <w:szCs w:val="32"/>
        </w:rPr>
        <w:t>）</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2,620.02</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309E85BE">
      <w:pPr>
        <w:spacing w:line="600" w:lineRule="exact"/>
        <w:ind w:firstLine="643" w:firstLineChars="200"/>
        <w:rPr>
          <w:rFonts w:hint="eastAsia" w:ascii="仿宋" w:eastAsia="仿宋"/>
          <w:b/>
          <w:color w:val="auto"/>
          <w:sz w:val="32"/>
          <w:szCs w:val="32"/>
          <w:highlight w:val="none"/>
        </w:rPr>
      </w:pPr>
      <w:r>
        <w:rPr>
          <w:rStyle w:val="40"/>
          <w:rFonts w:hint="eastAsia" w:ascii="仿宋" w:eastAsia="仿宋"/>
          <w:bCs/>
          <w:color w:val="auto"/>
          <w:sz w:val="32"/>
          <w:szCs w:val="32"/>
          <w:highlight w:val="none"/>
        </w:rPr>
        <w:t>2.</w:t>
      </w:r>
      <w:r>
        <w:rPr>
          <w:rStyle w:val="40"/>
          <w:rFonts w:hint="eastAsia" w:ascii="仿宋_GB2312" w:eastAsia="仿宋_GB2312" w:cs="仿宋_GB2312"/>
          <w:sz w:val="32"/>
          <w:szCs w:val="32"/>
          <w:lang w:bidi="ar-SA"/>
        </w:rPr>
        <w:t>一般公共服务（类）</w:t>
      </w:r>
      <w:r>
        <w:rPr>
          <w:rStyle w:val="40"/>
          <w:rFonts w:hint="eastAsia" w:ascii="仿宋_GB2312" w:eastAsia="仿宋_GB2312" w:cs="仿宋_GB2312"/>
          <w:sz w:val="32"/>
          <w:szCs w:val="32"/>
          <w:lang w:val="en-US" w:eastAsia="zh-CN" w:bidi="ar-SA"/>
        </w:rPr>
        <w:t>政府办公厅（</w:t>
      </w:r>
      <w:r>
        <w:rPr>
          <w:rStyle w:val="40"/>
          <w:rFonts w:hint="eastAsia" w:ascii="仿宋_GB2312" w:eastAsia="仿宋_GB2312" w:cs="仿宋_GB2312"/>
          <w:bCs/>
          <w:color w:val="000000"/>
          <w:sz w:val="32"/>
          <w:szCs w:val="32"/>
          <w:lang w:val="en-US" w:eastAsia="zh-CN" w:bidi="ar-SA"/>
        </w:rPr>
        <w:t>室</w:t>
      </w:r>
      <w:r>
        <w:rPr>
          <w:rStyle w:val="40"/>
          <w:rFonts w:hint="eastAsia" w:ascii="仿宋_GB2312" w:eastAsia="仿宋_GB2312" w:cs="仿宋_GB2312"/>
          <w:sz w:val="32"/>
          <w:szCs w:val="32"/>
          <w:lang w:val="en-US" w:eastAsia="zh-CN" w:bidi="ar-SA"/>
        </w:rPr>
        <w:t>）及相关机构事务</w:t>
      </w:r>
      <w:r>
        <w:rPr>
          <w:rStyle w:val="40"/>
          <w:rFonts w:hint="eastAsia" w:ascii="仿宋_GB2312" w:eastAsia="仿宋_GB2312" w:cs="仿宋_GB2312"/>
          <w:sz w:val="32"/>
          <w:szCs w:val="32"/>
          <w:lang w:bidi="ar-SA"/>
        </w:rPr>
        <w:t>（款）</w:t>
      </w:r>
      <w:r>
        <w:rPr>
          <w:rStyle w:val="40"/>
          <w:rFonts w:hint="eastAsia" w:ascii="仿宋_GB2312" w:eastAsia="仿宋_GB2312" w:cs="仿宋_GB2312"/>
          <w:sz w:val="32"/>
          <w:szCs w:val="32"/>
          <w:lang w:val="en-US" w:eastAsia="zh-CN" w:bidi="ar-SA"/>
        </w:rPr>
        <w:t>一般行政管理事务</w:t>
      </w:r>
      <w:r>
        <w:rPr>
          <w:rStyle w:val="40"/>
          <w:rFonts w:hint="eastAsia" w:ascii="仿宋_GB2312" w:eastAsia="仿宋_GB2312" w:cs="仿宋_GB2312"/>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2,227.66</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660A059B">
      <w:pPr>
        <w:spacing w:line="600" w:lineRule="exact"/>
        <w:ind w:firstLine="643" w:firstLineChars="200"/>
        <w:rPr>
          <w:rStyle w:val="40"/>
          <w:rFonts w:hint="eastAsia" w:ascii="仿宋" w:eastAsia="仿宋"/>
          <w:b w:val="0"/>
          <w:bCs/>
          <w:color w:val="auto"/>
          <w:sz w:val="32"/>
          <w:szCs w:val="32"/>
          <w:highlight w:val="none"/>
        </w:rPr>
      </w:pPr>
      <w:r>
        <w:rPr>
          <w:rStyle w:val="40"/>
          <w:rFonts w:hint="eastAsia" w:ascii="仿宋" w:eastAsia="仿宋"/>
          <w:bCs/>
          <w:color w:val="auto"/>
          <w:sz w:val="32"/>
          <w:szCs w:val="32"/>
          <w:highlight w:val="none"/>
        </w:rPr>
        <w:t>3.</w:t>
      </w:r>
      <w:r>
        <w:rPr>
          <w:rStyle w:val="40"/>
          <w:rFonts w:hint="eastAsia" w:ascii="仿宋_GB2312" w:eastAsia="仿宋_GB2312" w:cs="仿宋_GB2312"/>
          <w:sz w:val="32"/>
          <w:szCs w:val="32"/>
          <w:lang w:bidi="ar-SA"/>
        </w:rPr>
        <w:t>社会保障和就业（类）</w:t>
      </w:r>
      <w:r>
        <w:rPr>
          <w:rStyle w:val="40"/>
          <w:rFonts w:hint="eastAsia" w:ascii="仿宋_GB2312" w:eastAsia="仿宋_GB2312" w:cs="仿宋_GB2312"/>
          <w:sz w:val="32"/>
          <w:szCs w:val="32"/>
          <w:lang w:val="en-US" w:eastAsia="zh-CN" w:bidi="ar-SA"/>
        </w:rPr>
        <w:t>行政事业单位养老</w:t>
      </w:r>
      <w:r>
        <w:rPr>
          <w:rStyle w:val="40"/>
          <w:rFonts w:hint="eastAsia" w:ascii="仿宋_GB2312" w:eastAsia="仿宋_GB2312" w:cs="仿宋_GB2312"/>
          <w:sz w:val="32"/>
          <w:szCs w:val="32"/>
          <w:lang w:bidi="ar-SA"/>
        </w:rPr>
        <w:t>（款）</w:t>
      </w:r>
      <w:r>
        <w:rPr>
          <w:rStyle w:val="40"/>
          <w:rFonts w:hint="eastAsia" w:ascii="仿宋_GB2312" w:eastAsia="仿宋_GB2312" w:cs="仿宋_GB2312"/>
          <w:sz w:val="32"/>
          <w:szCs w:val="32"/>
          <w:lang w:val="en-US" w:eastAsia="zh-CN" w:bidi="ar-SA"/>
        </w:rPr>
        <w:t>机关事业单位基本养老保险缴费支出</w:t>
      </w:r>
      <w:r>
        <w:rPr>
          <w:rStyle w:val="40"/>
          <w:rFonts w:hint="eastAsia" w:ascii="仿宋_GB2312" w:eastAsia="仿宋_GB2312" w:cs="仿宋_GB2312"/>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212.72</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1D988243">
      <w:pPr>
        <w:spacing w:line="600" w:lineRule="exact"/>
        <w:ind w:firstLine="643" w:firstLineChars="200"/>
        <w:rPr>
          <w:rStyle w:val="40"/>
          <w:rFonts w:hint="eastAsia" w:ascii="仿宋" w:eastAsia="仿宋"/>
          <w:b w:val="0"/>
          <w:bCs/>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4.</w:t>
      </w:r>
      <w:r>
        <w:rPr>
          <w:rStyle w:val="40"/>
          <w:rFonts w:hint="eastAsia" w:ascii="仿宋_GB2312" w:eastAsia="仿宋_GB2312" w:cs="仿宋_GB2312"/>
          <w:bCs/>
          <w:color w:val="000000"/>
          <w:sz w:val="32"/>
          <w:szCs w:val="32"/>
          <w:lang w:bidi="ar-SA"/>
        </w:rPr>
        <w:t>社会保障和就业（类）</w:t>
      </w:r>
      <w:r>
        <w:rPr>
          <w:rStyle w:val="40"/>
          <w:rFonts w:hint="eastAsia" w:ascii="仿宋_GB2312" w:eastAsia="仿宋_GB2312" w:cs="仿宋_GB2312"/>
          <w:bCs/>
          <w:color w:val="000000"/>
          <w:sz w:val="32"/>
          <w:szCs w:val="32"/>
          <w:lang w:val="en-US" w:eastAsia="zh-CN" w:bidi="ar-SA"/>
        </w:rPr>
        <w:t>行政事业</w:t>
      </w:r>
      <w:r>
        <w:rPr>
          <w:rStyle w:val="40"/>
          <w:rFonts w:hint="eastAsia" w:ascii="仿宋_GB2312" w:eastAsia="仿宋_GB2312" w:cs="仿宋_GB2312"/>
          <w:sz w:val="32"/>
          <w:szCs w:val="32"/>
          <w:lang w:val="en-US" w:eastAsia="zh-CN" w:bidi="ar-SA"/>
        </w:rPr>
        <w:t>单位养老</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机关事业单位基本职业年金缴费支出</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106.36</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46FE9CE5">
      <w:pPr>
        <w:spacing w:line="600" w:lineRule="exact"/>
        <w:ind w:firstLine="643" w:firstLineChars="200"/>
        <w:rPr>
          <w:rStyle w:val="40"/>
          <w:rFonts w:hint="eastAsia" w:ascii="仿宋" w:eastAsia="仿宋"/>
          <w:b w:val="0"/>
          <w:bCs/>
          <w:color w:val="auto"/>
          <w:sz w:val="32"/>
          <w:szCs w:val="32"/>
          <w:highlight w:val="none"/>
        </w:rPr>
      </w:pPr>
      <w:r>
        <w:rPr>
          <w:rStyle w:val="40"/>
          <w:rFonts w:hint="eastAsia" w:ascii="仿宋" w:eastAsia="仿宋"/>
          <w:bCs/>
          <w:color w:val="auto"/>
          <w:sz w:val="32"/>
          <w:szCs w:val="32"/>
          <w:highlight w:val="none"/>
          <w:lang w:val="en-US" w:eastAsia="zh-CN"/>
        </w:rPr>
        <w:t>5</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bidi="ar-SA"/>
        </w:rPr>
        <w:t>社会保障和就业（类）</w:t>
      </w:r>
      <w:r>
        <w:rPr>
          <w:rStyle w:val="40"/>
          <w:rFonts w:hint="eastAsia" w:ascii="仿宋_GB2312" w:eastAsia="仿宋_GB2312" w:cs="仿宋_GB2312"/>
          <w:bCs/>
          <w:color w:val="000000"/>
          <w:sz w:val="32"/>
          <w:szCs w:val="32"/>
          <w:lang w:val="en-US" w:eastAsia="zh-CN" w:bidi="ar-SA"/>
        </w:rPr>
        <w:t>行政事业</w:t>
      </w:r>
      <w:r>
        <w:rPr>
          <w:rStyle w:val="40"/>
          <w:rFonts w:hint="eastAsia" w:ascii="仿宋_GB2312" w:eastAsia="仿宋_GB2312" w:cs="仿宋_GB2312"/>
          <w:sz w:val="32"/>
          <w:szCs w:val="32"/>
          <w:lang w:val="en-US" w:eastAsia="zh-CN" w:bidi="ar-SA"/>
        </w:rPr>
        <w:t>单位养老</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其他行政事业单位养老支出</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 xml:space="preserve"> 支出决算为</w:t>
      </w:r>
      <w:r>
        <w:rPr>
          <w:rStyle w:val="40"/>
          <w:rFonts w:hint="eastAsia" w:ascii="仿宋" w:eastAsia="仿宋"/>
          <w:b w:val="0"/>
          <w:bCs/>
          <w:color w:val="auto"/>
          <w:sz w:val="32"/>
          <w:szCs w:val="32"/>
          <w:highlight w:val="none"/>
          <w:lang w:val="en-US" w:eastAsia="zh-CN"/>
        </w:rPr>
        <w:t>21.61</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51F8E96D">
      <w:pPr>
        <w:spacing w:line="600" w:lineRule="exact"/>
        <w:ind w:firstLine="643" w:firstLineChars="200"/>
        <w:rPr>
          <w:rStyle w:val="40"/>
          <w:rFonts w:hint="default" w:ascii="仿宋" w:eastAsia="仿宋"/>
          <w:b w:val="0"/>
          <w:bCs/>
          <w:color w:val="auto"/>
          <w:sz w:val="32"/>
          <w:szCs w:val="32"/>
          <w:highlight w:val="none"/>
          <w:lang w:val="en-US"/>
        </w:rPr>
      </w:pPr>
      <w:r>
        <w:rPr>
          <w:rStyle w:val="40"/>
          <w:rFonts w:hint="eastAsia" w:ascii="仿宋_GB2312" w:eastAsia="仿宋_GB2312" w:cs="仿宋_GB2312"/>
          <w:sz w:val="32"/>
          <w:szCs w:val="32"/>
          <w:lang w:val="en-US" w:eastAsia="zh-CN" w:bidi="ar-SA"/>
        </w:rPr>
        <w:t>6.</w:t>
      </w:r>
      <w:r>
        <w:rPr>
          <w:rStyle w:val="40"/>
          <w:rFonts w:hint="eastAsia" w:ascii="仿宋_GB2312" w:eastAsia="仿宋_GB2312" w:cs="仿宋_GB2312"/>
          <w:bCs/>
          <w:color w:val="000000"/>
          <w:sz w:val="32"/>
          <w:szCs w:val="32"/>
          <w:lang w:eastAsia="zh-CN" w:bidi="ar-SA"/>
        </w:rPr>
        <w:t>卫生健康支出</w:t>
      </w:r>
      <w:r>
        <w:rPr>
          <w:rStyle w:val="40"/>
          <w:rFonts w:hint="eastAsia" w:ascii="仿宋_GB2312" w:eastAsia="仿宋_GB2312" w:cs="仿宋_GB2312"/>
          <w:bCs/>
          <w:color w:val="000000"/>
          <w:sz w:val="32"/>
          <w:szCs w:val="32"/>
          <w:lang w:bidi="ar-SA"/>
        </w:rPr>
        <w:t>（类）</w:t>
      </w:r>
      <w:r>
        <w:rPr>
          <w:rStyle w:val="40"/>
          <w:rFonts w:hint="eastAsia" w:ascii="仿宋_GB2312" w:eastAsia="仿宋_GB2312" w:cs="仿宋_GB2312"/>
          <w:bCs/>
          <w:color w:val="000000"/>
          <w:sz w:val="32"/>
          <w:szCs w:val="32"/>
          <w:lang w:val="en-US" w:eastAsia="zh-CN" w:bidi="ar-SA"/>
        </w:rPr>
        <w:t>行政事业单位医疗</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行政单位医疗</w:t>
      </w:r>
      <w:r>
        <w:rPr>
          <w:rStyle w:val="40"/>
          <w:rFonts w:hint="eastAsia" w:ascii="仿宋_GB2312" w:eastAsia="仿宋_GB2312" w:cs="仿宋_GB2312"/>
          <w:bCs/>
          <w:color w:val="000000"/>
          <w:sz w:val="32"/>
          <w:szCs w:val="32"/>
          <w:lang w:bidi="ar-SA"/>
        </w:rPr>
        <w:t>（项）</w:t>
      </w:r>
      <w:r>
        <w:rPr>
          <w:rStyle w:val="40"/>
          <w:rFonts w:hint="eastAsia" w:ascii="仿宋" w:eastAsia="仿宋"/>
          <w:bCs/>
          <w:color w:val="auto"/>
          <w:sz w:val="32"/>
          <w:szCs w:val="32"/>
          <w:highlight w:val="none"/>
        </w:rPr>
        <w:t>:</w:t>
      </w:r>
      <w:r>
        <w:rPr>
          <w:rStyle w:val="40"/>
          <w:rFonts w:hint="eastAsia" w:ascii="仿宋" w:eastAsia="仿宋"/>
          <w:b w:val="0"/>
          <w:bCs/>
          <w:color w:val="auto"/>
          <w:sz w:val="32"/>
          <w:szCs w:val="32"/>
          <w:highlight w:val="none"/>
        </w:rPr>
        <w:t>支出决算为</w:t>
      </w:r>
      <w:r>
        <w:rPr>
          <w:rStyle w:val="40"/>
          <w:rFonts w:hint="eastAsia" w:ascii="仿宋" w:eastAsia="仿宋"/>
          <w:b w:val="0"/>
          <w:bCs/>
          <w:color w:val="auto"/>
          <w:sz w:val="32"/>
          <w:szCs w:val="32"/>
          <w:highlight w:val="none"/>
          <w:lang w:val="en-US" w:eastAsia="zh-CN"/>
        </w:rPr>
        <w:t>99.44</w:t>
      </w:r>
      <w:r>
        <w:rPr>
          <w:rStyle w:val="40"/>
          <w:rFonts w:hint="eastAsia" w:ascii="仿宋" w:eastAsia="仿宋"/>
          <w:b w:val="0"/>
          <w:bCs/>
          <w:color w:val="auto"/>
          <w:sz w:val="32"/>
          <w:szCs w:val="32"/>
          <w:highlight w:val="none"/>
        </w:rPr>
        <w:t>万元，完成预算</w:t>
      </w:r>
      <w:r>
        <w:rPr>
          <w:rStyle w:val="40"/>
          <w:rFonts w:hint="eastAsia" w:ascii="仿宋" w:eastAsia="仿宋"/>
          <w:b w:val="0"/>
          <w:bCs/>
          <w:color w:val="auto"/>
          <w:sz w:val="32"/>
          <w:szCs w:val="32"/>
          <w:highlight w:val="none"/>
          <w:lang w:val="en-US" w:eastAsia="zh-CN"/>
        </w:rPr>
        <w:t>100</w:t>
      </w:r>
      <w:r>
        <w:rPr>
          <w:rStyle w:val="40"/>
          <w:rFonts w:hint="eastAsia" w:ascii="仿宋" w:eastAsia="仿宋"/>
          <w:b w:val="0"/>
          <w:bCs/>
          <w:color w:val="auto"/>
          <w:sz w:val="32"/>
          <w:szCs w:val="32"/>
          <w:highlight w:val="none"/>
        </w:rPr>
        <w:t>%，决算数等于预算数。</w:t>
      </w:r>
    </w:p>
    <w:p w14:paraId="10A16620">
      <w:pPr>
        <w:spacing w:line="600" w:lineRule="exact"/>
        <w:ind w:firstLine="643" w:firstLineChars="200"/>
        <w:rPr>
          <w:rStyle w:val="40"/>
          <w:rFonts w:hint="eastAsia" w:ascii="仿宋_GB2312" w:eastAsia="仿宋_GB2312" w:cs="仿宋_GB2312"/>
          <w:b w:val="0"/>
          <w:bCs/>
          <w:color w:val="000000"/>
          <w:sz w:val="32"/>
          <w:szCs w:val="32"/>
          <w:lang w:bidi="ar-SA"/>
        </w:rPr>
      </w:pPr>
      <w:r>
        <w:rPr>
          <w:rStyle w:val="40"/>
          <w:rFonts w:hint="eastAsia" w:ascii="仿宋" w:eastAsia="仿宋"/>
          <w:bCs/>
          <w:color w:val="auto"/>
          <w:sz w:val="32"/>
          <w:szCs w:val="32"/>
          <w:highlight w:val="none"/>
          <w:lang w:val="en-US" w:eastAsia="zh-CN"/>
        </w:rPr>
        <w:t>7</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eastAsia="zh-CN" w:bidi="ar-SA"/>
        </w:rPr>
        <w:t>卫生健康支出</w:t>
      </w:r>
      <w:r>
        <w:rPr>
          <w:rStyle w:val="40"/>
          <w:rFonts w:hint="eastAsia" w:ascii="仿宋_GB2312" w:eastAsia="仿宋_GB2312" w:cs="仿宋_GB2312"/>
          <w:bCs/>
          <w:color w:val="000000"/>
          <w:sz w:val="32"/>
          <w:szCs w:val="32"/>
          <w:lang w:bidi="ar-SA"/>
        </w:rPr>
        <w:t>（类）</w:t>
      </w:r>
      <w:r>
        <w:rPr>
          <w:rStyle w:val="40"/>
          <w:rFonts w:hint="eastAsia" w:ascii="仿宋_GB2312" w:eastAsia="仿宋_GB2312" w:cs="仿宋_GB2312"/>
          <w:bCs/>
          <w:color w:val="000000"/>
          <w:sz w:val="32"/>
          <w:szCs w:val="32"/>
          <w:lang w:val="en-US" w:eastAsia="zh-CN" w:bidi="ar-SA"/>
        </w:rPr>
        <w:t>行政事业单位医疗</w:t>
      </w:r>
      <w:r>
        <w:rPr>
          <w:rStyle w:val="40"/>
          <w:rFonts w:hint="eastAsia" w:ascii="仿宋_GB2312" w:eastAsia="仿宋_GB2312" w:cs="仿宋_GB2312"/>
          <w:bCs/>
          <w:color w:val="000000"/>
          <w:sz w:val="32"/>
          <w:szCs w:val="32"/>
          <w:lang w:bidi="ar-SA"/>
        </w:rPr>
        <w:t>（款）</w:t>
      </w:r>
      <w:r>
        <w:rPr>
          <w:rStyle w:val="40"/>
          <w:rFonts w:hint="eastAsia" w:ascii="仿宋_GB2312" w:eastAsia="仿宋_GB2312" w:cs="仿宋_GB2312"/>
          <w:bCs/>
          <w:color w:val="000000"/>
          <w:sz w:val="32"/>
          <w:szCs w:val="32"/>
          <w:lang w:val="en-US" w:eastAsia="zh-CN" w:bidi="ar-SA"/>
        </w:rPr>
        <w:t>公务员医疗补助</w:t>
      </w:r>
      <w:r>
        <w:rPr>
          <w:rStyle w:val="40"/>
          <w:rFonts w:hint="eastAsia" w:ascii="仿宋_GB2312" w:eastAsia="仿宋_GB2312" w:cs="仿宋_GB2312"/>
          <w:bCs/>
          <w:color w:val="000000"/>
          <w:sz w:val="32"/>
          <w:szCs w:val="32"/>
          <w:lang w:bidi="ar-SA"/>
        </w:rPr>
        <w:t>（项）: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22.12</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3A8F86D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eastAsia" w:ascii="仿宋_GB2312" w:eastAsia="仿宋_GB2312" w:cs="仿宋_GB2312"/>
          <w:bCs/>
          <w:color w:val="000000"/>
          <w:sz w:val="32"/>
          <w:szCs w:val="32"/>
          <w:lang w:val="en-US" w:eastAsia="zh-CN" w:bidi="ar-SA"/>
        </w:rPr>
      </w:pPr>
      <w:r>
        <w:rPr>
          <w:rStyle w:val="40"/>
          <w:rFonts w:hint="eastAsia" w:ascii="仿宋" w:eastAsia="仿宋"/>
          <w:bCs/>
          <w:color w:val="auto"/>
          <w:sz w:val="32"/>
          <w:szCs w:val="32"/>
          <w:highlight w:val="none"/>
          <w:lang w:val="en-US" w:eastAsia="zh-CN"/>
        </w:rPr>
        <w:t>8</w:t>
      </w:r>
      <w:r>
        <w:rPr>
          <w:rStyle w:val="40"/>
          <w:rFonts w:hint="eastAsia" w:ascii="仿宋" w:eastAsia="仿宋"/>
          <w:bCs/>
          <w:color w:val="auto"/>
          <w:sz w:val="32"/>
          <w:szCs w:val="32"/>
          <w:highlight w:val="none"/>
        </w:rPr>
        <w:t>.</w:t>
      </w:r>
      <w:r>
        <w:rPr>
          <w:rStyle w:val="40"/>
          <w:rFonts w:hint="eastAsia" w:ascii="仿宋_GB2312" w:eastAsia="仿宋_GB2312" w:cs="仿宋_GB2312"/>
          <w:bCs/>
          <w:color w:val="000000"/>
          <w:sz w:val="32"/>
          <w:szCs w:val="32"/>
          <w:lang w:val="en-US" w:eastAsia="zh-CN" w:bidi="ar-SA"/>
        </w:rPr>
        <w:t>住房保障（类）住房改革支出（款）住房公积金（项）：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172.61</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643D703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eastAsia" w:ascii="仿宋_GB2312" w:eastAsia="仿宋_GB2312" w:cs="仿宋_GB2312"/>
          <w:bCs/>
          <w:color w:val="000000"/>
          <w:sz w:val="32"/>
          <w:szCs w:val="32"/>
          <w:lang w:val="en-US" w:eastAsia="zh-CN" w:bidi="ar-SA"/>
        </w:rPr>
      </w:pPr>
      <w:r>
        <w:rPr>
          <w:rStyle w:val="40"/>
          <w:rFonts w:hint="eastAsia" w:ascii="仿宋_GB2312" w:eastAsia="仿宋_GB2312" w:cs="仿宋_GB2312"/>
          <w:bCs/>
          <w:color w:val="000000"/>
          <w:sz w:val="32"/>
          <w:szCs w:val="32"/>
          <w:lang w:val="en-US" w:eastAsia="zh-CN" w:bidi="ar-SA"/>
        </w:rPr>
        <w:t>9.住房保障（类）住房改革支出（款）购房补贴（项）：</w:t>
      </w:r>
      <w:r>
        <w:rPr>
          <w:rStyle w:val="40"/>
          <w:rFonts w:hint="eastAsia" w:ascii="仿宋_GB2312" w:eastAsia="仿宋_GB2312" w:cs="仿宋_GB2312"/>
          <w:b w:val="0"/>
          <w:bCs/>
          <w:color w:val="000000"/>
          <w:sz w:val="32"/>
          <w:szCs w:val="32"/>
          <w:lang w:bidi="ar-SA"/>
        </w:rPr>
        <w:t>支出决算为</w:t>
      </w:r>
      <w:r>
        <w:rPr>
          <w:rStyle w:val="40"/>
          <w:rFonts w:hint="eastAsia" w:ascii="仿宋_GB2312" w:eastAsia="仿宋_GB2312" w:cs="仿宋_GB2312"/>
          <w:b w:val="0"/>
          <w:bCs/>
          <w:color w:val="000000"/>
          <w:sz w:val="32"/>
          <w:szCs w:val="32"/>
          <w:lang w:val="en-US" w:eastAsia="zh-CN" w:bidi="ar-SA"/>
        </w:rPr>
        <w:t>2.4</w:t>
      </w:r>
      <w:r>
        <w:rPr>
          <w:rStyle w:val="40"/>
          <w:rFonts w:hint="eastAsia" w:ascii="仿宋_GB2312" w:eastAsia="仿宋_GB2312" w:cs="仿宋_GB2312"/>
          <w:b w:val="0"/>
          <w:bCs/>
          <w:color w:val="000000"/>
          <w:sz w:val="32"/>
          <w:szCs w:val="32"/>
          <w:lang w:bidi="ar-SA"/>
        </w:rPr>
        <w:t>万元，完成预算</w:t>
      </w:r>
      <w:r>
        <w:rPr>
          <w:rStyle w:val="40"/>
          <w:rFonts w:hint="eastAsia" w:ascii="仿宋_GB2312" w:eastAsia="仿宋_GB2312" w:cs="仿宋_GB2312"/>
          <w:b w:val="0"/>
          <w:bCs/>
          <w:color w:val="000000"/>
          <w:sz w:val="32"/>
          <w:szCs w:val="32"/>
          <w:lang w:val="en-US" w:eastAsia="zh-CN" w:bidi="ar-SA"/>
        </w:rPr>
        <w:t>100</w:t>
      </w:r>
      <w:r>
        <w:rPr>
          <w:rStyle w:val="40"/>
          <w:rFonts w:hint="eastAsia" w:ascii="仿宋_GB2312" w:eastAsia="仿宋_GB2312" w:cs="仿宋_GB2312"/>
          <w:b w:val="0"/>
          <w:bCs/>
          <w:color w:val="000000"/>
          <w:sz w:val="32"/>
          <w:szCs w:val="32"/>
          <w:lang w:bidi="ar-SA"/>
        </w:rPr>
        <w:t>%，决算数等于预算数。</w:t>
      </w:r>
    </w:p>
    <w:p w14:paraId="76E81F74">
      <w:pPr>
        <w:tabs>
          <w:tab w:val="right" w:pos="8306"/>
        </w:tabs>
        <w:spacing w:line="600" w:lineRule="exact"/>
        <w:ind w:firstLine="640"/>
        <w:outlineLvl w:val="1"/>
        <w:rPr>
          <w:rStyle w:val="198"/>
          <w:rFonts w:ascii="Times New Roman" w:hAnsi="Times New Roman"/>
          <w:color w:val="FF0000"/>
          <w:highlight w:val="none"/>
        </w:rPr>
      </w:pPr>
      <w:bookmarkStart w:id="33" w:name="_Toc15377214"/>
      <w:bookmarkStart w:id="3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98"/>
          <w:rFonts w:hint="eastAsia" w:ascii="Times New Roman" w:hAnsi="Times New Roman" w:eastAsia="黑体"/>
          <w:b w:val="0"/>
          <w:color w:val="auto"/>
          <w:highlight w:val="none"/>
        </w:rPr>
        <w:t>般公共预算财政拨款基本支出决算情况说明</w:t>
      </w:r>
      <w:bookmarkEnd w:id="33"/>
      <w:bookmarkEnd w:id="34"/>
      <w:r>
        <w:rPr>
          <w:rStyle w:val="198"/>
          <w:rFonts w:ascii="Times New Roman" w:hAnsi="Times New Roman" w:eastAsia="黑体"/>
          <w:b w:val="0"/>
          <w:color w:val="FF0000"/>
          <w:highlight w:val="none"/>
        </w:rPr>
        <w:tab/>
      </w:r>
    </w:p>
    <w:p w14:paraId="62E7B0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color w:val="auto"/>
          <w:sz w:val="32"/>
          <w:szCs w:val="32"/>
          <w:lang w:val="en-US" w:eastAsia="zh-CN"/>
        </w:rPr>
        <w:t>3,257.28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69AC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,455.55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w:t>
      </w:r>
      <w:r>
        <w:rPr>
          <w:rFonts w:hint="eastAsia" w:ascii="仿宋_GB2312" w:hAnsi="仿宋_GB2312" w:eastAsia="仿宋_GB2312" w:cs="仿宋_GB2312"/>
          <w:color w:val="auto"/>
          <w:sz w:val="32"/>
          <w:szCs w:val="32"/>
          <w:lang w:val="en-US" w:eastAsia="zh-CN"/>
        </w:rPr>
        <w:t>486.57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483.32万元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601.05万元</w:t>
      </w:r>
      <w:r>
        <w:rPr>
          <w:rFonts w:hint="eastAsia" w:ascii="Times New Roman" w:hAnsi="Times New Roman" w:eastAsia="仿宋_GB2312" w:cs="仿宋_GB2312"/>
          <w:color w:val="auto"/>
          <w:kern w:val="2"/>
          <w:sz w:val="32"/>
          <w:szCs w:val="32"/>
          <w:highlight w:val="none"/>
          <w:lang w:val="en-US" w:eastAsia="zh-CN" w:bidi="ar-SA"/>
        </w:rPr>
        <w:t>、伙食补助费</w:t>
      </w:r>
      <w:r>
        <w:rPr>
          <w:rFonts w:hint="eastAsia" w:eastAsia="仿宋_GB2312" w:cs="仿宋_GB2312"/>
          <w:color w:val="auto"/>
          <w:kern w:val="2"/>
          <w:sz w:val="32"/>
          <w:szCs w:val="32"/>
          <w:highlight w:val="none"/>
          <w:lang w:val="en-US" w:eastAsia="zh-CN" w:bidi="ar-SA"/>
        </w:rPr>
        <w:t>120.77万元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212.72万元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106.36万元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5.08万元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eastAsia="仿宋" w:cs="Times New Roman"/>
          <w:sz w:val="32"/>
          <w:szCs w:val="32"/>
          <w:lang w:val="en-US" w:eastAsia="zh-CN" w:bidi="ar-SA"/>
        </w:rPr>
        <w:t>职工基本医疗保险缴费99.44万元、公务员医疗补助缴费22.12万元、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145.48万元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0.03万元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172.61万元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801.73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w:t>
      </w:r>
      <w:r>
        <w:rPr>
          <w:rFonts w:hint="eastAsia" w:eastAsia="仿宋_GB2312" w:cs="仿宋_GB2312"/>
          <w:color w:val="auto"/>
          <w:kern w:val="2"/>
          <w:sz w:val="32"/>
          <w:szCs w:val="32"/>
          <w:highlight w:val="none"/>
          <w:lang w:val="en-US" w:eastAsia="zh-CN" w:bidi="ar-SA"/>
        </w:rPr>
        <w:t>18.27万元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2.34万元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4.23万元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39.07万元</w:t>
      </w:r>
      <w:r>
        <w:rPr>
          <w:rFonts w:hint="eastAsia" w:ascii="Times New Roman" w:hAnsi="Times New Roman" w:eastAsia="仿宋_GB2312" w:cs="仿宋_GB2312"/>
          <w:color w:val="auto"/>
          <w:kern w:val="2"/>
          <w:sz w:val="32"/>
          <w:szCs w:val="32"/>
          <w:highlight w:val="none"/>
          <w:lang w:val="en-US" w:eastAsia="zh-CN" w:bidi="ar-SA"/>
        </w:rPr>
        <w:t>、物业管理费</w:t>
      </w:r>
      <w:r>
        <w:rPr>
          <w:rFonts w:hint="eastAsia" w:eastAsia="仿宋_GB2312" w:cs="仿宋_GB2312"/>
          <w:color w:val="auto"/>
          <w:kern w:val="2"/>
          <w:sz w:val="32"/>
          <w:szCs w:val="32"/>
          <w:highlight w:val="none"/>
          <w:lang w:val="en-US" w:eastAsia="zh-CN" w:bidi="ar-SA"/>
        </w:rPr>
        <w:t>6.76万元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115.13万元</w:t>
      </w:r>
      <w:r>
        <w:rPr>
          <w:rFonts w:hint="eastAsia" w:ascii="Times New Roman" w:hAnsi="Times New Roman" w:eastAsia="仿宋_GB2312" w:cs="仿宋_GB2312"/>
          <w:color w:val="auto"/>
          <w:kern w:val="2"/>
          <w:sz w:val="32"/>
          <w:szCs w:val="32"/>
          <w:highlight w:val="none"/>
          <w:lang w:val="en-US" w:eastAsia="zh-CN" w:bidi="ar-SA"/>
        </w:rPr>
        <w:t>、因公出国（境）费用</w:t>
      </w:r>
      <w:r>
        <w:rPr>
          <w:rFonts w:hint="eastAsia" w:eastAsia="仿宋_GB2312" w:cs="仿宋_GB2312"/>
          <w:color w:val="auto"/>
          <w:kern w:val="2"/>
          <w:sz w:val="32"/>
          <w:szCs w:val="32"/>
          <w:highlight w:val="none"/>
          <w:lang w:val="en-US" w:eastAsia="zh-CN" w:bidi="ar-SA"/>
        </w:rPr>
        <w:t>14.2万元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7.53万元</w:t>
      </w:r>
      <w:r>
        <w:rPr>
          <w:rFonts w:hint="eastAsia" w:ascii="Times New Roman" w:hAnsi="Times New Roman" w:eastAsia="仿宋_GB2312" w:cs="仿宋_GB2312"/>
          <w:color w:val="auto"/>
          <w:kern w:val="2"/>
          <w:sz w:val="32"/>
          <w:szCs w:val="32"/>
          <w:highlight w:val="none"/>
          <w:lang w:val="en-US" w:eastAsia="zh-CN" w:bidi="ar-SA"/>
        </w:rPr>
        <w:t>、租赁费</w:t>
      </w:r>
      <w:r>
        <w:rPr>
          <w:rFonts w:hint="eastAsia" w:eastAsia="仿宋_GB2312" w:cs="仿宋_GB2312"/>
          <w:color w:val="auto"/>
          <w:kern w:val="2"/>
          <w:sz w:val="32"/>
          <w:szCs w:val="32"/>
          <w:highlight w:val="none"/>
          <w:lang w:val="en-US" w:eastAsia="zh-CN" w:bidi="ar-SA"/>
        </w:rPr>
        <w:t>0.68万元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4.79万元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6.55万元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1.22万元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委托业务费128.05、</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13.24万元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410.63万元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28.48万元</w:t>
      </w:r>
      <w:r>
        <w:rPr>
          <w:rFonts w:hint="eastAsia" w:ascii="Times New Roman" w:hAnsi="Times New Roman" w:eastAsia="仿宋_GB2312" w:cs="仿宋_GB2312"/>
          <w:color w:val="auto"/>
          <w:kern w:val="2"/>
          <w:sz w:val="32"/>
          <w:szCs w:val="32"/>
          <w:highlight w:val="none"/>
          <w:lang w:val="en-US" w:eastAsia="zh-CN" w:bidi="ar-SA"/>
        </w:rPr>
        <w:t>、办公设备购置</w:t>
      </w:r>
      <w:r>
        <w:rPr>
          <w:rFonts w:hint="eastAsia" w:eastAsia="仿宋_GB2312" w:cs="仿宋_GB2312"/>
          <w:color w:val="auto"/>
          <w:kern w:val="2"/>
          <w:sz w:val="32"/>
          <w:szCs w:val="32"/>
          <w:highlight w:val="none"/>
          <w:lang w:val="en-US" w:eastAsia="zh-CN" w:bidi="ar-SA"/>
        </w:rPr>
        <w:t>0.33万元、信息网络购置及软件购置更新0.22万元</w:t>
      </w:r>
      <w:r>
        <w:rPr>
          <w:rFonts w:hint="eastAsia" w:ascii="Times New Roman" w:hAnsi="Times New Roman" w:eastAsia="仿宋_GB2312" w:cs="仿宋_GB2312"/>
          <w:color w:val="auto"/>
          <w:kern w:val="2"/>
          <w:sz w:val="32"/>
          <w:szCs w:val="32"/>
          <w:highlight w:val="none"/>
          <w:lang w:val="en-US" w:eastAsia="zh-CN" w:bidi="ar-SA"/>
        </w:rPr>
        <w:t>。</w:t>
      </w:r>
    </w:p>
    <w:p w14:paraId="69B44F06">
      <w:pPr>
        <w:spacing w:line="600" w:lineRule="exact"/>
        <w:ind w:firstLine="640"/>
        <w:outlineLvl w:val="1"/>
        <w:rPr>
          <w:rStyle w:val="198"/>
          <w:rFonts w:ascii="Times New Roman" w:hAnsi="Times New Roman" w:eastAsia="黑体"/>
          <w:b w:val="0"/>
          <w:color w:val="auto"/>
          <w:highlight w:val="none"/>
        </w:rPr>
      </w:pPr>
      <w:bookmarkStart w:id="35" w:name="_Toc15377215"/>
      <w:bookmarkStart w:id="36" w:name="_Toc15396609"/>
      <w:r>
        <w:rPr>
          <w:rFonts w:hint="eastAsia" w:ascii="Times New Roman" w:hAnsi="Times New Roman" w:eastAsia="黑体"/>
          <w:color w:val="auto"/>
          <w:sz w:val="32"/>
          <w:szCs w:val="32"/>
          <w:highlight w:val="none"/>
        </w:rPr>
        <w:t>七、</w:t>
      </w:r>
      <w:r>
        <w:rPr>
          <w:rStyle w:val="198"/>
          <w:rFonts w:hint="eastAsia" w:ascii="Times New Roman" w:hAnsi="Times New Roman" w:eastAsia="黑体"/>
          <w:b w:val="0"/>
          <w:color w:val="auto"/>
          <w:highlight w:val="none"/>
        </w:rPr>
        <w:t>财政拨款</w:t>
      </w:r>
      <w:r>
        <w:rPr>
          <w:rStyle w:val="198"/>
          <w:rFonts w:hint="eastAsia" w:ascii="Times New Roman" w:hAnsi="Times New Roman" w:eastAsia="黑体"/>
          <w:color w:val="auto"/>
          <w:highlight w:val="none"/>
        </w:rPr>
        <w:t>“</w:t>
      </w:r>
      <w:r>
        <w:rPr>
          <w:rStyle w:val="198"/>
          <w:rFonts w:hint="eastAsia" w:ascii="Times New Roman" w:hAnsi="Times New Roman" w:eastAsia="黑体"/>
          <w:b w:val="0"/>
          <w:color w:val="auto"/>
          <w:highlight w:val="none"/>
        </w:rPr>
        <w:t>三公”经费支出决算情况说明</w:t>
      </w:r>
      <w:bookmarkEnd w:id="35"/>
      <w:bookmarkEnd w:id="36"/>
    </w:p>
    <w:p w14:paraId="6A0866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7"/>
    </w:p>
    <w:p w14:paraId="7AD07F9F">
      <w:pPr>
        <w:spacing w:line="600" w:lineRule="exact"/>
        <w:ind w:firstLine="640"/>
        <w:rPr>
          <w:rFonts w:hint="eastAsia" w:asci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447.18</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减少117.96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下降20.87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ascii="仿宋" w:eastAsia="仿宋"/>
          <w:color w:val="auto"/>
          <w:sz w:val="32"/>
          <w:szCs w:val="32"/>
          <w:highlight w:val="none"/>
          <w:lang w:val="en-US" w:eastAsia="zh-CN"/>
        </w:rPr>
        <w:t>政府坚持过紧日子，进一步压减“三公”经费。</w:t>
      </w:r>
    </w:p>
    <w:p w14:paraId="652D39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8"/>
    </w:p>
    <w:p w14:paraId="240695B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ascii="仿宋" w:eastAsia="仿宋"/>
          <w:color w:val="auto"/>
          <w:sz w:val="32"/>
          <w:szCs w:val="32"/>
          <w:highlight w:val="none"/>
        </w:rPr>
        <w:pict>
          <v:shape id="_x0000_s1031" o:spid="_x0000_s1031" o:spt="75" type="#_x0000_t75" style="position:absolute;left:0pt;margin-left:15.1pt;margin-top:132pt;height:196pt;width:348.2pt;mso-wrap-distance-bottom:0pt;mso-wrap-distance-top:0pt;z-index:251665408;mso-width-relative:page;mso-height-relative:page;" o:ole="t" filled="f" stroked="f" coordsize="21600,21600">
            <v:path/>
            <v:fill on="f" focussize="0,0"/>
            <v:stroke on="f"/>
            <v:imagedata r:id="rId21" o:title=""/>
            <o:lock v:ext="edit" aspectratio="t"/>
            <w10:wrap type="topAndBottom"/>
          </v:shape>
          <o:OLEObject Type="Embed" ProgID="MSGraph.Chart.8" ShapeID="_x0000_s1031" DrawAspect="Content" ObjectID="_1468075730" r:id="rId20">
            <o:LockedField>false</o:LockedField>
          </o:OLEObject>
        </w:pict>
      </w: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lang w:val="en-US" w:eastAsia="zh-CN"/>
        </w:rPr>
        <w:t>14.2</w:t>
      </w:r>
      <w:r>
        <w:rPr>
          <w:rFonts w:hint="eastAsia" w:ascii="仿宋_GB2312" w:hAnsi="仿宋_GB2312" w:eastAsia="仿宋_GB2312" w:cs="仿宋_GB2312"/>
          <w:color w:val="auto"/>
          <w:kern w:val="2"/>
          <w:sz w:val="32"/>
          <w:szCs w:val="32"/>
          <w:highlight w:val="none"/>
          <w:lang w:val="en-US" w:eastAsia="zh-CN" w:bidi="ar-SA"/>
        </w:rPr>
        <w:t>万元，占3.18%；公务用车购置及运行维护费支出决算</w:t>
      </w:r>
      <w:r>
        <w:rPr>
          <w:rFonts w:hint="eastAsia" w:ascii="仿宋_GB2312" w:hAnsi="仿宋_GB2312" w:eastAsia="仿宋_GB2312" w:cs="仿宋_GB2312"/>
          <w:sz w:val="32"/>
          <w:szCs w:val="32"/>
          <w:lang w:val="en-US" w:eastAsia="zh-CN"/>
        </w:rPr>
        <w:t>426.43</w:t>
      </w:r>
      <w:r>
        <w:rPr>
          <w:rFonts w:hint="eastAsia" w:ascii="仿宋_GB2312" w:hAnsi="仿宋_GB2312" w:eastAsia="仿宋_GB2312" w:cs="仿宋_GB2312"/>
          <w:color w:val="auto"/>
          <w:kern w:val="2"/>
          <w:sz w:val="32"/>
          <w:szCs w:val="32"/>
          <w:highlight w:val="none"/>
          <w:lang w:val="en-US" w:eastAsia="zh-CN" w:bidi="ar-SA"/>
        </w:rPr>
        <w:t>万元，占95.36%；公务接待费支出决算</w:t>
      </w:r>
      <w:r>
        <w:rPr>
          <w:rFonts w:hint="eastAsia" w:ascii="仿宋_GB2312" w:hAnsi="仿宋_GB2312" w:eastAsia="仿宋_GB2312" w:cs="仿宋_GB2312"/>
          <w:sz w:val="32"/>
          <w:szCs w:val="32"/>
          <w:lang w:val="en-US" w:eastAsia="zh-CN"/>
        </w:rPr>
        <w:t>6.55</w:t>
      </w:r>
      <w:r>
        <w:rPr>
          <w:rFonts w:hint="eastAsia" w:ascii="仿宋_GB2312" w:hAnsi="仿宋_GB2312" w:eastAsia="仿宋_GB2312" w:cs="仿宋_GB2312"/>
          <w:color w:val="auto"/>
          <w:kern w:val="2"/>
          <w:sz w:val="32"/>
          <w:szCs w:val="32"/>
          <w:highlight w:val="none"/>
          <w:lang w:val="en-US" w:eastAsia="zh-CN" w:bidi="ar-SA"/>
        </w:rPr>
        <w:t>万元，占1.46%。具体情况如下：</w:t>
      </w:r>
    </w:p>
    <w:p w14:paraId="7F0C1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14.2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减少45.08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下降76.05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w:t>
      </w:r>
      <w:r>
        <w:rPr>
          <w:rFonts w:hint="eastAsia" w:ascii="仿宋_GB2312" w:hAnsi="仿宋_GB2312" w:eastAsia="仿宋_GB2312" w:cs="仿宋_GB2312"/>
          <w:sz w:val="32"/>
          <w:szCs w:val="32"/>
          <w:lang w:val="en-US" w:eastAsia="zh-CN"/>
        </w:rPr>
        <w:t>我单位因公出国境经费严格按程序经审批公示后追加。</w:t>
      </w:r>
    </w:p>
    <w:p w14:paraId="4F25B1F7">
      <w:pPr>
        <w:spacing w:line="600" w:lineRule="exact"/>
        <w:ind w:firstLine="640"/>
        <w:rPr>
          <w:rStyle w:val="40"/>
          <w:rFonts w:hint="default" w:ascii="Times New Roman" w:eastAsia="仿宋_GB2312" w:cs="Times New Roman"/>
          <w:b w:val="0"/>
          <w:bCs/>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426.43万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减少62.7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下降12.82</w:t>
      </w:r>
      <w:r>
        <w:rPr>
          <w:rFonts w:hint="eastAsia" w:ascii="Times New Roman" w:hAnsi="Times New Roman" w:eastAsia="仿宋_GB2312" w:cs="仿宋_GB2312"/>
          <w:color w:val="auto"/>
          <w:kern w:val="2"/>
          <w:sz w:val="32"/>
          <w:szCs w:val="32"/>
          <w:highlight w:val="none"/>
          <w:lang w:val="en-US" w:eastAsia="zh-CN" w:bidi="ar-SA"/>
        </w:rPr>
        <w:t>%。</w:t>
      </w:r>
      <w:r>
        <w:rPr>
          <w:rStyle w:val="40"/>
          <w:rFonts w:hint="default" w:ascii="Times New Roman" w:eastAsia="仿宋_GB2312" w:cs="Times New Roman"/>
          <w:b w:val="0"/>
          <w:bCs/>
          <w:sz w:val="32"/>
          <w:szCs w:val="32"/>
          <w:lang w:val="en-US" w:eastAsia="zh-CN" w:bidi="ar-SA"/>
        </w:rPr>
        <w:t>我单位严格把关公务用车维修审批，维修维护成本降低。</w:t>
      </w:r>
    </w:p>
    <w:p w14:paraId="748041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均为其他用车</w:t>
      </w:r>
      <w:r>
        <w:rPr>
          <w:rFonts w:hint="eastAsia" w:ascii="Times New Roman" w:hAnsi="Times New Roman" w:eastAsia="仿宋_GB2312" w:cs="仿宋_GB2312"/>
          <w:color w:val="auto"/>
          <w:kern w:val="2"/>
          <w:sz w:val="32"/>
          <w:szCs w:val="32"/>
          <w:highlight w:val="none"/>
          <w:lang w:val="en-US" w:eastAsia="zh-CN" w:bidi="ar-SA"/>
        </w:rPr>
        <w:t>。</w:t>
      </w:r>
    </w:p>
    <w:p w14:paraId="4EE3DCF1">
      <w:pPr>
        <w:spacing w:line="600" w:lineRule="exact"/>
        <w:ind w:firstLine="640"/>
        <w:rPr>
          <w:rFonts w:hint="eastAsia"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426.43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仿宋_GB2312"/>
          <w:sz w:val="32"/>
          <w:szCs w:val="32"/>
          <w:lang w:bidi="ar-SA"/>
        </w:rPr>
        <w:t>主要用于</w:t>
      </w:r>
      <w:r>
        <w:rPr>
          <w:rFonts w:hint="eastAsia" w:ascii="仿宋_GB2312" w:eastAsia="仿宋_GB2312" w:cs="仿宋_GB2312"/>
          <w:sz w:val="32"/>
          <w:szCs w:val="32"/>
          <w:lang w:val="en-US" w:eastAsia="zh-CN" w:bidi="ar-SA"/>
        </w:rPr>
        <w:t>保障我单位人员指导调研、督导检查、紧急处突</w:t>
      </w:r>
      <w:r>
        <w:rPr>
          <w:rFonts w:hint="eastAsia" w:ascii="仿宋_GB2312" w:eastAsia="仿宋_GB2312" w:cs="仿宋"/>
          <w:color w:val="000000"/>
          <w:sz w:val="32"/>
          <w:szCs w:val="32"/>
          <w:lang w:val="en-US" w:eastAsia="zh-CN" w:bidi="ar-SA"/>
        </w:rPr>
        <w:t>等</w:t>
      </w:r>
      <w:r>
        <w:rPr>
          <w:rFonts w:hint="eastAsia" w:ascii="仿宋_GB2312" w:eastAsia="仿宋_GB2312" w:cs="仿宋_GB2312"/>
          <w:sz w:val="32"/>
          <w:szCs w:val="32"/>
          <w:lang w:val="en-US" w:eastAsia="zh-CN" w:bidi="ar-SA"/>
        </w:rPr>
        <w:t>日常工作运转</w:t>
      </w:r>
      <w:r>
        <w:rPr>
          <w:rFonts w:hint="eastAsia" w:ascii="仿宋_GB2312" w:eastAsia="仿宋_GB2312"/>
          <w:color w:val="auto"/>
          <w:sz w:val="32"/>
          <w:szCs w:val="32"/>
          <w:highlight w:val="none"/>
        </w:rPr>
        <w:t>所需的公务用车燃料费、维修费、过路过桥费、保险费等支出。</w:t>
      </w:r>
    </w:p>
    <w:p w14:paraId="7F8B2DD0">
      <w:pPr>
        <w:numPr>
          <w:ilvl w:val="0"/>
          <w:numId w:val="0"/>
        </w:numPr>
        <w:snapToGrid w:val="0"/>
        <w:spacing w:line="52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6.55万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10.18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60.85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cs="仿宋"/>
          <w:color w:val="000000"/>
          <w:sz w:val="32"/>
          <w:szCs w:val="32"/>
        </w:rPr>
        <w:t>严</w:t>
      </w:r>
      <w:r>
        <w:rPr>
          <w:rFonts w:hint="eastAsia" w:ascii="仿宋_GB2312" w:hAnsi="仿宋_GB2312" w:eastAsia="仿宋_GB2312" w:cs="仿宋_GB2312"/>
          <w:sz w:val="32"/>
          <w:szCs w:val="32"/>
          <w:lang w:val="en-US" w:eastAsia="zh-CN"/>
        </w:rPr>
        <w:t>格执行有关规定，实行“先审批，后接待”制度，严格控制接待标准和陪餐人数，降低接待费用。</w:t>
      </w:r>
    </w:p>
    <w:p w14:paraId="14E936D6">
      <w:pPr>
        <w:numPr>
          <w:ilvl w:val="0"/>
          <w:numId w:val="0"/>
        </w:num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6.55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ascii="仿宋_GB2312" w:eastAsia="仿宋_GB2312" w:cs="仿宋_GB2312"/>
          <w:sz w:val="32"/>
          <w:szCs w:val="32"/>
          <w:lang w:bidi="ar-SA"/>
        </w:rPr>
        <w:t>主要用于</w:t>
      </w:r>
      <w:r>
        <w:rPr>
          <w:rFonts w:hint="eastAsia" w:ascii="仿宋_GB2312" w:eastAsia="仿宋_GB2312" w:cs="仿宋_GB2312"/>
          <w:sz w:val="32"/>
          <w:szCs w:val="32"/>
          <w:lang w:val="en-US" w:eastAsia="zh-CN" w:bidi="ar-SA"/>
        </w:rPr>
        <w:t>我单位</w:t>
      </w:r>
      <w:r>
        <w:rPr>
          <w:rFonts w:hint="eastAsia" w:ascii="仿宋_GB2312" w:eastAsia="仿宋_GB2312" w:cs="仿宋_GB2312"/>
          <w:sz w:val="32"/>
          <w:szCs w:val="32"/>
          <w:lang w:bidi="ar-SA"/>
        </w:rPr>
        <w:t>执行公务、开展业务活动</w:t>
      </w:r>
      <w:r>
        <w:rPr>
          <w:rFonts w:hint="eastAsia" w:ascii="仿宋_GB2312" w:eastAsia="仿宋_GB2312" w:cs="仿宋_GB2312"/>
          <w:sz w:val="32"/>
          <w:szCs w:val="32"/>
          <w:lang w:val="en-US" w:eastAsia="zh-CN" w:bidi="ar-SA"/>
        </w:rPr>
        <w:t>来宾的</w:t>
      </w:r>
      <w:r>
        <w:rPr>
          <w:rFonts w:hint="eastAsia" w:ascii="仿宋_GB2312" w:eastAsia="仿宋_GB2312" w:cs="仿宋_GB2312"/>
          <w:sz w:val="32"/>
          <w:szCs w:val="32"/>
          <w:lang w:bidi="ar-SA"/>
        </w:rPr>
        <w:t>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460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6.55</w:t>
      </w:r>
      <w:r>
        <w:rPr>
          <w:rFonts w:hint="eastAsia" w:ascii="Times New Roman" w:hAnsi="Times New Roman" w:eastAsia="仿宋_GB2312" w:cs="仿宋_GB2312"/>
          <w:color w:val="auto"/>
          <w:kern w:val="2"/>
          <w:sz w:val="32"/>
          <w:szCs w:val="32"/>
          <w:highlight w:val="none"/>
          <w:lang w:val="en-US" w:eastAsia="zh-CN" w:bidi="ar-SA"/>
        </w:rPr>
        <w:t>万元，外事接待支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1FE4FE9C">
      <w:pPr>
        <w:spacing w:line="600" w:lineRule="exact"/>
        <w:ind w:firstLine="640"/>
        <w:outlineLvl w:val="1"/>
        <w:rPr>
          <w:rStyle w:val="198"/>
          <w:rFonts w:ascii="Times New Roman" w:hAnsi="Times New Roman" w:eastAsia="黑体"/>
          <w:color w:val="auto"/>
          <w:highlight w:val="none"/>
        </w:rPr>
      </w:pPr>
      <w:bookmarkStart w:id="39" w:name="_Toc15396610"/>
      <w:bookmarkStart w:id="40" w:name="_Toc15377218"/>
      <w:r>
        <w:rPr>
          <w:rFonts w:hint="eastAsia" w:ascii="Times New Roman" w:hAnsi="Times New Roman" w:eastAsia="黑体"/>
          <w:color w:val="auto"/>
          <w:sz w:val="32"/>
          <w:szCs w:val="32"/>
          <w:highlight w:val="none"/>
        </w:rPr>
        <w:t>八、</w:t>
      </w:r>
      <w:r>
        <w:rPr>
          <w:rStyle w:val="198"/>
          <w:rFonts w:hint="eastAsia" w:ascii="Times New Roman" w:hAnsi="Times New Roman" w:eastAsia="黑体"/>
          <w:b w:val="0"/>
          <w:color w:val="auto"/>
          <w:highlight w:val="none"/>
        </w:rPr>
        <w:t>政府性基金预算支出决算情况说明</w:t>
      </w:r>
      <w:bookmarkEnd w:id="39"/>
      <w:bookmarkEnd w:id="40"/>
    </w:p>
    <w:p w14:paraId="1D8BF365">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EF90AD9">
      <w:pPr>
        <w:numPr>
          <w:ilvl w:val="0"/>
          <w:numId w:val="0"/>
        </w:numPr>
        <w:spacing w:line="600" w:lineRule="exact"/>
        <w:ind w:left="630" w:leftChars="0"/>
        <w:outlineLvl w:val="1"/>
        <w:rPr>
          <w:rStyle w:val="198"/>
          <w:rFonts w:ascii="Times New Roman" w:hAnsi="Times New Roman" w:eastAsia="黑体"/>
          <w:b w:val="0"/>
          <w:color w:val="auto"/>
          <w:highlight w:val="none"/>
        </w:rPr>
      </w:pPr>
      <w:bookmarkStart w:id="41" w:name="_Toc15377219"/>
      <w:bookmarkStart w:id="42" w:name="_Toc15396611"/>
      <w:r>
        <w:rPr>
          <w:rStyle w:val="198"/>
          <w:rFonts w:hint="eastAsia" w:ascii="Times New Roman" w:hAnsi="Times New Roman" w:eastAsia="黑体"/>
          <w:b w:val="0"/>
          <w:color w:val="auto"/>
          <w:highlight w:val="none"/>
          <w:lang w:eastAsia="zh-CN"/>
        </w:rPr>
        <w:t>九、</w:t>
      </w:r>
      <w:r>
        <w:rPr>
          <w:rStyle w:val="198"/>
          <w:rFonts w:hint="eastAsia" w:ascii="Times New Roman" w:hAnsi="Times New Roman" w:eastAsia="黑体"/>
          <w:b w:val="0"/>
          <w:color w:val="auto"/>
          <w:highlight w:val="none"/>
        </w:rPr>
        <w:t>国有资本经营预算支出决算情况说明</w:t>
      </w:r>
      <w:bookmarkEnd w:id="41"/>
      <w:bookmarkEnd w:id="42"/>
    </w:p>
    <w:p w14:paraId="5F8A239F">
      <w:pPr>
        <w:spacing w:line="600" w:lineRule="exact"/>
        <w:ind w:firstLine="640"/>
        <w:rPr>
          <w:rFonts w:hint="eastAsia" w:ascii="仿宋_GB2312" w:eastAsia="仿宋_GB2312"/>
          <w:color w:val="auto"/>
          <w:sz w:val="32"/>
          <w:szCs w:val="32"/>
          <w:highlight w:val="none"/>
        </w:rPr>
      </w:pPr>
      <w:bookmarkStart w:id="43" w:name="_Toc15396612"/>
      <w:bookmarkStart w:id="44" w:name="_Toc15377221"/>
      <w:r>
        <w:rPr>
          <w:rFonts w:hint="eastAsia"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5400D86">
      <w:pPr>
        <w:numPr>
          <w:ilvl w:val="0"/>
          <w:numId w:val="0"/>
        </w:numPr>
        <w:spacing w:line="600" w:lineRule="exact"/>
        <w:ind w:left="630" w:leftChars="0"/>
        <w:outlineLvl w:val="1"/>
        <w:rPr>
          <w:rStyle w:val="198"/>
          <w:rFonts w:hint="eastAsia" w:ascii="Times New Roman" w:hAnsi="Times New Roman" w:eastAsia="黑体"/>
          <w:b w:val="0"/>
          <w:color w:val="auto"/>
          <w:highlight w:val="none"/>
        </w:rPr>
      </w:pPr>
      <w:r>
        <w:rPr>
          <w:rStyle w:val="198"/>
          <w:rFonts w:hint="eastAsia" w:ascii="Times New Roman" w:hAnsi="Times New Roman" w:eastAsia="黑体"/>
          <w:b w:val="0"/>
          <w:color w:val="auto"/>
          <w:highlight w:val="none"/>
          <w:lang w:eastAsia="zh-CN"/>
        </w:rPr>
        <w:t>十、</w:t>
      </w:r>
      <w:r>
        <w:rPr>
          <w:rStyle w:val="198"/>
          <w:rFonts w:hint="eastAsia" w:ascii="Times New Roman" w:hAnsi="Times New Roman" w:eastAsia="黑体"/>
          <w:b w:val="0"/>
          <w:color w:val="auto"/>
          <w:highlight w:val="none"/>
        </w:rPr>
        <w:t>其他重要事项的情况说明</w:t>
      </w:r>
      <w:bookmarkEnd w:id="43"/>
      <w:bookmarkEnd w:id="44"/>
    </w:p>
    <w:p w14:paraId="5DD64612">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5" w:name="_Toc15377222"/>
      <w:r>
        <w:rPr>
          <w:rFonts w:hint="eastAsia" w:ascii="仿宋_GB2312" w:hAnsi="仿宋_GB2312" w:eastAsia="仿宋_GB2312" w:cs="仿宋_GB2312"/>
          <w:b/>
          <w:color w:val="auto"/>
          <w:sz w:val="32"/>
          <w:szCs w:val="32"/>
          <w:highlight w:val="none"/>
        </w:rPr>
        <w:t>（一）机关运行经费支出情况</w:t>
      </w:r>
      <w:bookmarkEnd w:id="45"/>
    </w:p>
    <w:p w14:paraId="6B7E4C56">
      <w:pPr>
        <w:spacing w:line="560" w:lineRule="exact"/>
        <w:ind w:firstLine="640" w:firstLineChars="200"/>
        <w:rPr>
          <w:rFonts w:hint="default"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color w:val="auto"/>
          <w:sz w:val="32"/>
          <w:szCs w:val="32"/>
          <w:lang w:val="en-US" w:eastAsia="zh-CN"/>
        </w:rPr>
        <w:t>801.73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减少437.42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下降13.19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color w:val="auto"/>
          <w:kern w:val="2"/>
          <w:sz w:val="32"/>
          <w:szCs w:val="32"/>
          <w:highlight w:val="none"/>
          <w:lang w:val="en-US" w:eastAsia="zh-CN" w:bidi="ar-SA"/>
        </w:rPr>
        <w:t>严格按照财政要求，将机关基本经费所涉及科目列入机关运行经费。</w:t>
      </w:r>
    </w:p>
    <w:p w14:paraId="7059F33F">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6" w:name="_Toc15377223"/>
      <w:r>
        <w:rPr>
          <w:rFonts w:hint="eastAsia" w:ascii="仿宋_GB2312" w:hAnsi="仿宋_GB2312" w:eastAsia="仿宋_GB2312" w:cs="仿宋_GB2312"/>
          <w:b/>
          <w:color w:val="auto"/>
          <w:sz w:val="32"/>
          <w:szCs w:val="32"/>
          <w:highlight w:val="none"/>
        </w:rPr>
        <w:t>（二）政府采购支出情况</w:t>
      </w:r>
      <w:bookmarkEnd w:id="46"/>
    </w:p>
    <w:p w14:paraId="7C0BF7E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color w:val="auto"/>
          <w:sz w:val="32"/>
          <w:szCs w:val="32"/>
          <w:lang w:val="en-US" w:eastAsia="zh-CN"/>
        </w:rPr>
        <w:t>677.62</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color w:val="auto"/>
          <w:sz w:val="32"/>
          <w:szCs w:val="32"/>
          <w:lang w:val="en-US" w:eastAsia="zh-CN"/>
        </w:rPr>
        <w:t>8.87</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color w:val="auto"/>
          <w:sz w:val="32"/>
          <w:szCs w:val="32"/>
          <w:lang w:val="en-US" w:eastAsia="zh-CN"/>
        </w:rPr>
        <w:t>560.73</w:t>
      </w:r>
      <w:r>
        <w:rPr>
          <w:rFonts w:hint="eastAsia" w:ascii="仿宋_GB2312" w:hAnsi="仿宋_GB2312" w:eastAsia="仿宋_GB2312" w:cs="仿宋_GB2312"/>
          <w:color w:val="auto"/>
          <w:kern w:val="2"/>
          <w:sz w:val="32"/>
          <w:szCs w:val="32"/>
          <w:highlight w:val="none"/>
          <w:lang w:val="en-US" w:eastAsia="zh-CN" w:bidi="ar-SA"/>
        </w:rPr>
        <w:t>万元、采购工程支出108.02万元。主要用于</w:t>
      </w:r>
      <w:r>
        <w:rPr>
          <w:rStyle w:val="40"/>
          <w:rFonts w:hint="eastAsia" w:ascii="仿宋_GB2312" w:eastAsia="仿宋_GB2312" w:cs="仿宋_GB2312"/>
          <w:b w:val="0"/>
          <w:bCs/>
          <w:color w:val="auto"/>
          <w:sz w:val="32"/>
          <w:szCs w:val="32"/>
          <w:lang w:val="en-US" w:eastAsia="zh-CN" w:bidi="ar-SA"/>
        </w:rPr>
        <w:t>办公设备购置及购买服务支出、车辆维修及车辆保险支出</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color w:val="auto"/>
          <w:sz w:val="32"/>
          <w:szCs w:val="32"/>
          <w:lang w:val="en-US" w:eastAsia="zh-CN"/>
        </w:rPr>
        <w:t>654.61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lang w:val="en-US" w:eastAsia="zh-CN"/>
        </w:rPr>
        <w:t>96.6</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3991D5B0">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7" w:name="_Toc15377224"/>
      <w:r>
        <w:rPr>
          <w:rFonts w:hint="eastAsia" w:ascii="仿宋_GB2312" w:hAnsi="仿宋_GB2312" w:eastAsia="仿宋_GB2312" w:cs="仿宋_GB2312"/>
          <w:b/>
          <w:color w:val="auto"/>
          <w:sz w:val="32"/>
          <w:szCs w:val="32"/>
          <w:highlight w:val="none"/>
        </w:rPr>
        <w:t>（三）国有资产占有使用情况</w:t>
      </w:r>
      <w:bookmarkEnd w:id="47"/>
    </w:p>
    <w:p w14:paraId="2AB021FD">
      <w:pPr>
        <w:spacing w:line="600" w:lineRule="exact"/>
        <w:ind w:firstLine="640" w:firstLineChars="200"/>
        <w:outlineLvl w:val="2"/>
        <w:rPr>
          <w:rFonts w:hint="eastAsia" w:ascii="仿宋_GB2312" w:eastAsia="仿宋_GB2312"/>
          <w:color w:val="auto"/>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阿坝藏族羌族自治州人民政府办公室（本级）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33</w:t>
      </w:r>
      <w:r>
        <w:rPr>
          <w:rFonts w:hint="eastAsia" w:ascii="仿宋_GB2312" w:hAnsi="仿宋_GB2312" w:eastAsia="仿宋_GB2312" w:cs="仿宋_GB2312"/>
          <w:color w:val="auto"/>
          <w:kern w:val="2"/>
          <w:sz w:val="32"/>
          <w:szCs w:val="32"/>
          <w:highlight w:val="none"/>
          <w:lang w:val="en-US" w:eastAsia="zh-CN" w:bidi="ar-SA"/>
        </w:rPr>
        <w:t>辆，</w:t>
      </w:r>
      <w:r>
        <w:rPr>
          <w:rFonts w:hint="eastAsia" w:ascii="仿宋_GB2312" w:eastAsia="仿宋_GB2312"/>
          <w:color w:val="auto"/>
          <w:sz w:val="32"/>
          <w:szCs w:val="32"/>
          <w:highlight w:val="none"/>
        </w:rPr>
        <w:t>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33</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s="仿宋_GB2312"/>
          <w:sz w:val="32"/>
          <w:szCs w:val="32"/>
          <w:lang w:val="en-US" w:eastAsia="zh-CN" w:bidi="ar-SA"/>
        </w:rPr>
        <w:t>我单位人员指导调研、督导检查、紧急处突</w:t>
      </w:r>
      <w:r>
        <w:rPr>
          <w:rFonts w:hint="eastAsia" w:ascii="仿宋_GB2312" w:eastAsia="仿宋_GB2312" w:cs="仿宋"/>
          <w:color w:val="000000"/>
          <w:sz w:val="32"/>
          <w:szCs w:val="32"/>
          <w:lang w:val="en-US" w:eastAsia="zh-CN" w:bidi="ar-SA"/>
        </w:rPr>
        <w:t>等</w:t>
      </w:r>
      <w:r>
        <w:rPr>
          <w:rFonts w:hint="eastAsia" w:ascii="仿宋_GB2312" w:eastAsia="仿宋_GB2312" w:cs="仿宋_GB2312"/>
          <w:sz w:val="32"/>
          <w:szCs w:val="32"/>
          <w:lang w:val="en-US" w:eastAsia="zh-CN" w:bidi="ar-SA"/>
        </w:rPr>
        <w:t>日常工作车辆保障</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单价100万元以上设备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r>
        <w:rPr>
          <w:rFonts w:hint="eastAsia" w:ascii="仿宋_GB2312" w:eastAsia="仿宋_GB2312"/>
          <w:color w:val="auto"/>
          <w:sz w:val="32"/>
          <w:szCs w:val="32"/>
          <w:lang w:val="en-US" w:eastAsia="zh-CN"/>
        </w:rPr>
        <w:t>我单位固定资产为单位房屋建筑、办公设备、车辆、家具用具等，且我单位资产均在正常使用中。</w:t>
      </w:r>
    </w:p>
    <w:p w14:paraId="19EDE2F2">
      <w:pPr>
        <w:spacing w:line="600" w:lineRule="exact"/>
        <w:ind w:firstLine="643" w:firstLineChars="200"/>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（四）预算绩效管理情况</w:t>
      </w:r>
    </w:p>
    <w:p w14:paraId="2754CC44">
      <w:pPr>
        <w:spacing w:line="600" w:lineRule="exact"/>
        <w:ind w:firstLine="640"/>
        <w:rPr>
          <w:rFonts w:hint="eastAsia" w:ascii="仿宋_GB2312" w:eastAsia="仿宋_GB2312" w:cs="仿宋_GB2312"/>
          <w:color w:val="auto"/>
          <w:sz w:val="32"/>
          <w:szCs w:val="32"/>
          <w:highlight w:val="none"/>
          <w:lang w:eastAsia="zh-CN" w:bidi="ar-SA"/>
        </w:rPr>
      </w:pPr>
      <w:r>
        <w:rPr>
          <w:rFonts w:hint="eastAsia" w:ascii="仿宋_GB2312" w:eastAsia="仿宋_GB2312" w:cs="仿宋_GB2312"/>
          <w:color w:val="auto"/>
          <w:sz w:val="32"/>
          <w:szCs w:val="32"/>
          <w:highlight w:val="none"/>
          <w:lang w:bidi="ar-SA"/>
        </w:rPr>
        <w:t>根据预算绩效管理要求，本部门在</w:t>
      </w:r>
      <w:r>
        <w:rPr>
          <w:rFonts w:hint="eastAsia" w:ascii="仿宋_GB2312" w:eastAsia="仿宋_GB2312" w:cs="仿宋_GB2312"/>
          <w:color w:val="auto"/>
          <w:sz w:val="32"/>
          <w:szCs w:val="32"/>
          <w:highlight w:val="none"/>
          <w:lang w:val="en-US" w:eastAsia="zh-CN" w:bidi="ar-SA"/>
        </w:rPr>
        <w:t>2025年度</w:t>
      </w:r>
      <w:r>
        <w:rPr>
          <w:rFonts w:hint="eastAsia" w:ascii="仿宋_GB2312" w:eastAsia="仿宋_GB2312" w:cs="仿宋_GB2312"/>
          <w:color w:val="auto"/>
          <w:sz w:val="32"/>
          <w:szCs w:val="32"/>
          <w:highlight w:val="none"/>
          <w:lang w:bidi="ar-SA"/>
        </w:rPr>
        <w:t>预算编制阶段，组织对</w:t>
      </w:r>
      <w:r>
        <w:rPr>
          <w:rFonts w:hint="eastAsia" w:ascii="仿宋_GB2312" w:eastAsia="仿宋_GB2312" w:cs="仿宋_GB2312"/>
          <w:color w:val="auto"/>
          <w:sz w:val="32"/>
          <w:szCs w:val="32"/>
          <w:highlight w:val="none"/>
          <w:lang w:val="en-US" w:eastAsia="zh-CN" w:bidi="ar-SA"/>
        </w:rPr>
        <w:t>28个项目</w:t>
      </w:r>
      <w:r>
        <w:rPr>
          <w:rFonts w:hint="eastAsia" w:ascii="仿宋_GB2312" w:eastAsia="仿宋_GB2312" w:cs="仿宋_GB2312"/>
          <w:color w:val="auto"/>
          <w:sz w:val="32"/>
          <w:szCs w:val="32"/>
          <w:highlight w:val="none"/>
          <w:lang w:bidi="ar-SA"/>
        </w:rPr>
        <w:t>开展了预算事前绩效评估，对</w:t>
      </w:r>
      <w:r>
        <w:rPr>
          <w:rFonts w:hint="eastAsia" w:ascii="仿宋_GB2312" w:eastAsia="仿宋_GB2312" w:cs="仿宋_GB2312"/>
          <w:color w:val="auto"/>
          <w:sz w:val="32"/>
          <w:szCs w:val="32"/>
          <w:highlight w:val="none"/>
          <w:lang w:val="en-US" w:eastAsia="zh-CN" w:bidi="ar-SA"/>
        </w:rPr>
        <w:t>28</w:t>
      </w:r>
      <w:r>
        <w:rPr>
          <w:rFonts w:hint="eastAsia" w:ascii="仿宋_GB2312" w:eastAsia="仿宋_GB2312" w:cs="仿宋_GB2312"/>
          <w:color w:val="auto"/>
          <w:sz w:val="32"/>
          <w:szCs w:val="32"/>
          <w:highlight w:val="none"/>
          <w:lang w:bidi="ar-SA"/>
        </w:rPr>
        <w:t>个项目编制了绩效目标，预算执行过程中，</w:t>
      </w:r>
      <w:r>
        <w:rPr>
          <w:rFonts w:hint="eastAsia" w:ascii="仿宋_GB2312" w:eastAsia="仿宋_GB2312" w:cs="仿宋_GB2312"/>
          <w:color w:val="auto"/>
          <w:sz w:val="32"/>
          <w:szCs w:val="32"/>
          <w:highlight w:val="none"/>
          <w:lang w:val="en-US" w:eastAsia="zh-CN" w:bidi="ar-SA"/>
        </w:rPr>
        <w:t>全覆盖</w:t>
      </w:r>
      <w:r>
        <w:rPr>
          <w:rFonts w:hint="eastAsia" w:ascii="仿宋_GB2312" w:eastAsia="仿宋_GB2312" w:cs="仿宋_GB2312"/>
          <w:color w:val="auto"/>
          <w:sz w:val="32"/>
          <w:szCs w:val="32"/>
          <w:highlight w:val="none"/>
          <w:lang w:bidi="ar-SA"/>
        </w:rPr>
        <w:t>开展绩效监控</w:t>
      </w:r>
      <w:r>
        <w:rPr>
          <w:rFonts w:hint="eastAsia" w:ascii="仿宋_GB2312" w:eastAsia="仿宋_GB2312" w:cs="仿宋_GB2312"/>
          <w:color w:val="auto"/>
          <w:sz w:val="32"/>
          <w:szCs w:val="32"/>
          <w:highlight w:val="none"/>
          <w:lang w:eastAsia="zh-CN" w:bidi="ar-SA"/>
        </w:rPr>
        <w:t>。</w:t>
      </w:r>
    </w:p>
    <w:p w14:paraId="1CA73984">
      <w:pPr>
        <w:spacing w:line="580" w:lineRule="exact"/>
        <w:ind w:firstLine="640" w:firstLineChars="200"/>
        <w:rPr>
          <w:rFonts w:hint="eastAsia" w:ascii="仿宋_GB2312" w:eastAsia="仿宋_GB2312"/>
          <w:b/>
          <w:color w:val="auto"/>
          <w:sz w:val="32"/>
          <w:szCs w:val="32"/>
          <w:highlight w:val="none"/>
          <w:lang w:val="en-US" w:eastAsia="en-US"/>
        </w:rPr>
      </w:pPr>
      <w:r>
        <w:rPr>
          <w:rFonts w:hint="eastAsia" w:ascii="仿宋_GB2312" w:eastAsia="仿宋_GB2312" w:cs="仿宋_GB2312"/>
          <w:color w:val="auto"/>
          <w:sz w:val="32"/>
          <w:szCs w:val="32"/>
          <w:highlight w:val="none"/>
          <w:lang w:eastAsia="zh-CN" w:bidi="ar-SA"/>
        </w:rPr>
        <w:t>组织</w:t>
      </w:r>
      <w:r>
        <w:rPr>
          <w:rFonts w:hint="eastAsia" w:ascii="仿宋_GB2312" w:eastAsia="仿宋_GB2312" w:cs="仿宋_GB2312"/>
          <w:color w:val="auto"/>
          <w:sz w:val="32"/>
          <w:szCs w:val="32"/>
          <w:highlight w:val="none"/>
          <w:lang w:bidi="ar-SA"/>
        </w:rPr>
        <w:t>对</w:t>
      </w:r>
      <w:r>
        <w:rPr>
          <w:rFonts w:hint="eastAsia" w:ascii="仿宋_GB2312" w:eastAsia="仿宋_GB2312" w:cs="仿宋_GB2312"/>
          <w:color w:val="auto"/>
          <w:sz w:val="32"/>
          <w:szCs w:val="32"/>
          <w:highlight w:val="none"/>
          <w:lang w:val="en-US" w:eastAsia="zh-CN" w:bidi="ar-SA"/>
        </w:rPr>
        <w:t>2025年度一般公共预算开展绩效自评，形成阿坝州人民政府办公室2025年部门绩效自评报告。阿坝州人民政府办公室部门整体绩效自评得分为92.69分。2025年阿坝州人民政府办公室贯彻落实深入实施预算绩效管理的决策部署，强化组织领导，明确责任主体，完善制度建设，加强事前、事中、事后全过程管理，切实提高财政资金使用效率。</w:t>
      </w:r>
    </w:p>
    <w:p w14:paraId="36A0E95A">
      <w:pPr>
        <w:keepNext w:val="0"/>
        <w:keepLines w:val="0"/>
        <w:pageBreakBefore w:val="0"/>
        <w:widowControl w:val="0"/>
        <w:kinsoku/>
        <w:wordWrap/>
        <w:overflowPunct/>
        <w:topLinePunct w:val="0"/>
        <w:bidi w:val="0"/>
        <w:snapToGrid/>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32F06357">
      <w:pPr>
        <w:keepNext w:val="0"/>
        <w:keepLines w:val="0"/>
        <w:pageBreakBefore w:val="0"/>
        <w:widowControl w:val="0"/>
        <w:numPr>
          <w:ilvl w:val="0"/>
          <w:numId w:val="1"/>
        </w:numPr>
        <w:kinsoku/>
        <w:wordWrap/>
        <w:overflowPunct/>
        <w:topLinePunct w:val="0"/>
        <w:bidi w:val="0"/>
        <w:snapToGrid/>
        <w:spacing w:line="560" w:lineRule="exact"/>
        <w:ind w:left="0" w:firstLine="660" w:firstLineChars="150"/>
        <w:jc w:val="center"/>
        <w:textAlignment w:val="auto"/>
        <w:outlineLvl w:val="0"/>
        <w:rPr>
          <w:rStyle w:val="197"/>
          <w:rFonts w:hint="eastAsia" w:ascii="黑体" w:eastAsia="黑体"/>
          <w:b w:val="0"/>
          <w:color w:val="auto"/>
          <w:highlight w:val="none"/>
        </w:rPr>
      </w:pPr>
      <w:bookmarkStart w:id="48" w:name="_Toc15396613"/>
      <w:bookmarkStart w:id="49" w:name="_Toc15377225"/>
      <w:bookmarkStart w:id="50" w:name="_Toc15377226"/>
      <w:r>
        <w:rPr>
          <w:rFonts w:hint="eastAsia" w:ascii="黑体" w:eastAsia="黑体"/>
          <w:color w:val="auto"/>
          <w:sz w:val="44"/>
          <w:szCs w:val="44"/>
          <w:highlight w:val="none"/>
        </w:rPr>
        <w:t>名</w:t>
      </w:r>
      <w:r>
        <w:rPr>
          <w:rStyle w:val="197"/>
          <w:rFonts w:hint="eastAsia" w:ascii="黑体" w:eastAsia="黑体"/>
          <w:b w:val="0"/>
          <w:color w:val="auto"/>
          <w:highlight w:val="none"/>
        </w:rPr>
        <w:t>词解释</w:t>
      </w:r>
      <w:bookmarkEnd w:id="48"/>
      <w:bookmarkEnd w:id="49"/>
    </w:p>
    <w:p w14:paraId="65F83377">
      <w:pPr>
        <w:keepNext w:val="0"/>
        <w:keepLines w:val="0"/>
        <w:pageBreakBefore w:val="0"/>
        <w:widowControl w:val="0"/>
        <w:kinsoku/>
        <w:wordWrap/>
        <w:overflowPunct/>
        <w:topLinePunct w:val="0"/>
        <w:bidi w:val="0"/>
        <w:snapToGrid/>
        <w:spacing w:line="560" w:lineRule="exact"/>
        <w:jc w:val="left"/>
        <w:textAlignment w:val="auto"/>
        <w:rPr>
          <w:rFonts w:hint="eastAsia" w:ascii="宋体"/>
          <w:b/>
          <w:color w:val="auto"/>
          <w:sz w:val="44"/>
          <w:szCs w:val="44"/>
          <w:highlight w:val="none"/>
        </w:rPr>
      </w:pPr>
    </w:p>
    <w:p w14:paraId="63AD2D17">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s="仿宋_GB2312"/>
          <w:sz w:val="32"/>
          <w:szCs w:val="32"/>
          <w:lang w:bidi="ar-SA"/>
        </w:rPr>
        <w:t> </w:t>
      </w:r>
      <w:r>
        <w:rPr>
          <w:rFonts w:hint="eastAsia" w:ascii="仿宋_GB2312" w:eastAsia="仿宋_GB2312"/>
          <w:sz w:val="32"/>
          <w:szCs w:val="32"/>
        </w:rPr>
        <w:t>1.财政拨款收入：指单位从同级财政部门取得的财政预算资金。</w:t>
      </w:r>
    </w:p>
    <w:p w14:paraId="4789385A">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2.事业收入：指事业单位开展专业业务活动及辅助活动取得的收入。</w:t>
      </w:r>
    </w:p>
    <w:p w14:paraId="7492A308">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3.其他收入：指单位取得的除上述收入以外的各项收入。主要是</w:t>
      </w:r>
      <w:r>
        <w:rPr>
          <w:rFonts w:hint="eastAsia" w:ascii="仿宋_GB2312" w:eastAsia="仿宋_GB2312"/>
          <w:sz w:val="32"/>
          <w:szCs w:val="32"/>
          <w:lang w:val="en-US" w:eastAsia="zh-CN"/>
        </w:rPr>
        <w:t>银行存款利息和伙食团缴费</w:t>
      </w:r>
      <w:r>
        <w:rPr>
          <w:rFonts w:hint="eastAsia" w:ascii="仿宋_GB2312" w:eastAsia="仿宋_GB2312"/>
          <w:sz w:val="32"/>
          <w:szCs w:val="32"/>
        </w:rPr>
        <w:t>等。</w:t>
      </w:r>
    </w:p>
    <w:p w14:paraId="53518A9A">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4. 年初结转和结余：指以前年度尚未完成、结转到本年按有关规定继续使用的资金。 </w:t>
      </w:r>
    </w:p>
    <w:p w14:paraId="4D01FD23">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5. </w:t>
      </w:r>
      <w:r>
        <w:rPr>
          <w:rFonts w:hint="eastAsia" w:ascii="仿宋_GB2312" w:eastAsia="仿宋_GB2312" w:cs="仿宋"/>
          <w:color w:val="000000"/>
          <w:kern w:val="0"/>
          <w:sz w:val="32"/>
          <w:szCs w:val="32"/>
          <w:lang w:val="en-US" w:eastAsia="zh-CN" w:bidi="ar-SA"/>
        </w:rPr>
        <w:t>一般公共服务（类）政府办公厅（室）及相关机构事务（款）行政运行（项）：指行政单位的基本支出</w:t>
      </w:r>
      <w:r>
        <w:rPr>
          <w:rFonts w:hint="eastAsia" w:ascii="仿宋_GB2312" w:eastAsia="仿宋_GB2312"/>
          <w:color w:val="000000"/>
          <w:sz w:val="32"/>
          <w:szCs w:val="32"/>
        </w:rPr>
        <w:t>。</w:t>
      </w:r>
    </w:p>
    <w:p w14:paraId="1952A8E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w:t>
      </w:r>
      <w:r>
        <w:rPr>
          <w:rFonts w:hint="eastAsia" w:ascii="仿宋_GB2312" w:eastAsia="仿宋_GB2312" w:cs="仿宋"/>
          <w:color w:val="000000"/>
          <w:kern w:val="0"/>
          <w:sz w:val="32"/>
          <w:szCs w:val="32"/>
          <w:lang w:val="en-US" w:eastAsia="zh-CN" w:bidi="ar-SA"/>
        </w:rPr>
        <w:t>一般公共服务（类）政府办公厅（室）及相关机构事务（款）一般行政管理事务（项）：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反映行政单位未单独设置顶级科目的其他项目支出</w:t>
      </w:r>
      <w:r>
        <w:rPr>
          <w:rFonts w:hint="eastAsia" w:ascii="仿宋_GB2312" w:eastAsia="仿宋_GB2312"/>
          <w:color w:val="000000"/>
          <w:sz w:val="32"/>
          <w:szCs w:val="32"/>
        </w:rPr>
        <w:t>。</w:t>
      </w:r>
    </w:p>
    <w:p w14:paraId="0A43E737">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sz w:val="32"/>
          <w:szCs w:val="32"/>
          <w:lang w:val="en-US" w:eastAsia="zh-CN"/>
        </w:rPr>
        <w:t>7.</w:t>
      </w:r>
      <w:r>
        <w:rPr>
          <w:rFonts w:hint="eastAsia" w:ascii="仿宋_GB2312" w:eastAsia="仿宋_GB2312" w:cs="仿宋"/>
          <w:color w:val="000000"/>
          <w:kern w:val="0"/>
          <w:sz w:val="32"/>
          <w:szCs w:val="32"/>
          <w:lang w:val="en-US" w:eastAsia="zh-CN" w:bidi="ar-SA"/>
        </w:rPr>
        <w:t>教育（类）其他教育支出（款）其他教育支出（项）：</w:t>
      </w:r>
      <w:r>
        <w:rPr>
          <w:rFonts w:hint="eastAsia" w:ascii="仿宋_GB2312" w:eastAsia="仿宋_GB2312"/>
          <w:color w:val="000000"/>
          <w:sz w:val="32"/>
          <w:szCs w:val="32"/>
          <w:lang w:val="en-US" w:eastAsia="zh-CN"/>
        </w:rPr>
        <w:t>除上诉项目以外用于教育管理事务方面的支出</w:t>
      </w:r>
      <w:r>
        <w:rPr>
          <w:rFonts w:hint="eastAsia" w:ascii="仿宋_GB2312" w:eastAsia="仿宋_GB2312"/>
          <w:color w:val="000000"/>
          <w:sz w:val="32"/>
          <w:szCs w:val="32"/>
        </w:rPr>
        <w:t>。</w:t>
      </w:r>
    </w:p>
    <w:p w14:paraId="79A32D09">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单位为职工缴纳的基本养老保险费</w:t>
      </w:r>
      <w:r>
        <w:rPr>
          <w:rFonts w:hint="eastAsia" w:ascii="仿宋_GB2312" w:eastAsia="仿宋_GB2312"/>
          <w:color w:val="000000"/>
          <w:sz w:val="32"/>
          <w:szCs w:val="32"/>
        </w:rPr>
        <w:t>。</w:t>
      </w:r>
    </w:p>
    <w:p w14:paraId="6A1578C7">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社会保障和就业（类）行政事业单位离退休（款）机关事业单位基本职业年金缴费支出（项）：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单位为职工实际缴纳的职业年金</w:t>
      </w:r>
      <w:r>
        <w:rPr>
          <w:rFonts w:hint="eastAsia" w:ascii="仿宋_GB2312" w:eastAsia="仿宋_GB2312"/>
          <w:color w:val="000000"/>
          <w:sz w:val="32"/>
          <w:szCs w:val="32"/>
        </w:rPr>
        <w:t>。</w:t>
      </w:r>
    </w:p>
    <w:p w14:paraId="06E9C119">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医疗</w:t>
      </w:r>
      <w:r>
        <w:rPr>
          <w:rFonts w:hint="eastAsia" w:ascii="仿宋_GB2312" w:eastAsia="仿宋_GB2312"/>
          <w:color w:val="000000"/>
          <w:sz w:val="32"/>
          <w:szCs w:val="32"/>
        </w:rPr>
        <w:t>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行政单位医疗</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反映职工缴纳的基本医疗保险费</w:t>
      </w:r>
      <w:r>
        <w:rPr>
          <w:rFonts w:hint="eastAsia" w:ascii="仿宋_GB2312" w:eastAsia="仿宋_GB2312"/>
          <w:color w:val="000000"/>
          <w:sz w:val="32"/>
          <w:szCs w:val="32"/>
        </w:rPr>
        <w:t>。</w:t>
      </w:r>
    </w:p>
    <w:p w14:paraId="7E4712CB">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.医疗卫生与计划生育（类）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公务员医疗补助</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按规定可享受公务员医疗补助单位为职工缴纳的公务员医疗补助费</w:t>
      </w:r>
      <w:r>
        <w:rPr>
          <w:rFonts w:hint="eastAsia" w:ascii="仿宋_GB2312" w:eastAsia="仿宋_GB2312"/>
          <w:color w:val="000000"/>
          <w:sz w:val="32"/>
          <w:szCs w:val="32"/>
        </w:rPr>
        <w:t>。</w:t>
      </w:r>
    </w:p>
    <w:p w14:paraId="05466254">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住房保障（类）住房改革支出（款）住房公积金（项）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单位按规定为职工缴纳的住房公积金</w:t>
      </w:r>
      <w:r>
        <w:rPr>
          <w:rFonts w:hint="eastAsia" w:ascii="仿宋_GB2312" w:eastAsia="仿宋_GB2312"/>
          <w:color w:val="000000"/>
          <w:sz w:val="32"/>
          <w:szCs w:val="32"/>
        </w:rPr>
        <w:t>。</w:t>
      </w:r>
    </w:p>
    <w:p w14:paraId="00DD14CD">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13</w:t>
      </w:r>
      <w:r>
        <w:rPr>
          <w:rFonts w:hint="eastAsia" w:ascii="仿宋_GB2312" w:eastAsia="仿宋_GB2312"/>
          <w:color w:val="000000"/>
          <w:sz w:val="32"/>
          <w:szCs w:val="32"/>
        </w:rPr>
        <w:t>.基本支出：指为保障机构正常运转、完成日常工作任务而发生的人员支出和公用支出。</w:t>
      </w:r>
    </w:p>
    <w:p w14:paraId="0A5D9420">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14</w:t>
      </w:r>
      <w:r>
        <w:rPr>
          <w:rFonts w:hint="eastAsia" w:ascii="仿宋_GB2312" w:eastAsia="仿宋_GB2312"/>
          <w:color w:val="000000"/>
          <w:sz w:val="32"/>
          <w:szCs w:val="32"/>
        </w:rPr>
        <w:t xml:space="preserve">.项目支出：指在基本支出之外为完成特定行政任务和事业发展目标所发生的支出。 </w:t>
      </w:r>
    </w:p>
    <w:p w14:paraId="6CD6B3E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7F0ED37">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16</w:t>
      </w:r>
      <w:r>
        <w:rPr>
          <w:rFonts w:hint="eastAsia" w:ascii="仿宋_GB2312" w:eastAsia="仿宋_GB2312"/>
          <w:color w:val="000000"/>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2EE3C9">
      <w:pPr>
        <w:keepNext w:val="0"/>
        <w:keepLines w:val="0"/>
        <w:pageBreakBefore w:val="0"/>
        <w:widowControl w:val="0"/>
        <w:kinsoku/>
        <w:wordWrap/>
        <w:overflowPunct/>
        <w:topLinePunct w:val="0"/>
        <w:bidi w:val="0"/>
        <w:snapToGrid/>
        <w:spacing w:line="560" w:lineRule="exact"/>
        <w:jc w:val="both"/>
        <w:textAlignment w:val="auto"/>
        <w:rPr>
          <w:rFonts w:hint="eastAsia" w:ascii="Times New Roman" w:hAnsi="Times New Roman" w:eastAsia="黑体"/>
          <w:color w:val="auto"/>
          <w:sz w:val="44"/>
          <w:szCs w:val="44"/>
          <w:highlight w:val="none"/>
        </w:rPr>
      </w:pPr>
      <w:bookmarkStart w:id="51" w:name="_Toc15396614"/>
    </w:p>
    <w:p w14:paraId="6537981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color w:val="auto"/>
          <w:sz w:val="44"/>
          <w:szCs w:val="44"/>
          <w:highlight w:val="none"/>
        </w:rPr>
      </w:pPr>
    </w:p>
    <w:p w14:paraId="708AAEEA">
      <w:pPr>
        <w:keepNext w:val="0"/>
        <w:keepLines w:val="0"/>
        <w:pageBreakBefore w:val="0"/>
        <w:widowControl w:val="0"/>
        <w:kinsoku/>
        <w:wordWrap/>
        <w:overflowPunct/>
        <w:topLinePunct w:val="0"/>
        <w:bidi w:val="0"/>
        <w:snapToGrid/>
        <w:spacing w:line="560" w:lineRule="exact"/>
        <w:jc w:val="center"/>
        <w:textAlignment w:val="auto"/>
        <w:rPr>
          <w:rStyle w:val="197"/>
          <w:rFonts w:hint="eastAsia" w:ascii="Times New Roman" w:hAnsi="Times New Roman" w:eastAsia="黑体"/>
          <w:b w:val="0"/>
          <w:bCs w:val="0"/>
          <w:color w:val="auto"/>
          <w:highlight w:val="none"/>
          <w:lang w:eastAsia="zh-CN"/>
        </w:rPr>
      </w:pPr>
    </w:p>
    <w:p w14:paraId="03DACD0D">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12BA0329">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47BCB7A2">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5031D3C6">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38DECDBA">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70A7414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55B47AA4">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p>
    <w:p w14:paraId="45000F12">
      <w:pPr>
        <w:keepNext w:val="0"/>
        <w:keepLines w:val="0"/>
        <w:pageBreakBefore w:val="0"/>
        <w:widowControl w:val="0"/>
        <w:kinsoku/>
        <w:wordWrap/>
        <w:overflowPunct/>
        <w:topLinePunct w:val="0"/>
        <w:bidi w:val="0"/>
        <w:snapToGrid/>
        <w:spacing w:line="560" w:lineRule="exact"/>
        <w:jc w:val="center"/>
        <w:textAlignment w:val="auto"/>
        <w:rPr>
          <w:rFonts w:hint="eastAsia" w:ascii="Times New Roman" w:hAnsi="Times New Roman" w:eastAsia="黑体"/>
          <w:snapToGrid/>
          <w:color w:val="auto"/>
          <w:sz w:val="44"/>
          <w:szCs w:val="44"/>
          <w:highlight w:val="none"/>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14:paraId="2BCC43D3">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39B71D2">
      <w:pPr>
        <w:spacing w:line="560" w:lineRule="exact"/>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阿坝州人民政府办公室</w:t>
      </w:r>
    </w:p>
    <w:p w14:paraId="3A0B783E">
      <w:pPr>
        <w:spacing w:line="560" w:lineRule="exact"/>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关于报送《</w:t>
      </w:r>
      <w:r>
        <w:rPr>
          <w:rFonts w:hint="eastAsia" w:ascii="方正小标宋简体" w:eastAsia="方正小标宋简体"/>
          <w:color w:val="auto"/>
          <w:sz w:val="44"/>
          <w:szCs w:val="44"/>
          <w:lang w:val="en-US" w:eastAsia="zh-CN"/>
        </w:rPr>
        <w:t>2025</w:t>
      </w:r>
      <w:r>
        <w:rPr>
          <w:rFonts w:hint="eastAsia" w:ascii="方正小标宋简体" w:eastAsia="方正小标宋简体"/>
          <w:color w:val="auto"/>
          <w:sz w:val="44"/>
          <w:szCs w:val="44"/>
        </w:rPr>
        <w:t>年</w:t>
      </w:r>
      <w:r>
        <w:rPr>
          <w:rFonts w:hint="eastAsia" w:ascii="方正小标宋简体" w:eastAsia="方正小标宋简体"/>
          <w:color w:val="auto"/>
          <w:sz w:val="44"/>
          <w:szCs w:val="44"/>
          <w:lang w:val="en-US" w:eastAsia="zh-CN"/>
        </w:rPr>
        <w:t>部门</w:t>
      </w:r>
      <w:r>
        <w:rPr>
          <w:rFonts w:hint="eastAsia" w:ascii="方正小标宋简体" w:eastAsia="方正小标宋简体"/>
          <w:color w:val="auto"/>
          <w:sz w:val="44"/>
          <w:szCs w:val="44"/>
        </w:rPr>
        <w:t>绩效</w:t>
      </w:r>
      <w:r>
        <w:rPr>
          <w:rFonts w:hint="eastAsia" w:ascii="方正小标宋简体" w:eastAsia="方正小标宋简体"/>
          <w:color w:val="auto"/>
          <w:sz w:val="44"/>
          <w:szCs w:val="44"/>
          <w:lang w:val="en-US" w:eastAsia="zh-CN"/>
        </w:rPr>
        <w:t>自评报告</w:t>
      </w:r>
      <w:r>
        <w:rPr>
          <w:rFonts w:hint="eastAsia" w:ascii="方正小标宋简体" w:eastAsia="方正小标宋简体"/>
          <w:color w:val="auto"/>
          <w:sz w:val="44"/>
          <w:szCs w:val="44"/>
        </w:rPr>
        <w:t>》的函</w:t>
      </w:r>
    </w:p>
    <w:p w14:paraId="213D2EC3">
      <w:pPr>
        <w:spacing w:line="560" w:lineRule="exact"/>
        <w:rPr>
          <w:rFonts w:hint="eastAsia" w:ascii="仿宋_GB2312" w:eastAsia="仿宋_GB2312"/>
          <w:color w:val="auto"/>
          <w:sz w:val="32"/>
          <w:szCs w:val="32"/>
        </w:rPr>
      </w:pPr>
    </w:p>
    <w:p w14:paraId="232E9FA8">
      <w:pPr>
        <w:spacing w:line="560" w:lineRule="exact"/>
        <w:rPr>
          <w:rFonts w:hint="eastAsia" w:ascii="仿宋_GB2312" w:eastAsia="仿宋_GB2312"/>
          <w:color w:val="auto"/>
          <w:sz w:val="32"/>
          <w:szCs w:val="32"/>
        </w:rPr>
      </w:pPr>
      <w:r>
        <w:rPr>
          <w:rFonts w:hint="eastAsia" w:ascii="仿宋_GB2312" w:eastAsia="仿宋_GB2312"/>
          <w:color w:val="auto"/>
          <w:sz w:val="32"/>
          <w:szCs w:val="32"/>
        </w:rPr>
        <w:t>州财政局：</w:t>
      </w:r>
    </w:p>
    <w:p w14:paraId="5C8594BC">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按照《阿坝州财政局关于开展20</w:t>
      </w:r>
      <w:r>
        <w:rPr>
          <w:rFonts w:hint="eastAsia" w:ascii="仿宋_GB2312" w:eastAsia="仿宋_GB2312"/>
          <w:color w:val="auto"/>
          <w:sz w:val="32"/>
          <w:szCs w:val="32"/>
          <w:lang w:val="en-US" w:eastAsia="zh-CN"/>
        </w:rPr>
        <w:t>2</w:t>
      </w:r>
      <w:r>
        <w:rPr>
          <w:rFonts w:hint="eastAsia" w:ascii="仿宋_GB2312"/>
          <w:color w:val="auto"/>
          <w:sz w:val="32"/>
          <w:szCs w:val="32"/>
          <w:lang w:val="en-US" w:eastAsia="zh-CN"/>
        </w:rPr>
        <w:t>6</w:t>
      </w:r>
      <w:r>
        <w:rPr>
          <w:rFonts w:hint="eastAsia" w:ascii="仿宋_GB2312" w:eastAsia="仿宋_GB2312"/>
          <w:color w:val="auto"/>
          <w:sz w:val="32"/>
          <w:szCs w:val="32"/>
        </w:rPr>
        <w:t>年</w:t>
      </w:r>
      <w:r>
        <w:rPr>
          <w:rFonts w:hint="eastAsia" w:ascii="仿宋_GB2312"/>
          <w:color w:val="auto"/>
          <w:sz w:val="32"/>
          <w:szCs w:val="32"/>
          <w:lang w:val="en-US" w:eastAsia="zh-CN"/>
        </w:rPr>
        <w:t>州级部门绩效自评工作</w:t>
      </w:r>
      <w:r>
        <w:rPr>
          <w:rFonts w:hint="eastAsia" w:ascii="仿宋_GB2312" w:eastAsia="仿宋_GB2312"/>
          <w:color w:val="auto"/>
          <w:sz w:val="32"/>
          <w:szCs w:val="32"/>
        </w:rPr>
        <w:t>通知》（阿州财</w:t>
      </w:r>
      <w:r>
        <w:rPr>
          <w:rFonts w:hint="eastAsia" w:ascii="仿宋_GB2312" w:eastAsia="仿宋_GB2312"/>
          <w:color w:val="auto"/>
          <w:sz w:val="32"/>
          <w:szCs w:val="32"/>
          <w:lang w:val="en-US" w:eastAsia="zh-CN"/>
        </w:rPr>
        <w:t>监绩</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202</w:t>
      </w:r>
      <w:r>
        <w:rPr>
          <w:rFonts w:hint="eastAsia" w:ascii="仿宋_GB2312"/>
          <w:color w:val="auto"/>
          <w:sz w:val="32"/>
          <w:szCs w:val="32"/>
          <w:lang w:val="en-US" w:eastAsia="zh-CN"/>
        </w:rPr>
        <w:t>6</w:t>
      </w:r>
      <w:r>
        <w:rPr>
          <w:rFonts w:hint="eastAsia" w:ascii="仿宋_GB2312" w:eastAsia="仿宋_GB2312"/>
          <w:color w:val="auto"/>
          <w:sz w:val="32"/>
          <w:szCs w:val="32"/>
        </w:rPr>
        <w:t>〕</w:t>
      </w:r>
      <w:r>
        <w:rPr>
          <w:rFonts w:hint="eastAsia" w:ascii="仿宋_GB2312"/>
          <w:color w:val="auto"/>
          <w:sz w:val="32"/>
          <w:szCs w:val="32"/>
          <w:lang w:val="en-US" w:eastAsia="zh-CN"/>
        </w:rPr>
        <w:t>3</w:t>
      </w:r>
      <w:r>
        <w:rPr>
          <w:rFonts w:hint="eastAsia" w:ascii="仿宋_GB2312" w:eastAsia="仿宋_GB2312"/>
          <w:color w:val="auto"/>
          <w:sz w:val="32"/>
          <w:szCs w:val="32"/>
        </w:rPr>
        <w:t>号）</w:t>
      </w:r>
      <w:r>
        <w:rPr>
          <w:rFonts w:hint="eastAsia" w:ascii="仿宋_GB2312"/>
          <w:color w:val="auto"/>
          <w:sz w:val="32"/>
          <w:szCs w:val="32"/>
          <w:lang w:val="en-US" w:eastAsia="zh-CN"/>
        </w:rPr>
        <w:t>文件</w:t>
      </w:r>
      <w:r>
        <w:rPr>
          <w:rFonts w:hint="eastAsia" w:ascii="仿宋_GB2312" w:eastAsia="仿宋_GB2312"/>
          <w:color w:val="auto"/>
          <w:sz w:val="32"/>
          <w:szCs w:val="32"/>
        </w:rPr>
        <w:t>要求，现将《阿坝州人民政府办公室</w:t>
      </w:r>
      <w:r>
        <w:rPr>
          <w:rFonts w:hint="eastAsia" w:ascii="仿宋_GB2312" w:eastAsia="仿宋_GB2312"/>
          <w:color w:val="auto"/>
          <w:sz w:val="32"/>
          <w:szCs w:val="32"/>
          <w:lang w:val="en-US" w:eastAsia="zh-CN"/>
        </w:rPr>
        <w:t>202</w:t>
      </w:r>
      <w:r>
        <w:rPr>
          <w:rFonts w:hint="eastAsia" w:ascii="仿宋_GB2312"/>
          <w:color w:val="auto"/>
          <w:sz w:val="32"/>
          <w:szCs w:val="32"/>
          <w:lang w:val="en-US" w:eastAsia="zh-CN"/>
        </w:rPr>
        <w:t>5</w:t>
      </w:r>
      <w:r>
        <w:rPr>
          <w:rFonts w:hint="eastAsia" w:ascii="仿宋_GB2312" w:eastAsia="仿宋_GB2312"/>
          <w:color w:val="auto"/>
          <w:sz w:val="32"/>
          <w:szCs w:val="32"/>
        </w:rPr>
        <w:t>年部门</w:t>
      </w:r>
      <w:r>
        <w:rPr>
          <w:rFonts w:hint="eastAsia" w:ascii="仿宋_GB2312"/>
          <w:color w:val="auto"/>
          <w:sz w:val="32"/>
          <w:szCs w:val="32"/>
          <w:lang w:val="en-US" w:eastAsia="zh-CN"/>
        </w:rPr>
        <w:t>预算</w:t>
      </w:r>
      <w:r>
        <w:rPr>
          <w:rFonts w:hint="eastAsia" w:ascii="仿宋_GB2312" w:eastAsia="仿宋_GB2312"/>
          <w:color w:val="auto"/>
          <w:sz w:val="32"/>
          <w:szCs w:val="32"/>
        </w:rPr>
        <w:t>绩效</w:t>
      </w:r>
      <w:r>
        <w:rPr>
          <w:rFonts w:hint="eastAsia" w:ascii="仿宋_GB2312" w:eastAsia="仿宋_GB2312"/>
          <w:color w:val="auto"/>
          <w:sz w:val="32"/>
          <w:szCs w:val="32"/>
          <w:lang w:val="en-US" w:eastAsia="zh-CN"/>
        </w:rPr>
        <w:t>评价</w:t>
      </w:r>
      <w:r>
        <w:rPr>
          <w:rFonts w:hint="eastAsia" w:ascii="仿宋_GB2312" w:eastAsia="仿宋_GB2312"/>
          <w:color w:val="auto"/>
          <w:sz w:val="32"/>
          <w:szCs w:val="32"/>
        </w:rPr>
        <w:t>报告》报送你局，请审阅。</w:t>
      </w:r>
    </w:p>
    <w:p w14:paraId="1A3747D2">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此函。</w:t>
      </w:r>
    </w:p>
    <w:p w14:paraId="1A9B8C14">
      <w:pPr>
        <w:spacing w:line="560" w:lineRule="exact"/>
        <w:ind w:firstLine="640" w:firstLineChars="200"/>
        <w:rPr>
          <w:rFonts w:hint="eastAsia" w:ascii="仿宋_GB2312" w:eastAsia="仿宋_GB2312"/>
          <w:color w:val="auto"/>
          <w:sz w:val="32"/>
          <w:szCs w:val="32"/>
        </w:rPr>
      </w:pPr>
    </w:p>
    <w:p w14:paraId="26774F6E">
      <w:pPr>
        <w:spacing w:line="560" w:lineRule="exact"/>
        <w:ind w:firstLine="640" w:firstLineChars="200"/>
        <w:rPr>
          <w:rFonts w:hint="eastAsia" w:ascii="仿宋_GB2312" w:eastAsia="仿宋_GB2312"/>
          <w:color w:val="auto"/>
          <w:sz w:val="32"/>
          <w:szCs w:val="32"/>
        </w:rPr>
      </w:pPr>
    </w:p>
    <w:p w14:paraId="35E673EE">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                           阿坝州人民政府办公室</w:t>
      </w:r>
    </w:p>
    <w:p w14:paraId="6E72C84D">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                              20</w:t>
      </w:r>
      <w:r>
        <w:rPr>
          <w:rFonts w:hint="eastAsia" w:ascii="仿宋_GB2312" w:eastAsia="仿宋_GB2312"/>
          <w:color w:val="auto"/>
          <w:sz w:val="32"/>
          <w:szCs w:val="32"/>
          <w:lang w:val="en-US" w:eastAsia="zh-CN"/>
        </w:rPr>
        <w:t>2</w:t>
      </w:r>
      <w:r>
        <w:rPr>
          <w:rFonts w:hint="eastAsia" w:ascii="仿宋_GB2312"/>
          <w:color w:val="auto"/>
          <w:sz w:val="32"/>
          <w:szCs w:val="32"/>
          <w:lang w:val="en-US" w:eastAsia="zh-CN"/>
        </w:rPr>
        <w:t>5</w:t>
      </w:r>
      <w:r>
        <w:rPr>
          <w:rFonts w:hint="eastAsia" w:ascii="仿宋_GB2312" w:eastAsia="仿宋_GB2312"/>
          <w:color w:val="auto"/>
          <w:sz w:val="32"/>
          <w:szCs w:val="32"/>
        </w:rPr>
        <w:t>年</w:t>
      </w:r>
      <w:r>
        <w:rPr>
          <w:rFonts w:hint="eastAsia" w:ascii="仿宋_GB2312"/>
          <w:color w:val="auto"/>
          <w:sz w:val="32"/>
          <w:szCs w:val="32"/>
          <w:lang w:val="en-US" w:eastAsia="zh-CN"/>
        </w:rPr>
        <w:t>3</w:t>
      </w:r>
      <w:r>
        <w:rPr>
          <w:rFonts w:hint="eastAsia" w:ascii="仿宋_GB2312" w:eastAsia="仿宋_GB2312"/>
          <w:color w:val="auto"/>
          <w:sz w:val="32"/>
          <w:szCs w:val="32"/>
        </w:rPr>
        <w:t>月25日</w:t>
      </w:r>
    </w:p>
    <w:p w14:paraId="58963DB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ascii="Times New Roman" w:hAnsi="Times New Roman" w:eastAsia="宋体" w:cs="Times New Roman"/>
          <w:b/>
          <w:color w:val="auto"/>
          <w:sz w:val="44"/>
          <w:szCs w:val="44"/>
          <w:highlight w:val="none"/>
          <w:shd w:val="clear" w:color="auto" w:fill="FFFFFF"/>
        </w:rPr>
      </w:pPr>
    </w:p>
    <w:p w14:paraId="4D2DC79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6337683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657A9D9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7609A9B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1FE2C1A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1524250D">
      <w:pPr>
        <w:pStyle w:val="18"/>
        <w:rPr>
          <w:rFonts w:hint="eastAsia"/>
          <w:color w:val="auto"/>
          <w:lang w:val="en-US" w:eastAsia="zh-CN"/>
        </w:rPr>
      </w:pPr>
    </w:p>
    <w:p w14:paraId="5A41DB8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p>
    <w:p w14:paraId="34A61AA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color w:val="auto"/>
          <w:sz w:val="44"/>
          <w:szCs w:val="44"/>
          <w:highlight w:val="none"/>
          <w:shd w:val="clear" w:color="auto" w:fill="FFFFFF"/>
          <w:lang w:val="en-US" w:eastAsia="zh-CN"/>
        </w:rPr>
      </w:pPr>
      <w:r>
        <w:rPr>
          <w:rFonts w:hint="eastAsia" w:eastAsia="方正小标宋简体" w:cs="Times New Roman"/>
          <w:b w:val="0"/>
          <w:bCs/>
          <w:color w:val="auto"/>
          <w:sz w:val="44"/>
          <w:szCs w:val="44"/>
          <w:highlight w:val="none"/>
          <w:shd w:val="clear" w:color="auto" w:fill="FFFFFF"/>
          <w:lang w:val="en-US" w:eastAsia="zh-CN"/>
        </w:rPr>
        <w:t>阿坝州人民政府办公室</w:t>
      </w:r>
    </w:p>
    <w:p w14:paraId="75E5AAA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color w:val="auto"/>
          <w:sz w:val="44"/>
          <w:szCs w:val="44"/>
          <w:highlight w:val="none"/>
          <w:shd w:val="clear" w:color="auto" w:fill="FFFFFF"/>
        </w:rPr>
      </w:pPr>
      <w:r>
        <w:rPr>
          <w:rFonts w:ascii="Times New Roman" w:hAnsi="Times New Roman" w:eastAsia="方正小标宋简体" w:cs="Times New Roman"/>
          <w:b w:val="0"/>
          <w:bCs/>
          <w:color w:val="auto"/>
          <w:sz w:val="44"/>
          <w:szCs w:val="44"/>
          <w:highlight w:val="none"/>
          <w:shd w:val="clear" w:color="auto" w:fill="FFFFFF"/>
        </w:rPr>
        <w:t>部门</w:t>
      </w:r>
      <w:r>
        <w:rPr>
          <w:rFonts w:ascii="Times New Roman" w:hAnsi="Times New Roman" w:eastAsia="方正小标宋简体" w:cs="Times New Roman"/>
          <w:b w:val="0"/>
          <w:bCs/>
          <w:color w:val="auto"/>
          <w:sz w:val="44"/>
          <w:szCs w:val="44"/>
          <w:highlight w:val="none"/>
          <w:shd w:val="clear" w:color="auto" w:fill="FFFFFF"/>
          <w:lang w:eastAsia="zh-CN"/>
        </w:rPr>
        <w:t>预算</w:t>
      </w:r>
      <w:r>
        <w:rPr>
          <w:rFonts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ascii="Times New Roman" w:hAnsi="Times New Roman" w:eastAsia="方正小标宋简体" w:cs="Times New Roman"/>
          <w:b w:val="0"/>
          <w:bCs/>
          <w:color w:val="auto"/>
          <w:sz w:val="44"/>
          <w:szCs w:val="44"/>
          <w:highlight w:val="none"/>
          <w:shd w:val="clear" w:color="auto" w:fill="FFFFFF"/>
        </w:rPr>
        <w:t>报告</w:t>
      </w:r>
    </w:p>
    <w:p w14:paraId="1A716AB1">
      <w:pPr>
        <w:pStyle w:val="2"/>
        <w:ind w:left="0" w:leftChars="0" w:firstLine="0" w:firstLineChars="0"/>
        <w:jc w:val="center"/>
        <w:rPr>
          <w:rFonts w:hint="eastAsia" w:eastAsia="方正小标宋简体"/>
          <w:sz w:val="32"/>
          <w:szCs w:val="32"/>
          <w:lang w:eastAsia="zh-CN"/>
        </w:rPr>
      </w:pPr>
      <w:r>
        <w:rPr>
          <w:rFonts w:hint="eastAsia" w:eastAsia="方正小标宋简体" w:cs="Times New Roman"/>
          <w:b w:val="0"/>
          <w:bCs/>
          <w:color w:val="auto"/>
          <w:sz w:val="32"/>
          <w:szCs w:val="32"/>
          <w:highlight w:val="none"/>
          <w:shd w:val="clear" w:color="auto" w:fill="FFFFFF"/>
          <w:lang w:eastAsia="zh-CN"/>
        </w:rPr>
        <w:t>（</w:t>
      </w:r>
      <w:r>
        <w:rPr>
          <w:rFonts w:hint="eastAsia" w:eastAsia="方正小标宋简体" w:cs="Times New Roman"/>
          <w:b w:val="0"/>
          <w:bCs/>
          <w:color w:val="auto"/>
          <w:sz w:val="32"/>
          <w:szCs w:val="32"/>
          <w:highlight w:val="none"/>
          <w:shd w:val="clear" w:color="auto" w:fill="FFFFFF"/>
          <w:lang w:val="en-US" w:eastAsia="zh-CN"/>
        </w:rPr>
        <w:t>含事业单位资金</w:t>
      </w:r>
      <w:r>
        <w:rPr>
          <w:rFonts w:hint="eastAsia" w:eastAsia="方正小标宋简体" w:cs="Times New Roman"/>
          <w:b w:val="0"/>
          <w:bCs/>
          <w:color w:val="auto"/>
          <w:sz w:val="32"/>
          <w:szCs w:val="32"/>
          <w:highlight w:val="none"/>
          <w:shd w:val="clear" w:color="auto" w:fill="FFFFFF"/>
          <w:lang w:eastAsia="zh-CN"/>
        </w:rPr>
        <w:t>）</w:t>
      </w:r>
    </w:p>
    <w:p w14:paraId="458D02DD">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黑体" w:hAnsi="黑体" w:eastAsia="黑体" w:cs="黑体"/>
          <w:color w:val="auto"/>
          <w:sz w:val="32"/>
          <w:szCs w:val="32"/>
        </w:rPr>
      </w:pPr>
      <w:r>
        <w:rPr>
          <w:rFonts w:hint="eastAsia" w:ascii="黑体" w:hAnsi="黑体" w:eastAsia="黑体" w:cs="黑体"/>
          <w:color w:val="auto"/>
          <w:kern w:val="0"/>
          <w:sz w:val="32"/>
          <w:szCs w:val="32"/>
          <w:highlight w:val="none"/>
          <w:shd w:val="clear" w:color="auto" w:fill="FFFFFF"/>
          <w:lang w:val="zh-CN"/>
        </w:rPr>
        <w:t>一、基本情况</w:t>
      </w:r>
    </w:p>
    <w:p w14:paraId="1CB04AEE">
      <w:pPr>
        <w:widowControl/>
        <w:adjustRightInd w:val="0"/>
        <w:snapToGrid w:val="0"/>
        <w:spacing w:line="580" w:lineRule="exact"/>
        <w:ind w:firstLine="643" w:firstLineChars="200"/>
        <w:contextualSpacing/>
        <w:jc w:val="left"/>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p>
    <w:p w14:paraId="77CA4AC6">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州政府办公室为州本级一级预算单位，独立核算机构2个，由行政单位州政府办公室和事业单位（州政府信息公开和电子政务服务中心、州政府发展研究中心等）组成。</w:t>
      </w:r>
    </w:p>
    <w:p w14:paraId="630E2419">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机构职能</w:t>
      </w:r>
    </w:p>
    <w:p w14:paraId="3039A51D">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预算单位“州政府办公室”职能：协助州政府领导同志组织起草或审核以州政府、州政府办公室名义发布的公文；办理省政府办公厅及各厅局发送州政府的文电。指导全州行政机关公文处理工作；研究州政府部门和县政府请示州政府的事项，提出审核意见，报州政府领导同志审批；负责州政府会议的准备工作，协助州政府领导同志组织实施会议决定事项；根据州政府领导同志的指示，对政府部门间出现的争议问题提出处理意见和建议，报州政府领导同志决定；督促检查州政府部门和县政府对州政府会议决定事项及州政府领导同志指示的贯彻落实情况，及时向州政府领导同志报告；负责州政府值班工作，指导县政府和州政府部门值班工作，及时报告重要情况；指导、监督全州政府信息公开工作和机关行政效能建设工作，指导、监督全州政府系统电子政务工作和政府网站建设；组织办理涉及州政府工作的人大代表议案、批评、建议和政协委员建议案、提案工作；指导全州应急管理工作，协助州政府领导同志做好需由州政府组织处理的突发事件的应急处置工作；围绕州政府中心工作和州政府领导同志指示，组织专题调查研究，及时反映情况，提出政策性建议；做好机关事务工作，为州政府领导同志服好务；承办州政府和州政府领导交办的其他事项。</w:t>
      </w:r>
    </w:p>
    <w:p w14:paraId="52F198F1">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预算单位“州政府电子政务服务中心”职能：承担推进、指导、协调全州政府信息公开和政府系统电子政务工作等职责。</w:t>
      </w:r>
    </w:p>
    <w:p w14:paraId="4E9BEB2B">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人员概况</w:t>
      </w:r>
    </w:p>
    <w:p w14:paraId="5DD0AB3B">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shd w:val="clear" w:color="auto" w:fill="FFFFFF"/>
          <w:lang w:val="en-US" w:eastAsia="zh-CN"/>
        </w:rPr>
        <w:t>截止2025年12月我办总编制数133个，其中</w:t>
      </w:r>
      <w:bookmarkStart w:id="52" w:name="OLE_LINK1"/>
      <w:r>
        <w:rPr>
          <w:rFonts w:hint="eastAsia" w:ascii="仿宋_GB2312" w:hAnsi="仿宋_GB2312" w:eastAsia="仿宋_GB2312" w:cs="仿宋_GB2312"/>
          <w:color w:val="auto"/>
          <w:kern w:val="0"/>
          <w:sz w:val="32"/>
          <w:szCs w:val="32"/>
          <w:shd w:val="clear" w:color="auto" w:fill="FFFFFF"/>
          <w:lang w:val="en-US" w:eastAsia="zh-CN"/>
        </w:rPr>
        <w:t>:行政机</w:t>
      </w:r>
      <w:bookmarkEnd w:id="52"/>
      <w:r>
        <w:rPr>
          <w:rFonts w:hint="eastAsia" w:ascii="仿宋_GB2312" w:hAnsi="仿宋_GB2312" w:eastAsia="仿宋_GB2312" w:cs="仿宋_GB2312"/>
          <w:color w:val="auto"/>
          <w:kern w:val="0"/>
          <w:sz w:val="32"/>
          <w:szCs w:val="32"/>
          <w:shd w:val="clear" w:color="auto" w:fill="FFFFFF"/>
          <w:lang w:val="en-US" w:eastAsia="zh-CN"/>
        </w:rPr>
        <w:t>关总编制(含挂靠、管理部门）88个,事业单位总编制数45个,</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年末实有人数为</w:t>
      </w:r>
      <w:r>
        <w:rPr>
          <w:rFonts w:hint="eastAsia" w:ascii="仿宋_GB2312" w:hAnsi="仿宋_GB2312" w:eastAsia="仿宋_GB2312" w:cs="仿宋_GB2312"/>
          <w:color w:val="auto"/>
          <w:sz w:val="32"/>
          <w:szCs w:val="32"/>
          <w:lang w:val="en-US" w:eastAsia="zh-CN"/>
        </w:rPr>
        <w:t>107</w:t>
      </w:r>
      <w:r>
        <w:rPr>
          <w:rFonts w:hint="eastAsia" w:ascii="仿宋_GB2312" w:hAnsi="仿宋_GB2312" w:eastAsia="仿宋_GB2312" w:cs="仿宋_GB2312"/>
          <w:color w:val="auto"/>
          <w:sz w:val="32"/>
          <w:szCs w:val="32"/>
        </w:rPr>
        <w:t>人，比上年</w:t>
      </w:r>
      <w:r>
        <w:rPr>
          <w:rFonts w:hint="eastAsia" w:ascii="仿宋_GB2312" w:hAnsi="仿宋_GB2312" w:eastAsia="仿宋_GB2312" w:cs="仿宋_GB2312"/>
          <w:color w:val="auto"/>
          <w:sz w:val="32"/>
          <w:szCs w:val="32"/>
          <w:lang w:val="en-US" w:eastAsia="zh-CN"/>
        </w:rPr>
        <w:t>增加8</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Style w:val="40"/>
          <w:rFonts w:hint="eastAsia" w:ascii="仿宋_GB2312" w:hAnsi="仿宋_GB2312" w:eastAsia="仿宋_GB2312" w:cs="仿宋_GB2312"/>
          <w:sz w:val="32"/>
          <w:szCs w:val="32"/>
        </w:rPr>
        <w:t>变动情况及原因为</w:t>
      </w:r>
      <w:r>
        <w:rPr>
          <w:rStyle w:val="40"/>
          <w:rFonts w:hint="eastAsia" w:ascii="仿宋_GB2312" w:hAnsi="仿宋_GB2312" w:eastAsia="仿宋_GB2312" w:cs="仿宋_GB2312"/>
          <w:b w:val="0"/>
          <w:bCs/>
          <w:sz w:val="32"/>
          <w:szCs w:val="32"/>
          <w:lang w:val="en-US" w:eastAsia="zh-CN"/>
        </w:rPr>
        <w:t>机构改革人员划转及</w:t>
      </w:r>
      <w:r>
        <w:rPr>
          <w:rFonts w:hint="eastAsia" w:ascii="仿宋_GB2312" w:hAnsi="仿宋_GB2312" w:eastAsia="仿宋_GB2312" w:cs="仿宋_GB2312"/>
          <w:b w:val="0"/>
          <w:bCs/>
          <w:sz w:val="32"/>
          <w:szCs w:val="32"/>
        </w:rPr>
        <w:t>人</w:t>
      </w:r>
      <w:r>
        <w:rPr>
          <w:rFonts w:hint="eastAsia" w:ascii="仿宋_GB2312" w:hAnsi="仿宋_GB2312" w:eastAsia="仿宋_GB2312" w:cs="仿宋_GB2312"/>
          <w:sz w:val="32"/>
          <w:szCs w:val="32"/>
        </w:rPr>
        <w:t>员调进调出影响。</w:t>
      </w:r>
    </w:p>
    <w:p w14:paraId="403DD7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rPr>
        <w:t>二、</w:t>
      </w:r>
      <w:r>
        <w:rPr>
          <w:rFonts w:hint="eastAsia" w:ascii="黑体" w:hAnsi="黑体" w:eastAsia="黑体" w:cs="黑体"/>
          <w:color w:val="auto"/>
          <w:kern w:val="0"/>
          <w:sz w:val="32"/>
          <w:szCs w:val="32"/>
          <w:highlight w:val="none"/>
          <w:shd w:val="clear" w:color="auto" w:fill="FFFFFF"/>
          <w:lang w:eastAsia="zh-CN"/>
        </w:rPr>
        <w:t>部门</w:t>
      </w:r>
      <w:r>
        <w:rPr>
          <w:rFonts w:hint="eastAsia" w:ascii="黑体" w:hAnsi="黑体" w:eastAsia="黑体" w:cs="黑体"/>
          <w:color w:val="auto"/>
          <w:kern w:val="0"/>
          <w:sz w:val="32"/>
          <w:szCs w:val="32"/>
          <w:highlight w:val="none"/>
          <w:shd w:val="clear" w:color="auto" w:fill="FFFFFF"/>
        </w:rPr>
        <w:t>资金收支情况</w:t>
      </w:r>
    </w:p>
    <w:p w14:paraId="601348DD">
      <w:pPr>
        <w:snapToGrid w:val="0"/>
        <w:spacing w:line="520" w:lineRule="exact"/>
        <w:ind w:firstLine="643" w:firstLineChars="200"/>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（一）收入情况</w:t>
      </w:r>
    </w:p>
    <w:p w14:paraId="3BD46F73">
      <w:pPr>
        <w:snapToGrid w:val="0"/>
        <w:spacing w:line="52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本单位本年度总收入为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996.21</w:t>
      </w:r>
      <w:r>
        <w:rPr>
          <w:rFonts w:hint="eastAsia" w:ascii="仿宋_GB2312" w:hAnsi="仿宋_GB2312" w:eastAsia="仿宋_GB2312" w:cs="仿宋_GB2312"/>
          <w:color w:val="auto"/>
          <w:sz w:val="32"/>
          <w:szCs w:val="32"/>
        </w:rPr>
        <w:t>万元。其中：一般公共预算财政拨款收入为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996.21</w:t>
      </w:r>
      <w:r>
        <w:rPr>
          <w:rFonts w:hint="eastAsia" w:ascii="仿宋_GB2312" w:hAnsi="仿宋_GB2312" w:eastAsia="仿宋_GB2312" w:cs="仿宋_GB2312"/>
          <w:color w:val="auto"/>
          <w:sz w:val="32"/>
          <w:szCs w:val="32"/>
        </w:rPr>
        <w:t>万元，占比</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Style w:val="40"/>
          <w:rFonts w:hint="eastAsia" w:ascii="仿宋_GB2312" w:hAnsi="仿宋_GB2312" w:eastAsia="仿宋_GB2312" w:cs="仿宋_GB2312"/>
          <w:b w:val="0"/>
          <w:bCs/>
          <w:color w:val="auto"/>
          <w:sz w:val="32"/>
          <w:szCs w:val="32"/>
        </w:rPr>
        <w:t>。</w:t>
      </w:r>
      <w:r>
        <w:rPr>
          <w:rStyle w:val="40"/>
          <w:rFonts w:hint="eastAsia" w:ascii="仿宋_GB2312" w:hAnsi="仿宋_GB2312" w:eastAsia="仿宋_GB2312" w:cs="仿宋_GB2312"/>
          <w:b w:val="0"/>
          <w:bCs/>
          <w:color w:val="auto"/>
          <w:sz w:val="32"/>
          <w:szCs w:val="32"/>
          <w:lang w:val="en-US" w:eastAsia="zh-CN"/>
        </w:rPr>
        <w:t>上年结转非同级财政拨款资金45.16万元，共计资金</w:t>
      </w:r>
      <w:r>
        <w:rPr>
          <w:rFonts w:hint="eastAsia" w:ascii="仿宋_GB2312" w:hAnsi="仿宋_GB2312" w:eastAsia="仿宋_GB2312" w:cs="仿宋_GB2312"/>
          <w:sz w:val="32"/>
          <w:szCs w:val="32"/>
          <w:lang w:val="en-US" w:eastAsia="zh-CN"/>
        </w:rPr>
        <w:t>10，041.37</w:t>
      </w:r>
      <w:r>
        <w:rPr>
          <w:rStyle w:val="40"/>
          <w:rFonts w:hint="eastAsia" w:ascii="仿宋_GB2312" w:hAnsi="仿宋_GB2312" w:eastAsia="仿宋_GB2312" w:cs="仿宋_GB2312"/>
          <w:b w:val="0"/>
          <w:bCs/>
          <w:color w:val="auto"/>
          <w:sz w:val="32"/>
          <w:szCs w:val="32"/>
          <w:lang w:val="en-US" w:eastAsia="zh-CN"/>
        </w:rPr>
        <w:t>万元</w:t>
      </w:r>
      <w:r>
        <w:rPr>
          <w:rFonts w:hint="eastAsia" w:ascii="仿宋_GB2312" w:hAnsi="仿宋_GB2312" w:eastAsia="仿宋_GB2312" w:cs="仿宋_GB2312"/>
          <w:color w:val="auto"/>
          <w:sz w:val="32"/>
          <w:szCs w:val="32"/>
          <w:lang w:val="en-US" w:eastAsia="zh-CN"/>
        </w:rPr>
        <w:t>。</w:t>
      </w:r>
    </w:p>
    <w:p w14:paraId="5B21201D">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3" w:firstLine="643"/>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支出情况</w:t>
      </w:r>
    </w:p>
    <w:p w14:paraId="503F64C2">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本年度总支出为</w:t>
      </w:r>
      <w:r>
        <w:rPr>
          <w:rFonts w:hint="eastAsia" w:ascii="仿宋_GB2312" w:hAnsi="仿宋_GB2312" w:eastAsia="仿宋_GB2312" w:cs="仿宋_GB2312"/>
          <w:sz w:val="32"/>
          <w:szCs w:val="32"/>
          <w:lang w:val="en-US" w:eastAsia="zh-CN"/>
        </w:rPr>
        <w:t>10,022.4</w:t>
      </w:r>
      <w:r>
        <w:rPr>
          <w:rFonts w:hint="eastAsia" w:ascii="仿宋_GB2312" w:hAnsi="仿宋_GB2312" w:eastAsia="仿宋_GB2312" w:cs="仿宋_GB2312"/>
          <w:sz w:val="32"/>
          <w:szCs w:val="32"/>
        </w:rPr>
        <w:t>万元。其中：一般公共服务支出为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606.03</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55.94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社会保障和就业支出为420.44万元，占比4.2</w:t>
      </w:r>
      <w:r>
        <w:rPr>
          <w:rFonts w:hint="eastAsia" w:ascii="仿宋_GB2312" w:hAnsi="仿宋_GB2312" w:eastAsia="仿宋_GB2312" w:cs="仿宋_GB2312"/>
          <w:sz w:val="32"/>
          <w:szCs w:val="32"/>
        </w:rPr>
        <w:t>%；卫生健康支出为</w:t>
      </w:r>
      <w:r>
        <w:rPr>
          <w:rFonts w:hint="eastAsia" w:ascii="仿宋_GB2312" w:hAnsi="仿宋_GB2312" w:eastAsia="仿宋_GB2312" w:cs="仿宋_GB2312"/>
          <w:sz w:val="32"/>
          <w:szCs w:val="32"/>
          <w:lang w:val="en-US" w:eastAsia="zh-CN"/>
        </w:rPr>
        <w:t>151.12</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1.51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资源勘探工业信息等支出3,627.15万元,</w:t>
      </w:r>
      <w:r>
        <w:rPr>
          <w:rFonts w:hint="eastAsia" w:ascii="仿宋_GB2312" w:hAnsi="仿宋_GB2312" w:eastAsia="仿宋_GB2312" w:cs="仿宋_GB2312"/>
          <w:sz w:val="32"/>
          <w:szCs w:val="32"/>
        </w:rPr>
        <w:t>占比</w:t>
      </w:r>
      <w:r>
        <w:rPr>
          <w:rFonts w:hint="eastAsia" w:ascii="仿宋_GB2312" w:hAnsi="仿宋_GB2312" w:eastAsia="仿宋_GB2312" w:cs="仿宋_GB2312"/>
          <w:sz w:val="32"/>
          <w:szCs w:val="32"/>
          <w:lang w:val="en-US" w:eastAsia="zh-CN"/>
        </w:rPr>
        <w:t>36.19</w:t>
      </w:r>
      <w:r>
        <w:rPr>
          <w:rFonts w:hint="eastAsia" w:ascii="仿宋_GB2312" w:hAnsi="仿宋_GB2312" w:eastAsia="仿宋_GB2312" w:cs="仿宋_GB2312"/>
          <w:sz w:val="32"/>
          <w:szCs w:val="32"/>
        </w:rPr>
        <w:t>%；住房保障支出为</w:t>
      </w:r>
      <w:r>
        <w:rPr>
          <w:rFonts w:hint="eastAsia" w:ascii="仿宋_GB2312" w:hAnsi="仿宋_GB2312" w:eastAsia="仿宋_GB2312" w:cs="仿宋_GB2312"/>
          <w:sz w:val="32"/>
          <w:szCs w:val="32"/>
          <w:lang w:val="en-US" w:eastAsia="zh-CN"/>
        </w:rPr>
        <w:t>217.65</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2.16</w:t>
      </w:r>
      <w:r>
        <w:rPr>
          <w:rFonts w:hint="eastAsia" w:ascii="仿宋_GB2312" w:hAnsi="仿宋_GB2312" w:eastAsia="仿宋_GB2312" w:cs="仿宋_GB2312"/>
          <w:sz w:val="32"/>
          <w:szCs w:val="32"/>
        </w:rPr>
        <w:t>%。</w:t>
      </w:r>
    </w:p>
    <w:p w14:paraId="503C45F5">
      <w:pPr>
        <w:numPr>
          <w:ilvl w:val="0"/>
          <w:numId w:val="3"/>
        </w:numPr>
        <w:snapToGrid w:val="0"/>
        <w:spacing w:line="520" w:lineRule="exact"/>
        <w:ind w:left="-3" w:firstLine="643"/>
        <w:rPr>
          <w:rFonts w:hint="eastAsia" w:ascii="楷体_GB2312" w:hAnsi="楷体_GB2312" w:eastAsia="楷体_GB2312" w:cs="楷体_GB2312"/>
          <w:b/>
          <w:color w:val="auto"/>
          <w:sz w:val="32"/>
          <w:szCs w:val="32"/>
          <w:lang w:eastAsia="zh-CN"/>
        </w:rPr>
      </w:pPr>
      <w:r>
        <w:rPr>
          <w:rFonts w:hint="eastAsia" w:ascii="楷体_GB2312" w:hAnsi="楷体_GB2312" w:eastAsia="楷体_GB2312" w:cs="楷体_GB2312"/>
          <w:b/>
          <w:color w:val="auto"/>
          <w:sz w:val="32"/>
          <w:szCs w:val="32"/>
        </w:rPr>
        <w:t>结余分配和结转结余情况</w:t>
      </w:r>
    </w:p>
    <w:p w14:paraId="0B02AC8C">
      <w:pPr>
        <w:numPr>
          <w:ilvl w:val="0"/>
          <w:numId w:val="0"/>
        </w:numPr>
        <w:snapToGrid w:val="0"/>
        <w:spacing w:line="560" w:lineRule="exact"/>
        <w:ind w:firstLine="640" w:firstLineChars="200"/>
        <w:rPr>
          <w:rFonts w:hint="eastAsia" w:ascii="仿宋_GB2312" w:hAnsi="仿宋_GB2312" w:eastAsia="仿宋_GB2312" w:cs="仿宋_GB2312"/>
          <w:sz w:val="32"/>
          <w:szCs w:val="32"/>
          <w:highlight w:val="none"/>
        </w:rPr>
      </w:pPr>
      <w:r>
        <w:rPr>
          <w:rStyle w:val="40"/>
          <w:rFonts w:hint="eastAsia" w:ascii="仿宋_GB2312" w:hAnsi="仿宋_GB2312" w:eastAsia="仿宋_GB2312" w:cs="仿宋_GB2312"/>
          <w:b w:val="0"/>
          <w:bCs/>
          <w:sz w:val="32"/>
          <w:szCs w:val="32"/>
        </w:rPr>
        <w:t>202</w:t>
      </w:r>
      <w:r>
        <w:rPr>
          <w:rStyle w:val="40"/>
          <w:rFonts w:hint="eastAsia" w:ascii="仿宋_GB2312" w:hAnsi="仿宋_GB2312" w:eastAsia="仿宋_GB2312" w:cs="仿宋_GB2312"/>
          <w:b w:val="0"/>
          <w:bCs/>
          <w:sz w:val="32"/>
          <w:szCs w:val="32"/>
          <w:lang w:val="en-US" w:eastAsia="zh-CN"/>
        </w:rPr>
        <w:t>5</w:t>
      </w:r>
      <w:r>
        <w:rPr>
          <w:rStyle w:val="40"/>
          <w:rFonts w:hint="eastAsia" w:ascii="仿宋_GB2312" w:hAnsi="仿宋_GB2312" w:eastAsia="仿宋_GB2312" w:cs="仿宋_GB2312"/>
          <w:b w:val="0"/>
          <w:bCs/>
          <w:sz w:val="32"/>
          <w:szCs w:val="32"/>
        </w:rPr>
        <w:t>年结转非同级财政拨款资金</w:t>
      </w:r>
      <w:r>
        <w:rPr>
          <w:rStyle w:val="40"/>
          <w:rFonts w:hint="eastAsia" w:ascii="仿宋_GB2312" w:hAnsi="仿宋_GB2312" w:eastAsia="仿宋_GB2312" w:cs="仿宋_GB2312"/>
          <w:b w:val="0"/>
          <w:bCs/>
          <w:sz w:val="32"/>
          <w:szCs w:val="32"/>
          <w:lang w:val="en-US" w:eastAsia="zh-CN"/>
        </w:rPr>
        <w:t>18.97</w:t>
      </w:r>
      <w:r>
        <w:rPr>
          <w:rStyle w:val="40"/>
          <w:rFonts w:hint="eastAsia" w:ascii="仿宋_GB2312" w:hAnsi="仿宋_GB2312" w:eastAsia="仿宋_GB2312" w:cs="仿宋_GB2312"/>
          <w:b w:val="0"/>
          <w:bCs/>
          <w:sz w:val="32"/>
          <w:szCs w:val="32"/>
        </w:rPr>
        <w:t>万元。其中对口支援提质增效培训费0.6万元，公安处地块安置赔付款</w:t>
      </w:r>
      <w:r>
        <w:rPr>
          <w:rStyle w:val="40"/>
          <w:rFonts w:hint="eastAsia" w:ascii="仿宋_GB2312" w:hAnsi="仿宋_GB2312" w:eastAsia="仿宋_GB2312" w:cs="仿宋_GB2312"/>
          <w:b w:val="0"/>
          <w:bCs/>
          <w:sz w:val="32"/>
          <w:szCs w:val="32"/>
          <w:lang w:val="en-US" w:eastAsia="zh-CN"/>
        </w:rPr>
        <w:t>18.37</w:t>
      </w:r>
      <w:r>
        <w:rPr>
          <w:rStyle w:val="40"/>
          <w:rFonts w:hint="eastAsia" w:ascii="仿宋_GB2312" w:hAnsi="仿宋_GB2312" w:eastAsia="仿宋_GB2312" w:cs="仿宋_GB2312"/>
          <w:b w:val="0"/>
          <w:bCs/>
          <w:sz w:val="32"/>
          <w:szCs w:val="32"/>
        </w:rPr>
        <w:t>万元。</w:t>
      </w:r>
    </w:p>
    <w:p w14:paraId="1F6E71D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rPr>
        <w:t>三、</w:t>
      </w:r>
      <w:r>
        <w:rPr>
          <w:rFonts w:hint="eastAsia" w:ascii="黑体" w:hAnsi="黑体" w:eastAsia="黑体" w:cs="黑体"/>
          <w:color w:val="auto"/>
          <w:kern w:val="0"/>
          <w:sz w:val="32"/>
          <w:szCs w:val="32"/>
          <w:highlight w:val="none"/>
          <w:u w:val="none"/>
          <w:shd w:val="clear" w:color="auto" w:fill="FFFFFF"/>
        </w:rPr>
        <w:t>部门</w:t>
      </w:r>
      <w:r>
        <w:rPr>
          <w:rFonts w:hint="eastAsia" w:ascii="黑体" w:hAnsi="黑体" w:eastAsia="黑体" w:cs="黑体"/>
          <w:color w:val="auto"/>
          <w:kern w:val="0"/>
          <w:sz w:val="32"/>
          <w:szCs w:val="32"/>
          <w:highlight w:val="none"/>
          <w:u w:val="none"/>
          <w:shd w:val="clear" w:color="auto" w:fill="FFFFFF"/>
          <w:lang w:eastAsia="zh-CN"/>
        </w:rPr>
        <w:t>预算</w:t>
      </w:r>
      <w:r>
        <w:rPr>
          <w:rFonts w:hint="eastAsia" w:ascii="黑体" w:hAnsi="黑体" w:eastAsia="黑体" w:cs="黑体"/>
          <w:color w:val="auto"/>
          <w:kern w:val="0"/>
          <w:sz w:val="32"/>
          <w:szCs w:val="32"/>
          <w:highlight w:val="none"/>
          <w:u w:val="none"/>
          <w:shd w:val="clear" w:color="auto" w:fill="FFFFFF"/>
        </w:rPr>
        <w:t>绩效</w:t>
      </w:r>
      <w:r>
        <w:rPr>
          <w:rFonts w:hint="eastAsia" w:ascii="黑体" w:hAnsi="黑体" w:eastAsia="黑体" w:cs="黑体"/>
          <w:color w:val="auto"/>
          <w:kern w:val="0"/>
          <w:sz w:val="32"/>
          <w:szCs w:val="32"/>
          <w:highlight w:val="none"/>
          <w:u w:val="none"/>
          <w:shd w:val="clear" w:color="auto" w:fill="FFFFFF"/>
          <w:lang w:eastAsia="zh-CN"/>
        </w:rPr>
        <w:t>分析</w:t>
      </w:r>
    </w:p>
    <w:p w14:paraId="2C1E2374">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（一）部门预算总体绩效分析</w:t>
      </w:r>
    </w:p>
    <w:p w14:paraId="6F5D1836">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color w:val="auto"/>
          <w:sz w:val="32"/>
          <w:szCs w:val="32"/>
          <w:lang w:eastAsia="zh-CN"/>
        </w:rPr>
        <w:t>深入贯彻落实</w:t>
      </w:r>
      <w:r>
        <w:rPr>
          <w:rFonts w:hint="eastAsia" w:ascii="仿宋_GB2312" w:hAnsi="仿宋_GB2312" w:eastAsia="仿宋_GB2312" w:cs="仿宋_GB2312"/>
          <w:color w:val="auto"/>
          <w:sz w:val="32"/>
          <w:szCs w:val="32"/>
          <w:lang w:val="en-US" w:eastAsia="zh-CN"/>
        </w:rPr>
        <w:t>党中央、国务院和省委、省政府关于</w:t>
      </w:r>
      <w:r>
        <w:rPr>
          <w:rFonts w:hint="eastAsia" w:ascii="仿宋_GB2312" w:hAnsi="仿宋_GB2312" w:eastAsia="仿宋_GB2312" w:cs="仿宋_GB2312"/>
          <w:color w:val="auto"/>
          <w:sz w:val="32"/>
          <w:szCs w:val="32"/>
          <w:lang w:eastAsia="zh-CN"/>
        </w:rPr>
        <w:t>全面实施绩效管理的</w:t>
      </w:r>
      <w:r>
        <w:rPr>
          <w:rFonts w:hint="eastAsia" w:ascii="仿宋_GB2312" w:hAnsi="仿宋_GB2312" w:eastAsia="仿宋_GB2312" w:cs="仿宋_GB2312"/>
          <w:color w:val="auto"/>
          <w:sz w:val="32"/>
          <w:szCs w:val="32"/>
          <w:lang w:val="en-US" w:eastAsia="zh-CN"/>
        </w:rPr>
        <w:t>决策部署</w:t>
      </w:r>
      <w:r>
        <w:rPr>
          <w:rFonts w:hint="eastAsia" w:ascii="仿宋_GB2312" w:hAnsi="仿宋_GB2312" w:eastAsia="仿宋_GB2312" w:cs="仿宋_GB2312"/>
          <w:color w:val="auto"/>
          <w:sz w:val="32"/>
          <w:szCs w:val="32"/>
          <w:lang w:eastAsia="zh-CN"/>
        </w:rPr>
        <w:t>，努力提升本单位绩效预算管理业务水平。主动公开绩效结果，加大资金使用效率，提升政府管理水平。</w:t>
      </w:r>
      <w:r>
        <w:rPr>
          <w:rFonts w:hint="eastAsia" w:ascii="仿宋_GB2312" w:hAnsi="仿宋_GB2312" w:eastAsia="仿宋_GB2312" w:cs="仿宋_GB2312"/>
          <w:color w:val="auto"/>
          <w:sz w:val="32"/>
          <w:szCs w:val="32"/>
          <w:lang w:val="en-US" w:eastAsia="zh-CN"/>
        </w:rPr>
        <w:t>加强对重点监控预算项目的绩效监控，随时了解情况，</w:t>
      </w:r>
      <w:r>
        <w:rPr>
          <w:rFonts w:hint="eastAsia" w:ascii="仿宋_GB2312" w:hAnsi="仿宋_GB2312" w:eastAsia="仿宋_GB2312" w:cs="仿宋_GB2312"/>
          <w:color w:val="auto"/>
          <w:sz w:val="32"/>
          <w:szCs w:val="32"/>
          <w:lang w:val="zh-CN" w:eastAsia="zh-CN"/>
        </w:rPr>
        <w:t>建立预算执行进度定期通报与预警机制</w:t>
      </w:r>
      <w:r>
        <w:rPr>
          <w:rFonts w:hint="eastAsia" w:ascii="仿宋_GB2312" w:hAnsi="仿宋_GB2312" w:eastAsia="仿宋_GB2312" w:cs="仿宋_GB2312"/>
          <w:color w:val="auto"/>
          <w:sz w:val="32"/>
          <w:szCs w:val="32"/>
          <w:lang w:val="en-US" w:eastAsia="zh-CN"/>
        </w:rPr>
        <w:t>及时督促项目实施科室推进项目落实。</w:t>
      </w:r>
    </w:p>
    <w:p w14:paraId="111F9DE2">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rPr>
        <w:t>履职效能。</w:t>
      </w:r>
    </w:p>
    <w:p w14:paraId="2A477EE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我单位合理使用财政资金，确保了我单位办文办会、值班值守、政务沟通、政务调研、信息公开等基本工作的运转及重点工作的推进。</w:t>
      </w:r>
    </w:p>
    <w:p w14:paraId="6FCE34F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CN" w:eastAsia="zh-CN"/>
        </w:rPr>
        <w:t>预算管理。</w:t>
      </w:r>
    </w:p>
    <w:p w14:paraId="36BBA34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按照国务院财政部门制定的政府收支分类科目、预算支出标准和要求，以及绩效目标管理等预算编制规定，根据单位职能职责和发展的需要，编制我单位预算草案。做到依据充分、程序规范、方法科学、编制及时、内容完整、项目细化、数据准确、测算合规。</w:t>
      </w:r>
    </w:p>
    <w:p w14:paraId="7AAACED8">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3.财务管理。</w:t>
      </w:r>
    </w:p>
    <w:p w14:paraId="31FAB50A">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我单位持续强化</w:t>
      </w:r>
      <w:r>
        <w:rPr>
          <w:rFonts w:hint="eastAsia" w:ascii="仿宋_GB2312" w:hAnsi="仿宋_GB2312" w:eastAsia="仿宋_GB2312" w:cs="仿宋_GB2312"/>
          <w:color w:val="auto"/>
          <w:sz w:val="32"/>
          <w:szCs w:val="32"/>
          <w:lang w:val="zh-CN" w:eastAsia="zh-CN"/>
        </w:rPr>
        <w:t>财务管理制度、</w:t>
      </w:r>
      <w:r>
        <w:rPr>
          <w:rFonts w:hint="eastAsia" w:ascii="仿宋_GB2312" w:hAnsi="仿宋_GB2312" w:eastAsia="仿宋_GB2312" w:cs="仿宋_GB2312"/>
          <w:color w:val="auto"/>
          <w:sz w:val="32"/>
          <w:szCs w:val="32"/>
          <w:lang w:val="en-US" w:eastAsia="zh-CN"/>
        </w:rPr>
        <w:t>按财务要求科学设置</w:t>
      </w:r>
      <w:r>
        <w:rPr>
          <w:rFonts w:hint="eastAsia" w:ascii="仿宋_GB2312" w:hAnsi="仿宋_GB2312" w:eastAsia="仿宋_GB2312" w:cs="仿宋_GB2312"/>
          <w:color w:val="auto"/>
          <w:sz w:val="32"/>
          <w:szCs w:val="32"/>
          <w:lang w:val="zh-CN" w:eastAsia="zh-CN"/>
        </w:rPr>
        <w:t>财务</w:t>
      </w:r>
      <w:r>
        <w:rPr>
          <w:rFonts w:hint="eastAsia" w:ascii="仿宋_GB2312" w:hAnsi="仿宋_GB2312" w:eastAsia="仿宋_GB2312" w:cs="仿宋_GB2312"/>
          <w:color w:val="auto"/>
          <w:sz w:val="32"/>
          <w:szCs w:val="32"/>
          <w:lang w:val="en-US" w:eastAsia="zh-CN"/>
        </w:rPr>
        <w:t>岗</w:t>
      </w:r>
      <w:r>
        <w:rPr>
          <w:rFonts w:hint="eastAsia" w:ascii="仿宋_GB2312" w:hAnsi="仿宋_GB2312" w:eastAsia="仿宋_GB2312" w:cs="仿宋_GB2312"/>
          <w:color w:val="auto"/>
          <w:sz w:val="32"/>
          <w:szCs w:val="32"/>
          <w:lang w:val="zh-CN" w:eastAsia="zh-CN"/>
        </w:rPr>
        <w:t>位、</w:t>
      </w:r>
      <w:r>
        <w:rPr>
          <w:rFonts w:hint="eastAsia" w:ascii="仿宋_GB2312" w:hAnsi="仿宋_GB2312" w:eastAsia="仿宋_GB2312" w:cs="仿宋_GB2312"/>
          <w:color w:val="auto"/>
          <w:sz w:val="32"/>
          <w:szCs w:val="32"/>
          <w:lang w:val="en-US" w:eastAsia="zh-CN"/>
        </w:rPr>
        <w:t>按规定</w:t>
      </w:r>
      <w:r>
        <w:rPr>
          <w:rFonts w:hint="eastAsia" w:ascii="仿宋_GB2312" w:hAnsi="仿宋_GB2312" w:eastAsia="仿宋_GB2312" w:cs="仿宋_GB2312"/>
          <w:color w:val="auto"/>
          <w:sz w:val="32"/>
          <w:szCs w:val="32"/>
          <w:lang w:val="zh-CN" w:eastAsia="zh-CN"/>
        </w:rPr>
        <w:t>使用资金。</w:t>
      </w:r>
      <w:r>
        <w:rPr>
          <w:rFonts w:hint="eastAsia" w:ascii="仿宋_GB2312" w:hAnsi="仿宋_GB2312" w:eastAsia="仿宋_GB2312" w:cs="仿宋_GB2312"/>
          <w:color w:val="auto"/>
          <w:sz w:val="32"/>
          <w:szCs w:val="32"/>
          <w:lang w:val="en-US" w:eastAsia="zh-CN"/>
        </w:rPr>
        <w:t>严格把关资金预算、报销审核关。</w:t>
      </w:r>
    </w:p>
    <w:p w14:paraId="6D3EC6BB">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4.资产管理。</w:t>
      </w:r>
    </w:p>
    <w:p w14:paraId="503D8173">
      <w:pPr>
        <w:keepNext w:val="0"/>
        <w:keepLines w:val="0"/>
        <w:pageBreakBefore w:val="0"/>
        <w:widowControl/>
        <w:suppressLineNumbers w:val="0"/>
        <w:kinsoku/>
        <w:wordWrap/>
        <w:overflowPunct/>
        <w:topLinePunct w:val="0"/>
        <w:autoSpaceDE/>
        <w:autoSpaceDN/>
        <w:bidi w:val="0"/>
        <w:spacing w:line="578"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我单位严格规范国有资产管理，维护国有资产的安全完整，合理配置和有效利用国有资产，提高资产使用效益。定时定期开展资产盘点，严格做到账实相符。</w:t>
      </w:r>
    </w:p>
    <w:p w14:paraId="6013CCE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5.</w:t>
      </w:r>
      <w:r>
        <w:rPr>
          <w:rFonts w:hint="eastAsia" w:ascii="仿宋_GB2312" w:hAnsi="仿宋_GB2312" w:eastAsia="仿宋_GB2312" w:cs="仿宋_GB2312"/>
          <w:color w:val="auto"/>
          <w:kern w:val="0"/>
          <w:sz w:val="32"/>
          <w:szCs w:val="32"/>
          <w:highlight w:val="none"/>
          <w:shd w:val="clear" w:color="auto" w:fill="FFFFFF"/>
          <w:lang w:val="zh-CN"/>
        </w:rPr>
        <w:t>采购管理。</w:t>
      </w:r>
    </w:p>
    <w:p w14:paraId="7E079376">
      <w:pPr>
        <w:keepNext w:val="0"/>
        <w:keepLines w:val="0"/>
        <w:pageBreakBefore w:val="0"/>
        <w:widowControl/>
        <w:suppressLineNumbers w:val="0"/>
        <w:kinsoku/>
        <w:wordWrap/>
        <w:overflowPunct/>
        <w:topLinePunct w:val="0"/>
        <w:autoSpaceDE/>
        <w:autoSpaceDN/>
        <w:bidi w:val="0"/>
        <w:spacing w:line="578"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严格规范采购行为，加强我单位采购管理工作，有效防控采购业务活动风险，提高采购业务的规范性、科学性和准确性，严格按照《中华人民共和国政府采购法》、《中华人民共和国政府采购法实施条例》等制度落实我单位采购工作。</w:t>
      </w:r>
    </w:p>
    <w:p w14:paraId="32B35095">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部门预算项目绩效分析</w:t>
      </w:r>
    </w:p>
    <w:p w14:paraId="65C1AD2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我单位常年项目28</w:t>
      </w:r>
      <w:r>
        <w:rPr>
          <w:rFonts w:hint="eastAsia" w:ascii="仿宋_GB2312" w:hAnsi="仿宋_GB2312" w:eastAsia="仿宋_GB2312" w:cs="仿宋_GB2312"/>
          <w:color w:val="auto"/>
          <w:kern w:val="0"/>
          <w:sz w:val="32"/>
          <w:szCs w:val="32"/>
          <w:highlight w:val="none"/>
          <w:shd w:val="clear" w:color="auto" w:fill="FFFFFF"/>
          <w:lang w:val="zh-CN" w:eastAsia="zh-CN"/>
        </w:rPr>
        <w:t>个，</w:t>
      </w:r>
      <w:r>
        <w:rPr>
          <w:rFonts w:hint="eastAsia" w:ascii="仿宋_GB2312" w:hAnsi="仿宋_GB2312" w:eastAsia="仿宋_GB2312" w:cs="仿宋_GB2312"/>
          <w:color w:val="auto"/>
          <w:kern w:val="0"/>
          <w:sz w:val="32"/>
          <w:szCs w:val="32"/>
          <w:highlight w:val="none"/>
          <w:shd w:val="clear" w:color="auto" w:fill="FFFFFF"/>
          <w:lang w:val="en-US" w:eastAsia="zh-CN"/>
        </w:rPr>
        <w:t>涉及调整</w:t>
      </w:r>
      <w:r>
        <w:rPr>
          <w:rFonts w:hint="eastAsia" w:ascii="仿宋_GB2312" w:hAnsi="仿宋_GB2312" w:eastAsia="仿宋_GB2312" w:cs="仿宋_GB2312"/>
          <w:color w:val="auto"/>
          <w:kern w:val="0"/>
          <w:sz w:val="32"/>
          <w:szCs w:val="32"/>
          <w:highlight w:val="none"/>
          <w:shd w:val="clear" w:color="auto" w:fill="FFFFFF"/>
          <w:lang w:val="zh-CN" w:eastAsia="zh-CN"/>
        </w:rPr>
        <w:t>预算总金额</w:t>
      </w:r>
      <w:r>
        <w:rPr>
          <w:rFonts w:hint="eastAsia" w:ascii="仿宋_GB2312" w:hAnsi="仿宋_GB2312" w:eastAsia="仿宋_GB2312" w:cs="仿宋_GB2312"/>
          <w:color w:val="auto"/>
          <w:kern w:val="0"/>
          <w:sz w:val="32"/>
          <w:szCs w:val="32"/>
          <w:highlight w:val="none"/>
          <w:shd w:val="clear" w:color="auto" w:fill="FFFFFF"/>
          <w:lang w:val="en-US" w:eastAsia="zh-CN"/>
        </w:rPr>
        <w:t>6,145.78万元。</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p>
    <w:p w14:paraId="00E089A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阶段（一次性）项目</w:t>
      </w:r>
      <w:r>
        <w:rPr>
          <w:rFonts w:hint="eastAsia" w:ascii="仿宋_GB2312" w:hAnsi="仿宋_GB2312" w:eastAsia="仿宋_GB2312" w:cs="仿宋_GB2312"/>
          <w:color w:val="auto"/>
          <w:kern w:val="0"/>
          <w:sz w:val="32"/>
          <w:szCs w:val="32"/>
          <w:highlight w:val="none"/>
          <w:shd w:val="clear" w:color="auto" w:fill="FFFFFF"/>
          <w:lang w:val="zh-CN" w:eastAsia="zh-CN"/>
        </w:rPr>
        <w:t>总数</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eastAsia="zh-CN"/>
        </w:rPr>
        <w:t>个，涉及</w:t>
      </w:r>
      <w:r>
        <w:rPr>
          <w:rFonts w:hint="eastAsia" w:ascii="仿宋_GB2312" w:hAnsi="仿宋_GB2312" w:eastAsia="仿宋_GB2312" w:cs="仿宋_GB2312"/>
          <w:color w:val="auto"/>
          <w:kern w:val="0"/>
          <w:sz w:val="32"/>
          <w:szCs w:val="32"/>
          <w:highlight w:val="none"/>
          <w:shd w:val="clear" w:color="auto" w:fill="FFFFFF"/>
          <w:lang w:val="en-US" w:eastAsia="zh-CN"/>
        </w:rPr>
        <w:t>调整</w:t>
      </w:r>
      <w:r>
        <w:rPr>
          <w:rFonts w:hint="eastAsia" w:ascii="仿宋_GB2312" w:hAnsi="仿宋_GB2312" w:eastAsia="仿宋_GB2312" w:cs="仿宋_GB2312"/>
          <w:color w:val="auto"/>
          <w:kern w:val="0"/>
          <w:sz w:val="32"/>
          <w:szCs w:val="32"/>
          <w:highlight w:val="none"/>
          <w:shd w:val="clear" w:color="auto" w:fill="FFFFFF"/>
          <w:lang w:val="zh-CN" w:eastAsia="zh-CN"/>
        </w:rPr>
        <w:t>预算总金额</w:t>
      </w:r>
      <w:r>
        <w:rPr>
          <w:rFonts w:hint="eastAsia" w:ascii="仿宋_GB2312" w:hAnsi="仿宋_GB2312" w:eastAsia="仿宋_GB2312" w:cs="仿宋_GB2312"/>
          <w:color w:val="auto"/>
          <w:kern w:val="0"/>
          <w:sz w:val="32"/>
          <w:szCs w:val="32"/>
          <w:highlight w:val="none"/>
          <w:shd w:val="clear" w:color="auto" w:fill="FFFFFF"/>
          <w:lang w:val="en-US" w:eastAsia="zh-CN"/>
        </w:rPr>
        <w:t>417.91</w:t>
      </w:r>
      <w:r>
        <w:rPr>
          <w:rFonts w:hint="eastAsia" w:ascii="仿宋_GB2312" w:hAnsi="仿宋_GB2312" w:eastAsia="仿宋_GB2312" w:cs="仿宋_GB2312"/>
          <w:color w:val="auto"/>
          <w:kern w:val="0"/>
          <w:sz w:val="32"/>
          <w:szCs w:val="32"/>
          <w:highlight w:val="none"/>
          <w:shd w:val="clear" w:color="auto" w:fill="FFFFFF"/>
          <w:lang w:val="zh-CN" w:eastAsia="zh-CN"/>
        </w:rPr>
        <w:t>万元，</w:t>
      </w:r>
      <w:r>
        <w:rPr>
          <w:rFonts w:hint="eastAsia" w:ascii="仿宋_GB2312" w:hAnsi="仿宋_GB2312" w:eastAsia="仿宋_GB2312" w:cs="仿宋_GB2312"/>
          <w:color w:val="auto"/>
          <w:kern w:val="0"/>
          <w:sz w:val="32"/>
          <w:szCs w:val="32"/>
          <w:highlight w:val="none"/>
          <w:shd w:val="clear" w:color="auto" w:fill="FFFFFF"/>
          <w:lang w:val="en-US" w:eastAsia="zh-CN"/>
        </w:rPr>
        <w:t>（其中：赴埃及、土耳其开展经贸文旅推介47.43万元；九黄机场航空口岸开放可行性研究报告19万元；阿坝州政府二楼会议室音视频系统改造项目108.02万元等）。</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p>
    <w:p w14:paraId="3D11BCF7">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1.项目决策。</w:t>
      </w:r>
    </w:p>
    <w:p w14:paraId="4436851E">
      <w:pPr>
        <w:keepNext w:val="0"/>
        <w:keepLines w:val="0"/>
        <w:pageBreakBefore w:val="0"/>
        <w:widowControl w:val="0"/>
        <w:kinsoku/>
        <w:wordWrap/>
        <w:overflowPunct/>
        <w:topLinePunct w:val="0"/>
        <w:autoSpaceDE/>
        <w:autoSpaceDN/>
        <w:bidi w:val="0"/>
        <w:adjustRightInd w:val="0"/>
        <w:snapToGrid w:val="0"/>
        <w:spacing w:line="578" w:lineRule="exact"/>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 xml:space="preserve">    为适应新时期政府机关运转的各项要求，进一步提高工作效率，促进单位正规化建设，部门项目预算由各科室按工作需求提出，报各科室分管副主任审批后汇总，汇总后报经分管财务副主任及办公室主任和秘书长逐个项目研究后确定单位项目预算。</w:t>
      </w:r>
    </w:p>
    <w:p w14:paraId="7BF1EAD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2.项目执行</w:t>
      </w:r>
      <w:r>
        <w:rPr>
          <w:rFonts w:hint="eastAsia" w:ascii="仿宋_GB2312" w:hAnsi="仿宋_GB2312" w:eastAsia="仿宋_GB2312" w:cs="仿宋_GB2312"/>
          <w:color w:val="auto"/>
          <w:kern w:val="0"/>
          <w:sz w:val="32"/>
          <w:szCs w:val="32"/>
          <w:highlight w:val="none"/>
          <w:shd w:val="clear" w:color="auto" w:fill="FFFFFF"/>
          <w:lang w:val="zh-CN"/>
        </w:rPr>
        <w:t>。</w:t>
      </w:r>
    </w:p>
    <w:p w14:paraId="194EC3E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我单位严格按照项目预算对项目进行实施，全年共实施项目28个，积极做好项目事中控制，在年中已对项目绩效进行调整，调整后项目执行率均达到100%。</w:t>
      </w:r>
    </w:p>
    <w:p w14:paraId="7AA7F50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rPr>
        <w:t>目标实现。</w:t>
      </w:r>
    </w:p>
    <w:p w14:paraId="4EF45807">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我单位资金基本按照原定计划使用，确保了我单位办文办会、值班值守、政务沟通、政务调研、信息公开等基本工作的运转及重点工作的推进。</w:t>
      </w:r>
    </w:p>
    <w:p w14:paraId="44F5FD56">
      <w:pPr>
        <w:widowControl/>
        <w:adjustRightInd w:val="0"/>
        <w:snapToGrid w:val="0"/>
        <w:spacing w:line="580" w:lineRule="exact"/>
        <w:ind w:left="210" w:leftChars="100" w:firstLine="321" w:firstLineChars="100"/>
        <w:contextualSpacing/>
        <w:jc w:val="left"/>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w:t>
      </w:r>
      <w:r>
        <w:rPr>
          <w:rFonts w:hint="eastAsia" w:ascii="楷体_GB2312" w:hAnsi="楷体_GB2312" w:eastAsia="楷体_GB2312" w:cs="楷体_GB2312"/>
          <w:b/>
          <w:bCs/>
          <w:color w:val="auto"/>
          <w:sz w:val="32"/>
          <w:szCs w:val="32"/>
          <w:lang w:val="en-US" w:eastAsia="zh-CN"/>
        </w:rPr>
        <w:t>三</w:t>
      </w:r>
      <w:r>
        <w:rPr>
          <w:rFonts w:hint="eastAsia" w:ascii="楷体_GB2312" w:hAnsi="楷体_GB2312" w:eastAsia="楷体_GB2312" w:cs="楷体_GB2312"/>
          <w:b/>
          <w:bCs/>
          <w:color w:val="auto"/>
          <w:sz w:val="32"/>
          <w:szCs w:val="32"/>
          <w:lang w:val="zh-CN"/>
        </w:rPr>
        <w:t>）绩效结果应用情况</w:t>
      </w:r>
    </w:p>
    <w:p w14:paraId="0CE7B57E">
      <w:pPr>
        <w:keepNext w:val="0"/>
        <w:keepLines w:val="0"/>
        <w:pageBreakBefore w:val="0"/>
        <w:widowControl/>
        <w:kinsoku/>
        <w:wordWrap/>
        <w:overflowPunct/>
        <w:topLinePunct w:val="0"/>
        <w:autoSpaceDE/>
        <w:autoSpaceDN/>
        <w:bidi w:val="0"/>
        <w:adjustRightInd w:val="0"/>
        <w:snapToGrid w:val="0"/>
        <w:spacing w:line="578" w:lineRule="exact"/>
        <w:ind w:left="210" w:leftChars="100" w:firstLine="320" w:firstLineChars="100"/>
        <w:contextualSpacing/>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我单位深入贯彻落实</w:t>
      </w:r>
      <w:r>
        <w:rPr>
          <w:rFonts w:hint="eastAsia" w:ascii="仿宋_GB2312" w:hAnsi="仿宋_GB2312" w:eastAsia="仿宋_GB2312" w:cs="仿宋_GB2312"/>
          <w:color w:val="auto"/>
          <w:sz w:val="32"/>
          <w:szCs w:val="32"/>
          <w:lang w:val="en-US" w:eastAsia="zh-CN"/>
        </w:rPr>
        <w:t>党</w:t>
      </w:r>
      <w:bookmarkStart w:id="68" w:name="_GoBack"/>
      <w:bookmarkEnd w:id="68"/>
      <w:r>
        <w:rPr>
          <w:rFonts w:hint="eastAsia" w:ascii="仿宋_GB2312" w:hAnsi="仿宋_GB2312" w:eastAsia="仿宋_GB2312" w:cs="仿宋_GB2312"/>
          <w:color w:val="auto"/>
          <w:sz w:val="32"/>
          <w:szCs w:val="32"/>
          <w:lang w:val="en-US" w:eastAsia="zh-CN"/>
        </w:rPr>
        <w:t>中央、国务院和省委、省政府关于</w:t>
      </w:r>
      <w:r>
        <w:rPr>
          <w:rFonts w:hint="eastAsia" w:ascii="仿宋_GB2312" w:hAnsi="仿宋_GB2312" w:eastAsia="仿宋_GB2312" w:cs="仿宋_GB2312"/>
          <w:color w:val="auto"/>
          <w:sz w:val="32"/>
          <w:szCs w:val="32"/>
          <w:lang w:eastAsia="zh-CN"/>
        </w:rPr>
        <w:t>全面实施绩效管理的</w:t>
      </w:r>
      <w:r>
        <w:rPr>
          <w:rFonts w:hint="eastAsia" w:ascii="仿宋_GB2312" w:hAnsi="仿宋_GB2312" w:eastAsia="仿宋_GB2312" w:cs="仿宋_GB2312"/>
          <w:color w:val="auto"/>
          <w:sz w:val="32"/>
          <w:szCs w:val="32"/>
          <w:lang w:val="en-US" w:eastAsia="zh-CN"/>
        </w:rPr>
        <w:t>决策部署</w:t>
      </w:r>
      <w:r>
        <w:rPr>
          <w:rFonts w:hint="eastAsia" w:ascii="仿宋_GB2312" w:hAnsi="仿宋_GB2312" w:eastAsia="仿宋_GB2312" w:cs="仿宋_GB2312"/>
          <w:color w:val="auto"/>
          <w:sz w:val="32"/>
          <w:szCs w:val="32"/>
          <w:lang w:eastAsia="zh-CN"/>
        </w:rPr>
        <w:t>，努力提升本单位绩效预算管理业务水平。主动公开绩效结果，加大资金使用效率，提升政府管理水平。</w:t>
      </w:r>
    </w:p>
    <w:p w14:paraId="039EBB1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color w:val="auto"/>
          <w:kern w:val="0"/>
          <w:sz w:val="32"/>
          <w:szCs w:val="32"/>
          <w:highlight w:val="none"/>
          <w:shd w:val="clear" w:color="auto" w:fill="FFFFFF"/>
        </w:rPr>
      </w:pPr>
      <w:r>
        <w:rPr>
          <w:rFonts w:hint="eastAsia" w:ascii="黑体" w:hAnsi="黑体" w:eastAsia="黑体" w:cs="黑体"/>
          <w:color w:val="auto"/>
          <w:kern w:val="0"/>
          <w:sz w:val="32"/>
          <w:szCs w:val="32"/>
          <w:highlight w:val="none"/>
          <w:shd w:val="clear" w:color="auto" w:fill="FFFFFF"/>
          <w:lang w:eastAsia="zh-CN"/>
        </w:rPr>
        <w:t>四、</w:t>
      </w:r>
      <w:r>
        <w:rPr>
          <w:rFonts w:hint="eastAsia" w:ascii="黑体" w:hAnsi="黑体" w:eastAsia="黑体" w:cs="黑体"/>
          <w:color w:val="auto"/>
          <w:kern w:val="0"/>
          <w:sz w:val="32"/>
          <w:szCs w:val="32"/>
          <w:highlight w:val="none"/>
          <w:shd w:val="clear" w:color="auto" w:fill="FFFFFF"/>
        </w:rPr>
        <w:t>评价结论及建议</w:t>
      </w:r>
    </w:p>
    <w:p w14:paraId="62763EF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（一）评价结论</w:t>
      </w:r>
    </w:p>
    <w:p w14:paraId="356FD7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shd w:val="clear" w:color="auto" w:fill="FFFFFF"/>
          <w:lang w:val="zh-CN" w:eastAsia="zh-CN"/>
        </w:rPr>
      </w:pPr>
      <w:r>
        <w:rPr>
          <w:rFonts w:hint="eastAsia" w:ascii="仿宋_GB2312" w:hAnsi="仿宋_GB2312" w:eastAsia="仿宋_GB2312" w:cs="仿宋_GB2312"/>
          <w:color w:val="auto"/>
          <w:kern w:val="0"/>
          <w:sz w:val="32"/>
          <w:szCs w:val="32"/>
          <w:shd w:val="clear" w:color="auto" w:fill="FFFFFF"/>
          <w:lang w:val="zh-CN" w:eastAsia="zh-CN"/>
        </w:rPr>
        <w:t>综上所诉，</w:t>
      </w:r>
      <w:r>
        <w:rPr>
          <w:rFonts w:hint="eastAsia" w:ascii="仿宋_GB2312" w:hAnsi="仿宋_GB2312" w:eastAsia="仿宋_GB2312" w:cs="仿宋_GB2312"/>
          <w:color w:val="auto"/>
          <w:kern w:val="0"/>
          <w:sz w:val="32"/>
          <w:szCs w:val="32"/>
          <w:shd w:val="clear" w:color="auto" w:fill="FFFFFF"/>
          <w:lang w:val="en-US" w:eastAsia="zh-CN"/>
        </w:rPr>
        <w:t>我单位绩效评价总分为100分，绩效自评得分92.69分。</w:t>
      </w:r>
    </w:p>
    <w:p w14:paraId="4A0492A6">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存在问题</w:t>
      </w:r>
    </w:p>
    <w:p w14:paraId="74E3B3F0">
      <w:pPr>
        <w:pStyle w:val="18"/>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 xml:space="preserve">    </w:t>
      </w:r>
      <w:r>
        <w:rPr>
          <w:rFonts w:hint="eastAsia" w:ascii="仿宋_GB2312" w:hAnsi="仿宋_GB2312" w:eastAsia="仿宋_GB2312" w:cs="仿宋_GB2312"/>
          <w:color w:val="auto"/>
          <w:kern w:val="0"/>
          <w:sz w:val="32"/>
          <w:szCs w:val="32"/>
          <w:shd w:val="clear" w:color="auto" w:fill="FFFFFF"/>
          <w:lang w:val="en-US" w:eastAsia="zh-CN" w:bidi="ar-SA"/>
        </w:rPr>
        <w:t>由于2025年我单位严格落实项目绩效评价，</w:t>
      </w:r>
      <w:r>
        <w:rPr>
          <w:rFonts w:hint="eastAsia" w:ascii="仿宋_GB2312" w:hAnsi="仿宋_GB2312" w:eastAsia="仿宋_GB2312" w:cs="仿宋_GB2312"/>
          <w:sz w:val="32"/>
          <w:szCs w:val="32"/>
        </w:rPr>
        <w:t>强化财务管理，</w:t>
      </w:r>
      <w:r>
        <w:rPr>
          <w:rFonts w:hint="eastAsia" w:ascii="仿宋_GB2312" w:hAnsi="仿宋_GB2312" w:eastAsia="仿宋_GB2312" w:cs="仿宋_GB2312"/>
          <w:sz w:val="32"/>
          <w:szCs w:val="32"/>
          <w:lang w:val="en-US" w:eastAsia="zh-CN"/>
        </w:rPr>
        <w:t>严格把关运行成本，</w:t>
      </w:r>
      <w:r>
        <w:rPr>
          <w:rFonts w:hint="eastAsia" w:ascii="仿宋_GB2312" w:hAnsi="仿宋_GB2312" w:eastAsia="仿宋_GB2312" w:cs="仿宋_GB2312"/>
          <w:sz w:val="32"/>
          <w:szCs w:val="32"/>
        </w:rPr>
        <w:t>严格执行预算，有序推进财务支出，</w:t>
      </w:r>
      <w:r>
        <w:rPr>
          <w:rFonts w:hint="eastAsia" w:ascii="仿宋_GB2312" w:hAnsi="仿宋_GB2312" w:eastAsia="仿宋_GB2312" w:cs="仿宋_GB2312"/>
          <w:sz w:val="32"/>
          <w:szCs w:val="32"/>
          <w:lang w:val="en-US" w:eastAsia="zh-CN"/>
        </w:rPr>
        <w:t>所有项目基本达到预期目标</w:t>
      </w:r>
      <w:r>
        <w:rPr>
          <w:rFonts w:hint="eastAsia" w:ascii="仿宋_GB2312" w:hAnsi="仿宋_GB2312" w:eastAsia="仿宋_GB2312" w:cs="仿宋_GB2312"/>
          <w:color w:val="auto"/>
          <w:kern w:val="0"/>
          <w:sz w:val="32"/>
          <w:szCs w:val="32"/>
          <w:shd w:val="clear" w:color="auto" w:fill="FFFFFF"/>
          <w:lang w:val="en-US" w:eastAsia="zh-CN" w:bidi="ar-SA"/>
        </w:rPr>
        <w:t>。</w:t>
      </w:r>
    </w:p>
    <w:p w14:paraId="2E6452EB">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（三）改进建议</w:t>
      </w:r>
      <w:bookmarkStart w:id="53" w:name="_Hlk110546638"/>
    </w:p>
    <w:p w14:paraId="0A345254">
      <w:pPr>
        <w:keepNext w:val="0"/>
        <w:keepLines w:val="0"/>
        <w:pageBreakBefore w:val="0"/>
        <w:widowControl w:val="0"/>
        <w:kinsoku/>
        <w:wordWrap/>
        <w:overflowPunct/>
        <w:topLinePunct w:val="0"/>
        <w:autoSpaceDE/>
        <w:autoSpaceDN/>
        <w:bidi w:val="0"/>
        <w:spacing w:line="578" w:lineRule="exact"/>
        <w:contextualSpacing/>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rPr>
        <w:t>在今后的工作中，州政府办公室将采取有效措施，切实加强财务管理，加快财政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bookmarkEnd w:id="53"/>
    </w:p>
    <w:p w14:paraId="661625CE">
      <w:pPr>
        <w:pStyle w:val="15"/>
        <w:rPr>
          <w:rFonts w:hint="eastAsia" w:ascii="仿宋_GB2312" w:hAnsi="Times New Roman" w:eastAsia="仿宋_GB2312" w:cs="Times New Roman"/>
          <w:color w:val="auto"/>
          <w:kern w:val="2"/>
          <w:sz w:val="32"/>
          <w:szCs w:val="32"/>
          <w:lang w:val="zh-CN" w:eastAsia="zh-CN" w:bidi="ar-SA"/>
        </w:rPr>
      </w:pPr>
    </w:p>
    <w:p w14:paraId="727BFB0A">
      <w:pPr>
        <w:pStyle w:val="15"/>
        <w:rPr>
          <w:rFonts w:hint="eastAsia" w:ascii="仿宋_GB2312" w:hAnsi="Times New Roman" w:eastAsia="仿宋_GB2312" w:cs="Times New Roman"/>
          <w:color w:val="auto"/>
          <w:kern w:val="2"/>
          <w:sz w:val="32"/>
          <w:szCs w:val="32"/>
          <w:lang w:val="zh-CN" w:eastAsia="zh-CN" w:bidi="ar-SA"/>
        </w:rPr>
      </w:pPr>
    </w:p>
    <w:p w14:paraId="70B8DBA4">
      <w:pPr>
        <w:pStyle w:val="15"/>
        <w:rPr>
          <w:rFonts w:hint="eastAsia" w:ascii="仿宋_GB2312" w:hAnsi="Times New Roman" w:eastAsia="仿宋_GB2312" w:cs="Times New Roman"/>
          <w:color w:val="auto"/>
          <w:kern w:val="2"/>
          <w:sz w:val="32"/>
          <w:szCs w:val="32"/>
          <w:lang w:val="zh-CN" w:eastAsia="zh-CN" w:bidi="ar-SA"/>
        </w:rPr>
      </w:pPr>
    </w:p>
    <w:p w14:paraId="5EF6695A">
      <w:pPr>
        <w:pStyle w:val="15"/>
        <w:rPr>
          <w:rFonts w:hint="eastAsia" w:ascii="仿宋_GB2312" w:hAnsi="Times New Roman" w:eastAsia="仿宋_GB2312" w:cs="Times New Roman"/>
          <w:color w:val="auto"/>
          <w:kern w:val="2"/>
          <w:sz w:val="32"/>
          <w:szCs w:val="32"/>
          <w:lang w:val="zh-CN" w:eastAsia="zh-CN" w:bidi="ar-SA"/>
        </w:rPr>
      </w:pPr>
    </w:p>
    <w:p w14:paraId="0AB8A284">
      <w:pPr>
        <w:pStyle w:val="15"/>
        <w:rPr>
          <w:rFonts w:hint="eastAsia" w:ascii="仿宋_GB2312" w:hAnsi="Times New Roman" w:eastAsia="仿宋_GB2312" w:cs="Times New Roman"/>
          <w:color w:val="auto"/>
          <w:kern w:val="2"/>
          <w:sz w:val="32"/>
          <w:szCs w:val="32"/>
          <w:lang w:val="zh-CN" w:eastAsia="zh-CN" w:bidi="ar-SA"/>
        </w:rPr>
      </w:pPr>
    </w:p>
    <w:p w14:paraId="60ACBF70">
      <w:pPr>
        <w:pStyle w:val="15"/>
        <w:rPr>
          <w:rFonts w:hint="eastAsia" w:ascii="仿宋_GB2312" w:hAnsi="Times New Roman" w:eastAsia="仿宋_GB2312" w:cs="Times New Roman"/>
          <w:color w:val="auto"/>
          <w:kern w:val="2"/>
          <w:sz w:val="32"/>
          <w:szCs w:val="32"/>
          <w:lang w:val="zh-CN" w:eastAsia="zh-CN" w:bidi="ar-SA"/>
        </w:rPr>
      </w:pPr>
    </w:p>
    <w:p w14:paraId="39EC9032">
      <w:pPr>
        <w:pStyle w:val="15"/>
        <w:rPr>
          <w:rFonts w:hint="eastAsia" w:ascii="仿宋_GB2312" w:hAnsi="Times New Roman" w:eastAsia="仿宋_GB2312" w:cs="Times New Roman"/>
          <w:color w:val="auto"/>
          <w:kern w:val="2"/>
          <w:sz w:val="32"/>
          <w:szCs w:val="32"/>
          <w:lang w:val="zh-CN" w:eastAsia="zh-CN" w:bidi="ar-SA"/>
        </w:rPr>
      </w:pPr>
    </w:p>
    <w:p w14:paraId="697C5114">
      <w:pPr>
        <w:pStyle w:val="15"/>
        <w:rPr>
          <w:rFonts w:hint="eastAsia" w:ascii="仿宋_GB2312" w:hAnsi="Times New Roman" w:eastAsia="仿宋_GB2312" w:cs="Times New Roman"/>
          <w:color w:val="auto"/>
          <w:kern w:val="2"/>
          <w:sz w:val="32"/>
          <w:szCs w:val="32"/>
          <w:lang w:val="zh-CN" w:eastAsia="zh-CN" w:bidi="ar-SA"/>
        </w:rPr>
      </w:pPr>
    </w:p>
    <w:tbl>
      <w:tblPr>
        <w:tblStyle w:val="37"/>
        <w:tblW w:w="12787" w:type="dxa"/>
        <w:tblCaption w:val="Table205l"/>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3"/>
        <w:gridCol w:w="174"/>
        <w:gridCol w:w="754"/>
        <w:gridCol w:w="319"/>
        <w:gridCol w:w="12"/>
        <w:gridCol w:w="1068"/>
        <w:gridCol w:w="20"/>
        <w:gridCol w:w="39"/>
        <w:gridCol w:w="1320"/>
        <w:gridCol w:w="28"/>
        <w:gridCol w:w="31"/>
        <w:gridCol w:w="177"/>
        <w:gridCol w:w="111"/>
        <w:gridCol w:w="269"/>
        <w:gridCol w:w="59"/>
        <w:gridCol w:w="559"/>
        <w:gridCol w:w="142"/>
        <w:gridCol w:w="281"/>
        <w:gridCol w:w="39"/>
        <w:gridCol w:w="20"/>
        <w:gridCol w:w="605"/>
        <w:gridCol w:w="44"/>
        <w:gridCol w:w="15"/>
        <w:gridCol w:w="23"/>
        <w:gridCol w:w="271"/>
        <w:gridCol w:w="120"/>
        <w:gridCol w:w="159"/>
        <w:gridCol w:w="252"/>
        <w:gridCol w:w="1318"/>
        <w:gridCol w:w="324"/>
        <w:gridCol w:w="578"/>
        <w:gridCol w:w="664"/>
        <w:gridCol w:w="307"/>
        <w:gridCol w:w="277"/>
        <w:gridCol w:w="1559"/>
      </w:tblGrid>
      <w:tr w14:paraId="03DD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24"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39F1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21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661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CFA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51320021T000000060773-州政府办车辆大修</w:t>
            </w:r>
          </w:p>
        </w:tc>
      </w:tr>
      <w:tr w14:paraId="121D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083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9127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BF8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104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3DF0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02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AF9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02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A4D6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22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86253">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9A14C">
            <w:pPr>
              <w:rPr>
                <w:rFonts w:hint="eastAsia"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822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预计两辆公务用车进行大修，保质保量完成,降低车辆故障率，提升公务出行安全保障水平.</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ADC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已对两辆车辆进行大修</w:t>
            </w:r>
          </w:p>
        </w:tc>
      </w:tr>
      <w:tr w14:paraId="361B8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3385B">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E37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BF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对两辆公务用车进行大修，保质保量完成,减少安全隐患。</w:t>
            </w:r>
          </w:p>
        </w:tc>
      </w:tr>
      <w:tr w14:paraId="520A3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73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49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42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D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2C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A0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C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0A9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540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DC4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A801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F5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43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B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29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2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76F6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39C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DDC07"/>
        </w:tc>
      </w:tr>
      <w:tr w14:paraId="2CC8C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A6F3F">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A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F2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11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87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57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5BAE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581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7EDFC"/>
        </w:tc>
      </w:tr>
      <w:tr w14:paraId="1A82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52FEE">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B1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7E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47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8C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35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C7B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38A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18C1"/>
        </w:tc>
      </w:tr>
      <w:tr w14:paraId="1ADC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8F35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EC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6B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F6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C8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E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9D0D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BB7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A8B78"/>
        </w:tc>
      </w:tr>
      <w:tr w14:paraId="66D3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2D86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54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715E4">
            <w:pPr>
              <w:jc w:val="center"/>
              <w:rPr>
                <w:rFonts w:hint="eastAsia" w:ascii="微软雅黑" w:hAnsi="微软雅黑" w:eastAsia="微软雅黑" w:cs="微软雅黑"/>
                <w:i/>
                <w:iCs/>
                <w:color w:val="000000"/>
                <w:sz w:val="16"/>
                <w:szCs w:val="16"/>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2144A">
            <w:pPr>
              <w:jc w:val="center"/>
              <w:rPr>
                <w:rFonts w:hint="eastAsia" w:ascii="微软雅黑" w:hAnsi="微软雅黑" w:eastAsia="微软雅黑" w:cs="微软雅黑"/>
                <w:i/>
                <w:iCs/>
                <w:color w:val="000000"/>
                <w:sz w:val="16"/>
                <w:szCs w:val="16"/>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9FD2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E5FC1">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F861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8C9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EEC00"/>
        </w:tc>
      </w:tr>
      <w:tr w14:paraId="6367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04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0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B9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7C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E1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2D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E7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7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B3E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C70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4B4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EDF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F288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A9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A7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7B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车辆大修辆数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22B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8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BF5D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C8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95F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31FC7">
            <w:pPr>
              <w:jc w:val="center"/>
            </w:pPr>
          </w:p>
        </w:tc>
      </w:tr>
      <w:tr w14:paraId="0525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BFE30">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A6DF7">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15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DB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A4A8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E7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8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0F1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259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247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E14C">
            <w:pPr>
              <w:jc w:val="center"/>
            </w:pPr>
          </w:p>
        </w:tc>
      </w:tr>
      <w:tr w14:paraId="6E72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96290">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48987">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51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3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CB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0C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3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319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F4E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D4F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AFEFF">
            <w:pPr>
              <w:jc w:val="center"/>
            </w:pPr>
          </w:p>
        </w:tc>
      </w:tr>
      <w:tr w14:paraId="26C6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8F2C9">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A8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52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7F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用车安全提升情况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868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1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5287E">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A1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D8E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4F8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93FDB">
            <w:pPr>
              <w:jc w:val="center"/>
            </w:pPr>
          </w:p>
        </w:tc>
      </w:tr>
      <w:tr w14:paraId="16AA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34C03">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2035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4F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D8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有害气体排放降低率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396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33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显著降低</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F40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4F3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显著降低</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DAC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E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FB786">
            <w:pPr>
              <w:jc w:val="center"/>
            </w:pPr>
          </w:p>
        </w:tc>
      </w:tr>
      <w:tr w14:paraId="1E880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494D9">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64B9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4B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B0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保障车辆可持续使用</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43F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A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持续使用</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3FC13">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59B8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持续使用</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A3F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2D7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ED9C6">
            <w:pPr>
              <w:jc w:val="center"/>
            </w:pPr>
          </w:p>
        </w:tc>
      </w:tr>
      <w:tr w14:paraId="67DBA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3214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2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3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D6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乘车及开车人员满意度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E6EE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D6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9D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7CE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51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445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7F00D">
            <w:pPr>
              <w:jc w:val="center"/>
            </w:pPr>
          </w:p>
        </w:tc>
      </w:tr>
      <w:tr w14:paraId="7EF2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35797">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263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2E60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72E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081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C623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455A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5C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E77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FED6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C96BE">
            <w:pPr>
              <w:jc w:val="center"/>
            </w:pPr>
          </w:p>
        </w:tc>
      </w:tr>
      <w:tr w14:paraId="6FDE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D942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F29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E74E">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732A2"/>
        </w:tc>
      </w:tr>
      <w:tr w14:paraId="18EC7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CBCB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D60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525C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48A2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934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2C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8EF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398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BA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nil"/>
              <w:left w:val="nil"/>
              <w:bottom w:val="nil"/>
              <w:right w:val="nil"/>
            </w:tcBorders>
            <w:shd w:val="clear" w:color="auto" w:fill="auto"/>
            <w:noWrap w:val="0"/>
            <w:vAlign w:val="center"/>
          </w:tcPr>
          <w:p w14:paraId="48B51E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nil"/>
              <w:left w:val="nil"/>
              <w:bottom w:val="nil"/>
              <w:right w:val="nil"/>
            </w:tcBorders>
            <w:shd w:val="clear" w:color="auto" w:fill="auto"/>
            <w:noWrap w:val="0"/>
            <w:vAlign w:val="center"/>
          </w:tcPr>
          <w:p w14:paraId="7D58159D">
            <w:pPr>
              <w:keepNext w:val="0"/>
              <w:keepLines w:val="0"/>
              <w:widowControl/>
              <w:suppressLineNumbers w:val="0"/>
              <w:jc w:val="left"/>
              <w:textAlignment w:val="center"/>
              <w:rPr>
                <w:rFonts w:hint="eastAsia"/>
                <w:lang w:val="en-US" w:eastAsia="zh-CN"/>
              </w:rPr>
            </w:pPr>
            <w:r>
              <w:rPr>
                <w:rFonts w:hint="eastAsia"/>
                <w:lang w:val="en-US" w:eastAsia="zh-CN"/>
              </w:rPr>
              <w:t>财务负责人：</w:t>
            </w:r>
          </w:p>
          <w:p w14:paraId="1A757F10">
            <w:pPr>
              <w:pStyle w:val="2"/>
              <w:rPr>
                <w:rFonts w:hint="eastAsia"/>
              </w:rPr>
            </w:pPr>
          </w:p>
        </w:tc>
      </w:tr>
      <w:tr w14:paraId="182E5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C4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E4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00E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2DB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51320021T000000060969-州政府办办公设备购置</w:t>
            </w:r>
          </w:p>
        </w:tc>
      </w:tr>
      <w:tr w14:paraId="62F3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81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54E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2DE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BD7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1B68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7E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152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3F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A3C4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53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72C7">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D02EF">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593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2025年购置2类办公设备（包括多功能一体机、空调），为保障办公室工作正常运转提供硬件设置，通过设备购置，显著提升办公室条件和工作效率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D704E">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已经按照采购流程进行设备采购</w:t>
            </w:r>
          </w:p>
        </w:tc>
      </w:tr>
      <w:tr w14:paraId="7265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0F52A">
            <w:pP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BB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D72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已经按照采购流程进行设备采购，为保障办公室工作正常运转提供硬件设施。</w:t>
            </w:r>
          </w:p>
        </w:tc>
      </w:tr>
      <w:tr w14:paraId="6087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B2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CA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8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3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1D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A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1B33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346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73E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173DE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4A09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FC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C1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96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AD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8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6684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19F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511D"/>
        </w:tc>
      </w:tr>
      <w:tr w14:paraId="2B53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AD338">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42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9B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23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9C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7A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AD06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5A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C7415"/>
        </w:tc>
      </w:tr>
      <w:tr w14:paraId="574FE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4F58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3B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06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9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BC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2B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E85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6AE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6924F"/>
        </w:tc>
      </w:tr>
      <w:tr w14:paraId="17F3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6E59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8E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136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3C6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AA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F1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F27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63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458E"/>
        </w:tc>
      </w:tr>
      <w:tr w14:paraId="4605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F41F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D0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18DA2">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336A3">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9111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8236B">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3E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406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D40F0"/>
        </w:tc>
      </w:tr>
      <w:tr w14:paraId="59F4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8D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3E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73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33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25A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5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AE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602A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4FA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107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C0A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77F8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7DC0A">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B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1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7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空调购置数量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E8E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D2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AF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B74F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118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D5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72A81">
            <w:pPr>
              <w:jc w:val="center"/>
            </w:pPr>
          </w:p>
        </w:tc>
      </w:tr>
      <w:tr w14:paraId="307F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9201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DCA02">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1364">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46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一体机购置数量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0A4E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02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B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0B8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3</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5D2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70AB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7A4FD">
            <w:pPr>
              <w:jc w:val="center"/>
            </w:pPr>
          </w:p>
        </w:tc>
      </w:tr>
      <w:tr w14:paraId="0989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5CA97">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9422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FE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4C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2DE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49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4A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CED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43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DF9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866B">
            <w:pPr>
              <w:jc w:val="center"/>
            </w:pPr>
          </w:p>
        </w:tc>
      </w:tr>
      <w:tr w14:paraId="7E734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1AADE">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525C6">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67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74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设备安装调试完成时间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60E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55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8D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83E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5D5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BC2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383D1">
            <w:pPr>
              <w:jc w:val="center"/>
            </w:pPr>
          </w:p>
        </w:tc>
      </w:tr>
      <w:tr w14:paraId="6ED8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FFE99">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9B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A5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1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办公条件改善情况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B60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9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8E309">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B69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913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B49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A0D4B">
            <w:pPr>
              <w:jc w:val="center"/>
            </w:pPr>
          </w:p>
        </w:tc>
      </w:tr>
      <w:tr w14:paraId="33AB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C16A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BC4A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36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17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工作效益提升率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CB7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BB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D9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B4A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40C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577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D94FA">
            <w:pPr>
              <w:jc w:val="center"/>
            </w:pPr>
          </w:p>
        </w:tc>
      </w:tr>
      <w:tr w14:paraId="270A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5B5FC">
            <w:pPr>
              <w:jc w:val="center"/>
              <w:rPr>
                <w:rFonts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F84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6D2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EC7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使用人对办公设备满意度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412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5D73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5304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0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815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2F4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8E582">
            <w:pPr>
              <w:jc w:val="center"/>
            </w:pPr>
          </w:p>
        </w:tc>
      </w:tr>
      <w:tr w14:paraId="477B9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CE25B">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1B8E5">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3F344">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AB6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保障工作满意度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7AD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908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28E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FF2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C66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888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44357">
            <w:pPr>
              <w:jc w:val="center"/>
            </w:pPr>
          </w:p>
        </w:tc>
      </w:tr>
      <w:tr w14:paraId="234C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C0E6D">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3FC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CC4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4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39A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F92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E27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A9A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0BF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ECA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28BC9">
            <w:pPr>
              <w:jc w:val="center"/>
            </w:pPr>
          </w:p>
        </w:tc>
      </w:tr>
      <w:tr w14:paraId="11347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988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42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19C36">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5842D"/>
        </w:tc>
      </w:tr>
      <w:tr w14:paraId="6FD3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011F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4727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1B3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6B3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78FEB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B95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CC17C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18FB756">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r w14:paraId="2CBD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C4E58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EFCEDFB">
            <w:pPr>
              <w:keepNext w:val="0"/>
              <w:keepLines w:val="0"/>
              <w:widowControl/>
              <w:suppressLineNumbers w:val="0"/>
              <w:jc w:val="left"/>
              <w:textAlignment w:val="center"/>
              <w:rPr>
                <w:rFonts w:hint="eastAsia"/>
                <w:lang w:val="en-US" w:eastAsia="zh-CN"/>
              </w:rPr>
            </w:pPr>
            <w:r>
              <w:rPr>
                <w:rFonts w:hint="eastAsia"/>
                <w:lang w:val="en-US" w:eastAsia="zh-CN"/>
              </w:rPr>
              <w:t>财务负责人：</w:t>
            </w:r>
          </w:p>
          <w:p w14:paraId="18CA5040">
            <w:pPr>
              <w:pStyle w:val="2"/>
            </w:pPr>
          </w:p>
        </w:tc>
      </w:tr>
      <w:tr w14:paraId="3645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7EEB5CA2">
            <w:pPr>
              <w:keepNext w:val="0"/>
              <w:keepLines w:val="0"/>
              <w:widowControl/>
              <w:suppressLineNumbers w:val="0"/>
              <w:jc w:val="left"/>
              <w:textAlignment w:val="center"/>
              <w:rPr>
                <w:rFonts w:hint="eastAsia"/>
                <w:lang w:val="en-US" w:eastAsia="zh-CN"/>
              </w:rPr>
            </w:pPr>
          </w:p>
          <w:p w14:paraId="713A6206">
            <w:pPr>
              <w:pStyle w:val="2"/>
              <w:rPr>
                <w:rFonts w:hint="eastAsia"/>
                <w:lang w:val="en-US" w:eastAsia="zh-CN"/>
              </w:rPr>
            </w:pPr>
          </w:p>
          <w:p w14:paraId="07E277DD">
            <w:pPr>
              <w:rPr>
                <w:rFonts w:hint="eastAsia"/>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524B39DC">
            <w:pPr>
              <w:pStyle w:val="2"/>
            </w:pPr>
          </w:p>
        </w:tc>
      </w:tr>
      <w:tr w14:paraId="39F0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4631AF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704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D2C02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33790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51320021T000000060972-会议费</w:t>
            </w:r>
          </w:p>
        </w:tc>
      </w:tr>
      <w:tr w14:paraId="6ED5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D8B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9A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B2F88">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02D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6FA8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D5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C5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02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81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021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0D874">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247E0">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45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保障我单位日常会议及各类全州性会议的召开，提高政府工作效率和决策水平。由于集中会议中心修建，我单位在上年基础上减少预算，全年计划召开会议不少于15次。</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A503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保障了我单位2025年的日常会议</w:t>
            </w:r>
          </w:p>
        </w:tc>
      </w:tr>
      <w:tr w14:paraId="41A8E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8A77C">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CB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C4F3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保障我单位日常会议及各类全州性会议的召开</w:t>
            </w:r>
          </w:p>
        </w:tc>
      </w:tr>
      <w:tr w14:paraId="5301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7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FA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1E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1E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E6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0E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EE46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403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4C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175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445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7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47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D0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85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AA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EC06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212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DA6A3"/>
        </w:tc>
      </w:tr>
      <w:tr w14:paraId="05FF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C0B5A">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5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D67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EC5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F1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E1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90DAD">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75C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4695"/>
        </w:tc>
      </w:tr>
      <w:tr w14:paraId="2690B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28BC4">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F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BC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74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7A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DA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11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BC1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40164"/>
        </w:tc>
      </w:tr>
      <w:tr w14:paraId="77761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C627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F7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8F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70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C1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4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204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BCD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CA765"/>
        </w:tc>
      </w:tr>
      <w:tr w14:paraId="6E98D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84DC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4D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5175C">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C5CDF">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30D8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7AAFE">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1BB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CA1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9A9D7"/>
        </w:tc>
      </w:tr>
      <w:tr w14:paraId="6C32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5E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08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7D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55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24F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E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8C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476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2E0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93C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297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9FC8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8AE5A">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D5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A4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2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召开会议次数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C5D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3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0B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E8E5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06E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430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B018">
            <w:pPr>
              <w:jc w:val="center"/>
            </w:pPr>
          </w:p>
        </w:tc>
      </w:tr>
      <w:tr w14:paraId="2F25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9BF81">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EFF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B4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CC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4B3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9D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4F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C94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083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AC2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BF67C">
            <w:pPr>
              <w:jc w:val="center"/>
            </w:pPr>
          </w:p>
        </w:tc>
      </w:tr>
      <w:tr w14:paraId="6431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3338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4E45A">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4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F6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2FA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E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DE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1568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月</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B60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72C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504B8">
            <w:pPr>
              <w:jc w:val="center"/>
            </w:pPr>
          </w:p>
        </w:tc>
      </w:tr>
      <w:tr w14:paraId="3B298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10AE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A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25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09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重大决策落实及时性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D2A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A5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0EB6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34EEB">
            <w:pPr>
              <w:jc w:val="center"/>
              <w:rPr>
                <w:rFonts w:hint="eastAsia" w:ascii="微软雅黑" w:hAnsi="微软雅黑" w:eastAsia="微软雅黑" w:cs="微软雅黑"/>
                <w:i/>
                <w:iCs/>
                <w:color w:val="000000"/>
                <w:sz w:val="16"/>
                <w:szCs w:val="16"/>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AFE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DE7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B743C">
            <w:pPr>
              <w:jc w:val="center"/>
            </w:pPr>
          </w:p>
        </w:tc>
      </w:tr>
      <w:tr w14:paraId="5BDDF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9AFE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B78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376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2EF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参会人员满意度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B6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E0D7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7E07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B2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FE8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E01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BA53F">
            <w:pPr>
              <w:jc w:val="center"/>
            </w:pPr>
          </w:p>
        </w:tc>
      </w:tr>
      <w:tr w14:paraId="411F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E9E3E">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69BF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E47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31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A7C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702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08CB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B65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E5A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9B7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A6A84">
            <w:pPr>
              <w:jc w:val="center"/>
            </w:pPr>
          </w:p>
        </w:tc>
      </w:tr>
      <w:tr w14:paraId="6542E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4CCEE">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94919">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53A54">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857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参会人员成本</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718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270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230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93B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0FA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80E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D71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B97B">
            <w:pPr>
              <w:jc w:val="center"/>
            </w:pPr>
          </w:p>
        </w:tc>
      </w:tr>
      <w:tr w14:paraId="2B5C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018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014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B2D0D">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C4AB1"/>
        </w:tc>
      </w:tr>
      <w:tr w14:paraId="0E48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EDFC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FC343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5A0A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CE2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62BBB1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B4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24983F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6747B57A">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r w14:paraId="7D7D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65"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0C6A1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070101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B5F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4EF93D0A">
            <w:pPr>
              <w:keepNext w:val="0"/>
              <w:keepLines w:val="0"/>
              <w:widowControl/>
              <w:suppressLineNumbers w:val="0"/>
              <w:jc w:val="left"/>
              <w:textAlignment w:val="center"/>
              <w:rPr>
                <w:rFonts w:hint="eastAsia"/>
                <w:lang w:val="en-US" w:eastAsia="zh-CN"/>
              </w:rPr>
            </w:pPr>
          </w:p>
          <w:p w14:paraId="5B4D515C">
            <w:pPr>
              <w:pStyle w:val="2"/>
              <w:rPr>
                <w:rFonts w:hint="eastAsia"/>
                <w:lang w:val="en-US" w:eastAsia="zh-CN"/>
              </w:rPr>
            </w:pPr>
          </w:p>
          <w:p w14:paraId="746E1845">
            <w:pPr>
              <w:rPr>
                <w:rFonts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6B5A45CF">
            <w:pPr>
              <w:pStyle w:val="2"/>
              <w:ind w:firstLine="360" w:firstLineChars="200"/>
              <w:rPr>
                <w:rFonts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00E719C3">
            <w:pPr>
              <w:keepNext w:val="0"/>
              <w:keepLines w:val="0"/>
              <w:widowControl/>
              <w:suppressLineNumbers w:val="0"/>
              <w:jc w:val="left"/>
              <w:textAlignment w:val="center"/>
              <w:rPr>
                <w:rFonts w:hint="eastAsia"/>
                <w:lang w:val="en-US" w:eastAsia="zh-CN"/>
              </w:rPr>
            </w:pPr>
          </w:p>
          <w:p w14:paraId="5F2C5482">
            <w:pPr>
              <w:pStyle w:val="2"/>
              <w:rPr>
                <w:rFonts w:hint="eastAsia"/>
                <w:lang w:val="en-US" w:eastAsia="zh-CN"/>
              </w:rPr>
            </w:pPr>
          </w:p>
          <w:p w14:paraId="57967AE4"/>
        </w:tc>
        <w:tc>
          <w:tcPr>
            <w:tcW w:w="1379" w:type="dxa"/>
            <w:gridSpan w:val="3"/>
            <w:tcBorders>
              <w:top w:val="single" w:color="auto" w:sz="4" w:space="0"/>
              <w:left w:val="nil"/>
              <w:bottom w:val="single" w:color="auto" w:sz="4" w:space="0"/>
              <w:right w:val="nil"/>
            </w:tcBorders>
            <w:shd w:val="clear" w:color="auto" w:fill="auto"/>
            <w:noWrap w:val="0"/>
            <w:vAlign w:val="center"/>
          </w:tcPr>
          <w:p w14:paraId="25EE2147">
            <w:pPr>
              <w:pStyle w:val="2"/>
              <w:ind w:firstLine="420" w:firstLineChars="200"/>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17DF17FA">
            <w:pPr>
              <w:keepNext w:val="0"/>
              <w:keepLines w:val="0"/>
              <w:widowControl/>
              <w:suppressLineNumbers w:val="0"/>
              <w:jc w:val="left"/>
              <w:textAlignment w:val="center"/>
              <w:rPr>
                <w:rFonts w:hint="eastAsia"/>
                <w:lang w:val="en-US" w:eastAsia="zh-CN"/>
              </w:rPr>
            </w:pPr>
          </w:p>
          <w:p w14:paraId="3FFD06F2">
            <w:pPr>
              <w:pStyle w:val="2"/>
              <w:rPr>
                <w:rFonts w:hint="eastAsia"/>
                <w:lang w:val="en-US" w:eastAsia="zh-CN"/>
              </w:rPr>
            </w:pPr>
          </w:p>
          <w:p w14:paraId="565815A1">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0156CC2A">
            <w:pPr>
              <w:pStyle w:val="2"/>
              <w:ind w:firstLine="420" w:firstLineChars="200"/>
            </w:pPr>
          </w:p>
          <w:p w14:paraId="5668D90E"/>
          <w:p w14:paraId="284AF0FA"/>
        </w:tc>
        <w:tc>
          <w:tcPr>
            <w:tcW w:w="423" w:type="dxa"/>
            <w:gridSpan w:val="2"/>
            <w:tcBorders>
              <w:top w:val="single" w:color="auto" w:sz="4" w:space="0"/>
              <w:left w:val="nil"/>
              <w:bottom w:val="single" w:color="auto" w:sz="4" w:space="0"/>
              <w:right w:val="nil"/>
            </w:tcBorders>
            <w:shd w:val="clear" w:color="auto" w:fill="auto"/>
            <w:noWrap w:val="0"/>
            <w:vAlign w:val="center"/>
          </w:tcPr>
          <w:p w14:paraId="769E4E97">
            <w:pPr>
              <w:keepNext w:val="0"/>
              <w:keepLines w:val="0"/>
              <w:widowControl/>
              <w:suppressLineNumbers w:val="0"/>
              <w:jc w:val="left"/>
              <w:textAlignment w:val="center"/>
              <w:rPr>
                <w:rFonts w:hint="eastAsia"/>
                <w:lang w:val="en-US" w:eastAsia="zh-CN"/>
              </w:rPr>
            </w:pPr>
          </w:p>
          <w:p w14:paraId="4D14BDE9">
            <w:pPr>
              <w:pStyle w:val="2"/>
              <w:rPr>
                <w:rFonts w:hint="eastAsia"/>
                <w:lang w:val="en-US" w:eastAsia="zh-CN"/>
              </w:rPr>
            </w:pPr>
          </w:p>
          <w:p w14:paraId="7A572BCD"/>
        </w:tc>
        <w:tc>
          <w:tcPr>
            <w:tcW w:w="664" w:type="dxa"/>
            <w:gridSpan w:val="3"/>
            <w:tcBorders>
              <w:top w:val="single" w:color="auto" w:sz="4" w:space="0"/>
              <w:left w:val="nil"/>
              <w:bottom w:val="single" w:color="auto" w:sz="4" w:space="0"/>
              <w:right w:val="nil"/>
            </w:tcBorders>
            <w:shd w:val="clear" w:color="auto" w:fill="auto"/>
            <w:noWrap w:val="0"/>
            <w:vAlign w:val="center"/>
          </w:tcPr>
          <w:p w14:paraId="1ADC96A0">
            <w:pPr>
              <w:pStyle w:val="2"/>
              <w:ind w:firstLine="420" w:firstLineChars="200"/>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48455DE1">
            <w:pPr>
              <w:keepNext w:val="0"/>
              <w:keepLines w:val="0"/>
              <w:widowControl/>
              <w:suppressLineNumbers w:val="0"/>
              <w:jc w:val="left"/>
              <w:textAlignment w:val="center"/>
              <w:rPr>
                <w:rFonts w:hint="eastAsia"/>
                <w:lang w:val="en-US" w:eastAsia="zh-CN"/>
              </w:rPr>
            </w:pPr>
          </w:p>
          <w:p w14:paraId="103B1B53">
            <w:pPr>
              <w:pStyle w:val="2"/>
              <w:rPr>
                <w:rFonts w:hint="eastAsia"/>
                <w:lang w:val="en-US" w:eastAsia="zh-CN"/>
              </w:rPr>
            </w:pPr>
          </w:p>
          <w:p w14:paraId="0E7FBC9D"/>
        </w:tc>
        <w:tc>
          <w:tcPr>
            <w:tcW w:w="411" w:type="dxa"/>
            <w:gridSpan w:val="2"/>
            <w:tcBorders>
              <w:top w:val="single" w:color="auto" w:sz="4" w:space="0"/>
              <w:left w:val="nil"/>
              <w:bottom w:val="single" w:color="auto" w:sz="4" w:space="0"/>
              <w:right w:val="nil"/>
            </w:tcBorders>
            <w:shd w:val="clear" w:color="auto" w:fill="auto"/>
            <w:noWrap w:val="0"/>
            <w:vAlign w:val="center"/>
          </w:tcPr>
          <w:p w14:paraId="7AAC796D">
            <w:pPr>
              <w:pStyle w:val="2"/>
              <w:ind w:firstLine="420" w:firstLineChars="200"/>
            </w:pPr>
          </w:p>
        </w:tc>
        <w:tc>
          <w:tcPr>
            <w:tcW w:w="1318" w:type="dxa"/>
            <w:tcBorders>
              <w:top w:val="single" w:color="auto" w:sz="4" w:space="0"/>
              <w:left w:val="nil"/>
              <w:bottom w:val="single" w:color="auto" w:sz="4" w:space="0"/>
              <w:right w:val="nil"/>
            </w:tcBorders>
            <w:shd w:val="clear" w:color="auto" w:fill="auto"/>
            <w:noWrap w:val="0"/>
            <w:vAlign w:val="center"/>
          </w:tcPr>
          <w:p w14:paraId="55D1BCE4">
            <w:pPr>
              <w:keepNext w:val="0"/>
              <w:keepLines w:val="0"/>
              <w:widowControl/>
              <w:suppressLineNumbers w:val="0"/>
              <w:jc w:val="left"/>
              <w:textAlignment w:val="center"/>
              <w:rPr>
                <w:rFonts w:hint="eastAsia"/>
                <w:lang w:val="en-US" w:eastAsia="zh-CN"/>
              </w:rPr>
            </w:pPr>
          </w:p>
          <w:p w14:paraId="205436EF">
            <w:pPr>
              <w:pStyle w:val="2"/>
              <w:rPr>
                <w:rFonts w:hint="eastAsia"/>
                <w:lang w:val="en-US" w:eastAsia="zh-CN"/>
              </w:rPr>
            </w:pPr>
          </w:p>
          <w:p w14:paraId="4C894407"/>
        </w:tc>
      </w:tr>
      <w:tr w14:paraId="10194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AAA78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19D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8ABE9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745A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51320021T000000060981-印刷系统运行维修维护费</w:t>
            </w:r>
          </w:p>
        </w:tc>
      </w:tr>
      <w:tr w14:paraId="7AFB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CB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5C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BA989">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27D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6D9A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C8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01F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28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CB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B96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0218A">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B0F47">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E4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保障我单位印刷系统正常运行。</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5D10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已保障我单位印刷系统正常运行。</w:t>
            </w:r>
          </w:p>
        </w:tc>
      </w:tr>
      <w:tr w14:paraId="2CDD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3B09">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AC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36097">
            <w:pPr>
              <w:rPr>
                <w:rFonts w:hint="eastAsia" w:ascii="黑体" w:hAnsi="黑体" w:eastAsia="黑体" w:cs="黑体"/>
                <w:i/>
                <w:iCs/>
                <w:color w:val="000000"/>
                <w:sz w:val="18"/>
                <w:szCs w:val="18"/>
                <w:u w:val="none"/>
              </w:rPr>
            </w:pPr>
          </w:p>
        </w:tc>
      </w:tr>
      <w:tr w14:paraId="4C57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53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04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61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AE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BA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3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937BA">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168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765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4851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5EE3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1D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32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34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AC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F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0019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E2A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25D0F"/>
        </w:tc>
      </w:tr>
      <w:tr w14:paraId="4247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0779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79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757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AB97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83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8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3421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AA8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6014A"/>
        </w:tc>
      </w:tr>
      <w:tr w14:paraId="3963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ADC93">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C0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D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10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DD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F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1C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4F4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4A89B"/>
        </w:tc>
      </w:tr>
      <w:tr w14:paraId="62A4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C1F68">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FA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FE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D1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53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20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2CD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27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2E62B"/>
        </w:tc>
      </w:tr>
      <w:tr w14:paraId="2468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B8B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F3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B7CB0">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1FBB1">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D385B">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0963">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67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A0A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A8E46"/>
        </w:tc>
      </w:tr>
      <w:tr w14:paraId="64E9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BF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D5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79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37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83DF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01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C4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5A62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116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D39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90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7136A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06117">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D6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5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8E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印制文件次数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88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49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C9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700B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120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53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7EF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2541D">
            <w:pPr>
              <w:jc w:val="center"/>
            </w:pPr>
          </w:p>
        </w:tc>
      </w:tr>
      <w:tr w14:paraId="22CB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303AD">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F8ED8">
            <w:pPr>
              <w:jc w:val="center"/>
              <w:rPr>
                <w:rFonts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2E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41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系统故障修复及时率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ACE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6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D5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59A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307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591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B6C2">
            <w:pPr>
              <w:jc w:val="center"/>
            </w:pPr>
          </w:p>
        </w:tc>
      </w:tr>
      <w:tr w14:paraId="1CBDC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A8D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9CC6F">
            <w:pPr>
              <w:jc w:val="center"/>
              <w:rPr>
                <w:rFonts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F2F7">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9C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文件质量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016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56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795AA">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9F0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7FF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13C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F32F5">
            <w:pPr>
              <w:jc w:val="center"/>
            </w:pPr>
          </w:p>
        </w:tc>
      </w:tr>
      <w:tr w14:paraId="2DBE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6A70A">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6BB0C">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93FD">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10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D6D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C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ED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F2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98</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3CF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66E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0EE3E">
            <w:pPr>
              <w:jc w:val="center"/>
            </w:pPr>
          </w:p>
        </w:tc>
      </w:tr>
      <w:tr w14:paraId="4B51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FABC0">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C530">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1DD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4FA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故障影响时间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985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3DF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79F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小时</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7F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57B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A0B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A1C0A">
            <w:pPr>
              <w:jc w:val="center"/>
            </w:pPr>
          </w:p>
        </w:tc>
      </w:tr>
      <w:tr w14:paraId="2C82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D6A98">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CA3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2C7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EE5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机关办公效率提升情况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B68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FA3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6B129">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25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B7F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77F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545C1">
            <w:pPr>
              <w:jc w:val="center"/>
            </w:pPr>
          </w:p>
        </w:tc>
      </w:tr>
      <w:tr w14:paraId="1079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F1638">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937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095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205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D4C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BA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F68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B6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86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74A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8B237">
            <w:pPr>
              <w:jc w:val="center"/>
            </w:pPr>
          </w:p>
        </w:tc>
      </w:tr>
      <w:tr w14:paraId="2DDF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F7F2F">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C4B7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AA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DE8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F3F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798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F1D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C63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91E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357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EBFAD">
            <w:pPr>
              <w:jc w:val="center"/>
            </w:pPr>
          </w:p>
        </w:tc>
      </w:tr>
      <w:tr w14:paraId="457C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ECB958">
            <w:pPr>
              <w:jc w:val="center"/>
              <w:rPr>
                <w:rFonts w:hint="eastAsia" w:ascii="黑体" w:hAnsi="黑体" w:eastAsia="黑体" w:cs="黑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1F041BC">
            <w:pPr>
              <w:jc w:val="center"/>
            </w:pP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019A2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生态环境成本指标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08478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纸张节约率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886A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45F8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7292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D7DC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C9F0C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A926D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593F679">
            <w:pPr>
              <w:jc w:val="center"/>
            </w:pPr>
          </w:p>
        </w:tc>
      </w:tr>
      <w:tr w14:paraId="760F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1089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E667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60F1992">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22D34"/>
        </w:tc>
      </w:tr>
      <w:tr w14:paraId="5A28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28663C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29B075">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5C6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C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B7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7A6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FC4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E67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5B0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6AE67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24FE8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E2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554DDCC1">
            <w:pPr>
              <w:keepNext w:val="0"/>
              <w:keepLines w:val="0"/>
              <w:widowControl/>
              <w:suppressLineNumbers w:val="0"/>
              <w:jc w:val="left"/>
              <w:textAlignment w:val="center"/>
              <w:rPr>
                <w:rFonts w:hint="eastAsia"/>
                <w:lang w:val="en-US" w:eastAsia="zh-CN"/>
              </w:rPr>
            </w:pPr>
          </w:p>
          <w:p w14:paraId="74DC4362">
            <w:pPr>
              <w:pStyle w:val="2"/>
              <w:rPr>
                <w:rFonts w:hint="eastAsia"/>
                <w:lang w:val="en-US" w:eastAsia="zh-CN"/>
              </w:rPr>
            </w:pPr>
          </w:p>
          <w:p w14:paraId="19F9658F">
            <w:pPr>
              <w:rPr>
                <w:rFonts w:hint="eastAsia"/>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353A75E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12278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355C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B2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5AB4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9F20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51320021T000000061014-专项业务费</w:t>
            </w:r>
          </w:p>
        </w:tc>
      </w:tr>
      <w:tr w14:paraId="5213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902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916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3F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0719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B53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4D3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155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0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BEE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41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99F43">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09A5">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97E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保障办公室工作正常运转，保障我单位差旅费、电费、办公费等经费支出，提高单位工作效率，保障政府重点工作顺利完成。</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682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按计划保障办公室工作正常运转</w:t>
            </w:r>
          </w:p>
        </w:tc>
      </w:tr>
      <w:tr w14:paraId="1583E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B2773">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F13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FD64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按计划保障办公室工作正常运转</w:t>
            </w:r>
          </w:p>
        </w:tc>
      </w:tr>
      <w:tr w14:paraId="4CCE7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F2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2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15B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D17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D0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2D42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D56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7BD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FD4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052EF">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4C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12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AA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F9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8B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A4F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A3B46"/>
        </w:tc>
      </w:tr>
      <w:tr w14:paraId="545B7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376C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E1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83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DF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5E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8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2D2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BEC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EF016"/>
        </w:tc>
      </w:tr>
      <w:tr w14:paraId="5A6E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33D2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6D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27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E7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79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F6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54C6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341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0BF12"/>
        </w:tc>
      </w:tr>
      <w:tr w14:paraId="3689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B9C8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A1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0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F7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15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25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5E7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3AB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9C371"/>
        </w:tc>
      </w:tr>
      <w:tr w14:paraId="75A9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53A7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BC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643FC">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9DA9">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259C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9A360">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B797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F29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CB561"/>
        </w:tc>
      </w:tr>
      <w:tr w14:paraId="3C405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6E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86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E6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57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171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23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10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FDC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255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58A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752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3A9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ED585">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2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06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A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经费支出科目覆盖率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8CC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94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12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9FC3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43C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14A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0B011">
            <w:pPr>
              <w:jc w:val="center"/>
            </w:pPr>
          </w:p>
        </w:tc>
      </w:tr>
      <w:tr w14:paraId="4E0A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DBDCA">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8A191">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FF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BA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机关运转保障机制持续性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048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CE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19FA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19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持续保障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C1A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0DC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74CFD">
            <w:pPr>
              <w:jc w:val="center"/>
            </w:pPr>
          </w:p>
        </w:tc>
      </w:tr>
      <w:tr w14:paraId="0BEE7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6A126">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19559">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147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CCB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经费按时拨付率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516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4FB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AC20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E4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F6CB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F6D1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8C76F">
            <w:pPr>
              <w:jc w:val="center"/>
            </w:pPr>
          </w:p>
        </w:tc>
      </w:tr>
      <w:tr w14:paraId="54FF7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C928">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2072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415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08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提升该单位工作效率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048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F7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0ADF0">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7E6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556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D42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8D707">
            <w:pPr>
              <w:jc w:val="center"/>
            </w:pPr>
          </w:p>
        </w:tc>
      </w:tr>
      <w:tr w14:paraId="66689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F0BEB">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1509D">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A8B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7BE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重点工作任务完成率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446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277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650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063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B13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744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F08AE">
            <w:pPr>
              <w:jc w:val="center"/>
            </w:pPr>
          </w:p>
        </w:tc>
      </w:tr>
      <w:tr w14:paraId="7E20B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B0DBB">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471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FCB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D29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7EB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52F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8B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73B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5F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39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C5A2A">
            <w:pPr>
              <w:jc w:val="center"/>
            </w:pPr>
          </w:p>
        </w:tc>
      </w:tr>
      <w:tr w14:paraId="7CA0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40D91A2">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DB532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56EA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489EA7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B470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FF520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4E15E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56473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59E18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6D319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834CA2D">
            <w:pPr>
              <w:jc w:val="center"/>
            </w:pPr>
          </w:p>
        </w:tc>
      </w:tr>
      <w:tr w14:paraId="73A9E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7097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712E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16E342">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17B6EC"/>
        </w:tc>
      </w:tr>
      <w:tr w14:paraId="7936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4E548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984DC1">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06DF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F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CE93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D01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D215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4E1D0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E1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18"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1B705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25E8E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8E24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18"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2BA8E351">
            <w:pPr>
              <w:keepNext w:val="0"/>
              <w:keepLines w:val="0"/>
              <w:widowControl/>
              <w:suppressLineNumbers w:val="0"/>
              <w:jc w:val="left"/>
              <w:textAlignment w:val="center"/>
              <w:rPr>
                <w:rFonts w:hint="eastAsia"/>
                <w:lang w:val="en-US" w:eastAsia="zh-CN"/>
              </w:rPr>
            </w:pPr>
          </w:p>
          <w:p w14:paraId="51001EF6">
            <w:pPr>
              <w:pStyle w:val="2"/>
              <w:rPr>
                <w:rFonts w:hint="eastAsia"/>
                <w:lang w:val="en-US" w:eastAsia="zh-CN"/>
              </w:rPr>
            </w:pPr>
          </w:p>
          <w:p w14:paraId="7E6B91C5">
            <w:pPr>
              <w:rPr>
                <w:rFonts w:hint="eastAsia" w:ascii="黑体" w:hAnsi="黑体" w:eastAsia="黑体" w:cs="黑体"/>
                <w:i w:val="0"/>
                <w:iCs w:val="0"/>
                <w:color w:val="000000"/>
                <w:kern w:val="0"/>
                <w:sz w:val="18"/>
                <w:szCs w:val="18"/>
                <w:u w:val="none"/>
                <w:lang w:val="en-US" w:eastAsia="zh-CN" w:bidi="ar"/>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493E9E8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r>
      <w:tr w14:paraId="7A3C1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5EAEB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D6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8BD7B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E6C89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51320021T000000061041-机关零星维修维护费</w:t>
            </w:r>
          </w:p>
        </w:tc>
      </w:tr>
      <w:tr w14:paraId="4493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2C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71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A5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09C3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75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66A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FE6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7D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5612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5D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79B0F">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0D9AB">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3F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完成办公区域水电、门窗、墙面等设施设备的零星维修，创造良好的办公环境</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B71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完成办公区域各种零星维修，创造良好的办公环境</w:t>
            </w:r>
          </w:p>
        </w:tc>
      </w:tr>
      <w:tr w14:paraId="4EF7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1F640">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0B1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B7C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完成办公区域水电、门窗、墙面等设施设备的零星维修，创造良好的办公环境</w:t>
            </w:r>
          </w:p>
        </w:tc>
      </w:tr>
      <w:tr w14:paraId="47EF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3D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3C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B66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D6E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EA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0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A385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A79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5E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0818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E3276">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B7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12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97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37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4C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9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6D1E5">
            <w:pPr>
              <w:jc w:val="center"/>
            </w:pP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76D09"/>
        </w:tc>
      </w:tr>
      <w:tr w14:paraId="272B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B2703">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8F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14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26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E1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5E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446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F1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03B9C"/>
        </w:tc>
      </w:tr>
      <w:tr w14:paraId="36CF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81E6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5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60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EE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C0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D6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796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80D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A7D5C"/>
        </w:tc>
      </w:tr>
      <w:tr w14:paraId="02BE4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3EBA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09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2D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01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17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C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B31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A72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04F7"/>
        </w:tc>
      </w:tr>
      <w:tr w14:paraId="4B13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2B0A9">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A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89883">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15D10">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66778">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C0C9">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6C5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98E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E0AE7"/>
        </w:tc>
      </w:tr>
      <w:tr w14:paraId="1533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66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9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D2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03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177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01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2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C8E9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B93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D75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2D3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867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9CE4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E2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8F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0C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6F5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E8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B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2CF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792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38F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7C07E">
            <w:pPr>
              <w:jc w:val="center"/>
            </w:pPr>
          </w:p>
        </w:tc>
      </w:tr>
      <w:tr w14:paraId="020A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4C519">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C8DE7">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D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25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维修设施设备验收合格率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C4A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CE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D4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3A0E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049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C37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EC59E">
            <w:pPr>
              <w:jc w:val="center"/>
            </w:pPr>
          </w:p>
        </w:tc>
      </w:tr>
      <w:tr w14:paraId="392F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DD6E">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0F07">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F53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E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19D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67D0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0BBE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88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DEA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717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CA7F6">
            <w:pPr>
              <w:jc w:val="center"/>
            </w:pPr>
          </w:p>
        </w:tc>
      </w:tr>
      <w:tr w14:paraId="7EC8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BA752">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838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3D9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B8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办公环境改善升度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170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1A0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156FE">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ACEC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25F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479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9BFE">
            <w:pPr>
              <w:jc w:val="center"/>
            </w:pPr>
          </w:p>
        </w:tc>
      </w:tr>
      <w:tr w14:paraId="2127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38CF8">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18DA4">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6E8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C51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基础设施保障程度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5D7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A8D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B17EF">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C9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3B9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48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F72BE">
            <w:pPr>
              <w:jc w:val="center"/>
            </w:pPr>
          </w:p>
        </w:tc>
      </w:tr>
      <w:tr w14:paraId="5FC5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597A0">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963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E87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9D1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EAC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B1F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026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FD0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35C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2FE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48D67">
            <w:pPr>
              <w:jc w:val="center"/>
            </w:pPr>
          </w:p>
        </w:tc>
      </w:tr>
      <w:tr w14:paraId="59C6D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642D26">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EA2A3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7D1EF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D829C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7C1E3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5FDC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477A4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52907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50583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44DA0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EDEBD7">
            <w:pPr>
              <w:jc w:val="center"/>
            </w:pPr>
          </w:p>
        </w:tc>
      </w:tr>
      <w:tr w14:paraId="52B4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74668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38C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1B00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D9BD2"/>
        </w:tc>
      </w:tr>
      <w:tr w14:paraId="08D0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E9F9F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9CDC16">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6B443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A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32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5D48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C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E36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DF9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9FB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E7D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F9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3C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51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59C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1A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51320022T000000341209-州政务云监管平台运行服务费</w:t>
            </w:r>
          </w:p>
        </w:tc>
      </w:tr>
      <w:tr w14:paraId="1092C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C0A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BCD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0D1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8D4C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4EC0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23C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B8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F6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2D53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DE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5AE4A">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195D">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C2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建立技术支撑团队为政务云监管平台做维护支撑工作</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6287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年度内完成政务云监管平台技术支撑及阿坝州政务云资源使用及费用稽核相关工作，按月出具监测稽核报告，云监管技术支撑和云资源、费用稽核工作目标基本实现。</w:t>
            </w:r>
          </w:p>
        </w:tc>
      </w:tr>
      <w:tr w14:paraId="5B439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B1D64">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9E3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D09B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项目通过服务按要求对阿坝州政务云资源使用情况进行监测，不定期向我单位提供政务云资源使用优化建议，有力推动了政务云资源按需使用的基本原则，避免了财政资金浪费，同时定期提供费用稽核报告，为财政资金支付提供科学依据。</w:t>
            </w:r>
          </w:p>
        </w:tc>
      </w:tr>
      <w:tr w14:paraId="297FE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36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D8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AD2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30D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3F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377A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D7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EBB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D27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A69A3">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F1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DF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DE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41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F8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28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683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2106"/>
        </w:tc>
      </w:tr>
      <w:tr w14:paraId="12A1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2EBE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9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6F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2F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9E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7B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DC3A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361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E729E"/>
        </w:tc>
      </w:tr>
      <w:tr w14:paraId="7D82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A9840">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8E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A8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04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DB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DB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CA2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37E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787E"/>
        </w:tc>
      </w:tr>
      <w:tr w14:paraId="42E9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18EE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AB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AF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AC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4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C8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E53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C26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5D492"/>
        </w:tc>
      </w:tr>
      <w:tr w14:paraId="1D494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13D94">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6414B">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1C046">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395C">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56C61">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77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8D8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248F8"/>
        </w:tc>
      </w:tr>
      <w:tr w14:paraId="006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F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39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B5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18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8C5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72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A3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327C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1FF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71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B77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EAFC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29278">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A2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37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C9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云业务（非涉密）系统数量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A55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63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4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5B3F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240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74B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AB8F7">
            <w:pPr>
              <w:jc w:val="center"/>
            </w:pPr>
          </w:p>
        </w:tc>
      </w:tr>
      <w:tr w14:paraId="6795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5DD4C">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C0D68">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0B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DC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政务云资源健康度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D7C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99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1D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D55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66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2AF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6CC93">
            <w:pPr>
              <w:jc w:val="center"/>
            </w:pPr>
          </w:p>
        </w:tc>
      </w:tr>
      <w:tr w14:paraId="7E8C8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A8150">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A6887">
            <w:pPr>
              <w:jc w:val="cente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3FC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C77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完成时效</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F41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7B2B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A223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30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ACD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542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71707">
            <w:pPr>
              <w:jc w:val="center"/>
            </w:pPr>
          </w:p>
        </w:tc>
      </w:tr>
      <w:tr w14:paraId="2560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22770">
            <w:pPr>
              <w:jc w:val="center"/>
              <w:rPr>
                <w:rFonts w:ascii="宋体" w:hAnsi="宋体" w:eastAsia="宋体" w:cs="宋体"/>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31CEE">
            <w:pPr>
              <w:jc w:val="center"/>
              <w:rPr>
                <w:rFonts w:hint="eastAsia" w:ascii="微软雅黑" w:hAnsi="微软雅黑" w:eastAsia="微软雅黑" w:cs="微软雅黑"/>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CFCC8">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0BF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提供技术服务支持时间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5A8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420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103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小时/天</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D3559">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CB5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8A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E854D">
            <w:pPr>
              <w:jc w:val="center"/>
            </w:pPr>
          </w:p>
        </w:tc>
      </w:tr>
      <w:tr w14:paraId="7E0E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FF85A">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20B8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73D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EE5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资源整合完成情况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2B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014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8ACFE">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7E30C">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165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C2E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4137E">
            <w:pPr>
              <w:jc w:val="center"/>
            </w:pPr>
          </w:p>
        </w:tc>
      </w:tr>
      <w:tr w14:paraId="2DB5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A6D65">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57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0C6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5A9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政务云使用单位满意度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904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73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44B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01C45">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9DE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B33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5238B">
            <w:pPr>
              <w:jc w:val="center"/>
            </w:pPr>
          </w:p>
        </w:tc>
      </w:tr>
      <w:tr w14:paraId="7A1CE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BB2FE3">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28F2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0064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EE86F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成本控制金额</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DFE7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6021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112600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BD423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C2B6C2E">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101100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ABC4A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E240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8CC21D">
            <w:pPr>
              <w:jc w:val="center"/>
            </w:pPr>
          </w:p>
        </w:tc>
      </w:tr>
      <w:tr w14:paraId="31FF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29CEA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1A19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015C9F">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C39CF6"/>
        </w:tc>
      </w:tr>
      <w:tr w14:paraId="75F8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A188D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9D4A8E9">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自评得100分</w:t>
            </w:r>
          </w:p>
        </w:tc>
      </w:tr>
      <w:tr w14:paraId="515C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BD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67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BD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9C5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5B177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18F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AF01B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4DBB8A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财务负责人：肖培</w:t>
            </w:r>
          </w:p>
        </w:tc>
      </w:tr>
      <w:tr w14:paraId="634D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7A74C367">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706DA87D">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564E5C1">
            <w:pPr>
              <w:rPr>
                <w:rFonts w:ascii="宋体" w:hAnsi="宋体" w:eastAsia="宋体" w:cs="宋体"/>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7E9A797"/>
        </w:tc>
        <w:tc>
          <w:tcPr>
            <w:tcW w:w="616" w:type="dxa"/>
            <w:gridSpan w:val="5"/>
            <w:tcBorders>
              <w:top w:val="single" w:color="auto" w:sz="4" w:space="0"/>
              <w:left w:val="nil"/>
              <w:bottom w:val="single" w:color="auto" w:sz="4" w:space="0"/>
              <w:right w:val="nil"/>
            </w:tcBorders>
            <w:shd w:val="clear" w:color="auto" w:fill="auto"/>
            <w:noWrap w:val="0"/>
            <w:vAlign w:val="center"/>
          </w:tcPr>
          <w:p w14:paraId="6A8308F7">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6C764791"/>
        </w:tc>
        <w:tc>
          <w:tcPr>
            <w:tcW w:w="423" w:type="dxa"/>
            <w:gridSpan w:val="2"/>
            <w:tcBorders>
              <w:top w:val="single" w:color="auto" w:sz="4" w:space="0"/>
              <w:left w:val="nil"/>
              <w:bottom w:val="single" w:color="auto" w:sz="4" w:space="0"/>
              <w:right w:val="nil"/>
            </w:tcBorders>
            <w:shd w:val="clear" w:color="auto" w:fill="auto"/>
            <w:noWrap w:val="0"/>
            <w:vAlign w:val="center"/>
          </w:tcPr>
          <w:p w14:paraId="52037B62"/>
        </w:tc>
        <w:tc>
          <w:tcPr>
            <w:tcW w:w="664" w:type="dxa"/>
            <w:gridSpan w:val="3"/>
            <w:tcBorders>
              <w:top w:val="single" w:color="auto" w:sz="4" w:space="0"/>
              <w:left w:val="nil"/>
              <w:bottom w:val="single" w:color="auto" w:sz="4" w:space="0"/>
              <w:right w:val="nil"/>
            </w:tcBorders>
            <w:shd w:val="clear" w:color="auto" w:fill="auto"/>
            <w:noWrap w:val="0"/>
            <w:vAlign w:val="center"/>
          </w:tcPr>
          <w:p w14:paraId="08C02EBB"/>
        </w:tc>
        <w:tc>
          <w:tcPr>
            <w:tcW w:w="473" w:type="dxa"/>
            <w:gridSpan w:val="5"/>
            <w:tcBorders>
              <w:top w:val="single" w:color="auto" w:sz="4" w:space="0"/>
              <w:left w:val="nil"/>
              <w:bottom w:val="single" w:color="auto" w:sz="4" w:space="0"/>
              <w:right w:val="nil"/>
            </w:tcBorders>
            <w:shd w:val="clear" w:color="auto" w:fill="auto"/>
            <w:noWrap w:val="0"/>
            <w:vAlign w:val="center"/>
          </w:tcPr>
          <w:p w14:paraId="39CD5B8C"/>
        </w:tc>
        <w:tc>
          <w:tcPr>
            <w:tcW w:w="411" w:type="dxa"/>
            <w:gridSpan w:val="2"/>
            <w:tcBorders>
              <w:top w:val="single" w:color="auto" w:sz="4" w:space="0"/>
              <w:left w:val="nil"/>
              <w:bottom w:val="single" w:color="auto" w:sz="4" w:space="0"/>
              <w:right w:val="nil"/>
            </w:tcBorders>
            <w:shd w:val="clear" w:color="auto" w:fill="auto"/>
            <w:noWrap w:val="0"/>
            <w:vAlign w:val="center"/>
          </w:tcPr>
          <w:p w14:paraId="7E262B8B"/>
        </w:tc>
        <w:tc>
          <w:tcPr>
            <w:tcW w:w="1318" w:type="dxa"/>
            <w:tcBorders>
              <w:top w:val="single" w:color="auto" w:sz="4" w:space="0"/>
              <w:left w:val="nil"/>
              <w:bottom w:val="single" w:color="auto" w:sz="4" w:space="0"/>
              <w:right w:val="nil"/>
            </w:tcBorders>
            <w:shd w:val="clear" w:color="auto" w:fill="auto"/>
            <w:noWrap w:val="0"/>
            <w:vAlign w:val="center"/>
          </w:tcPr>
          <w:p w14:paraId="49139C45"/>
        </w:tc>
      </w:tr>
      <w:tr w14:paraId="0DAE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667AD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11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F2E6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DF26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51320023T000008001792-劳务派遣费</w:t>
            </w:r>
          </w:p>
        </w:tc>
      </w:tr>
      <w:tr w14:paraId="46FD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52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F78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01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08EB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1AFC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F5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EEC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C1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CDE9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83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A3D20">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91ED1">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F4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由于伙食团还建，需采购专业团队运行伙食团，保障伙食团服务质量，提升员工就餐满意度</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467A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保障了伙食团正常运转</w:t>
            </w:r>
          </w:p>
        </w:tc>
      </w:tr>
      <w:tr w14:paraId="1A6DC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EDA2">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BEC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668B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由于伙食团还建，需采购专业团队运行伙食团，保障伙食团服务质量，提升员工就餐满意度</w:t>
            </w:r>
          </w:p>
        </w:tc>
      </w:tr>
      <w:tr w14:paraId="3726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36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E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E0C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EFA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E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13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3E5E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FA6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6F3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16CD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69F10">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0C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B8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5B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F0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00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77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A09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13550"/>
        </w:tc>
      </w:tr>
      <w:tr w14:paraId="0E543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A2B0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BB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08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82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A9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C5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528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C5A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8954A"/>
        </w:tc>
      </w:tr>
      <w:tr w14:paraId="2583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3A04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C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0A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4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5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83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B88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AE8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DDE63"/>
        </w:tc>
      </w:tr>
      <w:tr w14:paraId="0136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5E45F">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BF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B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C8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E7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D6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660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757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F7EE6"/>
        </w:tc>
      </w:tr>
      <w:tr w14:paraId="1A59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A8D01">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36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9E433">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DC1A6">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9843">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0B517">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035B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2CC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BE583"/>
        </w:tc>
      </w:tr>
      <w:tr w14:paraId="431B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90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95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E8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3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6A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FCC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6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B2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6DB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CDE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9F1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4BCB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15274">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97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ED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2E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采购专业团队数量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1A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DF9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2C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1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FE0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BE9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11C25">
            <w:pPr>
              <w:jc w:val="center"/>
            </w:pPr>
          </w:p>
        </w:tc>
      </w:tr>
      <w:tr w14:paraId="2249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2B244">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D781D">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EC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84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服务人员考核合格率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E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8E0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37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6C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30E8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F13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1F665">
            <w:pPr>
              <w:jc w:val="center"/>
            </w:pPr>
          </w:p>
        </w:tc>
      </w:tr>
      <w:tr w14:paraId="6303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FD24">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E6519">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86A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86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371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9281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A3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E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567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D22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4D1FC">
            <w:pPr>
              <w:jc w:val="center"/>
            </w:pPr>
          </w:p>
        </w:tc>
      </w:tr>
      <w:tr w14:paraId="019B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9952D">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A73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CE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E20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团队服务能力评级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A1F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6FD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B918B">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6CA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F54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D42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047EF">
            <w:pPr>
              <w:jc w:val="center"/>
            </w:pPr>
          </w:p>
        </w:tc>
      </w:tr>
      <w:tr w14:paraId="330C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4D3D7">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75BEF">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388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864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伙食团运营可持续性保障情况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498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773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DEA42">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C5A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26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5BE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9A88E">
            <w:pPr>
              <w:jc w:val="center"/>
            </w:pPr>
          </w:p>
        </w:tc>
      </w:tr>
      <w:tr w14:paraId="2C97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E1833">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FD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DE5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1B8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伙食团服务对象满意度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04D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635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1C6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41F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6B8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B28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FB0F8">
            <w:pPr>
              <w:jc w:val="center"/>
            </w:pPr>
          </w:p>
        </w:tc>
      </w:tr>
      <w:tr w14:paraId="48CD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1DB6EB2">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DEDBA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B31E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01C9D5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24657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B0AA1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4D3B3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4E82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B32D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CC66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D47AAA">
            <w:pPr>
              <w:jc w:val="center"/>
            </w:pPr>
          </w:p>
        </w:tc>
      </w:tr>
      <w:tr w14:paraId="61A9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DB81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3C04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9629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6676ED"/>
        </w:tc>
      </w:tr>
      <w:tr w14:paraId="0749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1DB4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E8604C">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4554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5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357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9F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45D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C61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1B4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2D82E1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ABCE0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936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100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1D4FA3CF">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4B84C2D0">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B9D0AD9">
            <w:pPr>
              <w:rPr>
                <w:rFonts w:ascii="宋体" w:hAnsi="宋体" w:eastAsia="宋体" w:cs="宋体"/>
                <w:i w:val="0"/>
                <w:iCs w:val="0"/>
                <w:color w:val="000000"/>
                <w:sz w:val="16"/>
                <w:szCs w:val="16"/>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6761276F"/>
        </w:tc>
        <w:tc>
          <w:tcPr>
            <w:tcW w:w="616" w:type="dxa"/>
            <w:gridSpan w:val="5"/>
            <w:tcBorders>
              <w:top w:val="single" w:color="auto" w:sz="4" w:space="0"/>
              <w:left w:val="nil"/>
              <w:bottom w:val="single" w:color="auto" w:sz="4" w:space="0"/>
              <w:right w:val="nil"/>
            </w:tcBorders>
            <w:shd w:val="clear" w:color="auto" w:fill="auto"/>
            <w:noWrap w:val="0"/>
            <w:vAlign w:val="center"/>
          </w:tcPr>
          <w:p w14:paraId="50D585DD">
            <w:pPr>
              <w:rPr>
                <w:rFonts w:hint="eastAsia" w:ascii="黑体" w:hAnsi="黑体" w:eastAsia="黑体" w:cs="黑体"/>
                <w:i w:val="0"/>
                <w:iCs w:val="0"/>
                <w:color w:val="000000"/>
                <w:sz w:val="16"/>
                <w:szCs w:val="16"/>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4A1F63BD"/>
        </w:tc>
        <w:tc>
          <w:tcPr>
            <w:tcW w:w="423" w:type="dxa"/>
            <w:gridSpan w:val="2"/>
            <w:tcBorders>
              <w:top w:val="single" w:color="auto" w:sz="4" w:space="0"/>
              <w:left w:val="nil"/>
              <w:bottom w:val="single" w:color="auto" w:sz="4" w:space="0"/>
              <w:right w:val="nil"/>
            </w:tcBorders>
            <w:shd w:val="clear" w:color="auto" w:fill="auto"/>
            <w:noWrap w:val="0"/>
            <w:vAlign w:val="center"/>
          </w:tcPr>
          <w:p w14:paraId="0A890369"/>
        </w:tc>
        <w:tc>
          <w:tcPr>
            <w:tcW w:w="664" w:type="dxa"/>
            <w:gridSpan w:val="3"/>
            <w:tcBorders>
              <w:top w:val="single" w:color="auto" w:sz="4" w:space="0"/>
              <w:left w:val="nil"/>
              <w:bottom w:val="single" w:color="auto" w:sz="4" w:space="0"/>
              <w:right w:val="nil"/>
            </w:tcBorders>
            <w:shd w:val="clear" w:color="auto" w:fill="auto"/>
            <w:noWrap w:val="0"/>
            <w:vAlign w:val="center"/>
          </w:tcPr>
          <w:p w14:paraId="25ED1E3E"/>
        </w:tc>
        <w:tc>
          <w:tcPr>
            <w:tcW w:w="473" w:type="dxa"/>
            <w:gridSpan w:val="5"/>
            <w:tcBorders>
              <w:top w:val="single" w:color="auto" w:sz="4" w:space="0"/>
              <w:left w:val="nil"/>
              <w:bottom w:val="single" w:color="auto" w:sz="4" w:space="0"/>
              <w:right w:val="nil"/>
            </w:tcBorders>
            <w:shd w:val="clear" w:color="auto" w:fill="auto"/>
            <w:noWrap w:val="0"/>
            <w:vAlign w:val="center"/>
          </w:tcPr>
          <w:p w14:paraId="5553D7C4"/>
        </w:tc>
        <w:tc>
          <w:tcPr>
            <w:tcW w:w="411" w:type="dxa"/>
            <w:gridSpan w:val="2"/>
            <w:tcBorders>
              <w:top w:val="single" w:color="auto" w:sz="4" w:space="0"/>
              <w:left w:val="nil"/>
              <w:bottom w:val="single" w:color="auto" w:sz="4" w:space="0"/>
              <w:right w:val="nil"/>
            </w:tcBorders>
            <w:shd w:val="clear" w:color="auto" w:fill="auto"/>
            <w:noWrap w:val="0"/>
            <w:vAlign w:val="center"/>
          </w:tcPr>
          <w:p w14:paraId="6791CA08"/>
        </w:tc>
        <w:tc>
          <w:tcPr>
            <w:tcW w:w="1318" w:type="dxa"/>
            <w:tcBorders>
              <w:top w:val="single" w:color="auto" w:sz="4" w:space="0"/>
              <w:left w:val="nil"/>
              <w:bottom w:val="single" w:color="auto" w:sz="4" w:space="0"/>
              <w:right w:val="nil"/>
            </w:tcBorders>
            <w:shd w:val="clear" w:color="auto" w:fill="auto"/>
            <w:noWrap w:val="0"/>
            <w:vAlign w:val="center"/>
          </w:tcPr>
          <w:p w14:paraId="61F82B8D"/>
        </w:tc>
      </w:tr>
      <w:tr w14:paraId="7BF0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24A68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D9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3CD0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87146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51320024T000010461488-阿坝州网站集约化平台与全州政府网站、政务新媒体运维服务</w:t>
            </w:r>
          </w:p>
        </w:tc>
      </w:tr>
      <w:tr w14:paraId="2CB8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1EC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7E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07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F307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662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26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E03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8B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C87B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1E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1B367">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56C24">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CB4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省政府办公厅对全省政府网站和政务新媒体的绩效评估要求，提高阿坝州集约化平台及阿坝州政府网站、政务新媒体提质量水平、服务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3C83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5F8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CB169">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7E8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D59A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2021年政府对政府部门网站的绩效评估要求，提高阿坝州集约化平台及阿坝州政府网站质量水平、服务效率。</w:t>
            </w:r>
          </w:p>
        </w:tc>
      </w:tr>
      <w:tr w14:paraId="2A8D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DA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4A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580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2E5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B4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7E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2480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C19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EAB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1ED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946CC">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04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40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4D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EC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F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56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0DB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D9B45"/>
        </w:tc>
      </w:tr>
      <w:tr w14:paraId="7F6E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0E0E2">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09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61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29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7D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B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B049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A35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5F324"/>
        </w:tc>
      </w:tr>
      <w:tr w14:paraId="479E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72B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7E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2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8F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16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4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8AF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39B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81112"/>
        </w:tc>
      </w:tr>
      <w:tr w14:paraId="2D315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A9D5C">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06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76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9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DA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305F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671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CB0B3"/>
        </w:tc>
      </w:tr>
      <w:tr w14:paraId="4179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1409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FB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C1665">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0D6C9">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6F49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292B">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5B03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33C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DA4C6"/>
        </w:tc>
      </w:tr>
      <w:tr w14:paraId="13F60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F9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FE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8B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3D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29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4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88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1BE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7E8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279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95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F50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18E3F">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0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8F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74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DAC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87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DC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16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CF5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989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5.6</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A43CF">
            <w:pPr>
              <w:jc w:val="center"/>
            </w:pPr>
          </w:p>
        </w:tc>
      </w:tr>
      <w:tr w14:paraId="65E5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0912">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78D3F">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DA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B5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服务内容合格率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F1B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481E1">
            <w:pPr>
              <w:keepNext w:val="0"/>
              <w:keepLines w:val="0"/>
              <w:widowControl/>
              <w:suppressLineNumbers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持续提升集约化平台网站运营质量，强化安全保障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4821D">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6593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A7E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D1F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A42CE">
            <w:pPr>
              <w:jc w:val="center"/>
            </w:pPr>
          </w:p>
        </w:tc>
      </w:tr>
      <w:tr w14:paraId="3C38A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16FB7">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99820">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A48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F40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强化运维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CBA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46397">
            <w:pPr>
              <w:keepNext w:val="0"/>
              <w:keepLines w:val="0"/>
              <w:widowControl/>
              <w:suppressLineNumbers w:val="0"/>
              <w:jc w:val="center"/>
              <w:textAlignment w:val="center"/>
              <w:rPr>
                <w:rFonts w:hint="default" w:ascii="宋体" w:hAnsi="宋体" w:eastAsia="宋体" w:cs="宋体"/>
                <w:i w:val="0"/>
                <w:iCs w:val="0"/>
                <w:color w:val="000000"/>
                <w:sz w:val="11"/>
                <w:szCs w:val="11"/>
                <w:u w:val="none"/>
                <w:lang w:val="en-US"/>
              </w:rPr>
            </w:pPr>
            <w:r>
              <w:rPr>
                <w:rFonts w:ascii="宋体" w:hAnsi="宋体" w:eastAsia="宋体" w:cs="宋体"/>
                <w:i w:val="0"/>
                <w:iCs w:val="0"/>
                <w:color w:val="000000"/>
                <w:kern w:val="0"/>
                <w:sz w:val="11"/>
                <w:szCs w:val="11"/>
                <w:u w:val="none"/>
                <w:lang w:val="en-US" w:eastAsia="zh-CN" w:bidi="ar"/>
              </w:rPr>
              <w:t>7*24小时提供网站运维保障及技术支撑响应</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2C8E6">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BD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135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6BB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512A1">
            <w:pPr>
              <w:jc w:val="center"/>
            </w:pPr>
          </w:p>
        </w:tc>
      </w:tr>
      <w:tr w14:paraId="53421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CF078">
            <w:pPr>
              <w:jc w:val="center"/>
              <w:rPr>
                <w:rFonts w:ascii="宋体" w:hAnsi="宋体" w:eastAsia="宋体" w:cs="宋体"/>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289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45E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584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节约财政资金</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0F8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48A6E">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持续精简网站数量，强化内容保障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0E27">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31324">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B45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57C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7C1BF">
            <w:pPr>
              <w:jc w:val="center"/>
            </w:pPr>
          </w:p>
        </w:tc>
      </w:tr>
      <w:tr w14:paraId="54D1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C138A">
            <w:pPr>
              <w:jc w:val="center"/>
              <w:rPr>
                <w:rFonts w:ascii="宋体" w:hAnsi="宋体" w:eastAsia="宋体" w:cs="宋体"/>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6A0D5">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43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504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提升政府公信力</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66D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BFF8">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持续优化政府信息公开平台，畅通政民互动渠道</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8C72A">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BC578">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1F4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CAD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E108D">
            <w:pPr>
              <w:jc w:val="center"/>
            </w:pPr>
          </w:p>
        </w:tc>
      </w:tr>
      <w:tr w14:paraId="6643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B716A">
            <w:pPr>
              <w:jc w:val="center"/>
              <w:rPr>
                <w:rFonts w:ascii="宋体" w:hAnsi="宋体" w:eastAsia="宋体" w:cs="宋体"/>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988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5DC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4F2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提升公众政民互动满意度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447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562A1">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9D8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8BF3">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EF0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28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74C5B">
            <w:pPr>
              <w:jc w:val="center"/>
            </w:pPr>
          </w:p>
        </w:tc>
      </w:tr>
      <w:tr w14:paraId="1D30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1129CF">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B134B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40B6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F24767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提升资金利用率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C66D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79C6864">
            <w:pPr>
              <w:keepNext w:val="0"/>
              <w:keepLines w:val="0"/>
              <w:widowControl/>
              <w:suppressLineNumbers w:val="0"/>
              <w:jc w:val="center"/>
              <w:textAlignment w:val="center"/>
              <w:rPr>
                <w:sz w:val="11"/>
                <w:szCs w:val="11"/>
              </w:rPr>
            </w:pPr>
            <w:r>
              <w:rPr>
                <w:rFonts w:ascii="宋体" w:hAnsi="宋体" w:eastAsia="宋体" w:cs="宋体"/>
                <w:i w:val="0"/>
                <w:iCs w:val="0"/>
                <w:color w:val="000000"/>
                <w:kern w:val="0"/>
                <w:sz w:val="11"/>
                <w:szCs w:val="11"/>
                <w:u w:val="none"/>
                <w:lang w:val="en-US" w:eastAsia="zh-CN" w:bidi="ar"/>
              </w:rPr>
              <w:t>精简网站数量，利用该资金强化运营保障</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C8E124A">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26EF71">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已完成整合</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25682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C127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854DC6">
            <w:pPr>
              <w:jc w:val="center"/>
            </w:pPr>
          </w:p>
        </w:tc>
      </w:tr>
      <w:tr w14:paraId="364A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749AD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82281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868878">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95.6</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3C0C3D"/>
        </w:tc>
      </w:tr>
      <w:tr w14:paraId="1BA1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90B36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1B3C95">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自评得分95.6分，因2025年按照计划整合关停了州级政府部门网站，网站数量有所减少。</w:t>
            </w:r>
          </w:p>
        </w:tc>
      </w:tr>
      <w:tr w14:paraId="0C6F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04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552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A03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867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AE1A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34C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FE60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EE951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财务负责人：肖培</w:t>
            </w:r>
          </w:p>
        </w:tc>
      </w:tr>
      <w:tr w14:paraId="04BB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4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2A63DC37">
            <w:pPr>
              <w:rPr>
                <w:rFonts w:hint="eastAsia" w:ascii="宋体" w:hAnsi="宋体" w:eastAsia="宋体" w:cs="宋体"/>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7CACBD8B">
            <w:pPr>
              <w:rPr>
                <w:rFonts w:hint="eastAsia" w:ascii="宋体" w:hAnsi="宋体" w:eastAsia="宋体" w:cs="宋体"/>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074F190C">
            <w:pPr>
              <w:rPr>
                <w:rFonts w:ascii="宋体" w:hAnsi="宋体" w:eastAsia="宋体" w:cs="宋体"/>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78A35F25"/>
        </w:tc>
        <w:tc>
          <w:tcPr>
            <w:tcW w:w="616" w:type="dxa"/>
            <w:gridSpan w:val="5"/>
            <w:tcBorders>
              <w:top w:val="single" w:color="auto" w:sz="4" w:space="0"/>
              <w:left w:val="nil"/>
              <w:bottom w:val="single" w:color="auto" w:sz="4" w:space="0"/>
              <w:right w:val="nil"/>
            </w:tcBorders>
            <w:shd w:val="clear" w:color="auto" w:fill="auto"/>
            <w:noWrap w:val="0"/>
            <w:vAlign w:val="center"/>
          </w:tcPr>
          <w:p w14:paraId="3C5EA2FA">
            <w:pPr>
              <w:rPr>
                <w:rFonts w:hint="eastAsia" w:ascii="黑体" w:hAnsi="黑体" w:eastAsia="黑体" w:cs="黑体"/>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0F121C1F"/>
        </w:tc>
        <w:tc>
          <w:tcPr>
            <w:tcW w:w="423" w:type="dxa"/>
            <w:gridSpan w:val="2"/>
            <w:tcBorders>
              <w:top w:val="single" w:color="auto" w:sz="4" w:space="0"/>
              <w:left w:val="nil"/>
              <w:bottom w:val="single" w:color="auto" w:sz="4" w:space="0"/>
              <w:right w:val="nil"/>
            </w:tcBorders>
            <w:shd w:val="clear" w:color="auto" w:fill="auto"/>
            <w:noWrap w:val="0"/>
            <w:vAlign w:val="center"/>
          </w:tcPr>
          <w:p w14:paraId="51E575D0"/>
        </w:tc>
        <w:tc>
          <w:tcPr>
            <w:tcW w:w="664" w:type="dxa"/>
            <w:gridSpan w:val="3"/>
            <w:tcBorders>
              <w:top w:val="single" w:color="auto" w:sz="4" w:space="0"/>
              <w:left w:val="nil"/>
              <w:bottom w:val="single" w:color="auto" w:sz="4" w:space="0"/>
              <w:right w:val="nil"/>
            </w:tcBorders>
            <w:shd w:val="clear" w:color="auto" w:fill="auto"/>
            <w:noWrap w:val="0"/>
            <w:vAlign w:val="center"/>
          </w:tcPr>
          <w:p w14:paraId="68A003DB"/>
        </w:tc>
        <w:tc>
          <w:tcPr>
            <w:tcW w:w="473" w:type="dxa"/>
            <w:gridSpan w:val="5"/>
            <w:tcBorders>
              <w:top w:val="single" w:color="auto" w:sz="4" w:space="0"/>
              <w:left w:val="nil"/>
              <w:bottom w:val="single" w:color="auto" w:sz="4" w:space="0"/>
              <w:right w:val="nil"/>
            </w:tcBorders>
            <w:shd w:val="clear" w:color="auto" w:fill="auto"/>
            <w:noWrap w:val="0"/>
            <w:vAlign w:val="center"/>
          </w:tcPr>
          <w:p w14:paraId="6AD2A0BE"/>
        </w:tc>
        <w:tc>
          <w:tcPr>
            <w:tcW w:w="411" w:type="dxa"/>
            <w:gridSpan w:val="2"/>
            <w:tcBorders>
              <w:top w:val="single" w:color="auto" w:sz="4" w:space="0"/>
              <w:left w:val="nil"/>
              <w:bottom w:val="single" w:color="auto" w:sz="4" w:space="0"/>
              <w:right w:val="nil"/>
            </w:tcBorders>
            <w:shd w:val="clear" w:color="auto" w:fill="auto"/>
            <w:noWrap w:val="0"/>
            <w:vAlign w:val="center"/>
          </w:tcPr>
          <w:p w14:paraId="596AB972"/>
        </w:tc>
        <w:tc>
          <w:tcPr>
            <w:tcW w:w="1318" w:type="dxa"/>
            <w:tcBorders>
              <w:top w:val="single" w:color="auto" w:sz="4" w:space="0"/>
              <w:left w:val="nil"/>
              <w:bottom w:val="single" w:color="auto" w:sz="4" w:space="0"/>
              <w:right w:val="nil"/>
            </w:tcBorders>
            <w:shd w:val="clear" w:color="auto" w:fill="auto"/>
            <w:noWrap w:val="0"/>
            <w:vAlign w:val="center"/>
          </w:tcPr>
          <w:p w14:paraId="60F4C6F8"/>
        </w:tc>
      </w:tr>
      <w:tr w14:paraId="348D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1DA74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BB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1BB0E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5D6D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51320024T000010462112-阿坝州政府二楼会议室音视频系统改造项目</w:t>
            </w:r>
          </w:p>
        </w:tc>
      </w:tr>
      <w:tr w14:paraId="10AEB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0A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EC1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9A7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CE90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6D937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A0C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9E9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A5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0B954">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9A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63294">
            <w:pP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817F0">
            <w:pPr>
              <w:rPr>
                <w:rFonts w:ascii="宋体" w:hAnsi="宋体" w:eastAsia="宋体" w:cs="宋体"/>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98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跨组织、跨部门、跨区域的阿坝州一网统管音视频融合能力平台，建设阿坝州多元化、多功能一体的视频指挥调度中心。既满足政府领导指挥调度、决策研判、视频会议会商等需要，又能满足州政府办公室日常值班、应急值守等需要。</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A78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5E80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F4BEB">
            <w:pP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27A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B8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该项于2024年底完成采购，2025年4月完成改造调试，并通过验收。</w:t>
            </w:r>
          </w:p>
        </w:tc>
      </w:tr>
      <w:tr w14:paraId="51DD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39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2D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068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483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BE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5B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30AA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20C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008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034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ECE4F">
            <w:pPr>
              <w:jc w:val="center"/>
              <w:rPr>
                <w:rFonts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A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29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D6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E9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D2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D1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A8E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4BF85"/>
        </w:tc>
      </w:tr>
      <w:tr w14:paraId="08611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5D6D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AE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CB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E3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AE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79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40D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4E2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8BFD"/>
        </w:tc>
      </w:tr>
      <w:tr w14:paraId="37C90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5AD40">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DD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AE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7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EF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FC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F75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DD0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8D54E"/>
        </w:tc>
      </w:tr>
      <w:tr w14:paraId="483B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DF96D">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69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B7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26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53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7B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D32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F37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1B7D1"/>
        </w:tc>
      </w:tr>
      <w:tr w14:paraId="7DB1C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5EE35">
            <w:pPr>
              <w:jc w:val="center"/>
              <w:rPr>
                <w:rFonts w:hint="eastAsia" w:ascii="宋体" w:hAnsi="宋体" w:eastAsia="宋体" w:cs="宋体"/>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BF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6767B">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7AEEA">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F48A0">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D7C5C">
            <w:pPr>
              <w:jc w:val="center"/>
              <w:rPr>
                <w:rFonts w:ascii="宋体" w:hAnsi="宋体" w:eastAsia="宋体" w:cs="宋体"/>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D33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0FA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9F0A4"/>
        </w:tc>
      </w:tr>
      <w:tr w14:paraId="158D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8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0C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63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41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B7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E60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1F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66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62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B7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B6B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691B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EBC06">
            <w:pPr>
              <w:jc w:val="center"/>
              <w:rPr>
                <w:rFonts w:hint="eastAsia" w:ascii="宋体" w:hAnsi="宋体" w:eastAsia="宋体" w:cs="宋体"/>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D3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08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84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会议系统接入数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135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5D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3C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AE4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228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D7C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D739F">
            <w:pPr>
              <w:jc w:val="center"/>
            </w:pPr>
          </w:p>
        </w:tc>
      </w:tr>
      <w:tr w14:paraId="6611B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DBD03">
            <w:pPr>
              <w:jc w:val="center"/>
              <w:rPr>
                <w:rFonts w:hint="eastAsia"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66B8C">
            <w:pPr>
              <w:jc w:val="center"/>
              <w:rPr>
                <w:rFonts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13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74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兼容对接率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6AD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1B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FB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7E3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511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C4C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C521F">
            <w:pPr>
              <w:jc w:val="center"/>
            </w:pPr>
          </w:p>
        </w:tc>
      </w:tr>
      <w:tr w14:paraId="6887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B1CB2">
            <w:pPr>
              <w:jc w:val="center"/>
              <w:rPr>
                <w:rFonts w:ascii="宋体" w:hAnsi="宋体" w:eastAsia="宋体" w:cs="宋体"/>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C80F4">
            <w:pPr>
              <w:jc w:val="cente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BF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2FD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根据工作需要实时运维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7D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2965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7*24小时提供服务</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0233">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79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AF5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760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BD7E">
            <w:pPr>
              <w:jc w:val="center"/>
            </w:pPr>
          </w:p>
        </w:tc>
      </w:tr>
      <w:tr w14:paraId="50BC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E3212">
            <w:pPr>
              <w:jc w:val="center"/>
              <w:rPr>
                <w:rFonts w:ascii="宋体" w:hAnsi="宋体" w:eastAsia="宋体" w:cs="宋体"/>
                <w:i w:val="0"/>
                <w:iCs w:val="0"/>
                <w:color w:val="000000"/>
                <w:sz w:val="15"/>
                <w:szCs w:val="15"/>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DB9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111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72A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提升会议效率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6FE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1E1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持续提升线上会议效率，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D885A">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C494E">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64D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D34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CD2BE">
            <w:pPr>
              <w:jc w:val="center"/>
            </w:pPr>
          </w:p>
        </w:tc>
      </w:tr>
      <w:tr w14:paraId="55D1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B7463">
            <w:pPr>
              <w:jc w:val="center"/>
              <w:rPr>
                <w:rFonts w:ascii="宋体" w:hAnsi="宋体" w:eastAsia="宋体" w:cs="宋体"/>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7C433">
            <w:pPr>
              <w:jc w:val="center"/>
              <w:rPr>
                <w:rFonts w:hint="eastAsia" w:ascii="微软雅黑" w:hAnsi="微软雅黑" w:eastAsia="微软雅黑" w:cs="微软雅黑"/>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BC3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6B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统筹统建</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9E2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3D4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推进非涉密会议系统集约化建设。</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771C9">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269CD">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FB6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D40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53A6">
            <w:pPr>
              <w:jc w:val="center"/>
            </w:pPr>
          </w:p>
        </w:tc>
      </w:tr>
      <w:tr w14:paraId="518B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F6104">
            <w:pPr>
              <w:jc w:val="center"/>
              <w:rPr>
                <w:rFonts w:ascii="宋体" w:hAnsi="宋体" w:eastAsia="宋体" w:cs="宋体"/>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301B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B7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DE0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系统使用满意度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565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E90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EBE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12DF7">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97</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7E3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DAE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6B8C6">
            <w:pPr>
              <w:jc w:val="center"/>
            </w:pPr>
          </w:p>
        </w:tc>
      </w:tr>
      <w:tr w14:paraId="708B6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ECE5D3">
            <w:pPr>
              <w:jc w:val="center"/>
              <w:rPr>
                <w:rFonts w:hint="eastAsia" w:ascii="黑体" w:hAnsi="黑体" w:eastAsia="黑体" w:cs="黑体"/>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166B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27A6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4DD3E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在合同预算范围，持续提升项目运行质效。</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A6D3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F0F3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1026200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BD2F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067BE3F">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1080200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4417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AA197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8B1040E">
            <w:pPr>
              <w:jc w:val="center"/>
            </w:pPr>
          </w:p>
        </w:tc>
      </w:tr>
      <w:tr w14:paraId="67E3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D801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2DE6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F2C040">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AB39C"/>
        </w:tc>
      </w:tr>
      <w:tr w14:paraId="388C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4A284C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41A82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BE0481">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B2D92"/>
        </w:tc>
      </w:tr>
      <w:tr w14:paraId="7B47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DC6F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66EAD0">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自评得100分</w:t>
            </w:r>
          </w:p>
        </w:tc>
      </w:tr>
      <w:tr w14:paraId="6C0B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F1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AF2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57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67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CF3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F8C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16" w:type="dxa"/>
            <w:tcBorders>
              <w:top w:val="nil"/>
              <w:left w:val="nil"/>
              <w:bottom w:val="nil"/>
              <w:right w:val="nil"/>
            </w:tcBorders>
            <w:shd w:val="clear" w:color="auto" w:fill="auto"/>
            <w:noWrap w:val="0"/>
            <w:vAlign w:val="center"/>
          </w:tcPr>
          <w:p w14:paraId="0833EFCE">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3B2C47E0">
            <w:pPr>
              <w:rPr>
                <w:rFonts w:hint="eastAsia"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7EF7873F">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F595795"/>
        </w:tc>
        <w:tc>
          <w:tcPr>
            <w:tcW w:w="236" w:type="dxa"/>
            <w:gridSpan w:val="3"/>
            <w:tcBorders>
              <w:top w:val="nil"/>
              <w:left w:val="nil"/>
              <w:bottom w:val="nil"/>
              <w:right w:val="nil"/>
            </w:tcBorders>
            <w:shd w:val="clear" w:color="auto" w:fill="auto"/>
            <w:noWrap w:val="0"/>
            <w:vAlign w:val="center"/>
          </w:tcPr>
          <w:p w14:paraId="6B850960">
            <w:pPr>
              <w:rPr>
                <w:rFonts w:hint="eastAsia" w:ascii="黑体" w:hAnsi="黑体" w:eastAsia="黑体" w:cs="黑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34265A60"/>
        </w:tc>
        <w:tc>
          <w:tcPr>
            <w:tcW w:w="578" w:type="dxa"/>
            <w:tcBorders>
              <w:top w:val="nil"/>
              <w:left w:val="nil"/>
              <w:bottom w:val="nil"/>
              <w:right w:val="nil"/>
            </w:tcBorders>
            <w:shd w:val="clear" w:color="auto" w:fill="auto"/>
            <w:noWrap w:val="0"/>
            <w:vAlign w:val="center"/>
          </w:tcPr>
          <w:p w14:paraId="327CB9F9"/>
        </w:tc>
        <w:tc>
          <w:tcPr>
            <w:tcW w:w="664" w:type="dxa"/>
            <w:tcBorders>
              <w:top w:val="nil"/>
              <w:left w:val="nil"/>
              <w:bottom w:val="nil"/>
              <w:right w:val="nil"/>
            </w:tcBorders>
            <w:shd w:val="clear" w:color="auto" w:fill="auto"/>
            <w:noWrap w:val="0"/>
            <w:vAlign w:val="center"/>
          </w:tcPr>
          <w:p w14:paraId="687E3658"/>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01D7F71F"/>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A2780"/>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97C12"/>
        </w:tc>
      </w:tr>
      <w:tr w14:paraId="4B10F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7C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D3B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53A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BC8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51320024T000010462165-阿坝州政府办公室视频会议设备运维服务</w:t>
            </w:r>
          </w:p>
        </w:tc>
      </w:tr>
      <w:tr w14:paraId="1D005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49E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189" w:type="dxa"/>
            <w:gridSpan w:val="1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5C3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C14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C6B1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7049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A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54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14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4F15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E1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AF77D">
            <w:pP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34EEE">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3E2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预防为主的“平”时服务、迅捷为主的“战”时保障、建立持续改进的服务管理体系，持续不断的提高视频会议系统的可靠性。保证视频会议系统的正常运行及其功能的完美呈现，保证视频会议过程的顺畅和高质量。</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6DB9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保证视频会议系统的正常运行及其功能的完美呈现，保证视频会议过程的顺畅和高质量，项目年度既定目标已基本达成。</w:t>
            </w:r>
          </w:p>
        </w:tc>
      </w:tr>
      <w:tr w14:paraId="4C5D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CABB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650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4C59F">
            <w:pPr>
              <w:rPr>
                <w:rFonts w:hint="eastAsia" w:ascii="黑体" w:hAnsi="黑体" w:eastAsia="黑体" w:cs="黑体"/>
                <w:i/>
                <w:iCs/>
                <w:color w:val="000000"/>
                <w:sz w:val="18"/>
                <w:szCs w:val="18"/>
                <w:u w:val="none"/>
              </w:rPr>
            </w:pPr>
          </w:p>
        </w:tc>
      </w:tr>
      <w:tr w14:paraId="4791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C1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1A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B23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0DF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BA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17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1C71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1DD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F0B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1A4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D728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8B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11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ED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33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33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D2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56544">
            <w:pPr>
              <w:jc w:val="cente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7DA57"/>
        </w:tc>
      </w:tr>
      <w:tr w14:paraId="0A3B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EA312">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33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B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75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F6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1A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700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BD4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restart"/>
            <w:tcBorders>
              <w:top w:val="single" w:color="000000" w:sz="4" w:space="0"/>
              <w:left w:val="single" w:color="000000" w:sz="4" w:space="0"/>
              <w:right w:val="single" w:color="000000" w:sz="4" w:space="0"/>
            </w:tcBorders>
            <w:shd w:val="clear" w:color="auto" w:fill="auto"/>
            <w:noWrap w:val="0"/>
            <w:vAlign w:val="center"/>
          </w:tcPr>
          <w:p w14:paraId="35710B92"/>
        </w:tc>
      </w:tr>
      <w:tr w14:paraId="4A3AA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548D6">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A7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98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F1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92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49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B88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312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96C77"/>
        </w:tc>
      </w:tr>
      <w:tr w14:paraId="2C68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AE21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0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AD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0A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89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50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5CD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1B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553F4"/>
        </w:tc>
      </w:tr>
      <w:tr w14:paraId="6E457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9C84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4F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D0112">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B51D5">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F1F2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5FD22">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F11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8E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C9B42"/>
        </w:tc>
      </w:tr>
      <w:tr w14:paraId="0646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BC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C6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90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86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7E5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C8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9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560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35A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36D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6F3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30EB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B36ED">
            <w:pPr>
              <w:jc w:val="center"/>
              <w:rPr>
                <w:rFonts w:hint="eastAsia" w:ascii="宋体" w:hAnsi="宋体" w:eastAsia="宋体" w:cs="宋体"/>
                <w:i w:val="0"/>
                <w:iCs w:val="0"/>
                <w:color w:val="000000"/>
                <w:sz w:val="18"/>
                <w:szCs w:val="18"/>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03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88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A4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驻场人员数量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1937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39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AC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27F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63D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B1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528C">
            <w:pPr>
              <w:jc w:val="center"/>
            </w:pPr>
          </w:p>
        </w:tc>
      </w:tr>
      <w:tr w14:paraId="287A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DF6CC">
            <w:pPr>
              <w:jc w:val="cente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DD2F0">
            <w:pPr>
              <w:jc w:val="center"/>
              <w:rPr>
                <w:rFonts w:ascii="宋体" w:hAnsi="宋体" w:eastAsia="宋体" w:cs="宋体"/>
                <w:i w:val="0"/>
                <w:iCs w:val="0"/>
                <w:color w:val="000000"/>
                <w:sz w:val="18"/>
                <w:szCs w:val="18"/>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BF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C1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服务质量达到标准</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451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830B5">
            <w:pPr>
              <w:jc w:val="center"/>
              <w:rPr>
                <w:rFonts w:ascii="宋体" w:hAnsi="宋体" w:eastAsia="宋体" w:cs="宋体"/>
                <w:i w:val="0"/>
                <w:iCs w:val="0"/>
                <w:color w:val="000000"/>
                <w:sz w:val="18"/>
                <w:szCs w:val="18"/>
                <w:u w:val="none"/>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0E0C7">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16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已达标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5D1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895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DB002">
            <w:pPr>
              <w:jc w:val="center"/>
            </w:pPr>
          </w:p>
        </w:tc>
      </w:tr>
      <w:tr w14:paraId="23F7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260A3">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CAE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343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3E8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提升治理水平及效率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370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960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明显提升</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D0F7">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E9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明显提升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2F0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8AB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C6A1">
            <w:pPr>
              <w:jc w:val="center"/>
            </w:pPr>
          </w:p>
        </w:tc>
      </w:tr>
      <w:tr w14:paraId="2F53A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9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C2D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01FC3">
            <w:pPr>
              <w:keepNext w:val="0"/>
              <w:keepLines w:val="0"/>
              <w:widowControl/>
              <w:suppressLineNumbers w:val="0"/>
              <w:jc w:val="right"/>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19556">
            <w:pP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C5A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709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7B7E">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F813F">
            <w:pPr>
              <w:rPr>
                <w:rFonts w:hint="eastAsia" w:ascii="微软雅黑" w:hAnsi="微软雅黑" w:eastAsia="微软雅黑" w:cs="微软雅黑"/>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D5BB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E1E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F89C1">
            <w:pPr>
              <w:keepNext w:val="0"/>
              <w:keepLines w:val="0"/>
              <w:widowControl/>
              <w:suppressLineNumbers w:val="0"/>
              <w:jc w:val="right"/>
              <w:textAlignment w:val="center"/>
            </w:pPr>
          </w:p>
        </w:tc>
      </w:tr>
      <w:tr w14:paraId="3129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378C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490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0A0C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061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7A7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F3B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5E9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0AC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B28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6" w:type="dxa"/>
            <w:tcBorders>
              <w:top w:val="nil"/>
              <w:left w:val="nil"/>
              <w:bottom w:val="nil"/>
              <w:right w:val="nil"/>
            </w:tcBorders>
            <w:shd w:val="clear" w:color="auto" w:fill="auto"/>
            <w:noWrap w:val="0"/>
            <w:vAlign w:val="center"/>
          </w:tcPr>
          <w:p w14:paraId="1AE524ED">
            <w:pPr>
              <w:rPr>
                <w:rFonts w:hint="eastAsia" w:ascii="黑体" w:hAnsi="宋体" w:eastAsia="黑体" w:cs="黑体"/>
                <w:b/>
                <w:bCs/>
                <w:i w:val="0"/>
                <w:iCs w:val="0"/>
                <w:color w:val="000000"/>
                <w:sz w:val="30"/>
                <w:szCs w:val="30"/>
                <w:u w:val="none"/>
              </w:rPr>
            </w:pPr>
          </w:p>
        </w:tc>
        <w:tc>
          <w:tcPr>
            <w:tcW w:w="1250" w:type="dxa"/>
            <w:gridSpan w:val="4"/>
            <w:tcBorders>
              <w:top w:val="nil"/>
              <w:left w:val="nil"/>
              <w:bottom w:val="nil"/>
              <w:right w:val="nil"/>
            </w:tcBorders>
            <w:shd w:val="clear" w:color="auto" w:fill="auto"/>
            <w:noWrap w:val="0"/>
            <w:vAlign w:val="center"/>
          </w:tcPr>
          <w:p w14:paraId="36FF04B6"/>
        </w:tc>
        <w:tc>
          <w:tcPr>
            <w:tcW w:w="1080" w:type="dxa"/>
            <w:gridSpan w:val="2"/>
            <w:tcBorders>
              <w:top w:val="nil"/>
              <w:left w:val="nil"/>
              <w:bottom w:val="nil"/>
              <w:right w:val="nil"/>
            </w:tcBorders>
            <w:shd w:val="clear" w:color="auto" w:fill="auto"/>
            <w:noWrap w:val="0"/>
            <w:vAlign w:val="center"/>
          </w:tcPr>
          <w:p w14:paraId="30538034"/>
        </w:tc>
        <w:tc>
          <w:tcPr>
            <w:tcW w:w="1379" w:type="dxa"/>
            <w:gridSpan w:val="3"/>
            <w:tcBorders>
              <w:top w:val="nil"/>
              <w:left w:val="nil"/>
              <w:bottom w:val="nil"/>
              <w:right w:val="nil"/>
            </w:tcBorders>
            <w:shd w:val="clear" w:color="auto" w:fill="auto"/>
            <w:noWrap w:val="0"/>
            <w:vAlign w:val="center"/>
          </w:tcPr>
          <w:p w14:paraId="4168481E"/>
        </w:tc>
        <w:tc>
          <w:tcPr>
            <w:tcW w:w="236" w:type="dxa"/>
            <w:gridSpan w:val="3"/>
            <w:tcBorders>
              <w:top w:val="nil"/>
              <w:left w:val="nil"/>
              <w:bottom w:val="nil"/>
              <w:right w:val="nil"/>
            </w:tcBorders>
            <w:shd w:val="clear" w:color="auto" w:fill="auto"/>
            <w:noWrap w:val="0"/>
            <w:vAlign w:val="center"/>
          </w:tcPr>
          <w:p w14:paraId="6036D198"/>
        </w:tc>
        <w:tc>
          <w:tcPr>
            <w:tcW w:w="4611" w:type="dxa"/>
            <w:gridSpan w:val="18"/>
            <w:tcBorders>
              <w:top w:val="nil"/>
              <w:left w:val="nil"/>
              <w:bottom w:val="nil"/>
              <w:right w:val="nil"/>
            </w:tcBorders>
            <w:shd w:val="clear" w:color="auto" w:fill="auto"/>
            <w:noWrap w:val="0"/>
            <w:vAlign w:val="center"/>
          </w:tcPr>
          <w:p w14:paraId="56E72549"/>
        </w:tc>
        <w:tc>
          <w:tcPr>
            <w:tcW w:w="578" w:type="dxa"/>
            <w:tcBorders>
              <w:top w:val="nil"/>
              <w:left w:val="nil"/>
              <w:bottom w:val="nil"/>
              <w:right w:val="nil"/>
            </w:tcBorders>
            <w:shd w:val="clear" w:color="auto" w:fill="auto"/>
            <w:noWrap w:val="0"/>
            <w:vAlign w:val="center"/>
          </w:tcPr>
          <w:p w14:paraId="434B1CAF"/>
        </w:tc>
        <w:tc>
          <w:tcPr>
            <w:tcW w:w="664" w:type="dxa"/>
            <w:tcBorders>
              <w:top w:val="nil"/>
              <w:left w:val="nil"/>
              <w:bottom w:val="nil"/>
              <w:right w:val="nil"/>
            </w:tcBorders>
            <w:shd w:val="clear" w:color="auto" w:fill="auto"/>
            <w:noWrap w:val="0"/>
            <w:vAlign w:val="center"/>
          </w:tcPr>
          <w:p w14:paraId="7D8D1A19"/>
        </w:tc>
        <w:tc>
          <w:tcPr>
            <w:tcW w:w="307" w:type="dxa"/>
            <w:tcBorders>
              <w:top w:val="nil"/>
              <w:left w:val="nil"/>
              <w:bottom w:val="nil"/>
              <w:right w:val="nil"/>
            </w:tcBorders>
            <w:shd w:val="clear" w:color="auto" w:fill="auto"/>
            <w:noWrap w:val="0"/>
            <w:vAlign w:val="center"/>
          </w:tcPr>
          <w:p w14:paraId="103D3864"/>
        </w:tc>
        <w:tc>
          <w:tcPr>
            <w:tcW w:w="277" w:type="dxa"/>
            <w:tcBorders>
              <w:top w:val="nil"/>
              <w:left w:val="nil"/>
              <w:bottom w:val="nil"/>
              <w:right w:val="nil"/>
            </w:tcBorders>
            <w:shd w:val="clear" w:color="auto" w:fill="auto"/>
            <w:noWrap w:val="0"/>
            <w:vAlign w:val="center"/>
          </w:tcPr>
          <w:p w14:paraId="2EC0F68D"/>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55244C3C"/>
        </w:tc>
      </w:tr>
      <w:tr w14:paraId="554A2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6" w:type="dxa"/>
            <w:tcBorders>
              <w:top w:val="nil"/>
              <w:left w:val="nil"/>
              <w:bottom w:val="nil"/>
              <w:right w:val="nil"/>
            </w:tcBorders>
            <w:shd w:val="clear" w:color="auto" w:fill="auto"/>
            <w:noWrap w:val="0"/>
            <w:vAlign w:val="center"/>
          </w:tcPr>
          <w:p w14:paraId="665EC622">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EDD282B">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38000E30"/>
        </w:tc>
        <w:tc>
          <w:tcPr>
            <w:tcW w:w="1379" w:type="dxa"/>
            <w:gridSpan w:val="3"/>
            <w:tcBorders>
              <w:top w:val="nil"/>
              <w:left w:val="nil"/>
              <w:bottom w:val="nil"/>
              <w:right w:val="nil"/>
            </w:tcBorders>
            <w:shd w:val="clear" w:color="auto" w:fill="auto"/>
            <w:noWrap w:val="0"/>
            <w:vAlign w:val="center"/>
          </w:tcPr>
          <w:p w14:paraId="2CA387C0"/>
        </w:tc>
        <w:tc>
          <w:tcPr>
            <w:tcW w:w="236" w:type="dxa"/>
            <w:gridSpan w:val="3"/>
            <w:tcBorders>
              <w:top w:val="nil"/>
              <w:left w:val="nil"/>
              <w:bottom w:val="nil"/>
              <w:right w:val="nil"/>
            </w:tcBorders>
            <w:shd w:val="clear" w:color="auto" w:fill="auto"/>
            <w:noWrap w:val="0"/>
            <w:vAlign w:val="center"/>
          </w:tcPr>
          <w:p w14:paraId="526AFEC5"/>
        </w:tc>
        <w:tc>
          <w:tcPr>
            <w:tcW w:w="4611" w:type="dxa"/>
            <w:gridSpan w:val="18"/>
            <w:tcBorders>
              <w:top w:val="nil"/>
              <w:left w:val="nil"/>
              <w:bottom w:val="nil"/>
              <w:right w:val="nil"/>
            </w:tcBorders>
            <w:shd w:val="clear" w:color="auto" w:fill="auto"/>
            <w:noWrap w:val="0"/>
            <w:vAlign w:val="center"/>
          </w:tcPr>
          <w:p w14:paraId="60AF9E93"/>
        </w:tc>
        <w:tc>
          <w:tcPr>
            <w:tcW w:w="578" w:type="dxa"/>
            <w:tcBorders>
              <w:top w:val="nil"/>
              <w:left w:val="nil"/>
              <w:bottom w:val="nil"/>
              <w:right w:val="nil"/>
            </w:tcBorders>
            <w:shd w:val="clear" w:color="auto" w:fill="auto"/>
            <w:noWrap w:val="0"/>
            <w:vAlign w:val="center"/>
          </w:tcPr>
          <w:p w14:paraId="4F40006D"/>
        </w:tc>
        <w:tc>
          <w:tcPr>
            <w:tcW w:w="664" w:type="dxa"/>
            <w:tcBorders>
              <w:top w:val="nil"/>
              <w:left w:val="nil"/>
              <w:bottom w:val="nil"/>
              <w:right w:val="nil"/>
            </w:tcBorders>
            <w:shd w:val="clear" w:color="auto" w:fill="auto"/>
            <w:noWrap w:val="0"/>
            <w:vAlign w:val="center"/>
          </w:tcPr>
          <w:p w14:paraId="2F31C87F"/>
        </w:tc>
        <w:tc>
          <w:tcPr>
            <w:tcW w:w="307" w:type="dxa"/>
            <w:tcBorders>
              <w:top w:val="nil"/>
              <w:left w:val="nil"/>
              <w:bottom w:val="nil"/>
              <w:right w:val="nil"/>
            </w:tcBorders>
            <w:shd w:val="clear" w:color="auto" w:fill="auto"/>
            <w:noWrap w:val="0"/>
            <w:vAlign w:val="center"/>
          </w:tcPr>
          <w:p w14:paraId="01AB7A79"/>
        </w:tc>
        <w:tc>
          <w:tcPr>
            <w:tcW w:w="277" w:type="dxa"/>
            <w:tcBorders>
              <w:top w:val="nil"/>
              <w:left w:val="nil"/>
              <w:bottom w:val="nil"/>
              <w:right w:val="nil"/>
            </w:tcBorders>
            <w:shd w:val="clear" w:color="auto" w:fill="auto"/>
            <w:noWrap w:val="0"/>
            <w:vAlign w:val="center"/>
          </w:tcPr>
          <w:p w14:paraId="00FF9559"/>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603E89B1"/>
        </w:tc>
      </w:tr>
      <w:tr w14:paraId="35A8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39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AA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E5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256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51320024T000010664420-车辆停放场地租赁费</w:t>
            </w:r>
          </w:p>
        </w:tc>
      </w:tr>
      <w:tr w14:paraId="11ADC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6B8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1FB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FDA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46D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州政府办公室</w:t>
            </w:r>
          </w:p>
        </w:tc>
      </w:tr>
      <w:tr w14:paraId="7AE7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1EB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71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1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4B77E">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6F83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D2C19">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131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A99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保障我单位33个车辆停放，确保车辆安全存放，降低安全隐患</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08B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保障了车辆停放</w:t>
            </w:r>
          </w:p>
        </w:tc>
      </w:tr>
      <w:tr w14:paraId="55B48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94666">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FA8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DE90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保障我单位33个车辆停放，确保车辆安全存放，降低安全隐患</w:t>
            </w:r>
          </w:p>
        </w:tc>
      </w:tr>
      <w:tr w14:paraId="6A5F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95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83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B4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7E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7F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11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33CB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69B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53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35F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7458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9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4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F1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A9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755B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539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6414B"/>
        </w:tc>
      </w:tr>
      <w:tr w14:paraId="0BEB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AF65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24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B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6E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67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C1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9A1B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1C5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F613D"/>
        </w:tc>
      </w:tr>
      <w:tr w14:paraId="6AA6B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0372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7B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937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027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19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7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5D3A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D27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D71AC"/>
        </w:tc>
      </w:tr>
      <w:tr w14:paraId="2C55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6E9C3">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63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F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B7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7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B9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6B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85B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F971D"/>
        </w:tc>
      </w:tr>
      <w:tr w14:paraId="07D3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9944A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9830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40C5101">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C89F2C">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8D593A1">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28B10D">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6BE8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9A1E1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ECD9D16"/>
        </w:tc>
      </w:tr>
      <w:tr w14:paraId="77EF0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B5F1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FBF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9110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F5F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7179BF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6F3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3453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659F60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F6C8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92CB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D525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6C8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F57CF62">
            <w:pPr>
              <w:jc w:val="center"/>
              <w:rPr>
                <w:rFonts w:hint="eastAsia"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CA56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176D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3111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车辆停放数量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99C4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815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EB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6CD0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33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BDE2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2628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8B6BFF">
            <w:pPr>
              <w:jc w:val="center"/>
            </w:pPr>
          </w:p>
        </w:tc>
      </w:tr>
      <w:tr w14:paraId="0BE6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3CFD45F">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B5125B">
            <w:pPr>
              <w:jc w:val="center"/>
            </w:pPr>
          </w:p>
        </w:tc>
        <w:tc>
          <w:tcPr>
            <w:tcW w:w="1458"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2A3A3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CFFAE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安全状况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EE331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210DC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DC82CAB">
            <w:pPr>
              <w:jc w:val="center"/>
              <w:rPr>
                <w:rFonts w:hint="default" w:ascii="宋体" w:hAnsi="宋体" w:eastAsia="宋体" w:cs="宋体"/>
                <w:i w:val="0"/>
                <w:iCs w:val="0"/>
                <w:color w:val="000000"/>
                <w:sz w:val="18"/>
                <w:szCs w:val="18"/>
                <w:u w:val="none"/>
                <w:lang w:val="en-US"/>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D3F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E8360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AB015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FA11F6">
            <w:pPr>
              <w:jc w:val="center"/>
            </w:pPr>
          </w:p>
        </w:tc>
      </w:tr>
      <w:tr w14:paraId="1B16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8EA203B">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F1210B3">
            <w:pPr>
              <w:jc w:val="center"/>
              <w:rPr>
                <w:rFonts w:hint="eastAsia" w:ascii="微软雅黑" w:hAnsi="微软雅黑" w:eastAsia="微软雅黑" w:cs="微软雅黑"/>
                <w:i/>
                <w:iCs/>
                <w:color w:val="000000"/>
                <w:sz w:val="16"/>
                <w:szCs w:val="16"/>
                <w:u w:val="none"/>
              </w:rPr>
            </w:pPr>
          </w:p>
        </w:tc>
        <w:tc>
          <w:tcPr>
            <w:tcW w:w="1458"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E49031">
            <w:pPr>
              <w:jc w:val="cente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E2EF4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监控设备完好率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DDC7E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F4FF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7187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3913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3EBD8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3E45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6966FC">
            <w:pPr>
              <w:jc w:val="center"/>
            </w:pPr>
          </w:p>
        </w:tc>
      </w:tr>
      <w:tr w14:paraId="2EF1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20F031F">
            <w:pPr>
              <w:jc w:val="center"/>
              <w:rPr>
                <w:rFonts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7F2E84">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07CEC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30B6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场地租赁合同履约及时率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D267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69E7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94557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8832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09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5A92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0E594A">
            <w:pPr>
              <w:jc w:val="center"/>
            </w:pPr>
          </w:p>
        </w:tc>
      </w:tr>
      <w:tr w14:paraId="0270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840E69">
            <w:pPr>
              <w:jc w:val="center"/>
              <w:rPr>
                <w:rFonts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419F1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7EFB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B74F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车辆管理规范率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49BFE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A73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A3499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DE868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46DA2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DC9D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D84420">
            <w:pPr>
              <w:jc w:val="center"/>
            </w:pPr>
          </w:p>
        </w:tc>
      </w:tr>
      <w:tr w14:paraId="79FB4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05E159">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47A0CF">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331DC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8371F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车辆安全事故发生率下降幅度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3329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6C84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FB36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553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A9A8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22442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8DD673">
            <w:pPr>
              <w:jc w:val="center"/>
            </w:pPr>
          </w:p>
        </w:tc>
      </w:tr>
      <w:tr w14:paraId="544C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9ECBE5">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603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7CA7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723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A8EA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DB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2951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B79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B063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387ED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E711E5">
            <w:pPr>
              <w:jc w:val="center"/>
            </w:pPr>
          </w:p>
        </w:tc>
      </w:tr>
      <w:tr w14:paraId="6E56E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C421BBF">
            <w:pPr>
              <w:jc w:val="center"/>
              <w:rPr>
                <w:rFonts w:hint="eastAsia" w:ascii="黑体" w:hAnsi="宋体" w:eastAsia="黑体" w:cs="黑体"/>
                <w:b/>
                <w:bCs/>
                <w:i w:val="0"/>
                <w:iCs w:val="0"/>
                <w:color w:val="000000"/>
                <w:sz w:val="30"/>
                <w:szCs w:val="30"/>
                <w:u w:val="none"/>
              </w:rPr>
            </w:pPr>
          </w:p>
        </w:tc>
        <w:tc>
          <w:tcPr>
            <w:tcW w:w="931" w:type="dxa"/>
            <w:gridSpan w:val="3"/>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65613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B1AD0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9ECCC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86ADB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4C054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EF75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C79B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C918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3867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7F0F11C">
            <w:pPr>
              <w:jc w:val="center"/>
            </w:pPr>
          </w:p>
        </w:tc>
      </w:tr>
      <w:tr w14:paraId="6B300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7833819">
            <w:pPr>
              <w:jc w:val="cente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8B378">
            <w:pPr>
              <w:jc w:val="center"/>
              <w:rPr>
                <w:rFonts w:ascii="宋体" w:hAnsi="宋体" w:eastAsia="宋体" w:cs="宋体"/>
                <w:i w:val="0"/>
                <w:iCs w:val="0"/>
                <w:color w:val="000000"/>
                <w:sz w:val="18"/>
                <w:szCs w:val="18"/>
                <w:u w:val="none"/>
              </w:rPr>
            </w:pPr>
          </w:p>
        </w:tc>
        <w:tc>
          <w:tcPr>
            <w:tcW w:w="14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592A3">
            <w:pPr>
              <w:jc w:val="cente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E75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车辆停放成本</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79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5A5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938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571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39E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D4A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BF0EC">
            <w:pPr>
              <w:jc w:val="center"/>
            </w:pPr>
          </w:p>
        </w:tc>
      </w:tr>
      <w:tr w14:paraId="4C99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F69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018DF">
            <w:pPr>
              <w:keepNext w:val="0"/>
              <w:keepLines w:val="0"/>
              <w:widowControl/>
              <w:suppressLineNumbers w:val="0"/>
              <w:jc w:val="left"/>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 xml:space="preserve">                                                                            100</w:t>
            </w:r>
          </w:p>
        </w:tc>
      </w:tr>
      <w:tr w14:paraId="064C1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64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CA6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08C3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B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76E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EE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7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9E1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7ED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66B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0C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FB7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2347519E">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0CB6CB2">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AE0DEE3">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5DECF4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E277C6A">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656EB7F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50F543C"/>
        </w:tc>
        <w:tc>
          <w:tcPr>
            <w:tcW w:w="664" w:type="dxa"/>
            <w:tcBorders>
              <w:top w:val="nil"/>
              <w:left w:val="nil"/>
              <w:bottom w:val="nil"/>
              <w:right w:val="nil"/>
            </w:tcBorders>
            <w:shd w:val="clear" w:color="auto" w:fill="auto"/>
            <w:noWrap w:val="0"/>
            <w:vAlign w:val="center"/>
          </w:tcPr>
          <w:p w14:paraId="24EBB4FF">
            <w:pPr>
              <w:rPr>
                <w:rFonts w:ascii="宋体" w:hAnsi="宋体" w:eastAsia="宋体" w:cs="宋体"/>
                <w:i w:val="0"/>
                <w:iCs w:val="0"/>
                <w:color w:val="000000"/>
                <w:sz w:val="18"/>
                <w:szCs w:val="18"/>
                <w:u w:val="none"/>
              </w:rPr>
            </w:pPr>
          </w:p>
        </w:tc>
        <w:tc>
          <w:tcPr>
            <w:tcW w:w="307" w:type="dxa"/>
            <w:tcBorders>
              <w:top w:val="nil"/>
              <w:left w:val="nil"/>
              <w:bottom w:val="nil"/>
              <w:right w:val="nil"/>
            </w:tcBorders>
            <w:shd w:val="clear" w:color="auto" w:fill="auto"/>
            <w:noWrap w:val="0"/>
            <w:vAlign w:val="center"/>
          </w:tcPr>
          <w:p w14:paraId="1061D879"/>
        </w:tc>
        <w:tc>
          <w:tcPr>
            <w:tcW w:w="277" w:type="dxa"/>
            <w:tcBorders>
              <w:top w:val="single" w:color="000000" w:sz="4" w:space="0"/>
              <w:left w:val="nil"/>
              <w:bottom w:val="single" w:color="000000" w:sz="4" w:space="0"/>
              <w:right w:val="single" w:color="000000" w:sz="4" w:space="0"/>
            </w:tcBorders>
            <w:shd w:val="clear" w:color="auto" w:fill="auto"/>
            <w:noWrap w:val="0"/>
            <w:vAlign w:val="center"/>
          </w:tcPr>
          <w:p w14:paraId="227A22AA"/>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A7F8">
            <w:pPr>
              <w:rPr>
                <w:rFonts w:hint="eastAsia" w:ascii="黑体" w:hAnsi="黑体" w:eastAsia="黑体" w:cs="黑体"/>
                <w:i/>
                <w:iCs/>
                <w:color w:val="000000"/>
                <w:sz w:val="18"/>
                <w:szCs w:val="18"/>
                <w:u w:val="none"/>
              </w:rPr>
            </w:pPr>
          </w:p>
        </w:tc>
      </w:tr>
      <w:tr w14:paraId="750B7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3646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F0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BC2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CB18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51320025T000012453239-阿坝州政府办公室信息系统综合安全服务</w:t>
            </w:r>
          </w:p>
        </w:tc>
      </w:tr>
      <w:tr w14:paraId="5B28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B52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A9A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AD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5EEC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7EB6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A0D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9C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6CF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416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0B6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80DEF">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D46CB">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D5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为州政府办公室政务应用系统提供等保测评服务，为政务云（网）提供网络安全检查服务及安全渗透测试，确保云网及应用系统安全稳定运行。</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4F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已完成目标年度。</w:t>
            </w:r>
          </w:p>
        </w:tc>
      </w:tr>
      <w:tr w14:paraId="6147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689E0">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C3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8D3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该项目于2025年完成询价采购，服务周期一年，相关服务内容将延续至2026年。</w:t>
            </w:r>
          </w:p>
        </w:tc>
      </w:tr>
      <w:tr w14:paraId="491D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75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D3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EA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5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60E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2D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F5E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46D0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原因</w:t>
            </w:r>
          </w:p>
        </w:tc>
      </w:tr>
      <w:tr w14:paraId="17FE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1C5E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3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BA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4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0F3F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65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50B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25C8B">
            <w:pPr>
              <w:rPr>
                <w:rFonts w:hint="eastAsia" w:ascii="微软雅黑" w:hAnsi="微软雅黑" w:eastAsia="微软雅黑" w:cs="微软雅黑"/>
                <w:i/>
                <w:iCs/>
                <w:color w:val="000000"/>
                <w:sz w:val="16"/>
                <w:szCs w:val="16"/>
                <w:u w:val="none"/>
              </w:rPr>
            </w:pPr>
          </w:p>
        </w:tc>
      </w:tr>
      <w:tr w14:paraId="1C92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8347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2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F6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8A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4B4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38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CE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1F9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9FECF">
            <w:pPr>
              <w:rPr>
                <w:rFonts w:hint="eastAsia" w:ascii="微软雅黑" w:hAnsi="微软雅黑" w:eastAsia="微软雅黑" w:cs="微软雅黑"/>
                <w:i/>
                <w:iCs/>
                <w:color w:val="000000"/>
                <w:sz w:val="16"/>
                <w:szCs w:val="16"/>
                <w:u w:val="none"/>
              </w:rPr>
            </w:pPr>
          </w:p>
        </w:tc>
      </w:tr>
      <w:tr w14:paraId="4F8E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FA6AF">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BF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DB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EA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8BFC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94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94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38A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10F93">
            <w:pPr>
              <w:rPr>
                <w:rFonts w:hint="eastAsia" w:ascii="微软雅黑" w:hAnsi="微软雅黑" w:eastAsia="微软雅黑" w:cs="微软雅黑"/>
                <w:i/>
                <w:iCs/>
                <w:color w:val="000000"/>
                <w:sz w:val="16"/>
                <w:szCs w:val="16"/>
                <w:u w:val="none"/>
              </w:rPr>
            </w:pPr>
          </w:p>
        </w:tc>
      </w:tr>
      <w:tr w14:paraId="0370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9CA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5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D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39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412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93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5E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248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5F1A8">
            <w:pPr>
              <w:rPr>
                <w:rFonts w:hint="eastAsia" w:ascii="微软雅黑" w:hAnsi="微软雅黑" w:eastAsia="微软雅黑" w:cs="微软雅黑"/>
                <w:i/>
                <w:iCs/>
                <w:color w:val="000000"/>
                <w:sz w:val="16"/>
                <w:szCs w:val="16"/>
                <w:u w:val="none"/>
              </w:rPr>
            </w:pPr>
          </w:p>
        </w:tc>
      </w:tr>
      <w:tr w14:paraId="1092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B0FCD">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36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FD119">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0EEB7">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14A74">
            <w:pPr>
              <w:jc w:val="center"/>
              <w:rPr>
                <w:rFonts w:hint="eastAsia" w:ascii="微软雅黑" w:hAnsi="微软雅黑" w:eastAsia="微软雅黑" w:cs="微软雅黑"/>
                <w:i/>
                <w:iCs/>
                <w:color w:val="000000"/>
                <w:sz w:val="16"/>
                <w:szCs w:val="16"/>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92AB6">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AE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D84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12818">
            <w:pPr>
              <w:rPr>
                <w:rFonts w:hint="eastAsia" w:ascii="微软雅黑" w:hAnsi="微软雅黑" w:eastAsia="微软雅黑" w:cs="微软雅黑"/>
                <w:i/>
                <w:iCs/>
                <w:color w:val="000000"/>
                <w:sz w:val="16"/>
                <w:szCs w:val="16"/>
                <w:u w:val="none"/>
              </w:rPr>
            </w:pPr>
          </w:p>
        </w:tc>
      </w:tr>
      <w:tr w14:paraId="5324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3E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E4B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548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C08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759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25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36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28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997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8C1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58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749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B1EAE">
            <w:pPr>
              <w:jc w:val="center"/>
              <w:rPr>
                <w:rFonts w:ascii="宋体" w:hAnsi="宋体" w:eastAsia="宋体" w:cs="宋体"/>
                <w:i w:val="0"/>
                <w:iCs w:val="0"/>
                <w:color w:val="000000"/>
                <w:sz w:val="13"/>
                <w:szCs w:val="13"/>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7A7B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7BB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D1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被测评系统安全达标率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E6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F89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1A3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5CC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DC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71B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39951">
            <w:pPr>
              <w:jc w:val="center"/>
            </w:pPr>
          </w:p>
        </w:tc>
      </w:tr>
      <w:tr w14:paraId="6DE4A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C7E7B">
            <w:pPr>
              <w:jc w:val="center"/>
              <w:rPr>
                <w:rFonts w:ascii="宋体" w:hAnsi="宋体" w:eastAsia="宋体" w:cs="宋体"/>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873B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1E6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F3D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完成时限</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729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136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A07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CB0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352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237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88A55">
            <w:pPr>
              <w:jc w:val="center"/>
            </w:pPr>
          </w:p>
        </w:tc>
      </w:tr>
      <w:tr w14:paraId="4624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417D6">
            <w:pPr>
              <w:jc w:val="center"/>
              <w:rPr>
                <w:rFonts w:ascii="宋体" w:hAnsi="宋体" w:eastAsia="宋体" w:cs="宋体"/>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BB882">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B83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22B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测评系统数量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740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6FF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D8E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A57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9E9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00A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FA02B">
            <w:pPr>
              <w:jc w:val="center"/>
            </w:pPr>
          </w:p>
        </w:tc>
      </w:tr>
      <w:tr w14:paraId="59C8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88CCBA8">
            <w:pPr>
              <w:jc w:val="center"/>
              <w:rPr>
                <w:rFonts w:hint="eastAsia" w:ascii="黑体" w:hAnsi="黑体" w:eastAsia="黑体" w:cs="黑体"/>
                <w:i w:val="0"/>
                <w:iCs w:val="0"/>
                <w:color w:val="000000"/>
                <w:sz w:val="18"/>
                <w:szCs w:val="18"/>
                <w:u w:val="none"/>
              </w:rPr>
            </w:pPr>
          </w:p>
        </w:tc>
        <w:tc>
          <w:tcPr>
            <w:tcW w:w="931" w:type="dxa"/>
            <w:gridSpan w:val="3"/>
            <w:vMerge w:val="restart"/>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59A56B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A2A4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E8197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系统持续稳定运行</w:t>
            </w:r>
          </w:p>
        </w:tc>
        <w:tc>
          <w:tcPr>
            <w:tcW w:w="616"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05DD3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A906B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系统运行</w:t>
            </w:r>
          </w:p>
        </w:tc>
        <w:tc>
          <w:tcPr>
            <w:tcW w:w="482"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EA49A3">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130D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正常运行</w:t>
            </w: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F6CBC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0C64C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B2E6B7">
            <w:pPr>
              <w:jc w:val="center"/>
            </w:pPr>
          </w:p>
        </w:tc>
      </w:tr>
      <w:tr w14:paraId="08175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nil"/>
              <w:bottom w:val="nil"/>
              <w:right w:val="single" w:color="auto" w:sz="4" w:space="0"/>
            </w:tcBorders>
            <w:shd w:val="clear" w:color="auto" w:fill="auto"/>
            <w:noWrap w:val="0"/>
            <w:vAlign w:val="center"/>
          </w:tcPr>
          <w:p w14:paraId="04F03EC4">
            <w:pPr>
              <w:jc w:val="center"/>
              <w:rPr>
                <w:rFonts w:hint="eastAsia" w:ascii="宋体" w:hAnsi="宋体" w:eastAsia="宋体" w:cs="宋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D2EB94D">
            <w:pPr>
              <w:jc w:val="center"/>
              <w:rPr>
                <w:rFonts w:hint="eastAsia" w:ascii="宋体" w:hAnsi="宋体" w:eastAsia="宋体" w:cs="宋体"/>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6CD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027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系统运行状态评级</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B75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6BB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B419168">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CEA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7D10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F308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37522E">
            <w:pPr>
              <w:jc w:val="center"/>
            </w:pPr>
          </w:p>
        </w:tc>
      </w:tr>
      <w:tr w14:paraId="278B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3CD7FB7">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D8FE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39EAE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991E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系统安全运行程度满意度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B207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50F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A6489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D9C2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970E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37AA0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40802">
            <w:pPr>
              <w:jc w:val="center"/>
            </w:pPr>
          </w:p>
        </w:tc>
      </w:tr>
      <w:tr w14:paraId="68B4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351AD">
            <w:pPr>
              <w:jc w:val="center"/>
              <w:rPr>
                <w:rFonts w:ascii="宋体" w:hAnsi="宋体" w:eastAsia="宋体" w:cs="宋体"/>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7D4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E018F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11A00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单个系统测评成本</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502D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81C22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C062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万元/个</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63695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9A100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F1C6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AFF7A0C">
            <w:pPr>
              <w:jc w:val="center"/>
            </w:pPr>
          </w:p>
        </w:tc>
      </w:tr>
      <w:tr w14:paraId="3228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30386">
            <w:pPr>
              <w:jc w:val="center"/>
              <w:rPr>
                <w:rFonts w:ascii="宋体" w:hAnsi="宋体" w:eastAsia="宋体" w:cs="宋体"/>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8223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01296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3F31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2EDF4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3DBE3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361F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6C9B1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B623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57B08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848566">
            <w:pPr>
              <w:jc w:val="center"/>
            </w:pPr>
          </w:p>
        </w:tc>
      </w:tr>
      <w:tr w14:paraId="1AF2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BD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C2A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79433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5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A77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A3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05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C18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44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1760832">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6575C40D">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3CF63F2C">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B36C206">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76ADC435">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03194CB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740BC87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5B1ED4F8"/>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6E891F15"/>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10184">
            <w:pPr>
              <w:rPr>
                <w:rFonts w:hint="eastAsia" w:ascii="黑体" w:hAnsi="黑体" w:eastAsia="黑体" w:cs="黑体"/>
                <w:i/>
                <w:iCs/>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63468"/>
        </w:tc>
      </w:tr>
      <w:tr w14:paraId="7384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5894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CF4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833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099B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51320025T000012614319-阿坝州“互联网+监管”专项技术服务</w:t>
            </w:r>
          </w:p>
        </w:tc>
      </w:tr>
      <w:tr w14:paraId="5BC4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BB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182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25B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538B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6904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EB6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A25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50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85B1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D9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20"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216A6">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B686E">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F1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CB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62E5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12F73">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BAE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918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37D67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35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34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E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AE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FF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3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EC3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6E6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1B4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5D2D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F675A">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F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22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FD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78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85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E3B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A21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491DF"/>
        </w:tc>
      </w:tr>
      <w:tr w14:paraId="2C1E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98DE">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61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BA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3D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88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EC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7B2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CBD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B1AF3"/>
        </w:tc>
      </w:tr>
      <w:tr w14:paraId="35E20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F92A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C9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D3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03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9C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63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9C6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71B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227C1"/>
        </w:tc>
      </w:tr>
      <w:tr w14:paraId="650E7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01B6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D1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C9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D4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D5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FA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36E4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E38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36B98"/>
        </w:tc>
      </w:tr>
      <w:tr w14:paraId="562F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305790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C06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EEA5C05">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68C34BA">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F64E144">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A4A523A">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AD5F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14F59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2F2CA4E"/>
        </w:tc>
      </w:tr>
      <w:tr w14:paraId="32FE4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9DE3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BF2CD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FDB4C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096F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5A4F7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C6D2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D125C9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B47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16EC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6D860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3ADB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5154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113B6E">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A1E63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D6048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8AC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统一要求，实现监管规范率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36373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20C3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946F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CE0C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EF33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15AE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A7F742">
            <w:pPr>
              <w:jc w:val="center"/>
            </w:pPr>
          </w:p>
        </w:tc>
      </w:tr>
      <w:tr w14:paraId="4E916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3538FF">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9B9E6D6">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77878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CCC5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7*24小时响应服务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4038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8D7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符合规定时限相应服务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90859FF">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7C93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2925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DC5B7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70EE8">
            <w:pPr>
              <w:jc w:val="center"/>
            </w:pPr>
          </w:p>
        </w:tc>
      </w:tr>
      <w:tr w14:paraId="4C1F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65320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BF6453">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1E7D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26B1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现场驻场服务人数</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C02E0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B671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827F6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5A2E8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6E875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3CCBE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EFD784">
            <w:pPr>
              <w:jc w:val="center"/>
            </w:pPr>
          </w:p>
        </w:tc>
      </w:tr>
      <w:tr w14:paraId="76F16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B2555A">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109E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E57E2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7572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互联网+监管服务水平明显提升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A77D3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20F0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5185371">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46677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5137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54B8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CB94D0">
            <w:pPr>
              <w:jc w:val="center"/>
            </w:pPr>
          </w:p>
        </w:tc>
      </w:tr>
      <w:tr w14:paraId="6327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BFD29C">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5E48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A806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794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数量质量检测合格率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FE88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866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F23E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BB5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E4A0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C221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D70BE4">
            <w:pPr>
              <w:jc w:val="center"/>
            </w:pPr>
          </w:p>
        </w:tc>
      </w:tr>
      <w:tr w14:paraId="789B6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DB54D99">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13D9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DC2DD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D2FF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企业和群众满意度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25896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03271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3E36F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E5D12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D336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78A4F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75346E8">
            <w:pPr>
              <w:jc w:val="center"/>
            </w:pPr>
          </w:p>
        </w:tc>
      </w:tr>
      <w:tr w14:paraId="7A16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0E4395">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65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169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E3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项目预算执行率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28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11E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769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8B1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E44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F91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41226">
            <w:pPr>
              <w:jc w:val="center"/>
            </w:pPr>
          </w:p>
        </w:tc>
      </w:tr>
      <w:tr w14:paraId="2727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D79A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E1B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DA75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900B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8F4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167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04C4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65D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E9A6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6B4C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3B1F">
            <w:pPr>
              <w:jc w:val="center"/>
            </w:pPr>
          </w:p>
        </w:tc>
      </w:tr>
      <w:tr w14:paraId="75BD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91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C3F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1E62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3B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648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1F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3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D5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5B68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D0E105B">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25CE4617">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7550099C">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455ACB29">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3836312">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1F098144">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36110CB7"/>
        </w:tc>
        <w:tc>
          <w:tcPr>
            <w:tcW w:w="664" w:type="dxa"/>
            <w:tcBorders>
              <w:top w:val="nil"/>
              <w:left w:val="nil"/>
              <w:bottom w:val="nil"/>
              <w:right w:val="nil"/>
            </w:tcBorders>
            <w:shd w:val="clear" w:color="auto" w:fill="auto"/>
            <w:noWrap w:val="0"/>
            <w:vAlign w:val="center"/>
          </w:tcPr>
          <w:p w14:paraId="37E2EA47">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13C6B34C"/>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063D1"/>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BFC9D">
            <w:pPr>
              <w:rPr>
                <w:rFonts w:hint="eastAsia" w:ascii="黑体" w:hAnsi="黑体" w:eastAsia="黑体" w:cs="黑体"/>
                <w:i/>
                <w:iCs/>
                <w:color w:val="000000"/>
                <w:sz w:val="18"/>
                <w:szCs w:val="18"/>
                <w:u w:val="none"/>
              </w:rPr>
            </w:pPr>
          </w:p>
        </w:tc>
      </w:tr>
      <w:tr w14:paraId="76EBF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C705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12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A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CEA8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51320025T000012665539-阿坝州州级电子政务外网租赁服务</w:t>
            </w:r>
          </w:p>
        </w:tc>
      </w:tr>
      <w:tr w14:paraId="06C7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AE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03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F7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27BE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2A9B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7DF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7F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FE66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681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58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F66D5">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ED9A5">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048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6"/>
                <w:szCs w:val="16"/>
                <w:u w:val="none"/>
                <w:lang w:val="en-US" w:eastAsia="zh-CN" w:bidi="ar"/>
              </w:rPr>
              <w:t>按照IPV6协议标准和国家电子政务外网二期改造升级标准对全州电子政务外网进行升级改造。推进我州政务信息系统整合共享工作，提升全州电子政务网络支撑能力，保障州级部门免费使用公文无纸化传输平台、政府协同办公OA平台。构建高安全、高可靠、高效能，全州统一的电子政务外网平台，进一步提高政府社会管理和公共服务水平。</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B0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6"/>
                <w:szCs w:val="16"/>
                <w:u w:val="none"/>
                <w:lang w:val="en-US" w:eastAsia="zh-CN" w:bidi="ar"/>
              </w:rPr>
              <w:t>该项目为政务信息化基础性支撑网络服务，全年按照既定目标为州级各部门提供了稳定高效的电子政务外网服务，有效保障了协同办公（OA）、方正电子公文交换系统等政务信息系统，有力助推了政府行政效能和公共服务水平，项目年度既定目标已基本达成。</w:t>
            </w:r>
          </w:p>
        </w:tc>
      </w:tr>
      <w:tr w14:paraId="3759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B83C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10C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98B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该项目为保障州级部门免费使用公文无纸化传输平台、政府协同办公OA平台。构建高安全、高可靠、高效能，全州统一的电子政务外网平台，进一步提高政府社会管理和公共服务水平。</w:t>
            </w:r>
          </w:p>
        </w:tc>
      </w:tr>
      <w:tr w14:paraId="47438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9D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44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2B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94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87F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BE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AD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D8C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7C5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D4C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6FF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B7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CF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BD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08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72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327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B05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2F40D"/>
        </w:tc>
      </w:tr>
      <w:tr w14:paraId="1F84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F138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95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BE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FC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C2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1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B03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61C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EBFA8"/>
        </w:tc>
      </w:tr>
      <w:tr w14:paraId="7B57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1281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E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50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BB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4F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83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B44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C9F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693D"/>
        </w:tc>
      </w:tr>
      <w:tr w14:paraId="1FDB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ECC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13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8E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D1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D2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69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7DB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901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BB76"/>
        </w:tc>
      </w:tr>
      <w:tr w14:paraId="6A7E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0955DDA">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DCBC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298CE2F">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12622CE">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40109D6">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C941CC">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38678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701EE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ADA75E3"/>
        </w:tc>
      </w:tr>
      <w:tr w14:paraId="65CD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DB0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3CB5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70566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90D8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0091B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D4AEB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B229A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E2232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7455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D2E2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B82E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CD1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6B5258">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01737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CFB28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8E63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运维服务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2C2EE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82D8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全天候运维服务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71CE18">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E11A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EECD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55619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4C868C">
            <w:pPr>
              <w:jc w:val="center"/>
            </w:pPr>
          </w:p>
        </w:tc>
      </w:tr>
      <w:tr w14:paraId="5E15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FDEFD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16E39A">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D0D59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FEAD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1750C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87553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E341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402A4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DFCF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466FB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AAA246">
            <w:pPr>
              <w:jc w:val="center"/>
            </w:pPr>
          </w:p>
        </w:tc>
      </w:tr>
      <w:tr w14:paraId="0AC0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967C7BE">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700F1C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73897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7B46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全年网络安全稳定运行率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DEA12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ADDE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8348F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AA1C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A37FA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9AF7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140D05">
            <w:pPr>
              <w:jc w:val="center"/>
            </w:pPr>
          </w:p>
        </w:tc>
      </w:tr>
      <w:tr w14:paraId="3FCB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5F34AB1">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D157FE">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54665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5D5EFB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8251E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52D5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3346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02755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5510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6FD5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3D4F29">
            <w:pPr>
              <w:jc w:val="center"/>
            </w:pPr>
          </w:p>
        </w:tc>
      </w:tr>
      <w:tr w14:paraId="7B8E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CE349E">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C9C6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13ED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CCEC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构建统一的办公网络</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4B7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AC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提高政府工作效率</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59C4689">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6E5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3B77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E570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E1CE35">
            <w:pPr>
              <w:jc w:val="center"/>
            </w:pPr>
          </w:p>
        </w:tc>
      </w:tr>
      <w:tr w14:paraId="42734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C328690">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7A93A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0C6ED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83B43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网络使用单位满意度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6A19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395BC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7DB2F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3F813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101E2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E9A1D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406C6DF">
            <w:pPr>
              <w:jc w:val="center"/>
            </w:pPr>
          </w:p>
        </w:tc>
      </w:tr>
      <w:tr w14:paraId="4B352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EC773A6">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5A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715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66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网络租赁成本控制率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4B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757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914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94F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402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0B2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FFBD">
            <w:pPr>
              <w:jc w:val="center"/>
            </w:pPr>
          </w:p>
        </w:tc>
      </w:tr>
      <w:tr w14:paraId="245E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419BF0B">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34E3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E16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E040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C0E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64D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E410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2CE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83B6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AC80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2ADA1">
            <w:pPr>
              <w:jc w:val="center"/>
            </w:pPr>
          </w:p>
        </w:tc>
      </w:tr>
      <w:tr w14:paraId="5664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6B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224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367C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B9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CA2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8D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3E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56A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B9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1E5C91A7">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016AFC4">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08530B2B">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01062F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3DCB790D">
            <w:pPr>
              <w:rPr>
                <w:rFonts w:ascii="宋体" w:hAnsi="宋体" w:eastAsia="宋体" w:cs="宋体"/>
                <w:i w:val="0"/>
                <w:iCs w:val="0"/>
                <w:color w:val="000000"/>
                <w:sz w:val="18"/>
                <w:szCs w:val="18"/>
                <w:u w:val="none"/>
              </w:rPr>
            </w:pPr>
          </w:p>
        </w:tc>
        <w:tc>
          <w:tcPr>
            <w:tcW w:w="998" w:type="dxa"/>
            <w:gridSpan w:val="4"/>
            <w:tcBorders>
              <w:top w:val="nil"/>
              <w:left w:val="nil"/>
              <w:bottom w:val="nil"/>
              <w:right w:val="nil"/>
            </w:tcBorders>
            <w:shd w:val="clear" w:color="auto" w:fill="auto"/>
            <w:noWrap w:val="0"/>
            <w:vAlign w:val="center"/>
          </w:tcPr>
          <w:p w14:paraId="17206372">
            <w:pPr>
              <w:rPr>
                <w:rFonts w:ascii="宋体" w:hAnsi="宋体" w:eastAsia="宋体" w:cs="宋体"/>
                <w:i w:val="0"/>
                <w:iCs w:val="0"/>
                <w:color w:val="000000"/>
                <w:sz w:val="18"/>
                <w:szCs w:val="18"/>
                <w:u w:val="none"/>
              </w:rPr>
            </w:pPr>
          </w:p>
        </w:tc>
        <w:tc>
          <w:tcPr>
            <w:tcW w:w="4191" w:type="dxa"/>
            <w:gridSpan w:val="15"/>
            <w:tcBorders>
              <w:top w:val="nil"/>
              <w:left w:val="nil"/>
              <w:bottom w:val="nil"/>
              <w:right w:val="nil"/>
            </w:tcBorders>
            <w:shd w:val="clear" w:color="auto" w:fill="auto"/>
            <w:noWrap w:val="0"/>
            <w:vAlign w:val="center"/>
          </w:tcPr>
          <w:p w14:paraId="2011DF89"/>
        </w:tc>
        <w:tc>
          <w:tcPr>
            <w:tcW w:w="664" w:type="dxa"/>
            <w:tcBorders>
              <w:top w:val="nil"/>
              <w:left w:val="nil"/>
              <w:bottom w:val="nil"/>
              <w:right w:val="nil"/>
            </w:tcBorders>
            <w:shd w:val="clear" w:color="auto" w:fill="auto"/>
            <w:noWrap w:val="0"/>
            <w:vAlign w:val="center"/>
          </w:tcPr>
          <w:p w14:paraId="790C2CF2">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4A16D8B2">
            <w:pPr>
              <w:rPr>
                <w:rFonts w:hint="eastAsia" w:ascii="黑体" w:hAnsi="黑体" w:eastAsia="黑体" w:cs="黑体"/>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82AB"/>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BC738"/>
        </w:tc>
      </w:tr>
      <w:tr w14:paraId="3BF3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527B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730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C1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404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51320025T000012665901-阿坝州政务云和政务大数据平台服务</w:t>
            </w:r>
          </w:p>
        </w:tc>
      </w:tr>
      <w:tr w14:paraId="252B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798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BA5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824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1258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9AA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443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2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8F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03DE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D3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AC998">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5B91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67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高度整合资源，杜绝重复建设，实现全州电子政务“一朵云”。逐步实施13县（市）和州级各部门在互联网、政务外网、非涉密业务专网上运行的应用迁移。</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1BA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按照高效集约原则，继续为上云信息系统提供云计算、存储和安全相关资源，持续开展非涉密信息系统上云迁移部署，项目年度目标基本达成。</w:t>
            </w:r>
          </w:p>
        </w:tc>
      </w:tr>
      <w:tr w14:paraId="05C3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8C872">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C25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476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该项目为阿坝州政务云租赁，持续为云上政务信息系统提供云计算、存储和安全相关资源，除开展非涉密信息系统上云迁移部署外，持续开展政务云资源动态调优工作，规范对停止运行的信息系统进行退出资源操作。</w:t>
            </w:r>
          </w:p>
        </w:tc>
      </w:tr>
      <w:tr w14:paraId="1D84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E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A2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5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F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5E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F6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C2F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155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CE3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4E60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2981B">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87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54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96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E0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5B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A916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4A4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E5BD"/>
        </w:tc>
      </w:tr>
      <w:tr w14:paraId="086A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70B5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8C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04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8E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90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513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3D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C0560"/>
        </w:tc>
      </w:tr>
      <w:tr w14:paraId="0CF9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5EE5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27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A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A5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B9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8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5C3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9F2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4BDD"/>
        </w:tc>
      </w:tr>
      <w:tr w14:paraId="0190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C8F7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20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A1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62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BA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0B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37D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714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8A053"/>
        </w:tc>
      </w:tr>
      <w:tr w14:paraId="38CA6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3002F0">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98A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E48CA9">
            <w:pPr>
              <w:jc w:val="center"/>
              <w:rPr>
                <w:rFonts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19369F">
            <w:pPr>
              <w:jc w:val="center"/>
              <w:rPr>
                <w:rFonts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7B07ABF">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3E3F18F">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BD83B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C93A8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EE54F68"/>
        </w:tc>
      </w:tr>
      <w:tr w14:paraId="638A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CA6A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1D7F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98F54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89399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9FD46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BAD3E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0DA0F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8E8F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CF7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9883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F7DF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77B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FB093B">
            <w:pPr>
              <w:jc w:val="center"/>
              <w:rPr>
                <w:rFonts w:ascii="宋体" w:hAnsi="宋体" w:eastAsia="宋体" w:cs="宋体"/>
                <w:i w:val="0"/>
                <w:iCs w:val="0"/>
                <w:color w:val="000000"/>
                <w:sz w:val="15"/>
                <w:szCs w:val="15"/>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08BCC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1136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8DE5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完成时限</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5F544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95EE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7C1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8C38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82F7F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3629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C68FA6">
            <w:pPr>
              <w:jc w:val="center"/>
            </w:pPr>
          </w:p>
        </w:tc>
      </w:tr>
      <w:tr w14:paraId="0926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DF0849">
            <w:pPr>
              <w:jc w:val="center"/>
              <w:rPr>
                <w:rFonts w:ascii="宋体" w:hAnsi="宋体" w:eastAsia="宋体" w:cs="宋体"/>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B60FD3">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1F861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198C8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提供技术服务支持时间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258C9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6DA3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8828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小时/天</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04BE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24</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2AFA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CEBC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FDDA35">
            <w:pPr>
              <w:jc w:val="center"/>
            </w:pPr>
          </w:p>
        </w:tc>
      </w:tr>
      <w:tr w14:paraId="5C53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D562A6">
            <w:pPr>
              <w:jc w:val="center"/>
              <w:rPr>
                <w:rFonts w:ascii="宋体" w:hAnsi="宋体" w:eastAsia="宋体" w:cs="宋体"/>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CBD2C9">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80E49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C244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上云业务（非涉密）系统数量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5921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1A6E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E5A3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12DE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8BB45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30A4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859160">
            <w:pPr>
              <w:jc w:val="center"/>
            </w:pPr>
          </w:p>
        </w:tc>
      </w:tr>
      <w:tr w14:paraId="035C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A85178">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D01395B">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54B77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7D7E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政务云资源健康度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7799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614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E3F6D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53F7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A09B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31A02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871EBE">
            <w:pPr>
              <w:jc w:val="center"/>
            </w:pPr>
          </w:p>
        </w:tc>
      </w:tr>
      <w:tr w14:paraId="688F5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B29F56B">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A1A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218A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CB0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资源整合完成情况说明</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00C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D46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027B854">
            <w:pPr>
              <w:jc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F5C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FF75A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3ADD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EE6401">
            <w:pPr>
              <w:jc w:val="center"/>
            </w:pPr>
          </w:p>
        </w:tc>
      </w:tr>
      <w:tr w14:paraId="4850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3C42C5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2F0F9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F15A1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FBDD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政务云使用单位满意度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07C6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3027B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A289B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C8A2F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94</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CDCEF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E06D6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450C4F">
            <w:pPr>
              <w:jc w:val="center"/>
            </w:pPr>
          </w:p>
        </w:tc>
      </w:tr>
      <w:tr w14:paraId="6063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1A74AFE">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15F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2DD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成本控制金额</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D48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465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9EF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544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1117.02</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F0B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A43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35FE8">
            <w:pPr>
              <w:jc w:val="center"/>
            </w:pPr>
          </w:p>
        </w:tc>
      </w:tr>
      <w:tr w14:paraId="7AA5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A382A66">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46D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E194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445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4F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501D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5854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0290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EF2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B156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486D3">
            <w:pPr>
              <w:jc w:val="center"/>
            </w:pPr>
          </w:p>
        </w:tc>
      </w:tr>
      <w:tr w14:paraId="5CD9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0B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EBB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自评得100分</w:t>
            </w:r>
          </w:p>
        </w:tc>
      </w:tr>
      <w:tr w14:paraId="2C84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75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E6B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84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A2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8AA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406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2B1B6447">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24963C8">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BEAAE37">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592BCF7F">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2EB293AA">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1E5B7912">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4A1AB3C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404E6F2C"/>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3540CC3E">
            <w:pPr>
              <w:rPr>
                <w:rFonts w:hint="eastAsia" w:ascii="黑体" w:hAnsi="黑体" w:eastAsia="黑体" w:cs="黑体"/>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11955"/>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F1AF5"/>
        </w:tc>
      </w:tr>
      <w:tr w14:paraId="3915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BE5B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86B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C51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D037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51320025T000012696925-阿坝州“互联网+监管”专项技术服务（追加）</w:t>
            </w:r>
          </w:p>
        </w:tc>
      </w:tr>
      <w:tr w14:paraId="7F4D2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610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EE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8E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B2CA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B91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0D0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22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9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A8F0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9B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9CB94">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C3F60">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3F1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B3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已完成年度目标。</w:t>
            </w:r>
          </w:p>
        </w:tc>
      </w:tr>
      <w:tr w14:paraId="1161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0"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BF84DDF">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767C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73039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52720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60"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ECF7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47B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22E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A0AF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3F9C6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56C9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A3CC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9C00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4D90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0C9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0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520052">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48D0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A157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88B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5E7B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05D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DE2C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9F14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464E95F"/>
        </w:tc>
      </w:tr>
      <w:tr w14:paraId="19C4D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AEC07BB">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C9A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6DFE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810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249D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B65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77269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7A23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3DF7E9"/>
        </w:tc>
      </w:tr>
      <w:tr w14:paraId="1E06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30320D">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5DB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5ABF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97B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4B5A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0C12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6BDA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AD6C5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4E4D71"/>
        </w:tc>
      </w:tr>
      <w:tr w14:paraId="31A3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68B697">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9FF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C355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5B2B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3783F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D39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794F7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92E7C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429318D"/>
        </w:tc>
      </w:tr>
      <w:tr w14:paraId="3708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4F188D">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7C9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E221DE0">
            <w:pPr>
              <w:jc w:val="center"/>
              <w:rPr>
                <w:rFonts w:ascii="宋体" w:hAnsi="宋体" w:eastAsia="宋体" w:cs="宋体"/>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B42707">
            <w:pPr>
              <w:jc w:val="center"/>
              <w:rPr>
                <w:rFonts w:ascii="宋体" w:hAnsi="宋体" w:eastAsia="宋体" w:cs="宋体"/>
                <w:i w:val="0"/>
                <w:iCs w:val="0"/>
                <w:color w:val="000000"/>
                <w:sz w:val="18"/>
                <w:szCs w:val="18"/>
                <w:u w:val="none"/>
              </w:rPr>
            </w:pP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7CEB9361">
            <w:pPr>
              <w:jc w:val="center"/>
              <w:rPr>
                <w:rFonts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F986D0">
            <w:pPr>
              <w:jc w:val="center"/>
              <w:rPr>
                <w:rFonts w:ascii="宋体" w:hAnsi="宋体" w:eastAsia="宋体" w:cs="宋体"/>
                <w:i w:val="0"/>
                <w:iCs w:val="0"/>
                <w:color w:val="000000"/>
                <w:sz w:val="18"/>
                <w:szCs w:val="18"/>
                <w:u w:val="none"/>
              </w:rP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545C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ED20CA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98C9168"/>
        </w:tc>
      </w:tr>
      <w:tr w14:paraId="5BE2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D5759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效益指标</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2C74D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社会效益指标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0074DA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6"/>
                <w:szCs w:val="16"/>
                <w:u w:val="none"/>
                <w:lang w:val="en-US" w:eastAsia="zh-CN" w:bidi="ar"/>
              </w:rPr>
              <w:t>建数据质量模型，对阿坝州本地区监管数据进行周期检查，及时发现错误数据，并形成数据质量报告，指导数据源进行业务与技术更正</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E1D3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D43CBC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6"/>
                <w:szCs w:val="16"/>
                <w:u w:val="none"/>
                <w:lang w:val="en-US" w:eastAsia="zh-CN" w:bidi="ar"/>
              </w:rPr>
              <w:t>90</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5347E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5038013">
            <w:pPr>
              <w:keepNext w:val="0"/>
              <w:keepLines w:val="0"/>
              <w:widowControl/>
              <w:suppressLineNumbers w:val="0"/>
              <w:jc w:val="center"/>
              <w:textAlignment w:val="center"/>
              <w:rPr>
                <w:rFonts w:ascii="Times New Roman" w:hAnsi="Times New Roman" w:eastAsia="宋体" w:cs="Times New Roman"/>
                <w:kern w:val="2"/>
                <w:sz w:val="21"/>
                <w:szCs w:val="24"/>
                <w:lang w:val="en-US" w:eastAsia="zh-CN" w:bidi="ar-SA"/>
              </w:rPr>
            </w:pPr>
            <w:r>
              <w:rPr>
                <w:rFonts w:ascii="宋体" w:hAnsi="宋体" w:eastAsia="宋体" w:cs="宋体"/>
                <w:i w:val="0"/>
                <w:iCs w:val="0"/>
                <w:color w:val="000000"/>
                <w:kern w:val="0"/>
                <w:sz w:val="18"/>
                <w:szCs w:val="18"/>
                <w:u w:val="none"/>
                <w:lang w:val="en-US" w:eastAsia="zh-CN" w:bidi="ar"/>
              </w:rPr>
              <w:t>97</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7533D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C4208F">
            <w:pPr>
              <w:keepNext w:val="0"/>
              <w:keepLines w:val="0"/>
              <w:widowControl/>
              <w:suppressLineNumbers w:val="0"/>
              <w:jc w:val="center"/>
              <w:textAlignment w:val="center"/>
              <w:rPr>
                <w:rFonts w:ascii="Times New Roman" w:hAnsi="Times New Roman" w:eastAsia="宋体" w:cs="Times New Roman"/>
                <w:kern w:val="2"/>
                <w:sz w:val="21"/>
                <w:szCs w:val="24"/>
                <w:lang w:val="en-US" w:eastAsia="zh-CN" w:bidi="ar-SA"/>
              </w:rP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8EE05C3">
            <w:pPr>
              <w:jc w:val="center"/>
              <w:rPr>
                <w:rFonts w:hint="eastAsia" w:ascii="Times New Roman" w:hAnsi="Times New Roman" w:eastAsia="宋体" w:cs="Times New Roman"/>
                <w:kern w:val="2"/>
                <w:sz w:val="21"/>
                <w:szCs w:val="24"/>
                <w:lang w:val="en-US" w:eastAsia="zh-CN" w:bidi="ar-SA"/>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52DF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842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2A9A965">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6B9B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340AE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548C48">
            <w:pPr>
              <w:keepNext w:val="0"/>
              <w:keepLines w:val="0"/>
              <w:widowControl/>
              <w:suppressLineNumbers w:val="0"/>
              <w:jc w:val="center"/>
              <w:textAlignment w:val="center"/>
            </w:pPr>
            <w:r>
              <w:rPr>
                <w:rFonts w:ascii="宋体" w:hAnsi="宋体" w:eastAsia="宋体" w:cs="宋体"/>
                <w:i w:val="0"/>
                <w:iCs w:val="0"/>
                <w:color w:val="000000"/>
                <w:kern w:val="0"/>
                <w:sz w:val="16"/>
                <w:szCs w:val="16"/>
                <w:u w:val="none"/>
                <w:lang w:val="en-US" w:eastAsia="zh-CN" w:bidi="ar"/>
              </w:rPr>
              <w:t>梳理监管事项目录清单，统一监管事项要素，统一监管数据标准，逐步实现监管行为标准化、规范化</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76EC8CE">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D4E9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19FD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F070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5BF9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3CB10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6C355">
            <w:pPr>
              <w:jc w:val="center"/>
            </w:pPr>
          </w:p>
        </w:tc>
      </w:tr>
      <w:tr w14:paraId="1B88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48A5E05">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DB8D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45C0F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B62DC3">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按照工作需求，需提供不少于3人开展驻场服务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7D99A65">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DED0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14950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8BF0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165E0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C13FF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E38446">
            <w:pPr>
              <w:jc w:val="center"/>
            </w:pPr>
          </w:p>
        </w:tc>
      </w:tr>
      <w:tr w14:paraId="6503A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7AEA942">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3E50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5E04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0CE647">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提供7*24小时服务，确保“互联网+监管”工作顺利良好推进，保障视频会议系统安全稳定运行</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79633D">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C30EE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达到相关时效及服务要求</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FACAD2">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4FA48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已基本完成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D1FE4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C801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7E9225">
            <w:pPr>
              <w:jc w:val="center"/>
            </w:pPr>
          </w:p>
        </w:tc>
      </w:tr>
      <w:tr w14:paraId="7F993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9C3DE3E">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28694B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EEA33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525A35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持续提升“互联网+监管”服务水平</w:t>
            </w:r>
          </w:p>
        </w:tc>
        <w:tc>
          <w:tcPr>
            <w:tcW w:w="616"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9319188">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E080BD8">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持续提升监管水平</w:t>
            </w:r>
          </w:p>
        </w:tc>
        <w:tc>
          <w:tcPr>
            <w:tcW w:w="482"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F20E8C4">
            <w:pPr>
              <w:jc w:val="center"/>
            </w:pPr>
          </w:p>
        </w:tc>
        <w:tc>
          <w:tcPr>
            <w:tcW w:w="66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9EE7C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已基本达成</w:t>
            </w:r>
          </w:p>
        </w:tc>
        <w:tc>
          <w:tcPr>
            <w:tcW w:w="41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A2895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BD8FD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w:t>
            </w:r>
          </w:p>
        </w:tc>
        <w:tc>
          <w:tcPr>
            <w:tcW w:w="1318"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1837453">
            <w:pPr>
              <w:jc w:val="center"/>
            </w:pPr>
          </w:p>
        </w:tc>
      </w:tr>
      <w:tr w14:paraId="17D5F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single" w:color="auto" w:sz="4" w:space="0"/>
              <w:bottom w:val="nil"/>
              <w:right w:val="single" w:color="auto" w:sz="4" w:space="0"/>
            </w:tcBorders>
            <w:shd w:val="clear" w:color="auto" w:fill="auto"/>
            <w:noWrap w:val="0"/>
            <w:vAlign w:val="center"/>
          </w:tcPr>
          <w:p w14:paraId="7A699003">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1DB7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E191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5D7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E5AC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813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B6F1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71A9B33">
            <w:pPr>
              <w:keepNext w:val="0"/>
              <w:keepLines w:val="0"/>
              <w:widowControl/>
              <w:suppressLineNumbers w:val="0"/>
              <w:jc w:val="center"/>
              <w:textAlignment w:val="cente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4F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D615F2">
            <w:pPr>
              <w:keepNext w:val="0"/>
              <w:keepLines w:val="0"/>
              <w:widowControl/>
              <w:suppressLineNumbers w:val="0"/>
              <w:jc w:val="center"/>
              <w:textAlignment w:val="cente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12D0BE">
            <w:pPr>
              <w:jc w:val="center"/>
            </w:pPr>
          </w:p>
        </w:tc>
      </w:tr>
      <w:tr w14:paraId="0ED9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94D11B7">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8F19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4B5EA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0C5D57B">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提供“互联网+监管”服务符合上级更正要求，使用单位满意</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16C639">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C6F93B0">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17D04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336B8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3B4CE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3340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24777B6">
            <w:pPr>
              <w:jc w:val="center"/>
            </w:pPr>
          </w:p>
        </w:tc>
      </w:tr>
      <w:tr w14:paraId="4D6F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AEC6DB9">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FC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D2C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FBC32">
            <w:pPr>
              <w:keepNext w:val="0"/>
              <w:keepLines w:val="0"/>
              <w:widowControl/>
              <w:suppressLineNumbers w:val="0"/>
              <w:jc w:val="center"/>
              <w:textAlignment w:val="center"/>
            </w:pPr>
            <w:r>
              <w:rPr>
                <w:rFonts w:ascii="宋体" w:hAnsi="宋体" w:eastAsia="宋体" w:cs="宋体"/>
                <w:i w:val="0"/>
                <w:iCs w:val="0"/>
                <w:color w:val="000000"/>
                <w:kern w:val="0"/>
                <w:sz w:val="16"/>
                <w:szCs w:val="16"/>
                <w:u w:val="none"/>
                <w:lang w:val="en-US" w:eastAsia="zh-CN" w:bidi="ar"/>
              </w:rPr>
              <w:t>提供统一服务</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0331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4C9E5">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节约财政资金</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F8E4D">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CF316">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已达成</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58A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23E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D09D5">
            <w:pPr>
              <w:jc w:val="center"/>
            </w:pPr>
          </w:p>
        </w:tc>
      </w:tr>
      <w:tr w14:paraId="61BA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2320FA7">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F092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440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5236">
            <w:pPr>
              <w:keepNext w:val="0"/>
              <w:keepLines w:val="0"/>
              <w:widowControl/>
              <w:suppressLineNumbers w:val="0"/>
              <w:jc w:val="center"/>
              <w:textAlignment w:val="center"/>
              <w:rPr>
                <w:rFonts w:ascii="宋体" w:hAnsi="宋体" w:eastAsia="宋体" w:cs="宋体"/>
                <w:i w:val="0"/>
                <w:iCs w:val="0"/>
                <w:color w:val="000000"/>
                <w:kern w:val="0"/>
                <w:sz w:val="16"/>
                <w:szCs w:val="16"/>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CC2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EE8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91F98">
            <w:pPr>
              <w:jc w:val="cente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3CEB8">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AF22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3C1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87D95">
            <w:pPr>
              <w:jc w:val="center"/>
            </w:pPr>
          </w:p>
        </w:tc>
      </w:tr>
      <w:tr w14:paraId="32EF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62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343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自评得分96分</w:t>
            </w:r>
          </w:p>
        </w:tc>
      </w:tr>
      <w:tr w14:paraId="344C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08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87F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43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39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31D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E4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03781CC6">
            <w:pPr>
              <w:rPr>
                <w:rFonts w:hint="eastAsia"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30C39792">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6FE83B0">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895312F">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3E8CED65"/>
        </w:tc>
        <w:tc>
          <w:tcPr>
            <w:tcW w:w="4611" w:type="dxa"/>
            <w:gridSpan w:val="18"/>
            <w:tcBorders>
              <w:top w:val="nil"/>
              <w:left w:val="nil"/>
              <w:bottom w:val="nil"/>
              <w:right w:val="nil"/>
            </w:tcBorders>
            <w:shd w:val="clear" w:color="auto" w:fill="auto"/>
            <w:noWrap w:val="0"/>
            <w:vAlign w:val="center"/>
          </w:tcPr>
          <w:p w14:paraId="4ED655BC"/>
        </w:tc>
        <w:tc>
          <w:tcPr>
            <w:tcW w:w="578" w:type="dxa"/>
            <w:tcBorders>
              <w:top w:val="nil"/>
              <w:left w:val="nil"/>
              <w:bottom w:val="nil"/>
              <w:right w:val="nil"/>
            </w:tcBorders>
            <w:shd w:val="clear" w:color="auto" w:fill="auto"/>
            <w:noWrap w:val="0"/>
            <w:vAlign w:val="center"/>
          </w:tcPr>
          <w:p w14:paraId="2E5D74B0"/>
        </w:tc>
        <w:tc>
          <w:tcPr>
            <w:tcW w:w="664" w:type="dxa"/>
            <w:tcBorders>
              <w:top w:val="nil"/>
              <w:left w:val="nil"/>
              <w:bottom w:val="nil"/>
              <w:right w:val="nil"/>
            </w:tcBorders>
            <w:shd w:val="clear" w:color="auto" w:fill="auto"/>
            <w:noWrap w:val="0"/>
            <w:vAlign w:val="center"/>
          </w:tcPr>
          <w:p w14:paraId="1913669B">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7A7819B3"/>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12D2F">
            <w:pPr>
              <w:rPr>
                <w:rFonts w:ascii="宋体" w:hAnsi="宋体" w:eastAsia="宋体" w:cs="宋体"/>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13EA0">
            <w:pPr>
              <w:rPr>
                <w:rFonts w:hint="eastAsia" w:ascii="黑体" w:hAnsi="黑体" w:eastAsia="黑体" w:cs="黑体"/>
                <w:i/>
                <w:iCs/>
                <w:color w:val="000000"/>
                <w:sz w:val="18"/>
                <w:szCs w:val="18"/>
                <w:u w:val="none"/>
              </w:rPr>
            </w:pPr>
          </w:p>
        </w:tc>
      </w:tr>
      <w:tr w14:paraId="5D83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BCB2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A1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77B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800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51320025T000013185263-办公室物业管理</w:t>
            </w:r>
          </w:p>
        </w:tc>
      </w:tr>
      <w:tr w14:paraId="57CA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26B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0B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B1D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1B393">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59D9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36D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495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685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3EB1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9BB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06456">
            <w:pPr>
              <w:rPr>
                <w:rFonts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F7E91">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028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DBF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营造良好舒适的办公环境保障物业管理费</w:t>
            </w:r>
          </w:p>
        </w:tc>
      </w:tr>
      <w:tr w14:paraId="6108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1A173">
            <w:pP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0E8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EC4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r>
      <w:tr w14:paraId="76E4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1B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88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B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67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C2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65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C011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DAC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DA4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20A3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96B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11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C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15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9C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66B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509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F9145"/>
        </w:tc>
      </w:tr>
      <w:tr w14:paraId="26CC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3C094">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B6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F4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F1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7E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9A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66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7D3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CDB07"/>
        </w:tc>
      </w:tr>
      <w:tr w14:paraId="3BD3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0FF9">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8B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2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FD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03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D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BE7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AFB0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89E47"/>
        </w:tc>
      </w:tr>
      <w:tr w14:paraId="4E64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44408">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63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93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60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48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35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E00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5B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BF986"/>
        </w:tc>
      </w:tr>
      <w:tr w14:paraId="51D5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9688D5">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645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1498147">
            <w:pPr>
              <w:jc w:val="center"/>
              <w:rPr>
                <w:rFonts w:hint="eastAsia" w:ascii="宋体" w:hAnsi="宋体" w:eastAsia="宋体" w:cs="宋体"/>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AD72315">
            <w:pPr>
              <w:jc w:val="center"/>
              <w:rPr>
                <w:rFonts w:hint="eastAsia" w:ascii="宋体" w:hAnsi="宋体" w:eastAsia="宋体" w:cs="宋体"/>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122A778">
            <w:pPr>
              <w:jc w:val="center"/>
              <w:rPr>
                <w:rFonts w:ascii="宋体" w:hAnsi="宋体" w:eastAsia="宋体" w:cs="宋体"/>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AA1314C">
            <w:pPr>
              <w:jc w:val="center"/>
              <w:rPr>
                <w:rFonts w:ascii="宋体" w:hAnsi="宋体" w:eastAsia="宋体" w:cs="宋体"/>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0C2A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2A3C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0D3F75"/>
        </w:tc>
      </w:tr>
      <w:tr w14:paraId="14DE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E438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D7CA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70DF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42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0B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D02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CED8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F9D97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190A8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09D1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777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4D11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1D2947">
            <w:pPr>
              <w:jc w:val="center"/>
              <w:rPr>
                <w:rFonts w:ascii="宋体" w:hAnsi="宋体" w:eastAsia="宋体" w:cs="宋体"/>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D101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EAE90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8635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物业保障面积</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35686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563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7823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2699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E9A4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7823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BB9B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E7DB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E5156C">
            <w:pPr>
              <w:jc w:val="center"/>
            </w:pPr>
          </w:p>
        </w:tc>
      </w:tr>
      <w:tr w14:paraId="3EC1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4CBFDB">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7BE32B">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61520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3C925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绿化合格率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8370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2E66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C5A8E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2C76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F97E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8B15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E78871">
            <w:pPr>
              <w:jc w:val="center"/>
            </w:pPr>
          </w:p>
        </w:tc>
      </w:tr>
      <w:tr w14:paraId="77CE5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C2DA710">
            <w:pPr>
              <w:jc w:val="center"/>
              <w:rPr>
                <w:rFonts w:ascii="宋体" w:hAnsi="宋体" w:eastAsia="宋体" w:cs="宋体"/>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BC6116">
            <w:pPr>
              <w:jc w:val="center"/>
              <w:rPr>
                <w:rFonts w:hint="eastAsia" w:ascii="微软雅黑" w:hAnsi="微软雅黑" w:eastAsia="微软雅黑" w:cs="微软雅黑"/>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BE169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8983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项目支出完成时间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7BDFA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E2E5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11326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BC4B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C57E4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4FA1D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5FB550">
            <w:pPr>
              <w:jc w:val="center"/>
            </w:pPr>
          </w:p>
        </w:tc>
      </w:tr>
      <w:tr w14:paraId="49BF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A121A44">
            <w:pPr>
              <w:jc w:val="center"/>
              <w:rPr>
                <w:rFonts w:ascii="宋体" w:hAnsi="宋体" w:eastAsia="宋体" w:cs="宋体"/>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BA05B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F48E7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2E6FA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办公环境评定</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47F2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A584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F520AD8">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04691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D872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C92F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C12046">
            <w:pPr>
              <w:jc w:val="center"/>
            </w:pPr>
          </w:p>
        </w:tc>
      </w:tr>
      <w:tr w14:paraId="2590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EFE61D">
            <w:pPr>
              <w:jc w:val="center"/>
              <w:rPr>
                <w:rFonts w:hint="eastAsia" w:ascii="黑体" w:hAnsi="黑体" w:eastAsia="黑体" w:cs="黑体"/>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6A2247">
            <w:pPr>
              <w:jc w:val="cente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F0BDA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A4C17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办公区卫生、绿化保障情况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8D26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09D5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F7C466">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0F93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完全保障</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891AF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BF72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E9FD78">
            <w:pPr>
              <w:jc w:val="center"/>
            </w:pPr>
          </w:p>
        </w:tc>
      </w:tr>
      <w:tr w14:paraId="7D82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844A97">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4584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D5D0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C09B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办公区域人员环境满意度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EC5E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76D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E82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568D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B9B4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69652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129A7B">
            <w:pPr>
              <w:jc w:val="center"/>
            </w:pPr>
          </w:p>
        </w:tc>
      </w:tr>
      <w:tr w14:paraId="65D4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8883CE1">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AE040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284D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0634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物业管理成本控制率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75D97B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202A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F641B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78E3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93445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3AEB3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A4333D3">
            <w:pPr>
              <w:jc w:val="center"/>
            </w:pPr>
          </w:p>
        </w:tc>
      </w:tr>
      <w:tr w14:paraId="6E877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434F2F4">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EC175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1E9D13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6B497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5D8E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4BD1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DE5A64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3B942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127E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6EA95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F47B5E4">
            <w:pPr>
              <w:jc w:val="center"/>
            </w:pPr>
          </w:p>
        </w:tc>
      </w:tr>
      <w:tr w14:paraId="202B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8D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16E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1D793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6B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D74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A74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51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B64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71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B6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DE8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2C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0F6129E7">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C93F768">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0DB34587">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5A69E0D2">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2CC1C6B">
            <w:pPr>
              <w:rPr>
                <w:rFonts w:ascii="宋体" w:hAnsi="宋体" w:eastAsia="宋体" w:cs="宋体"/>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488DBFB8">
            <w:pPr>
              <w:rPr>
                <w:rFonts w:ascii="宋体" w:hAnsi="宋体" w:eastAsia="宋体" w:cs="宋体"/>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5477BF8"/>
        </w:tc>
        <w:tc>
          <w:tcPr>
            <w:tcW w:w="664" w:type="dxa"/>
            <w:tcBorders>
              <w:top w:val="nil"/>
              <w:left w:val="nil"/>
              <w:bottom w:val="nil"/>
              <w:right w:val="nil"/>
            </w:tcBorders>
            <w:shd w:val="clear" w:color="auto" w:fill="auto"/>
            <w:noWrap w:val="0"/>
            <w:vAlign w:val="center"/>
          </w:tcPr>
          <w:p w14:paraId="69FF7E2C">
            <w:pPr>
              <w:rPr>
                <w:rFonts w:ascii="宋体" w:hAnsi="宋体" w:eastAsia="宋体" w:cs="宋体"/>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4238DEC4"/>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C41B3">
            <w:pPr>
              <w:rPr>
                <w:rFonts w:ascii="宋体" w:hAnsi="宋体" w:eastAsia="宋体" w:cs="宋体"/>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A4251"/>
        </w:tc>
      </w:tr>
      <w:tr w14:paraId="23195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98C0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6AF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E8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04C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51320025T000013787403-高层次人才慰问</w:t>
            </w:r>
          </w:p>
        </w:tc>
      </w:tr>
      <w:tr w14:paraId="0F72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3E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BD0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2F6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3C895">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29533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350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91A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2A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B11E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21C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1DF17">
            <w:pPr>
              <w:rPr>
                <w:rFonts w:hint="eastAsia" w:ascii="宋体" w:hAnsi="宋体" w:eastAsia="宋体" w:cs="宋体"/>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1A89">
            <w:pPr>
              <w:rPr>
                <w:rFonts w:ascii="宋体" w:hAnsi="宋体" w:eastAsia="宋体" w:cs="宋体"/>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D56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保障2025年高层次人才慰问费</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56BA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完成我单位高层次人才慰问</w:t>
            </w:r>
          </w:p>
        </w:tc>
      </w:tr>
      <w:tr w14:paraId="33F8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EBBED">
            <w:pP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5C1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720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保障了2025年高层次人才慰问费</w:t>
            </w:r>
          </w:p>
        </w:tc>
      </w:tr>
      <w:tr w14:paraId="60F8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54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6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2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1E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A7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7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C5E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BE0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142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917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4D35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CB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AF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5F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D6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D4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1A3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2AEA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71888"/>
        </w:tc>
      </w:tr>
      <w:tr w14:paraId="5AA3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C8A47">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85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35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C9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2A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E2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20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F13A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A0EE"/>
        </w:tc>
      </w:tr>
      <w:tr w14:paraId="0FC1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93D81">
            <w:pPr>
              <w:jc w:val="center"/>
              <w:rPr>
                <w:rFonts w:hint="eastAsia"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E2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51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8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4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45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C72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484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5DF27"/>
        </w:tc>
      </w:tr>
      <w:tr w14:paraId="310CE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A8E02">
            <w:pPr>
              <w:jc w:val="center"/>
              <w:rPr>
                <w:rFonts w:ascii="宋体" w:hAnsi="宋体" w:eastAsia="宋体" w:cs="宋体"/>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B7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2B8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E33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4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0A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70D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E5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B292D"/>
        </w:tc>
      </w:tr>
      <w:tr w14:paraId="41DF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6A27BE">
            <w:pPr>
              <w:jc w:val="center"/>
              <w:rPr>
                <w:rFonts w:ascii="宋体" w:hAnsi="宋体" w:eastAsia="宋体" w:cs="宋体"/>
                <w:i w:val="0"/>
                <w:iCs w:val="0"/>
                <w:color w:val="000000"/>
                <w:sz w:val="13"/>
                <w:szCs w:val="13"/>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246FC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C2E859E">
            <w:pPr>
              <w:jc w:val="cente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BCCC9F">
            <w:pPr>
              <w:jc w:val="cente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BC0D022">
            <w:pPr>
              <w:jc w:val="cente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96C04F1">
            <w:pPr>
              <w:jc w:val="cente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1EE7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B1E29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D41459"/>
        </w:tc>
      </w:tr>
      <w:tr w14:paraId="4462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6777B5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E315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D26AF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DA5F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E50B0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AA90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47818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AD63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33E7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E7DD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FC9B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D40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553567D">
            <w:pPr>
              <w:jc w:val="center"/>
              <w:rPr>
                <w:rFonts w:ascii="宋体" w:hAnsi="宋体" w:eastAsia="宋体" w:cs="宋体"/>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55031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4F0E8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F4E7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慰问发放人数覆盖率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78EC1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60CA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86F7C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B80E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B1F4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0873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F0D9CA">
            <w:pPr>
              <w:jc w:val="center"/>
            </w:pPr>
          </w:p>
        </w:tc>
      </w:tr>
      <w:tr w14:paraId="44FC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389D6F">
            <w:pPr>
              <w:jc w:val="center"/>
              <w:rPr>
                <w:rFonts w:hint="eastAsia" w:ascii="黑体" w:hAnsi="黑体" w:eastAsia="黑体" w:cs="黑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A236F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24468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0352A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慰问人员激励情况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57D67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FBA6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E2F358E">
            <w:pPr>
              <w:jc w:val="cente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B7FC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4A0E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AAC2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D6F79C">
            <w:pPr>
              <w:jc w:val="center"/>
            </w:pPr>
          </w:p>
        </w:tc>
      </w:tr>
      <w:tr w14:paraId="3E259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51746A8">
            <w:pPr>
              <w:jc w:val="center"/>
              <w:rPr>
                <w:rFonts w:hint="eastAsia" w:ascii="宋体" w:hAnsi="宋体" w:eastAsia="宋体" w:cs="宋体"/>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91D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206C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EC0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92A4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23E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1B6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BCFB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1A80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27DD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16484F">
            <w:pPr>
              <w:jc w:val="center"/>
            </w:pPr>
          </w:p>
        </w:tc>
      </w:tr>
      <w:tr w14:paraId="06FC5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F2FDE4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3FF27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CE607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A5F5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每人慰问金额</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DD6D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C5444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6C36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元/人·次</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3EDD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A218E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44508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0B91A67">
            <w:pPr>
              <w:jc w:val="center"/>
            </w:pPr>
          </w:p>
        </w:tc>
      </w:tr>
      <w:tr w14:paraId="1086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3CF88BD">
            <w:pPr>
              <w:jc w:val="center"/>
              <w:rPr>
                <w:rFonts w:hint="eastAsia" w:ascii="黑体" w:hAnsi="宋体" w:eastAsia="黑体" w:cs="黑体"/>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1F94D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C71A93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AADC4B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E7FC5D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8F7A7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C47CA0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7205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72067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53EC9A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9D33EF">
            <w:pPr>
              <w:jc w:val="center"/>
            </w:pPr>
          </w:p>
        </w:tc>
      </w:tr>
      <w:tr w14:paraId="0B87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26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655FE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1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D2A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265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89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FA1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C64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C6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0E6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00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1C2A7BAD">
            <w:pPr>
              <w:rPr>
                <w:rFonts w:ascii="宋体" w:hAnsi="宋体" w:eastAsia="宋体" w:cs="宋体"/>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2ED813FC">
            <w:pPr>
              <w:rPr>
                <w:rFonts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52A4C42D">
            <w:pPr>
              <w:rPr>
                <w:rFonts w:ascii="宋体" w:hAnsi="宋体" w:eastAsia="宋体" w:cs="宋体"/>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28E62B5">
            <w:pPr>
              <w:rPr>
                <w:rFonts w:ascii="宋体" w:hAnsi="宋体" w:eastAsia="宋体" w:cs="宋体"/>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578977D4"/>
        </w:tc>
        <w:tc>
          <w:tcPr>
            <w:tcW w:w="4611" w:type="dxa"/>
            <w:gridSpan w:val="18"/>
            <w:tcBorders>
              <w:top w:val="nil"/>
              <w:left w:val="nil"/>
              <w:bottom w:val="nil"/>
              <w:right w:val="nil"/>
            </w:tcBorders>
            <w:shd w:val="clear" w:color="auto" w:fill="auto"/>
            <w:noWrap w:val="0"/>
            <w:vAlign w:val="center"/>
          </w:tcPr>
          <w:p w14:paraId="1C21A82F"/>
        </w:tc>
        <w:tc>
          <w:tcPr>
            <w:tcW w:w="578" w:type="dxa"/>
            <w:tcBorders>
              <w:top w:val="nil"/>
              <w:left w:val="nil"/>
              <w:bottom w:val="nil"/>
              <w:right w:val="nil"/>
            </w:tcBorders>
            <w:shd w:val="clear" w:color="auto" w:fill="auto"/>
            <w:noWrap w:val="0"/>
            <w:vAlign w:val="center"/>
          </w:tcPr>
          <w:p w14:paraId="12ED0FF7">
            <w:pPr>
              <w:rPr>
                <w:rFonts w:ascii="宋体" w:hAnsi="宋体" w:eastAsia="宋体" w:cs="宋体"/>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60717CFE"/>
        </w:tc>
        <w:tc>
          <w:tcPr>
            <w:tcW w:w="307" w:type="dxa"/>
            <w:tcBorders>
              <w:top w:val="nil"/>
              <w:left w:val="nil"/>
              <w:bottom w:val="nil"/>
              <w:right w:val="nil"/>
            </w:tcBorders>
            <w:shd w:val="clear" w:color="auto" w:fill="auto"/>
            <w:noWrap w:val="0"/>
            <w:vAlign w:val="center"/>
          </w:tcPr>
          <w:p w14:paraId="3421F08F"/>
        </w:tc>
        <w:tc>
          <w:tcPr>
            <w:tcW w:w="277" w:type="dxa"/>
            <w:tcBorders>
              <w:top w:val="nil"/>
              <w:left w:val="nil"/>
              <w:bottom w:val="nil"/>
              <w:right w:val="nil"/>
            </w:tcBorders>
            <w:shd w:val="clear" w:color="auto" w:fill="auto"/>
            <w:noWrap w:val="0"/>
            <w:vAlign w:val="center"/>
          </w:tcPr>
          <w:p w14:paraId="0C5F45E6">
            <w:pPr>
              <w:rPr>
                <w:rFonts w:ascii="宋体" w:hAnsi="宋体" w:eastAsia="宋体" w:cs="宋体"/>
                <w:i w:val="0"/>
                <w:iCs w:val="0"/>
                <w:color w:val="000000"/>
                <w:sz w:val="18"/>
                <w:szCs w:val="18"/>
                <w:u w:val="none"/>
              </w:rPr>
            </w:pPr>
          </w:p>
        </w:tc>
        <w:tc>
          <w:tcPr>
            <w:tcW w:w="1559" w:type="dxa"/>
            <w:tcBorders>
              <w:top w:val="nil"/>
              <w:left w:val="nil"/>
              <w:bottom w:val="nil"/>
              <w:right w:val="nil"/>
            </w:tcBorders>
            <w:shd w:val="clear" w:color="auto" w:fill="auto"/>
            <w:noWrap w:val="0"/>
            <w:vAlign w:val="center"/>
          </w:tcPr>
          <w:p w14:paraId="1EA87783">
            <w:pPr>
              <w:rPr>
                <w:rFonts w:ascii="宋体" w:hAnsi="宋体" w:eastAsia="宋体" w:cs="宋体"/>
                <w:i w:val="0"/>
                <w:iCs w:val="0"/>
                <w:color w:val="000000"/>
                <w:sz w:val="18"/>
                <w:szCs w:val="18"/>
                <w:u w:val="none"/>
              </w:rPr>
            </w:pPr>
          </w:p>
        </w:tc>
      </w:tr>
      <w:tr w14:paraId="143A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016B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181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29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0E5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51320025T000013826308-九黄机场航空口岸开放可行性研究报告</w:t>
            </w:r>
          </w:p>
        </w:tc>
      </w:tr>
      <w:tr w14:paraId="1E91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54D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EBA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63710">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2158"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9993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013A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3E0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5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77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0F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AF2B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AD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948C">
            <w:pPr>
              <w:rPr>
                <w:rFonts w:hint="eastAsia" w:ascii="宋体" w:hAnsi="宋体" w:eastAsia="宋体" w:cs="宋体"/>
                <w:i w:val="0"/>
                <w:iCs w:val="0"/>
                <w:color w:val="000000"/>
                <w:sz w:val="18"/>
                <w:szCs w:val="18"/>
                <w:u w:val="none"/>
              </w:rPr>
            </w:pPr>
          </w:p>
        </w:tc>
        <w:tc>
          <w:tcPr>
            <w:tcW w:w="12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901B9">
            <w:pPr>
              <w:rPr>
                <w:rFonts w:ascii="宋体" w:hAnsi="宋体" w:eastAsia="宋体" w:cs="宋体"/>
                <w:i w:val="0"/>
                <w:iCs w:val="0"/>
                <w:color w:val="000000"/>
                <w:sz w:val="18"/>
                <w:szCs w:val="18"/>
                <w:u w:val="none"/>
              </w:rPr>
            </w:pP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B7B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九寨黄龙机场口岸建设项目于2016年纳入《国家口岸发展“十三五”规划》，按国际年旅客吞吐量6.3万人次、高峰小时旅客吞吐量205人次、高峰小时起降航班2架次设计，2019年8月获省政府代立项批复，2020年2月获省发改委项目初步设计及概算批复，工程总概算24491.09万元，2020年5月开工建设。在省政府口岸物流办、成都海关、四川边检总站等单位的大力支持下，阿坝州克服九寨沟“8.8”地震、新冠疫情和重大汛情等多重影响，九寨黄龙机场建设参照天府机场，按国际一流高标准建设。2020年9月全面完成建设通过省级验收并上报国家口岸管理办公室申请临时开放。因受新冠肺炎疫情影响，国家口岸管理办公室暂缓口岸临时开放审批。2024年1月，九寨黄龙机场航空口岸开放已列入海关总署与四川省人民政府合作备忘录重点事项，为确保九寨黄龙机场航空口岸开放顺利纳入国家“十五五”规划，特开展九黄机场航空口岸开放可行性研究报告编制工作。</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A8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已经完成九黄机场航空口岸开放可行性研究报告编撰工作</w:t>
            </w:r>
          </w:p>
        </w:tc>
      </w:tr>
      <w:tr w14:paraId="3995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0B659">
            <w:pPr>
              <w:rPr>
                <w:rFonts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5CD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8C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2025年按照省委办公厅转发的《国家海关总署关于报送国家“十五五”口岸发展规划有关材料的函》加快推进九黄机场航空口岸规划，完成了九黄机场航空口岸开放可行性研究报告编制。</w:t>
            </w:r>
          </w:p>
        </w:tc>
      </w:tr>
      <w:tr w14:paraId="4A53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0F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AF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F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47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2B9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预算执行数</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D1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61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C2CC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得分</w:t>
            </w:r>
          </w:p>
        </w:tc>
        <w:tc>
          <w:tcPr>
            <w:tcW w:w="15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6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7B34E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16B77">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C5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3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53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0A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C0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DE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CBE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c>
          <w:tcPr>
            <w:tcW w:w="15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5FE8B"/>
        </w:tc>
      </w:tr>
      <w:tr w14:paraId="48C3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62769">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0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F8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4B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A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9B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AE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E704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68EE1"/>
        </w:tc>
      </w:tr>
      <w:tr w14:paraId="1C7E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B4F50">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3E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6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3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01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7B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58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D1C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03834"/>
        </w:tc>
      </w:tr>
      <w:tr w14:paraId="04C7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EC179">
            <w:pPr>
              <w:jc w:val="center"/>
              <w:rPr>
                <w:rFonts w:hint="eastAsia"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7A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7E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7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CD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58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05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D5E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400D2"/>
        </w:tc>
      </w:tr>
      <w:tr w14:paraId="138A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24D2EBB">
            <w:pPr>
              <w:jc w:val="center"/>
              <w:rPr>
                <w:rFonts w:ascii="宋体" w:hAnsi="宋体" w:eastAsia="宋体" w:cs="宋体"/>
                <w:i w:val="0"/>
                <w:iCs w:val="0"/>
                <w:color w:val="000000"/>
                <w:sz w:val="18"/>
                <w:szCs w:val="18"/>
                <w:u w:val="none"/>
              </w:rPr>
            </w:pPr>
          </w:p>
        </w:tc>
        <w:tc>
          <w:tcPr>
            <w:tcW w:w="1259"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9D658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108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EF1074">
            <w:pPr>
              <w:jc w:val="center"/>
            </w:pPr>
          </w:p>
        </w:tc>
        <w:tc>
          <w:tcPr>
            <w:tcW w:w="1387"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126C2E">
            <w:pPr>
              <w:jc w:val="center"/>
            </w:pPr>
          </w:p>
        </w:tc>
        <w:tc>
          <w:tcPr>
            <w:tcW w:w="1668"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E51612">
            <w:pPr>
              <w:jc w:val="center"/>
            </w:pPr>
          </w:p>
        </w:tc>
        <w:tc>
          <w:tcPr>
            <w:tcW w:w="66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5D0FBCC">
            <w:pPr>
              <w:jc w:val="center"/>
              <w:rPr>
                <w:rFonts w:ascii="宋体" w:hAnsi="宋体" w:eastAsia="宋体" w:cs="宋体"/>
                <w:i w:val="0"/>
                <w:iCs w:val="0"/>
                <w:color w:val="000000"/>
                <w:sz w:val="18"/>
                <w:szCs w:val="18"/>
                <w:u w:val="none"/>
              </w:rPr>
            </w:pPr>
          </w:p>
        </w:tc>
        <w:tc>
          <w:tcPr>
            <w:tcW w:w="30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1EA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776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25F1F3A"/>
        </w:tc>
      </w:tr>
      <w:tr w14:paraId="76E3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4504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7524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8B0E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5F6F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7FF2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C408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730E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AC2DFD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9698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1DBC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A9A3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9C2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2679B27">
            <w:pPr>
              <w:jc w:val="center"/>
              <w:rPr>
                <w:rFonts w:ascii="宋体" w:hAnsi="宋体" w:eastAsia="宋体" w:cs="宋体"/>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991D2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55FC9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8C0A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整体项目数量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5F62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6A63B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31E99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5221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9D90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BBBBF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B70479">
            <w:pPr>
              <w:jc w:val="center"/>
            </w:pPr>
          </w:p>
        </w:tc>
      </w:tr>
      <w:tr w14:paraId="22D0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11ACFE">
            <w:pPr>
              <w:jc w:val="center"/>
              <w:rPr>
                <w:rFonts w:ascii="宋体" w:hAnsi="宋体" w:eastAsia="宋体" w:cs="宋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FCF3D3">
            <w:pPr>
              <w:jc w:val="center"/>
              <w:rPr>
                <w:rFonts w:hint="eastAsia" w:ascii="微软雅黑" w:hAnsi="微软雅黑" w:eastAsia="微软雅黑" w:cs="微软雅黑"/>
                <w:i/>
                <w:iCs/>
                <w:color w:val="000000"/>
                <w:sz w:val="16"/>
                <w:szCs w:val="16"/>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66B2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4D58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可行性研究报告内容质量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6975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D4AD4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满足编制要求</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5B0D17">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FFA6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满足编制要求</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ED90E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EF8B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65FC693">
            <w:pPr>
              <w:jc w:val="center"/>
            </w:pPr>
          </w:p>
        </w:tc>
      </w:tr>
      <w:tr w14:paraId="7B39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9545F1">
            <w:pPr>
              <w:jc w:val="center"/>
              <w:rPr>
                <w:rFonts w:hint="eastAsia" w:ascii="黑体" w:hAnsi="黑体" w:eastAsia="黑体" w:cs="黑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960A53">
            <w:pPr>
              <w:jc w:val="cente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3D66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9A41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完成项目时间</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F825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C7F8B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751AD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0A9C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1D50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2B98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1B5607">
            <w:pPr>
              <w:jc w:val="center"/>
            </w:pPr>
          </w:p>
        </w:tc>
      </w:tr>
      <w:tr w14:paraId="6F25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FC2E42">
            <w:pPr>
              <w:jc w:val="center"/>
              <w:rPr>
                <w:rFonts w:hint="eastAsia" w:ascii="宋体" w:hAnsi="宋体" w:eastAsia="宋体" w:cs="宋体"/>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EAE5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9B16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16C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口岸开放带动阿坝经济发展</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806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0E40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A5470D">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9B6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45B1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D62AD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571666">
            <w:pPr>
              <w:jc w:val="center"/>
            </w:pPr>
          </w:p>
        </w:tc>
      </w:tr>
      <w:tr w14:paraId="2E1A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4CB0920">
            <w:pPr>
              <w:jc w:val="center"/>
              <w:rPr>
                <w:rFonts w:hint="eastAsia" w:ascii="宋体" w:hAnsi="宋体" w:eastAsia="宋体" w:cs="宋体"/>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D45F34">
            <w:pPr>
              <w:jc w:val="center"/>
              <w:rPr>
                <w:rFonts w:hint="eastAsia" w:ascii="宋体" w:hAnsi="宋体" w:eastAsia="宋体" w:cs="宋体"/>
                <w:i w:val="0"/>
                <w:iCs w:val="0"/>
                <w:color w:val="000000"/>
                <w:sz w:val="18"/>
                <w:szCs w:val="18"/>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4A1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689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口岸开放对群众的经济带动作用</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33C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4A9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3A24DA">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C04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5755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D9B0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4253B6">
            <w:pPr>
              <w:jc w:val="center"/>
            </w:pPr>
          </w:p>
        </w:tc>
      </w:tr>
      <w:tr w14:paraId="52CF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9B1808">
            <w:pPr>
              <w:jc w:val="center"/>
              <w:rPr>
                <w:rFonts w:ascii="宋体" w:hAnsi="宋体" w:eastAsia="宋体" w:cs="宋体"/>
                <w:i w:val="0"/>
                <w:iCs w:val="0"/>
                <w:color w:val="C0C0C0"/>
                <w:sz w:val="20"/>
                <w:szCs w:val="20"/>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362302">
            <w:pPr>
              <w:jc w:val="cente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B23B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1996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1-3年影响年限</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C70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B4FA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3年内</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E2FC2E">
            <w:pPr>
              <w:jc w:val="cente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0B45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3年内</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81BB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1195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691D81">
            <w:pPr>
              <w:jc w:val="center"/>
            </w:pPr>
          </w:p>
        </w:tc>
      </w:tr>
      <w:tr w14:paraId="3DDB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EC32032">
            <w:pPr>
              <w:jc w:val="center"/>
              <w:rPr>
                <w:rFonts w:ascii="宋体" w:hAnsi="宋体" w:eastAsia="宋体" w:cs="宋体"/>
                <w:i w:val="0"/>
                <w:iCs w:val="0"/>
                <w:color w:val="C0C0C0"/>
                <w:sz w:val="20"/>
                <w:szCs w:val="20"/>
                <w:u w:val="none"/>
              </w:rPr>
            </w:pP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91FFA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3A4D5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C7D61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社会公共对相关工作的满意度</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EA52E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9C6F8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6C5AE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E948DA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6FEEC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CED71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2B5EF4">
            <w:pPr>
              <w:jc w:val="center"/>
            </w:pPr>
          </w:p>
        </w:tc>
      </w:tr>
      <w:tr w14:paraId="0282C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90" w:type="dxa"/>
            <w:gridSpan w:val="23"/>
            <w:tcBorders>
              <w:top w:val="single" w:color="auto" w:sz="4" w:space="0"/>
              <w:left w:val="single" w:color="auto" w:sz="4" w:space="0"/>
              <w:bottom w:val="single" w:color="auto" w:sz="4" w:space="0"/>
              <w:right w:val="single" w:color="auto" w:sz="4" w:space="0"/>
            </w:tcBorders>
            <w:shd w:val="clear" w:color="auto" w:fill="auto"/>
            <w:noWrap w:val="0"/>
            <w:vAlign w:val="center"/>
          </w:tcPr>
          <w:p w14:paraId="57064D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D5681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E475B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FBA848"/>
        </w:tc>
      </w:tr>
      <w:tr w14:paraId="1B31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DB4CDF">
            <w:pPr>
              <w:keepNext w:val="0"/>
              <w:keepLines w:val="0"/>
              <w:widowControl/>
              <w:suppressLineNumbers w:val="0"/>
              <w:jc w:val="center"/>
              <w:textAlignment w:val="center"/>
              <w:rPr>
                <w:rFonts w:ascii="宋体" w:hAnsi="宋体" w:eastAsia="宋体" w:cs="宋体"/>
                <w:i w:val="0"/>
                <w:iCs w:val="0"/>
                <w:color w:val="C0C0C0"/>
                <w:sz w:val="20"/>
                <w:szCs w:val="20"/>
                <w:u w:val="none"/>
              </w:rPr>
            </w:pPr>
            <w:r>
              <w:rPr>
                <w:rFonts w:ascii="宋体" w:hAnsi="宋体" w:eastAsia="宋体" w:cs="宋体"/>
                <w:i w:val="0"/>
                <w:iCs w:val="0"/>
                <w:color w:val="000000"/>
                <w:kern w:val="0"/>
                <w:sz w:val="18"/>
                <w:szCs w:val="18"/>
                <w:u w:val="none"/>
                <w:lang w:val="en-US" w:eastAsia="zh-CN" w:bidi="ar"/>
              </w:rPr>
              <w:t>评价结论</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71D4D498">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自评得分100分</w:t>
            </w:r>
          </w:p>
        </w:tc>
      </w:tr>
      <w:tr w14:paraId="3157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72F1CDC">
            <w:pPr>
              <w:keepNext w:val="0"/>
              <w:keepLines w:val="0"/>
              <w:widowControl/>
              <w:suppressLineNumbers w:val="0"/>
              <w:jc w:val="center"/>
              <w:textAlignment w:val="center"/>
              <w:rPr>
                <w:rFonts w:ascii="宋体" w:hAnsi="宋体" w:eastAsia="宋体" w:cs="宋体"/>
                <w:i w:val="0"/>
                <w:iCs w:val="0"/>
                <w:color w:val="C0C0C0"/>
                <w:sz w:val="20"/>
                <w:szCs w:val="20"/>
                <w:u w:val="none"/>
              </w:rPr>
            </w:pPr>
            <w:r>
              <w:rPr>
                <w:rFonts w:ascii="宋体" w:hAnsi="宋体" w:eastAsia="宋体" w:cs="宋体"/>
                <w:i w:val="0"/>
                <w:iCs w:val="0"/>
                <w:color w:val="000000"/>
                <w:kern w:val="0"/>
                <w:sz w:val="18"/>
                <w:szCs w:val="18"/>
                <w:u w:val="none"/>
                <w:lang w:val="en-US" w:eastAsia="zh-CN" w:bidi="ar"/>
              </w:rPr>
              <w:t>存在问题</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56A63F47">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bl>
    <w:p w14:paraId="7E457162">
      <w:pPr>
        <w:pStyle w:val="15"/>
        <w:rPr>
          <w:rFonts w:hint="eastAsia" w:ascii="仿宋_GB2312" w:hAnsi="Times New Roman" w:eastAsia="仿宋_GB2312" w:cs="Times New Roman"/>
          <w:color w:val="auto"/>
          <w:kern w:val="2"/>
          <w:sz w:val="32"/>
          <w:szCs w:val="32"/>
          <w:lang w:val="zh-CN" w:eastAsia="zh-CN" w:bidi="ar-SA"/>
        </w:rPr>
      </w:pPr>
    </w:p>
    <w:tbl>
      <w:tblPr>
        <w:tblStyle w:val="37"/>
        <w:tblW w:w="5000" w:type="pct"/>
        <w:tblCaption w:val="Table3q5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66"/>
        <w:gridCol w:w="990"/>
        <w:gridCol w:w="1300"/>
        <w:gridCol w:w="396"/>
        <w:gridCol w:w="927"/>
        <w:gridCol w:w="396"/>
        <w:gridCol w:w="846"/>
        <w:gridCol w:w="486"/>
        <w:gridCol w:w="487"/>
        <w:gridCol w:w="1491"/>
      </w:tblGrid>
      <w:tr w14:paraId="2BB5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92EB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7BE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FB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8C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51320026T000014448750-赴埃及、土耳其开展经贸文旅推介</w:t>
            </w:r>
          </w:p>
        </w:tc>
      </w:tr>
      <w:tr w14:paraId="6759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9F4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D61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40CD3C2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9C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3125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4B7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B49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6E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538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CE5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F6A2E">
            <w:pP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6D57A">
            <w:pPr>
              <w:rPr>
                <w:rFonts w:hint="eastAsia" w:ascii="宋体" w:hAnsi="宋体" w:eastAsia="宋体" w:cs="宋体"/>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E5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出访埃及、土耳其开展经贸文旅、农蓄牧业等领域交流合作推介</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850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已经完成出访埃及、土耳其开展经贸文旅、农蓄牧业等领域交流合作推介</w:t>
            </w:r>
          </w:p>
        </w:tc>
      </w:tr>
      <w:tr w14:paraId="288D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0EFAC">
            <w:pP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EC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69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出访埃及、土耳其开展经贸文旅、农蓄牧业等领域交流合作推介</w:t>
            </w:r>
          </w:p>
        </w:tc>
      </w:tr>
      <w:tr w14:paraId="634F6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3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D2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06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3E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4B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BB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1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69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5E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F3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DE20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8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53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90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7F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9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F8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EF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ECE9D">
            <w:pPr>
              <w:rPr>
                <w:rFonts w:hint="eastAsia" w:ascii="黑体" w:hAnsi="黑体" w:eastAsia="黑体" w:cs="黑体"/>
                <w:i/>
                <w:iCs/>
                <w:color w:val="000000"/>
                <w:sz w:val="18"/>
                <w:szCs w:val="18"/>
                <w:u w:val="none"/>
              </w:rPr>
            </w:pPr>
          </w:p>
        </w:tc>
      </w:tr>
      <w:tr w14:paraId="10D7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E6C10">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D4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8F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B6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5E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33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C3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1E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4F528">
            <w:pPr>
              <w:rPr>
                <w:rFonts w:hint="eastAsia" w:ascii="黑体" w:hAnsi="黑体" w:eastAsia="黑体" w:cs="黑体"/>
                <w:i/>
                <w:iCs/>
                <w:color w:val="000000"/>
                <w:sz w:val="18"/>
                <w:szCs w:val="18"/>
                <w:u w:val="none"/>
              </w:rPr>
            </w:pPr>
          </w:p>
        </w:tc>
      </w:tr>
      <w:tr w14:paraId="4BF6B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E0181">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C3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7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43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6D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4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16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0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3C6A8">
            <w:pPr>
              <w:rPr>
                <w:rFonts w:hint="eastAsia" w:ascii="黑体" w:hAnsi="黑体" w:eastAsia="黑体" w:cs="黑体"/>
                <w:i/>
                <w:iCs/>
                <w:color w:val="000000"/>
                <w:sz w:val="18"/>
                <w:szCs w:val="18"/>
                <w:u w:val="none"/>
              </w:rPr>
            </w:pPr>
          </w:p>
        </w:tc>
      </w:tr>
      <w:tr w14:paraId="210A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61C7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0B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A6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6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C9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9A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CC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BF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84974">
            <w:pPr>
              <w:rPr>
                <w:rFonts w:hint="eastAsia" w:ascii="黑体" w:hAnsi="黑体" w:eastAsia="黑体" w:cs="黑体"/>
                <w:i/>
                <w:iCs/>
                <w:color w:val="000000"/>
                <w:sz w:val="18"/>
                <w:szCs w:val="18"/>
                <w:u w:val="none"/>
              </w:rPr>
            </w:pPr>
          </w:p>
        </w:tc>
      </w:tr>
      <w:tr w14:paraId="6FD8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5CCC9">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16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7534E">
            <w:pPr>
              <w:jc w:val="center"/>
              <w:rPr>
                <w:rFonts w:hint="eastAsia" w:ascii="微软雅黑" w:hAnsi="微软雅黑" w:eastAsia="微软雅黑" w:cs="微软雅黑"/>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005DB">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F5DA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9B1E9">
            <w:pPr>
              <w:jc w:val="center"/>
              <w:rPr>
                <w:rFonts w:hint="eastAsia" w:ascii="微软雅黑" w:hAnsi="微软雅黑" w:eastAsia="微软雅黑" w:cs="微软雅黑"/>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6D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F0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A93">
            <w:pPr>
              <w:rPr>
                <w:rFonts w:hint="eastAsia" w:ascii="黑体" w:hAnsi="黑体" w:eastAsia="黑体" w:cs="黑体"/>
                <w:i/>
                <w:iCs/>
                <w:color w:val="000000"/>
                <w:sz w:val="18"/>
                <w:szCs w:val="18"/>
                <w:u w:val="none"/>
              </w:rPr>
            </w:pPr>
          </w:p>
        </w:tc>
      </w:tr>
      <w:tr w14:paraId="3DBE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24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6E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2D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46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1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B9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FF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31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DA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F8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AD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5016A">
            <w:pPr>
              <w:jc w:val="center"/>
              <w:rPr>
                <w:rFonts w:hint="eastAsia" w:ascii="宋体" w:hAnsi="宋体" w:eastAsia="宋体" w:cs="宋体"/>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0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8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8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推介次数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7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79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50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7A6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FC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12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B52F4">
            <w:pPr>
              <w:jc w:val="center"/>
              <w:rPr>
                <w:rFonts w:hint="eastAsia" w:ascii="微软雅黑" w:hAnsi="微软雅黑" w:eastAsia="微软雅黑" w:cs="微软雅黑"/>
                <w:i/>
                <w:iCs/>
                <w:color w:val="000000"/>
                <w:sz w:val="16"/>
                <w:szCs w:val="16"/>
                <w:u w:val="none"/>
              </w:rPr>
            </w:pPr>
          </w:p>
        </w:tc>
      </w:tr>
      <w:tr w14:paraId="39B5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98BE8">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C6CA5">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C8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FC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推介质量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31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B1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加强商贸文旅交流</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5C5FA">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7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加强商贸文旅交流</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6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B6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026D7">
            <w:pPr>
              <w:jc w:val="center"/>
              <w:rPr>
                <w:rFonts w:hint="eastAsia" w:ascii="微软雅黑" w:hAnsi="微软雅黑" w:eastAsia="微软雅黑" w:cs="微软雅黑"/>
                <w:i/>
                <w:iCs/>
                <w:color w:val="000000"/>
                <w:sz w:val="16"/>
                <w:szCs w:val="16"/>
                <w:u w:val="none"/>
              </w:rPr>
            </w:pPr>
          </w:p>
        </w:tc>
      </w:tr>
      <w:tr w14:paraId="383D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65446">
            <w:pPr>
              <w:jc w:val="center"/>
              <w:rPr>
                <w:rFonts w:hint="eastAsia" w:ascii="宋体" w:hAnsi="宋体" w:eastAsia="宋体" w:cs="宋体"/>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69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1C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AA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提升四川、阿坝外籍游客数量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55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FD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2C358">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0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FD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AD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9C739">
            <w:pPr>
              <w:jc w:val="center"/>
              <w:rPr>
                <w:rFonts w:hint="eastAsia" w:ascii="微软雅黑" w:hAnsi="微软雅黑" w:eastAsia="微软雅黑" w:cs="微软雅黑"/>
                <w:i/>
                <w:iCs/>
                <w:color w:val="000000"/>
                <w:sz w:val="16"/>
                <w:szCs w:val="16"/>
                <w:u w:val="none"/>
              </w:rPr>
            </w:pPr>
          </w:p>
        </w:tc>
      </w:tr>
      <w:tr w14:paraId="67B3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0FF52">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3BD04">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89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AC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提升净土阿坝知名度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27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5E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77D45">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C0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44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5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C709C">
            <w:pPr>
              <w:jc w:val="center"/>
              <w:rPr>
                <w:rFonts w:hint="eastAsia" w:ascii="微软雅黑" w:hAnsi="微软雅黑" w:eastAsia="微软雅黑" w:cs="微软雅黑"/>
                <w:i/>
                <w:iCs/>
                <w:color w:val="000000"/>
                <w:sz w:val="16"/>
                <w:szCs w:val="16"/>
                <w:u w:val="none"/>
              </w:rPr>
            </w:pPr>
          </w:p>
        </w:tc>
      </w:tr>
      <w:tr w14:paraId="20217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7AED3">
            <w:pPr>
              <w:jc w:val="cente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0F3E8">
            <w:pPr>
              <w:jc w:val="center"/>
              <w:rPr>
                <w:rFonts w:hint="eastAsia" w:ascii="宋体" w:hAnsi="宋体" w:eastAsia="宋体" w:cs="宋体"/>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E7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8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推动净土阿坝品牌</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F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99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8BED">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56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持续发展</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C6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9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2AD35">
            <w:pPr>
              <w:jc w:val="center"/>
              <w:rPr>
                <w:rFonts w:hint="eastAsia" w:ascii="微软雅黑" w:hAnsi="微软雅黑" w:eastAsia="微软雅黑" w:cs="微软雅黑"/>
                <w:i/>
                <w:iCs/>
                <w:color w:val="000000"/>
                <w:sz w:val="16"/>
                <w:szCs w:val="16"/>
                <w:u w:val="none"/>
              </w:rPr>
            </w:pPr>
          </w:p>
        </w:tc>
      </w:tr>
      <w:tr w14:paraId="79BA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F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DA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C3B5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348BB">
            <w:pPr>
              <w:rPr>
                <w:rFonts w:hint="eastAsia" w:ascii="宋体" w:hAnsi="宋体" w:eastAsia="宋体" w:cs="宋体"/>
                <w:i w:val="0"/>
                <w:iCs w:val="0"/>
                <w:color w:val="000000"/>
                <w:sz w:val="18"/>
                <w:szCs w:val="18"/>
                <w:u w:val="none"/>
              </w:rPr>
            </w:pPr>
          </w:p>
        </w:tc>
      </w:tr>
      <w:tr w14:paraId="407B0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B5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56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497F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7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9FA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B98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5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CD5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70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665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F8C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A24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noWrap w:val="0"/>
            <w:vAlign w:val="center"/>
          </w:tcPr>
          <w:p w14:paraId="15CBC6CC">
            <w:pPr>
              <w:rPr>
                <w:rFonts w:hint="eastAsia" w:ascii="宋体" w:hAnsi="宋体" w:eastAsia="宋体" w:cs="宋体"/>
                <w:i w:val="0"/>
                <w:iCs w:val="0"/>
                <w:color w:val="000000"/>
                <w:sz w:val="18"/>
                <w:szCs w:val="18"/>
                <w:u w:val="none"/>
              </w:rPr>
            </w:pPr>
          </w:p>
        </w:tc>
        <w:tc>
          <w:tcPr>
            <w:tcW w:w="719" w:type="pct"/>
            <w:tcBorders>
              <w:top w:val="nil"/>
              <w:left w:val="nil"/>
              <w:bottom w:val="nil"/>
              <w:right w:val="nil"/>
            </w:tcBorders>
            <w:shd w:val="clear" w:color="auto" w:fill="auto"/>
            <w:noWrap w:val="0"/>
            <w:vAlign w:val="center"/>
          </w:tcPr>
          <w:p w14:paraId="7B75FFC4">
            <w:pPr>
              <w:rPr>
                <w:rFonts w:hint="eastAsia" w:ascii="宋体" w:hAnsi="宋体" w:eastAsia="宋体" w:cs="宋体"/>
                <w:i w:val="0"/>
                <w:iCs w:val="0"/>
                <w:color w:val="000000"/>
                <w:sz w:val="18"/>
                <w:szCs w:val="18"/>
                <w:u w:val="none"/>
              </w:rPr>
            </w:pPr>
          </w:p>
        </w:tc>
        <w:tc>
          <w:tcPr>
            <w:tcW w:w="622" w:type="pct"/>
            <w:tcBorders>
              <w:top w:val="nil"/>
              <w:left w:val="nil"/>
              <w:bottom w:val="nil"/>
              <w:right w:val="nil"/>
            </w:tcBorders>
            <w:shd w:val="clear" w:color="auto" w:fill="auto"/>
            <w:noWrap w:val="0"/>
            <w:vAlign w:val="center"/>
          </w:tcPr>
          <w:p w14:paraId="3D5BAD04">
            <w:pPr>
              <w:rPr>
                <w:rFonts w:hint="eastAsia" w:ascii="宋体" w:hAnsi="宋体" w:eastAsia="宋体" w:cs="宋体"/>
                <w:i w:val="0"/>
                <w:iCs w:val="0"/>
                <w:color w:val="000000"/>
                <w:sz w:val="18"/>
                <w:szCs w:val="18"/>
                <w:u w:val="none"/>
              </w:rPr>
            </w:pPr>
          </w:p>
        </w:tc>
        <w:tc>
          <w:tcPr>
            <w:tcW w:w="793" w:type="pct"/>
            <w:tcBorders>
              <w:top w:val="nil"/>
              <w:left w:val="nil"/>
              <w:bottom w:val="nil"/>
              <w:right w:val="nil"/>
            </w:tcBorders>
            <w:shd w:val="clear" w:color="auto" w:fill="auto"/>
            <w:noWrap w:val="0"/>
            <w:vAlign w:val="center"/>
          </w:tcPr>
          <w:p w14:paraId="6496918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noWrap w:val="0"/>
            <w:vAlign w:val="center"/>
          </w:tcPr>
          <w:p w14:paraId="565B350F">
            <w:pPr>
              <w:rPr>
                <w:rFonts w:hint="eastAsia" w:ascii="宋体" w:hAnsi="宋体" w:eastAsia="宋体" w:cs="宋体"/>
                <w:i w:val="0"/>
                <w:iCs w:val="0"/>
                <w:color w:val="000000"/>
                <w:sz w:val="18"/>
                <w:szCs w:val="18"/>
                <w:u w:val="none"/>
              </w:rPr>
            </w:pPr>
          </w:p>
        </w:tc>
        <w:tc>
          <w:tcPr>
            <w:tcW w:w="587" w:type="pct"/>
            <w:tcBorders>
              <w:top w:val="nil"/>
              <w:left w:val="nil"/>
              <w:bottom w:val="nil"/>
              <w:right w:val="nil"/>
            </w:tcBorders>
            <w:shd w:val="clear" w:color="auto" w:fill="auto"/>
            <w:noWrap w:val="0"/>
            <w:vAlign w:val="center"/>
          </w:tcPr>
          <w:p w14:paraId="07306490">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noWrap w:val="0"/>
            <w:vAlign w:val="center"/>
          </w:tcPr>
          <w:p w14:paraId="2C8673F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noWrap w:val="0"/>
            <w:vAlign w:val="center"/>
          </w:tcPr>
          <w:p w14:paraId="1D32BB00">
            <w:pPr>
              <w:rPr>
                <w:rFonts w:hint="eastAsia" w:ascii="宋体" w:hAnsi="宋体" w:eastAsia="宋体" w:cs="宋体"/>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452D403E">
            <w:pPr>
              <w:rPr>
                <w:rFonts w:hint="eastAsia" w:ascii="宋体" w:hAnsi="宋体" w:eastAsia="宋体" w:cs="宋体"/>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1B4089E3">
            <w:pPr>
              <w:rPr>
                <w:rFonts w:hint="eastAsia" w:ascii="宋体" w:hAnsi="宋体" w:eastAsia="宋体" w:cs="宋体"/>
                <w:i w:val="0"/>
                <w:iCs w:val="0"/>
                <w:color w:val="000000"/>
                <w:sz w:val="18"/>
                <w:szCs w:val="18"/>
                <w:u w:val="none"/>
              </w:rPr>
            </w:pPr>
          </w:p>
        </w:tc>
        <w:tc>
          <w:tcPr>
            <w:tcW w:w="896" w:type="pct"/>
            <w:tcBorders>
              <w:top w:val="nil"/>
              <w:left w:val="nil"/>
              <w:bottom w:val="nil"/>
              <w:right w:val="nil"/>
            </w:tcBorders>
            <w:shd w:val="clear" w:color="auto" w:fill="auto"/>
            <w:noWrap w:val="0"/>
            <w:vAlign w:val="center"/>
          </w:tcPr>
          <w:p w14:paraId="30C5B1AA">
            <w:pPr>
              <w:rPr>
                <w:rFonts w:hint="eastAsia" w:ascii="宋体" w:hAnsi="宋体" w:eastAsia="宋体" w:cs="宋体"/>
                <w:i w:val="0"/>
                <w:iCs w:val="0"/>
                <w:color w:val="000000"/>
                <w:sz w:val="18"/>
                <w:szCs w:val="18"/>
                <w:u w:val="none"/>
              </w:rPr>
            </w:pPr>
          </w:p>
        </w:tc>
      </w:tr>
      <w:tr w14:paraId="6AF0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5798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DC2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43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864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51320026T000014556854-2025年浙江援建资金-阿坝州政府部门党政人才国情省情培训</w:t>
            </w:r>
          </w:p>
        </w:tc>
      </w:tr>
      <w:tr w14:paraId="6FD2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D86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FCB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14DDA9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FB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州政府办公室</w:t>
            </w:r>
          </w:p>
        </w:tc>
      </w:tr>
      <w:tr w14:paraId="4CF6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BE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5E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59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6DC8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16B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CE95E">
            <w:pPr>
              <w:rPr>
                <w:rFonts w:hint="eastAsia" w:ascii="宋体" w:hAnsi="宋体" w:eastAsia="宋体" w:cs="宋体"/>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34DA">
            <w:pPr>
              <w:rPr>
                <w:rFonts w:hint="eastAsia" w:ascii="宋体" w:hAnsi="宋体" w:eastAsia="宋体" w:cs="宋体"/>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2D7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保障阿坝州人民政府业务培训顺利实施</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A52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已顺利完成培训工作</w:t>
            </w:r>
          </w:p>
        </w:tc>
      </w:tr>
      <w:tr w14:paraId="0EC1B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8C8FB">
            <w:pP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959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3F0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保障阿坝州人民政府业务培训顺利实施</w:t>
            </w:r>
          </w:p>
        </w:tc>
      </w:tr>
      <w:tr w14:paraId="02B65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0E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9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D9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50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A5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A0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FD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76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BB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04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34DF3">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CD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2F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A2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6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C0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D8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5B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BBA8D">
            <w:pPr>
              <w:rPr>
                <w:rFonts w:hint="eastAsia" w:ascii="黑体" w:hAnsi="黑体" w:eastAsia="黑体" w:cs="黑体"/>
                <w:i/>
                <w:iCs/>
                <w:color w:val="000000"/>
                <w:sz w:val="18"/>
                <w:szCs w:val="18"/>
                <w:u w:val="none"/>
              </w:rPr>
            </w:pPr>
          </w:p>
        </w:tc>
      </w:tr>
      <w:tr w14:paraId="27DC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AA52F">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0E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E2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16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9B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3F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DB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D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5B8A4">
            <w:pPr>
              <w:rPr>
                <w:rFonts w:hint="eastAsia" w:ascii="黑体" w:hAnsi="黑体" w:eastAsia="黑体" w:cs="黑体"/>
                <w:i/>
                <w:iCs/>
                <w:color w:val="000000"/>
                <w:sz w:val="18"/>
                <w:szCs w:val="18"/>
                <w:u w:val="none"/>
              </w:rPr>
            </w:pPr>
          </w:p>
        </w:tc>
      </w:tr>
      <w:tr w14:paraId="3FA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85BF6">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98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AE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D4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79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2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1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C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23230">
            <w:pPr>
              <w:rPr>
                <w:rFonts w:hint="eastAsia" w:ascii="黑体" w:hAnsi="黑体" w:eastAsia="黑体" w:cs="黑体"/>
                <w:i/>
                <w:iCs/>
                <w:color w:val="000000"/>
                <w:sz w:val="18"/>
                <w:szCs w:val="18"/>
                <w:u w:val="none"/>
              </w:rPr>
            </w:pPr>
          </w:p>
        </w:tc>
      </w:tr>
      <w:tr w14:paraId="4BE1A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39A39">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E9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40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CA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E9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A9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67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E8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6A88">
            <w:pPr>
              <w:rPr>
                <w:rFonts w:hint="eastAsia" w:ascii="黑体" w:hAnsi="黑体" w:eastAsia="黑体" w:cs="黑体"/>
                <w:i/>
                <w:iCs/>
                <w:color w:val="000000"/>
                <w:sz w:val="18"/>
                <w:szCs w:val="18"/>
                <w:u w:val="none"/>
              </w:rPr>
            </w:pPr>
          </w:p>
        </w:tc>
      </w:tr>
      <w:tr w14:paraId="3455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5D1C0">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7C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DAFE1">
            <w:pPr>
              <w:jc w:val="center"/>
              <w:rPr>
                <w:rFonts w:hint="eastAsia" w:ascii="微软雅黑" w:hAnsi="微软雅黑" w:eastAsia="微软雅黑" w:cs="微软雅黑"/>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93A54">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5FA2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C9349">
            <w:pPr>
              <w:jc w:val="center"/>
              <w:rPr>
                <w:rFonts w:hint="eastAsia" w:ascii="微软雅黑" w:hAnsi="微软雅黑" w:eastAsia="微软雅黑" w:cs="微软雅黑"/>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E4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42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DCE71">
            <w:pPr>
              <w:rPr>
                <w:rFonts w:hint="eastAsia" w:ascii="黑体" w:hAnsi="黑体" w:eastAsia="黑体" w:cs="黑体"/>
                <w:i/>
                <w:iCs/>
                <w:color w:val="000000"/>
                <w:sz w:val="18"/>
                <w:szCs w:val="18"/>
                <w:u w:val="none"/>
              </w:rPr>
            </w:pPr>
          </w:p>
        </w:tc>
      </w:tr>
      <w:tr w14:paraId="6EF3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03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96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A9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C9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14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44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77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A3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8B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69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F9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3D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74386">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D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C8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7C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0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57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F5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40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E9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D6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08F33">
            <w:pPr>
              <w:jc w:val="center"/>
              <w:rPr>
                <w:rFonts w:hint="eastAsia" w:ascii="微软雅黑" w:hAnsi="微软雅黑" w:eastAsia="微软雅黑" w:cs="微软雅黑"/>
                <w:i/>
                <w:iCs/>
                <w:color w:val="000000"/>
                <w:sz w:val="16"/>
                <w:szCs w:val="16"/>
                <w:u w:val="none"/>
              </w:rPr>
            </w:pPr>
          </w:p>
        </w:tc>
      </w:tr>
      <w:tr w14:paraId="1444D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1AA8">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09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4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A6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培训人员业务提升程度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37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EF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A75B7">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F8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38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7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94669">
            <w:pPr>
              <w:jc w:val="center"/>
              <w:rPr>
                <w:rFonts w:hint="eastAsia" w:ascii="微软雅黑" w:hAnsi="微软雅黑" w:eastAsia="微软雅黑" w:cs="微软雅黑"/>
                <w:i/>
                <w:iCs/>
                <w:color w:val="000000"/>
                <w:sz w:val="16"/>
                <w:szCs w:val="16"/>
                <w:u w:val="none"/>
              </w:rPr>
            </w:pPr>
          </w:p>
        </w:tc>
      </w:tr>
      <w:tr w14:paraId="413C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076A">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AF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58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2F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8B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DC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A4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4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33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B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80D54">
            <w:pPr>
              <w:jc w:val="center"/>
              <w:rPr>
                <w:rFonts w:hint="eastAsia" w:ascii="微软雅黑" w:hAnsi="微软雅黑" w:eastAsia="微软雅黑" w:cs="微软雅黑"/>
                <w:i/>
                <w:iCs/>
                <w:color w:val="000000"/>
                <w:sz w:val="16"/>
                <w:szCs w:val="16"/>
                <w:u w:val="none"/>
              </w:rPr>
            </w:pPr>
          </w:p>
        </w:tc>
      </w:tr>
      <w:tr w14:paraId="1C6B0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1EDAD">
            <w:pPr>
              <w:jc w:val="center"/>
              <w:rPr>
                <w:rFonts w:hint="eastAsia" w:ascii="宋体" w:hAnsi="宋体" w:eastAsia="宋体" w:cs="宋体"/>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DA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DD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93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B5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16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44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5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3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B8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EFF21">
            <w:pPr>
              <w:jc w:val="center"/>
              <w:rPr>
                <w:rFonts w:hint="eastAsia" w:ascii="微软雅黑" w:hAnsi="微软雅黑" w:eastAsia="微软雅黑" w:cs="微软雅黑"/>
                <w:i/>
                <w:iCs/>
                <w:color w:val="000000"/>
                <w:sz w:val="16"/>
                <w:szCs w:val="16"/>
                <w:u w:val="none"/>
              </w:rPr>
            </w:pPr>
          </w:p>
        </w:tc>
      </w:tr>
      <w:tr w14:paraId="7363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60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3B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F7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37275">
            <w:pPr>
              <w:rPr>
                <w:rFonts w:hint="eastAsia" w:ascii="宋体" w:hAnsi="宋体" w:eastAsia="宋体" w:cs="宋体"/>
                <w:i w:val="0"/>
                <w:iCs w:val="0"/>
                <w:color w:val="000000"/>
                <w:sz w:val="18"/>
                <w:szCs w:val="18"/>
                <w:u w:val="none"/>
              </w:rPr>
            </w:pPr>
          </w:p>
        </w:tc>
      </w:tr>
      <w:tr w14:paraId="74C1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1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C1E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w:t>
            </w:r>
          </w:p>
        </w:tc>
      </w:tr>
      <w:tr w14:paraId="56ED5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A8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57B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59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BE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45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C47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FF0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2C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B473B14">
      <w:pPr>
        <w:pStyle w:val="15"/>
        <w:rPr>
          <w:rFonts w:hint="eastAsia" w:ascii="Times New Roman" w:hAnsi="Times New Roman" w:eastAsia="黑体" w:cs="黑体"/>
          <w:color w:val="auto"/>
          <w:kern w:val="0"/>
          <w:sz w:val="32"/>
          <w:szCs w:val="32"/>
          <w:highlight w:val="none"/>
          <w:shd w:val="clear" w:color="auto" w:fill="FFFFFF"/>
          <w:lang w:val="zh-CN"/>
        </w:rPr>
      </w:pPr>
    </w:p>
    <w:p w14:paraId="7DFB02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p>
    <w:p w14:paraId="545E8709">
      <w:pPr>
        <w:pStyle w:val="30"/>
        <w:rPr>
          <w:rFonts w:hint="eastAsia" w:ascii="Times New Roman" w:hAnsi="Times New Roman" w:eastAsia="仿宋_GB2312" w:cs="仿宋_GB2312"/>
          <w:b w:val="0"/>
          <w:bCs w:val="0"/>
          <w:kern w:val="0"/>
          <w:position w:val="0"/>
          <w:sz w:val="32"/>
          <w:szCs w:val="32"/>
          <w:highlight w:val="none"/>
          <w:lang w:val="en-US" w:eastAsia="zh-CN" w:bidi="ar-SA"/>
        </w:rPr>
      </w:pPr>
    </w:p>
    <w:p w14:paraId="733AC083">
      <w:pPr>
        <w:pStyle w:val="17"/>
        <w:rPr>
          <w:rFonts w:hint="eastAsia"/>
          <w:lang w:val="en-US" w:eastAsia="zh-CN"/>
        </w:rPr>
      </w:pPr>
    </w:p>
    <w:p w14:paraId="09A14EC6">
      <w:pPr>
        <w:pStyle w:val="18"/>
        <w:rPr>
          <w:rFonts w:hint="eastAsia"/>
          <w:lang w:val="en-US" w:eastAsia="zh-CN"/>
        </w:rPr>
      </w:pPr>
    </w:p>
    <w:p w14:paraId="0087AD13">
      <w:pPr>
        <w:pStyle w:val="19"/>
        <w:rPr>
          <w:rFonts w:hint="eastAsia"/>
          <w:lang w:val="en-US" w:eastAsia="zh-CN"/>
        </w:rPr>
      </w:pPr>
    </w:p>
    <w:p w14:paraId="0685FBAA">
      <w:pPr>
        <w:rPr>
          <w:rFonts w:hint="eastAsia"/>
          <w:lang w:val="en-US" w:eastAsia="zh-CN"/>
        </w:rPr>
      </w:pPr>
    </w:p>
    <w:p w14:paraId="77E87A0F">
      <w:pPr>
        <w:pStyle w:val="2"/>
        <w:rPr>
          <w:rFonts w:hint="eastAsia"/>
          <w:lang w:val="en-US" w:eastAsia="zh-CN"/>
        </w:rPr>
      </w:pPr>
    </w:p>
    <w:p w14:paraId="5BAE0B3D">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仿宋"/>
          <w:b w:val="0"/>
          <w:bCs w:val="0"/>
          <w:color w:val="auto"/>
          <w:highlight w:val="none"/>
        </w:rPr>
      </w:pPr>
    </w:p>
    <w:p w14:paraId="68214F68">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黑体"/>
          <w:b w:val="0"/>
          <w:bCs w:val="0"/>
          <w:snapToGrid/>
          <w:color w:val="auto"/>
          <w:highlight w:val="none"/>
        </w:rPr>
      </w:pPr>
    </w:p>
    <w:p w14:paraId="7152A6DD">
      <w:pPr>
        <w:keepNext w:val="0"/>
        <w:keepLines w:val="0"/>
        <w:pageBreakBefore w:val="0"/>
        <w:widowControl/>
        <w:kinsoku/>
        <w:wordWrap/>
        <w:overflowPunct/>
        <w:topLinePunct w:val="0"/>
        <w:autoSpaceDE/>
        <w:autoSpaceDN/>
        <w:bidi w:val="0"/>
        <w:spacing w:line="560" w:lineRule="exact"/>
        <w:jc w:val="center"/>
        <w:textAlignment w:val="auto"/>
        <w:rPr>
          <w:rFonts w:hint="eastAsia" w:ascii="Times New Roman" w:hAnsi="Times New Roman" w:eastAsia="黑体"/>
          <w:b w:val="0"/>
          <w:bCs w:val="0"/>
          <w:snapToGrid/>
          <w:color w:val="auto"/>
          <w:highlight w:val="none"/>
        </w:rPr>
      </w:pPr>
      <w:r>
        <w:rPr>
          <w:rFonts w:hint="eastAsia" w:ascii="Times New Roman" w:hAnsi="Times New Roman" w:eastAsia="黑体"/>
          <w:color w:val="auto"/>
          <w:sz w:val="44"/>
          <w:szCs w:val="44"/>
          <w:highlight w:val="none"/>
        </w:rPr>
        <w:t>第</w:t>
      </w:r>
      <w:r>
        <w:rPr>
          <w:rStyle w:val="197"/>
          <w:rFonts w:hint="eastAsia" w:ascii="Times New Roman" w:hAnsi="Times New Roman" w:eastAsia="黑体"/>
          <w:b w:val="0"/>
          <w:color w:val="auto"/>
          <w:highlight w:val="none"/>
        </w:rPr>
        <w:t>五部分 附表</w:t>
      </w:r>
      <w:bookmarkEnd w:id="50"/>
      <w:bookmarkEnd w:id="54"/>
      <w:bookmarkStart w:id="55" w:name="_Toc15396619"/>
    </w:p>
    <w:p w14:paraId="2DC1779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7C5F979">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07A861B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5086D7D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7C2D0866">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F80E087">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1FFE934D">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5E01720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35F4B200">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2436373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4B9D62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18F790B8">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F09C622">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4430646D">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215A53E6">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lang w:eastAsia="zh-CN"/>
        </w:rPr>
      </w:pPr>
    </w:p>
    <w:sectPr>
      <w:footerReference r:id="rId7" w:type="first"/>
      <w:footerReference r:id="rId6"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837D">
    <w:pPr>
      <w:pStyle w:val="2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2940E">
                          <w:pPr>
                            <w:pStyle w:val="2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0ukX88AgAAbwQAAA4AAAAAAAAAAQAgAAAAHwEAAGRycy9lMm9E&#10;b2MueG1sUEsFBgAAAAAGAAYAWQEAAM0FAAAAAA==&#10;">
              <v:fill on="f" focussize="0,0"/>
              <v:stroke on="f" weight="0.5pt"/>
              <v:imagedata o:title=""/>
              <o:lock v:ext="edit" aspectratio="f"/>
              <v:textbox inset="0mm,0mm,0mm,0mm" style="mso-fit-shape-to-text:t;">
                <w:txbxContent>
                  <w:p w14:paraId="5562940E">
                    <w:pPr>
                      <w:pStyle w:val="25"/>
                    </w:pPr>
                    <w:r>
                      <w:fldChar w:fldCharType="begin"/>
                    </w:r>
                    <w:r>
                      <w:instrText xml:space="preserve"> PAGE  \* MERGEFORMAT </w:instrText>
                    </w:r>
                    <w:r>
                      <w:fldChar w:fldCharType="separate"/>
                    </w:r>
                    <w:r>
                      <w:t>- 1 -</w:t>
                    </w:r>
                    <w:r>
                      <w:fldChar w:fldCharType="end"/>
                    </w:r>
                  </w:p>
                </w:txbxContent>
              </v:textbox>
            </v:shape>
          </w:pict>
        </mc:Fallback>
      </mc:AlternateContent>
    </w:r>
  </w:p>
  <w:p w14:paraId="5886813A">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332E">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2E212">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o8bY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t6PG2PQIAAG8EAAAOAAAAAAAAAAEAIAAAAB8BAABkcnMvZTJv&#10;RG9jLnhtbFBLBQYAAAAABgAGAFkBAADOBQAAAAA=&#10;">
              <v:fill on="f" focussize="0,0"/>
              <v:stroke on="f" weight="0.5pt"/>
              <v:imagedata o:title=""/>
              <o:lock v:ext="edit" aspectratio="f"/>
              <v:textbox inset="0mm,0mm,0mm,0mm" style="mso-fit-shape-to-text:t;">
                <w:txbxContent>
                  <w:p w14:paraId="0D12E212">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D87D5">
    <w:pPr>
      <w:pStyle w:val="2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9A45F">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zEVQ9AgAAbwQAAA4AAABkcnMvZTJvRG9jLnhtbK1UwY7TMBC9I/EP&#10;lu806S6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yyhPa32BUVuLcaF7DR0OzXjv4+WufQcVvmOHAEmDrnY6aoHsCEaj1KeL1KILhEeI2dVslqOL&#10;o2/8wGwZK8bn1vnwRoAm0Sipw14meHbc+NCHjiExm4G1VCr1UxnSlvTm+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4MxFUPQIAAG8EAAAOAAAAAAAAAAEAIAAAAB8BAABkcnMvZTJv&#10;RG9jLnhtbFBLBQYAAAAABgAGAFkBAADOBQAAAAA=&#10;">
              <v:fill on="f" focussize="0,0"/>
              <v:stroke on="f" weight="0.5pt"/>
              <v:imagedata o:title=""/>
              <o:lock v:ext="edit" aspectratio="f"/>
              <v:textbox inset="0mm,0mm,0mm,0mm" style="mso-fit-shape-to-text:t;">
                <w:txbxContent>
                  <w:p w14:paraId="47E9A45F">
                    <w:pPr>
                      <w:pStyle w:val="25"/>
                    </w:pPr>
                    <w:r>
                      <w:fldChar w:fldCharType="begin"/>
                    </w:r>
                    <w:r>
                      <w:instrText xml:space="preserve"> PAGE  \* MERGEFORMAT </w:instrText>
                    </w:r>
                    <w:r>
                      <w:fldChar w:fldCharType="separate"/>
                    </w:r>
                    <w:r>
                      <w:t>2</w:t>
                    </w:r>
                    <w:r>
                      <w:fldChar w:fldCharType="end"/>
                    </w:r>
                  </w:p>
                </w:txbxContent>
              </v:textbox>
            </v:shape>
          </w:pict>
        </mc:Fallback>
      </mc:AlternateContent>
    </w:r>
  </w:p>
  <w:p w14:paraId="6986F2B1">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1CE8F">
    <w:pPr>
      <w:pStyle w:val="2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7F5BE">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s12eU9AgAAbwQAAA4AAABkcnMvZTJvRG9jLnhtbK1UwY7TMBC9I/EP&#10;lu806cKu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rSgzT2PDzt6/n7z/P&#10;P76Q6yhPa32BUVuLcaF7DR0OzXjv4+WufQcVvmOHAEmDrnY6aoHsCEaj1KeL1KILhEeI2dVslqOL&#10;o2/8wGwZK8bn1vnwRoAm0Sipw14meHbc+NCHjiExm4G1VCr1UxnSlvTm5X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rNdnlPQIAAG8EAAAOAAAAAAAAAAEAIAAAAB8BAABkcnMvZTJv&#10;RG9jLnhtbFBLBQYAAAAABgAGAFkBAADOBQAAAAA=&#10;">
              <v:fill on="f" focussize="0,0"/>
              <v:stroke on="f" weight="0.5pt"/>
              <v:imagedata o:title=""/>
              <o:lock v:ext="edit" aspectratio="f"/>
              <v:textbox inset="0mm,0mm,0mm,0mm" style="mso-fit-shape-to-text:t;">
                <w:txbxContent>
                  <w:p w14:paraId="1407F5BE">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CFB0F">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AD7D2"/>
    <w:multiLevelType w:val="multilevel"/>
    <w:tmpl w:val="87FAD7D2"/>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DFB83EA3"/>
    <w:multiLevelType w:val="multilevel"/>
    <w:tmpl w:val="DFB83EA3"/>
    <w:lvl w:ilvl="0" w:tentative="0">
      <w:start w:val="3"/>
      <w:numFmt w:val="chineseCounting"/>
      <w:suff w:val="space"/>
      <w:lvlText w:val="第%1部分"/>
      <w:lvlJc w:val="left"/>
      <w:pPr>
        <w:ind w:left="0" w:firstLine="0"/>
      </w:pPr>
      <w:rPr>
        <w:rFonts w:hint="eastAsia"/>
        <w:sz w:val="4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E47E1F3A"/>
    <w:multiLevelType w:val="multilevel"/>
    <w:tmpl w:val="E47E1F3A"/>
    <w:lvl w:ilvl="0" w:tentative="0">
      <w:start w:val="2"/>
      <w:numFmt w:val="chineseCounting"/>
      <w:suff w:val="nothing"/>
      <w:lvlText w:val="（%1）"/>
      <w:lvlJc w:val="left"/>
      <w:pPr>
        <w:ind w:left="-3" w:firstLine="3"/>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E7F29172"/>
    <w:multiLevelType w:val="multilevel"/>
    <w:tmpl w:val="E7F29172"/>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EFF8C6A5"/>
    <w:multiLevelType w:val="multilevel"/>
    <w:tmpl w:val="EFF8C6A5"/>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revisionView w:markup="0"/>
  <w:documentProtection w:enforcement="0"/>
  <w:defaultTabStop w:val="420"/>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A6602"/>
    <w:rsid w:val="119C0C5B"/>
    <w:rsid w:val="30B7244E"/>
    <w:rsid w:val="35E811F4"/>
    <w:rsid w:val="39D14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4">
    <w:name w:val="heading 1"/>
    <w:basedOn w:val="1"/>
    <w:next w:val="1"/>
    <w:link w:val="19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9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201"/>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52"/>
    <w:unhideWhenUsed/>
    <w:qFormat/>
    <w:uiPriority w:val="9"/>
    <w:pPr>
      <w:keepNext/>
      <w:keepLines/>
      <w:spacing w:before="320" w:after="200"/>
      <w:outlineLvl w:val="8"/>
    </w:pPr>
    <w:rPr>
      <w:rFonts w:ascii="Arial" w:hAnsi="Arial" w:eastAsia="Arial" w:cs="Arial"/>
      <w:i/>
      <w:iCs/>
      <w:sz w:val="21"/>
      <w:szCs w:val="21"/>
    </w:rPr>
  </w:style>
  <w:style w:type="character" w:default="1" w:styleId="39">
    <w:name w:val="Default Paragraph Font"/>
    <w:unhideWhenUsed/>
    <w:qFormat/>
    <w:uiPriority w:val="1"/>
  </w:style>
  <w:style w:type="table" w:default="1" w:styleId="37">
    <w:name w:val="Normal Table"/>
    <w:semiHidden/>
    <w:unhideWhenUsed/>
    <w:qFormat/>
    <w:uiPriority w:val="99"/>
    <w:pPr>
      <w:widowControl/>
    </w:pPr>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hint="default" w:ascii="Times New Roman" w:hAnsi="Times New Roman" w:eastAsia="宋体" w:cs="Times New Roman"/>
      <w:kern w:val="2"/>
      <w:sz w:val="21"/>
      <w:lang w:val="en-US" w:eastAsia="zh-CN"/>
    </w:rPr>
  </w:style>
  <w:style w:type="paragraph" w:styleId="13">
    <w:name w:val="toc 7"/>
    <w:basedOn w:val="1"/>
    <w:next w:val="1"/>
    <w:unhideWhenUsed/>
    <w:uiPriority w:val="39"/>
    <w:pPr>
      <w:spacing w:after="57"/>
      <w:ind w:left="1701" w:right="0" w:firstLine="0"/>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Body Text"/>
    <w:basedOn w:val="1"/>
    <w:link w:val="194"/>
    <w:qFormat/>
    <w:uiPriority w:val="99"/>
    <w:pPr>
      <w:spacing w:beforeLines="30"/>
    </w:pPr>
    <w:rPr>
      <w:rFonts w:ascii="仿宋_GB2312" w:eastAsia="仿宋_GB2312"/>
      <w:kern w:val="0"/>
      <w:sz w:val="30"/>
    </w:rPr>
  </w:style>
  <w:style w:type="paragraph" w:styleId="16">
    <w:name w:val="Body Text Indent"/>
    <w:basedOn w:val="1"/>
    <w:next w:val="17"/>
    <w:qFormat/>
    <w:uiPriority w:val="0"/>
    <w:pPr>
      <w:spacing w:after="120"/>
      <w:ind w:leftChars="200"/>
    </w:pPr>
    <w:rPr>
      <w:rFonts w:ascii="仿宋_GB2312"/>
      <w:szCs w:val="32"/>
    </w:rPr>
  </w:style>
  <w:style w:type="paragraph" w:styleId="17">
    <w:name w:val="Body Text First Indent 2"/>
    <w:basedOn w:val="16"/>
    <w:next w:val="18"/>
    <w:unhideWhenUsed/>
    <w:qFormat/>
    <w:uiPriority w:val="99"/>
    <w:pPr>
      <w:ind w:firstLine="420" w:firstLineChars="200"/>
    </w:pPr>
  </w:style>
  <w:style w:type="paragraph" w:styleId="18">
    <w:name w:val="Body Text 2"/>
    <w:basedOn w:val="1"/>
    <w:next w:val="19"/>
    <w:qFormat/>
    <w:uiPriority w:val="0"/>
    <w:pPr>
      <w:spacing w:line="480" w:lineRule="auto"/>
    </w:pPr>
  </w:style>
  <w:style w:type="paragraph" w:styleId="19">
    <w:name w:val="Date"/>
    <w:basedOn w:val="1"/>
    <w:next w:val="1"/>
    <w:qFormat/>
    <w:uiPriority w:val="0"/>
    <w:pPr>
      <w:ind w:left="2500" w:leftChars="2500"/>
    </w:pPr>
    <w:rPr>
      <w:rFonts w:ascii="仿宋_GB2312" w:eastAsia="仿宋_GB2312"/>
      <w:sz w:val="32"/>
      <w:szCs w:val="32"/>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tabs>
        <w:tab w:val="right" w:leader="dot" w:pos="8296"/>
      </w:tabs>
      <w:ind w:left="840" w:leftChars="400"/>
    </w:pPr>
  </w:style>
  <w:style w:type="paragraph" w:styleId="22">
    <w:name w:val="toc 8"/>
    <w:basedOn w:val="1"/>
    <w:next w:val="1"/>
    <w:unhideWhenUsed/>
    <w:qFormat/>
    <w:uiPriority w:val="39"/>
    <w:pPr>
      <w:spacing w:after="57"/>
      <w:ind w:left="1984" w:right="0" w:firstLine="0"/>
    </w:pPr>
  </w:style>
  <w:style w:type="paragraph" w:styleId="23">
    <w:name w:val="endnote text"/>
    <w:basedOn w:val="1"/>
    <w:link w:val="187"/>
    <w:semiHidden/>
    <w:unhideWhenUsed/>
    <w:qFormat/>
    <w:uiPriority w:val="99"/>
    <w:pPr>
      <w:spacing w:after="0" w:line="240" w:lineRule="auto"/>
    </w:pPr>
    <w:rPr>
      <w:sz w:val="20"/>
    </w:rPr>
  </w:style>
  <w:style w:type="paragraph" w:styleId="24">
    <w:name w:val="Balloon Text"/>
    <w:basedOn w:val="1"/>
    <w:link w:val="200"/>
    <w:semiHidden/>
    <w:unhideWhenUsed/>
    <w:qFormat/>
    <w:uiPriority w:val="99"/>
    <w:rPr>
      <w:sz w:val="18"/>
      <w:szCs w:val="18"/>
    </w:rPr>
  </w:style>
  <w:style w:type="paragraph" w:styleId="25">
    <w:name w:val="footer"/>
    <w:basedOn w:val="1"/>
    <w:link w:val="192"/>
    <w:qFormat/>
    <w:uiPriority w:val="99"/>
    <w:pPr>
      <w:tabs>
        <w:tab w:val="center" w:pos="4153"/>
        <w:tab w:val="right" w:pos="8306"/>
      </w:tabs>
      <w:snapToGrid w:val="0"/>
      <w:jc w:val="left"/>
    </w:pPr>
    <w:rPr>
      <w:rFonts w:ascii="Calibri" w:hAnsi="Calibri"/>
      <w:kern w:val="0"/>
      <w:sz w:val="18"/>
      <w:szCs w:val="18"/>
    </w:rPr>
  </w:style>
  <w:style w:type="paragraph" w:styleId="26">
    <w:name w:val="header"/>
    <w:basedOn w:val="1"/>
    <w:link w:val="19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28">
    <w:name w:val="toc 4"/>
    <w:basedOn w:val="1"/>
    <w:next w:val="1"/>
    <w:unhideWhenUsed/>
    <w:uiPriority w:val="39"/>
    <w:pPr>
      <w:spacing w:after="57"/>
      <w:ind w:left="850" w:right="0" w:firstLine="0"/>
    </w:pPr>
  </w:style>
  <w:style w:type="paragraph" w:styleId="29">
    <w:name w:val="Subtitle"/>
    <w:basedOn w:val="1"/>
    <w:next w:val="1"/>
    <w:link w:val="55"/>
    <w:qFormat/>
    <w:uiPriority w:val="11"/>
    <w:pPr>
      <w:spacing w:before="200" w:after="200"/>
    </w:pPr>
    <w:rPr>
      <w:sz w:val="24"/>
      <w:szCs w:val="24"/>
    </w:rPr>
  </w:style>
  <w:style w:type="paragraph" w:styleId="30">
    <w:name w:val="footnote text"/>
    <w:basedOn w:val="1"/>
    <w:next w:val="17"/>
    <w:semiHidden/>
    <w:qFormat/>
    <w:uiPriority w:val="0"/>
    <w:pPr>
      <w:snapToGrid w:val="0"/>
      <w:jc w:val="left"/>
    </w:pPr>
    <w:rPr>
      <w:sz w:val="18"/>
      <w:szCs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uiPriority w:val="99"/>
    <w:pPr>
      <w:spacing w:after="0" w:afterAutospacing="0"/>
    </w:pPr>
  </w:style>
  <w:style w:type="paragraph" w:styleId="33">
    <w:name w:val="toc 2"/>
    <w:basedOn w:val="1"/>
    <w:next w:val="1"/>
    <w:unhideWhenUsed/>
    <w:qFormat/>
    <w:uiPriority w:val="39"/>
    <w:pPr>
      <w:tabs>
        <w:tab w:val="right" w:leader="dot" w:pos="8296"/>
      </w:tabs>
      <w:ind w:left="420" w:leftChars="200"/>
    </w:pPr>
  </w:style>
  <w:style w:type="paragraph" w:styleId="34">
    <w:name w:val="toc 9"/>
    <w:basedOn w:val="1"/>
    <w:next w:val="1"/>
    <w:unhideWhenUsed/>
    <w:uiPriority w:val="39"/>
    <w:pPr>
      <w:spacing w:after="57"/>
      <w:ind w:left="2268" w:right="0" w:firstLine="0"/>
    </w:pPr>
  </w:style>
  <w:style w:type="paragraph" w:styleId="3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6">
    <w:name w:val="Title"/>
    <w:basedOn w:val="1"/>
    <w:next w:val="1"/>
    <w:link w:val="54"/>
    <w:qFormat/>
    <w:uiPriority w:val="10"/>
    <w:pPr>
      <w:spacing w:before="300" w:after="200"/>
      <w:contextualSpacing/>
    </w:pPr>
    <w:rPr>
      <w:sz w:val="48"/>
      <w:szCs w:val="48"/>
    </w:rPr>
  </w:style>
  <w:style w:type="table" w:styleId="38">
    <w:name w:val="Table Grid"/>
    <w:basedOn w:val="3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basedOn w:val="39"/>
    <w:qFormat/>
    <w:uiPriority w:val="99"/>
    <w:rPr>
      <w:b/>
    </w:rPr>
  </w:style>
  <w:style w:type="character" w:styleId="41">
    <w:name w:val="endnote reference"/>
    <w:basedOn w:val="39"/>
    <w:semiHidden/>
    <w:unhideWhenUsed/>
    <w:qFormat/>
    <w:uiPriority w:val="99"/>
    <w:rPr>
      <w:vertAlign w:val="superscript"/>
    </w:rPr>
  </w:style>
  <w:style w:type="character" w:styleId="42">
    <w:name w:val="Hyperlink"/>
    <w:basedOn w:val="39"/>
    <w:unhideWhenUsed/>
    <w:qFormat/>
    <w:uiPriority w:val="99"/>
    <w:rPr>
      <w:color w:val="0000FF" w:themeColor="hyperlink"/>
      <w:u w:val="single"/>
      <w14:textFill>
        <w14:solidFill>
          <w14:schemeClr w14:val="hlink"/>
        </w14:solidFill>
      </w14:textFill>
    </w:rPr>
  </w:style>
  <w:style w:type="character" w:styleId="43">
    <w:name w:val="footnote reference"/>
    <w:basedOn w:val="39"/>
    <w:unhideWhenUsed/>
    <w:uiPriority w:val="99"/>
    <w:rPr>
      <w:vertAlign w:val="superscript"/>
    </w:rPr>
  </w:style>
  <w:style w:type="character" w:customStyle="1" w:styleId="44">
    <w:name w:val="Heading 1 Char"/>
    <w:basedOn w:val="39"/>
    <w:qFormat/>
    <w:uiPriority w:val="9"/>
    <w:rPr>
      <w:rFonts w:ascii="Arial" w:hAnsi="Arial" w:eastAsia="Arial" w:cs="Arial"/>
      <w:sz w:val="40"/>
      <w:szCs w:val="40"/>
    </w:rPr>
  </w:style>
  <w:style w:type="character" w:customStyle="1" w:styleId="45">
    <w:name w:val="Heading 2 Char"/>
    <w:basedOn w:val="39"/>
    <w:uiPriority w:val="9"/>
    <w:rPr>
      <w:rFonts w:ascii="Arial" w:hAnsi="Arial" w:eastAsia="Arial" w:cs="Arial"/>
      <w:sz w:val="34"/>
    </w:rPr>
  </w:style>
  <w:style w:type="character" w:customStyle="1" w:styleId="46">
    <w:name w:val="Heading 3 Char"/>
    <w:basedOn w:val="39"/>
    <w:qFormat/>
    <w:uiPriority w:val="9"/>
    <w:rPr>
      <w:rFonts w:ascii="Arial" w:hAnsi="Arial" w:eastAsia="Arial" w:cs="Arial"/>
      <w:sz w:val="30"/>
      <w:szCs w:val="30"/>
    </w:rPr>
  </w:style>
  <w:style w:type="character" w:customStyle="1" w:styleId="47">
    <w:name w:val="Heading 4 Char"/>
    <w:basedOn w:val="39"/>
    <w:link w:val="7"/>
    <w:qFormat/>
    <w:uiPriority w:val="9"/>
    <w:rPr>
      <w:rFonts w:ascii="Arial" w:hAnsi="Arial" w:eastAsia="Arial" w:cs="Arial"/>
      <w:b/>
      <w:bCs/>
      <w:sz w:val="26"/>
      <w:szCs w:val="26"/>
    </w:rPr>
  </w:style>
  <w:style w:type="character" w:customStyle="1" w:styleId="48">
    <w:name w:val="Heading 5 Char"/>
    <w:basedOn w:val="39"/>
    <w:link w:val="8"/>
    <w:uiPriority w:val="9"/>
    <w:rPr>
      <w:rFonts w:ascii="Arial" w:hAnsi="Arial" w:eastAsia="Arial" w:cs="Arial"/>
      <w:b/>
      <w:bCs/>
      <w:sz w:val="24"/>
      <w:szCs w:val="24"/>
    </w:rPr>
  </w:style>
  <w:style w:type="character" w:customStyle="1" w:styleId="49">
    <w:name w:val="Heading 6 Char"/>
    <w:basedOn w:val="39"/>
    <w:link w:val="9"/>
    <w:qFormat/>
    <w:uiPriority w:val="9"/>
    <w:rPr>
      <w:rFonts w:ascii="Arial" w:hAnsi="Arial" w:eastAsia="Arial" w:cs="Arial"/>
      <w:b/>
      <w:bCs/>
      <w:sz w:val="22"/>
      <w:szCs w:val="22"/>
    </w:rPr>
  </w:style>
  <w:style w:type="character" w:customStyle="1" w:styleId="50">
    <w:name w:val="Heading 7 Char"/>
    <w:basedOn w:val="39"/>
    <w:link w:val="10"/>
    <w:uiPriority w:val="9"/>
    <w:rPr>
      <w:rFonts w:ascii="Arial" w:hAnsi="Arial" w:eastAsia="Arial" w:cs="Arial"/>
      <w:b/>
      <w:bCs/>
      <w:i/>
      <w:iCs/>
      <w:sz w:val="22"/>
      <w:szCs w:val="22"/>
    </w:rPr>
  </w:style>
  <w:style w:type="character" w:customStyle="1" w:styleId="51">
    <w:name w:val="Heading 8 Char"/>
    <w:basedOn w:val="39"/>
    <w:link w:val="11"/>
    <w:uiPriority w:val="9"/>
    <w:rPr>
      <w:rFonts w:ascii="Arial" w:hAnsi="Arial" w:eastAsia="Arial" w:cs="Arial"/>
      <w:i/>
      <w:iCs/>
      <w:sz w:val="22"/>
      <w:szCs w:val="22"/>
    </w:rPr>
  </w:style>
  <w:style w:type="character" w:customStyle="1" w:styleId="52">
    <w:name w:val="Heading 9 Char"/>
    <w:basedOn w:val="39"/>
    <w:link w:val="12"/>
    <w:uiPriority w:val="9"/>
    <w:rPr>
      <w:rFonts w:ascii="Arial" w:hAnsi="Arial" w:eastAsia="Arial" w:cs="Arial"/>
      <w:i/>
      <w:iCs/>
      <w:sz w:val="21"/>
      <w:szCs w:val="21"/>
    </w:rPr>
  </w:style>
  <w:style w:type="paragraph" w:styleId="53">
    <w:name w:val="No Spacing"/>
    <w:qFormat/>
    <w:uiPriority w:val="1"/>
    <w:pPr>
      <w:spacing w:before="0" w:after="0" w:line="240" w:lineRule="auto"/>
    </w:pPr>
    <w:rPr>
      <w:rFonts w:hint="default" w:ascii="Times New Roman" w:hAnsi="Times New Roman" w:eastAsia="宋体" w:cs="Times New Roman"/>
    </w:rPr>
  </w:style>
  <w:style w:type="character" w:customStyle="1" w:styleId="54">
    <w:name w:val="Title Char"/>
    <w:basedOn w:val="39"/>
    <w:link w:val="36"/>
    <w:qFormat/>
    <w:uiPriority w:val="10"/>
    <w:rPr>
      <w:sz w:val="48"/>
      <w:szCs w:val="48"/>
    </w:rPr>
  </w:style>
  <w:style w:type="character" w:customStyle="1" w:styleId="55">
    <w:name w:val="Subtitle Char"/>
    <w:basedOn w:val="39"/>
    <w:link w:val="29"/>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Quote Char"/>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9">
    <w:name w:val="Intense Quote Char"/>
    <w:link w:val="58"/>
    <w:qFormat/>
    <w:uiPriority w:val="30"/>
    <w:rPr>
      <w:i/>
    </w:rPr>
  </w:style>
  <w:style w:type="character" w:customStyle="1" w:styleId="60">
    <w:name w:val="Caption Char"/>
    <w:uiPriority w:val="99"/>
  </w:style>
  <w:style w:type="table" w:customStyle="1" w:styleId="61">
    <w:name w:val="Table Grid Light"/>
    <w:basedOn w:val="37"/>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Plain Table 1"/>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7"/>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7"/>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7"/>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7"/>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7"/>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7"/>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7"/>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7"/>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7"/>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7"/>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7"/>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7"/>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7"/>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7"/>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7"/>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7"/>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7"/>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7"/>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7"/>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7"/>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7"/>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7"/>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7"/>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7"/>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7"/>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7"/>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7"/>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7"/>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7"/>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7"/>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7"/>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7"/>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7"/>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7"/>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7"/>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7"/>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7"/>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7"/>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7"/>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7"/>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7"/>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7"/>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7"/>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7"/>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7"/>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7"/>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7"/>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7"/>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7"/>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7"/>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7"/>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7"/>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7"/>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7"/>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7"/>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7"/>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7"/>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7"/>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7"/>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7"/>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7"/>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7"/>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7"/>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7"/>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7"/>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7"/>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7"/>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7"/>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7"/>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7"/>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7"/>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7"/>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7"/>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7"/>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7"/>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7"/>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7"/>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7"/>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7"/>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7"/>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7"/>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7"/>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7"/>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7"/>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7"/>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7"/>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7"/>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7"/>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7"/>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7"/>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7"/>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7"/>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7"/>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7"/>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7"/>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7"/>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7"/>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7"/>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7"/>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7"/>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7"/>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7"/>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7"/>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7"/>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7"/>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7"/>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7"/>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Footnote Text Char"/>
    <w:uiPriority w:val="99"/>
    <w:rPr>
      <w:sz w:val="18"/>
    </w:rPr>
  </w:style>
  <w:style w:type="character" w:customStyle="1" w:styleId="187">
    <w:name w:val="Endnote Text Char"/>
    <w:link w:val="23"/>
    <w:uiPriority w:val="99"/>
    <w:rPr>
      <w:sz w:val="20"/>
    </w:rPr>
  </w:style>
  <w:style w:type="paragraph" w:customStyle="1" w:styleId="188">
    <w:name w:val="标题 5（有编号）（绿盟科技）"/>
    <w:next w:val="1"/>
    <w:qFormat/>
    <w:uiPriority w:val="99"/>
    <w:pPr>
      <w:keepNext/>
      <w:keepLines/>
      <w:widowControl w:val="0"/>
      <w:spacing w:before="280" w:after="156" w:line="377" w:lineRule="auto"/>
      <w:jc w:val="left"/>
      <w:outlineLvl w:val="4"/>
    </w:pPr>
    <w:rPr>
      <w:rFonts w:hint="default" w:ascii="Arial" w:hAnsi="Arial" w:eastAsia="黑体" w:cs="Times New Roman"/>
      <w:b/>
      <w:kern w:val="2"/>
      <w:sz w:val="24"/>
      <w:szCs w:val="28"/>
      <w:lang w:val="en-US" w:eastAsia="zh-CN" w:bidi="ar-SA"/>
    </w:rPr>
  </w:style>
  <w:style w:type="character" w:customStyle="1" w:styleId="189">
    <w:name w:val="Header Char"/>
    <w:basedOn w:val="39"/>
    <w:semiHidden/>
    <w:qFormat/>
    <w:uiPriority w:val="99"/>
    <w:rPr>
      <w:rFonts w:ascii="Times New Roman" w:hAnsi="Times New Roman"/>
      <w:sz w:val="18"/>
      <w:szCs w:val="18"/>
    </w:rPr>
  </w:style>
  <w:style w:type="character" w:customStyle="1" w:styleId="190">
    <w:name w:val="页眉 Char"/>
    <w:link w:val="26"/>
    <w:semiHidden/>
    <w:qFormat/>
    <w:uiPriority w:val="99"/>
    <w:rPr>
      <w:sz w:val="18"/>
    </w:rPr>
  </w:style>
  <w:style w:type="character" w:customStyle="1" w:styleId="191">
    <w:name w:val="Footer Char"/>
    <w:basedOn w:val="39"/>
    <w:semiHidden/>
    <w:qFormat/>
    <w:uiPriority w:val="99"/>
    <w:rPr>
      <w:rFonts w:ascii="Times New Roman" w:hAnsi="Times New Roman"/>
      <w:sz w:val="18"/>
      <w:szCs w:val="18"/>
    </w:rPr>
  </w:style>
  <w:style w:type="character" w:customStyle="1" w:styleId="192">
    <w:name w:val="页脚 Char"/>
    <w:link w:val="25"/>
    <w:qFormat/>
    <w:uiPriority w:val="99"/>
    <w:rPr>
      <w:sz w:val="18"/>
    </w:rPr>
  </w:style>
  <w:style w:type="character" w:customStyle="1" w:styleId="193">
    <w:name w:val="Body Text Char"/>
    <w:basedOn w:val="39"/>
    <w:semiHidden/>
    <w:qFormat/>
    <w:uiPriority w:val="99"/>
    <w:rPr>
      <w:rFonts w:ascii="Times New Roman" w:hAnsi="Times New Roman"/>
      <w:szCs w:val="24"/>
    </w:rPr>
  </w:style>
  <w:style w:type="character" w:customStyle="1" w:styleId="194">
    <w:name w:val="正文文本 Char"/>
    <w:link w:val="15"/>
    <w:qFormat/>
    <w:uiPriority w:val="99"/>
    <w:rPr>
      <w:rFonts w:ascii="仿宋_GB2312" w:hAnsi="Times New Roman" w:eastAsia="仿宋_GB2312"/>
      <w:sz w:val="24"/>
    </w:rPr>
  </w:style>
  <w:style w:type="paragraph" w:customStyle="1" w:styleId="195">
    <w:name w:val="Default"/>
    <w:qFormat/>
    <w:uiPriority w:val="99"/>
    <w:pPr>
      <w:widowControl w:val="0"/>
      <w:autoSpaceDE w:val="0"/>
      <w:autoSpaceDN w:val="0"/>
      <w:adjustRightInd w:val="0"/>
    </w:pPr>
    <w:rPr>
      <w:rFonts w:hint="default" w:ascii="仿宋" w:hAnsi="Calibri" w:eastAsia="仿宋" w:cs="仿宋"/>
      <w:color w:val="000000"/>
      <w:sz w:val="24"/>
      <w:szCs w:val="24"/>
      <w:lang w:val="en-US" w:eastAsia="zh-CN" w:bidi="ar-SA"/>
    </w:rPr>
  </w:style>
  <w:style w:type="paragraph" w:styleId="196">
    <w:name w:val="List Paragraph"/>
    <w:basedOn w:val="1"/>
    <w:qFormat/>
    <w:uiPriority w:val="34"/>
    <w:pPr>
      <w:ind w:firstLine="420" w:firstLineChars="200"/>
    </w:pPr>
  </w:style>
  <w:style w:type="character" w:customStyle="1" w:styleId="197">
    <w:name w:val="标题 1 Char"/>
    <w:basedOn w:val="39"/>
    <w:link w:val="4"/>
    <w:qFormat/>
    <w:uiPriority w:val="9"/>
    <w:rPr>
      <w:rFonts w:ascii="Times New Roman" w:hAnsi="Times New Roman"/>
      <w:b/>
      <w:bCs/>
      <w:kern w:val="44"/>
      <w:sz w:val="44"/>
      <w:szCs w:val="44"/>
    </w:rPr>
  </w:style>
  <w:style w:type="character" w:customStyle="1" w:styleId="198">
    <w:name w:val="标题 2 Char"/>
    <w:basedOn w:val="39"/>
    <w:link w:val="5"/>
    <w:qFormat/>
    <w:uiPriority w:val="9"/>
    <w:rPr>
      <w:rFonts w:asciiTheme="majorHAnsi" w:hAnsiTheme="majorHAnsi" w:eastAsiaTheme="majorEastAsia" w:cstheme="majorBidi"/>
      <w:b/>
      <w:bCs/>
      <w:kern w:val="2"/>
      <w:sz w:val="32"/>
      <w:szCs w:val="32"/>
    </w:rPr>
  </w:style>
  <w:style w:type="paragraph" w:customStyle="1" w:styleId="19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00">
    <w:name w:val="批注框文本 Char"/>
    <w:basedOn w:val="39"/>
    <w:link w:val="24"/>
    <w:semiHidden/>
    <w:qFormat/>
    <w:uiPriority w:val="99"/>
    <w:rPr>
      <w:rFonts w:ascii="Times New Roman" w:hAnsi="Times New Roman"/>
      <w:kern w:val="2"/>
      <w:sz w:val="18"/>
      <w:szCs w:val="18"/>
    </w:rPr>
  </w:style>
  <w:style w:type="character" w:customStyle="1" w:styleId="201">
    <w:name w:val="标题 3 Char"/>
    <w:basedOn w:val="39"/>
    <w:link w:val="6"/>
    <w:qFormat/>
    <w:uiPriority w:val="9"/>
    <w:rPr>
      <w:rFonts w:ascii="Times New Roman" w:hAnsi="Times New Roman"/>
      <w:b/>
      <w:bCs/>
      <w:kern w:val="2"/>
      <w:sz w:val="32"/>
      <w:szCs w:val="32"/>
    </w:rPr>
  </w:style>
  <w:style w:type="paragraph" w:customStyle="1" w:styleId="20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20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04">
    <w:name w:val="BodyText1I2"/>
    <w:basedOn w:val="205"/>
    <w:next w:val="1"/>
    <w:qFormat/>
    <w:uiPriority w:val="0"/>
    <w:pPr>
      <w:ind w:firstLine="200" w:firstLineChars="200"/>
    </w:pPr>
  </w:style>
  <w:style w:type="paragraph" w:customStyle="1" w:styleId="205">
    <w:name w:val="BodyTextIndent"/>
    <w:basedOn w:val="1"/>
    <w:next w:val="204"/>
    <w:qFormat/>
    <w:uiPriority w:val="0"/>
    <w:pPr>
      <w:spacing w:after="120"/>
      <w:ind w:left="200" w:leftChars="200"/>
    </w:pPr>
  </w:style>
</w:styles>
</file>

<file path=word/_rels/document.xml.rels><?xml version="1.0" encoding="UTF-8" standalone="yes"?>
<Relationships xmlns="http://schemas.openxmlformats.org/package/2006/relationships"><Relationship Id="rId9" Type="http://schemas.openxmlformats.org/officeDocument/2006/relationships/package" Target="embeddings/Workbook1.xlsx"/><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package" Target="embeddings/Workbook6.xlsx"/><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package" Target="embeddings/Workbook5.xlsx"/><Relationship Id="rId17" Type="http://schemas.openxmlformats.org/officeDocument/2006/relationships/image" Target="media/image4.emf"/><Relationship Id="rId16" Type="http://schemas.openxmlformats.org/officeDocument/2006/relationships/package" Target="embeddings/Workbook4.xlsx"/><Relationship Id="rId15" Type="http://schemas.openxmlformats.org/officeDocument/2006/relationships/image" Target="media/image3.emf"/><Relationship Id="rId14" Type="http://schemas.openxmlformats.org/officeDocument/2006/relationships/package" Target="embeddings/Workbook3.xlsx"/><Relationship Id="rId13" Type="http://schemas.openxmlformats.org/officeDocument/2006/relationships/chart" Target="charts/chart1.xml"/><Relationship Id="rId12" Type="http://schemas.openxmlformats.org/officeDocument/2006/relationships/image" Target="media/image2.emf"/><Relationship Id="rId11" Type="http://schemas.openxmlformats.org/officeDocument/2006/relationships/package" Target="embeddings/Workbook2.xlsx"/><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2025年支出明细</c:v>
                </c:pt>
              </c:strCache>
            </c:strRef>
          </c:tx>
          <c:spPr/>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3257.28</c:v>
                </c:pt>
                <c:pt idx="1">
                  <c:v>2253.85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bc6ae3-b0dd-43ab-bfb3-94a05a5300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60</Pages>
  <Words>9933</Words>
  <Characters>12211</Characters>
  <TotalTime>0</TotalTime>
  <ScaleCrop>false</ScaleCrop>
  <LinksUpToDate>false</LinksUpToDate>
  <CharactersWithSpaces>12316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一个笨蛋</cp:lastModifiedBy>
  <dcterms:modified xsi:type="dcterms:W3CDTF">2026-10-21T01:40:02Z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73E3B82B005B2B04A994A86ACED2BB70</vt:lpwstr>
  </property>
  <property fmtid="{D5CDD505-2E9C-101B-9397-08002B2CF9AE}" pid="4" name="KSOTemplateDocerSaveRecord">
    <vt:lpwstr>eyJoZGlkIjoiYjllZGNkZWEzYjg0NDNmNTQ5MjkzNjk0ODlhNmVkYzAiLCJ1c2VySWQiOiI0MTAxMDQ4MDkifQ==</vt:lpwstr>
  </property>
</Properties>
</file>