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autoSpaceDE w:val="0"/>
        <w:spacing w:before="93" w:beforeLines="0" w:line="540" w:lineRule="exact"/>
        <w:jc w:val="center"/>
        <w:rPr>
          <w:rFonts w:ascii="Times New Roman" w:hAnsi="Times New Roman" w:eastAsia="方正小标宋简体"/>
          <w:kern w:val="2"/>
          <w:sz w:val="44"/>
          <w:szCs w:val="44"/>
        </w:rPr>
      </w:pPr>
    </w:p>
    <w:p>
      <w:pPr>
        <w:pStyle w:val="8"/>
        <w:autoSpaceDE w:val="0"/>
        <w:spacing w:before="93" w:beforeLines="0" w:line="540" w:lineRule="exact"/>
        <w:jc w:val="center"/>
        <w:rPr>
          <w:rFonts w:hint="eastAsia" w:ascii="Times New Roman" w:hAnsi="Times New Roman" w:eastAsia="方正小标宋简体"/>
          <w:kern w:val="2"/>
          <w:sz w:val="44"/>
          <w:szCs w:val="44"/>
        </w:rPr>
      </w:pPr>
      <w:r>
        <w:rPr>
          <w:rFonts w:hint="eastAsia" w:ascii="Times New Roman" w:hAnsi="Times New Roman" w:eastAsia="方正小标宋简体"/>
          <w:kern w:val="2"/>
          <w:sz w:val="44"/>
          <w:szCs w:val="44"/>
        </w:rPr>
        <w:t xml:space="preserve"> </w:t>
      </w:r>
    </w:p>
    <w:p>
      <w:pPr>
        <w:pStyle w:val="8"/>
        <w:autoSpaceDE w:val="0"/>
        <w:spacing w:before="93" w:beforeLines="0" w:line="540" w:lineRule="exact"/>
        <w:jc w:val="center"/>
        <w:rPr>
          <w:rFonts w:hint="eastAsia" w:ascii="Times New Roman" w:hAnsi="Times New Roman" w:eastAsia="方正小标宋简体"/>
          <w:kern w:val="2"/>
          <w:sz w:val="44"/>
          <w:szCs w:val="44"/>
        </w:rPr>
      </w:pPr>
      <w:r>
        <w:rPr>
          <w:rFonts w:hint="eastAsia" w:ascii="Times New Roman" w:hAnsi="Times New Roman" w:eastAsia="方正小标宋简体"/>
          <w:kern w:val="2"/>
          <w:sz w:val="44"/>
          <w:szCs w:val="44"/>
        </w:rPr>
        <w:t xml:space="preserve"> </w:t>
      </w:r>
    </w:p>
    <w:p>
      <w:pPr>
        <w:pStyle w:val="8"/>
        <w:autoSpaceDE w:val="0"/>
        <w:spacing w:before="93" w:beforeLines="0" w:line="540" w:lineRule="exact"/>
        <w:jc w:val="center"/>
        <w:rPr>
          <w:rFonts w:hint="eastAsia" w:ascii="Times New Roman" w:hAnsi="Times New Roman" w:eastAsia="方正小标宋简体"/>
          <w:kern w:val="2"/>
          <w:sz w:val="44"/>
          <w:szCs w:val="44"/>
        </w:rPr>
      </w:pPr>
      <w:r>
        <w:rPr>
          <w:rFonts w:hint="eastAsia" w:ascii="Times New Roman" w:hAnsi="Times New Roman" w:eastAsia="方正小标宋简体"/>
          <w:kern w:val="2"/>
          <w:sz w:val="44"/>
          <w:szCs w:val="44"/>
        </w:rPr>
        <w:t xml:space="preserve"> </w:t>
      </w:r>
    </w:p>
    <w:p>
      <w:pPr>
        <w:pStyle w:val="8"/>
        <w:autoSpaceDE w:val="0"/>
        <w:spacing w:before="93" w:beforeLines="0" w:line="540" w:lineRule="exact"/>
        <w:jc w:val="center"/>
        <w:rPr>
          <w:rFonts w:hint="eastAsia" w:ascii="Times New Roman" w:hAnsi="Times New Roman" w:eastAsia="方正小标宋简体"/>
          <w:kern w:val="2"/>
          <w:sz w:val="44"/>
          <w:szCs w:val="44"/>
        </w:rPr>
      </w:pPr>
      <w:r>
        <w:rPr>
          <w:rFonts w:hint="eastAsia" w:ascii="Times New Roman" w:hAnsi="Times New Roman" w:eastAsia="方正小标宋简体"/>
          <w:kern w:val="2"/>
          <w:sz w:val="44"/>
          <w:szCs w:val="44"/>
        </w:rPr>
        <w:t xml:space="preserve"> </w:t>
      </w:r>
    </w:p>
    <w:p>
      <w:pPr>
        <w:pStyle w:val="8"/>
        <w:autoSpaceDE w:val="0"/>
        <w:spacing w:before="93" w:beforeLines="0" w:line="540" w:lineRule="exact"/>
        <w:jc w:val="center"/>
        <w:rPr>
          <w:rFonts w:hint="eastAsia" w:ascii="Times New Roman" w:hAnsi="Times New Roman" w:eastAsia="方正小标宋简体"/>
          <w:kern w:val="2"/>
          <w:sz w:val="44"/>
          <w:szCs w:val="44"/>
        </w:rPr>
      </w:pPr>
      <w:r>
        <w:rPr>
          <w:rFonts w:hint="eastAsia" w:ascii="Times New Roman" w:hAnsi="Times New Roman" w:eastAsia="方正小标宋简体"/>
          <w:kern w:val="2"/>
          <w:sz w:val="44"/>
          <w:szCs w:val="44"/>
        </w:rPr>
        <w:t xml:space="preserve"> </w:t>
      </w:r>
    </w:p>
    <w:p>
      <w:pPr>
        <w:pStyle w:val="8"/>
        <w:autoSpaceDE w:val="0"/>
        <w:spacing w:before="93" w:beforeLines="0" w:line="540" w:lineRule="exact"/>
        <w:jc w:val="center"/>
        <w:rPr>
          <w:rFonts w:hint="eastAsia" w:ascii="Times New Roman" w:hAnsi="Times New Roman" w:eastAsia="方正小标宋简体"/>
          <w:kern w:val="2"/>
          <w:sz w:val="44"/>
          <w:szCs w:val="44"/>
        </w:rPr>
      </w:pPr>
      <w:r>
        <w:rPr>
          <w:rFonts w:hint="eastAsia" w:ascii="Times New Roman" w:hAnsi="Times New Roman" w:eastAsia="方正小标宋简体"/>
          <w:kern w:val="2"/>
          <w:sz w:val="44"/>
          <w:szCs w:val="44"/>
        </w:rPr>
        <w:t>2024</w:t>
      </w:r>
      <w:r>
        <w:rPr>
          <w:rFonts w:hint="eastAsia" w:ascii="方正小标宋简体" w:eastAsia="方正小标宋简体"/>
          <w:kern w:val="2"/>
          <w:sz w:val="44"/>
          <w:szCs w:val="44"/>
        </w:rPr>
        <w:t>年度四川省阿坝州人民政府信息公开和电子政务服务中心部门决算</w:t>
      </w:r>
    </w:p>
    <w:p>
      <w:pPr>
        <w:widowControl/>
        <w:autoSpaceDE w:val="0"/>
        <w:spacing w:line="540" w:lineRule="exact"/>
        <w:jc w:val="center"/>
        <w:rPr>
          <w:rFonts w:hint="eastAsia" w:eastAsia="方正小标宋简体"/>
          <w:sz w:val="36"/>
          <w:szCs w:val="36"/>
        </w:rPr>
      </w:pPr>
      <w:r>
        <w:rPr>
          <w:rFonts w:eastAsia="方正小标宋简体"/>
          <w:sz w:val="36"/>
          <w:szCs w:val="36"/>
        </w:rPr>
        <w:t xml:space="preserve"> </w:t>
      </w:r>
    </w:p>
    <w:p>
      <w:pPr>
        <w:widowControl/>
        <w:autoSpaceDE w:val="0"/>
        <w:spacing w:line="540" w:lineRule="exact"/>
        <w:jc w:val="center"/>
        <w:rPr>
          <w:rFonts w:eastAsia="方正小标宋简体"/>
          <w:sz w:val="36"/>
          <w:szCs w:val="36"/>
        </w:rPr>
      </w:pPr>
      <w:r>
        <w:rPr>
          <w:rFonts w:eastAsia="方正小标宋简体"/>
          <w:sz w:val="36"/>
          <w:szCs w:val="36"/>
        </w:rPr>
        <w:t xml:space="preserve"> </w:t>
      </w:r>
    </w:p>
    <w:p>
      <w:pPr>
        <w:widowControl/>
        <w:autoSpaceDE w:val="0"/>
        <w:spacing w:line="540" w:lineRule="exact"/>
        <w:jc w:val="center"/>
        <w:rPr>
          <w:rFonts w:eastAsia="方正小标宋简体"/>
          <w:sz w:val="36"/>
          <w:szCs w:val="36"/>
        </w:rPr>
      </w:pPr>
      <w:r>
        <w:rPr>
          <w:rFonts w:eastAsia="方正小标宋简体"/>
          <w:sz w:val="36"/>
          <w:szCs w:val="36"/>
        </w:rPr>
        <w:t xml:space="preserve"> </w:t>
      </w:r>
    </w:p>
    <w:p>
      <w:pPr>
        <w:widowControl/>
        <w:autoSpaceDE w:val="0"/>
        <w:spacing w:line="540" w:lineRule="exact"/>
        <w:jc w:val="center"/>
        <w:rPr>
          <w:rFonts w:eastAsia="方正小标宋简体"/>
          <w:sz w:val="36"/>
          <w:szCs w:val="36"/>
        </w:rPr>
      </w:pPr>
      <w:r>
        <w:rPr>
          <w:rFonts w:eastAsia="方正小标宋简体"/>
          <w:sz w:val="36"/>
          <w:szCs w:val="36"/>
        </w:rPr>
        <w:t xml:space="preserve"> </w:t>
      </w:r>
    </w:p>
    <w:p>
      <w:pPr>
        <w:widowControl/>
        <w:autoSpaceDE w:val="0"/>
        <w:spacing w:line="540" w:lineRule="exact"/>
        <w:jc w:val="center"/>
        <w:rPr>
          <w:rFonts w:eastAsia="方正小标宋简体"/>
          <w:sz w:val="36"/>
          <w:szCs w:val="36"/>
        </w:rPr>
      </w:pPr>
      <w:r>
        <w:rPr>
          <w:rFonts w:eastAsia="方正小标宋简体"/>
          <w:sz w:val="36"/>
          <w:szCs w:val="36"/>
        </w:rPr>
        <w:t xml:space="preserve"> </w:t>
      </w:r>
    </w:p>
    <w:p>
      <w:pPr>
        <w:widowControl/>
        <w:autoSpaceDE w:val="0"/>
        <w:spacing w:line="540" w:lineRule="exact"/>
        <w:jc w:val="center"/>
        <w:rPr>
          <w:rFonts w:eastAsia="方正小标宋简体"/>
          <w:sz w:val="36"/>
          <w:szCs w:val="36"/>
        </w:rPr>
      </w:pPr>
      <w:r>
        <w:rPr>
          <w:rFonts w:eastAsia="方正小标宋简体"/>
          <w:sz w:val="36"/>
          <w:szCs w:val="36"/>
        </w:rPr>
        <w:t xml:space="preserve"> </w:t>
      </w:r>
    </w:p>
    <w:p>
      <w:pPr>
        <w:widowControl/>
        <w:autoSpaceDE w:val="0"/>
        <w:spacing w:line="540" w:lineRule="exact"/>
        <w:jc w:val="center"/>
        <w:rPr>
          <w:rFonts w:eastAsia="方正小标宋简体"/>
          <w:sz w:val="36"/>
          <w:szCs w:val="36"/>
        </w:rPr>
      </w:pPr>
      <w:r>
        <w:rPr>
          <w:rFonts w:eastAsia="方正小标宋简体"/>
          <w:sz w:val="36"/>
          <w:szCs w:val="36"/>
        </w:rPr>
        <w:t xml:space="preserve"> </w:t>
      </w:r>
    </w:p>
    <w:p>
      <w:pPr>
        <w:widowControl/>
        <w:autoSpaceDE w:val="0"/>
        <w:spacing w:line="540" w:lineRule="exact"/>
        <w:jc w:val="center"/>
        <w:rPr>
          <w:rFonts w:eastAsia="方正小标宋简体"/>
          <w:sz w:val="36"/>
          <w:szCs w:val="36"/>
        </w:rPr>
      </w:pPr>
      <w:r>
        <w:rPr>
          <w:rFonts w:eastAsia="方正小标宋简体"/>
          <w:sz w:val="36"/>
          <w:szCs w:val="36"/>
        </w:rPr>
        <w:t xml:space="preserve"> </w:t>
      </w:r>
    </w:p>
    <w:p>
      <w:pPr>
        <w:widowControl/>
        <w:autoSpaceDE w:val="0"/>
        <w:spacing w:line="540" w:lineRule="exact"/>
        <w:jc w:val="center"/>
        <w:rPr>
          <w:rFonts w:eastAsia="方正小标宋简体"/>
          <w:sz w:val="36"/>
          <w:szCs w:val="36"/>
        </w:rPr>
      </w:pPr>
      <w:r>
        <w:rPr>
          <w:rFonts w:eastAsia="方正小标宋简体"/>
          <w:sz w:val="36"/>
          <w:szCs w:val="36"/>
        </w:rPr>
        <w:t xml:space="preserve"> </w:t>
      </w:r>
    </w:p>
    <w:p>
      <w:pPr>
        <w:widowControl/>
        <w:autoSpaceDE w:val="0"/>
        <w:spacing w:line="540" w:lineRule="exact"/>
        <w:jc w:val="center"/>
        <w:rPr>
          <w:rFonts w:eastAsia="方正小标宋简体"/>
          <w:sz w:val="36"/>
          <w:szCs w:val="36"/>
        </w:rPr>
      </w:pPr>
      <w:r>
        <w:rPr>
          <w:rFonts w:eastAsia="方正小标宋简体"/>
          <w:sz w:val="36"/>
          <w:szCs w:val="36"/>
        </w:rPr>
        <w:t xml:space="preserve"> </w:t>
      </w:r>
    </w:p>
    <w:p>
      <w:pPr>
        <w:widowControl/>
        <w:autoSpaceDE w:val="0"/>
        <w:spacing w:line="540" w:lineRule="exact"/>
        <w:ind w:firstLine="720" w:firstLineChars="200"/>
        <w:jc w:val="center"/>
        <w:rPr>
          <w:rFonts w:eastAsia="黑体"/>
          <w:sz w:val="48"/>
          <w:szCs w:val="48"/>
        </w:rPr>
      </w:pPr>
      <w:r>
        <w:rPr>
          <w:rFonts w:hint="eastAsia" w:ascii="方正小标宋简体" w:eastAsia="方正小标宋简体"/>
          <w:sz w:val="36"/>
          <w:szCs w:val="36"/>
        </w:rPr>
        <w:t>已经保密审查，内容审定，同意对外公开。</w:t>
      </w:r>
      <w:r>
        <w:rPr>
          <w:rFonts w:eastAsia="方正小标宋简体"/>
          <w:sz w:val="36"/>
          <w:szCs w:val="36"/>
        </w:rPr>
        <w:br w:type="page"/>
      </w:r>
      <w:r>
        <w:rPr>
          <w:rFonts w:hint="eastAsia" w:ascii="黑体" w:eastAsia="黑体"/>
          <w:sz w:val="48"/>
          <w:szCs w:val="48"/>
        </w:rPr>
        <w:t>目录</w:t>
      </w:r>
    </w:p>
    <w:p>
      <w:pPr>
        <w:widowControl/>
        <w:autoSpaceDE w:val="0"/>
        <w:spacing w:line="540" w:lineRule="exact"/>
        <w:jc w:val="center"/>
        <w:rPr>
          <w:rFonts w:eastAsia="黑体" w:cs="Arial"/>
          <w:sz w:val="28"/>
          <w:szCs w:val="28"/>
        </w:rPr>
      </w:pPr>
      <w:r>
        <w:rPr>
          <w:rFonts w:eastAsia="黑体" w:cs="Arial"/>
          <w:sz w:val="28"/>
          <w:szCs w:val="28"/>
        </w:rPr>
        <w:t xml:space="preserve"> </w:t>
      </w:r>
    </w:p>
    <w:p>
      <w:pPr>
        <w:pStyle w:val="11"/>
        <w:autoSpaceDE w:val="0"/>
        <w:spacing w:line="540" w:lineRule="exact"/>
        <w:rPr>
          <w:rFonts w:ascii="Times New Roman" w:hAnsi="Times New Roman"/>
          <w:sz w:val="32"/>
          <w:szCs w:val="32"/>
        </w:rPr>
      </w:pPr>
      <w:r>
        <w:rPr>
          <w:rFonts w:ascii="仿宋_GB2312" w:hAnsi="仿宋_GB2312"/>
          <w:sz w:val="32"/>
          <w:szCs w:val="32"/>
        </w:rPr>
        <w:t>公开时间：</w:t>
      </w:r>
      <w:r>
        <w:rPr>
          <w:rFonts w:ascii="Times New Roman" w:hAnsi="Times New Roman"/>
          <w:sz w:val="32"/>
          <w:szCs w:val="32"/>
        </w:rPr>
        <w:t>2024</w:t>
      </w:r>
      <w:r>
        <w:rPr>
          <w:rFonts w:ascii="仿宋_GB2312" w:hAnsi="仿宋_GB2312"/>
          <w:sz w:val="32"/>
          <w:szCs w:val="32"/>
        </w:rPr>
        <w:t>年</w:t>
      </w:r>
      <w:r>
        <w:rPr>
          <w:rFonts w:ascii="Times New Roman" w:hAnsi="Times New Roman"/>
          <w:sz w:val="32"/>
          <w:szCs w:val="32"/>
        </w:rPr>
        <w:t>9</w:t>
      </w:r>
      <w:r>
        <w:rPr>
          <w:rFonts w:ascii="仿宋_GB2312" w:hAnsi="仿宋_GB2312"/>
          <w:sz w:val="32"/>
          <w:szCs w:val="32"/>
        </w:rPr>
        <w:t>月</w:t>
      </w:r>
      <w:r>
        <w:rPr>
          <w:rFonts w:ascii="Times New Roman" w:hAnsi="Times New Roman"/>
          <w:sz w:val="32"/>
          <w:szCs w:val="32"/>
        </w:rPr>
        <w:t>19</w:t>
      </w:r>
      <w:r>
        <w:rPr>
          <w:rFonts w:ascii="仿宋_GB2312" w:hAnsi="仿宋_GB2312"/>
          <w:sz w:val="32"/>
          <w:szCs w:val="32"/>
        </w:rPr>
        <w:t>日</w:t>
      </w:r>
    </w:p>
    <w:p>
      <w:pPr>
        <w:autoSpaceDE w:val="0"/>
        <w:spacing w:line="540" w:lineRule="exact"/>
      </w:pPr>
      <w:r>
        <w:t xml:space="preserve"> </w:t>
      </w:r>
    </w:p>
    <w:p>
      <w:pPr>
        <w:pStyle w:val="11"/>
        <w:autoSpaceDE w:val="0"/>
        <w:adjustRightInd w:val="0"/>
        <w:snapToGrid w:val="0"/>
        <w:spacing w:before="0" w:line="400" w:lineRule="exact"/>
        <w:jc w:val="distribute"/>
        <w:rPr>
          <w:rFonts w:ascii="Times New Roman" w:hAnsi="Times New Roman" w:eastAsia="黑体" w:cs="黑体"/>
          <w:sz w:val="32"/>
          <w:szCs w:val="32"/>
        </w:rPr>
      </w:pPr>
      <w:r>
        <w:rPr>
          <w:rFonts w:hint="eastAsia" w:ascii="黑体" w:eastAsia="黑体"/>
          <w:sz w:val="32"/>
          <w:szCs w:val="32"/>
        </w:rPr>
        <w:t>第一部分</w:t>
      </w:r>
      <w:r>
        <w:rPr>
          <w:rFonts w:hint="eastAsia" w:ascii="Times New Roman" w:hAnsi="Times New Roman" w:eastAsia="黑体"/>
          <w:sz w:val="32"/>
          <w:szCs w:val="32"/>
        </w:rPr>
        <w:t xml:space="preserve"> </w:t>
      </w:r>
      <w:r>
        <w:rPr>
          <w:rFonts w:hint="eastAsia" w:ascii="黑体" w:eastAsia="黑体"/>
          <w:sz w:val="32"/>
          <w:szCs w:val="32"/>
        </w:rPr>
        <w:t>部门概况………………………………………………</w:t>
      </w:r>
      <w:r>
        <w:rPr>
          <w:rFonts w:hint="eastAsia" w:ascii="Times New Roman" w:hAnsi="Times New Roman" w:eastAsia="黑体"/>
          <w:sz w:val="32"/>
          <w:szCs w:val="32"/>
        </w:rPr>
        <w:t>1</w:t>
      </w:r>
    </w:p>
    <w:p>
      <w:pPr>
        <w:pStyle w:val="12"/>
        <w:autoSpaceDE w:val="0"/>
        <w:adjustRightInd w:val="0"/>
        <w:snapToGrid w:val="0"/>
        <w:spacing w:beforeAutospacing="0" w:line="400" w:lineRule="exact"/>
        <w:ind w:left="0" w:leftChars="0" w:firstLine="640" w:firstLineChars="200"/>
        <w:jc w:val="distribute"/>
        <w:rPr>
          <w:rFonts w:hint="eastAsia" w:ascii="仿宋_GB2312" w:eastAsia="仿宋_GB2312" w:cs="仿宋_GB2312"/>
          <w:sz w:val="32"/>
          <w:szCs w:val="32"/>
        </w:rPr>
      </w:pPr>
      <w:r>
        <w:rPr>
          <w:rFonts w:hint="eastAsia" w:ascii="仿宋_GB2312" w:eastAsia="仿宋_GB2312"/>
          <w:sz w:val="32"/>
          <w:szCs w:val="32"/>
        </w:rPr>
        <w:t>一、部门职责…………………………………………………1</w:t>
      </w:r>
    </w:p>
    <w:p>
      <w:pPr>
        <w:pStyle w:val="12"/>
        <w:autoSpaceDE w:val="0"/>
        <w:adjustRightInd w:val="0"/>
        <w:snapToGrid w:val="0"/>
        <w:spacing w:beforeAutospacing="0" w:line="400" w:lineRule="exact"/>
        <w:ind w:left="0" w:leftChars="0" w:firstLine="640" w:firstLineChars="200"/>
        <w:jc w:val="distribute"/>
        <w:rPr>
          <w:rFonts w:hint="eastAsia" w:ascii="仿宋_GB2312" w:eastAsia="仿宋_GB2312" w:cs="仿宋_GB2312"/>
          <w:sz w:val="32"/>
          <w:szCs w:val="32"/>
        </w:rPr>
      </w:pPr>
      <w:r>
        <w:rPr>
          <w:rFonts w:hint="eastAsia" w:ascii="仿宋_GB2312" w:eastAsia="仿宋_GB2312"/>
          <w:sz w:val="32"/>
          <w:szCs w:val="32"/>
        </w:rPr>
        <w:t>二、机构设置…………………………………………………1</w:t>
      </w:r>
    </w:p>
    <w:p>
      <w:pPr>
        <w:pStyle w:val="11"/>
        <w:autoSpaceDE w:val="0"/>
        <w:adjustRightInd w:val="0"/>
        <w:snapToGrid w:val="0"/>
        <w:spacing w:before="0" w:line="400" w:lineRule="exact"/>
        <w:jc w:val="distribute"/>
        <w:rPr>
          <w:rFonts w:ascii="Times New Roman" w:hAnsi="Times New Roman" w:eastAsia="黑体" w:cs="黑体"/>
          <w:sz w:val="32"/>
          <w:szCs w:val="32"/>
        </w:rPr>
      </w:pPr>
      <w:r>
        <w:rPr>
          <w:rFonts w:hint="eastAsia" w:ascii="黑体" w:eastAsia="黑体"/>
          <w:sz w:val="32"/>
          <w:szCs w:val="32"/>
        </w:rPr>
        <w:t>第二部分</w:t>
      </w:r>
      <w:r>
        <w:rPr>
          <w:rFonts w:hint="eastAsia" w:ascii="Times New Roman" w:hAnsi="Times New Roman" w:eastAsia="黑体"/>
          <w:sz w:val="32"/>
          <w:szCs w:val="32"/>
        </w:rPr>
        <w:t xml:space="preserve"> 2024</w:t>
      </w:r>
      <w:r>
        <w:rPr>
          <w:rFonts w:hint="eastAsia" w:ascii="黑体" w:eastAsia="黑体"/>
          <w:sz w:val="32"/>
          <w:szCs w:val="32"/>
        </w:rPr>
        <w:t>年度部门决算情况说明…………………………</w:t>
      </w:r>
      <w:r>
        <w:rPr>
          <w:rFonts w:hint="eastAsia" w:ascii="Times New Roman" w:hAnsi="Times New Roman" w:eastAsia="黑体"/>
          <w:sz w:val="32"/>
          <w:szCs w:val="32"/>
        </w:rPr>
        <w:t>1</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一、收入支出决算总体情况说明……………………………1</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二、收入决算情况说明………………………………………2</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三、支出决算情况说明………………………………………2</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四、财政拨款收入支出决算总体情况说明…………………3</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五、一般公共预算财政拨款支出决算情况说明……………3</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六、一般公共预算财政拨款基本支出决算情况说明………5</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七、财政拨款“三公”经费支出决算情况说明……………6</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八、政府性基金预算支出决算情况说明……………………7</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九、国有资本经营预算支出决算情况说明…………………8</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十、其他重要事项的情况说明………………………………8</w:t>
      </w:r>
    </w:p>
    <w:p>
      <w:pPr>
        <w:pStyle w:val="11"/>
        <w:autoSpaceDE w:val="0"/>
        <w:adjustRightInd w:val="0"/>
        <w:snapToGrid w:val="0"/>
        <w:spacing w:before="0" w:line="400" w:lineRule="exact"/>
        <w:jc w:val="distribute"/>
        <w:rPr>
          <w:rFonts w:ascii="Times New Roman" w:hAnsi="Times New Roman" w:eastAsia="黑体" w:cs="黑体"/>
          <w:sz w:val="32"/>
          <w:szCs w:val="32"/>
        </w:rPr>
      </w:pPr>
      <w:r>
        <w:rPr>
          <w:rFonts w:hint="eastAsia" w:ascii="黑体" w:eastAsia="黑体"/>
          <w:sz w:val="32"/>
          <w:szCs w:val="32"/>
        </w:rPr>
        <w:t>第三部分</w:t>
      </w:r>
      <w:r>
        <w:rPr>
          <w:rFonts w:hint="eastAsia" w:ascii="Times New Roman" w:hAnsi="Times New Roman" w:eastAsia="黑体"/>
          <w:sz w:val="32"/>
          <w:szCs w:val="32"/>
        </w:rPr>
        <w:t xml:space="preserve"> </w:t>
      </w:r>
      <w:r>
        <w:rPr>
          <w:rFonts w:hint="eastAsia" w:ascii="黑体" w:eastAsia="黑体"/>
          <w:sz w:val="32"/>
          <w:szCs w:val="32"/>
        </w:rPr>
        <w:t>名词解释………………………………………………</w:t>
      </w:r>
      <w:r>
        <w:rPr>
          <w:rFonts w:hint="eastAsia" w:ascii="Times New Roman" w:hAnsi="Times New Roman" w:eastAsia="黑体"/>
          <w:sz w:val="32"/>
          <w:szCs w:val="32"/>
        </w:rPr>
        <w:t>9</w:t>
      </w:r>
    </w:p>
    <w:p>
      <w:pPr>
        <w:pStyle w:val="11"/>
        <w:autoSpaceDE w:val="0"/>
        <w:adjustRightInd w:val="0"/>
        <w:snapToGrid w:val="0"/>
        <w:spacing w:before="0" w:line="400" w:lineRule="exact"/>
        <w:jc w:val="distribute"/>
        <w:rPr>
          <w:rFonts w:ascii="Times New Roman" w:hAnsi="Times New Roman" w:eastAsia="黑体" w:cs="黑体"/>
          <w:sz w:val="32"/>
          <w:szCs w:val="32"/>
        </w:rPr>
      </w:pPr>
      <w:r>
        <w:rPr>
          <w:rFonts w:hint="eastAsia" w:ascii="黑体" w:eastAsia="黑体"/>
          <w:sz w:val="32"/>
          <w:szCs w:val="32"/>
        </w:rPr>
        <w:t>第四部分</w:t>
      </w:r>
      <w:r>
        <w:rPr>
          <w:rFonts w:hint="eastAsia" w:ascii="Times New Roman" w:hAnsi="Times New Roman" w:eastAsia="黑体"/>
          <w:sz w:val="32"/>
          <w:szCs w:val="32"/>
        </w:rPr>
        <w:t xml:space="preserve"> </w:t>
      </w:r>
      <w:r>
        <w:rPr>
          <w:rFonts w:hint="eastAsia" w:ascii="黑体" w:eastAsia="黑体"/>
          <w:sz w:val="32"/>
          <w:szCs w:val="32"/>
        </w:rPr>
        <w:t>附件……………………………………………………</w:t>
      </w:r>
      <w:r>
        <w:rPr>
          <w:rFonts w:hint="eastAsia" w:ascii="Times New Roman" w:hAnsi="Times New Roman" w:eastAsia="黑体"/>
          <w:sz w:val="32"/>
          <w:szCs w:val="32"/>
        </w:rPr>
        <w:t>11</w:t>
      </w:r>
    </w:p>
    <w:p>
      <w:pPr>
        <w:pStyle w:val="11"/>
        <w:autoSpaceDE w:val="0"/>
        <w:adjustRightInd w:val="0"/>
        <w:snapToGrid w:val="0"/>
        <w:spacing w:before="0" w:line="400" w:lineRule="exact"/>
        <w:jc w:val="distribute"/>
        <w:rPr>
          <w:rFonts w:ascii="Times New Roman" w:hAnsi="Times New Roman" w:eastAsia="黑体" w:cs="黑体"/>
          <w:sz w:val="32"/>
          <w:szCs w:val="32"/>
        </w:rPr>
      </w:pPr>
      <w:r>
        <w:rPr>
          <w:rFonts w:hint="eastAsia" w:ascii="黑体" w:eastAsia="黑体"/>
          <w:sz w:val="32"/>
          <w:szCs w:val="32"/>
        </w:rPr>
        <w:t>第五部分</w:t>
      </w:r>
      <w:r>
        <w:rPr>
          <w:rFonts w:hint="eastAsia" w:ascii="Times New Roman" w:hAnsi="Times New Roman" w:eastAsia="黑体"/>
          <w:sz w:val="32"/>
          <w:szCs w:val="32"/>
        </w:rPr>
        <w:t xml:space="preserve"> </w:t>
      </w:r>
      <w:r>
        <w:rPr>
          <w:rFonts w:hint="eastAsia" w:ascii="黑体" w:eastAsia="黑体"/>
          <w:sz w:val="32"/>
          <w:szCs w:val="32"/>
        </w:rPr>
        <w:t>附表……………………………………………………</w:t>
      </w:r>
      <w:r>
        <w:rPr>
          <w:rFonts w:hint="eastAsia" w:ascii="Times New Roman" w:hAnsi="Times New Roman" w:eastAsia="黑体"/>
          <w:sz w:val="32"/>
          <w:szCs w:val="32"/>
        </w:rPr>
        <w:t>23</w:t>
      </w:r>
    </w:p>
    <w:p>
      <w:pPr>
        <w:pStyle w:val="12"/>
        <w:autoSpaceDE w:val="0"/>
        <w:adjustRightInd w:val="0"/>
        <w:snapToGrid w:val="0"/>
        <w:spacing w:beforeAutospacing="0" w:line="400" w:lineRule="exact"/>
        <w:ind w:left="0" w:leftChars="0" w:firstLine="640" w:firstLineChars="200"/>
        <w:jc w:val="distribute"/>
        <w:rPr>
          <w:rFonts w:ascii="仿宋_GB2312" w:eastAsia="仿宋_GB2312" w:cs="仿宋_GB2312"/>
          <w:sz w:val="32"/>
          <w:szCs w:val="32"/>
        </w:rPr>
      </w:pPr>
      <w:r>
        <w:rPr>
          <w:rFonts w:ascii="仿宋_GB2312" w:eastAsia="仿宋_GB2312"/>
          <w:sz w:val="32"/>
          <w:szCs w:val="32"/>
        </w:rPr>
        <w:t>一、收入支出决算总表………………………………………23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二、收入决算表………………………………………………23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三、支出决算表………………………………………………23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四、财政拨款收入支出决算总表……………………………23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五、财政拨款支出决算明细表………………………………23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六、一般公共预算财政拨款支出决算表……………………23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七、一般公共预算财政拨款支出决算明细表………………23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八、一般公共预算财政拨款基本支出决算明细表…………23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九、一般公共预算财政拨款项目支出决算表………………23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十、政府性基金预算财政拨款收入支出决算表……………23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十一、国有资本经营预算财政拨款收入支出决算表………23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十二、国有资本经营预算财政拨款支出决算表……………23</w:t>
      </w:r>
    </w:p>
    <w:p>
      <w:pPr>
        <w:pStyle w:val="12"/>
        <w:autoSpaceDE w:val="0"/>
        <w:adjustRightInd w:val="0"/>
        <w:snapToGrid w:val="0"/>
        <w:spacing w:beforeAutospacing="0" w:line="400" w:lineRule="exact"/>
        <w:ind w:left="0" w:leftChars="0" w:firstLine="640" w:firstLineChars="200"/>
        <w:jc w:val="distribute"/>
        <w:rPr>
          <w:rFonts w:ascii="仿宋_GB2312" w:eastAsia="仿宋_GB2312"/>
          <w:sz w:val="32"/>
          <w:szCs w:val="32"/>
        </w:rPr>
      </w:pPr>
      <w:r>
        <w:rPr>
          <w:rFonts w:ascii="仿宋_GB2312" w:eastAsia="仿宋_GB2312"/>
          <w:sz w:val="32"/>
          <w:szCs w:val="32"/>
        </w:rPr>
        <w:t>十三、财政拨款“三公”经费支出决算表…………………23</w:t>
      </w:r>
    </w:p>
    <w:p>
      <w:pPr>
        <w:pStyle w:val="12"/>
        <w:autoSpaceDE w:val="0"/>
        <w:adjustRightInd w:val="0"/>
        <w:snapToGrid w:val="0"/>
        <w:spacing w:beforeAutospacing="0" w:line="400" w:lineRule="exact"/>
        <w:ind w:left="0" w:leftChars="0" w:firstLine="640" w:firstLineChars="200"/>
        <w:jc w:val="left"/>
        <w:rPr>
          <w:rFonts w:ascii="仿宋_GB2312" w:eastAsia="仿宋_GB2312"/>
          <w:sz w:val="32"/>
          <w:szCs w:val="32"/>
        </w:rPr>
      </w:pPr>
    </w:p>
    <w:p/>
    <w:p>
      <w:pPr>
        <w:pStyle w:val="2"/>
      </w:pPr>
    </w:p>
    <w:p>
      <w:pPr>
        <w:pStyle w:val="3"/>
      </w:pPr>
    </w:p>
    <w:p>
      <w:pPr>
        <w:pStyle w:val="3"/>
      </w:pPr>
    </w:p>
    <w:p>
      <w:pPr>
        <w:pStyle w:val="3"/>
        <w:ind w:left="0" w:leftChars="0" w:firstLine="0" w:firstLineChars="0"/>
        <w:sectPr>
          <w:footerReference r:id="rId4" w:type="first"/>
          <w:footerReference r:id="rId3" w:type="even"/>
          <w:pgSz w:w="11906" w:h="16838"/>
          <w:pgMar w:top="2098" w:right="1474" w:bottom="1984" w:left="1587" w:header="851" w:footer="1417" w:gutter="0"/>
          <w:pgNumType w:fmt="numberInDash"/>
          <w:cols w:space="425" w:num="1"/>
          <w:titlePg/>
          <w:docGrid w:type="lines" w:linePitch="312" w:charSpace="0"/>
        </w:sectPr>
      </w:pPr>
    </w:p>
    <w:p>
      <w:pPr>
        <w:pStyle w:val="5"/>
        <w:autoSpaceDE w:val="0"/>
        <w:spacing w:line="540" w:lineRule="exact"/>
        <w:jc w:val="center"/>
        <w:rPr>
          <w:rFonts w:eastAsia="黑体"/>
          <w:b w:val="0"/>
          <w:bCs w:val="0"/>
          <w:sz w:val="32"/>
          <w:szCs w:val="32"/>
        </w:rPr>
      </w:pPr>
      <w:r>
        <w:rPr>
          <w:rFonts w:ascii="方正小标宋简体" w:eastAsia="方正小标宋简体"/>
          <w:b w:val="0"/>
          <w:bCs w:val="0"/>
        </w:rPr>
        <w:t>第一部分</w:t>
      </w:r>
      <w:r>
        <w:rPr>
          <w:rFonts w:eastAsia="方正小标宋简体"/>
          <w:b w:val="0"/>
          <w:bCs w:val="0"/>
        </w:rPr>
        <w:t xml:space="preserve">  </w:t>
      </w:r>
      <w:r>
        <w:rPr>
          <w:rStyle w:val="19"/>
          <w:rFonts w:ascii="方正小标宋简体" w:eastAsia="方正小标宋简体"/>
          <w:b w:val="0"/>
          <w:bCs w:val="0"/>
        </w:rPr>
        <w:t>部门概况</w:t>
      </w:r>
    </w:p>
    <w:p>
      <w:pPr>
        <w:pStyle w:val="6"/>
        <w:autoSpaceDE w:val="0"/>
        <w:spacing w:before="0" w:after="0" w:line="520" w:lineRule="exact"/>
        <w:ind w:firstLine="640" w:firstLineChars="200"/>
        <w:rPr>
          <w:rFonts w:ascii="Times New Roman" w:hAnsi="Times New Roman" w:eastAsia="黑体"/>
          <w:b w:val="0"/>
        </w:rPr>
      </w:pPr>
      <w:r>
        <w:rPr>
          <w:rFonts w:ascii="黑体" w:eastAsia="黑体"/>
          <w:b w:val="0"/>
        </w:rPr>
        <w:t>一、部门职责</w:t>
      </w:r>
    </w:p>
    <w:p>
      <w:pPr>
        <w:pStyle w:val="6"/>
        <w:autoSpaceDE w:val="0"/>
        <w:spacing w:before="0" w:after="0" w:line="520" w:lineRule="exact"/>
        <w:ind w:firstLine="640" w:firstLineChars="200"/>
        <w:rPr>
          <w:rFonts w:ascii="Times New Roman" w:hAnsi="Times New Roman" w:eastAsia="仿宋_GB2312"/>
          <w:b w:val="0"/>
          <w:bCs w:val="0"/>
        </w:rPr>
      </w:pPr>
      <w:r>
        <w:rPr>
          <w:rFonts w:ascii="仿宋_GB2312" w:eastAsia="仿宋_GB2312"/>
          <w:b w:val="0"/>
          <w:bCs w:val="0"/>
        </w:rPr>
        <w:t>阿坝州政府信息公开和电子政务服务中心为州政府办公室所属正科级公益一类事业单位。主要职责是：承担推进、指导、协调全州政府信息公开和政府系统电子政务工作等职责。</w:t>
      </w:r>
    </w:p>
    <w:p>
      <w:pPr>
        <w:pStyle w:val="6"/>
        <w:autoSpaceDE w:val="0"/>
        <w:spacing w:before="0" w:after="0" w:line="520" w:lineRule="exact"/>
        <w:ind w:firstLine="640" w:firstLineChars="200"/>
        <w:rPr>
          <w:rFonts w:ascii="Times New Roman" w:hAnsi="Times New Roman" w:eastAsia="黑体"/>
          <w:b w:val="0"/>
        </w:rPr>
      </w:pPr>
      <w:r>
        <w:rPr>
          <w:rFonts w:ascii="黑体" w:eastAsia="黑体"/>
          <w:b w:val="0"/>
        </w:rPr>
        <w:t>二、机构设置</w:t>
      </w:r>
    </w:p>
    <w:p>
      <w:pPr>
        <w:pStyle w:val="6"/>
        <w:autoSpaceDE w:val="0"/>
        <w:spacing w:before="0" w:after="0" w:line="520" w:lineRule="exact"/>
        <w:ind w:firstLine="640" w:firstLineChars="200"/>
        <w:rPr>
          <w:rFonts w:ascii="仿宋_GB2312" w:eastAsia="仿宋_GB2312"/>
          <w:b w:val="0"/>
          <w:bCs w:val="0"/>
        </w:rPr>
      </w:pPr>
      <w:r>
        <w:rPr>
          <w:rFonts w:ascii="仿宋_GB2312" w:eastAsia="仿宋_GB2312"/>
          <w:b w:val="0"/>
          <w:bCs w:val="0"/>
        </w:rPr>
        <w:t>本单位为州政府直属事业单位，本年度纳入本套决算编制范围的独立编制机构数共2个，独立核算机构数共1个，与上年一致。</w:t>
      </w:r>
    </w:p>
    <w:p>
      <w:pPr>
        <w:pStyle w:val="5"/>
        <w:autoSpaceDE w:val="0"/>
        <w:spacing w:line="540" w:lineRule="exact"/>
        <w:jc w:val="center"/>
        <w:rPr>
          <w:rFonts w:eastAsia="仿宋"/>
          <w:sz w:val="32"/>
          <w:szCs w:val="32"/>
        </w:rPr>
      </w:pPr>
      <w:r>
        <w:rPr>
          <w:rFonts w:ascii="方正小标宋简体" w:eastAsia="方正小标宋简体"/>
          <w:b w:val="0"/>
        </w:rPr>
        <w:t>第二部分</w:t>
      </w:r>
      <w:r>
        <w:rPr>
          <w:rFonts w:eastAsia="方正小标宋简体"/>
          <w:b w:val="0"/>
        </w:rPr>
        <w:t xml:space="preserve">  2024</w:t>
      </w:r>
      <w:r>
        <w:rPr>
          <w:rFonts w:ascii="方正小标宋简体" w:eastAsia="方正小标宋简体"/>
          <w:b w:val="0"/>
        </w:rPr>
        <w:t>年度部门决算情况说明</w:t>
      </w:r>
    </w:p>
    <w:p>
      <w:pPr>
        <w:pStyle w:val="16"/>
        <w:autoSpaceDE w:val="0"/>
        <w:spacing w:line="540" w:lineRule="exact"/>
        <w:outlineLvl w:val="1"/>
        <w:rPr>
          <w:rStyle w:val="20"/>
          <w:rFonts w:ascii="Times New Roman" w:hAnsi="Times New Roman" w:eastAsia="黑体"/>
          <w:b w:val="0"/>
        </w:rPr>
      </w:pPr>
      <w:r>
        <w:rPr>
          <w:rFonts w:ascii="黑体" w:eastAsia="黑体"/>
          <w:sz w:val="32"/>
          <w:szCs w:val="32"/>
        </w:rPr>
        <w:t>一、收</w:t>
      </w:r>
      <w:r>
        <w:rPr>
          <w:rStyle w:val="20"/>
          <w:rFonts w:ascii="黑体" w:eastAsia="黑体"/>
          <w:b w:val="0"/>
        </w:rPr>
        <w:t>入支出决算总体情况说明</w:t>
      </w:r>
    </w:p>
    <w:p>
      <w:pPr>
        <w:pStyle w:val="16"/>
        <w:autoSpaceDE w:val="0"/>
        <w:spacing w:line="540" w:lineRule="exact"/>
        <w:outlineLvl w:val="1"/>
        <w:rPr>
          <w:rFonts w:eastAsia="仿宋_GB2312"/>
        </w:rPr>
      </w:pPr>
      <w:r>
        <w:rPr>
          <w:rFonts w:eastAsia="仿宋_GB2312"/>
          <w:sz w:val="32"/>
          <w:szCs w:val="32"/>
        </w:rPr>
        <w:t>2024</w:t>
      </w:r>
      <w:r>
        <w:rPr>
          <w:rFonts w:ascii="仿宋_GB2312" w:eastAsia="仿宋_GB2312"/>
          <w:sz w:val="32"/>
          <w:szCs w:val="32"/>
        </w:rPr>
        <w:t>年度收入、支出总计均为</w:t>
      </w:r>
      <w:r>
        <w:rPr>
          <w:rFonts w:eastAsia="仿宋_GB2312"/>
          <w:sz w:val="32"/>
          <w:szCs w:val="32"/>
        </w:rPr>
        <w:t>1,722.54</w:t>
      </w:r>
      <w:r>
        <w:rPr>
          <w:rFonts w:ascii="仿宋_GB2312" w:eastAsia="仿宋_GB2312"/>
          <w:sz w:val="32"/>
          <w:szCs w:val="32"/>
        </w:rPr>
        <w:t>万元。与</w:t>
      </w:r>
      <w:r>
        <w:rPr>
          <w:rFonts w:eastAsia="仿宋_GB2312"/>
          <w:sz w:val="32"/>
          <w:szCs w:val="32"/>
        </w:rPr>
        <w:t>2023</w:t>
      </w:r>
      <w:r>
        <w:rPr>
          <w:rFonts w:ascii="仿宋_GB2312" w:eastAsia="仿宋_GB2312"/>
          <w:sz w:val="32"/>
          <w:szCs w:val="32"/>
        </w:rPr>
        <w:t>年度相比，收入、支出总计各减少</w:t>
      </w:r>
      <w:r>
        <w:rPr>
          <w:rFonts w:eastAsia="仿宋_GB2312"/>
          <w:sz w:val="32"/>
          <w:szCs w:val="32"/>
        </w:rPr>
        <w:t>985.6</w:t>
      </w:r>
      <w:r>
        <w:rPr>
          <w:rFonts w:ascii="仿宋_GB2312" w:eastAsia="仿宋_GB2312"/>
          <w:sz w:val="32"/>
          <w:szCs w:val="32"/>
        </w:rPr>
        <w:t>万元，下降</w:t>
      </w:r>
      <w:r>
        <w:rPr>
          <w:rFonts w:eastAsia="仿宋_GB2312"/>
          <w:sz w:val="32"/>
          <w:szCs w:val="32"/>
        </w:rPr>
        <w:t>36.39%</w:t>
      </w:r>
      <w:r>
        <w:rPr>
          <w:rFonts w:ascii="仿宋_GB2312" w:eastAsia="仿宋_GB2312"/>
          <w:sz w:val="32"/>
          <w:szCs w:val="32"/>
        </w:rPr>
        <w:t>。主要变动原因是因为</w:t>
      </w:r>
      <w:r>
        <w:rPr>
          <w:rFonts w:eastAsia="仿宋_GB2312"/>
          <w:sz w:val="32"/>
          <w:szCs w:val="32"/>
        </w:rPr>
        <w:t>2024</w:t>
      </w:r>
      <w:r>
        <w:rPr>
          <w:rFonts w:ascii="仿宋_GB2312" w:eastAsia="仿宋_GB2312"/>
          <w:sz w:val="32"/>
          <w:szCs w:val="32"/>
        </w:rPr>
        <w:t>年机构改革，原州大数据中心项目划转至州政府办，项目经费减少。</w:t>
      </w:r>
    </w:p>
    <w:p>
      <w:pPr>
        <w:autoSpaceDE w:val="0"/>
        <w:spacing w:line="540" w:lineRule="exact"/>
        <w:ind w:firstLine="640" w:firstLineChars="200"/>
        <w:rPr>
          <w:rFonts w:eastAsia="仿宋_GB2312"/>
          <w:sz w:val="32"/>
          <w:szCs w:val="32"/>
        </w:rPr>
      </w:pPr>
      <w:r>
        <w:rPr>
          <w:rFonts w:eastAsia="仿宋_GB2312"/>
          <w:sz w:val="32"/>
          <w:szCs w:val="32"/>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4991100" cy="2334895"/>
            <wp:effectExtent l="0" t="0" r="18" b="33"/>
            <wp:wrapSquare wrapText="bothSides"/>
            <wp:docPr id="1" name="图片 2" descr="C:\Users\ADMINI~1\AppData\Local\Temp\ksohtml14588\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ADMINI~1\AppData\Local\Temp\ksohtml14588\wps8.jpg"/>
                    <pic:cNvPicPr>
                      <a:picLocks noChangeAspect="1"/>
                    </pic:cNvPicPr>
                  </pic:nvPicPr>
                  <pic:blipFill>
                    <a:blip r:embed="rId8"/>
                    <a:stretch>
                      <a:fillRect/>
                    </a:stretch>
                  </pic:blipFill>
                  <pic:spPr>
                    <a:xfrm>
                      <a:off x="0" y="0"/>
                      <a:ext cx="4991006" cy="2334670"/>
                    </a:xfrm>
                    <a:prstGeom prst="rect">
                      <a:avLst/>
                    </a:prstGeom>
                    <a:noFill/>
                    <a:ln w="9525" cap="flat" cmpd="sng">
                      <a:noFill/>
                      <a:prstDash val="solid"/>
                      <a:miter/>
                    </a:ln>
                  </pic:spPr>
                </pic:pic>
              </a:graphicData>
            </a:graphic>
          </wp:anchor>
        </w:drawing>
      </w:r>
      <w:r>
        <w:rPr>
          <w:rFonts w:eastAsia="仿宋_GB2312"/>
          <w:sz w:val="32"/>
          <w:szCs w:val="32"/>
        </w:rPr>
        <w:t xml:space="preserve"> </w:t>
      </w:r>
    </w:p>
    <w:p>
      <w:pPr>
        <w:pStyle w:val="16"/>
        <w:autoSpaceDE w:val="0"/>
        <w:spacing w:line="540" w:lineRule="exact"/>
        <w:outlineLvl w:val="1"/>
        <w:rPr>
          <w:rFonts w:eastAsia="黑体"/>
          <w:sz w:val="32"/>
          <w:szCs w:val="32"/>
        </w:rPr>
      </w:pPr>
      <w:r>
        <w:rPr>
          <w:rFonts w:ascii="黑体" w:eastAsia="黑体"/>
          <w:sz w:val="32"/>
          <w:szCs w:val="32"/>
        </w:rPr>
        <w:t>二、收入决算情况说明</w:t>
      </w:r>
    </w:p>
    <w:p>
      <w:pPr>
        <w:pStyle w:val="16"/>
        <w:autoSpaceDE w:val="0"/>
        <w:spacing w:line="540" w:lineRule="exact"/>
        <w:jc w:val="left"/>
        <w:outlineLvl w:val="1"/>
        <w:rPr>
          <w:rFonts w:eastAsia="仿宋_GB2312"/>
          <w:b/>
          <w:bCs/>
          <w:sz w:val="32"/>
          <w:szCs w:val="32"/>
        </w:rPr>
      </w:pPr>
      <w:r>
        <w:rPr>
          <w:rFonts w:eastAsia="仿宋_GB2312"/>
          <w:b/>
          <w:bCs/>
          <w:sz w:val="32"/>
          <w:szCs w:val="32"/>
        </w:rPr>
        <w:drawing>
          <wp:anchor distT="0" distB="0" distL="114300" distR="114300" simplePos="0" relativeHeight="251659264" behindDoc="0" locked="0" layoutInCell="1" allowOverlap="0">
            <wp:simplePos x="0" y="0"/>
            <wp:positionH relativeFrom="column">
              <wp:posOffset>208915</wp:posOffset>
            </wp:positionH>
            <wp:positionV relativeFrom="line">
              <wp:posOffset>2113915</wp:posOffset>
            </wp:positionV>
            <wp:extent cx="4829175" cy="2209800"/>
            <wp:effectExtent l="0" t="0" r="22" b="34"/>
            <wp:wrapSquare wrapText="bothSides"/>
            <wp:docPr id="4" name="图片 3" descr="C:\Users\ADMINI~1\AppData\Local\Temp\ksohtml14588\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C:\Users\ADMINI~1\AppData\Local\Temp\ksohtml14588\wps9.jpg"/>
                    <pic:cNvPicPr>
                      <a:picLocks noChangeAspect="1"/>
                    </pic:cNvPicPr>
                  </pic:nvPicPr>
                  <pic:blipFill>
                    <a:blip r:embed="rId9"/>
                    <a:stretch>
                      <a:fillRect/>
                    </a:stretch>
                  </pic:blipFill>
                  <pic:spPr>
                    <a:xfrm>
                      <a:off x="0" y="0"/>
                      <a:ext cx="4829174" cy="2209800"/>
                    </a:xfrm>
                    <a:prstGeom prst="rect">
                      <a:avLst/>
                    </a:prstGeom>
                    <a:noFill/>
                    <a:ln w="9525" cap="flat" cmpd="sng">
                      <a:noFill/>
                      <a:prstDash val="solid"/>
                      <a:miter/>
                    </a:ln>
                  </pic:spPr>
                </pic:pic>
              </a:graphicData>
            </a:graphic>
          </wp:anchor>
        </w:drawing>
      </w:r>
      <w:r>
        <w:rPr>
          <w:rFonts w:eastAsia="仿宋_GB2312"/>
          <w:sz w:val="32"/>
          <w:szCs w:val="32"/>
        </w:rPr>
        <w:t>2024</w:t>
      </w:r>
      <w:r>
        <w:rPr>
          <w:rFonts w:ascii="仿宋_GB2312" w:eastAsia="仿宋_GB2312"/>
          <w:sz w:val="32"/>
          <w:szCs w:val="32"/>
        </w:rPr>
        <w:t>年度本年收入合计</w:t>
      </w:r>
      <w:r>
        <w:rPr>
          <w:rFonts w:eastAsia="仿宋_GB2312"/>
          <w:sz w:val="32"/>
          <w:szCs w:val="32"/>
        </w:rPr>
        <w:t>1,722.54</w:t>
      </w:r>
      <w:r>
        <w:rPr>
          <w:rFonts w:ascii="仿宋_GB2312" w:eastAsia="仿宋_GB2312"/>
          <w:sz w:val="32"/>
          <w:szCs w:val="32"/>
        </w:rPr>
        <w:t>万元，其中：一般公共预算财政拨款收入</w:t>
      </w:r>
      <w:r>
        <w:rPr>
          <w:rFonts w:eastAsia="仿宋_GB2312"/>
          <w:sz w:val="32"/>
          <w:szCs w:val="32"/>
        </w:rPr>
        <w:t>1,722.54</w:t>
      </w:r>
      <w:r>
        <w:rPr>
          <w:rFonts w:ascii="仿宋_GB2312" w:eastAsia="仿宋_GB2312"/>
          <w:sz w:val="32"/>
          <w:szCs w:val="32"/>
        </w:rPr>
        <w:t>万元，占</w:t>
      </w:r>
      <w:r>
        <w:rPr>
          <w:rFonts w:eastAsia="仿宋_GB2312"/>
          <w:sz w:val="32"/>
          <w:szCs w:val="32"/>
        </w:rPr>
        <w:t>100%</w:t>
      </w:r>
      <w:r>
        <w:rPr>
          <w:rFonts w:ascii="仿宋_GB2312" w:eastAsia="仿宋_GB2312"/>
          <w:sz w:val="32"/>
          <w:szCs w:val="32"/>
        </w:rPr>
        <w:t>；政府性基金预算财政拨款收入</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；国有资本经营预算财政拨款收入</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；上级补助收入</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；事业收入</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；经营收入</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；附属单位上缴收入</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；其他收入</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w:t>
      </w:r>
    </w:p>
    <w:p>
      <w:pPr>
        <w:autoSpaceDE w:val="0"/>
        <w:spacing w:line="540" w:lineRule="exact"/>
        <w:ind w:firstLine="800" w:firstLineChars="250"/>
        <w:rPr>
          <w:rFonts w:eastAsia="仿宋_GB2312"/>
          <w:sz w:val="32"/>
          <w:szCs w:val="32"/>
        </w:rPr>
      </w:pPr>
      <w:r>
        <w:rPr>
          <w:rFonts w:eastAsia="仿宋_GB2312"/>
          <w:sz w:val="32"/>
          <w:szCs w:val="32"/>
        </w:rPr>
        <w:t xml:space="preserve"> </w:t>
      </w:r>
    </w:p>
    <w:p>
      <w:pPr>
        <w:pStyle w:val="16"/>
        <w:autoSpaceDE w:val="0"/>
        <w:spacing w:line="540" w:lineRule="exact"/>
        <w:outlineLvl w:val="1"/>
        <w:rPr>
          <w:rStyle w:val="20"/>
          <w:rFonts w:ascii="Times New Roman" w:hAnsi="Times New Roman" w:eastAsia="黑体"/>
          <w:b w:val="0"/>
        </w:rPr>
      </w:pPr>
      <w:r>
        <w:rPr>
          <w:rFonts w:ascii="黑体" w:eastAsia="黑体"/>
          <w:sz w:val="32"/>
          <w:szCs w:val="32"/>
        </w:rPr>
        <w:t>三、支</w:t>
      </w:r>
      <w:r>
        <w:rPr>
          <w:rStyle w:val="20"/>
          <w:rFonts w:ascii="黑体" w:eastAsia="黑体"/>
          <w:b w:val="0"/>
        </w:rPr>
        <w:t>出决算情况说明</w:t>
      </w:r>
    </w:p>
    <w:p>
      <w:pPr>
        <w:pStyle w:val="16"/>
        <w:autoSpaceDE w:val="0"/>
        <w:spacing w:line="540" w:lineRule="exact"/>
        <w:jc w:val="left"/>
        <w:outlineLvl w:val="1"/>
        <w:rPr>
          <w:rFonts w:hint="eastAsia" w:eastAsia="仿宋_GB2312"/>
        </w:rPr>
      </w:pPr>
      <w:r>
        <w:rPr>
          <w:rFonts w:eastAsia="黑体"/>
          <w:bCs/>
          <w:sz w:val="32"/>
          <w:szCs w:val="32"/>
        </w:rPr>
        <w:drawing>
          <wp:anchor distT="0" distB="0" distL="114300" distR="114300" simplePos="0" relativeHeight="251659264" behindDoc="0" locked="0" layoutInCell="1" allowOverlap="0">
            <wp:simplePos x="0" y="0"/>
            <wp:positionH relativeFrom="column">
              <wp:posOffset>313690</wp:posOffset>
            </wp:positionH>
            <wp:positionV relativeFrom="line">
              <wp:posOffset>1561465</wp:posOffset>
            </wp:positionV>
            <wp:extent cx="4895850" cy="1917700"/>
            <wp:effectExtent l="0" t="0" r="17" b="45"/>
            <wp:wrapSquare wrapText="bothSides"/>
            <wp:docPr id="7" name="图片 4" descr="C:\Users\ADMINI~1\AppData\Local\Temp\ksohtml14588\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C:\Users\ADMINI~1\AppData\Local\Temp\ksohtml14588\wps10.jpg"/>
                    <pic:cNvPicPr>
                      <a:picLocks noChangeAspect="1"/>
                    </pic:cNvPicPr>
                  </pic:nvPicPr>
                  <pic:blipFill>
                    <a:blip r:embed="rId10"/>
                    <a:stretch>
                      <a:fillRect/>
                    </a:stretch>
                  </pic:blipFill>
                  <pic:spPr>
                    <a:xfrm>
                      <a:off x="0" y="0"/>
                      <a:ext cx="4895758" cy="1917592"/>
                    </a:xfrm>
                    <a:prstGeom prst="rect">
                      <a:avLst/>
                    </a:prstGeom>
                    <a:noFill/>
                    <a:ln w="9525" cap="flat" cmpd="sng">
                      <a:noFill/>
                      <a:prstDash val="solid"/>
                      <a:miter/>
                    </a:ln>
                  </pic:spPr>
                </pic:pic>
              </a:graphicData>
            </a:graphic>
          </wp:anchor>
        </w:drawing>
      </w:r>
      <w:r>
        <w:rPr>
          <w:rFonts w:eastAsia="仿宋_GB2312"/>
          <w:sz w:val="32"/>
          <w:szCs w:val="32"/>
        </w:rPr>
        <w:t>2024</w:t>
      </w:r>
      <w:r>
        <w:rPr>
          <w:rFonts w:ascii="仿宋_GB2312" w:eastAsia="仿宋_GB2312"/>
          <w:sz w:val="32"/>
          <w:szCs w:val="32"/>
        </w:rPr>
        <w:t>年度本年支出合计</w:t>
      </w:r>
      <w:r>
        <w:rPr>
          <w:rFonts w:eastAsia="仿宋_GB2312"/>
          <w:sz w:val="32"/>
          <w:szCs w:val="32"/>
        </w:rPr>
        <w:t>1,722.54</w:t>
      </w:r>
      <w:r>
        <w:rPr>
          <w:rFonts w:ascii="仿宋_GB2312" w:eastAsia="仿宋_GB2312"/>
          <w:sz w:val="32"/>
          <w:szCs w:val="32"/>
        </w:rPr>
        <w:t>万元，其中：基本支出</w:t>
      </w:r>
      <w:r>
        <w:rPr>
          <w:rFonts w:eastAsia="仿宋_GB2312"/>
          <w:sz w:val="32"/>
          <w:szCs w:val="32"/>
        </w:rPr>
        <w:t>586.28</w:t>
      </w:r>
      <w:r>
        <w:rPr>
          <w:rFonts w:ascii="仿宋_GB2312" w:eastAsia="仿宋_GB2312"/>
          <w:sz w:val="32"/>
          <w:szCs w:val="32"/>
        </w:rPr>
        <w:t>万元，占</w:t>
      </w:r>
      <w:r>
        <w:rPr>
          <w:rFonts w:eastAsia="仿宋_GB2312"/>
          <w:sz w:val="32"/>
          <w:szCs w:val="32"/>
        </w:rPr>
        <w:t>34.04%</w:t>
      </w:r>
      <w:r>
        <w:rPr>
          <w:rFonts w:ascii="仿宋_GB2312" w:eastAsia="仿宋_GB2312"/>
          <w:sz w:val="32"/>
          <w:szCs w:val="32"/>
        </w:rPr>
        <w:t>；项目支出</w:t>
      </w:r>
      <w:r>
        <w:rPr>
          <w:rFonts w:eastAsia="仿宋_GB2312"/>
          <w:sz w:val="32"/>
          <w:szCs w:val="32"/>
        </w:rPr>
        <w:t>1,136.26</w:t>
      </w:r>
      <w:r>
        <w:rPr>
          <w:rFonts w:ascii="仿宋_GB2312" w:eastAsia="仿宋_GB2312"/>
          <w:sz w:val="32"/>
          <w:szCs w:val="32"/>
        </w:rPr>
        <w:t>万元，占</w:t>
      </w:r>
      <w:r>
        <w:rPr>
          <w:rFonts w:eastAsia="仿宋_GB2312"/>
          <w:sz w:val="32"/>
          <w:szCs w:val="32"/>
        </w:rPr>
        <w:t>65.96%</w:t>
      </w:r>
      <w:r>
        <w:rPr>
          <w:rFonts w:ascii="仿宋_GB2312" w:eastAsia="仿宋_GB2312"/>
          <w:sz w:val="32"/>
          <w:szCs w:val="32"/>
        </w:rPr>
        <w:t>；上缴上级支出</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；经营支出</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；对附属单位补助支出</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w:t>
      </w:r>
    </w:p>
    <w:p>
      <w:pPr>
        <w:autoSpaceDE w:val="0"/>
        <w:spacing w:line="540" w:lineRule="exact"/>
        <w:ind w:firstLine="640" w:firstLineChars="200"/>
        <w:outlineLvl w:val="1"/>
        <w:rPr>
          <w:rStyle w:val="20"/>
          <w:rFonts w:ascii="Times New Roman" w:hAnsi="Times New Roman" w:eastAsia="黑体"/>
          <w:b w:val="0"/>
        </w:rPr>
      </w:pPr>
      <w:r>
        <w:rPr>
          <w:rFonts w:ascii="黑体" w:eastAsia="黑体"/>
          <w:sz w:val="32"/>
          <w:szCs w:val="32"/>
        </w:rPr>
        <w:t>四、财</w:t>
      </w:r>
      <w:r>
        <w:rPr>
          <w:rStyle w:val="20"/>
          <w:rFonts w:ascii="黑体" w:eastAsia="黑体"/>
          <w:b w:val="0"/>
        </w:rPr>
        <w:t>政拨款收入支出决算总体情况说明</w:t>
      </w:r>
    </w:p>
    <w:p>
      <w:pPr>
        <w:pStyle w:val="16"/>
        <w:autoSpaceDE w:val="0"/>
        <w:spacing w:line="540" w:lineRule="exact"/>
        <w:outlineLvl w:val="1"/>
        <w:rPr>
          <w:rFonts w:eastAsia="仿宋_GB2312"/>
        </w:rPr>
      </w:pPr>
      <w:r>
        <w:rPr>
          <w:rFonts w:eastAsia="仿宋_GB2312"/>
          <w:sz w:val="32"/>
          <w:szCs w:val="32"/>
        </w:rPr>
        <w:t>2024</w:t>
      </w:r>
      <w:r>
        <w:rPr>
          <w:rFonts w:ascii="仿宋_GB2312" w:eastAsia="仿宋_GB2312"/>
          <w:sz w:val="32"/>
          <w:szCs w:val="32"/>
        </w:rPr>
        <w:t>年度财政拨款收入、支出总计均为</w:t>
      </w:r>
      <w:r>
        <w:rPr>
          <w:rFonts w:eastAsia="仿宋_GB2312"/>
          <w:sz w:val="32"/>
          <w:szCs w:val="32"/>
        </w:rPr>
        <w:t>1,722.54</w:t>
      </w:r>
      <w:r>
        <w:rPr>
          <w:rFonts w:ascii="仿宋_GB2312" w:eastAsia="仿宋_GB2312"/>
          <w:sz w:val="32"/>
          <w:szCs w:val="32"/>
        </w:rPr>
        <w:t>万元。与</w:t>
      </w:r>
      <w:r>
        <w:rPr>
          <w:rFonts w:eastAsia="仿宋_GB2312"/>
          <w:sz w:val="32"/>
          <w:szCs w:val="32"/>
        </w:rPr>
        <w:t>2023</w:t>
      </w:r>
      <w:r>
        <w:rPr>
          <w:rFonts w:ascii="仿宋_GB2312" w:eastAsia="仿宋_GB2312"/>
          <w:sz w:val="32"/>
          <w:szCs w:val="32"/>
        </w:rPr>
        <w:t>年度相比，财政拨款收入总计、支出总计各减少</w:t>
      </w:r>
      <w:r>
        <w:rPr>
          <w:rFonts w:eastAsia="仿宋_GB2312"/>
          <w:sz w:val="32"/>
          <w:szCs w:val="32"/>
        </w:rPr>
        <w:t>985.6</w:t>
      </w:r>
      <w:r>
        <w:rPr>
          <w:rFonts w:ascii="仿宋_GB2312" w:eastAsia="仿宋_GB2312"/>
          <w:sz w:val="32"/>
          <w:szCs w:val="32"/>
        </w:rPr>
        <w:t>万元，下降</w:t>
      </w:r>
      <w:r>
        <w:rPr>
          <w:rFonts w:eastAsia="仿宋_GB2312"/>
          <w:sz w:val="32"/>
          <w:szCs w:val="32"/>
        </w:rPr>
        <w:t>36.39%</w:t>
      </w:r>
      <w:r>
        <w:rPr>
          <w:rFonts w:ascii="仿宋_GB2312" w:eastAsia="仿宋_GB2312"/>
          <w:sz w:val="32"/>
          <w:szCs w:val="32"/>
        </w:rPr>
        <w:t>。主要变动原因是因为</w:t>
      </w:r>
      <w:r>
        <w:rPr>
          <w:rFonts w:eastAsia="仿宋_GB2312"/>
          <w:sz w:val="32"/>
          <w:szCs w:val="32"/>
        </w:rPr>
        <w:t>2024</w:t>
      </w:r>
      <w:r>
        <w:rPr>
          <w:rFonts w:ascii="仿宋_GB2312" w:eastAsia="仿宋_GB2312"/>
          <w:sz w:val="32"/>
          <w:szCs w:val="32"/>
        </w:rPr>
        <w:t>年机构改革，原州大数据中心项目划转至州政府办，项目经费减少。</w:t>
      </w:r>
    </w:p>
    <w:p>
      <w:pPr>
        <w:pStyle w:val="16"/>
        <w:autoSpaceDE w:val="0"/>
        <w:spacing w:line="540" w:lineRule="exact"/>
        <w:outlineLvl w:val="1"/>
        <w:rPr>
          <w:rFonts w:eastAsia="仿宋_GB2312"/>
          <w:sz w:val="32"/>
          <w:szCs w:val="32"/>
        </w:rPr>
      </w:pPr>
      <w:r>
        <w:rPr>
          <w:rFonts w:eastAsia="仿宋_GB2312"/>
          <w:sz w:val="32"/>
          <w:szCs w:val="32"/>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4581525" cy="2143125"/>
            <wp:effectExtent l="0" t="0" r="25" b="33"/>
            <wp:wrapSquare wrapText="bothSides"/>
            <wp:docPr id="10" name="图片 5" descr="C:\Users\ADMINI~1\AppData\Local\Temp\ksohtml14588\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C:\Users\ADMINI~1\AppData\Local\Temp\ksohtml14588\wps11.jpg"/>
                    <pic:cNvPicPr>
                      <a:picLocks noChangeAspect="1"/>
                    </pic:cNvPicPr>
                  </pic:nvPicPr>
                  <pic:blipFill>
                    <a:blip r:embed="rId11"/>
                    <a:stretch>
                      <a:fillRect/>
                    </a:stretch>
                  </pic:blipFill>
                  <pic:spPr>
                    <a:xfrm>
                      <a:off x="0" y="0"/>
                      <a:ext cx="4581525" cy="2143125"/>
                    </a:xfrm>
                    <a:prstGeom prst="rect">
                      <a:avLst/>
                    </a:prstGeom>
                    <a:noFill/>
                    <a:ln w="9525" cap="flat" cmpd="sng">
                      <a:noFill/>
                      <a:prstDash val="solid"/>
                      <a:miter/>
                    </a:ln>
                  </pic:spPr>
                </pic:pic>
              </a:graphicData>
            </a:graphic>
          </wp:anchor>
        </w:drawing>
      </w:r>
      <w:r>
        <w:rPr>
          <w:rFonts w:eastAsia="仿宋_GB2312"/>
          <w:sz w:val="32"/>
          <w:szCs w:val="32"/>
        </w:rPr>
        <w:t xml:space="preserve"> </w:t>
      </w:r>
    </w:p>
    <w:p>
      <w:pPr>
        <w:pStyle w:val="16"/>
        <w:autoSpaceDE w:val="0"/>
        <w:spacing w:line="540" w:lineRule="exact"/>
        <w:outlineLvl w:val="1"/>
        <w:rPr>
          <w:rFonts w:eastAsia="仿宋_GB2312"/>
          <w:sz w:val="32"/>
          <w:szCs w:val="32"/>
        </w:rPr>
      </w:pPr>
      <w:r>
        <w:rPr>
          <w:rFonts w:eastAsia="仿宋_GB2312"/>
          <w:sz w:val="32"/>
          <w:szCs w:val="32"/>
        </w:rPr>
        <w:t xml:space="preserve"> </w:t>
      </w:r>
    </w:p>
    <w:p>
      <w:pPr>
        <w:pStyle w:val="16"/>
        <w:autoSpaceDE w:val="0"/>
        <w:spacing w:line="540" w:lineRule="exact"/>
        <w:outlineLvl w:val="1"/>
        <w:rPr>
          <w:rFonts w:eastAsia="仿宋_GB2312"/>
          <w:sz w:val="32"/>
          <w:szCs w:val="32"/>
        </w:rPr>
      </w:pPr>
      <w:r>
        <w:rPr>
          <w:rFonts w:eastAsia="仿宋_GB2312"/>
          <w:sz w:val="32"/>
          <w:szCs w:val="32"/>
        </w:rPr>
        <w:t xml:space="preserve"> </w:t>
      </w:r>
    </w:p>
    <w:p>
      <w:pPr>
        <w:pStyle w:val="16"/>
        <w:autoSpaceDE w:val="0"/>
        <w:spacing w:line="540" w:lineRule="exact"/>
        <w:outlineLvl w:val="1"/>
        <w:rPr>
          <w:rFonts w:eastAsia="仿宋_GB2312"/>
          <w:sz w:val="32"/>
          <w:szCs w:val="32"/>
        </w:rPr>
      </w:pPr>
      <w:r>
        <w:rPr>
          <w:rFonts w:eastAsia="仿宋_GB2312"/>
          <w:sz w:val="32"/>
          <w:szCs w:val="32"/>
        </w:rPr>
        <w:t xml:space="preserve"> </w:t>
      </w:r>
    </w:p>
    <w:p>
      <w:pPr>
        <w:pStyle w:val="16"/>
        <w:autoSpaceDE w:val="0"/>
        <w:spacing w:line="540" w:lineRule="exact"/>
        <w:outlineLvl w:val="1"/>
        <w:rPr>
          <w:rFonts w:eastAsia="仿宋_GB2312"/>
          <w:sz w:val="32"/>
          <w:szCs w:val="32"/>
        </w:rPr>
      </w:pPr>
      <w:r>
        <w:rPr>
          <w:rFonts w:eastAsia="仿宋_GB2312"/>
          <w:sz w:val="32"/>
          <w:szCs w:val="32"/>
        </w:rPr>
        <w:t xml:space="preserve"> </w:t>
      </w:r>
    </w:p>
    <w:p>
      <w:pPr>
        <w:pStyle w:val="16"/>
        <w:autoSpaceDE w:val="0"/>
        <w:spacing w:line="540" w:lineRule="exact"/>
        <w:outlineLvl w:val="1"/>
        <w:rPr>
          <w:rFonts w:eastAsia="仿宋_GB2312"/>
          <w:sz w:val="32"/>
          <w:szCs w:val="32"/>
        </w:rPr>
      </w:pPr>
      <w:r>
        <w:rPr>
          <w:rFonts w:eastAsia="仿宋_GB2312"/>
          <w:sz w:val="32"/>
          <w:szCs w:val="32"/>
        </w:rPr>
        <w:t xml:space="preserve"> </w:t>
      </w:r>
    </w:p>
    <w:p>
      <w:pPr>
        <w:autoSpaceDE w:val="0"/>
        <w:spacing w:line="540" w:lineRule="exact"/>
        <w:ind w:firstLine="640"/>
        <w:rPr>
          <w:rFonts w:eastAsia="仿宋_GB2312"/>
          <w:sz w:val="32"/>
          <w:szCs w:val="32"/>
        </w:rPr>
      </w:pPr>
      <w:r>
        <w:rPr>
          <w:rFonts w:eastAsia="仿宋_GB2312"/>
          <w:sz w:val="32"/>
          <w:szCs w:val="32"/>
        </w:rPr>
        <w:t xml:space="preserve"> </w:t>
      </w:r>
    </w:p>
    <w:p>
      <w:pPr>
        <w:autoSpaceDE w:val="0"/>
        <w:spacing w:line="540" w:lineRule="exact"/>
        <w:ind w:firstLine="640" w:firstLineChars="200"/>
        <w:outlineLvl w:val="1"/>
        <w:rPr>
          <w:rStyle w:val="20"/>
          <w:rFonts w:ascii="Times New Roman" w:hAnsi="Times New Roman" w:eastAsia="黑体"/>
          <w:b w:val="0"/>
        </w:rPr>
      </w:pPr>
      <w:r>
        <w:rPr>
          <w:rFonts w:ascii="黑体" w:eastAsia="黑体"/>
          <w:sz w:val="32"/>
          <w:szCs w:val="32"/>
        </w:rPr>
        <w:t>五、</w:t>
      </w:r>
      <w:r>
        <w:rPr>
          <w:rFonts w:ascii="黑体" w:eastAsia="黑体"/>
          <w:b/>
          <w:sz w:val="32"/>
          <w:szCs w:val="32"/>
        </w:rPr>
        <w:t>一</w:t>
      </w:r>
      <w:r>
        <w:rPr>
          <w:rStyle w:val="20"/>
          <w:rFonts w:ascii="黑体" w:eastAsia="黑体"/>
          <w:b w:val="0"/>
        </w:rPr>
        <w:t>般公共预算财政拨款支出决算情况说明</w:t>
      </w:r>
    </w:p>
    <w:p>
      <w:pPr>
        <w:autoSpaceDE w:val="0"/>
        <w:spacing w:line="540" w:lineRule="exact"/>
        <w:ind w:firstLine="643" w:firstLineChars="200"/>
        <w:outlineLvl w:val="2"/>
        <w:rPr>
          <w:rFonts w:eastAsia="楷体_GB2312"/>
          <w:b/>
        </w:rPr>
      </w:pPr>
      <w:r>
        <w:rPr>
          <w:rFonts w:ascii="楷体_GB2312" w:eastAsia="楷体_GB2312"/>
          <w:b/>
          <w:sz w:val="32"/>
          <w:szCs w:val="32"/>
        </w:rPr>
        <w:t>（一）一般公共预算财政拨款支出决算总体情</w:t>
      </w:r>
      <w:r>
        <w:rPr>
          <w:rFonts w:hint="eastAsia" w:ascii="宋体" w:cs="宋体"/>
          <w:b/>
          <w:sz w:val="32"/>
          <w:szCs w:val="32"/>
        </w:rPr>
        <w:t>况</w:t>
      </w:r>
    </w:p>
    <w:p>
      <w:pPr>
        <w:pStyle w:val="16"/>
        <w:autoSpaceDE w:val="0"/>
        <w:spacing w:line="540" w:lineRule="exact"/>
        <w:outlineLvl w:val="1"/>
        <w:rPr>
          <w:rFonts w:eastAsia="仿宋_GB2312"/>
          <w:sz w:val="32"/>
          <w:szCs w:val="32"/>
        </w:rPr>
      </w:pPr>
      <w:r>
        <w:rPr>
          <w:rFonts w:eastAsia="仿宋_GB2312"/>
          <w:sz w:val="32"/>
          <w:szCs w:val="32"/>
        </w:rPr>
        <w:t>2024</w:t>
      </w:r>
      <w:r>
        <w:rPr>
          <w:rFonts w:ascii="仿宋_GB2312" w:eastAsia="仿宋_GB2312"/>
          <w:sz w:val="32"/>
          <w:szCs w:val="32"/>
        </w:rPr>
        <w:t>年度一般公共预算财政拨款支出</w:t>
      </w:r>
      <w:r>
        <w:rPr>
          <w:rFonts w:eastAsia="仿宋_GB2312"/>
          <w:sz w:val="32"/>
          <w:szCs w:val="32"/>
        </w:rPr>
        <w:t>1,722.54</w:t>
      </w:r>
      <w:r>
        <w:rPr>
          <w:rFonts w:ascii="仿宋_GB2312" w:eastAsia="仿宋_GB2312"/>
          <w:sz w:val="32"/>
          <w:szCs w:val="32"/>
        </w:rPr>
        <w:t>万元，占本年支出合计的</w:t>
      </w:r>
      <w:r>
        <w:rPr>
          <w:rFonts w:eastAsia="仿宋_GB2312"/>
          <w:sz w:val="32"/>
          <w:szCs w:val="32"/>
        </w:rPr>
        <w:t>100%</w:t>
      </w:r>
      <w:r>
        <w:rPr>
          <w:rFonts w:ascii="仿宋_GB2312" w:eastAsia="仿宋_GB2312"/>
          <w:sz w:val="32"/>
          <w:szCs w:val="32"/>
        </w:rPr>
        <w:t>。与</w:t>
      </w:r>
      <w:r>
        <w:rPr>
          <w:rFonts w:eastAsia="仿宋_GB2312"/>
          <w:sz w:val="32"/>
          <w:szCs w:val="32"/>
        </w:rPr>
        <w:t>2023</w:t>
      </w:r>
      <w:r>
        <w:rPr>
          <w:rFonts w:ascii="仿宋_GB2312" w:eastAsia="仿宋_GB2312"/>
          <w:sz w:val="32"/>
          <w:szCs w:val="32"/>
        </w:rPr>
        <w:t>年度相比，一般公共预算财政拨款支出减少</w:t>
      </w:r>
      <w:r>
        <w:rPr>
          <w:rFonts w:eastAsia="仿宋_GB2312"/>
          <w:sz w:val="32"/>
          <w:szCs w:val="32"/>
        </w:rPr>
        <w:t>985.6</w:t>
      </w:r>
      <w:r>
        <w:rPr>
          <w:rFonts w:ascii="仿宋_GB2312" w:eastAsia="仿宋_GB2312"/>
          <w:sz w:val="32"/>
          <w:szCs w:val="32"/>
        </w:rPr>
        <w:t>万元，下降</w:t>
      </w:r>
      <w:r>
        <w:rPr>
          <w:rFonts w:eastAsia="仿宋_GB2312"/>
          <w:sz w:val="32"/>
          <w:szCs w:val="32"/>
        </w:rPr>
        <w:t>36.39%</w:t>
      </w:r>
      <w:r>
        <w:rPr>
          <w:rFonts w:ascii="仿宋_GB2312" w:eastAsia="仿宋_GB2312"/>
          <w:sz w:val="32"/>
          <w:szCs w:val="32"/>
        </w:rPr>
        <w:t>。主要变动原因是因为</w:t>
      </w:r>
      <w:r>
        <w:rPr>
          <w:rFonts w:eastAsia="仿宋_GB2312"/>
          <w:sz w:val="32"/>
          <w:szCs w:val="32"/>
        </w:rPr>
        <w:t>2024</w:t>
      </w:r>
      <w:r>
        <w:rPr>
          <w:rFonts w:ascii="仿宋_GB2312" w:eastAsia="仿宋_GB2312"/>
          <w:sz w:val="32"/>
          <w:szCs w:val="32"/>
        </w:rPr>
        <w:t>年机构改革，原州大数据中心项目划转至州政府</w:t>
      </w:r>
      <w:r>
        <w:rPr>
          <w:rFonts w:eastAsia="楷体_GB2312"/>
          <w:b/>
          <w:sz w:val="32"/>
          <w:szCs w:val="32"/>
        </w:rPr>
        <w:drawing>
          <wp:anchor distT="0" distB="0" distL="114300" distR="114300" simplePos="0" relativeHeight="251659264" behindDoc="0" locked="0" layoutInCell="1" allowOverlap="0">
            <wp:simplePos x="0" y="0"/>
            <wp:positionH relativeFrom="column">
              <wp:posOffset>313690</wp:posOffset>
            </wp:positionH>
            <wp:positionV relativeFrom="line">
              <wp:posOffset>375920</wp:posOffset>
            </wp:positionV>
            <wp:extent cx="4942840" cy="2254250"/>
            <wp:effectExtent l="0" t="0" r="10160" b="12700"/>
            <wp:wrapSquare wrapText="bothSides"/>
            <wp:docPr id="13" name="图片 6" descr="C:\Users\ADMINI~1\AppData\Local\Temp\ksohtml14588\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C:\Users\ADMINI~1\AppData\Local\Temp\ksohtml14588\wps12.jpg"/>
                    <pic:cNvPicPr>
                      <a:picLocks noChangeAspect="1"/>
                    </pic:cNvPicPr>
                  </pic:nvPicPr>
                  <pic:blipFill>
                    <a:blip r:embed="rId12"/>
                    <a:stretch>
                      <a:fillRect/>
                    </a:stretch>
                  </pic:blipFill>
                  <pic:spPr>
                    <a:xfrm>
                      <a:off x="0" y="0"/>
                      <a:ext cx="4942840" cy="2254250"/>
                    </a:xfrm>
                    <a:prstGeom prst="rect">
                      <a:avLst/>
                    </a:prstGeom>
                    <a:noFill/>
                    <a:ln w="9525" cap="flat" cmpd="sng">
                      <a:noFill/>
                      <a:prstDash val="solid"/>
                      <a:miter/>
                    </a:ln>
                  </pic:spPr>
                </pic:pic>
              </a:graphicData>
            </a:graphic>
          </wp:anchor>
        </w:drawing>
      </w:r>
      <w:r>
        <w:rPr>
          <w:rFonts w:ascii="仿宋_GB2312" w:eastAsia="仿宋_GB2312"/>
          <w:sz w:val="32"/>
          <w:szCs w:val="32"/>
        </w:rPr>
        <w:t>办，项目经费减少。</w:t>
      </w:r>
      <w:r>
        <w:rPr>
          <w:rFonts w:eastAsia="仿宋_GB2312"/>
          <w:sz w:val="32"/>
          <w:szCs w:val="32"/>
        </w:rPr>
        <w:t xml:space="preserve"> </w:t>
      </w:r>
    </w:p>
    <w:p>
      <w:pPr>
        <w:autoSpaceDE w:val="0"/>
        <w:spacing w:line="540" w:lineRule="exact"/>
        <w:ind w:firstLine="643" w:firstLineChars="200"/>
        <w:outlineLvl w:val="2"/>
        <w:rPr>
          <w:rFonts w:eastAsia="楷体_GB2312"/>
          <w:b/>
          <w:sz w:val="32"/>
          <w:szCs w:val="32"/>
        </w:rPr>
      </w:pPr>
      <w:r>
        <w:rPr>
          <w:rFonts w:ascii="楷体_GB2312" w:eastAsia="楷体_GB2312"/>
          <w:b/>
          <w:sz w:val="32"/>
          <w:szCs w:val="32"/>
        </w:rPr>
        <w:t>（二）一般公共预算财政拨款支出决算结构情</w:t>
      </w:r>
      <w:r>
        <w:rPr>
          <w:rFonts w:hint="eastAsia" w:ascii="宋体" w:cs="宋体"/>
          <w:b/>
          <w:sz w:val="32"/>
          <w:szCs w:val="32"/>
        </w:rPr>
        <w:t>况</w:t>
      </w:r>
    </w:p>
    <w:p>
      <w:pPr>
        <w:spacing w:line="540" w:lineRule="exact"/>
        <w:ind w:firstLine="643" w:firstLineChars="200"/>
        <w:rPr>
          <w:rFonts w:hint="eastAsia" w:ascii="仿宋" w:eastAsia="仿宋"/>
          <w:sz w:val="32"/>
          <w:szCs w:val="32"/>
        </w:rPr>
      </w:pPr>
      <w:r>
        <w:rPr>
          <w:rFonts w:eastAsia="仿宋"/>
          <w:b/>
          <w:sz w:val="32"/>
          <w:szCs w:val="32"/>
        </w:rPr>
        <w:drawing>
          <wp:anchor distT="0" distB="0" distL="114300" distR="114300" simplePos="0" relativeHeight="251659264" behindDoc="0" locked="0" layoutInCell="1" allowOverlap="0">
            <wp:simplePos x="0" y="0"/>
            <wp:positionH relativeFrom="column">
              <wp:posOffset>94615</wp:posOffset>
            </wp:positionH>
            <wp:positionV relativeFrom="line">
              <wp:posOffset>2085340</wp:posOffset>
            </wp:positionV>
            <wp:extent cx="4953000" cy="2790825"/>
            <wp:effectExtent l="0" t="0" r="17" b="17"/>
            <wp:wrapSquare wrapText="bothSides"/>
            <wp:docPr id="16" name="图片 7" descr="C:\Users\ADMINI~1\AppData\Local\Temp\ksohtml14588\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C:\Users\ADMINI~1\AppData\Local\Temp\ksohtml14588\wps13.jpg"/>
                    <pic:cNvPicPr>
                      <a:picLocks noChangeAspect="1"/>
                    </pic:cNvPicPr>
                  </pic:nvPicPr>
                  <pic:blipFill>
                    <a:blip r:embed="rId13"/>
                    <a:stretch>
                      <a:fillRect/>
                    </a:stretch>
                  </pic:blipFill>
                  <pic:spPr>
                    <a:xfrm>
                      <a:off x="0" y="0"/>
                      <a:ext cx="4952907" cy="2791085"/>
                    </a:xfrm>
                    <a:prstGeom prst="rect">
                      <a:avLst/>
                    </a:prstGeom>
                    <a:noFill/>
                    <a:ln w="9525" cap="flat" cmpd="sng">
                      <a:noFill/>
                      <a:prstDash val="solid"/>
                      <a:miter/>
                    </a:ln>
                  </pic:spPr>
                </pic:pic>
              </a:graphicData>
            </a:graphic>
          </wp:anchor>
        </w:drawing>
      </w:r>
      <w:r>
        <w:rPr>
          <w:rFonts w:eastAsia="仿宋"/>
          <w:sz w:val="32"/>
          <w:szCs w:val="32"/>
        </w:rPr>
        <w:t>2024</w:t>
      </w:r>
      <w:r>
        <w:rPr>
          <w:rFonts w:ascii="仿宋" w:eastAsia="仿宋"/>
          <w:sz w:val="32"/>
          <w:szCs w:val="32"/>
        </w:rPr>
        <w:t>年度一般公共预算财政拨款支出</w:t>
      </w:r>
      <w:r>
        <w:rPr>
          <w:rFonts w:eastAsia="仿宋"/>
          <w:sz w:val="32"/>
          <w:szCs w:val="32"/>
        </w:rPr>
        <w:t>1</w:t>
      </w:r>
      <w:r>
        <w:rPr>
          <w:rFonts w:hint="eastAsia" w:eastAsia="仿宋"/>
          <w:sz w:val="32"/>
          <w:szCs w:val="32"/>
        </w:rPr>
        <w:t>,</w:t>
      </w:r>
      <w:r>
        <w:rPr>
          <w:rFonts w:eastAsia="仿宋"/>
          <w:sz w:val="32"/>
          <w:szCs w:val="32"/>
        </w:rPr>
        <w:t>722.54</w:t>
      </w:r>
      <w:r>
        <w:rPr>
          <w:rFonts w:ascii="仿宋" w:eastAsia="仿宋"/>
          <w:sz w:val="32"/>
          <w:szCs w:val="32"/>
        </w:rPr>
        <w:t>万元，主要用于以下方面</w:t>
      </w:r>
      <w:r>
        <w:rPr>
          <w:rFonts w:eastAsia="仿宋"/>
          <w:sz w:val="32"/>
          <w:szCs w:val="32"/>
        </w:rPr>
        <w:t>:</w:t>
      </w:r>
      <w:r>
        <w:rPr>
          <w:rFonts w:ascii="仿宋" w:eastAsia="仿宋"/>
          <w:b/>
          <w:sz w:val="32"/>
          <w:szCs w:val="32"/>
        </w:rPr>
        <w:t>一般公共服务</w:t>
      </w:r>
      <w:r>
        <w:rPr>
          <w:rFonts w:ascii="仿宋" w:eastAsia="仿宋"/>
          <w:b/>
          <w:bCs/>
          <w:sz w:val="32"/>
          <w:szCs w:val="32"/>
        </w:rPr>
        <w:t>支出</w:t>
      </w:r>
      <w:r>
        <w:rPr>
          <w:rFonts w:eastAsia="仿宋"/>
          <w:sz w:val="32"/>
          <w:szCs w:val="32"/>
        </w:rPr>
        <w:t>1</w:t>
      </w:r>
      <w:r>
        <w:rPr>
          <w:rFonts w:hint="eastAsia" w:eastAsia="仿宋"/>
          <w:sz w:val="32"/>
          <w:szCs w:val="32"/>
        </w:rPr>
        <w:t>,</w:t>
      </w:r>
      <w:r>
        <w:rPr>
          <w:rFonts w:eastAsia="仿宋"/>
          <w:sz w:val="32"/>
          <w:szCs w:val="32"/>
        </w:rPr>
        <w:t>571.39</w:t>
      </w:r>
      <w:r>
        <w:rPr>
          <w:rFonts w:ascii="仿宋" w:eastAsia="仿宋"/>
          <w:sz w:val="32"/>
          <w:szCs w:val="32"/>
        </w:rPr>
        <w:t>万元，占</w:t>
      </w:r>
      <w:r>
        <w:rPr>
          <w:rFonts w:eastAsia="仿宋"/>
          <w:sz w:val="32"/>
          <w:szCs w:val="32"/>
        </w:rPr>
        <w:t>91.23%</w:t>
      </w:r>
      <w:r>
        <w:rPr>
          <w:rFonts w:ascii="仿宋" w:eastAsia="仿宋"/>
          <w:sz w:val="32"/>
          <w:szCs w:val="32"/>
        </w:rPr>
        <w:t>；</w:t>
      </w:r>
      <w:r>
        <w:rPr>
          <w:rFonts w:ascii="仿宋" w:eastAsia="仿宋"/>
          <w:b/>
          <w:sz w:val="32"/>
          <w:szCs w:val="32"/>
        </w:rPr>
        <w:t>教育支出</w:t>
      </w:r>
      <w:r>
        <w:rPr>
          <w:rFonts w:eastAsia="仿宋"/>
          <w:sz w:val="32"/>
          <w:szCs w:val="32"/>
        </w:rPr>
        <w:t>0</w:t>
      </w:r>
      <w:r>
        <w:rPr>
          <w:rFonts w:ascii="仿宋" w:eastAsia="仿宋"/>
          <w:sz w:val="32"/>
          <w:szCs w:val="32"/>
        </w:rPr>
        <w:t>万元，占</w:t>
      </w:r>
      <w:r>
        <w:rPr>
          <w:rFonts w:eastAsia="仿宋"/>
          <w:sz w:val="32"/>
          <w:szCs w:val="32"/>
        </w:rPr>
        <w:t>0%</w:t>
      </w:r>
      <w:r>
        <w:rPr>
          <w:rFonts w:ascii="仿宋" w:eastAsia="仿宋"/>
          <w:sz w:val="32"/>
          <w:szCs w:val="32"/>
        </w:rPr>
        <w:t>；</w:t>
      </w:r>
      <w:r>
        <w:rPr>
          <w:rFonts w:ascii="仿宋" w:eastAsia="仿宋"/>
          <w:b/>
          <w:sz w:val="32"/>
          <w:szCs w:val="32"/>
        </w:rPr>
        <w:t>科学技术</w:t>
      </w:r>
      <w:r>
        <w:rPr>
          <w:rFonts w:ascii="仿宋" w:eastAsia="仿宋"/>
          <w:b/>
          <w:bCs/>
          <w:sz w:val="32"/>
          <w:szCs w:val="32"/>
        </w:rPr>
        <w:t>支出</w:t>
      </w:r>
      <w:r>
        <w:rPr>
          <w:rFonts w:eastAsia="仿宋"/>
          <w:sz w:val="32"/>
          <w:szCs w:val="32"/>
        </w:rPr>
        <w:t>0</w:t>
      </w:r>
      <w:r>
        <w:rPr>
          <w:rFonts w:ascii="仿宋" w:eastAsia="仿宋"/>
          <w:sz w:val="32"/>
          <w:szCs w:val="32"/>
        </w:rPr>
        <w:t>万元，占</w:t>
      </w:r>
      <w:r>
        <w:rPr>
          <w:rFonts w:eastAsia="仿宋"/>
          <w:sz w:val="32"/>
          <w:szCs w:val="32"/>
        </w:rPr>
        <w:t>0%</w:t>
      </w:r>
      <w:r>
        <w:rPr>
          <w:rFonts w:ascii="仿宋" w:eastAsia="仿宋"/>
          <w:sz w:val="32"/>
          <w:szCs w:val="32"/>
        </w:rPr>
        <w:t>；</w:t>
      </w:r>
      <w:r>
        <w:rPr>
          <w:rFonts w:ascii="仿宋" w:eastAsia="仿宋"/>
          <w:b/>
          <w:bCs/>
          <w:sz w:val="32"/>
          <w:szCs w:val="32"/>
        </w:rPr>
        <w:t>文化旅游体育与传媒支出</w:t>
      </w:r>
      <w:r>
        <w:rPr>
          <w:rFonts w:eastAsia="仿宋"/>
          <w:sz w:val="32"/>
          <w:szCs w:val="32"/>
        </w:rPr>
        <w:t>0</w:t>
      </w:r>
      <w:r>
        <w:rPr>
          <w:rFonts w:ascii="仿宋" w:eastAsia="仿宋"/>
          <w:sz w:val="32"/>
          <w:szCs w:val="32"/>
        </w:rPr>
        <w:t>万元，占</w:t>
      </w:r>
      <w:r>
        <w:rPr>
          <w:rFonts w:eastAsia="仿宋"/>
          <w:sz w:val="32"/>
          <w:szCs w:val="32"/>
        </w:rPr>
        <w:t>0%</w:t>
      </w:r>
      <w:r>
        <w:rPr>
          <w:rFonts w:ascii="仿宋" w:eastAsia="仿宋"/>
          <w:sz w:val="32"/>
          <w:szCs w:val="32"/>
        </w:rPr>
        <w:t>；</w:t>
      </w:r>
      <w:r>
        <w:rPr>
          <w:rFonts w:ascii="仿宋" w:eastAsia="仿宋"/>
          <w:b/>
          <w:sz w:val="32"/>
          <w:szCs w:val="32"/>
        </w:rPr>
        <w:t>社会保障和就业</w:t>
      </w:r>
      <w:r>
        <w:rPr>
          <w:rFonts w:ascii="仿宋" w:eastAsia="仿宋"/>
          <w:b/>
          <w:bCs/>
          <w:sz w:val="32"/>
          <w:szCs w:val="32"/>
        </w:rPr>
        <w:t>支出</w:t>
      </w:r>
      <w:r>
        <w:rPr>
          <w:rFonts w:eastAsia="仿宋"/>
          <w:sz w:val="32"/>
          <w:szCs w:val="32"/>
        </w:rPr>
        <w:t>76.39</w:t>
      </w:r>
      <w:r>
        <w:rPr>
          <w:rFonts w:ascii="仿宋" w:eastAsia="仿宋"/>
          <w:sz w:val="32"/>
          <w:szCs w:val="32"/>
        </w:rPr>
        <w:t>万元，占</w:t>
      </w:r>
      <w:r>
        <w:rPr>
          <w:rFonts w:eastAsia="仿宋"/>
          <w:sz w:val="32"/>
          <w:szCs w:val="32"/>
        </w:rPr>
        <w:t>4.43%</w:t>
      </w:r>
      <w:r>
        <w:rPr>
          <w:rFonts w:ascii="仿宋" w:eastAsia="仿宋"/>
          <w:sz w:val="32"/>
          <w:szCs w:val="32"/>
        </w:rPr>
        <w:t>；</w:t>
      </w:r>
      <w:r>
        <w:rPr>
          <w:rFonts w:ascii="仿宋" w:eastAsia="仿宋"/>
          <w:b/>
          <w:bCs/>
          <w:sz w:val="32"/>
          <w:szCs w:val="32"/>
        </w:rPr>
        <w:t>卫生健康支出</w:t>
      </w:r>
      <w:r>
        <w:rPr>
          <w:rFonts w:eastAsia="仿宋"/>
          <w:sz w:val="32"/>
          <w:szCs w:val="32"/>
        </w:rPr>
        <w:t>32.34</w:t>
      </w:r>
      <w:r>
        <w:rPr>
          <w:rFonts w:ascii="仿宋" w:eastAsia="仿宋"/>
          <w:sz w:val="32"/>
          <w:szCs w:val="32"/>
        </w:rPr>
        <w:t>万元，占</w:t>
      </w:r>
      <w:r>
        <w:rPr>
          <w:rFonts w:eastAsia="仿宋"/>
          <w:sz w:val="32"/>
          <w:szCs w:val="32"/>
        </w:rPr>
        <w:t>1.88%</w:t>
      </w:r>
      <w:r>
        <w:rPr>
          <w:rFonts w:ascii="仿宋" w:eastAsia="仿宋"/>
          <w:sz w:val="32"/>
          <w:szCs w:val="32"/>
        </w:rPr>
        <w:t>；</w:t>
      </w:r>
      <w:r>
        <w:rPr>
          <w:rFonts w:ascii="仿宋" w:eastAsia="仿宋"/>
          <w:b/>
          <w:bCs/>
          <w:sz w:val="32"/>
          <w:szCs w:val="32"/>
        </w:rPr>
        <w:t>住房保障支出</w:t>
      </w:r>
      <w:r>
        <w:rPr>
          <w:rFonts w:eastAsia="仿宋"/>
          <w:sz w:val="32"/>
          <w:szCs w:val="32"/>
        </w:rPr>
        <w:t>42.42</w:t>
      </w:r>
      <w:r>
        <w:rPr>
          <w:rFonts w:ascii="仿宋" w:eastAsia="仿宋"/>
          <w:sz w:val="32"/>
          <w:szCs w:val="32"/>
        </w:rPr>
        <w:t>万元，占</w:t>
      </w:r>
      <w:r>
        <w:rPr>
          <w:rFonts w:eastAsia="仿宋"/>
          <w:sz w:val="32"/>
          <w:szCs w:val="32"/>
        </w:rPr>
        <w:t>2.46%</w:t>
      </w:r>
      <w:r>
        <w:rPr>
          <w:rFonts w:ascii="仿宋" w:eastAsia="仿宋"/>
          <w:sz w:val="32"/>
          <w:szCs w:val="32"/>
        </w:rPr>
        <w:t>。</w:t>
      </w:r>
    </w:p>
    <w:p>
      <w:pPr>
        <w:autoSpaceDE w:val="0"/>
        <w:spacing w:line="540" w:lineRule="exact"/>
        <w:ind w:firstLine="643" w:firstLineChars="200"/>
        <w:outlineLvl w:val="2"/>
        <w:rPr>
          <w:rFonts w:eastAsia="楷体_GB2312"/>
          <w:b/>
          <w:sz w:val="32"/>
          <w:szCs w:val="32"/>
        </w:rPr>
      </w:pPr>
      <w:r>
        <w:rPr>
          <w:rFonts w:ascii="楷体_GB2312" w:eastAsia="楷体_GB2312"/>
          <w:b/>
          <w:sz w:val="32"/>
          <w:szCs w:val="32"/>
        </w:rPr>
        <w:t>（三）一般公共预算财政拨款支出决算具体情</w:t>
      </w:r>
      <w:r>
        <w:rPr>
          <w:rFonts w:hint="eastAsia" w:ascii="宋体" w:cs="宋体"/>
          <w:b/>
          <w:sz w:val="32"/>
          <w:szCs w:val="32"/>
        </w:rPr>
        <w:t>况</w:t>
      </w:r>
    </w:p>
    <w:p>
      <w:pPr>
        <w:autoSpaceDE w:val="0"/>
        <w:spacing w:line="540" w:lineRule="exact"/>
        <w:ind w:firstLine="640"/>
        <w:rPr>
          <w:rFonts w:eastAsia="仿宋_GB2312"/>
          <w:sz w:val="32"/>
          <w:szCs w:val="32"/>
          <w:highlight w:val="red"/>
        </w:rPr>
      </w:pPr>
      <w:r>
        <w:rPr>
          <w:rFonts w:eastAsia="仿宋_GB2312"/>
          <w:sz w:val="32"/>
          <w:szCs w:val="32"/>
        </w:rPr>
        <w:t>2024</w:t>
      </w:r>
      <w:r>
        <w:rPr>
          <w:rFonts w:ascii="仿宋_GB2312" w:eastAsia="仿宋_GB2312"/>
          <w:sz w:val="32"/>
          <w:szCs w:val="32"/>
        </w:rPr>
        <w:t>年度一般公共预算财政拨款支出决算数为</w:t>
      </w:r>
      <w:r>
        <w:rPr>
          <w:rFonts w:eastAsia="仿宋_GB2312"/>
          <w:sz w:val="32"/>
          <w:szCs w:val="32"/>
        </w:rPr>
        <w:t>1,722.54</w:t>
      </w:r>
      <w:r>
        <w:rPr>
          <w:rFonts w:ascii="仿宋_GB2312" w:eastAsia="仿宋_GB2312"/>
          <w:sz w:val="32"/>
          <w:szCs w:val="32"/>
        </w:rPr>
        <w:t>万元，完成预算</w:t>
      </w:r>
      <w:r>
        <w:rPr>
          <w:rFonts w:eastAsia="仿宋_GB2312"/>
          <w:sz w:val="32"/>
          <w:szCs w:val="32"/>
        </w:rPr>
        <w:t>100%</w:t>
      </w:r>
      <w:r>
        <w:rPr>
          <w:rFonts w:ascii="仿宋_GB2312" w:eastAsia="仿宋_GB2312"/>
          <w:sz w:val="32"/>
          <w:szCs w:val="32"/>
        </w:rPr>
        <w:t>。其中：</w:t>
      </w:r>
    </w:p>
    <w:p>
      <w:pPr>
        <w:spacing w:line="540" w:lineRule="exact"/>
        <w:ind w:firstLine="643" w:firstLineChars="200"/>
        <w:jc w:val="left"/>
        <w:rPr>
          <w:rStyle w:val="21"/>
          <w:rFonts w:eastAsia="仿宋"/>
          <w:b w:val="0"/>
          <w:bCs/>
        </w:rPr>
      </w:pPr>
      <w:r>
        <w:rPr>
          <w:rFonts w:eastAsia="仿宋_GB2312"/>
          <w:b/>
          <w:kern w:val="0"/>
          <w:sz w:val="32"/>
          <w:szCs w:val="32"/>
        </w:rPr>
        <w:t>1.</w:t>
      </w:r>
      <w:r>
        <w:rPr>
          <w:rFonts w:ascii="仿宋_GB2312" w:eastAsia="仿宋_GB2312"/>
          <w:b/>
          <w:kern w:val="0"/>
          <w:sz w:val="32"/>
          <w:szCs w:val="32"/>
        </w:rPr>
        <w:t>一般公共服务（类）政府办公厅（室）及相关机构事务（款）事业运行（项）</w:t>
      </w:r>
      <w:r>
        <w:rPr>
          <w:rStyle w:val="21"/>
          <w:rFonts w:eastAsia="仿宋"/>
          <w:sz w:val="32"/>
          <w:szCs w:val="32"/>
        </w:rPr>
        <w:t>:</w:t>
      </w:r>
      <w:r>
        <w:rPr>
          <w:rStyle w:val="21"/>
          <w:rFonts w:eastAsia="仿宋"/>
          <w:b w:val="0"/>
          <w:bCs/>
          <w:sz w:val="32"/>
          <w:szCs w:val="32"/>
        </w:rPr>
        <w:t xml:space="preserve"> </w:t>
      </w:r>
      <w:r>
        <w:rPr>
          <w:rStyle w:val="21"/>
          <w:rFonts w:ascii="仿宋" w:eastAsia="仿宋"/>
          <w:b w:val="0"/>
          <w:bCs/>
          <w:sz w:val="32"/>
          <w:szCs w:val="32"/>
        </w:rPr>
        <w:t>支出决算为</w:t>
      </w:r>
      <w:r>
        <w:rPr>
          <w:rStyle w:val="21"/>
          <w:rFonts w:eastAsia="仿宋"/>
          <w:b w:val="0"/>
          <w:bCs/>
          <w:sz w:val="32"/>
          <w:szCs w:val="32"/>
        </w:rPr>
        <w:t>435.13</w:t>
      </w:r>
      <w:r>
        <w:rPr>
          <w:rStyle w:val="21"/>
          <w:rFonts w:ascii="仿宋" w:eastAsia="仿宋"/>
          <w:b w:val="0"/>
          <w:bCs/>
          <w:sz w:val="32"/>
          <w:szCs w:val="32"/>
        </w:rPr>
        <w:t>万元，完成预算</w:t>
      </w:r>
      <w:r>
        <w:rPr>
          <w:rStyle w:val="21"/>
          <w:rFonts w:eastAsia="仿宋"/>
          <w:b w:val="0"/>
          <w:bCs/>
          <w:sz w:val="32"/>
          <w:szCs w:val="32"/>
        </w:rPr>
        <w:t>100%</w:t>
      </w:r>
      <w:r>
        <w:rPr>
          <w:rStyle w:val="21"/>
          <w:rFonts w:ascii="仿宋" w:eastAsia="仿宋"/>
          <w:b w:val="0"/>
          <w:bCs/>
          <w:sz w:val="32"/>
          <w:szCs w:val="32"/>
        </w:rPr>
        <w:t>。</w:t>
      </w:r>
    </w:p>
    <w:p>
      <w:pPr>
        <w:spacing w:line="540" w:lineRule="exact"/>
        <w:ind w:firstLine="643" w:firstLineChars="200"/>
        <w:jc w:val="left"/>
        <w:rPr>
          <w:rStyle w:val="21"/>
          <w:rFonts w:eastAsia="仿宋"/>
          <w:b w:val="0"/>
          <w:bCs/>
          <w:sz w:val="32"/>
          <w:szCs w:val="32"/>
        </w:rPr>
      </w:pPr>
      <w:r>
        <w:rPr>
          <w:rFonts w:eastAsia="仿宋_GB2312"/>
          <w:b/>
          <w:kern w:val="0"/>
          <w:sz w:val="32"/>
          <w:szCs w:val="32"/>
        </w:rPr>
        <w:t>2.</w:t>
      </w:r>
      <w:r>
        <w:rPr>
          <w:rFonts w:ascii="仿宋_GB2312" w:eastAsia="仿宋_GB2312"/>
          <w:b/>
          <w:kern w:val="0"/>
          <w:sz w:val="32"/>
          <w:szCs w:val="32"/>
        </w:rPr>
        <w:t>一般公共服务（类）政府办公厅（室）及相关机构事务（款）其他政府办公厅（室）及相关机构事务支出（项）</w:t>
      </w:r>
      <w:r>
        <w:rPr>
          <w:rStyle w:val="21"/>
          <w:rFonts w:eastAsia="仿宋"/>
          <w:sz w:val="32"/>
          <w:szCs w:val="32"/>
        </w:rPr>
        <w:t>:</w:t>
      </w:r>
      <w:r>
        <w:rPr>
          <w:rStyle w:val="21"/>
          <w:rFonts w:eastAsia="仿宋"/>
          <w:b w:val="0"/>
          <w:bCs/>
          <w:sz w:val="32"/>
          <w:szCs w:val="32"/>
        </w:rPr>
        <w:t xml:space="preserve"> </w:t>
      </w:r>
      <w:r>
        <w:rPr>
          <w:rStyle w:val="21"/>
          <w:rFonts w:ascii="仿宋" w:eastAsia="仿宋"/>
          <w:b w:val="0"/>
          <w:bCs/>
          <w:sz w:val="32"/>
          <w:szCs w:val="32"/>
        </w:rPr>
        <w:t>支出决算为</w:t>
      </w:r>
      <w:r>
        <w:rPr>
          <w:rStyle w:val="21"/>
          <w:rFonts w:eastAsia="仿宋"/>
          <w:b w:val="0"/>
          <w:bCs/>
          <w:sz w:val="32"/>
          <w:szCs w:val="32"/>
        </w:rPr>
        <w:t>1,136.26</w:t>
      </w:r>
      <w:r>
        <w:rPr>
          <w:rStyle w:val="21"/>
          <w:rFonts w:ascii="仿宋" w:eastAsia="仿宋"/>
          <w:b w:val="0"/>
          <w:bCs/>
          <w:sz w:val="32"/>
          <w:szCs w:val="32"/>
        </w:rPr>
        <w:t>万元，完成预算</w:t>
      </w:r>
      <w:r>
        <w:rPr>
          <w:rStyle w:val="21"/>
          <w:rFonts w:eastAsia="仿宋"/>
          <w:b w:val="0"/>
          <w:bCs/>
          <w:sz w:val="32"/>
          <w:szCs w:val="32"/>
        </w:rPr>
        <w:t>100%</w:t>
      </w:r>
      <w:r>
        <w:rPr>
          <w:rStyle w:val="21"/>
          <w:rFonts w:ascii="仿宋" w:eastAsia="仿宋"/>
          <w:b w:val="0"/>
          <w:bCs/>
          <w:sz w:val="32"/>
          <w:szCs w:val="32"/>
        </w:rPr>
        <w:t>。</w:t>
      </w:r>
    </w:p>
    <w:p>
      <w:pPr>
        <w:spacing w:line="540" w:lineRule="exact"/>
        <w:ind w:firstLine="643" w:firstLineChars="200"/>
        <w:jc w:val="left"/>
        <w:rPr>
          <w:rStyle w:val="21"/>
          <w:rFonts w:eastAsia="仿宋"/>
          <w:b w:val="0"/>
          <w:bCs/>
          <w:sz w:val="32"/>
          <w:szCs w:val="32"/>
        </w:rPr>
      </w:pPr>
      <w:r>
        <w:rPr>
          <w:rFonts w:eastAsia="仿宋_GB2312"/>
          <w:b/>
          <w:bCs/>
          <w:kern w:val="0"/>
          <w:sz w:val="32"/>
          <w:szCs w:val="32"/>
        </w:rPr>
        <w:t>3.</w:t>
      </w:r>
      <w:r>
        <w:rPr>
          <w:rFonts w:ascii="仿宋_GB2312" w:eastAsia="仿宋_GB2312"/>
          <w:b/>
          <w:bCs/>
          <w:kern w:val="0"/>
          <w:sz w:val="32"/>
          <w:szCs w:val="32"/>
        </w:rPr>
        <w:t>社会保障和就业（类）行政事业单位养老支出（款）事业单位离退休（项）：</w:t>
      </w:r>
      <w:r>
        <w:rPr>
          <w:rStyle w:val="21"/>
          <w:rFonts w:ascii="仿宋" w:eastAsia="仿宋"/>
          <w:b w:val="0"/>
          <w:bCs/>
          <w:sz w:val="32"/>
          <w:szCs w:val="32"/>
        </w:rPr>
        <w:t>支出决算为</w:t>
      </w:r>
      <w:r>
        <w:rPr>
          <w:rStyle w:val="21"/>
          <w:rFonts w:eastAsia="仿宋"/>
          <w:b w:val="0"/>
          <w:bCs/>
          <w:sz w:val="32"/>
          <w:szCs w:val="32"/>
        </w:rPr>
        <w:t>1.59</w:t>
      </w:r>
      <w:r>
        <w:rPr>
          <w:rStyle w:val="21"/>
          <w:rFonts w:ascii="仿宋" w:eastAsia="仿宋"/>
          <w:b w:val="0"/>
          <w:bCs/>
          <w:sz w:val="32"/>
          <w:szCs w:val="32"/>
        </w:rPr>
        <w:t>万元，完成预算</w:t>
      </w:r>
      <w:r>
        <w:rPr>
          <w:rStyle w:val="21"/>
          <w:rFonts w:eastAsia="仿宋"/>
          <w:b w:val="0"/>
          <w:bCs/>
          <w:sz w:val="32"/>
          <w:szCs w:val="32"/>
        </w:rPr>
        <w:t>100%</w:t>
      </w:r>
      <w:r>
        <w:rPr>
          <w:rStyle w:val="21"/>
          <w:rFonts w:ascii="仿宋" w:eastAsia="仿宋"/>
          <w:b w:val="0"/>
          <w:bCs/>
          <w:sz w:val="32"/>
          <w:szCs w:val="32"/>
        </w:rPr>
        <w:t>。</w:t>
      </w:r>
    </w:p>
    <w:p>
      <w:pPr>
        <w:spacing w:line="540" w:lineRule="exact"/>
        <w:ind w:firstLine="643" w:firstLineChars="200"/>
        <w:jc w:val="left"/>
        <w:rPr>
          <w:rStyle w:val="21"/>
          <w:rFonts w:eastAsia="仿宋"/>
          <w:b w:val="0"/>
          <w:bCs/>
          <w:sz w:val="32"/>
          <w:szCs w:val="32"/>
        </w:rPr>
      </w:pPr>
      <w:r>
        <w:rPr>
          <w:rFonts w:eastAsia="仿宋_GB2312"/>
          <w:b/>
          <w:bCs/>
          <w:kern w:val="0"/>
          <w:sz w:val="32"/>
          <w:szCs w:val="32"/>
        </w:rPr>
        <w:t>4.</w:t>
      </w:r>
      <w:r>
        <w:rPr>
          <w:rFonts w:ascii="仿宋_GB2312" w:eastAsia="仿宋_GB2312"/>
          <w:b/>
          <w:bCs/>
          <w:kern w:val="0"/>
          <w:sz w:val="32"/>
          <w:szCs w:val="32"/>
        </w:rPr>
        <w:t>社会保障和就业（类）行政事业单位养老支出（款）机关事业单位基本养老保险缴费支出（项）：</w:t>
      </w:r>
      <w:r>
        <w:rPr>
          <w:rStyle w:val="21"/>
          <w:rFonts w:ascii="仿宋" w:eastAsia="仿宋"/>
          <w:b w:val="0"/>
          <w:bCs/>
          <w:sz w:val="32"/>
          <w:szCs w:val="32"/>
        </w:rPr>
        <w:t>支出决算为</w:t>
      </w:r>
      <w:r>
        <w:rPr>
          <w:rStyle w:val="21"/>
          <w:rFonts w:eastAsia="仿宋"/>
          <w:b w:val="0"/>
          <w:bCs/>
          <w:sz w:val="32"/>
          <w:szCs w:val="32"/>
        </w:rPr>
        <w:t>49.86</w:t>
      </w:r>
      <w:r>
        <w:rPr>
          <w:rStyle w:val="21"/>
          <w:rFonts w:ascii="仿宋" w:eastAsia="仿宋"/>
          <w:b w:val="0"/>
          <w:bCs/>
          <w:sz w:val="32"/>
          <w:szCs w:val="32"/>
        </w:rPr>
        <w:t>万元，完成预算</w:t>
      </w:r>
      <w:r>
        <w:rPr>
          <w:rStyle w:val="21"/>
          <w:rFonts w:eastAsia="仿宋"/>
          <w:b w:val="0"/>
          <w:bCs/>
          <w:sz w:val="32"/>
          <w:szCs w:val="32"/>
        </w:rPr>
        <w:t>100%</w:t>
      </w:r>
      <w:r>
        <w:rPr>
          <w:rStyle w:val="21"/>
          <w:rFonts w:ascii="仿宋" w:eastAsia="仿宋"/>
          <w:b w:val="0"/>
          <w:bCs/>
          <w:sz w:val="32"/>
          <w:szCs w:val="32"/>
        </w:rPr>
        <w:t>。</w:t>
      </w:r>
    </w:p>
    <w:p>
      <w:pPr>
        <w:spacing w:line="540" w:lineRule="exact"/>
        <w:ind w:firstLine="643" w:firstLineChars="200"/>
        <w:jc w:val="left"/>
        <w:rPr>
          <w:rStyle w:val="21"/>
          <w:rFonts w:eastAsia="仿宋"/>
          <w:b w:val="0"/>
          <w:bCs/>
          <w:sz w:val="32"/>
          <w:szCs w:val="32"/>
        </w:rPr>
      </w:pPr>
      <w:r>
        <w:rPr>
          <w:rFonts w:eastAsia="仿宋_GB2312"/>
          <w:b/>
          <w:bCs/>
          <w:kern w:val="0"/>
          <w:sz w:val="32"/>
          <w:szCs w:val="32"/>
        </w:rPr>
        <w:t>5.</w:t>
      </w:r>
      <w:r>
        <w:rPr>
          <w:rFonts w:ascii="仿宋_GB2312" w:eastAsia="仿宋_GB2312"/>
          <w:b/>
          <w:bCs/>
          <w:kern w:val="0"/>
          <w:sz w:val="32"/>
          <w:szCs w:val="32"/>
        </w:rPr>
        <w:t>社会保障和就业（类）行政事业单位养老支出（款）机关事业单位职业年金缴费支出（项）：</w:t>
      </w:r>
      <w:r>
        <w:rPr>
          <w:rStyle w:val="21"/>
          <w:rFonts w:ascii="仿宋" w:eastAsia="仿宋"/>
          <w:b w:val="0"/>
          <w:bCs/>
          <w:sz w:val="32"/>
          <w:szCs w:val="32"/>
        </w:rPr>
        <w:t>支出决算为</w:t>
      </w:r>
      <w:r>
        <w:rPr>
          <w:rStyle w:val="21"/>
          <w:rFonts w:eastAsia="仿宋"/>
          <w:b w:val="0"/>
          <w:bCs/>
          <w:sz w:val="32"/>
          <w:szCs w:val="32"/>
        </w:rPr>
        <w:t>24.94</w:t>
      </w:r>
      <w:r>
        <w:rPr>
          <w:rStyle w:val="21"/>
          <w:rFonts w:ascii="仿宋" w:eastAsia="仿宋"/>
          <w:b w:val="0"/>
          <w:bCs/>
          <w:sz w:val="32"/>
          <w:szCs w:val="32"/>
        </w:rPr>
        <w:t>万元，完成预算</w:t>
      </w:r>
      <w:r>
        <w:rPr>
          <w:rStyle w:val="21"/>
          <w:rFonts w:eastAsia="仿宋"/>
          <w:b w:val="0"/>
          <w:bCs/>
          <w:sz w:val="32"/>
          <w:szCs w:val="32"/>
        </w:rPr>
        <w:t>100%</w:t>
      </w:r>
      <w:r>
        <w:rPr>
          <w:rStyle w:val="21"/>
          <w:rFonts w:ascii="仿宋" w:eastAsia="仿宋"/>
          <w:b w:val="0"/>
          <w:bCs/>
          <w:sz w:val="32"/>
          <w:szCs w:val="32"/>
        </w:rPr>
        <w:t>。</w:t>
      </w:r>
    </w:p>
    <w:p>
      <w:pPr>
        <w:spacing w:line="540" w:lineRule="exact"/>
        <w:ind w:firstLine="643" w:firstLineChars="200"/>
        <w:jc w:val="left"/>
        <w:rPr>
          <w:rFonts w:eastAsia="仿宋_GB2312"/>
          <w:kern w:val="0"/>
        </w:rPr>
      </w:pPr>
      <w:r>
        <w:rPr>
          <w:rFonts w:eastAsia="仿宋_GB2312"/>
          <w:b/>
          <w:kern w:val="0"/>
          <w:sz w:val="32"/>
          <w:szCs w:val="32"/>
        </w:rPr>
        <w:t>6.</w:t>
      </w:r>
      <w:r>
        <w:rPr>
          <w:rFonts w:ascii="仿宋_GB2312" w:eastAsia="仿宋_GB2312"/>
          <w:b/>
          <w:kern w:val="0"/>
          <w:sz w:val="32"/>
          <w:szCs w:val="32"/>
        </w:rPr>
        <w:t>卫生健康（类）行政事业单位医疗（款）事业单位医疗（项）</w:t>
      </w:r>
      <w:r>
        <w:rPr>
          <w:rFonts w:eastAsia="仿宋_GB2312"/>
          <w:b/>
          <w:kern w:val="0"/>
          <w:sz w:val="32"/>
          <w:szCs w:val="32"/>
        </w:rPr>
        <w:t>:</w:t>
      </w:r>
      <w:r>
        <w:rPr>
          <w:rFonts w:ascii="仿宋_GB2312" w:eastAsia="仿宋_GB2312"/>
          <w:kern w:val="0"/>
          <w:sz w:val="32"/>
          <w:szCs w:val="32"/>
        </w:rPr>
        <w:t>支出决算为</w:t>
      </w:r>
      <w:r>
        <w:rPr>
          <w:rFonts w:eastAsia="仿宋_GB2312"/>
          <w:kern w:val="0"/>
          <w:sz w:val="32"/>
          <w:szCs w:val="32"/>
        </w:rPr>
        <w:t>26.39</w:t>
      </w:r>
      <w:r>
        <w:rPr>
          <w:rFonts w:ascii="仿宋_GB2312" w:eastAsia="仿宋_GB2312"/>
          <w:kern w:val="0"/>
          <w:sz w:val="32"/>
          <w:szCs w:val="32"/>
        </w:rPr>
        <w:t>万元，完成预算</w:t>
      </w:r>
      <w:r>
        <w:rPr>
          <w:rFonts w:eastAsia="仿宋_GB2312"/>
          <w:kern w:val="0"/>
          <w:sz w:val="32"/>
          <w:szCs w:val="32"/>
        </w:rPr>
        <w:t>100%</w:t>
      </w:r>
      <w:r>
        <w:rPr>
          <w:rFonts w:ascii="仿宋_GB2312" w:eastAsia="仿宋_GB2312"/>
          <w:kern w:val="0"/>
          <w:sz w:val="32"/>
          <w:szCs w:val="32"/>
        </w:rPr>
        <w:t>。</w:t>
      </w:r>
    </w:p>
    <w:p>
      <w:pPr>
        <w:spacing w:line="540" w:lineRule="exact"/>
        <w:ind w:firstLine="643" w:firstLineChars="200"/>
        <w:jc w:val="left"/>
        <w:rPr>
          <w:rFonts w:eastAsia="仿宋_GB2312"/>
          <w:kern w:val="0"/>
          <w:sz w:val="32"/>
          <w:szCs w:val="32"/>
        </w:rPr>
      </w:pPr>
      <w:r>
        <w:rPr>
          <w:rFonts w:eastAsia="仿宋_GB2312"/>
          <w:b/>
          <w:kern w:val="0"/>
          <w:sz w:val="32"/>
          <w:szCs w:val="32"/>
        </w:rPr>
        <w:t>7.</w:t>
      </w:r>
      <w:r>
        <w:rPr>
          <w:rFonts w:ascii="仿宋_GB2312" w:eastAsia="仿宋_GB2312"/>
          <w:b/>
          <w:kern w:val="0"/>
          <w:sz w:val="32"/>
          <w:szCs w:val="32"/>
        </w:rPr>
        <w:t>卫生健康（类）行政事业单位医疗（款）事业单位医疗（项）</w:t>
      </w:r>
      <w:r>
        <w:rPr>
          <w:rFonts w:eastAsia="仿宋_GB2312"/>
          <w:b/>
          <w:kern w:val="0"/>
          <w:sz w:val="32"/>
          <w:szCs w:val="32"/>
        </w:rPr>
        <w:t>:</w:t>
      </w:r>
      <w:r>
        <w:rPr>
          <w:rFonts w:ascii="仿宋_GB2312" w:eastAsia="仿宋_GB2312"/>
          <w:kern w:val="0"/>
          <w:sz w:val="32"/>
          <w:szCs w:val="32"/>
        </w:rPr>
        <w:t>支出决算为</w:t>
      </w:r>
      <w:r>
        <w:rPr>
          <w:rFonts w:eastAsia="仿宋_GB2312"/>
          <w:kern w:val="0"/>
          <w:sz w:val="32"/>
          <w:szCs w:val="32"/>
        </w:rPr>
        <w:t>5.95</w:t>
      </w:r>
      <w:r>
        <w:rPr>
          <w:rFonts w:ascii="仿宋_GB2312" w:eastAsia="仿宋_GB2312"/>
          <w:kern w:val="0"/>
          <w:sz w:val="32"/>
          <w:szCs w:val="32"/>
        </w:rPr>
        <w:t>万元，完成预算</w:t>
      </w:r>
      <w:r>
        <w:rPr>
          <w:rFonts w:eastAsia="仿宋_GB2312"/>
          <w:kern w:val="0"/>
          <w:sz w:val="32"/>
          <w:szCs w:val="32"/>
        </w:rPr>
        <w:t>100%</w:t>
      </w:r>
      <w:r>
        <w:rPr>
          <w:rFonts w:ascii="仿宋_GB2312" w:eastAsia="仿宋_GB2312"/>
          <w:kern w:val="0"/>
          <w:sz w:val="32"/>
          <w:szCs w:val="32"/>
        </w:rPr>
        <w:t>。</w:t>
      </w:r>
    </w:p>
    <w:p>
      <w:pPr>
        <w:spacing w:line="540" w:lineRule="exact"/>
        <w:ind w:firstLine="643" w:firstLineChars="200"/>
        <w:jc w:val="left"/>
        <w:rPr>
          <w:rFonts w:eastAsia="仿宋_GB2312"/>
          <w:kern w:val="0"/>
          <w:sz w:val="32"/>
          <w:szCs w:val="32"/>
        </w:rPr>
      </w:pPr>
      <w:r>
        <w:rPr>
          <w:rFonts w:eastAsia="仿宋_GB2312"/>
          <w:b/>
          <w:kern w:val="0"/>
          <w:sz w:val="32"/>
          <w:szCs w:val="32"/>
        </w:rPr>
        <w:t>8.</w:t>
      </w:r>
      <w:r>
        <w:rPr>
          <w:rFonts w:ascii="仿宋_GB2312" w:eastAsia="仿宋_GB2312"/>
          <w:b/>
          <w:kern w:val="0"/>
          <w:sz w:val="32"/>
          <w:szCs w:val="32"/>
        </w:rPr>
        <w:t>住房保障（类）住房改革支出（款）住房公积金（项）：</w:t>
      </w:r>
      <w:r>
        <w:rPr>
          <w:rFonts w:ascii="仿宋_GB2312" w:eastAsia="仿宋_GB2312"/>
          <w:kern w:val="0"/>
          <w:sz w:val="32"/>
          <w:szCs w:val="32"/>
        </w:rPr>
        <w:t>支出决算为</w:t>
      </w:r>
      <w:r>
        <w:rPr>
          <w:rFonts w:eastAsia="仿宋_GB2312"/>
          <w:kern w:val="0"/>
          <w:sz w:val="32"/>
          <w:szCs w:val="32"/>
        </w:rPr>
        <w:t>41.42</w:t>
      </w:r>
      <w:r>
        <w:rPr>
          <w:rFonts w:ascii="仿宋_GB2312" w:eastAsia="仿宋_GB2312"/>
          <w:kern w:val="0"/>
          <w:sz w:val="32"/>
          <w:szCs w:val="32"/>
        </w:rPr>
        <w:t>万元，完成预算</w:t>
      </w:r>
      <w:r>
        <w:rPr>
          <w:rFonts w:eastAsia="仿宋_GB2312"/>
          <w:kern w:val="0"/>
          <w:sz w:val="32"/>
          <w:szCs w:val="32"/>
        </w:rPr>
        <w:t>100%</w:t>
      </w:r>
      <w:r>
        <w:rPr>
          <w:rFonts w:ascii="仿宋_GB2312" w:eastAsia="仿宋_GB2312"/>
          <w:kern w:val="0"/>
          <w:sz w:val="32"/>
          <w:szCs w:val="32"/>
        </w:rPr>
        <w:t>。</w:t>
      </w:r>
    </w:p>
    <w:p>
      <w:pPr>
        <w:spacing w:line="540" w:lineRule="exact"/>
        <w:ind w:firstLine="643" w:firstLineChars="200"/>
        <w:jc w:val="left"/>
        <w:rPr>
          <w:rFonts w:eastAsia="仿宋_GB2312"/>
          <w:sz w:val="32"/>
          <w:szCs w:val="32"/>
        </w:rPr>
      </w:pPr>
      <w:r>
        <w:rPr>
          <w:rFonts w:eastAsia="仿宋_GB2312"/>
          <w:b/>
          <w:kern w:val="0"/>
          <w:sz w:val="32"/>
          <w:szCs w:val="32"/>
        </w:rPr>
        <w:t>9.</w:t>
      </w:r>
      <w:r>
        <w:rPr>
          <w:rFonts w:ascii="仿宋_GB2312" w:eastAsia="仿宋_GB2312"/>
          <w:b/>
          <w:kern w:val="0"/>
          <w:sz w:val="32"/>
          <w:szCs w:val="32"/>
        </w:rPr>
        <w:t>住房保障（类）住房改革支出（款）购房补贴（项）：</w:t>
      </w:r>
      <w:r>
        <w:rPr>
          <w:rFonts w:ascii="仿宋_GB2312" w:eastAsia="仿宋_GB2312"/>
          <w:kern w:val="0"/>
          <w:sz w:val="32"/>
          <w:szCs w:val="32"/>
        </w:rPr>
        <w:t>支出决算为</w:t>
      </w:r>
      <w:r>
        <w:rPr>
          <w:rFonts w:eastAsia="仿宋_GB2312"/>
          <w:kern w:val="0"/>
          <w:sz w:val="32"/>
          <w:szCs w:val="32"/>
        </w:rPr>
        <w:t>1</w:t>
      </w:r>
      <w:r>
        <w:rPr>
          <w:rFonts w:ascii="仿宋_GB2312" w:eastAsia="仿宋_GB2312"/>
          <w:kern w:val="0"/>
          <w:sz w:val="32"/>
          <w:szCs w:val="32"/>
        </w:rPr>
        <w:t>万元，完成预算</w:t>
      </w:r>
      <w:r>
        <w:rPr>
          <w:rFonts w:eastAsia="仿宋_GB2312"/>
          <w:kern w:val="0"/>
          <w:sz w:val="32"/>
          <w:szCs w:val="32"/>
        </w:rPr>
        <w:t>100%</w:t>
      </w:r>
      <w:r>
        <w:rPr>
          <w:rFonts w:ascii="仿宋_GB2312" w:eastAsia="仿宋_GB2312"/>
          <w:kern w:val="0"/>
          <w:sz w:val="32"/>
          <w:szCs w:val="32"/>
        </w:rPr>
        <w:t>。</w:t>
      </w:r>
    </w:p>
    <w:p>
      <w:pPr>
        <w:autoSpaceDE w:val="0"/>
        <w:spacing w:line="540" w:lineRule="exact"/>
        <w:ind w:firstLine="640"/>
        <w:outlineLvl w:val="1"/>
        <w:rPr>
          <w:rStyle w:val="20"/>
          <w:rFonts w:ascii="Times New Roman" w:hAnsi="Times New Roman"/>
        </w:rPr>
      </w:pPr>
      <w:r>
        <w:rPr>
          <w:rFonts w:ascii="黑体" w:eastAsia="黑体"/>
          <w:sz w:val="32"/>
          <w:szCs w:val="32"/>
        </w:rPr>
        <w:t>六</w:t>
      </w:r>
      <w:r>
        <w:rPr>
          <w:rFonts w:ascii="黑体" w:eastAsia="黑体"/>
          <w:b/>
          <w:sz w:val="32"/>
          <w:szCs w:val="32"/>
        </w:rPr>
        <w:t>、一</w:t>
      </w:r>
      <w:r>
        <w:rPr>
          <w:rStyle w:val="20"/>
          <w:rFonts w:ascii="黑体" w:eastAsia="黑体"/>
          <w:b w:val="0"/>
        </w:rPr>
        <w:t>般公共预算财政拨款基本支出决算情况说明</w:t>
      </w:r>
      <w:r>
        <w:rPr>
          <w:rStyle w:val="20"/>
          <w:rFonts w:ascii="Times New Roman" w:hAnsi="Times New Roman" w:eastAsia="黑体"/>
          <w:b w:val="0"/>
        </w:rPr>
        <w:tab/>
      </w:r>
    </w:p>
    <w:p>
      <w:pPr>
        <w:autoSpaceDE w:val="0"/>
        <w:spacing w:line="540" w:lineRule="exact"/>
        <w:ind w:firstLine="640"/>
        <w:rPr>
          <w:rFonts w:eastAsia="仿宋_GB2312"/>
          <w:spacing w:val="-6"/>
        </w:rPr>
      </w:pPr>
      <w:r>
        <w:rPr>
          <w:rFonts w:eastAsia="仿宋_GB2312"/>
          <w:spacing w:val="-6"/>
          <w:sz w:val="32"/>
          <w:szCs w:val="32"/>
        </w:rPr>
        <w:t>2024</w:t>
      </w:r>
      <w:r>
        <w:rPr>
          <w:rFonts w:ascii="仿宋_GB2312" w:eastAsia="仿宋_GB2312"/>
          <w:spacing w:val="-6"/>
          <w:sz w:val="32"/>
          <w:szCs w:val="32"/>
        </w:rPr>
        <w:t>年度一般公共预算财政拨款基本支出</w:t>
      </w:r>
      <w:r>
        <w:rPr>
          <w:rFonts w:eastAsia="仿宋_GB2312"/>
          <w:spacing w:val="-6"/>
          <w:sz w:val="32"/>
          <w:szCs w:val="32"/>
        </w:rPr>
        <w:t>586.28</w:t>
      </w:r>
      <w:r>
        <w:rPr>
          <w:rFonts w:ascii="仿宋_GB2312" w:eastAsia="仿宋_GB2312"/>
          <w:spacing w:val="-6"/>
          <w:sz w:val="32"/>
          <w:szCs w:val="32"/>
        </w:rPr>
        <w:t>万元，其中：</w:t>
      </w:r>
    </w:p>
    <w:p>
      <w:pPr>
        <w:autoSpaceDE w:val="0"/>
        <w:spacing w:line="540" w:lineRule="exact"/>
        <w:ind w:firstLine="640"/>
        <w:rPr>
          <w:rFonts w:eastAsia="仿宋_GB2312"/>
          <w:sz w:val="32"/>
          <w:szCs w:val="32"/>
        </w:rPr>
      </w:pPr>
      <w:r>
        <w:rPr>
          <w:rFonts w:ascii="仿宋_GB2312" w:eastAsia="仿宋_GB2312"/>
          <w:sz w:val="32"/>
          <w:szCs w:val="32"/>
        </w:rPr>
        <w:t>人员经费</w:t>
      </w:r>
      <w:r>
        <w:rPr>
          <w:rFonts w:eastAsia="仿宋_GB2312"/>
          <w:sz w:val="32"/>
          <w:szCs w:val="32"/>
        </w:rPr>
        <w:t>548.55</w:t>
      </w:r>
      <w:r>
        <w:rPr>
          <w:rFonts w:ascii="仿宋_GB2312" w:eastAsia="仿宋_GB2312"/>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autoSpaceDE w:val="0"/>
        <w:spacing w:line="540" w:lineRule="exact"/>
        <w:ind w:firstLine="640"/>
        <w:rPr>
          <w:rFonts w:eastAsia="仿宋_GB2312"/>
          <w:sz w:val="32"/>
          <w:szCs w:val="32"/>
        </w:rPr>
      </w:pPr>
      <w:r>
        <w:rPr>
          <w:rFonts w:ascii="仿宋_GB2312" w:eastAsia="仿宋_GB2312"/>
          <w:sz w:val="32"/>
          <w:szCs w:val="32"/>
        </w:rPr>
        <w:t>公用经费</w:t>
      </w:r>
      <w:r>
        <w:rPr>
          <w:rFonts w:eastAsia="仿宋_GB2312"/>
          <w:sz w:val="32"/>
          <w:szCs w:val="32"/>
        </w:rPr>
        <w:t>37.73</w:t>
      </w:r>
      <w:r>
        <w:rPr>
          <w:rFonts w:ascii="仿宋_GB2312" w:eastAsia="仿宋_GB2312"/>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autoSpaceDE w:val="0"/>
        <w:spacing w:line="540" w:lineRule="exact"/>
        <w:ind w:firstLine="640"/>
        <w:outlineLvl w:val="1"/>
        <w:rPr>
          <w:rStyle w:val="20"/>
          <w:rFonts w:ascii="Times New Roman" w:hAnsi="Times New Roman" w:eastAsia="黑体"/>
          <w:b w:val="0"/>
        </w:rPr>
      </w:pPr>
      <w:r>
        <w:rPr>
          <w:rFonts w:ascii="黑体" w:eastAsia="黑体"/>
          <w:sz w:val="32"/>
          <w:szCs w:val="32"/>
        </w:rPr>
        <w:t>七、</w:t>
      </w:r>
      <w:r>
        <w:rPr>
          <w:rStyle w:val="20"/>
          <w:rFonts w:ascii="黑体" w:eastAsia="黑体"/>
          <w:b w:val="0"/>
        </w:rPr>
        <w:t>财政拨款</w:t>
      </w:r>
      <w:r>
        <w:rPr>
          <w:rStyle w:val="20"/>
          <w:rFonts w:ascii="Times New Roman" w:hAnsi="Times New Roman" w:eastAsia="黑体"/>
        </w:rPr>
        <w:t>“</w:t>
      </w:r>
      <w:r>
        <w:rPr>
          <w:rStyle w:val="20"/>
          <w:rFonts w:ascii="黑体" w:eastAsia="黑体"/>
          <w:b w:val="0"/>
        </w:rPr>
        <w:t>三公</w:t>
      </w:r>
      <w:r>
        <w:rPr>
          <w:rStyle w:val="20"/>
          <w:rFonts w:ascii="Times New Roman" w:hAnsi="Times New Roman" w:eastAsia="黑体"/>
          <w:b w:val="0"/>
        </w:rPr>
        <w:t>”</w:t>
      </w:r>
      <w:r>
        <w:rPr>
          <w:rStyle w:val="20"/>
          <w:rFonts w:ascii="黑体" w:eastAsia="黑体"/>
          <w:b w:val="0"/>
        </w:rPr>
        <w:t>经费支出决算情况说明</w:t>
      </w:r>
    </w:p>
    <w:p>
      <w:pPr>
        <w:autoSpaceDE w:val="0"/>
        <w:spacing w:line="540" w:lineRule="exact"/>
        <w:ind w:firstLine="643" w:firstLineChars="200"/>
        <w:outlineLvl w:val="2"/>
        <w:rPr>
          <w:rFonts w:eastAsia="楷体_GB2312"/>
          <w:b/>
        </w:rPr>
      </w:pPr>
      <w:r>
        <w:rPr>
          <w:rFonts w:ascii="楷体_GB2312" w:eastAsia="楷体_GB2312"/>
          <w:b/>
          <w:sz w:val="32"/>
          <w:szCs w:val="32"/>
        </w:rPr>
        <w:t>（一）</w:t>
      </w:r>
      <w:r>
        <w:rPr>
          <w:rFonts w:eastAsia="楷体_GB2312"/>
          <w:b/>
          <w:sz w:val="32"/>
          <w:szCs w:val="32"/>
        </w:rPr>
        <w:t>“</w:t>
      </w:r>
      <w:r>
        <w:rPr>
          <w:rFonts w:ascii="楷体_GB2312" w:eastAsia="楷体_GB2312"/>
          <w:b/>
          <w:sz w:val="32"/>
          <w:szCs w:val="32"/>
        </w:rPr>
        <w:t>三公</w:t>
      </w:r>
      <w:r>
        <w:rPr>
          <w:rFonts w:eastAsia="楷体_GB2312"/>
          <w:b/>
          <w:sz w:val="32"/>
          <w:szCs w:val="32"/>
        </w:rPr>
        <w:t>”</w:t>
      </w:r>
      <w:r>
        <w:rPr>
          <w:rFonts w:ascii="楷体_GB2312" w:eastAsia="楷体_GB2312"/>
          <w:b/>
          <w:sz w:val="32"/>
          <w:szCs w:val="32"/>
        </w:rPr>
        <w:t>经费财政拨款支出决算总体情况说</w:t>
      </w:r>
      <w:r>
        <w:rPr>
          <w:rFonts w:hint="eastAsia" w:ascii="宋体" w:cs="宋体"/>
          <w:b/>
          <w:sz w:val="32"/>
          <w:szCs w:val="32"/>
        </w:rPr>
        <w:t>明</w:t>
      </w:r>
    </w:p>
    <w:p>
      <w:pPr>
        <w:autoSpaceDE w:val="0"/>
        <w:spacing w:line="540" w:lineRule="exact"/>
        <w:ind w:firstLine="640"/>
        <w:rPr>
          <w:rFonts w:ascii="仿宋_GB2312" w:eastAsia="仿宋_GB2312"/>
          <w:sz w:val="32"/>
          <w:szCs w:val="32"/>
        </w:rPr>
      </w:pPr>
      <w:r>
        <w:rPr>
          <w:rFonts w:eastAsia="仿宋_GB2312"/>
          <w:sz w:val="32"/>
          <w:szCs w:val="32"/>
        </w:rPr>
        <w:t>2024</w:t>
      </w:r>
      <w:r>
        <w:rPr>
          <w:rFonts w:ascii="仿宋_GB2312" w:eastAsia="仿宋_GB2312"/>
          <w:sz w:val="32"/>
          <w:szCs w:val="32"/>
        </w:rPr>
        <w:t>年度</w:t>
      </w:r>
      <w:r>
        <w:rPr>
          <w:rFonts w:eastAsia="仿宋_GB2312"/>
          <w:sz w:val="32"/>
          <w:szCs w:val="32"/>
        </w:rPr>
        <w:t>“</w:t>
      </w:r>
      <w:r>
        <w:rPr>
          <w:rFonts w:ascii="仿宋_GB2312" w:eastAsia="仿宋_GB2312"/>
          <w:sz w:val="32"/>
          <w:szCs w:val="32"/>
        </w:rPr>
        <w:t>三公</w:t>
      </w:r>
      <w:r>
        <w:rPr>
          <w:rFonts w:eastAsia="仿宋_GB2312"/>
          <w:sz w:val="32"/>
          <w:szCs w:val="32"/>
        </w:rPr>
        <w:t>”</w:t>
      </w:r>
      <w:r>
        <w:rPr>
          <w:rFonts w:ascii="仿宋_GB2312" w:eastAsia="仿宋_GB2312"/>
          <w:sz w:val="32"/>
          <w:szCs w:val="32"/>
        </w:rPr>
        <w:t>经费财政拨款支出决算为</w:t>
      </w:r>
      <w:r>
        <w:rPr>
          <w:rFonts w:eastAsia="仿宋_GB2312"/>
          <w:sz w:val="32"/>
          <w:szCs w:val="32"/>
        </w:rPr>
        <w:t>6.88</w:t>
      </w:r>
      <w:r>
        <w:rPr>
          <w:rFonts w:ascii="仿宋_GB2312" w:eastAsia="仿宋_GB2312"/>
          <w:sz w:val="32"/>
          <w:szCs w:val="32"/>
        </w:rPr>
        <w:t>万元，完成预算</w:t>
      </w:r>
      <w:r>
        <w:rPr>
          <w:rFonts w:eastAsia="仿宋_GB2312"/>
          <w:sz w:val="32"/>
          <w:szCs w:val="32"/>
        </w:rPr>
        <w:t>100%</w:t>
      </w:r>
      <w:r>
        <w:rPr>
          <w:rFonts w:ascii="仿宋_GB2312" w:eastAsia="仿宋_GB2312"/>
          <w:sz w:val="32"/>
          <w:szCs w:val="32"/>
        </w:rPr>
        <w:t>，较上年度增加</w:t>
      </w:r>
      <w:r>
        <w:rPr>
          <w:rFonts w:eastAsia="仿宋_GB2312"/>
          <w:sz w:val="32"/>
          <w:szCs w:val="32"/>
        </w:rPr>
        <w:t>2.09</w:t>
      </w:r>
      <w:r>
        <w:rPr>
          <w:rFonts w:ascii="仿宋_GB2312" w:eastAsia="仿宋_GB2312"/>
          <w:sz w:val="32"/>
          <w:szCs w:val="32"/>
        </w:rPr>
        <w:t>万元，增长</w:t>
      </w:r>
      <w:r>
        <w:rPr>
          <w:rFonts w:eastAsia="仿宋_GB2312"/>
          <w:sz w:val="32"/>
          <w:szCs w:val="32"/>
        </w:rPr>
        <w:t>43.63%</w:t>
      </w:r>
      <w:r>
        <w:rPr>
          <w:rFonts w:ascii="仿宋_GB2312" w:eastAsia="仿宋_GB2312"/>
          <w:sz w:val="32"/>
          <w:szCs w:val="32"/>
        </w:rPr>
        <w:t>。</w:t>
      </w:r>
    </w:p>
    <w:p>
      <w:pPr>
        <w:autoSpaceDE w:val="0"/>
        <w:spacing w:line="540" w:lineRule="exact"/>
        <w:ind w:firstLine="640"/>
        <w:rPr>
          <w:rFonts w:eastAsia="仿宋_GB2312"/>
          <w:sz w:val="32"/>
          <w:szCs w:val="32"/>
        </w:rPr>
      </w:pPr>
      <w:r>
        <w:rPr>
          <w:rFonts w:ascii="楷体_GB2312" w:eastAsia="楷体_GB2312"/>
          <w:b/>
          <w:sz w:val="32"/>
          <w:szCs w:val="32"/>
        </w:rPr>
        <w:t>（二）</w:t>
      </w:r>
      <w:r>
        <w:rPr>
          <w:rFonts w:eastAsia="楷体_GB2312"/>
          <w:b/>
          <w:sz w:val="32"/>
          <w:szCs w:val="32"/>
        </w:rPr>
        <w:t>“</w:t>
      </w:r>
      <w:r>
        <w:rPr>
          <w:rFonts w:ascii="楷体_GB2312" w:eastAsia="楷体_GB2312"/>
          <w:b/>
          <w:sz w:val="32"/>
          <w:szCs w:val="32"/>
        </w:rPr>
        <w:t>三公</w:t>
      </w:r>
      <w:r>
        <w:rPr>
          <w:rFonts w:eastAsia="楷体_GB2312"/>
          <w:b/>
          <w:sz w:val="32"/>
          <w:szCs w:val="32"/>
        </w:rPr>
        <w:t>”</w:t>
      </w:r>
      <w:r>
        <w:rPr>
          <w:rFonts w:ascii="楷体_GB2312" w:eastAsia="楷体_GB2312"/>
          <w:b/>
          <w:sz w:val="32"/>
          <w:szCs w:val="32"/>
        </w:rPr>
        <w:t>经费财政拨款支出决算具体情况说</w:t>
      </w:r>
      <w:r>
        <w:rPr>
          <w:rFonts w:hint="eastAsia" w:ascii="宋体" w:cs="宋体"/>
          <w:b/>
          <w:sz w:val="32"/>
          <w:szCs w:val="32"/>
        </w:rPr>
        <w:t>明</w:t>
      </w:r>
    </w:p>
    <w:p>
      <w:pPr>
        <w:autoSpaceDE w:val="0"/>
        <w:spacing w:line="540" w:lineRule="exact"/>
        <w:ind w:firstLine="640"/>
        <w:rPr>
          <w:rFonts w:eastAsia="仿宋_GB2312"/>
          <w:sz w:val="32"/>
          <w:szCs w:val="32"/>
        </w:rPr>
      </w:pPr>
      <w:r>
        <w:rPr>
          <w:rFonts w:eastAsia="仿宋_GB2312"/>
          <w:sz w:val="32"/>
          <w:szCs w:val="32"/>
        </w:rPr>
        <w:drawing>
          <wp:anchor distT="0" distB="0" distL="114300" distR="114300" simplePos="0" relativeHeight="251659264" behindDoc="0" locked="0" layoutInCell="1" allowOverlap="0">
            <wp:simplePos x="0" y="0"/>
            <wp:positionH relativeFrom="column">
              <wp:posOffset>304165</wp:posOffset>
            </wp:positionH>
            <wp:positionV relativeFrom="line">
              <wp:posOffset>1532890</wp:posOffset>
            </wp:positionV>
            <wp:extent cx="5209540" cy="2999105"/>
            <wp:effectExtent l="0" t="0" r="10160" b="10795"/>
            <wp:wrapSquare wrapText="bothSides"/>
            <wp:docPr id="19" name="图片 8" descr="C:\Users\ADMINI~1\AppData\Local\Temp\ksohtml14588\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descr="C:\Users\ADMINI~1\AppData\Local\Temp\ksohtml14588\wps14.jpg"/>
                    <pic:cNvPicPr>
                      <a:picLocks noChangeAspect="1"/>
                    </pic:cNvPicPr>
                  </pic:nvPicPr>
                  <pic:blipFill>
                    <a:blip r:embed="rId14"/>
                    <a:stretch>
                      <a:fillRect/>
                    </a:stretch>
                  </pic:blipFill>
                  <pic:spPr>
                    <a:xfrm>
                      <a:off x="0" y="0"/>
                      <a:ext cx="5209540" cy="2999105"/>
                    </a:xfrm>
                    <a:prstGeom prst="rect">
                      <a:avLst/>
                    </a:prstGeom>
                    <a:noFill/>
                    <a:ln w="9525" cap="flat" cmpd="sng">
                      <a:noFill/>
                      <a:prstDash val="solid"/>
                      <a:miter/>
                    </a:ln>
                  </pic:spPr>
                </pic:pic>
              </a:graphicData>
            </a:graphic>
          </wp:anchor>
        </w:drawing>
      </w:r>
      <w:r>
        <w:rPr>
          <w:rFonts w:eastAsia="仿宋_GB2312"/>
          <w:sz w:val="32"/>
          <w:szCs w:val="32"/>
        </w:rPr>
        <w:t>2024</w:t>
      </w:r>
      <w:r>
        <w:rPr>
          <w:rFonts w:ascii="仿宋_GB2312" w:eastAsia="仿宋_GB2312"/>
          <w:sz w:val="32"/>
          <w:szCs w:val="32"/>
        </w:rPr>
        <w:t>年度</w:t>
      </w:r>
      <w:r>
        <w:rPr>
          <w:rFonts w:eastAsia="仿宋_GB2312"/>
          <w:sz w:val="32"/>
          <w:szCs w:val="32"/>
        </w:rPr>
        <w:t>“</w:t>
      </w:r>
      <w:r>
        <w:rPr>
          <w:rFonts w:ascii="仿宋_GB2312" w:eastAsia="仿宋_GB2312"/>
          <w:sz w:val="32"/>
          <w:szCs w:val="32"/>
        </w:rPr>
        <w:t>三公</w:t>
      </w:r>
      <w:r>
        <w:rPr>
          <w:rFonts w:eastAsia="仿宋_GB2312"/>
          <w:sz w:val="32"/>
          <w:szCs w:val="32"/>
        </w:rPr>
        <w:t>”</w:t>
      </w:r>
      <w:r>
        <w:rPr>
          <w:rFonts w:ascii="仿宋_GB2312" w:eastAsia="仿宋_GB2312"/>
          <w:sz w:val="32"/>
          <w:szCs w:val="32"/>
        </w:rPr>
        <w:t>经费财政拨款支出决算中，因公出国（境）费支出决算</w:t>
      </w:r>
      <w:r>
        <w:rPr>
          <w:rFonts w:eastAsia="仿宋_GB2312"/>
          <w:sz w:val="32"/>
          <w:szCs w:val="32"/>
        </w:rPr>
        <w:t>0</w:t>
      </w:r>
      <w:r>
        <w:rPr>
          <w:rFonts w:ascii="仿宋_GB2312" w:eastAsia="仿宋_GB2312"/>
          <w:sz w:val="32"/>
          <w:szCs w:val="32"/>
        </w:rPr>
        <w:t>万元，占</w:t>
      </w:r>
      <w:r>
        <w:rPr>
          <w:rFonts w:eastAsia="仿宋_GB2312"/>
          <w:sz w:val="32"/>
          <w:szCs w:val="32"/>
        </w:rPr>
        <w:t>0%</w:t>
      </w:r>
      <w:r>
        <w:rPr>
          <w:rFonts w:ascii="仿宋_GB2312" w:eastAsia="仿宋_GB2312"/>
          <w:sz w:val="32"/>
          <w:szCs w:val="32"/>
        </w:rPr>
        <w:t>；公务用车购置及运行维护费支出决算</w:t>
      </w:r>
      <w:r>
        <w:rPr>
          <w:rFonts w:eastAsia="仿宋_GB2312"/>
          <w:sz w:val="32"/>
          <w:szCs w:val="32"/>
        </w:rPr>
        <w:t>5.94</w:t>
      </w:r>
      <w:r>
        <w:rPr>
          <w:rFonts w:ascii="仿宋_GB2312" w:eastAsia="仿宋_GB2312"/>
          <w:sz w:val="32"/>
          <w:szCs w:val="32"/>
        </w:rPr>
        <w:t>万元，占</w:t>
      </w:r>
      <w:r>
        <w:rPr>
          <w:rFonts w:eastAsia="仿宋_GB2312"/>
          <w:sz w:val="32"/>
          <w:szCs w:val="32"/>
        </w:rPr>
        <w:t>86.34%</w:t>
      </w:r>
      <w:r>
        <w:rPr>
          <w:rFonts w:ascii="仿宋_GB2312" w:eastAsia="仿宋_GB2312"/>
          <w:sz w:val="32"/>
          <w:szCs w:val="32"/>
        </w:rPr>
        <w:t>；公务接待费支出决算</w:t>
      </w:r>
      <w:r>
        <w:rPr>
          <w:rFonts w:eastAsia="仿宋_GB2312"/>
          <w:sz w:val="32"/>
          <w:szCs w:val="32"/>
        </w:rPr>
        <w:t>0.94</w:t>
      </w:r>
      <w:r>
        <w:rPr>
          <w:rFonts w:ascii="仿宋_GB2312" w:eastAsia="仿宋_GB2312"/>
          <w:sz w:val="32"/>
          <w:szCs w:val="32"/>
        </w:rPr>
        <w:t>万元，占</w:t>
      </w:r>
      <w:r>
        <w:rPr>
          <w:rFonts w:eastAsia="仿宋_GB2312"/>
          <w:sz w:val="32"/>
          <w:szCs w:val="32"/>
        </w:rPr>
        <w:t>13.66%</w:t>
      </w:r>
      <w:r>
        <w:rPr>
          <w:rFonts w:ascii="仿宋_GB2312" w:eastAsia="仿宋_GB2312"/>
          <w:sz w:val="32"/>
          <w:szCs w:val="32"/>
        </w:rPr>
        <w:t>。具体情况如下：</w:t>
      </w:r>
    </w:p>
    <w:p>
      <w:pPr>
        <w:pStyle w:val="2"/>
        <w:rPr>
          <w:rFonts w:ascii="Times New Roman" w:hAnsi="Times New Roman" w:eastAsia="仿宋_GB2312"/>
          <w:sz w:val="32"/>
          <w:szCs w:val="32"/>
        </w:rPr>
      </w:pPr>
      <w:r>
        <w:rPr>
          <w:rFonts w:eastAsia="仿宋_GB2312"/>
          <w:sz w:val="32"/>
          <w:szCs w:val="32"/>
        </w:rPr>
        <w:t xml:space="preserve"> </w:t>
      </w:r>
      <w:bookmarkStart w:id="1" w:name="_GoBack"/>
      <w:bookmarkEnd w:id="1"/>
    </w:p>
    <w:p>
      <w:pPr>
        <w:spacing w:line="540" w:lineRule="exact"/>
        <w:ind w:firstLine="643" w:firstLineChars="200"/>
        <w:rPr>
          <w:rFonts w:eastAsia="仿宋_GB2312"/>
          <w:sz w:val="32"/>
          <w:szCs w:val="32"/>
        </w:rPr>
      </w:pPr>
      <w:r>
        <w:rPr>
          <w:rFonts w:eastAsia="仿宋_GB2312"/>
          <w:b/>
          <w:bCs/>
          <w:sz w:val="32"/>
          <w:szCs w:val="32"/>
        </w:rPr>
        <w:t>1.</w:t>
      </w:r>
      <w:r>
        <w:rPr>
          <w:rFonts w:ascii="仿宋_GB2312" w:eastAsia="仿宋_GB2312"/>
          <w:b/>
          <w:bCs/>
          <w:sz w:val="32"/>
          <w:szCs w:val="32"/>
        </w:rPr>
        <w:t>因公出国（境）经费支出</w:t>
      </w:r>
      <w:r>
        <w:rPr>
          <w:rFonts w:eastAsia="仿宋_GB2312"/>
          <w:b/>
          <w:bCs/>
          <w:sz w:val="32"/>
          <w:szCs w:val="32"/>
        </w:rPr>
        <w:t>0</w:t>
      </w:r>
      <w:r>
        <w:rPr>
          <w:rFonts w:ascii="仿宋_GB2312" w:eastAsia="仿宋_GB2312"/>
          <w:b/>
          <w:bCs/>
          <w:sz w:val="32"/>
          <w:szCs w:val="32"/>
        </w:rPr>
        <w:t>万元，完成预算</w:t>
      </w:r>
      <w:r>
        <w:rPr>
          <w:rFonts w:eastAsia="仿宋_GB2312"/>
          <w:b/>
          <w:bCs/>
          <w:sz w:val="32"/>
          <w:szCs w:val="32"/>
        </w:rPr>
        <w:t>0%</w:t>
      </w:r>
      <w:r>
        <w:rPr>
          <w:rFonts w:ascii="仿宋_GB2312" w:eastAsia="仿宋_GB2312"/>
          <w:b/>
          <w:bCs/>
          <w:sz w:val="32"/>
          <w:szCs w:val="32"/>
        </w:rPr>
        <w:t>。</w:t>
      </w:r>
      <w:r>
        <w:rPr>
          <w:rFonts w:ascii="仿宋_GB2312" w:eastAsia="仿宋_GB2312"/>
          <w:sz w:val="32"/>
          <w:szCs w:val="32"/>
        </w:rPr>
        <w:t>全年安排因公出国（境）团组</w:t>
      </w:r>
      <w:r>
        <w:rPr>
          <w:rFonts w:eastAsia="仿宋_GB2312"/>
          <w:sz w:val="32"/>
          <w:szCs w:val="32"/>
        </w:rPr>
        <w:t>0</w:t>
      </w:r>
      <w:r>
        <w:rPr>
          <w:rFonts w:ascii="仿宋_GB2312" w:eastAsia="仿宋_GB2312"/>
          <w:sz w:val="32"/>
          <w:szCs w:val="32"/>
        </w:rPr>
        <w:t>次，出国（境）</w:t>
      </w:r>
      <w:r>
        <w:rPr>
          <w:rFonts w:eastAsia="仿宋_GB2312"/>
          <w:sz w:val="32"/>
          <w:szCs w:val="32"/>
        </w:rPr>
        <w:t>0</w:t>
      </w:r>
      <w:r>
        <w:rPr>
          <w:rFonts w:ascii="仿宋_GB2312" w:eastAsia="仿宋_GB2312"/>
          <w:sz w:val="32"/>
          <w:szCs w:val="32"/>
        </w:rPr>
        <w:t>人。因公出国（境）支出决算与</w:t>
      </w:r>
      <w:r>
        <w:rPr>
          <w:rFonts w:eastAsia="仿宋_GB2312"/>
          <w:sz w:val="32"/>
          <w:szCs w:val="32"/>
        </w:rPr>
        <w:t>2022</w:t>
      </w:r>
      <w:r>
        <w:rPr>
          <w:rFonts w:ascii="仿宋_GB2312" w:eastAsia="仿宋_GB2312"/>
          <w:sz w:val="32"/>
          <w:szCs w:val="32"/>
        </w:rPr>
        <w:t>年相比无变化。</w:t>
      </w:r>
    </w:p>
    <w:p>
      <w:pPr>
        <w:autoSpaceDE w:val="0"/>
        <w:spacing w:line="540" w:lineRule="exact"/>
        <w:ind w:firstLine="640"/>
        <w:rPr>
          <w:rFonts w:eastAsia="仿宋_GB2312"/>
          <w:sz w:val="32"/>
          <w:szCs w:val="32"/>
          <w:highlight w:val="red"/>
        </w:rPr>
      </w:pPr>
      <w:r>
        <w:rPr>
          <w:rFonts w:eastAsia="仿宋_GB2312"/>
          <w:b/>
          <w:bCs/>
          <w:sz w:val="32"/>
          <w:szCs w:val="32"/>
        </w:rPr>
        <w:t>2.</w:t>
      </w:r>
      <w:r>
        <w:rPr>
          <w:rFonts w:ascii="仿宋_GB2312" w:eastAsia="仿宋_GB2312"/>
          <w:b/>
          <w:bCs/>
          <w:sz w:val="32"/>
          <w:szCs w:val="32"/>
        </w:rPr>
        <w:t>公务用车购置及运行维护费支出</w:t>
      </w:r>
      <w:r>
        <w:rPr>
          <w:rFonts w:eastAsia="仿宋_GB2312"/>
          <w:b/>
          <w:bCs/>
          <w:sz w:val="32"/>
          <w:szCs w:val="32"/>
        </w:rPr>
        <w:t>5.94</w:t>
      </w:r>
      <w:r>
        <w:rPr>
          <w:rFonts w:ascii="仿宋_GB2312" w:eastAsia="仿宋_GB2312"/>
          <w:b/>
          <w:bCs/>
          <w:sz w:val="32"/>
          <w:szCs w:val="32"/>
        </w:rPr>
        <w:t>万元，完成预算</w:t>
      </w:r>
      <w:r>
        <w:rPr>
          <w:rFonts w:eastAsia="仿宋_GB2312"/>
          <w:b/>
          <w:bCs/>
          <w:sz w:val="32"/>
          <w:szCs w:val="32"/>
        </w:rPr>
        <w:t>100%</w:t>
      </w:r>
      <w:r>
        <w:rPr>
          <w:rFonts w:ascii="仿宋_GB2312" w:eastAsia="仿宋_GB2312"/>
          <w:b/>
          <w:bCs/>
          <w:sz w:val="32"/>
          <w:szCs w:val="32"/>
        </w:rPr>
        <w:t>。</w:t>
      </w:r>
      <w:r>
        <w:rPr>
          <w:rFonts w:ascii="仿宋_GB2312" w:eastAsia="仿宋_GB2312"/>
          <w:sz w:val="32"/>
          <w:szCs w:val="32"/>
        </w:rPr>
        <w:t>公务用车购置及运行维护费支出决算比</w:t>
      </w:r>
      <w:r>
        <w:rPr>
          <w:rFonts w:eastAsia="仿宋_GB2312"/>
          <w:sz w:val="32"/>
          <w:szCs w:val="32"/>
        </w:rPr>
        <w:t>2023</w:t>
      </w:r>
      <w:r>
        <w:rPr>
          <w:rFonts w:ascii="仿宋_GB2312" w:eastAsia="仿宋_GB2312"/>
          <w:sz w:val="32"/>
          <w:szCs w:val="32"/>
        </w:rPr>
        <w:t>年度增加</w:t>
      </w:r>
      <w:r>
        <w:rPr>
          <w:rFonts w:eastAsia="仿宋_GB2312"/>
          <w:sz w:val="32"/>
          <w:szCs w:val="32"/>
        </w:rPr>
        <w:t>1.15</w:t>
      </w:r>
      <w:r>
        <w:rPr>
          <w:rFonts w:ascii="仿宋_GB2312" w:eastAsia="仿宋_GB2312"/>
          <w:sz w:val="32"/>
          <w:szCs w:val="32"/>
        </w:rPr>
        <w:t>万元，增长</w:t>
      </w:r>
      <w:r>
        <w:rPr>
          <w:rFonts w:eastAsia="仿宋_GB2312"/>
          <w:sz w:val="32"/>
          <w:szCs w:val="32"/>
        </w:rPr>
        <w:t>24%</w:t>
      </w:r>
      <w:r>
        <w:rPr>
          <w:rFonts w:ascii="仿宋_GB2312" w:eastAsia="仿宋_GB2312"/>
          <w:b/>
          <w:bCs/>
          <w:sz w:val="32"/>
          <w:szCs w:val="32"/>
        </w:rPr>
        <w:t>。主要原因为：</w:t>
      </w:r>
      <w:r>
        <w:rPr>
          <w:rFonts w:ascii="仿宋_GB2312" w:eastAsia="仿宋_GB2312"/>
          <w:sz w:val="32"/>
          <w:szCs w:val="32"/>
          <w:shd w:val="clear" w:color="auto" w:fill="FFFFFF"/>
        </w:rPr>
        <w:t>提高指挥通信跨区支援能力，相关市州到我州开展跨区拉动训练，产生接待费。</w:t>
      </w:r>
    </w:p>
    <w:p>
      <w:pPr>
        <w:autoSpaceDE w:val="0"/>
        <w:spacing w:line="540" w:lineRule="exact"/>
        <w:ind w:firstLine="640"/>
        <w:rPr>
          <w:rFonts w:eastAsia="仿宋_GB2312"/>
          <w:sz w:val="32"/>
          <w:szCs w:val="32"/>
        </w:rPr>
      </w:pPr>
      <w:r>
        <w:rPr>
          <w:rFonts w:ascii="仿宋_GB2312" w:eastAsia="仿宋_GB2312"/>
          <w:sz w:val="32"/>
          <w:szCs w:val="32"/>
        </w:rPr>
        <w:t>其中：公务用车购置支出</w:t>
      </w:r>
      <w:r>
        <w:rPr>
          <w:rFonts w:eastAsia="仿宋_GB2312"/>
          <w:sz w:val="32"/>
          <w:szCs w:val="32"/>
        </w:rPr>
        <w:t>0</w:t>
      </w:r>
      <w:r>
        <w:rPr>
          <w:rFonts w:ascii="仿宋_GB2312" w:eastAsia="仿宋_GB2312"/>
          <w:sz w:val="32"/>
          <w:szCs w:val="32"/>
        </w:rPr>
        <w:t>万元。全年按规定更新购置公务用车</w:t>
      </w:r>
      <w:r>
        <w:rPr>
          <w:rFonts w:eastAsia="仿宋_GB2312"/>
          <w:sz w:val="32"/>
          <w:szCs w:val="32"/>
        </w:rPr>
        <w:t>0</w:t>
      </w:r>
      <w:r>
        <w:rPr>
          <w:rFonts w:ascii="仿宋_GB2312" w:eastAsia="仿宋_GB2312"/>
          <w:sz w:val="32"/>
          <w:szCs w:val="32"/>
        </w:rPr>
        <w:t>辆，其中：轿车</w:t>
      </w:r>
      <w:r>
        <w:rPr>
          <w:rFonts w:eastAsia="仿宋_GB2312"/>
          <w:sz w:val="32"/>
          <w:szCs w:val="32"/>
        </w:rPr>
        <w:t>0</w:t>
      </w:r>
      <w:r>
        <w:rPr>
          <w:rFonts w:ascii="仿宋_GB2312" w:eastAsia="仿宋_GB2312"/>
          <w:sz w:val="32"/>
          <w:szCs w:val="32"/>
        </w:rPr>
        <w:t>辆、金额</w:t>
      </w:r>
      <w:r>
        <w:rPr>
          <w:rFonts w:eastAsia="仿宋_GB2312"/>
          <w:sz w:val="32"/>
          <w:szCs w:val="32"/>
        </w:rPr>
        <w:t>0</w:t>
      </w:r>
      <w:r>
        <w:rPr>
          <w:rFonts w:ascii="仿宋_GB2312" w:eastAsia="仿宋_GB2312"/>
          <w:sz w:val="32"/>
          <w:szCs w:val="32"/>
        </w:rPr>
        <w:t>万元，越野车</w:t>
      </w:r>
      <w:r>
        <w:rPr>
          <w:rFonts w:eastAsia="仿宋_GB2312"/>
          <w:sz w:val="32"/>
          <w:szCs w:val="32"/>
        </w:rPr>
        <w:t>0</w:t>
      </w:r>
      <w:r>
        <w:rPr>
          <w:rFonts w:ascii="仿宋_GB2312" w:eastAsia="仿宋_GB2312"/>
          <w:sz w:val="32"/>
          <w:szCs w:val="32"/>
        </w:rPr>
        <w:t>辆、金额</w:t>
      </w:r>
      <w:r>
        <w:rPr>
          <w:rFonts w:eastAsia="仿宋_GB2312"/>
          <w:sz w:val="32"/>
          <w:szCs w:val="32"/>
        </w:rPr>
        <w:t>0</w:t>
      </w:r>
      <w:r>
        <w:rPr>
          <w:rFonts w:ascii="仿宋_GB2312" w:eastAsia="仿宋_GB2312"/>
          <w:sz w:val="32"/>
          <w:szCs w:val="32"/>
        </w:rPr>
        <w:t>万元，载客汽车</w:t>
      </w:r>
      <w:r>
        <w:rPr>
          <w:rFonts w:eastAsia="仿宋_GB2312"/>
          <w:sz w:val="32"/>
          <w:szCs w:val="32"/>
        </w:rPr>
        <w:t>0</w:t>
      </w:r>
      <w:r>
        <w:rPr>
          <w:rFonts w:ascii="仿宋_GB2312" w:eastAsia="仿宋_GB2312"/>
          <w:sz w:val="32"/>
          <w:szCs w:val="32"/>
        </w:rPr>
        <w:t>辆、金额</w:t>
      </w:r>
      <w:r>
        <w:rPr>
          <w:rFonts w:eastAsia="仿宋_GB2312"/>
          <w:sz w:val="32"/>
          <w:szCs w:val="32"/>
        </w:rPr>
        <w:t>0</w:t>
      </w:r>
      <w:r>
        <w:rPr>
          <w:rFonts w:ascii="仿宋_GB2312" w:eastAsia="仿宋_GB2312"/>
          <w:sz w:val="32"/>
          <w:szCs w:val="32"/>
        </w:rPr>
        <w:t>万元。截至</w:t>
      </w:r>
      <w:r>
        <w:rPr>
          <w:rFonts w:eastAsia="仿宋_GB2312"/>
          <w:sz w:val="32"/>
          <w:szCs w:val="32"/>
        </w:rPr>
        <w:t>2024</w:t>
      </w:r>
      <w:r>
        <w:rPr>
          <w:rFonts w:ascii="仿宋_GB2312" w:eastAsia="仿宋_GB2312"/>
          <w:sz w:val="32"/>
          <w:szCs w:val="32"/>
        </w:rPr>
        <w:t>年</w:t>
      </w:r>
      <w:r>
        <w:rPr>
          <w:rFonts w:eastAsia="仿宋_GB2312"/>
          <w:sz w:val="32"/>
          <w:szCs w:val="32"/>
        </w:rPr>
        <w:t>12</w:t>
      </w:r>
      <w:r>
        <w:rPr>
          <w:rFonts w:ascii="仿宋_GB2312" w:eastAsia="仿宋_GB2312"/>
          <w:sz w:val="32"/>
          <w:szCs w:val="32"/>
        </w:rPr>
        <w:t>月</w:t>
      </w:r>
      <w:r>
        <w:rPr>
          <w:rFonts w:eastAsia="仿宋_GB2312"/>
          <w:sz w:val="32"/>
          <w:szCs w:val="32"/>
        </w:rPr>
        <w:t>31</w:t>
      </w:r>
      <w:r>
        <w:rPr>
          <w:rFonts w:ascii="仿宋_GB2312" w:eastAsia="仿宋_GB2312"/>
          <w:sz w:val="32"/>
          <w:szCs w:val="32"/>
        </w:rPr>
        <w:t>日，单位共有公务用车</w:t>
      </w:r>
      <w:r>
        <w:rPr>
          <w:rFonts w:eastAsia="仿宋_GB2312"/>
          <w:sz w:val="32"/>
          <w:szCs w:val="32"/>
        </w:rPr>
        <w:t>1</w:t>
      </w:r>
      <w:r>
        <w:rPr>
          <w:rFonts w:ascii="仿宋_GB2312" w:eastAsia="仿宋_GB2312"/>
          <w:sz w:val="32"/>
          <w:szCs w:val="32"/>
        </w:rPr>
        <w:t>辆，其中：轿车</w:t>
      </w:r>
      <w:r>
        <w:rPr>
          <w:rFonts w:eastAsia="仿宋_GB2312"/>
          <w:sz w:val="32"/>
          <w:szCs w:val="32"/>
        </w:rPr>
        <w:t>0</w:t>
      </w:r>
      <w:r>
        <w:rPr>
          <w:rFonts w:ascii="仿宋_GB2312" w:eastAsia="仿宋_GB2312"/>
          <w:sz w:val="32"/>
          <w:szCs w:val="32"/>
        </w:rPr>
        <w:t>辆、越野车</w:t>
      </w:r>
      <w:r>
        <w:rPr>
          <w:rFonts w:eastAsia="仿宋_GB2312"/>
          <w:sz w:val="32"/>
          <w:szCs w:val="32"/>
        </w:rPr>
        <w:t>1</w:t>
      </w:r>
      <w:r>
        <w:rPr>
          <w:rFonts w:ascii="仿宋_GB2312" w:eastAsia="仿宋_GB2312"/>
          <w:sz w:val="32"/>
          <w:szCs w:val="32"/>
        </w:rPr>
        <w:t>辆、载客汽车</w:t>
      </w:r>
      <w:r>
        <w:rPr>
          <w:rFonts w:eastAsia="仿宋_GB2312"/>
          <w:sz w:val="32"/>
          <w:szCs w:val="32"/>
        </w:rPr>
        <w:t>0</w:t>
      </w:r>
      <w:r>
        <w:rPr>
          <w:rFonts w:ascii="仿宋_GB2312" w:eastAsia="仿宋_GB2312"/>
          <w:sz w:val="32"/>
          <w:szCs w:val="32"/>
        </w:rPr>
        <w:t>辆。</w:t>
      </w:r>
    </w:p>
    <w:p>
      <w:pPr>
        <w:spacing w:line="540" w:lineRule="exact"/>
        <w:ind w:firstLine="643" w:firstLineChars="200"/>
        <w:rPr>
          <w:rFonts w:eastAsia="仿宋_GB2312"/>
          <w:sz w:val="32"/>
          <w:szCs w:val="32"/>
        </w:rPr>
      </w:pPr>
      <w:r>
        <w:rPr>
          <w:rFonts w:ascii="仿宋_GB2312" w:eastAsia="仿宋_GB2312"/>
          <w:b/>
          <w:sz w:val="32"/>
          <w:szCs w:val="32"/>
        </w:rPr>
        <w:t>公务用车运行维护费支出</w:t>
      </w:r>
      <w:r>
        <w:rPr>
          <w:rFonts w:eastAsia="仿宋"/>
          <w:b/>
          <w:sz w:val="32"/>
          <w:szCs w:val="32"/>
        </w:rPr>
        <w:t>5.94</w:t>
      </w:r>
      <w:r>
        <w:rPr>
          <w:rFonts w:ascii="仿宋_GB2312" w:eastAsia="仿宋_GB2312"/>
          <w:bCs/>
          <w:sz w:val="32"/>
          <w:szCs w:val="32"/>
        </w:rPr>
        <w:t>万元</w:t>
      </w:r>
      <w:r>
        <w:rPr>
          <w:rFonts w:ascii="仿宋_GB2312" w:eastAsia="仿宋_GB2312"/>
          <w:sz w:val="32"/>
          <w:szCs w:val="32"/>
        </w:rPr>
        <w:t>。主要用于保障日常工作正常运转所产生的车辆保险费和车辆维修费支出。</w:t>
      </w:r>
    </w:p>
    <w:p>
      <w:pPr>
        <w:autoSpaceDE w:val="0"/>
        <w:spacing w:line="540" w:lineRule="exact"/>
        <w:ind w:firstLine="640"/>
        <w:rPr>
          <w:rFonts w:eastAsia="仿宋_GB2312"/>
          <w:sz w:val="32"/>
          <w:szCs w:val="32"/>
        </w:rPr>
      </w:pPr>
      <w:r>
        <w:rPr>
          <w:rFonts w:eastAsia="仿宋_GB2312"/>
          <w:b/>
          <w:bCs/>
          <w:sz w:val="32"/>
          <w:szCs w:val="32"/>
        </w:rPr>
        <w:t>3.</w:t>
      </w:r>
      <w:r>
        <w:rPr>
          <w:rFonts w:ascii="仿宋_GB2312" w:eastAsia="仿宋_GB2312"/>
          <w:b/>
          <w:bCs/>
          <w:sz w:val="32"/>
          <w:szCs w:val="32"/>
        </w:rPr>
        <w:t>公务接待费支出</w:t>
      </w:r>
      <w:r>
        <w:rPr>
          <w:rFonts w:eastAsia="仿宋_GB2312"/>
          <w:b/>
          <w:bCs/>
          <w:sz w:val="32"/>
          <w:szCs w:val="32"/>
        </w:rPr>
        <w:t>0.94</w:t>
      </w:r>
      <w:r>
        <w:rPr>
          <w:rFonts w:ascii="仿宋_GB2312" w:eastAsia="仿宋_GB2312"/>
          <w:b/>
          <w:bCs/>
          <w:sz w:val="32"/>
          <w:szCs w:val="32"/>
        </w:rPr>
        <w:t>万元，完成预算</w:t>
      </w:r>
      <w:r>
        <w:rPr>
          <w:rFonts w:eastAsia="仿宋_GB2312"/>
          <w:b/>
          <w:bCs/>
          <w:sz w:val="32"/>
          <w:szCs w:val="32"/>
        </w:rPr>
        <w:t>100%</w:t>
      </w:r>
      <w:r>
        <w:rPr>
          <w:rFonts w:ascii="仿宋_GB2312" w:eastAsia="仿宋_GB2312"/>
          <w:b/>
          <w:bCs/>
          <w:sz w:val="32"/>
          <w:szCs w:val="32"/>
        </w:rPr>
        <w:t>。</w:t>
      </w:r>
      <w:r>
        <w:rPr>
          <w:rFonts w:ascii="仿宋_GB2312" w:eastAsia="仿宋_GB2312"/>
          <w:sz w:val="32"/>
          <w:szCs w:val="32"/>
        </w:rPr>
        <w:t>公务接待费支出决算比</w:t>
      </w:r>
      <w:r>
        <w:rPr>
          <w:rFonts w:eastAsia="仿宋_GB2312"/>
          <w:sz w:val="32"/>
          <w:szCs w:val="32"/>
        </w:rPr>
        <w:t>2023</w:t>
      </w:r>
      <w:r>
        <w:rPr>
          <w:rFonts w:ascii="仿宋_GB2312" w:eastAsia="仿宋_GB2312"/>
          <w:sz w:val="32"/>
          <w:szCs w:val="32"/>
        </w:rPr>
        <w:t>年度增加</w:t>
      </w:r>
      <w:r>
        <w:rPr>
          <w:rFonts w:eastAsia="仿宋_GB2312"/>
          <w:sz w:val="32"/>
          <w:szCs w:val="32"/>
        </w:rPr>
        <w:t>0.94</w:t>
      </w:r>
      <w:r>
        <w:rPr>
          <w:rFonts w:ascii="仿宋_GB2312" w:eastAsia="仿宋_GB2312"/>
          <w:sz w:val="32"/>
          <w:szCs w:val="32"/>
        </w:rPr>
        <w:t>万元，增长</w:t>
      </w:r>
      <w:r>
        <w:rPr>
          <w:rFonts w:eastAsia="仿宋_GB2312"/>
          <w:sz w:val="32"/>
          <w:szCs w:val="32"/>
        </w:rPr>
        <w:t>100%</w:t>
      </w:r>
      <w:r>
        <w:rPr>
          <w:rFonts w:ascii="仿宋_GB2312" w:eastAsia="仿宋_GB2312"/>
          <w:sz w:val="32"/>
          <w:szCs w:val="32"/>
        </w:rPr>
        <w:t>。</w:t>
      </w:r>
      <w:r>
        <w:rPr>
          <w:rFonts w:ascii="仿宋_GB2312" w:eastAsia="仿宋_GB2312"/>
          <w:b/>
          <w:bCs/>
          <w:sz w:val="32"/>
          <w:szCs w:val="32"/>
        </w:rPr>
        <w:t>主要原因是</w:t>
      </w:r>
      <w:r>
        <w:rPr>
          <w:rFonts w:ascii="仿宋_GB2312" w:eastAsia="仿宋_GB2312"/>
          <w:sz w:val="32"/>
          <w:szCs w:val="32"/>
          <w:shd w:val="clear" w:color="auto" w:fill="FFFFFF"/>
        </w:rPr>
        <w:t>提高指挥通信跨区支援能力，相关市州到我州开展跨区拉动训练，产生接待费。</w:t>
      </w:r>
      <w:r>
        <w:rPr>
          <w:rFonts w:ascii="仿宋_GB2312" w:eastAsia="仿宋_GB2312"/>
          <w:sz w:val="32"/>
          <w:szCs w:val="32"/>
        </w:rPr>
        <w:t>其中：</w:t>
      </w:r>
    </w:p>
    <w:p>
      <w:pPr>
        <w:autoSpaceDE w:val="0"/>
        <w:spacing w:line="540" w:lineRule="exact"/>
        <w:ind w:firstLine="640"/>
        <w:rPr>
          <w:rFonts w:eastAsia="仿宋_GB2312"/>
          <w:sz w:val="32"/>
          <w:szCs w:val="32"/>
        </w:rPr>
      </w:pPr>
      <w:r>
        <w:rPr>
          <w:rFonts w:ascii="仿宋_GB2312" w:eastAsia="仿宋_GB2312"/>
          <w:b/>
          <w:bCs/>
          <w:sz w:val="32"/>
          <w:szCs w:val="32"/>
        </w:rPr>
        <w:t>国内公务接待支出</w:t>
      </w:r>
      <w:r>
        <w:rPr>
          <w:rFonts w:eastAsia="仿宋_GB2312"/>
          <w:sz w:val="32"/>
          <w:szCs w:val="32"/>
        </w:rPr>
        <w:t>0.94</w:t>
      </w:r>
      <w:r>
        <w:rPr>
          <w:rFonts w:ascii="仿宋_GB2312" w:eastAsia="仿宋_GB2312"/>
          <w:sz w:val="32"/>
          <w:szCs w:val="32"/>
        </w:rPr>
        <w:t>万元，主要用于用餐费。国内公务接待</w:t>
      </w:r>
      <w:r>
        <w:rPr>
          <w:rFonts w:eastAsia="仿宋_GB2312"/>
          <w:sz w:val="32"/>
          <w:szCs w:val="32"/>
        </w:rPr>
        <w:t>3</w:t>
      </w:r>
      <w:r>
        <w:rPr>
          <w:rFonts w:ascii="仿宋_GB2312" w:eastAsia="仿宋_GB2312"/>
          <w:sz w:val="32"/>
          <w:szCs w:val="32"/>
        </w:rPr>
        <w:t>批次，</w:t>
      </w:r>
      <w:r>
        <w:rPr>
          <w:rFonts w:eastAsia="仿宋_GB2312"/>
          <w:sz w:val="32"/>
          <w:szCs w:val="32"/>
        </w:rPr>
        <w:t>60</w:t>
      </w:r>
      <w:r>
        <w:rPr>
          <w:rFonts w:ascii="仿宋_GB2312" w:eastAsia="仿宋_GB2312"/>
          <w:sz w:val="32"/>
          <w:szCs w:val="32"/>
        </w:rPr>
        <w:t>人次（不包括陪同人员），共计支出</w:t>
      </w:r>
      <w:r>
        <w:rPr>
          <w:rFonts w:eastAsia="仿宋_GB2312"/>
          <w:sz w:val="32"/>
          <w:szCs w:val="32"/>
        </w:rPr>
        <w:t>0.94</w:t>
      </w:r>
      <w:r>
        <w:rPr>
          <w:rFonts w:ascii="仿宋_GB2312" w:eastAsia="仿宋_GB2312"/>
          <w:sz w:val="32"/>
          <w:szCs w:val="32"/>
        </w:rPr>
        <w:t>万元。</w:t>
      </w:r>
      <w:r>
        <w:rPr>
          <w:rFonts w:ascii="仿宋_GB2312" w:eastAsia="仿宋_GB2312"/>
          <w:b/>
          <w:bCs/>
          <w:sz w:val="32"/>
          <w:szCs w:val="32"/>
        </w:rPr>
        <w:t>外事接待支出</w:t>
      </w:r>
      <w:r>
        <w:rPr>
          <w:rFonts w:eastAsia="仿宋_GB2312"/>
          <w:sz w:val="32"/>
          <w:szCs w:val="32"/>
        </w:rPr>
        <w:t>0</w:t>
      </w:r>
      <w:r>
        <w:rPr>
          <w:rFonts w:ascii="仿宋_GB2312" w:eastAsia="仿宋_GB2312"/>
          <w:sz w:val="32"/>
          <w:szCs w:val="32"/>
        </w:rPr>
        <w:t>万元。外事接待</w:t>
      </w:r>
      <w:r>
        <w:rPr>
          <w:rFonts w:eastAsia="仿宋_GB2312"/>
          <w:sz w:val="32"/>
          <w:szCs w:val="32"/>
        </w:rPr>
        <w:t>0</w:t>
      </w:r>
      <w:r>
        <w:rPr>
          <w:rFonts w:ascii="仿宋_GB2312" w:eastAsia="仿宋_GB2312"/>
          <w:sz w:val="32"/>
          <w:szCs w:val="32"/>
        </w:rPr>
        <w:t>批次，</w:t>
      </w:r>
      <w:r>
        <w:rPr>
          <w:rFonts w:eastAsia="仿宋_GB2312"/>
          <w:sz w:val="32"/>
          <w:szCs w:val="32"/>
        </w:rPr>
        <w:t>0</w:t>
      </w:r>
      <w:r>
        <w:rPr>
          <w:rFonts w:ascii="仿宋_GB2312" w:eastAsia="仿宋_GB2312"/>
          <w:sz w:val="32"/>
          <w:szCs w:val="32"/>
        </w:rPr>
        <w:t>人次（不包括陪同人员），共计支出</w:t>
      </w:r>
      <w:r>
        <w:rPr>
          <w:rFonts w:eastAsia="仿宋_GB2312"/>
          <w:sz w:val="32"/>
          <w:szCs w:val="32"/>
        </w:rPr>
        <w:t>0</w:t>
      </w:r>
      <w:r>
        <w:rPr>
          <w:rFonts w:ascii="仿宋_GB2312" w:eastAsia="仿宋_GB2312"/>
          <w:sz w:val="32"/>
          <w:szCs w:val="32"/>
        </w:rPr>
        <w:t>万元。</w:t>
      </w:r>
    </w:p>
    <w:p>
      <w:pPr>
        <w:autoSpaceDE w:val="0"/>
        <w:spacing w:line="540" w:lineRule="exact"/>
        <w:ind w:firstLine="640"/>
        <w:outlineLvl w:val="1"/>
        <w:rPr>
          <w:rStyle w:val="20"/>
          <w:rFonts w:ascii="Times New Roman" w:hAnsi="Times New Roman" w:eastAsia="黑体"/>
        </w:rPr>
      </w:pPr>
      <w:r>
        <w:rPr>
          <w:rFonts w:ascii="黑体" w:eastAsia="黑体"/>
          <w:sz w:val="32"/>
          <w:szCs w:val="32"/>
        </w:rPr>
        <w:t>八、</w:t>
      </w:r>
      <w:r>
        <w:rPr>
          <w:rStyle w:val="20"/>
          <w:rFonts w:ascii="黑体" w:eastAsia="黑体"/>
          <w:b w:val="0"/>
        </w:rPr>
        <w:t>政府性基金预算支出决算情况说明</w:t>
      </w:r>
    </w:p>
    <w:p>
      <w:pPr>
        <w:autoSpaceDE w:val="0"/>
        <w:spacing w:line="540" w:lineRule="exact"/>
        <w:ind w:firstLine="640"/>
        <w:rPr>
          <w:rFonts w:eastAsia="仿宋_GB2312"/>
        </w:rPr>
      </w:pPr>
      <w:r>
        <w:rPr>
          <w:rFonts w:eastAsia="仿宋_GB2312"/>
          <w:sz w:val="32"/>
          <w:szCs w:val="32"/>
        </w:rPr>
        <w:t>2024</w:t>
      </w:r>
      <w:r>
        <w:rPr>
          <w:rFonts w:ascii="仿宋_GB2312" w:eastAsia="仿宋_GB2312"/>
          <w:sz w:val="32"/>
          <w:szCs w:val="32"/>
        </w:rPr>
        <w:t>年度政府性基金预算财政拨款支出</w:t>
      </w:r>
      <w:r>
        <w:rPr>
          <w:rFonts w:eastAsia="仿宋_GB2312"/>
          <w:sz w:val="32"/>
          <w:szCs w:val="32"/>
        </w:rPr>
        <w:t>0</w:t>
      </w:r>
      <w:r>
        <w:rPr>
          <w:rFonts w:ascii="仿宋_GB2312" w:eastAsia="仿宋_GB2312"/>
          <w:sz w:val="32"/>
          <w:szCs w:val="32"/>
        </w:rPr>
        <w:t>万元，与上年一致。</w:t>
      </w:r>
    </w:p>
    <w:p>
      <w:pPr>
        <w:autoSpaceDE w:val="0"/>
        <w:spacing w:line="540" w:lineRule="exact"/>
        <w:ind w:left="630"/>
        <w:outlineLvl w:val="1"/>
        <w:rPr>
          <w:rStyle w:val="20"/>
          <w:rFonts w:ascii="Times New Roman" w:hAnsi="Times New Roman" w:eastAsia="黑体"/>
          <w:b w:val="0"/>
        </w:rPr>
      </w:pPr>
      <w:r>
        <w:rPr>
          <w:rStyle w:val="20"/>
          <w:rFonts w:ascii="黑体" w:eastAsia="黑体"/>
          <w:b w:val="0"/>
        </w:rPr>
        <w:t>九、国有资本经营预算支出决算情况说明</w:t>
      </w:r>
    </w:p>
    <w:p>
      <w:pPr>
        <w:autoSpaceDE w:val="0"/>
        <w:spacing w:line="540" w:lineRule="exact"/>
        <w:ind w:firstLine="640"/>
        <w:rPr>
          <w:rFonts w:eastAsia="仿宋_GB2312"/>
        </w:rPr>
      </w:pPr>
      <w:r>
        <w:rPr>
          <w:rFonts w:eastAsia="仿宋_GB2312"/>
          <w:sz w:val="32"/>
          <w:szCs w:val="32"/>
        </w:rPr>
        <w:t>2024</w:t>
      </w:r>
      <w:r>
        <w:rPr>
          <w:rFonts w:ascii="仿宋_GB2312" w:eastAsia="仿宋_GB2312"/>
          <w:sz w:val="32"/>
          <w:szCs w:val="32"/>
        </w:rPr>
        <w:t>年度国有资本经营预算财政拨款支出</w:t>
      </w:r>
      <w:r>
        <w:rPr>
          <w:rFonts w:eastAsia="仿宋_GB2312"/>
          <w:sz w:val="32"/>
          <w:szCs w:val="32"/>
        </w:rPr>
        <w:t>0</w:t>
      </w:r>
      <w:r>
        <w:rPr>
          <w:rFonts w:ascii="仿宋_GB2312" w:eastAsia="仿宋_GB2312"/>
          <w:sz w:val="32"/>
          <w:szCs w:val="32"/>
        </w:rPr>
        <w:t>万元，与上年一致。</w:t>
      </w:r>
    </w:p>
    <w:p>
      <w:pPr>
        <w:autoSpaceDE w:val="0"/>
        <w:spacing w:line="540" w:lineRule="exact"/>
        <w:ind w:left="630"/>
        <w:outlineLvl w:val="1"/>
        <w:rPr>
          <w:rStyle w:val="20"/>
          <w:rFonts w:ascii="Times New Roman" w:hAnsi="Times New Roman" w:eastAsia="黑体"/>
          <w:b w:val="0"/>
        </w:rPr>
      </w:pPr>
      <w:r>
        <w:rPr>
          <w:rStyle w:val="20"/>
          <w:rFonts w:ascii="黑体" w:eastAsia="黑体"/>
          <w:b w:val="0"/>
        </w:rPr>
        <w:t>十、其他重要事项的情况说明</w:t>
      </w:r>
    </w:p>
    <w:p>
      <w:pPr>
        <w:autoSpaceDE w:val="0"/>
        <w:spacing w:line="540" w:lineRule="exact"/>
        <w:ind w:firstLine="643" w:firstLineChars="200"/>
        <w:outlineLvl w:val="2"/>
        <w:rPr>
          <w:rFonts w:eastAsia="楷体_GB2312"/>
          <w:b/>
        </w:rPr>
      </w:pPr>
      <w:r>
        <w:rPr>
          <w:rFonts w:ascii="楷体_GB2312" w:eastAsia="楷体_GB2312"/>
          <w:b/>
          <w:sz w:val="32"/>
          <w:szCs w:val="32"/>
        </w:rPr>
        <w:t>（一）机关运行经费支出情</w:t>
      </w:r>
      <w:r>
        <w:rPr>
          <w:rFonts w:hint="eastAsia" w:ascii="宋体" w:cs="宋体"/>
          <w:b/>
          <w:sz w:val="32"/>
          <w:szCs w:val="32"/>
        </w:rPr>
        <w:t>况</w:t>
      </w:r>
    </w:p>
    <w:p>
      <w:pPr>
        <w:spacing w:line="540" w:lineRule="exact"/>
        <w:ind w:firstLine="640" w:firstLineChars="200"/>
        <w:rPr>
          <w:rFonts w:eastAsia="仿宋_GB2312"/>
          <w:sz w:val="32"/>
          <w:szCs w:val="32"/>
        </w:rPr>
      </w:pPr>
      <w:r>
        <w:rPr>
          <w:rFonts w:eastAsia="仿宋_GB2312"/>
          <w:sz w:val="32"/>
          <w:szCs w:val="32"/>
        </w:rPr>
        <w:t>2024</w:t>
      </w:r>
      <w:r>
        <w:rPr>
          <w:rFonts w:ascii="仿宋_GB2312" w:eastAsia="仿宋_GB2312"/>
          <w:sz w:val="32"/>
          <w:szCs w:val="32"/>
        </w:rPr>
        <w:t>年度，阿坝州政府信息公开和电子政务服务中心机关运行经费支出</w:t>
      </w:r>
      <w:r>
        <w:rPr>
          <w:rFonts w:eastAsia="仿宋_GB2312"/>
          <w:sz w:val="32"/>
          <w:szCs w:val="32"/>
        </w:rPr>
        <w:t>0</w:t>
      </w:r>
      <w:r>
        <w:rPr>
          <w:rFonts w:ascii="仿宋_GB2312" w:eastAsia="仿宋_GB2312"/>
          <w:sz w:val="32"/>
          <w:szCs w:val="32"/>
        </w:rPr>
        <w:t>万元，本单位基本性质为财政补助事业单位，按规定未使用机关运行相关科目。</w:t>
      </w:r>
    </w:p>
    <w:p>
      <w:pPr>
        <w:autoSpaceDE w:val="0"/>
        <w:spacing w:line="540" w:lineRule="exact"/>
        <w:ind w:firstLine="643" w:firstLineChars="200"/>
        <w:outlineLvl w:val="2"/>
        <w:rPr>
          <w:rFonts w:eastAsia="楷体_GB2312"/>
          <w:b/>
          <w:sz w:val="32"/>
          <w:szCs w:val="32"/>
        </w:rPr>
      </w:pPr>
      <w:r>
        <w:rPr>
          <w:rFonts w:ascii="楷体_GB2312" w:eastAsia="楷体_GB2312"/>
          <w:b/>
          <w:sz w:val="32"/>
          <w:szCs w:val="32"/>
        </w:rPr>
        <w:t>（二）政府采购支出情</w:t>
      </w:r>
      <w:r>
        <w:rPr>
          <w:rFonts w:hint="eastAsia" w:ascii="宋体" w:cs="宋体"/>
          <w:b/>
          <w:sz w:val="32"/>
          <w:szCs w:val="32"/>
        </w:rPr>
        <w:t>况</w:t>
      </w:r>
    </w:p>
    <w:p>
      <w:pPr>
        <w:autoSpaceDE w:val="0"/>
        <w:spacing w:line="540" w:lineRule="exact"/>
        <w:ind w:firstLine="640"/>
        <w:rPr>
          <w:rFonts w:eastAsia="仿宋_GB2312"/>
          <w:sz w:val="32"/>
          <w:szCs w:val="32"/>
        </w:rPr>
      </w:pPr>
      <w:r>
        <w:rPr>
          <w:rFonts w:eastAsia="仿宋_GB2312"/>
          <w:sz w:val="32"/>
          <w:szCs w:val="32"/>
        </w:rPr>
        <w:t>2024</w:t>
      </w:r>
      <w:r>
        <w:rPr>
          <w:rFonts w:ascii="仿宋_GB2312" w:eastAsia="仿宋_GB2312"/>
          <w:sz w:val="32"/>
          <w:szCs w:val="32"/>
        </w:rPr>
        <w:t>年度，阿坝州政府信息公开和电子政务服务中心政府采购支出总额</w:t>
      </w:r>
      <w:r>
        <w:rPr>
          <w:rFonts w:eastAsia="仿宋_GB2312"/>
          <w:sz w:val="32"/>
          <w:szCs w:val="32"/>
        </w:rPr>
        <w:t>0</w:t>
      </w:r>
      <w:r>
        <w:rPr>
          <w:rFonts w:ascii="仿宋_GB2312" w:eastAsia="仿宋_GB2312"/>
          <w:sz w:val="32"/>
          <w:szCs w:val="32"/>
        </w:rPr>
        <w:t>万元，其中：政府采购货物支出</w:t>
      </w:r>
      <w:r>
        <w:rPr>
          <w:rFonts w:eastAsia="仿宋_GB2312"/>
          <w:sz w:val="32"/>
          <w:szCs w:val="32"/>
        </w:rPr>
        <w:t>0</w:t>
      </w:r>
      <w:r>
        <w:rPr>
          <w:rFonts w:ascii="仿宋_GB2312" w:eastAsia="仿宋_GB2312"/>
          <w:sz w:val="32"/>
          <w:szCs w:val="32"/>
        </w:rPr>
        <w:t>万元、政府采购工程支出</w:t>
      </w:r>
      <w:r>
        <w:rPr>
          <w:rFonts w:eastAsia="仿宋_GB2312"/>
          <w:sz w:val="32"/>
          <w:szCs w:val="32"/>
        </w:rPr>
        <w:t>0</w:t>
      </w:r>
      <w:r>
        <w:rPr>
          <w:rFonts w:ascii="仿宋_GB2312" w:eastAsia="仿宋_GB2312"/>
          <w:sz w:val="32"/>
          <w:szCs w:val="32"/>
        </w:rPr>
        <w:t>万元、政府采购服务支出</w:t>
      </w:r>
      <w:r>
        <w:rPr>
          <w:rFonts w:eastAsia="仿宋_GB2312"/>
          <w:sz w:val="32"/>
          <w:szCs w:val="32"/>
        </w:rPr>
        <w:t>0</w:t>
      </w:r>
      <w:r>
        <w:rPr>
          <w:rFonts w:ascii="仿宋_GB2312" w:eastAsia="仿宋_GB2312"/>
          <w:sz w:val="32"/>
          <w:szCs w:val="32"/>
        </w:rPr>
        <w:t>万元。授予中小企业合同金额</w:t>
      </w:r>
      <w:r>
        <w:rPr>
          <w:rFonts w:eastAsia="仿宋_GB2312"/>
          <w:sz w:val="32"/>
          <w:szCs w:val="32"/>
        </w:rPr>
        <w:t>0</w:t>
      </w:r>
      <w:r>
        <w:rPr>
          <w:rFonts w:ascii="仿宋_GB2312" w:eastAsia="仿宋_GB2312"/>
          <w:sz w:val="32"/>
          <w:szCs w:val="32"/>
        </w:rPr>
        <w:t>万元，占政府采购支出总额的</w:t>
      </w:r>
      <w:r>
        <w:rPr>
          <w:rFonts w:eastAsia="仿宋_GB2312"/>
          <w:sz w:val="32"/>
          <w:szCs w:val="32"/>
        </w:rPr>
        <w:t>0%</w:t>
      </w:r>
      <w:r>
        <w:rPr>
          <w:rFonts w:ascii="仿宋_GB2312" w:eastAsia="仿宋_GB2312"/>
          <w:sz w:val="32"/>
          <w:szCs w:val="32"/>
        </w:rPr>
        <w:t>，其中：授予小微企业合同金额</w:t>
      </w:r>
      <w:r>
        <w:rPr>
          <w:rFonts w:eastAsia="仿宋_GB2312"/>
          <w:sz w:val="32"/>
          <w:szCs w:val="32"/>
        </w:rPr>
        <w:t>0</w:t>
      </w:r>
      <w:r>
        <w:rPr>
          <w:rFonts w:ascii="仿宋_GB2312" w:eastAsia="仿宋_GB2312"/>
          <w:sz w:val="32"/>
          <w:szCs w:val="32"/>
        </w:rPr>
        <w:t>万元，占政府采购支出总额的</w:t>
      </w:r>
      <w:r>
        <w:rPr>
          <w:rFonts w:eastAsia="仿宋_GB2312"/>
          <w:sz w:val="32"/>
          <w:szCs w:val="32"/>
        </w:rPr>
        <w:t>0%</w:t>
      </w:r>
      <w:r>
        <w:rPr>
          <w:rFonts w:ascii="仿宋_GB2312" w:eastAsia="仿宋_GB2312"/>
          <w:sz w:val="32"/>
          <w:szCs w:val="32"/>
        </w:rPr>
        <w:t>。</w:t>
      </w:r>
    </w:p>
    <w:p>
      <w:pPr>
        <w:autoSpaceDE w:val="0"/>
        <w:spacing w:line="540" w:lineRule="exact"/>
        <w:ind w:firstLine="643" w:firstLineChars="200"/>
        <w:outlineLvl w:val="2"/>
        <w:rPr>
          <w:rFonts w:eastAsia="楷体_GB2312"/>
          <w:b/>
          <w:sz w:val="32"/>
          <w:szCs w:val="32"/>
        </w:rPr>
      </w:pPr>
      <w:r>
        <w:rPr>
          <w:rFonts w:ascii="楷体_GB2312" w:eastAsia="楷体_GB2312"/>
          <w:b/>
          <w:sz w:val="32"/>
          <w:szCs w:val="32"/>
        </w:rPr>
        <w:t>（三）国有资产占有使用情</w:t>
      </w:r>
      <w:r>
        <w:rPr>
          <w:rFonts w:hint="eastAsia" w:ascii="宋体" w:cs="宋体"/>
          <w:b/>
          <w:sz w:val="32"/>
          <w:szCs w:val="32"/>
        </w:rPr>
        <w:t>况</w:t>
      </w:r>
    </w:p>
    <w:p>
      <w:pPr>
        <w:autoSpaceDE w:val="0"/>
        <w:spacing w:line="540" w:lineRule="exact"/>
        <w:ind w:firstLine="640"/>
        <w:rPr>
          <w:rFonts w:eastAsia="仿宋_GB2312"/>
          <w:sz w:val="32"/>
          <w:szCs w:val="32"/>
        </w:rPr>
      </w:pPr>
      <w:r>
        <w:rPr>
          <w:rFonts w:ascii="仿宋_GB2312" w:eastAsia="仿宋_GB2312"/>
          <w:sz w:val="32"/>
          <w:szCs w:val="32"/>
        </w:rPr>
        <w:t>截至</w:t>
      </w:r>
      <w:r>
        <w:rPr>
          <w:rFonts w:eastAsia="仿宋_GB2312"/>
          <w:sz w:val="32"/>
          <w:szCs w:val="32"/>
        </w:rPr>
        <w:t>2024</w:t>
      </w:r>
      <w:r>
        <w:rPr>
          <w:rFonts w:ascii="仿宋_GB2312" w:eastAsia="仿宋_GB2312"/>
          <w:sz w:val="32"/>
          <w:szCs w:val="32"/>
        </w:rPr>
        <w:t>年</w:t>
      </w:r>
      <w:r>
        <w:rPr>
          <w:rFonts w:eastAsia="仿宋_GB2312"/>
          <w:sz w:val="32"/>
          <w:szCs w:val="32"/>
        </w:rPr>
        <w:t>12</w:t>
      </w:r>
      <w:r>
        <w:rPr>
          <w:rFonts w:ascii="仿宋_GB2312" w:eastAsia="仿宋_GB2312"/>
          <w:sz w:val="32"/>
          <w:szCs w:val="32"/>
        </w:rPr>
        <w:t>月</w:t>
      </w:r>
      <w:r>
        <w:rPr>
          <w:rFonts w:eastAsia="仿宋_GB2312"/>
          <w:sz w:val="32"/>
          <w:szCs w:val="32"/>
        </w:rPr>
        <w:t>31</w:t>
      </w:r>
      <w:r>
        <w:rPr>
          <w:rFonts w:ascii="仿宋_GB2312" w:eastAsia="仿宋_GB2312"/>
          <w:sz w:val="32"/>
          <w:szCs w:val="32"/>
        </w:rPr>
        <w:t>日，阿坝州政府信息公开和电子政务服务中心共有车辆</w:t>
      </w:r>
      <w:r>
        <w:rPr>
          <w:rFonts w:eastAsia="仿宋_GB2312"/>
          <w:sz w:val="32"/>
          <w:szCs w:val="32"/>
        </w:rPr>
        <w:t>1</w:t>
      </w:r>
      <w:r>
        <w:rPr>
          <w:rFonts w:ascii="仿宋_GB2312" w:eastAsia="仿宋_GB2312"/>
          <w:sz w:val="32"/>
          <w:szCs w:val="32"/>
        </w:rPr>
        <w:t>辆，其中：主要负责人用车</w:t>
      </w:r>
      <w:r>
        <w:rPr>
          <w:rFonts w:eastAsia="仿宋_GB2312"/>
          <w:sz w:val="32"/>
          <w:szCs w:val="32"/>
        </w:rPr>
        <w:t>0</w:t>
      </w:r>
      <w:r>
        <w:rPr>
          <w:rFonts w:ascii="仿宋_GB2312" w:eastAsia="仿宋_GB2312"/>
          <w:sz w:val="32"/>
          <w:szCs w:val="32"/>
        </w:rPr>
        <w:t>辆、机要通信用车</w:t>
      </w:r>
      <w:r>
        <w:rPr>
          <w:rFonts w:eastAsia="仿宋_GB2312"/>
          <w:sz w:val="32"/>
          <w:szCs w:val="32"/>
        </w:rPr>
        <w:t>0</w:t>
      </w:r>
      <w:r>
        <w:rPr>
          <w:rFonts w:ascii="仿宋_GB2312" w:eastAsia="仿宋_GB2312"/>
          <w:sz w:val="32"/>
          <w:szCs w:val="32"/>
        </w:rPr>
        <w:t>辆、应急保障用车</w:t>
      </w:r>
      <w:r>
        <w:rPr>
          <w:rFonts w:eastAsia="仿宋_GB2312"/>
          <w:sz w:val="32"/>
          <w:szCs w:val="32"/>
        </w:rPr>
        <w:t>0</w:t>
      </w:r>
      <w:r>
        <w:rPr>
          <w:rFonts w:ascii="仿宋_GB2312" w:eastAsia="仿宋_GB2312"/>
          <w:sz w:val="32"/>
          <w:szCs w:val="32"/>
        </w:rPr>
        <w:t>辆、其他用车</w:t>
      </w:r>
      <w:r>
        <w:rPr>
          <w:rFonts w:eastAsia="仿宋_GB2312"/>
          <w:sz w:val="32"/>
          <w:szCs w:val="32"/>
        </w:rPr>
        <w:t>1</w:t>
      </w:r>
      <w:r>
        <w:rPr>
          <w:rFonts w:ascii="仿宋_GB2312" w:eastAsia="仿宋_GB2312"/>
          <w:sz w:val="32"/>
          <w:szCs w:val="32"/>
        </w:rPr>
        <w:t>辆，其他用车主要是用于保障日常工作运转。单价</w:t>
      </w:r>
      <w:r>
        <w:rPr>
          <w:rFonts w:eastAsia="仿宋_GB2312"/>
          <w:sz w:val="32"/>
          <w:szCs w:val="32"/>
        </w:rPr>
        <w:t>100</w:t>
      </w:r>
      <w:r>
        <w:rPr>
          <w:rFonts w:ascii="仿宋_GB2312" w:eastAsia="仿宋_GB2312"/>
          <w:sz w:val="32"/>
          <w:szCs w:val="32"/>
        </w:rPr>
        <w:t>万元（含）以上设备（不含车辆）</w:t>
      </w:r>
      <w:r>
        <w:rPr>
          <w:rFonts w:eastAsia="仿宋_GB2312"/>
          <w:sz w:val="32"/>
          <w:szCs w:val="32"/>
        </w:rPr>
        <w:t>0</w:t>
      </w:r>
      <w:r>
        <w:rPr>
          <w:rFonts w:ascii="仿宋_GB2312" w:eastAsia="仿宋_GB2312"/>
          <w:sz w:val="32"/>
          <w:szCs w:val="32"/>
        </w:rPr>
        <w:t>台（套）。</w:t>
      </w:r>
    </w:p>
    <w:p>
      <w:pPr>
        <w:autoSpaceDE w:val="0"/>
        <w:spacing w:line="540" w:lineRule="exact"/>
        <w:ind w:firstLine="643" w:firstLineChars="200"/>
        <w:outlineLvl w:val="2"/>
        <w:rPr>
          <w:rFonts w:eastAsia="楷体_GB2312"/>
          <w:b/>
          <w:sz w:val="32"/>
          <w:szCs w:val="32"/>
        </w:rPr>
      </w:pPr>
      <w:r>
        <w:rPr>
          <w:rFonts w:ascii="楷体_GB2312" w:eastAsia="楷体_GB2312"/>
          <w:b/>
          <w:sz w:val="32"/>
          <w:szCs w:val="32"/>
        </w:rPr>
        <w:t>（四）预算绩效管理情</w:t>
      </w:r>
      <w:r>
        <w:rPr>
          <w:rFonts w:hint="eastAsia" w:ascii="宋体" w:cs="宋体"/>
          <w:b/>
          <w:sz w:val="32"/>
          <w:szCs w:val="32"/>
        </w:rPr>
        <w:t>况</w:t>
      </w:r>
    </w:p>
    <w:p>
      <w:pPr>
        <w:spacing w:line="540" w:lineRule="exact"/>
        <w:ind w:firstLine="640" w:firstLineChars="200"/>
        <w:rPr>
          <w:rFonts w:eastAsia="仿宋_GB2312"/>
          <w:sz w:val="32"/>
          <w:szCs w:val="32"/>
        </w:rPr>
      </w:pPr>
      <w:r>
        <w:rPr>
          <w:rFonts w:ascii="仿宋_GB2312" w:eastAsia="仿宋_GB2312"/>
          <w:sz w:val="32"/>
          <w:szCs w:val="32"/>
        </w:rPr>
        <w:t>根据预算绩效管理要求，州电子政务服务中心在</w:t>
      </w:r>
      <w:r>
        <w:rPr>
          <w:rFonts w:eastAsia="仿宋_GB2312"/>
          <w:sz w:val="32"/>
          <w:szCs w:val="32"/>
        </w:rPr>
        <w:t>2024</w:t>
      </w:r>
      <w:r>
        <w:rPr>
          <w:rFonts w:ascii="仿宋_GB2312" w:eastAsia="仿宋_GB2312"/>
          <w:sz w:val="32"/>
          <w:szCs w:val="32"/>
        </w:rPr>
        <w:t>年度预算编制阶段，组织对</w:t>
      </w:r>
      <w:r>
        <w:rPr>
          <w:rFonts w:eastAsia="仿宋_GB2312"/>
          <w:sz w:val="32"/>
          <w:szCs w:val="32"/>
        </w:rPr>
        <w:t>“</w:t>
      </w:r>
      <w:r>
        <w:rPr>
          <w:rFonts w:ascii="仿宋_GB2312" w:eastAsia="仿宋_GB2312"/>
          <w:sz w:val="32"/>
          <w:szCs w:val="32"/>
        </w:rPr>
        <w:t>阿坝州政务云和政务大数据平台服务费</w:t>
      </w:r>
      <w:r>
        <w:rPr>
          <w:rFonts w:eastAsia="仿宋_GB2312"/>
          <w:sz w:val="32"/>
          <w:szCs w:val="32"/>
        </w:rPr>
        <w:t>”</w:t>
      </w:r>
      <w:r>
        <w:rPr>
          <w:rFonts w:ascii="仿宋_GB2312" w:eastAsia="仿宋_GB2312"/>
          <w:sz w:val="32"/>
          <w:szCs w:val="32"/>
        </w:rPr>
        <w:t>等</w:t>
      </w:r>
      <w:r>
        <w:rPr>
          <w:rFonts w:eastAsia="仿宋_GB2312"/>
          <w:sz w:val="32"/>
          <w:szCs w:val="32"/>
        </w:rPr>
        <w:t>12</w:t>
      </w:r>
      <w:r>
        <w:rPr>
          <w:rFonts w:ascii="仿宋_GB2312" w:eastAsia="仿宋_GB2312"/>
          <w:sz w:val="32"/>
          <w:szCs w:val="32"/>
        </w:rPr>
        <w:t>个项目开展了预算事前绩效评估，对</w:t>
      </w:r>
      <w:r>
        <w:rPr>
          <w:rFonts w:eastAsia="仿宋_GB2312"/>
          <w:sz w:val="32"/>
          <w:szCs w:val="32"/>
        </w:rPr>
        <w:t>12</w:t>
      </w:r>
      <w:r>
        <w:rPr>
          <w:rFonts w:ascii="仿宋_GB2312" w:eastAsia="仿宋_GB2312"/>
          <w:sz w:val="32"/>
          <w:szCs w:val="32"/>
        </w:rPr>
        <w:t>个项目编制了绩效目标，预算执行过程中，选取</w:t>
      </w:r>
      <w:r>
        <w:rPr>
          <w:rFonts w:eastAsia="仿宋_GB2312"/>
          <w:sz w:val="32"/>
          <w:szCs w:val="32"/>
        </w:rPr>
        <w:t>12</w:t>
      </w:r>
      <w:r>
        <w:rPr>
          <w:rFonts w:ascii="仿宋_GB2312" w:eastAsia="仿宋_GB2312"/>
          <w:sz w:val="32"/>
          <w:szCs w:val="32"/>
        </w:rPr>
        <w:t>个项目开展绩效监控，组织对</w:t>
      </w:r>
      <w:r>
        <w:rPr>
          <w:rFonts w:eastAsia="仿宋_GB2312"/>
          <w:sz w:val="32"/>
          <w:szCs w:val="32"/>
        </w:rPr>
        <w:t>12</w:t>
      </w:r>
      <w:r>
        <w:rPr>
          <w:rFonts w:ascii="仿宋_GB2312" w:eastAsia="仿宋_GB2312"/>
          <w:sz w:val="32"/>
          <w:szCs w:val="32"/>
        </w:rPr>
        <w:t>个项目开展绩效自评，绩效自评表详见第四部分附件。</w:t>
      </w:r>
    </w:p>
    <w:p>
      <w:pPr>
        <w:spacing w:line="540" w:lineRule="exact"/>
        <w:ind w:firstLine="420" w:firstLineChars="200"/>
        <w:rPr>
          <w:rFonts w:eastAsia="仿宋_GB2312"/>
          <w:sz w:val="32"/>
          <w:szCs w:val="32"/>
        </w:rPr>
      </w:pPr>
      <w:r>
        <w:rPr>
          <w:rFonts w:eastAsia="仿宋_GB2312"/>
        </w:rPr>
        <w:t xml:space="preserve">  </w:t>
      </w:r>
    </w:p>
    <w:p>
      <w:pPr>
        <w:autoSpaceDE w:val="0"/>
        <w:spacing w:line="540" w:lineRule="exact"/>
        <w:jc w:val="center"/>
        <w:outlineLvl w:val="0"/>
        <w:rPr>
          <w:rFonts w:eastAsia="黑体"/>
          <w:sz w:val="44"/>
          <w:szCs w:val="44"/>
        </w:rPr>
      </w:pPr>
      <w:r>
        <w:rPr>
          <w:rFonts w:ascii="黑体" w:eastAsia="黑体"/>
          <w:sz w:val="44"/>
          <w:szCs w:val="44"/>
        </w:rPr>
        <w:t>第三部分</w:t>
      </w:r>
      <w:r>
        <w:rPr>
          <w:rFonts w:eastAsia="黑体"/>
          <w:sz w:val="44"/>
          <w:szCs w:val="44"/>
        </w:rPr>
        <w:t xml:space="preserve">  </w:t>
      </w:r>
      <w:r>
        <w:rPr>
          <w:rFonts w:ascii="黑体" w:eastAsia="黑体"/>
          <w:sz w:val="44"/>
          <w:szCs w:val="44"/>
        </w:rPr>
        <w:t>名词解释</w:t>
      </w:r>
    </w:p>
    <w:p>
      <w:pPr>
        <w:autoSpaceDE w:val="0"/>
        <w:spacing w:line="540" w:lineRule="exact"/>
        <w:jc w:val="left"/>
        <w:rPr>
          <w:b/>
          <w:sz w:val="44"/>
          <w:szCs w:val="44"/>
        </w:rPr>
      </w:pPr>
      <w:r>
        <w:rPr>
          <w:b/>
          <w:sz w:val="44"/>
          <w:szCs w:val="44"/>
        </w:rPr>
        <w:t xml:space="preserve"> </w:t>
      </w:r>
    </w:p>
    <w:p>
      <w:pPr>
        <w:pStyle w:val="17"/>
        <w:spacing w:line="54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仿宋_GB2312" w:eastAsia="仿宋_GB2312" w:cs="Times New Roman"/>
          <w:sz w:val="32"/>
          <w:szCs w:val="32"/>
        </w:rPr>
        <w:t>财政拨款收入：指单位从同级财政部门取得的财政预算资金。</w:t>
      </w:r>
    </w:p>
    <w:p>
      <w:pPr>
        <w:spacing w:line="540" w:lineRule="exact"/>
        <w:ind w:firstLine="640" w:firstLineChars="200"/>
        <w:rPr>
          <w:rFonts w:eastAsia="仿宋_GB2312"/>
          <w:sz w:val="32"/>
          <w:szCs w:val="32"/>
        </w:rPr>
      </w:pPr>
      <w:r>
        <w:rPr>
          <w:rFonts w:eastAsia="仿宋_GB2312"/>
          <w:sz w:val="32"/>
          <w:szCs w:val="32"/>
        </w:rPr>
        <w:t>2.</w:t>
      </w:r>
      <w:r>
        <w:rPr>
          <w:rFonts w:ascii="仿宋_GB2312" w:eastAsia="仿宋_GB2312"/>
          <w:kern w:val="0"/>
          <w:sz w:val="32"/>
          <w:szCs w:val="32"/>
        </w:rPr>
        <w:t>一般公共服务（类）政府办公厅（室）及相关机构事务（款）事业运行（项）：指事业单位的基本支出</w:t>
      </w:r>
      <w:r>
        <w:rPr>
          <w:rFonts w:ascii="仿宋_GB2312" w:eastAsia="仿宋_GB2312"/>
          <w:sz w:val="32"/>
          <w:szCs w:val="32"/>
        </w:rPr>
        <w:t>。</w:t>
      </w:r>
    </w:p>
    <w:p>
      <w:pPr>
        <w:spacing w:line="540" w:lineRule="exact"/>
        <w:ind w:firstLine="640" w:firstLineChars="200"/>
        <w:rPr>
          <w:rFonts w:eastAsia="仿宋_GB2312"/>
          <w:sz w:val="32"/>
          <w:szCs w:val="32"/>
        </w:rPr>
      </w:pPr>
      <w:r>
        <w:rPr>
          <w:rFonts w:eastAsia="仿宋_GB2312"/>
          <w:sz w:val="32"/>
          <w:szCs w:val="32"/>
        </w:rPr>
        <w:t>3.</w:t>
      </w:r>
      <w:r>
        <w:rPr>
          <w:rFonts w:ascii="仿宋_GB2312" w:eastAsia="仿宋_GB2312"/>
          <w:kern w:val="0"/>
          <w:sz w:val="32"/>
          <w:szCs w:val="32"/>
        </w:rPr>
        <w:t>社会保障和就业（类）行政事业单位离退休（款）机关事业单位基本养老保险缴费支出（项）：</w:t>
      </w:r>
      <w:r>
        <w:rPr>
          <w:rFonts w:ascii="仿宋_GB2312" w:eastAsia="仿宋_GB2312"/>
          <w:sz w:val="32"/>
          <w:szCs w:val="32"/>
        </w:rPr>
        <w:t>指单位为职工缴纳的基本养老保险费。</w:t>
      </w:r>
    </w:p>
    <w:p>
      <w:pPr>
        <w:spacing w:line="540" w:lineRule="exact"/>
        <w:ind w:firstLine="640" w:firstLineChars="200"/>
        <w:rPr>
          <w:rFonts w:eastAsia="仿宋_GB2312"/>
          <w:sz w:val="32"/>
          <w:szCs w:val="32"/>
        </w:rPr>
      </w:pPr>
      <w:r>
        <w:rPr>
          <w:rFonts w:eastAsia="仿宋_GB2312"/>
          <w:sz w:val="32"/>
          <w:szCs w:val="32"/>
        </w:rPr>
        <w:t>4.</w:t>
      </w:r>
      <w:r>
        <w:rPr>
          <w:rFonts w:ascii="仿宋_GB2312" w:eastAsia="仿宋_GB2312"/>
          <w:kern w:val="0"/>
          <w:sz w:val="32"/>
          <w:szCs w:val="32"/>
        </w:rPr>
        <w:t>社会保障和就业（类）行政事业单位离退休（款）机关事业单位基本职业年金缴费支出（项）：</w:t>
      </w:r>
      <w:r>
        <w:rPr>
          <w:rFonts w:ascii="仿宋_GB2312" w:eastAsia="仿宋_GB2312"/>
          <w:sz w:val="32"/>
          <w:szCs w:val="32"/>
        </w:rPr>
        <w:t>指单位为职工实际缴纳的职业年金。</w:t>
      </w:r>
    </w:p>
    <w:p>
      <w:pPr>
        <w:spacing w:line="540" w:lineRule="exact"/>
        <w:ind w:firstLine="640" w:firstLineChars="200"/>
        <w:rPr>
          <w:rFonts w:eastAsia="仿宋_GB2312"/>
          <w:sz w:val="32"/>
          <w:szCs w:val="32"/>
        </w:rPr>
      </w:pPr>
      <w:r>
        <w:rPr>
          <w:rFonts w:eastAsia="仿宋_GB2312"/>
          <w:sz w:val="32"/>
          <w:szCs w:val="32"/>
        </w:rPr>
        <w:t>5.</w:t>
      </w:r>
      <w:r>
        <w:rPr>
          <w:rFonts w:ascii="仿宋_GB2312" w:eastAsia="仿宋_GB2312"/>
          <w:sz w:val="32"/>
          <w:szCs w:val="32"/>
        </w:rPr>
        <w:t>卫生健康（类）行政事业单位医疗（款）事业单位医疗（项）：指反映事业单位职工缴纳的基本医疗保险费。</w:t>
      </w:r>
    </w:p>
    <w:p>
      <w:pPr>
        <w:spacing w:line="540" w:lineRule="exact"/>
        <w:ind w:firstLine="640" w:firstLineChars="200"/>
        <w:rPr>
          <w:rFonts w:eastAsia="仿宋_GB2312"/>
          <w:sz w:val="32"/>
          <w:szCs w:val="32"/>
        </w:rPr>
      </w:pPr>
      <w:r>
        <w:rPr>
          <w:rFonts w:eastAsia="仿宋_GB2312"/>
          <w:sz w:val="32"/>
          <w:szCs w:val="32"/>
        </w:rPr>
        <w:t>6.</w:t>
      </w:r>
      <w:r>
        <w:rPr>
          <w:rFonts w:ascii="仿宋_GB2312" w:eastAsia="仿宋_GB2312"/>
          <w:sz w:val="32"/>
          <w:szCs w:val="32"/>
        </w:rPr>
        <w:t>卫生健康（类）行政事业单位医疗（款）其他行政事业单位医疗支出（项）：指除上述以外的其他用于行政事业单位医疗方面的支出。</w:t>
      </w:r>
    </w:p>
    <w:p>
      <w:pPr>
        <w:spacing w:line="540" w:lineRule="exact"/>
        <w:ind w:firstLine="640" w:firstLineChars="200"/>
        <w:rPr>
          <w:rFonts w:eastAsia="仿宋_GB2312"/>
          <w:sz w:val="32"/>
          <w:szCs w:val="32"/>
        </w:rPr>
      </w:pPr>
      <w:r>
        <w:rPr>
          <w:rFonts w:eastAsia="仿宋_GB2312"/>
          <w:sz w:val="32"/>
          <w:szCs w:val="32"/>
        </w:rPr>
        <w:t>7.</w:t>
      </w:r>
      <w:r>
        <w:rPr>
          <w:rFonts w:ascii="仿宋_GB2312" w:eastAsia="仿宋_GB2312"/>
          <w:sz w:val="32"/>
          <w:szCs w:val="32"/>
        </w:rPr>
        <w:t>住房保障（类）住房改革支出（款）住房公积金（项）：指单位按规定为职工缴纳的住房公积金。</w:t>
      </w:r>
    </w:p>
    <w:p>
      <w:pPr>
        <w:spacing w:line="540" w:lineRule="exact"/>
        <w:ind w:firstLine="640" w:firstLineChars="200"/>
        <w:rPr>
          <w:rFonts w:eastAsia="仿宋_GB2312"/>
          <w:sz w:val="32"/>
          <w:szCs w:val="32"/>
        </w:rPr>
      </w:pPr>
      <w:r>
        <w:rPr>
          <w:rFonts w:eastAsia="仿宋_GB2312"/>
          <w:sz w:val="32"/>
          <w:szCs w:val="32"/>
        </w:rPr>
        <w:t>8.</w:t>
      </w:r>
      <w:r>
        <w:rPr>
          <w:rFonts w:ascii="仿宋_GB2312" w:eastAsia="仿宋_GB2312"/>
          <w:sz w:val="32"/>
          <w:szCs w:val="32"/>
        </w:rPr>
        <w:t>基本支出：指为保障机构正常运转、完成日常工作任务而发生的人员支出和公用支出。</w:t>
      </w:r>
    </w:p>
    <w:p>
      <w:pPr>
        <w:spacing w:line="540" w:lineRule="exact"/>
        <w:ind w:firstLine="640" w:firstLineChars="200"/>
        <w:rPr>
          <w:rFonts w:eastAsia="仿宋_GB2312"/>
          <w:sz w:val="32"/>
          <w:szCs w:val="32"/>
        </w:rPr>
      </w:pPr>
      <w:r>
        <w:rPr>
          <w:rFonts w:eastAsia="仿宋_GB2312"/>
          <w:sz w:val="32"/>
          <w:szCs w:val="32"/>
        </w:rPr>
        <w:t>9.</w:t>
      </w:r>
      <w:r>
        <w:rPr>
          <w:rFonts w:ascii="仿宋_GB2312" w:eastAsia="仿宋_GB2312"/>
          <w:sz w:val="32"/>
          <w:szCs w:val="32"/>
        </w:rPr>
        <w:t>项目支出：指在基本支出之外为完成特定行政任务和事业发展目标所发生的支出。</w:t>
      </w:r>
    </w:p>
    <w:p>
      <w:pPr>
        <w:rPr>
          <w:rFonts w:eastAsia="黑体"/>
          <w:sz w:val="44"/>
          <w:szCs w:val="44"/>
        </w:rPr>
      </w:pPr>
      <w:r>
        <w:rPr>
          <w:rFonts w:hint="eastAsia" w:eastAsia="黑体"/>
          <w:sz w:val="44"/>
          <w:szCs w:val="44"/>
        </w:rPr>
        <w:br w:type="page"/>
      </w:r>
    </w:p>
    <w:p>
      <w:pPr>
        <w:autoSpaceDE w:val="0"/>
        <w:spacing w:line="540" w:lineRule="exact"/>
        <w:jc w:val="center"/>
        <w:rPr>
          <w:rStyle w:val="19"/>
          <w:rFonts w:hint="eastAsia" w:eastAsia="黑体"/>
          <w:b w:val="0"/>
        </w:rPr>
      </w:pPr>
      <w:r>
        <w:rPr>
          <w:rFonts w:hint="eastAsia" w:ascii="黑体" w:eastAsia="黑体"/>
          <w:sz w:val="44"/>
          <w:szCs w:val="44"/>
        </w:rPr>
        <w:t>第四部分</w:t>
      </w:r>
      <w:r>
        <w:rPr>
          <w:rFonts w:hint="eastAsia" w:eastAsia="黑体"/>
          <w:sz w:val="44"/>
          <w:szCs w:val="44"/>
        </w:rPr>
        <w:t xml:space="preserve">  </w:t>
      </w:r>
      <w:r>
        <w:rPr>
          <w:rFonts w:hint="eastAsia" w:ascii="黑体" w:eastAsia="黑体"/>
          <w:sz w:val="44"/>
          <w:szCs w:val="44"/>
        </w:rPr>
        <w:t>附件</w:t>
      </w:r>
    </w:p>
    <w:p>
      <w:pPr>
        <w:autoSpaceDE w:val="0"/>
        <w:spacing w:line="540" w:lineRule="exact"/>
        <w:jc w:val="left"/>
        <w:outlineLvl w:val="0"/>
        <w:rPr>
          <w:rFonts w:hint="eastAsia" w:cs="方正小标宋简体"/>
        </w:rPr>
      </w:pPr>
      <w:r>
        <w:rPr>
          <w:rFonts w:hint="eastAsia" w:ascii="黑体" w:eastAsia="黑体"/>
          <w:sz w:val="32"/>
          <w:szCs w:val="32"/>
        </w:rPr>
        <w:t>附件</w:t>
      </w:r>
      <w:r>
        <w:rPr>
          <w:rFonts w:hint="eastAsia" w:eastAsia="黑体"/>
          <w:sz w:val="32"/>
          <w:szCs w:val="32"/>
        </w:rPr>
        <w:t>1</w:t>
      </w:r>
    </w:p>
    <w:p>
      <w:pPr>
        <w:pStyle w:val="2"/>
        <w:rPr>
          <w:rFonts w:hint="eastAsia"/>
        </w:rPr>
      </w:pPr>
      <w:r>
        <w:t xml:space="preserve"> </w:t>
      </w:r>
    </w:p>
    <w:tbl>
      <w:tblPr>
        <w:tblStyle w:val="13"/>
        <w:tblW w:w="99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9"/>
        <w:gridCol w:w="870"/>
        <w:gridCol w:w="1767"/>
        <w:gridCol w:w="1313"/>
        <w:gridCol w:w="555"/>
        <w:gridCol w:w="804"/>
        <w:gridCol w:w="805"/>
        <w:gridCol w:w="846"/>
        <w:gridCol w:w="733"/>
        <w:gridCol w:w="733"/>
        <w:gridCol w:w="6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3557" w:type="dxa"/>
            <w:gridSpan w:val="3"/>
            <w:tcBorders>
              <w:top w:val="nil"/>
              <w:left w:val="nil"/>
              <w:bottom w:val="nil"/>
              <w:right w:val="nil"/>
            </w:tcBorders>
            <w:vAlign w:val="center"/>
          </w:tcPr>
          <w:p>
            <w:pPr>
              <w:widowControl/>
              <w:jc w:val="left"/>
              <w:textAlignment w:val="center"/>
              <w:rPr>
                <w:rFonts w:ascii="宋体"/>
                <w:color w:val="C0C0C0"/>
                <w:sz w:val="20"/>
                <w:szCs w:val="20"/>
              </w:rPr>
            </w:pPr>
            <w:bookmarkStart w:id="0" w:name="_Toc15396618"/>
            <w:r>
              <w:rPr>
                <w:rFonts w:hint="eastAsia" w:ascii="宋体"/>
                <w:color w:val="C0C0C0"/>
                <w:kern w:val="0"/>
                <w:sz w:val="20"/>
                <w:szCs w:val="20"/>
              </w:rPr>
              <w:t>报表编号：510000_0013zp</w:t>
            </w:r>
            <w:bookmarkEnd w:id="0"/>
          </w:p>
        </w:tc>
        <w:tc>
          <w:tcPr>
            <w:tcW w:w="1868" w:type="dxa"/>
            <w:gridSpan w:val="2"/>
            <w:tcBorders>
              <w:top w:val="nil"/>
              <w:left w:val="nil"/>
              <w:bottom w:val="nil"/>
              <w:right w:val="nil"/>
            </w:tcBorders>
            <w:noWrap/>
            <w:vAlign w:val="center"/>
          </w:tcPr>
          <w:p>
            <w:pPr>
              <w:rPr>
                <w:rFonts w:ascii="宋体"/>
                <w:color w:val="000000"/>
                <w:sz w:val="22"/>
                <w:szCs w:val="22"/>
              </w:rPr>
            </w:pPr>
          </w:p>
        </w:tc>
        <w:tc>
          <w:tcPr>
            <w:tcW w:w="1609" w:type="dxa"/>
            <w:gridSpan w:val="2"/>
            <w:tcBorders>
              <w:top w:val="nil"/>
              <w:left w:val="nil"/>
              <w:bottom w:val="nil"/>
              <w:right w:val="nil"/>
            </w:tcBorders>
            <w:vAlign w:val="center"/>
          </w:tcPr>
          <w:p>
            <w:pPr>
              <w:rPr>
                <w:rFonts w:ascii="宋体"/>
                <w:color w:val="000000"/>
                <w:sz w:val="20"/>
                <w:szCs w:val="20"/>
              </w:rPr>
            </w:pPr>
          </w:p>
        </w:tc>
        <w:tc>
          <w:tcPr>
            <w:tcW w:w="846" w:type="dxa"/>
            <w:tcBorders>
              <w:top w:val="nil"/>
              <w:left w:val="nil"/>
              <w:bottom w:val="nil"/>
              <w:right w:val="nil"/>
            </w:tcBorders>
            <w:noWrap/>
            <w:vAlign w:val="center"/>
          </w:tcPr>
          <w:p>
            <w:pPr>
              <w:rPr>
                <w:rFonts w:ascii="宋体"/>
                <w:color w:val="000000"/>
                <w:sz w:val="22"/>
                <w:szCs w:val="22"/>
              </w:rPr>
            </w:pPr>
          </w:p>
        </w:tc>
        <w:tc>
          <w:tcPr>
            <w:tcW w:w="1465" w:type="dxa"/>
            <w:gridSpan w:val="2"/>
            <w:tcBorders>
              <w:top w:val="nil"/>
              <w:left w:val="nil"/>
              <w:bottom w:val="nil"/>
              <w:right w:val="nil"/>
            </w:tcBorders>
            <w:noWrap/>
            <w:vAlign w:val="center"/>
          </w:tcPr>
          <w:p>
            <w:pPr>
              <w:rPr>
                <w:rFonts w:ascii="宋体"/>
                <w:color w:val="000000"/>
                <w:sz w:val="22"/>
                <w:szCs w:val="22"/>
              </w:rPr>
            </w:pPr>
          </w:p>
        </w:tc>
        <w:tc>
          <w:tcPr>
            <w:tcW w:w="610" w:type="dxa"/>
            <w:tcBorders>
              <w:top w:val="nil"/>
              <w:left w:val="nil"/>
              <w:bottom w:val="nil"/>
              <w:right w:val="nil"/>
            </w:tcBorders>
            <w:noWrap/>
            <w:vAlign w:val="center"/>
          </w:tcPr>
          <w:p>
            <w:pPr>
              <w:rPr>
                <w:rFonts w:ascii="宋体"/>
                <w:color w:val="00000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9955"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790"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8165" w:type="dxa"/>
            <w:gridSpan w:val="9"/>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51320021T000000062614-阿坝州政务云和政务大数据平台服务费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1790"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5243"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6" w:type="dxa"/>
            <w:tcBorders>
              <w:top w:val="nil"/>
              <w:left w:val="nil"/>
              <w:bottom w:val="nil"/>
              <w:right w:val="nil"/>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2076"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920"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870" w:type="dxa"/>
            <w:vMerge w:val="restart"/>
            <w:tcBorders>
              <w:top w:val="nil"/>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5243"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922" w:type="dxa"/>
            <w:gridSpan w:val="4"/>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vMerge w:val="continue"/>
            <w:tcBorders>
              <w:top w:val="nil"/>
              <w:left w:val="nil"/>
              <w:bottom w:val="single" w:color="000000" w:sz="4" w:space="0"/>
              <w:right w:val="single" w:color="000000" w:sz="4" w:space="0"/>
            </w:tcBorders>
            <w:vAlign w:val="center"/>
          </w:tcPr>
          <w:p/>
        </w:tc>
        <w:tc>
          <w:tcPr>
            <w:tcW w:w="5243"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　高度整合资源，杜绝重复建设，实现全州电子政务“一朵云”。逐步实施13县（市）和州级各部门在互联网、政务外网、非涉密业务专网上运行的应用迁移。</w:t>
            </w:r>
          </w:p>
        </w:tc>
        <w:tc>
          <w:tcPr>
            <w:tcW w:w="2922" w:type="dxa"/>
            <w:gridSpan w:val="4"/>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8165" w:type="dxa"/>
            <w:gridSpan w:val="9"/>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 xml:space="preserve">该项目为阿坝州政务云租赁，本年度规定完成合同续签，本着高效集约原则，该年度持续为云上政务信息系统提供云计算、存储和安全相关资源，除开展非涉密信息系统上云迁移部署外，持续开展政务云资源动态调优工作，规范对停止运行的信息系统进行退出资源操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920"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2164"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权重</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得分</w:t>
            </w:r>
          </w:p>
        </w:tc>
        <w:tc>
          <w:tcPr>
            <w:tcW w:w="61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总额</w:t>
            </w: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1,100.00</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686.14</w:t>
            </w:r>
          </w:p>
        </w:tc>
        <w:tc>
          <w:tcPr>
            <w:tcW w:w="2164"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686.14</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100.00%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610" w:type="dxa"/>
            <w:vMerge w:val="restart"/>
            <w:tcBorders>
              <w:top w:val="nil"/>
              <w:left w:val="nil"/>
              <w:bottom w:val="single" w:color="000000" w:sz="4" w:space="0"/>
              <w:right w:val="single" w:color="000000" w:sz="4" w:space="0"/>
            </w:tcBorders>
            <w:vAlign w:val="center"/>
          </w:tcPr>
          <w:p>
            <w:pPr>
              <w:autoSpaceDE w:val="0"/>
              <w:spacing w:line="20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1,100.00</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686.14</w:t>
            </w:r>
          </w:p>
        </w:tc>
        <w:tc>
          <w:tcPr>
            <w:tcW w:w="2164"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686.14</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100.00%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610"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2164"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610"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2164"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610"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767"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131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2164" w:type="dxa"/>
            <w:gridSpan w:val="3"/>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3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宋体"/>
                <w:color w:val="000000"/>
                <w:sz w:val="18"/>
                <w:szCs w:val="18"/>
              </w:rPr>
            </w:pPr>
          </w:p>
        </w:tc>
        <w:tc>
          <w:tcPr>
            <w:tcW w:w="610"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920"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55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指标值</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权重</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得分</w:t>
            </w:r>
          </w:p>
        </w:tc>
        <w:tc>
          <w:tcPr>
            <w:tcW w:w="61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vMerge w:val="restart"/>
            <w:tcBorders>
              <w:top w:val="nil"/>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上云业务（非涉密）系统数量</w:t>
            </w:r>
          </w:p>
        </w:tc>
        <w:tc>
          <w:tcPr>
            <w:tcW w:w="55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128</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个</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610"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vMerge w:val="continue"/>
            <w:tcBorders>
              <w:top w:val="nil"/>
              <w:left w:val="nil"/>
              <w:bottom w:val="single" w:color="000000" w:sz="4" w:space="0"/>
              <w:right w:val="single" w:color="000000" w:sz="4" w:space="0"/>
            </w:tcBorders>
            <w:vAlign w:val="center"/>
          </w:tcP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质量指标</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政务云资源健康度</w:t>
            </w:r>
          </w:p>
        </w:tc>
        <w:tc>
          <w:tcPr>
            <w:tcW w:w="55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95</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610"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vMerge w:val="continue"/>
            <w:tcBorders>
              <w:top w:val="nil"/>
              <w:left w:val="nil"/>
              <w:bottom w:val="single" w:color="000000" w:sz="4" w:space="0"/>
              <w:right w:val="single" w:color="000000" w:sz="4" w:space="0"/>
            </w:tcBorders>
            <w:vAlign w:val="center"/>
          </w:tcPr>
          <w:p/>
        </w:tc>
        <w:tc>
          <w:tcPr>
            <w:tcW w:w="1767" w:type="dxa"/>
            <w:vMerge w:val="restart"/>
            <w:tcBorders>
              <w:top w:val="nil"/>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完成时限</w:t>
            </w:r>
          </w:p>
        </w:tc>
        <w:tc>
          <w:tcPr>
            <w:tcW w:w="55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610"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vMerge w:val="continue"/>
            <w:tcBorders>
              <w:top w:val="nil"/>
              <w:left w:val="nil"/>
              <w:bottom w:val="single" w:color="000000" w:sz="4" w:space="0"/>
              <w:right w:val="single" w:color="000000" w:sz="4" w:space="0"/>
            </w:tcBorders>
            <w:vAlign w:val="center"/>
          </w:tcPr>
          <w:p/>
        </w:tc>
        <w:tc>
          <w:tcPr>
            <w:tcW w:w="1767" w:type="dxa"/>
            <w:vMerge w:val="continue"/>
            <w:tcBorders>
              <w:top w:val="nil"/>
              <w:left w:val="nil"/>
              <w:bottom w:val="single" w:color="000000" w:sz="4" w:space="0"/>
              <w:right w:val="single" w:color="000000" w:sz="4" w:space="0"/>
            </w:tcBorders>
            <w:vAlign w:val="center"/>
          </w:tcP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提供技术服务支持</w:t>
            </w:r>
          </w:p>
        </w:tc>
        <w:tc>
          <w:tcPr>
            <w:tcW w:w="55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定性</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7*24小时</w:t>
            </w:r>
          </w:p>
        </w:tc>
        <w:tc>
          <w:tcPr>
            <w:tcW w:w="80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610"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整合政府信息化基础平台资源</w:t>
            </w:r>
          </w:p>
        </w:tc>
        <w:tc>
          <w:tcPr>
            <w:tcW w:w="55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定性</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提升政务信息化建设基础支撑能力，整合资源、高效运行</w:t>
            </w:r>
          </w:p>
        </w:tc>
        <w:tc>
          <w:tcPr>
            <w:tcW w:w="80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610"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服务对象满意度指标</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政务云使用单位满意度</w:t>
            </w:r>
          </w:p>
        </w:tc>
        <w:tc>
          <w:tcPr>
            <w:tcW w:w="55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90</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610"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920" w:type="dxa"/>
            <w:vMerge w:val="continue"/>
            <w:tcBorders>
              <w:top w:val="nil"/>
              <w:left w:val="single" w:color="000000" w:sz="4" w:space="0"/>
              <w:bottom w:val="single" w:color="000000" w:sz="4" w:space="0"/>
              <w:right w:val="single" w:color="000000" w:sz="4" w:space="0"/>
            </w:tcBorders>
            <w:vAlign w:val="center"/>
          </w:tcPr>
          <w:p/>
        </w:tc>
        <w:tc>
          <w:tcPr>
            <w:tcW w:w="87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成本指标</w:t>
            </w:r>
          </w:p>
        </w:tc>
        <w:tc>
          <w:tcPr>
            <w:tcW w:w="176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经济成本指标</w:t>
            </w:r>
          </w:p>
        </w:tc>
        <w:tc>
          <w:tcPr>
            <w:tcW w:w="131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成本控制</w:t>
            </w:r>
          </w:p>
        </w:tc>
        <w:tc>
          <w:tcPr>
            <w:tcW w:w="55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1100</w:t>
            </w:r>
          </w:p>
        </w:tc>
        <w:tc>
          <w:tcPr>
            <w:tcW w:w="8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万元</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610"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 w:hRule="atLeast"/>
          <w:jc w:val="center"/>
        </w:trPr>
        <w:tc>
          <w:tcPr>
            <w:tcW w:w="7033"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合计</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w:t>
            </w:r>
          </w:p>
        </w:tc>
        <w:tc>
          <w:tcPr>
            <w:tcW w:w="1465" w:type="dxa"/>
            <w:gridSpan w:val="2"/>
            <w:tcBorders>
              <w:top w:val="single" w:color="000000" w:sz="4" w:space="0"/>
              <w:left w:val="nil"/>
              <w:bottom w:val="single" w:color="000000" w:sz="4" w:space="0"/>
              <w:right w:val="single" w:color="000000" w:sz="4" w:space="0"/>
            </w:tcBorders>
            <w:vAlign w:val="center"/>
          </w:tcPr>
          <w:p>
            <w:pPr>
              <w:widowControl/>
              <w:autoSpaceDE w:val="0"/>
              <w:spacing w:line="200" w:lineRule="exact"/>
              <w:jc w:val="right"/>
              <w:textAlignment w:val="center"/>
              <w:rPr>
                <w:rFonts w:ascii="宋体"/>
                <w:color w:val="000000"/>
                <w:sz w:val="18"/>
                <w:szCs w:val="18"/>
              </w:rPr>
            </w:pPr>
            <w:r>
              <w:rPr>
                <w:rFonts w:hint="eastAsia" w:ascii="宋体"/>
                <w:color w:val="000000"/>
                <w:kern w:val="0"/>
                <w:sz w:val="18"/>
                <w:szCs w:val="18"/>
              </w:rPr>
              <w:t>100</w:t>
            </w:r>
          </w:p>
        </w:tc>
        <w:tc>
          <w:tcPr>
            <w:tcW w:w="610" w:type="dxa"/>
            <w:tcBorders>
              <w:top w:val="single" w:color="000000" w:sz="4" w:space="0"/>
              <w:left w:val="nil"/>
              <w:bottom w:val="single" w:color="000000" w:sz="4" w:space="0"/>
              <w:right w:val="single" w:color="000000" w:sz="4" w:space="0"/>
            </w:tcBorders>
            <w:vAlign w:val="center"/>
          </w:tcPr>
          <w:p>
            <w:pPr>
              <w:autoSpaceDE w:val="0"/>
              <w:spacing w:line="20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jc w:val="center"/>
        </w:trPr>
        <w:tc>
          <w:tcPr>
            <w:tcW w:w="920"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9034"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jc w:val="center"/>
        </w:trPr>
        <w:tc>
          <w:tcPr>
            <w:tcW w:w="920"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9034"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jc w:val="center"/>
        </w:trPr>
        <w:tc>
          <w:tcPr>
            <w:tcW w:w="920"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9034"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 w:hRule="atLeast"/>
          <w:jc w:val="center"/>
        </w:trPr>
        <w:tc>
          <w:tcPr>
            <w:tcW w:w="5424"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4530" w:type="dxa"/>
            <w:gridSpan w:val="6"/>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p>
      <w:pPr>
        <w:pStyle w:val="2"/>
      </w:pPr>
      <w:r>
        <w:t xml:space="preserve"> </w:t>
      </w:r>
    </w:p>
    <w:tbl>
      <w:tblPr>
        <w:tblStyle w:val="13"/>
        <w:tblW w:w="94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0"/>
        <w:gridCol w:w="963"/>
        <w:gridCol w:w="1263"/>
        <w:gridCol w:w="1902"/>
        <w:gridCol w:w="456"/>
        <w:gridCol w:w="576"/>
        <w:gridCol w:w="663"/>
        <w:gridCol w:w="873"/>
        <w:gridCol w:w="757"/>
        <w:gridCol w:w="758"/>
        <w:gridCol w:w="4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9472"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676" w:type="dxa"/>
            <w:gridSpan w:val="9"/>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51320021T000000063104-州级电子政务外网网络租赁费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1796"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854"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73" w:type="dxa"/>
            <w:tcBorders>
              <w:top w:val="nil"/>
              <w:left w:val="nil"/>
              <w:bottom w:val="nil"/>
              <w:right w:val="nil"/>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1950"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831"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965" w:type="dxa"/>
            <w:vMerge w:val="restart"/>
            <w:tcBorders>
              <w:top w:val="nil"/>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854"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822" w:type="dxa"/>
            <w:gridSpan w:val="4"/>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vMerge w:val="continue"/>
            <w:tcBorders>
              <w:top w:val="nil"/>
              <w:left w:val="nil"/>
              <w:bottom w:val="single" w:color="000000" w:sz="4" w:space="0"/>
              <w:right w:val="single" w:color="000000" w:sz="4" w:space="0"/>
            </w:tcBorders>
            <w:vAlign w:val="center"/>
          </w:tcPr>
          <w:p/>
        </w:tc>
        <w:tc>
          <w:tcPr>
            <w:tcW w:w="4854"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在提速保畅的基础上，推进州级部门政务信息系统整合共享及非涉密专网融合工作，提升全州电子政务网络支撑能力，保障州级部门免费使用公文无纸化传输平台、政府协同办公OA平台。构建高安全、高可靠、高效能，全州统一的电子政务外网平台，进一步提高政府社会管理和公共服务水平。</w:t>
            </w:r>
          </w:p>
        </w:tc>
        <w:tc>
          <w:tcPr>
            <w:tcW w:w="2822" w:type="dxa"/>
            <w:gridSpan w:val="4"/>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676" w:type="dxa"/>
            <w:gridSpan w:val="9"/>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该项目为保障州级部门免费使用公文无纸化传输平台、政府协同办公OA平台。构建高安全、高可靠、高效能，全州统一的电子政务外网平台，进一步提高政府社会管理和公共服务水平。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831"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1680"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7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权重</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得分</w:t>
            </w:r>
          </w:p>
        </w:tc>
        <w:tc>
          <w:tcPr>
            <w:tcW w:w="43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总额</w:t>
            </w: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142.00</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106.23</w:t>
            </w:r>
          </w:p>
        </w:tc>
        <w:tc>
          <w:tcPr>
            <w:tcW w:w="1680"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106.23</w:t>
            </w:r>
          </w:p>
        </w:tc>
        <w:tc>
          <w:tcPr>
            <w:tcW w:w="87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100.00%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31" w:type="dxa"/>
            <w:vMerge w:val="restart"/>
            <w:tcBorders>
              <w:top w:val="nil"/>
              <w:left w:val="nil"/>
              <w:bottom w:val="single" w:color="000000" w:sz="4" w:space="0"/>
              <w:right w:val="single" w:color="000000" w:sz="4" w:space="0"/>
            </w:tcBorders>
            <w:vAlign w:val="center"/>
          </w:tcPr>
          <w:p>
            <w:pPr>
              <w:autoSpaceDE w:val="0"/>
              <w:spacing w:line="20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142.00</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106.23</w:t>
            </w:r>
          </w:p>
        </w:tc>
        <w:tc>
          <w:tcPr>
            <w:tcW w:w="1680"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106.23</w:t>
            </w:r>
          </w:p>
        </w:tc>
        <w:tc>
          <w:tcPr>
            <w:tcW w:w="87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100.00%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31"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680"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87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31"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680"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87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31"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26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1908"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1680" w:type="dxa"/>
            <w:gridSpan w:val="3"/>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87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31"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jc w:val="center"/>
        </w:trPr>
        <w:tc>
          <w:tcPr>
            <w:tcW w:w="831"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4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56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指标值</w:t>
            </w:r>
          </w:p>
        </w:tc>
        <w:tc>
          <w:tcPr>
            <w:tcW w:w="66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7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权重</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得分</w:t>
            </w:r>
          </w:p>
        </w:tc>
        <w:tc>
          <w:tcPr>
            <w:tcW w:w="43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vMerge w:val="restart"/>
            <w:tcBorders>
              <w:top w:val="nil"/>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使用单位数量</w:t>
            </w:r>
          </w:p>
        </w:tc>
        <w:tc>
          <w:tcPr>
            <w:tcW w:w="4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6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80</w:t>
            </w:r>
          </w:p>
        </w:tc>
        <w:tc>
          <w:tcPr>
            <w:tcW w:w="66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个</w:t>
            </w:r>
          </w:p>
        </w:tc>
        <w:tc>
          <w:tcPr>
            <w:tcW w:w="87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3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vMerge w:val="continue"/>
            <w:tcBorders>
              <w:top w:val="nil"/>
              <w:left w:val="nil"/>
              <w:bottom w:val="single" w:color="000000" w:sz="4" w:space="0"/>
              <w:right w:val="single" w:color="000000" w:sz="4" w:space="0"/>
            </w:tcBorders>
            <w:vAlign w:val="center"/>
          </w:tcP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质量指标</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网络覆盖率</w:t>
            </w:r>
          </w:p>
        </w:tc>
        <w:tc>
          <w:tcPr>
            <w:tcW w:w="4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6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90</w:t>
            </w:r>
          </w:p>
        </w:tc>
        <w:tc>
          <w:tcPr>
            <w:tcW w:w="66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7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3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vMerge w:val="continue"/>
            <w:tcBorders>
              <w:top w:val="nil"/>
              <w:left w:val="nil"/>
              <w:bottom w:val="single" w:color="000000" w:sz="4" w:space="0"/>
              <w:right w:val="single" w:color="000000" w:sz="4" w:space="0"/>
            </w:tcBorders>
            <w:vAlign w:val="center"/>
          </w:tcPr>
          <w:p/>
        </w:tc>
        <w:tc>
          <w:tcPr>
            <w:tcW w:w="1266" w:type="dxa"/>
            <w:vMerge w:val="restart"/>
            <w:tcBorders>
              <w:top w:val="nil"/>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运维服务</w:t>
            </w:r>
          </w:p>
        </w:tc>
        <w:tc>
          <w:tcPr>
            <w:tcW w:w="4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定性</w:t>
            </w:r>
          </w:p>
        </w:tc>
        <w:tc>
          <w:tcPr>
            <w:tcW w:w="56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7*24小时</w:t>
            </w:r>
          </w:p>
        </w:tc>
        <w:tc>
          <w:tcPr>
            <w:tcW w:w="66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宋体"/>
                <w:color w:val="000000"/>
                <w:sz w:val="18"/>
                <w:szCs w:val="18"/>
              </w:rPr>
            </w:pPr>
          </w:p>
        </w:tc>
        <w:tc>
          <w:tcPr>
            <w:tcW w:w="87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3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vMerge w:val="continue"/>
            <w:tcBorders>
              <w:top w:val="nil"/>
              <w:left w:val="nil"/>
              <w:bottom w:val="single" w:color="000000" w:sz="4" w:space="0"/>
              <w:right w:val="single" w:color="000000" w:sz="4" w:space="0"/>
            </w:tcBorders>
            <w:vAlign w:val="center"/>
          </w:tcPr>
          <w:p/>
        </w:tc>
        <w:tc>
          <w:tcPr>
            <w:tcW w:w="1266" w:type="dxa"/>
            <w:vMerge w:val="continue"/>
            <w:tcBorders>
              <w:top w:val="nil"/>
              <w:left w:val="nil"/>
              <w:bottom w:val="single" w:color="000000" w:sz="4" w:space="0"/>
              <w:right w:val="single" w:color="000000" w:sz="4" w:space="0"/>
            </w:tcBorders>
            <w:vAlign w:val="center"/>
          </w:tcP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完成时间</w:t>
            </w:r>
          </w:p>
        </w:tc>
        <w:tc>
          <w:tcPr>
            <w:tcW w:w="4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定性</w:t>
            </w:r>
          </w:p>
        </w:tc>
        <w:tc>
          <w:tcPr>
            <w:tcW w:w="56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本年度12月前完成</w:t>
            </w:r>
          </w:p>
        </w:tc>
        <w:tc>
          <w:tcPr>
            <w:tcW w:w="66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宋体"/>
                <w:color w:val="000000"/>
                <w:sz w:val="18"/>
                <w:szCs w:val="18"/>
              </w:rPr>
            </w:pPr>
          </w:p>
        </w:tc>
        <w:tc>
          <w:tcPr>
            <w:tcW w:w="87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3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构建统一的办公网络</w:t>
            </w:r>
          </w:p>
        </w:tc>
        <w:tc>
          <w:tcPr>
            <w:tcW w:w="4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定性</w:t>
            </w:r>
          </w:p>
        </w:tc>
        <w:tc>
          <w:tcPr>
            <w:tcW w:w="56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提高政府工作效率</w:t>
            </w:r>
          </w:p>
        </w:tc>
        <w:tc>
          <w:tcPr>
            <w:tcW w:w="66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宋体"/>
                <w:color w:val="000000"/>
                <w:sz w:val="18"/>
                <w:szCs w:val="18"/>
              </w:rPr>
            </w:pPr>
          </w:p>
        </w:tc>
        <w:tc>
          <w:tcPr>
            <w:tcW w:w="87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43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服务对象满意度指标</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网络使用单位满意度</w:t>
            </w:r>
          </w:p>
        </w:tc>
        <w:tc>
          <w:tcPr>
            <w:tcW w:w="4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6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95</w:t>
            </w:r>
          </w:p>
        </w:tc>
        <w:tc>
          <w:tcPr>
            <w:tcW w:w="66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7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3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831" w:type="dxa"/>
            <w:vMerge w:val="continue"/>
            <w:tcBorders>
              <w:top w:val="nil"/>
              <w:left w:val="single" w:color="000000" w:sz="4" w:space="0"/>
              <w:bottom w:val="single" w:color="000000" w:sz="4" w:space="0"/>
              <w:right w:val="single" w:color="000000" w:sz="4" w:space="0"/>
            </w:tcBorders>
            <w:vAlign w:val="center"/>
          </w:tcPr>
          <w:p/>
        </w:tc>
        <w:tc>
          <w:tcPr>
            <w:tcW w:w="96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成本指标</w:t>
            </w:r>
          </w:p>
        </w:tc>
        <w:tc>
          <w:tcPr>
            <w:tcW w:w="126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经济成本指标</w:t>
            </w:r>
          </w:p>
        </w:tc>
        <w:tc>
          <w:tcPr>
            <w:tcW w:w="190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外网网络租赁成本</w:t>
            </w:r>
          </w:p>
        </w:tc>
        <w:tc>
          <w:tcPr>
            <w:tcW w:w="4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60"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142</w:t>
            </w:r>
          </w:p>
        </w:tc>
        <w:tc>
          <w:tcPr>
            <w:tcW w:w="66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万元</w:t>
            </w:r>
          </w:p>
        </w:tc>
        <w:tc>
          <w:tcPr>
            <w:tcW w:w="87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5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43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6650"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合计</w:t>
            </w:r>
          </w:p>
        </w:tc>
        <w:tc>
          <w:tcPr>
            <w:tcW w:w="87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w:t>
            </w:r>
          </w:p>
        </w:tc>
        <w:tc>
          <w:tcPr>
            <w:tcW w:w="1519" w:type="dxa"/>
            <w:gridSpan w:val="2"/>
            <w:tcBorders>
              <w:top w:val="single" w:color="000000" w:sz="4" w:space="0"/>
              <w:left w:val="nil"/>
              <w:bottom w:val="single" w:color="000000" w:sz="4" w:space="0"/>
              <w:right w:val="single" w:color="000000" w:sz="4" w:space="0"/>
            </w:tcBorders>
            <w:vAlign w:val="center"/>
          </w:tcPr>
          <w:p>
            <w:pPr>
              <w:widowControl/>
              <w:autoSpaceDE w:val="0"/>
              <w:spacing w:line="200" w:lineRule="exact"/>
              <w:jc w:val="right"/>
              <w:textAlignment w:val="center"/>
              <w:rPr>
                <w:rFonts w:ascii="宋体"/>
                <w:color w:val="000000"/>
                <w:sz w:val="18"/>
                <w:szCs w:val="18"/>
              </w:rPr>
            </w:pPr>
            <w:r>
              <w:rPr>
                <w:rFonts w:hint="eastAsia" w:ascii="宋体"/>
                <w:color w:val="000000"/>
                <w:kern w:val="0"/>
                <w:sz w:val="18"/>
                <w:szCs w:val="18"/>
              </w:rPr>
              <w:t>100</w:t>
            </w:r>
          </w:p>
        </w:tc>
        <w:tc>
          <w:tcPr>
            <w:tcW w:w="431" w:type="dxa"/>
            <w:tcBorders>
              <w:top w:val="single" w:color="000000" w:sz="4" w:space="0"/>
              <w:left w:val="nil"/>
              <w:bottom w:val="single" w:color="000000" w:sz="4" w:space="0"/>
              <w:right w:val="single" w:color="000000" w:sz="4" w:space="0"/>
            </w:tcBorders>
            <w:vAlign w:val="center"/>
          </w:tcPr>
          <w:p>
            <w:pPr>
              <w:autoSpaceDE w:val="0"/>
              <w:spacing w:line="20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831"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641"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jc w:val="center"/>
        </w:trPr>
        <w:tc>
          <w:tcPr>
            <w:tcW w:w="831"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641"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831"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641"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542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4046" w:type="dxa"/>
            <w:gridSpan w:val="6"/>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r>
        <w:br w:type="page"/>
      </w:r>
    </w:p>
    <w:p>
      <w:pPr>
        <w:pStyle w:val="2"/>
      </w:pPr>
      <w:r>
        <w:t xml:space="preserve"> </w:t>
      </w:r>
    </w:p>
    <w:tbl>
      <w:tblPr>
        <w:tblStyle w:val="13"/>
        <w:tblW w:w="9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1033"/>
        <w:gridCol w:w="1204"/>
        <w:gridCol w:w="1135"/>
        <w:gridCol w:w="527"/>
        <w:gridCol w:w="817"/>
        <w:gridCol w:w="932"/>
        <w:gridCol w:w="846"/>
        <w:gridCol w:w="729"/>
        <w:gridCol w:w="729"/>
        <w:gridCol w:w="4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9182"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869"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314" w:type="dxa"/>
            <w:gridSpan w:val="9"/>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51320021T000000063229-阿坝州政府公报印制及投递服务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869"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691"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6" w:type="dxa"/>
            <w:tcBorders>
              <w:top w:val="nil"/>
              <w:left w:val="nil"/>
              <w:bottom w:val="nil"/>
              <w:right w:val="nil"/>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1905"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919" w:type="dxa"/>
            <w:vMerge w:val="restart"/>
            <w:tcBorders>
              <w:top w:val="nil"/>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691"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751" w:type="dxa"/>
            <w:gridSpan w:val="4"/>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804" w:type="dxa"/>
            <w:vMerge w:val="continue"/>
            <w:tcBorders>
              <w:top w:val="nil"/>
              <w:left w:val="nil"/>
              <w:bottom w:val="single" w:color="000000" w:sz="4" w:space="0"/>
              <w:right w:val="single" w:color="000000" w:sz="4" w:space="0"/>
            </w:tcBorders>
            <w:vAlign w:val="center"/>
          </w:tcPr>
          <w:p/>
        </w:tc>
        <w:tc>
          <w:tcPr>
            <w:tcW w:w="4691"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建立健全政府公报体系，通过政府公报工作的推进，达到传达政令、宣传政策、指导工作、服务社会的目的，形成我州政府规章和规范性文件的权威发布平台。</w:t>
            </w:r>
          </w:p>
        </w:tc>
        <w:tc>
          <w:tcPr>
            <w:tcW w:w="2751" w:type="dxa"/>
            <w:gridSpan w:val="4"/>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314" w:type="dxa"/>
            <w:gridSpan w:val="9"/>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完成3期12000册纸质政府公报刊印和投递工作，并同步完成3期电子档政府公报在州政府门户网站专栏展示（2023年结转项目）。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19"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2135"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权重</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得分</w:t>
            </w:r>
          </w:p>
        </w:tc>
        <w:tc>
          <w:tcPr>
            <w:tcW w:w="4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总额</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8.00</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4.96</w:t>
            </w:r>
          </w:p>
        </w:tc>
        <w:tc>
          <w:tcPr>
            <w:tcW w:w="2135"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4.96</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100.00%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1" w:type="dxa"/>
            <w:vMerge w:val="restart"/>
            <w:tcBorders>
              <w:top w:val="nil"/>
              <w:left w:val="nil"/>
              <w:bottom w:val="single" w:color="000000" w:sz="4" w:space="0"/>
              <w:right w:val="single" w:color="000000" w:sz="4" w:space="0"/>
            </w:tcBorders>
            <w:vAlign w:val="center"/>
          </w:tcPr>
          <w:p>
            <w:pPr>
              <w:autoSpaceDE w:val="0"/>
              <w:spacing w:line="20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8.00</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4.96</w:t>
            </w:r>
          </w:p>
        </w:tc>
        <w:tc>
          <w:tcPr>
            <w:tcW w:w="2135"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4.96</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100.00%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1"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2135"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1"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2135"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1"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228"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115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2135" w:type="dxa"/>
            <w:gridSpan w:val="3"/>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1"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19"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48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指标值</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权重</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得分</w:t>
            </w:r>
          </w:p>
        </w:tc>
        <w:tc>
          <w:tcPr>
            <w:tcW w:w="4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919" w:type="dxa"/>
            <w:vMerge w:val="restart"/>
            <w:tcBorders>
              <w:top w:val="nil"/>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228" w:type="dxa"/>
            <w:vMerge w:val="restart"/>
            <w:tcBorders>
              <w:top w:val="nil"/>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赠阅对象</w:t>
            </w:r>
          </w:p>
        </w:tc>
        <w:tc>
          <w:tcPr>
            <w:tcW w:w="48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2000</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个</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804" w:type="dxa"/>
            <w:vMerge w:val="continue"/>
            <w:tcBorders>
              <w:top w:val="nil"/>
              <w:left w:val="nil"/>
              <w:bottom w:val="single" w:color="000000" w:sz="4" w:space="0"/>
              <w:right w:val="single" w:color="000000" w:sz="4" w:space="0"/>
            </w:tcBorders>
            <w:vAlign w:val="center"/>
          </w:tcPr>
          <w:p/>
        </w:tc>
        <w:tc>
          <w:tcPr>
            <w:tcW w:w="1517" w:type="dxa"/>
            <w:vMerge w:val="continue"/>
            <w:tcBorders>
              <w:top w:val="nil"/>
              <w:left w:val="nil"/>
              <w:bottom w:val="single" w:color="000000" w:sz="4" w:space="0"/>
              <w:right w:val="single" w:color="000000" w:sz="4" w:space="0"/>
            </w:tcBorders>
            <w:vAlign w:val="center"/>
          </w:tcP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印制和投递数量。</w:t>
            </w:r>
          </w:p>
        </w:tc>
        <w:tc>
          <w:tcPr>
            <w:tcW w:w="48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12000</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套</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804" w:type="dxa"/>
            <w:vMerge w:val="continue"/>
            <w:tcBorders>
              <w:top w:val="nil"/>
              <w:left w:val="nil"/>
              <w:bottom w:val="single" w:color="000000" w:sz="4" w:space="0"/>
              <w:right w:val="single" w:color="000000" w:sz="4" w:space="0"/>
            </w:tcBorders>
            <w:vAlign w:val="center"/>
          </w:tcP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质量指标</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印刷达标率</w:t>
            </w:r>
          </w:p>
        </w:tc>
        <w:tc>
          <w:tcPr>
            <w:tcW w:w="48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804" w:type="dxa"/>
            <w:vMerge w:val="continue"/>
            <w:tcBorders>
              <w:top w:val="nil"/>
              <w:left w:val="nil"/>
              <w:bottom w:val="single" w:color="000000" w:sz="4" w:space="0"/>
              <w:right w:val="single" w:color="000000" w:sz="4" w:space="0"/>
            </w:tcBorders>
            <w:vAlign w:val="center"/>
          </w:tcP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印制完成时限</w:t>
            </w:r>
          </w:p>
        </w:tc>
        <w:tc>
          <w:tcPr>
            <w:tcW w:w="48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11</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月</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政务公开</w:t>
            </w:r>
          </w:p>
        </w:tc>
        <w:tc>
          <w:tcPr>
            <w:tcW w:w="48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定性</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显著提升政务公开、加强政务服务、促进依法行政</w:t>
            </w:r>
          </w:p>
        </w:tc>
        <w:tc>
          <w:tcPr>
            <w:tcW w:w="82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42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赠阅对象满意度</w:t>
            </w:r>
          </w:p>
        </w:tc>
        <w:tc>
          <w:tcPr>
            <w:tcW w:w="48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95</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19"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成本指标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经济成本指标</w:t>
            </w:r>
          </w:p>
        </w:tc>
        <w:tc>
          <w:tcPr>
            <w:tcW w:w="115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成本控制</w:t>
            </w:r>
          </w:p>
        </w:tc>
        <w:tc>
          <w:tcPr>
            <w:tcW w:w="48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80000</w:t>
            </w:r>
          </w:p>
        </w:tc>
        <w:tc>
          <w:tcPr>
            <w:tcW w:w="82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元/年</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4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421"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431"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合计</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w:t>
            </w:r>
          </w:p>
        </w:tc>
        <w:tc>
          <w:tcPr>
            <w:tcW w:w="1484" w:type="dxa"/>
            <w:gridSpan w:val="2"/>
            <w:tcBorders>
              <w:top w:val="single" w:color="000000" w:sz="4" w:space="0"/>
              <w:left w:val="nil"/>
              <w:bottom w:val="single" w:color="000000" w:sz="4" w:space="0"/>
              <w:right w:val="single" w:color="000000" w:sz="4" w:space="0"/>
            </w:tcBorders>
            <w:vAlign w:val="center"/>
          </w:tcPr>
          <w:p>
            <w:pPr>
              <w:widowControl/>
              <w:autoSpaceDE w:val="0"/>
              <w:spacing w:line="200" w:lineRule="exact"/>
              <w:jc w:val="right"/>
              <w:textAlignment w:val="center"/>
              <w:rPr>
                <w:rFonts w:ascii="宋体"/>
                <w:color w:val="000000"/>
                <w:sz w:val="18"/>
                <w:szCs w:val="18"/>
              </w:rPr>
            </w:pPr>
            <w:r>
              <w:rPr>
                <w:rFonts w:hint="eastAsia" w:ascii="宋体"/>
                <w:color w:val="000000"/>
                <w:kern w:val="0"/>
                <w:sz w:val="18"/>
                <w:szCs w:val="18"/>
              </w:rPr>
              <w:t>100</w:t>
            </w:r>
          </w:p>
        </w:tc>
        <w:tc>
          <w:tcPr>
            <w:tcW w:w="421" w:type="dxa"/>
            <w:tcBorders>
              <w:top w:val="single" w:color="000000" w:sz="4" w:space="0"/>
              <w:left w:val="nil"/>
              <w:bottom w:val="single" w:color="000000" w:sz="4" w:space="0"/>
              <w:right w:val="single" w:color="000000" w:sz="4" w:space="0"/>
            </w:tcBorders>
            <w:vAlign w:val="center"/>
          </w:tcPr>
          <w:p>
            <w:pPr>
              <w:autoSpaceDE w:val="0"/>
              <w:spacing w:line="20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19"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363"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19"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363"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19"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363"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785"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4397" w:type="dxa"/>
            <w:gridSpan w:val="6"/>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r>
        <w:br w:type="page"/>
      </w:r>
    </w:p>
    <w:p>
      <w:pPr>
        <w:pStyle w:val="2"/>
      </w:pPr>
      <w:r>
        <w:t xml:space="preserve"> </w:t>
      </w:r>
    </w:p>
    <w:tbl>
      <w:tblPr>
        <w:tblStyle w:val="13"/>
        <w:tblW w:w="9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2"/>
        <w:gridCol w:w="1117"/>
        <w:gridCol w:w="1227"/>
        <w:gridCol w:w="1336"/>
        <w:gridCol w:w="475"/>
        <w:gridCol w:w="691"/>
        <w:gridCol w:w="690"/>
        <w:gridCol w:w="846"/>
        <w:gridCol w:w="747"/>
        <w:gridCol w:w="747"/>
        <w:gridCol w:w="4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9184"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001"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182" w:type="dxa"/>
            <w:gridSpan w:val="9"/>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51320021T000000063271-信息系统等保测评费用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001"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352" w:type="dxa"/>
            <w:gridSpan w:val="5"/>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6" w:type="dxa"/>
            <w:tcBorders>
              <w:top w:val="nil"/>
              <w:left w:val="nil"/>
              <w:bottom w:val="nil"/>
              <w:right w:val="nil"/>
            </w:tcBorders>
            <w:vAlign w:val="center"/>
          </w:tcPr>
          <w:p>
            <w:pPr>
              <w:widowControl/>
              <w:autoSpaceDE w:val="0"/>
              <w:spacing w:line="23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1920"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3" w:type="dxa"/>
            <w:vMerge w:val="restart"/>
            <w:tcBorders>
              <w:top w:val="nil"/>
              <w:left w:val="single" w:color="000000" w:sz="4" w:space="0"/>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919" w:type="dxa"/>
            <w:vMerge w:val="restart"/>
            <w:tcBorders>
              <w:top w:val="nil"/>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352" w:type="dxa"/>
            <w:gridSpan w:val="5"/>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766" w:type="dxa"/>
            <w:gridSpan w:val="4"/>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867" w:type="dxa"/>
            <w:vMerge w:val="continue"/>
            <w:tcBorders>
              <w:top w:val="nil"/>
              <w:left w:val="nil"/>
              <w:bottom w:val="single" w:color="000000" w:sz="4" w:space="0"/>
              <w:right w:val="single" w:color="000000" w:sz="4" w:space="0"/>
            </w:tcBorders>
            <w:vAlign w:val="center"/>
          </w:tcPr>
          <w:p/>
        </w:tc>
        <w:tc>
          <w:tcPr>
            <w:tcW w:w="4352" w:type="dxa"/>
            <w:gridSpan w:val="5"/>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完成信创云平台等保第三级和阿坝州政务邮件系统、阿坝州方正电子公文交换系统、阿坝州建议提案履职平台等保第二级复测任务。</w:t>
            </w:r>
          </w:p>
        </w:tc>
        <w:tc>
          <w:tcPr>
            <w:tcW w:w="2766" w:type="dxa"/>
            <w:gridSpan w:val="4"/>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182" w:type="dxa"/>
            <w:gridSpan w:val="9"/>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该项目测评工作已于2023年完成，该笔资金按照合同约定于2024年支付。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83" w:type="dxa"/>
            <w:vMerge w:val="restart"/>
            <w:tcBorders>
              <w:top w:val="nil"/>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1857" w:type="dxa"/>
            <w:gridSpan w:val="3"/>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权重</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得分</w:t>
            </w:r>
          </w:p>
        </w:tc>
        <w:tc>
          <w:tcPr>
            <w:tcW w:w="42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总额</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2.95</w:t>
            </w:r>
          </w:p>
        </w:tc>
        <w:tc>
          <w:tcPr>
            <w:tcW w:w="1857" w:type="dxa"/>
            <w:gridSpan w:val="3"/>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2.95</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100.00%</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vMerge w:val="restart"/>
            <w:tcBorders>
              <w:top w:val="nil"/>
              <w:left w:val="nil"/>
              <w:bottom w:val="single" w:color="000000" w:sz="4" w:space="0"/>
              <w:right w:val="single" w:color="000000" w:sz="4" w:space="0"/>
            </w:tcBorders>
            <w:vAlign w:val="center"/>
          </w:tcPr>
          <w:p>
            <w:pPr>
              <w:autoSpaceDE w:val="0"/>
              <w:spacing w:line="23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2.95</w:t>
            </w:r>
          </w:p>
        </w:tc>
        <w:tc>
          <w:tcPr>
            <w:tcW w:w="1857" w:type="dxa"/>
            <w:gridSpan w:val="3"/>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2.95</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100.00%</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857" w:type="dxa"/>
            <w:gridSpan w:val="3"/>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857" w:type="dxa"/>
            <w:gridSpan w:val="3"/>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228"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1338"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1857" w:type="dxa"/>
            <w:gridSpan w:val="3"/>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83" w:type="dxa"/>
            <w:vMerge w:val="restart"/>
            <w:tcBorders>
              <w:top w:val="nil"/>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47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指标值</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权重</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得分</w:t>
            </w:r>
          </w:p>
        </w:tc>
        <w:tc>
          <w:tcPr>
            <w:tcW w:w="42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919" w:type="dxa"/>
            <w:vMerge w:val="restart"/>
            <w:tcBorders>
              <w:top w:val="nil"/>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228" w:type="dxa"/>
            <w:vMerge w:val="restart"/>
            <w:tcBorders>
              <w:top w:val="nil"/>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测评系统数量</w:t>
            </w:r>
          </w:p>
        </w:tc>
        <w:tc>
          <w:tcPr>
            <w:tcW w:w="47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4</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个</w:t>
            </w: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424"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867" w:type="dxa"/>
            <w:vMerge w:val="continue"/>
            <w:tcBorders>
              <w:top w:val="nil"/>
              <w:left w:val="nil"/>
              <w:bottom w:val="single" w:color="000000" w:sz="4" w:space="0"/>
              <w:right w:val="single" w:color="000000" w:sz="4" w:space="0"/>
            </w:tcBorders>
            <w:vAlign w:val="center"/>
          </w:tcPr>
          <w:p/>
        </w:tc>
        <w:tc>
          <w:tcPr>
            <w:tcW w:w="1473" w:type="dxa"/>
            <w:vMerge w:val="continue"/>
            <w:tcBorders>
              <w:top w:val="nil"/>
              <w:left w:val="nil"/>
              <w:bottom w:val="single" w:color="000000" w:sz="4" w:space="0"/>
              <w:right w:val="single" w:color="000000" w:sz="4" w:space="0"/>
            </w:tcBorders>
            <w:vAlign w:val="center"/>
          </w:tcP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测评次数</w:t>
            </w:r>
          </w:p>
        </w:tc>
        <w:tc>
          <w:tcPr>
            <w:tcW w:w="47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4</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次</w:t>
            </w: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5</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5</w:t>
            </w:r>
          </w:p>
        </w:tc>
        <w:tc>
          <w:tcPr>
            <w:tcW w:w="424"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867" w:type="dxa"/>
            <w:vMerge w:val="continue"/>
            <w:tcBorders>
              <w:top w:val="nil"/>
              <w:left w:val="nil"/>
              <w:bottom w:val="single" w:color="000000" w:sz="4" w:space="0"/>
              <w:right w:val="single" w:color="000000" w:sz="4" w:space="0"/>
            </w:tcBorders>
            <w:vAlign w:val="center"/>
          </w:tcP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质量指标</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提升信息系统网络安全质量</w:t>
            </w:r>
          </w:p>
        </w:tc>
        <w:tc>
          <w:tcPr>
            <w:tcW w:w="47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定性</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显著提升</w:t>
            </w:r>
          </w:p>
        </w:tc>
        <w:tc>
          <w:tcPr>
            <w:tcW w:w="691"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424"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867" w:type="dxa"/>
            <w:vMerge w:val="continue"/>
            <w:tcBorders>
              <w:top w:val="nil"/>
              <w:left w:val="nil"/>
              <w:bottom w:val="single" w:color="000000" w:sz="4" w:space="0"/>
              <w:right w:val="single" w:color="000000" w:sz="4" w:space="0"/>
            </w:tcBorders>
            <w:vAlign w:val="center"/>
          </w:tcP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完成时间</w:t>
            </w:r>
          </w:p>
        </w:tc>
        <w:tc>
          <w:tcPr>
            <w:tcW w:w="47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定性</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11月前完成</w:t>
            </w:r>
          </w:p>
        </w:tc>
        <w:tc>
          <w:tcPr>
            <w:tcW w:w="691"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5</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5</w:t>
            </w:r>
          </w:p>
        </w:tc>
        <w:tc>
          <w:tcPr>
            <w:tcW w:w="424"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提升被测评系统的安全性</w:t>
            </w:r>
          </w:p>
        </w:tc>
        <w:tc>
          <w:tcPr>
            <w:tcW w:w="47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定性</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显著提升</w:t>
            </w:r>
          </w:p>
        </w:tc>
        <w:tc>
          <w:tcPr>
            <w:tcW w:w="691"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424"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服务对象满意度指标</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系统测评通过率</w:t>
            </w:r>
          </w:p>
        </w:tc>
        <w:tc>
          <w:tcPr>
            <w:tcW w:w="47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90</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3" w:type="dxa"/>
            <w:vMerge w:val="continue"/>
            <w:tcBorders>
              <w:top w:val="nil"/>
              <w:left w:val="single" w:color="000000" w:sz="4" w:space="0"/>
              <w:bottom w:val="single" w:color="000000" w:sz="4" w:space="0"/>
              <w:right w:val="single" w:color="000000" w:sz="4" w:space="0"/>
            </w:tcBorders>
            <w:vAlign w:val="center"/>
          </w:tcPr>
          <w:p/>
        </w:tc>
        <w:tc>
          <w:tcPr>
            <w:tcW w:w="91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成本指标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经济成本指标</w:t>
            </w:r>
          </w:p>
        </w:tc>
        <w:tc>
          <w:tcPr>
            <w:tcW w:w="133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成本控制数</w:t>
            </w:r>
          </w:p>
        </w:tc>
        <w:tc>
          <w:tcPr>
            <w:tcW w:w="47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2.95</w:t>
            </w:r>
          </w:p>
        </w:tc>
        <w:tc>
          <w:tcPr>
            <w:tcW w:w="691"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万元</w:t>
            </w: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w:t>
            </w:r>
          </w:p>
        </w:tc>
        <w:tc>
          <w:tcPr>
            <w:tcW w:w="748"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418"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合计</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100</w:t>
            </w:r>
          </w:p>
        </w:tc>
        <w:tc>
          <w:tcPr>
            <w:tcW w:w="1496" w:type="dxa"/>
            <w:gridSpan w:val="2"/>
            <w:tcBorders>
              <w:top w:val="single" w:color="000000" w:sz="4" w:space="0"/>
              <w:left w:val="nil"/>
              <w:bottom w:val="single" w:color="000000" w:sz="4" w:space="0"/>
              <w:right w:val="single" w:color="000000" w:sz="4" w:space="0"/>
            </w:tcBorders>
            <w:vAlign w:val="center"/>
          </w:tcPr>
          <w:p>
            <w:pPr>
              <w:widowControl/>
              <w:autoSpaceDE w:val="0"/>
              <w:spacing w:line="230" w:lineRule="exact"/>
              <w:jc w:val="right"/>
              <w:textAlignment w:val="center"/>
              <w:rPr>
                <w:rFonts w:ascii="宋体"/>
                <w:color w:val="000000"/>
                <w:sz w:val="18"/>
                <w:szCs w:val="18"/>
              </w:rPr>
            </w:pPr>
            <w:r>
              <w:rPr>
                <w:rFonts w:hint="eastAsia" w:ascii="宋体"/>
                <w:color w:val="000000"/>
                <w:kern w:val="0"/>
                <w:sz w:val="18"/>
                <w:szCs w:val="18"/>
              </w:rPr>
              <w:t>100</w:t>
            </w:r>
          </w:p>
        </w:tc>
        <w:tc>
          <w:tcPr>
            <w:tcW w:w="424" w:type="dxa"/>
            <w:tcBorders>
              <w:top w:val="single" w:color="000000" w:sz="4" w:space="0"/>
              <w:left w:val="nil"/>
              <w:bottom w:val="single" w:color="000000" w:sz="4" w:space="0"/>
              <w:right w:val="single" w:color="000000" w:sz="4" w:space="0"/>
            </w:tcBorders>
            <w:vAlign w:val="center"/>
          </w:tcPr>
          <w:p>
            <w:pPr>
              <w:autoSpaceDE w:val="0"/>
              <w:spacing w:line="23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83"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301" w:type="dxa"/>
            <w:gridSpan w:val="10"/>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83"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301" w:type="dxa"/>
            <w:gridSpan w:val="10"/>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83"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301" w:type="dxa"/>
            <w:gridSpan w:val="10"/>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3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4148" w:type="dxa"/>
            <w:gridSpan w:val="6"/>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r>
        <w:br w:type="page"/>
      </w:r>
    </w:p>
    <w:p>
      <w:pPr>
        <w:pStyle w:val="2"/>
      </w:pPr>
      <w:r>
        <w:t xml:space="preserve"> </w:t>
      </w:r>
    </w:p>
    <w:tbl>
      <w:tblPr>
        <w:tblStyle w:val="13"/>
        <w:tblW w:w="93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0"/>
        <w:gridCol w:w="845"/>
        <w:gridCol w:w="1520"/>
        <w:gridCol w:w="1825"/>
        <w:gridCol w:w="490"/>
        <w:gridCol w:w="656"/>
        <w:gridCol w:w="229"/>
        <w:gridCol w:w="846"/>
        <w:gridCol w:w="744"/>
        <w:gridCol w:w="745"/>
        <w:gridCol w:w="5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9346"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705"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641" w:type="dxa"/>
            <w:gridSpan w:val="9"/>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51320022T000000341021-阿坝州‘互联网+监管’专项技术服务费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705"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720" w:type="dxa"/>
            <w:gridSpan w:val="5"/>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6" w:type="dxa"/>
            <w:tcBorders>
              <w:top w:val="nil"/>
              <w:left w:val="nil"/>
              <w:bottom w:val="nil"/>
              <w:right w:val="nil"/>
            </w:tcBorders>
            <w:vAlign w:val="center"/>
          </w:tcPr>
          <w:p>
            <w:pPr>
              <w:widowControl/>
              <w:autoSpaceDE w:val="0"/>
              <w:spacing w:line="23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2075"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0" w:type="dxa"/>
            <w:vMerge w:val="restart"/>
            <w:tcBorders>
              <w:top w:val="nil"/>
              <w:left w:val="single" w:color="000000" w:sz="4" w:space="0"/>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845" w:type="dxa"/>
            <w:vMerge w:val="restart"/>
            <w:tcBorders>
              <w:top w:val="nil"/>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720" w:type="dxa"/>
            <w:gridSpan w:val="5"/>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921" w:type="dxa"/>
            <w:gridSpan w:val="4"/>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vMerge w:val="continue"/>
            <w:tcBorders>
              <w:top w:val="nil"/>
              <w:left w:val="nil"/>
              <w:bottom w:val="single" w:color="000000" w:sz="4" w:space="0"/>
              <w:right w:val="single" w:color="000000" w:sz="4" w:space="0"/>
            </w:tcBorders>
            <w:vAlign w:val="center"/>
          </w:tcPr>
          <w:p/>
        </w:tc>
        <w:tc>
          <w:tcPr>
            <w:tcW w:w="4720" w:type="dxa"/>
            <w:gridSpan w:val="5"/>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按照国、省关于加强“互联网+监管”工作相关要求，为进一步优化我州营商环境，建立我州监管事项规范化和动态化管理机制，加强民生、安全、食品、教育等领域监管。</w:t>
            </w:r>
          </w:p>
        </w:tc>
        <w:tc>
          <w:tcPr>
            <w:tcW w:w="2921" w:type="dxa"/>
            <w:gridSpan w:val="4"/>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641" w:type="dxa"/>
            <w:gridSpan w:val="9"/>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宋体"/>
                <w:color w:val="000000"/>
                <w:sz w:val="18"/>
                <w:szCs w:val="18"/>
              </w:rPr>
            </w:pPr>
            <w:r>
              <w:rPr>
                <w:rStyle w:val="22"/>
              </w:rPr>
              <w:t>该服务为2023年结转项目，按照合同约定，剩余资金于2024年支付，按照约定完成了监管事项规范化和动态化管理机制，加强民生、安全、食品、教育等领域监管工作。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60" w:type="dxa"/>
            <w:vMerge w:val="restart"/>
            <w:tcBorders>
              <w:top w:val="nil"/>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1375" w:type="dxa"/>
            <w:gridSpan w:val="3"/>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权重</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得分</w:t>
            </w:r>
          </w:p>
        </w:tc>
        <w:tc>
          <w:tcPr>
            <w:tcW w:w="58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总额</w:t>
            </w: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67.01</w:t>
            </w:r>
          </w:p>
        </w:tc>
        <w:tc>
          <w:tcPr>
            <w:tcW w:w="1375" w:type="dxa"/>
            <w:gridSpan w:val="3"/>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67.01</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w:t>
            </w:r>
          </w:p>
        </w:tc>
        <w:tc>
          <w:tcPr>
            <w:tcW w:w="586" w:type="dxa"/>
            <w:vMerge w:val="restart"/>
            <w:tcBorders>
              <w:top w:val="nil"/>
              <w:left w:val="nil"/>
              <w:bottom w:val="single" w:color="000000" w:sz="4" w:space="0"/>
              <w:right w:val="single" w:color="000000" w:sz="4" w:space="0"/>
            </w:tcBorders>
            <w:vAlign w:val="center"/>
          </w:tcPr>
          <w:p>
            <w:pPr>
              <w:autoSpaceDE w:val="0"/>
              <w:spacing w:line="23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67.01</w:t>
            </w:r>
          </w:p>
        </w:tc>
        <w:tc>
          <w:tcPr>
            <w:tcW w:w="1375" w:type="dxa"/>
            <w:gridSpan w:val="3"/>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67.01</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586"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375" w:type="dxa"/>
            <w:gridSpan w:val="3"/>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586"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1375" w:type="dxa"/>
            <w:gridSpan w:val="3"/>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586"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520"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1825"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1375" w:type="dxa"/>
            <w:gridSpan w:val="3"/>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586"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60" w:type="dxa"/>
            <w:vMerge w:val="restart"/>
            <w:tcBorders>
              <w:top w:val="nil"/>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49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65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指标值</w:t>
            </w:r>
          </w:p>
        </w:tc>
        <w:tc>
          <w:tcPr>
            <w:tcW w:w="22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权重</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得分</w:t>
            </w:r>
          </w:p>
        </w:tc>
        <w:tc>
          <w:tcPr>
            <w:tcW w:w="58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vMerge w:val="restart"/>
            <w:tcBorders>
              <w:top w:val="nil"/>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目录梳理覆盖单位数量</w:t>
            </w:r>
          </w:p>
        </w:tc>
        <w:tc>
          <w:tcPr>
            <w:tcW w:w="49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65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47</w:t>
            </w:r>
          </w:p>
        </w:tc>
        <w:tc>
          <w:tcPr>
            <w:tcW w:w="22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个</w:t>
            </w: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58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vMerge w:val="continue"/>
            <w:tcBorders>
              <w:top w:val="nil"/>
              <w:left w:val="nil"/>
              <w:bottom w:val="single" w:color="000000" w:sz="4" w:space="0"/>
              <w:right w:val="single" w:color="000000" w:sz="4" w:space="0"/>
            </w:tcBorders>
            <w:vAlign w:val="center"/>
          </w:tcP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质量指标</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监管事项目录梳理覆盖率</w:t>
            </w:r>
          </w:p>
        </w:tc>
        <w:tc>
          <w:tcPr>
            <w:tcW w:w="49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65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95</w:t>
            </w:r>
          </w:p>
        </w:tc>
        <w:tc>
          <w:tcPr>
            <w:tcW w:w="22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58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vMerge w:val="continue"/>
            <w:tcBorders>
              <w:top w:val="nil"/>
              <w:left w:val="nil"/>
              <w:bottom w:val="single" w:color="000000" w:sz="4" w:space="0"/>
              <w:right w:val="single" w:color="000000" w:sz="4" w:space="0"/>
            </w:tcBorders>
            <w:vAlign w:val="center"/>
          </w:tcP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完成时间</w:t>
            </w:r>
          </w:p>
        </w:tc>
        <w:tc>
          <w:tcPr>
            <w:tcW w:w="49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定性</w:t>
            </w:r>
          </w:p>
        </w:tc>
        <w:tc>
          <w:tcPr>
            <w:tcW w:w="65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合同约定期限内</w:t>
            </w:r>
          </w:p>
        </w:tc>
        <w:tc>
          <w:tcPr>
            <w:tcW w:w="229"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58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提升行政执法规范</w:t>
            </w:r>
          </w:p>
        </w:tc>
        <w:tc>
          <w:tcPr>
            <w:tcW w:w="49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定性</w:t>
            </w:r>
          </w:p>
        </w:tc>
        <w:tc>
          <w:tcPr>
            <w:tcW w:w="65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显著提升行政执法规范化</w:t>
            </w:r>
          </w:p>
        </w:tc>
        <w:tc>
          <w:tcPr>
            <w:tcW w:w="229"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20</w:t>
            </w:r>
          </w:p>
        </w:tc>
        <w:tc>
          <w:tcPr>
            <w:tcW w:w="58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60" w:type="dxa"/>
            <w:vMerge w:val="continue"/>
            <w:tcBorders>
              <w:top w:val="nil"/>
              <w:left w:val="single" w:color="000000" w:sz="4" w:space="0"/>
              <w:bottom w:val="single" w:color="000000" w:sz="4" w:space="0"/>
              <w:right w:val="single" w:color="000000" w:sz="4" w:space="0"/>
            </w:tcBorders>
            <w:vAlign w:val="center"/>
          </w:tcP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52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服务对象满意度指标</w:t>
            </w:r>
          </w:p>
        </w:tc>
        <w:tc>
          <w:tcPr>
            <w:tcW w:w="1825"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监管单位满意度</w:t>
            </w:r>
          </w:p>
        </w:tc>
        <w:tc>
          <w:tcPr>
            <w:tcW w:w="490"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65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95</w:t>
            </w:r>
          </w:p>
        </w:tc>
        <w:tc>
          <w:tcPr>
            <w:tcW w:w="229"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w:t>
            </w:r>
          </w:p>
        </w:tc>
        <w:tc>
          <w:tcPr>
            <w:tcW w:w="586" w:type="dxa"/>
            <w:tcBorders>
              <w:top w:val="single" w:color="000000" w:sz="4" w:space="0"/>
              <w:left w:val="nil"/>
              <w:bottom w:val="single" w:color="000000" w:sz="4" w:space="0"/>
              <w:right w:val="single" w:color="000000" w:sz="4" w:space="0"/>
            </w:tcBorders>
            <w:vAlign w:val="center"/>
          </w:tcPr>
          <w:p>
            <w:pPr>
              <w:autoSpaceDE w:val="0"/>
              <w:spacing w:line="23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425"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合计</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100</w:t>
            </w:r>
          </w:p>
        </w:tc>
        <w:tc>
          <w:tcPr>
            <w:tcW w:w="1489" w:type="dxa"/>
            <w:gridSpan w:val="2"/>
            <w:tcBorders>
              <w:top w:val="single" w:color="000000" w:sz="4" w:space="0"/>
              <w:left w:val="nil"/>
              <w:bottom w:val="single" w:color="000000" w:sz="4" w:space="0"/>
              <w:right w:val="single" w:color="000000" w:sz="4" w:space="0"/>
            </w:tcBorders>
            <w:vAlign w:val="center"/>
          </w:tcPr>
          <w:p>
            <w:pPr>
              <w:widowControl/>
              <w:autoSpaceDE w:val="0"/>
              <w:spacing w:line="230" w:lineRule="exact"/>
              <w:jc w:val="right"/>
              <w:textAlignment w:val="center"/>
              <w:rPr>
                <w:rFonts w:ascii="宋体"/>
                <w:color w:val="000000"/>
                <w:sz w:val="18"/>
                <w:szCs w:val="18"/>
              </w:rPr>
            </w:pPr>
            <w:r>
              <w:rPr>
                <w:rFonts w:hint="eastAsia" w:ascii="宋体"/>
                <w:color w:val="000000"/>
                <w:kern w:val="0"/>
                <w:sz w:val="18"/>
                <w:szCs w:val="18"/>
              </w:rPr>
              <w:t>100</w:t>
            </w:r>
          </w:p>
        </w:tc>
        <w:tc>
          <w:tcPr>
            <w:tcW w:w="586" w:type="dxa"/>
            <w:tcBorders>
              <w:top w:val="single" w:color="000000" w:sz="4" w:space="0"/>
              <w:left w:val="nil"/>
              <w:bottom w:val="single" w:color="000000" w:sz="4" w:space="0"/>
              <w:right w:val="single" w:color="000000" w:sz="4" w:space="0"/>
            </w:tcBorders>
            <w:vAlign w:val="center"/>
          </w:tcPr>
          <w:p>
            <w:pPr>
              <w:autoSpaceDE w:val="0"/>
              <w:spacing w:line="23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60"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486" w:type="dxa"/>
            <w:gridSpan w:val="10"/>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60"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486" w:type="dxa"/>
            <w:gridSpan w:val="10"/>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60"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486" w:type="dxa"/>
            <w:gridSpan w:val="10"/>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40"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3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3806" w:type="dxa"/>
            <w:gridSpan w:val="6"/>
            <w:tcBorders>
              <w:top w:val="single" w:color="000000" w:sz="4" w:space="0"/>
              <w:left w:val="nil"/>
              <w:bottom w:val="single" w:color="000000" w:sz="4" w:space="0"/>
              <w:right w:val="single" w:color="000000" w:sz="4" w:space="0"/>
            </w:tcBorders>
            <w:vAlign w:val="center"/>
          </w:tcPr>
          <w:p>
            <w:pPr>
              <w:widowControl/>
              <w:autoSpaceDE w:val="0"/>
              <w:spacing w:line="23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r>
        <w:br w:type="page"/>
      </w:r>
    </w:p>
    <w:p>
      <w:pPr>
        <w:pStyle w:val="2"/>
      </w:pPr>
      <w:r>
        <w:t xml:space="preserve"> </w:t>
      </w:r>
    </w:p>
    <w:tbl>
      <w:tblPr>
        <w:tblStyle w:val="13"/>
        <w:tblW w:w="9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65"/>
        <w:gridCol w:w="1099"/>
        <w:gridCol w:w="1213"/>
        <w:gridCol w:w="1531"/>
        <w:gridCol w:w="474"/>
        <w:gridCol w:w="576"/>
        <w:gridCol w:w="684"/>
        <w:gridCol w:w="846"/>
        <w:gridCol w:w="736"/>
        <w:gridCol w:w="736"/>
        <w:gridCol w:w="4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9182"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989"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194" w:type="dxa"/>
            <w:gridSpan w:val="9"/>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51320022T000000341209-州政务云监管平台运行服务费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989"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382" w:type="dxa"/>
            <w:gridSpan w:val="5"/>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5" w:type="dxa"/>
            <w:tcBorders>
              <w:top w:val="nil"/>
              <w:left w:val="nil"/>
              <w:bottom w:val="nil"/>
              <w:right w:val="nil"/>
            </w:tcBorders>
            <w:vAlign w:val="center"/>
          </w:tcPr>
          <w:p>
            <w:pPr>
              <w:widowControl/>
              <w:autoSpaceDE w:val="0"/>
              <w:spacing w:line="22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1916"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75" w:type="dxa"/>
            <w:vMerge w:val="restart"/>
            <w:tcBorders>
              <w:top w:val="nil"/>
              <w:left w:val="single" w:color="000000" w:sz="4" w:space="0"/>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920" w:type="dxa"/>
            <w:vMerge w:val="restart"/>
            <w:tcBorders>
              <w:top w:val="nil"/>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382" w:type="dxa"/>
            <w:gridSpan w:val="5"/>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761" w:type="dxa"/>
            <w:gridSpan w:val="4"/>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860" w:type="dxa"/>
            <w:vMerge w:val="continue"/>
            <w:tcBorders>
              <w:top w:val="nil"/>
              <w:left w:val="nil"/>
              <w:bottom w:val="single" w:color="000000" w:sz="4" w:space="0"/>
              <w:right w:val="single" w:color="000000" w:sz="4" w:space="0"/>
            </w:tcBorders>
            <w:vAlign w:val="center"/>
          </w:tcPr>
          <w:p/>
        </w:tc>
        <w:tc>
          <w:tcPr>
            <w:tcW w:w="4382" w:type="dxa"/>
            <w:gridSpan w:val="5"/>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建立技术支撑团队为政务云监管平台做维护支撑工作</w:t>
            </w:r>
          </w:p>
        </w:tc>
        <w:tc>
          <w:tcPr>
            <w:tcW w:w="2761" w:type="dxa"/>
            <w:gridSpan w:val="4"/>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194" w:type="dxa"/>
            <w:gridSpan w:val="9"/>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项目通过服务按要求对阿坝州政务云资源使用情况进行监测，不定期向我单位提供政务云资源使用优化建议，有力推动了政务云资源按需使用的基本原则，避免了财政资金浪费，同时定期提供费用稽核报告，为财政资金支付提供科学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75" w:type="dxa"/>
            <w:vMerge w:val="restart"/>
            <w:tcBorders>
              <w:top w:val="nil"/>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1654" w:type="dxa"/>
            <w:gridSpan w:val="3"/>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权重</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得分</w:t>
            </w:r>
          </w:p>
        </w:tc>
        <w:tc>
          <w:tcPr>
            <w:tcW w:w="4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总额</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18.00</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21.68</w:t>
            </w:r>
          </w:p>
        </w:tc>
        <w:tc>
          <w:tcPr>
            <w:tcW w:w="1654" w:type="dxa"/>
            <w:gridSpan w:val="3"/>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21.68</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100.00%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vMerge w:val="restart"/>
            <w:tcBorders>
              <w:top w:val="nil"/>
              <w:left w:val="nil"/>
              <w:bottom w:val="single" w:color="000000" w:sz="4" w:space="0"/>
              <w:right w:val="single" w:color="000000" w:sz="4" w:space="0"/>
            </w:tcBorders>
            <w:vAlign w:val="center"/>
          </w:tcPr>
          <w:p>
            <w:pPr>
              <w:autoSpaceDE w:val="0"/>
              <w:spacing w:line="22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18.00</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21.68</w:t>
            </w:r>
          </w:p>
        </w:tc>
        <w:tc>
          <w:tcPr>
            <w:tcW w:w="1654" w:type="dxa"/>
            <w:gridSpan w:val="3"/>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21.68</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100.00%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1654" w:type="dxa"/>
            <w:gridSpan w:val="3"/>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1654" w:type="dxa"/>
            <w:gridSpan w:val="3"/>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229"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1556"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1654" w:type="dxa"/>
            <w:gridSpan w:val="3"/>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845"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75" w:type="dxa"/>
            <w:vMerge w:val="restart"/>
            <w:tcBorders>
              <w:top w:val="nil"/>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47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48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指标值</w:t>
            </w:r>
          </w:p>
        </w:tc>
        <w:tc>
          <w:tcPr>
            <w:tcW w:w="69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权重</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得分</w:t>
            </w:r>
          </w:p>
        </w:tc>
        <w:tc>
          <w:tcPr>
            <w:tcW w:w="4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920" w:type="dxa"/>
            <w:vMerge w:val="restart"/>
            <w:tcBorders>
              <w:top w:val="nil"/>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日常监测和费用稽核系统数量</w:t>
            </w:r>
          </w:p>
        </w:tc>
        <w:tc>
          <w:tcPr>
            <w:tcW w:w="47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8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128</w:t>
            </w:r>
          </w:p>
        </w:tc>
        <w:tc>
          <w:tcPr>
            <w:tcW w:w="69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个</w:t>
            </w:r>
          </w:p>
        </w:tc>
        <w:tc>
          <w:tcPr>
            <w:tcW w:w="845"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860" w:type="dxa"/>
            <w:vMerge w:val="continue"/>
            <w:tcBorders>
              <w:top w:val="nil"/>
              <w:left w:val="nil"/>
              <w:bottom w:val="single" w:color="000000" w:sz="4" w:space="0"/>
              <w:right w:val="single" w:color="000000" w:sz="4" w:space="0"/>
            </w:tcBorders>
            <w:vAlign w:val="center"/>
          </w:tcP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质量指标</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报告质量达标率</w:t>
            </w:r>
          </w:p>
        </w:tc>
        <w:tc>
          <w:tcPr>
            <w:tcW w:w="47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8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100</w:t>
            </w:r>
          </w:p>
        </w:tc>
        <w:tc>
          <w:tcPr>
            <w:tcW w:w="69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845"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860" w:type="dxa"/>
            <w:vMerge w:val="continue"/>
            <w:tcBorders>
              <w:top w:val="nil"/>
              <w:left w:val="nil"/>
              <w:bottom w:val="single" w:color="000000" w:sz="4" w:space="0"/>
              <w:right w:val="single" w:color="000000" w:sz="4" w:space="0"/>
            </w:tcBorders>
            <w:vAlign w:val="center"/>
          </w:tcPr>
          <w:p/>
        </w:tc>
        <w:tc>
          <w:tcPr>
            <w:tcW w:w="1229" w:type="dxa"/>
            <w:vMerge w:val="restart"/>
            <w:tcBorders>
              <w:top w:val="nil"/>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服务响应</w:t>
            </w:r>
          </w:p>
        </w:tc>
        <w:tc>
          <w:tcPr>
            <w:tcW w:w="47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定性</w:t>
            </w:r>
          </w:p>
        </w:tc>
        <w:tc>
          <w:tcPr>
            <w:tcW w:w="48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7*24小时</w:t>
            </w:r>
          </w:p>
        </w:tc>
        <w:tc>
          <w:tcPr>
            <w:tcW w:w="692"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宋体"/>
                <w:color w:val="000000"/>
                <w:sz w:val="18"/>
                <w:szCs w:val="18"/>
              </w:rPr>
            </w:pPr>
          </w:p>
        </w:tc>
        <w:tc>
          <w:tcPr>
            <w:tcW w:w="845"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860" w:type="dxa"/>
            <w:vMerge w:val="continue"/>
            <w:tcBorders>
              <w:top w:val="nil"/>
              <w:left w:val="nil"/>
              <w:bottom w:val="single" w:color="000000" w:sz="4" w:space="0"/>
              <w:right w:val="single" w:color="000000" w:sz="4" w:space="0"/>
            </w:tcBorders>
            <w:vAlign w:val="center"/>
          </w:tcPr>
          <w:p/>
        </w:tc>
        <w:tc>
          <w:tcPr>
            <w:tcW w:w="1476" w:type="dxa"/>
            <w:vMerge w:val="continue"/>
            <w:tcBorders>
              <w:top w:val="nil"/>
              <w:left w:val="nil"/>
              <w:bottom w:val="single" w:color="000000" w:sz="4" w:space="0"/>
              <w:right w:val="single" w:color="000000" w:sz="4" w:space="0"/>
            </w:tcBorders>
            <w:vAlign w:val="center"/>
          </w:tcP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完成时限</w:t>
            </w:r>
          </w:p>
        </w:tc>
        <w:tc>
          <w:tcPr>
            <w:tcW w:w="47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8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12</w:t>
            </w:r>
          </w:p>
        </w:tc>
        <w:tc>
          <w:tcPr>
            <w:tcW w:w="69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月</w:t>
            </w:r>
          </w:p>
        </w:tc>
        <w:tc>
          <w:tcPr>
            <w:tcW w:w="845"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出具政务云资源优化建议</w:t>
            </w:r>
          </w:p>
        </w:tc>
        <w:tc>
          <w:tcPr>
            <w:tcW w:w="47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8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12</w:t>
            </w:r>
          </w:p>
        </w:tc>
        <w:tc>
          <w:tcPr>
            <w:tcW w:w="69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期</w:t>
            </w:r>
          </w:p>
        </w:tc>
        <w:tc>
          <w:tcPr>
            <w:tcW w:w="845"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424"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服务对象满意度指标</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使用单位满意度</w:t>
            </w:r>
          </w:p>
        </w:tc>
        <w:tc>
          <w:tcPr>
            <w:tcW w:w="47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8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95</w:t>
            </w:r>
          </w:p>
        </w:tc>
        <w:tc>
          <w:tcPr>
            <w:tcW w:w="69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845"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7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成本指标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经济成本指标</w:t>
            </w:r>
          </w:p>
        </w:tc>
        <w:tc>
          <w:tcPr>
            <w:tcW w:w="155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平台运行成本</w:t>
            </w:r>
          </w:p>
        </w:tc>
        <w:tc>
          <w:tcPr>
            <w:tcW w:w="47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8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18</w:t>
            </w:r>
          </w:p>
        </w:tc>
        <w:tc>
          <w:tcPr>
            <w:tcW w:w="69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万元</w:t>
            </w:r>
          </w:p>
        </w:tc>
        <w:tc>
          <w:tcPr>
            <w:tcW w:w="845"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7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424"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421"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合计</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100</w:t>
            </w:r>
          </w:p>
        </w:tc>
        <w:tc>
          <w:tcPr>
            <w:tcW w:w="1492" w:type="dxa"/>
            <w:gridSpan w:val="2"/>
            <w:tcBorders>
              <w:top w:val="single" w:color="000000" w:sz="4" w:space="0"/>
              <w:left w:val="nil"/>
              <w:bottom w:val="single" w:color="000000" w:sz="4" w:space="0"/>
              <w:right w:val="single" w:color="000000" w:sz="4" w:space="0"/>
            </w:tcBorders>
            <w:vAlign w:val="center"/>
          </w:tcPr>
          <w:p>
            <w:pPr>
              <w:widowControl/>
              <w:autoSpaceDE w:val="0"/>
              <w:spacing w:line="220" w:lineRule="exact"/>
              <w:jc w:val="right"/>
              <w:textAlignment w:val="center"/>
              <w:rPr>
                <w:rFonts w:ascii="宋体"/>
                <w:color w:val="000000"/>
                <w:sz w:val="18"/>
                <w:szCs w:val="18"/>
              </w:rPr>
            </w:pPr>
            <w:r>
              <w:rPr>
                <w:rFonts w:hint="eastAsia" w:ascii="宋体"/>
                <w:color w:val="000000"/>
                <w:kern w:val="0"/>
                <w:sz w:val="18"/>
                <w:szCs w:val="18"/>
              </w:rPr>
              <w:t>100</w:t>
            </w:r>
          </w:p>
        </w:tc>
        <w:tc>
          <w:tcPr>
            <w:tcW w:w="424" w:type="dxa"/>
            <w:tcBorders>
              <w:top w:val="single" w:color="000000" w:sz="4" w:space="0"/>
              <w:left w:val="nil"/>
              <w:bottom w:val="single" w:color="000000" w:sz="4" w:space="0"/>
              <w:right w:val="single" w:color="000000" w:sz="4" w:space="0"/>
            </w:tcBorders>
            <w:vAlign w:val="center"/>
          </w:tcPr>
          <w:p>
            <w:pPr>
              <w:autoSpaceDE w:val="0"/>
              <w:spacing w:line="22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7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307" w:type="dxa"/>
            <w:gridSpan w:val="10"/>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7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307" w:type="dxa"/>
            <w:gridSpan w:val="10"/>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7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307" w:type="dxa"/>
            <w:gridSpan w:val="10"/>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243"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3939" w:type="dxa"/>
            <w:gridSpan w:val="6"/>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r>
        <w:br w:type="page"/>
      </w:r>
    </w:p>
    <w:p>
      <w:pPr>
        <w:pStyle w:val="2"/>
      </w:pPr>
      <w:r>
        <w:t xml:space="preserve"> </w:t>
      </w:r>
    </w:p>
    <w:tbl>
      <w:tblPr>
        <w:tblStyle w:val="13"/>
        <w:tblW w:w="9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9"/>
        <w:gridCol w:w="1068"/>
        <w:gridCol w:w="1213"/>
        <w:gridCol w:w="1460"/>
        <w:gridCol w:w="451"/>
        <w:gridCol w:w="758"/>
        <w:gridCol w:w="651"/>
        <w:gridCol w:w="846"/>
        <w:gridCol w:w="737"/>
        <w:gridCol w:w="737"/>
        <w:gridCol w:w="4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9184"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kern w:val="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925"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1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258" w:type="dxa"/>
            <w:gridSpan w:val="9"/>
            <w:tcBorders>
              <w:top w:val="single" w:color="000000" w:sz="4" w:space="0"/>
              <w:left w:val="nil"/>
              <w:bottom w:val="single" w:color="000000" w:sz="4" w:space="0"/>
              <w:right w:val="single" w:color="000000" w:sz="4" w:space="0"/>
            </w:tcBorders>
            <w:vAlign w:val="center"/>
          </w:tcPr>
          <w:p>
            <w:pPr>
              <w:widowControl/>
              <w:autoSpaceDE w:val="0"/>
              <w:spacing w:line="210" w:lineRule="exact"/>
              <w:jc w:val="left"/>
              <w:textAlignment w:val="center"/>
              <w:rPr>
                <w:rFonts w:ascii="宋体"/>
                <w:color w:val="000000"/>
                <w:sz w:val="18"/>
                <w:szCs w:val="18"/>
              </w:rPr>
            </w:pPr>
            <w:r>
              <w:rPr>
                <w:rFonts w:hint="eastAsia" w:ascii="宋体"/>
                <w:color w:val="000000"/>
                <w:kern w:val="0"/>
                <w:sz w:val="18"/>
                <w:szCs w:val="18"/>
              </w:rPr>
              <w:t>51320022T000000341233-阿坝州集约化平台与政府网站一体化运维服务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925"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1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548" w:type="dxa"/>
            <w:gridSpan w:val="5"/>
            <w:tcBorders>
              <w:top w:val="single" w:color="000000" w:sz="4" w:space="0"/>
              <w:left w:val="nil"/>
              <w:bottom w:val="single" w:color="000000" w:sz="4" w:space="0"/>
              <w:right w:val="single" w:color="000000" w:sz="4" w:space="0"/>
            </w:tcBorders>
            <w:vAlign w:val="center"/>
          </w:tcPr>
          <w:p>
            <w:pPr>
              <w:widowControl/>
              <w:autoSpaceDE w:val="0"/>
              <w:spacing w:line="21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6" w:type="dxa"/>
            <w:tcBorders>
              <w:top w:val="nil"/>
              <w:left w:val="nil"/>
              <w:bottom w:val="nil"/>
              <w:right w:val="nil"/>
            </w:tcBorders>
            <w:vAlign w:val="center"/>
          </w:tcPr>
          <w:p>
            <w:pPr>
              <w:widowControl/>
              <w:autoSpaceDE w:val="0"/>
              <w:spacing w:line="21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1913"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restart"/>
            <w:tcBorders>
              <w:top w:val="nil"/>
              <w:left w:val="single" w:color="000000" w:sz="4" w:space="0"/>
              <w:bottom w:val="single" w:color="000000" w:sz="4" w:space="0"/>
              <w:right w:val="single" w:color="000000" w:sz="4" w:space="0"/>
            </w:tcBorders>
            <w:vAlign w:val="center"/>
          </w:tcPr>
          <w:p>
            <w:pPr>
              <w:widowControl/>
              <w:autoSpaceDE w:val="0"/>
              <w:spacing w:line="21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920" w:type="dxa"/>
            <w:vMerge w:val="restart"/>
            <w:tcBorders>
              <w:top w:val="nil"/>
              <w:left w:val="nil"/>
              <w:bottom w:val="single" w:color="000000" w:sz="4" w:space="0"/>
              <w:right w:val="single" w:color="000000" w:sz="4" w:space="0"/>
            </w:tcBorders>
            <w:vAlign w:val="center"/>
          </w:tcPr>
          <w:p>
            <w:pPr>
              <w:widowControl/>
              <w:autoSpaceDE w:val="0"/>
              <w:spacing w:line="21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548" w:type="dxa"/>
            <w:gridSpan w:val="5"/>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759" w:type="dxa"/>
            <w:gridSpan w:val="4"/>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831" w:type="dxa"/>
            <w:vMerge w:val="continue"/>
            <w:tcBorders>
              <w:top w:val="nil"/>
              <w:left w:val="nil"/>
              <w:bottom w:val="single" w:color="000000" w:sz="4" w:space="0"/>
              <w:right w:val="single" w:color="000000" w:sz="4" w:space="0"/>
            </w:tcBorders>
            <w:vAlign w:val="center"/>
          </w:tcPr>
          <w:p/>
        </w:tc>
        <w:tc>
          <w:tcPr>
            <w:tcW w:w="4548" w:type="dxa"/>
            <w:gridSpan w:val="5"/>
            <w:tcBorders>
              <w:top w:val="single" w:color="000000" w:sz="4" w:space="0"/>
              <w:left w:val="nil"/>
              <w:bottom w:val="single" w:color="000000" w:sz="4" w:space="0"/>
              <w:right w:val="single" w:color="000000" w:sz="4" w:space="0"/>
            </w:tcBorders>
            <w:vAlign w:val="center"/>
          </w:tcPr>
          <w:p>
            <w:pPr>
              <w:widowControl/>
              <w:autoSpaceDE w:val="0"/>
              <w:spacing w:line="210" w:lineRule="exact"/>
              <w:jc w:val="left"/>
              <w:textAlignment w:val="center"/>
              <w:rPr>
                <w:rFonts w:ascii="宋体"/>
                <w:color w:val="000000"/>
                <w:sz w:val="18"/>
                <w:szCs w:val="18"/>
              </w:rPr>
            </w:pPr>
            <w:r>
              <w:rPr>
                <w:rFonts w:hint="eastAsia" w:ascii="宋体"/>
                <w:color w:val="000000"/>
                <w:kern w:val="0"/>
                <w:sz w:val="18"/>
                <w:szCs w:val="18"/>
              </w:rPr>
              <w:t>为保障阿坝州集约化平台及运行在集约化平台上的所有政府网站持续稳定运行，结合网站工作及系统建设实际情况和2021年政府对政府部门网站的绩效评估要求，提高阿坝州集约化平台及阿坝州政府网站质量水平、服务效率。</w:t>
            </w:r>
          </w:p>
        </w:tc>
        <w:tc>
          <w:tcPr>
            <w:tcW w:w="2759" w:type="dxa"/>
            <w:gridSpan w:val="4"/>
            <w:tcBorders>
              <w:top w:val="single" w:color="000000" w:sz="4" w:space="0"/>
              <w:left w:val="nil"/>
              <w:bottom w:val="single" w:color="000000" w:sz="4" w:space="0"/>
              <w:right w:val="single" w:color="000000" w:sz="4" w:space="0"/>
            </w:tcBorders>
            <w:vAlign w:val="center"/>
          </w:tcPr>
          <w:p>
            <w:pPr>
              <w:widowControl/>
              <w:autoSpaceDE w:val="0"/>
              <w:spacing w:line="21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258" w:type="dxa"/>
            <w:gridSpan w:val="9"/>
            <w:tcBorders>
              <w:top w:val="single" w:color="000000" w:sz="4" w:space="0"/>
              <w:left w:val="nil"/>
              <w:bottom w:val="single" w:color="000000" w:sz="4" w:space="0"/>
              <w:right w:val="single" w:color="000000" w:sz="4" w:space="0"/>
            </w:tcBorders>
            <w:vAlign w:val="center"/>
          </w:tcPr>
          <w:p>
            <w:pPr>
              <w:widowControl/>
              <w:autoSpaceDE w:val="0"/>
              <w:spacing w:line="210" w:lineRule="exact"/>
              <w:jc w:val="left"/>
              <w:textAlignment w:val="center"/>
              <w:rPr>
                <w:rFonts w:ascii="宋体"/>
                <w:color w:val="000000"/>
                <w:sz w:val="18"/>
                <w:szCs w:val="18"/>
              </w:rPr>
            </w:pPr>
            <w:r>
              <w:rPr>
                <w:rFonts w:hint="eastAsia" w:ascii="宋体"/>
                <w:color w:val="000000"/>
                <w:kern w:val="0"/>
                <w:sz w:val="18"/>
                <w:szCs w:val="18"/>
              </w:rPr>
              <w:t>为2023年结转项目，已按合同约定完成阿坝州集约化平台及运行在集约化平台上的所有政府网站运维服务等工作。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45" w:type="dxa"/>
            <w:vMerge w:val="restart"/>
            <w:tcBorders>
              <w:top w:val="nil"/>
              <w:left w:val="single" w:color="000000" w:sz="4" w:space="0"/>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1869" w:type="dxa"/>
            <w:gridSpan w:val="3"/>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权重</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得分</w:t>
            </w:r>
          </w:p>
        </w:tc>
        <w:tc>
          <w:tcPr>
            <w:tcW w:w="423"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总额</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0.00</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36.78</w:t>
            </w:r>
          </w:p>
        </w:tc>
        <w:tc>
          <w:tcPr>
            <w:tcW w:w="1869" w:type="dxa"/>
            <w:gridSpan w:val="3"/>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36.78</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100.00%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423" w:type="dxa"/>
            <w:vMerge w:val="restart"/>
            <w:tcBorders>
              <w:top w:val="nil"/>
              <w:left w:val="nil"/>
              <w:bottom w:val="single" w:color="000000" w:sz="4" w:space="0"/>
              <w:right w:val="single" w:color="000000" w:sz="4" w:space="0"/>
            </w:tcBorders>
            <w:vAlign w:val="center"/>
          </w:tcPr>
          <w:p>
            <w:pPr>
              <w:autoSpaceDE w:val="0"/>
              <w:spacing w:line="21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0.00</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36.78</w:t>
            </w:r>
          </w:p>
        </w:tc>
        <w:tc>
          <w:tcPr>
            <w:tcW w:w="1869" w:type="dxa"/>
            <w:gridSpan w:val="3"/>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36.78</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100.00%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423"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0.00</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0.00</w:t>
            </w:r>
          </w:p>
        </w:tc>
        <w:tc>
          <w:tcPr>
            <w:tcW w:w="1869" w:type="dxa"/>
            <w:gridSpan w:val="3"/>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0.00%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423"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0.00</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0.00</w:t>
            </w:r>
          </w:p>
        </w:tc>
        <w:tc>
          <w:tcPr>
            <w:tcW w:w="1869" w:type="dxa"/>
            <w:gridSpan w:val="3"/>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0.00%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423"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228"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1479"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1869" w:type="dxa"/>
            <w:gridSpan w:val="3"/>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423"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45" w:type="dxa"/>
            <w:vMerge w:val="restart"/>
            <w:tcBorders>
              <w:top w:val="nil"/>
              <w:left w:val="single" w:color="000000" w:sz="4" w:space="0"/>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452"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76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指标值</w:t>
            </w:r>
          </w:p>
        </w:tc>
        <w:tc>
          <w:tcPr>
            <w:tcW w:w="657"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权重</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得分</w:t>
            </w:r>
          </w:p>
        </w:tc>
        <w:tc>
          <w:tcPr>
            <w:tcW w:w="423"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920" w:type="dxa"/>
            <w:vMerge w:val="restart"/>
            <w:tcBorders>
              <w:top w:val="nil"/>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覆盖单位数量</w:t>
            </w:r>
          </w:p>
        </w:tc>
        <w:tc>
          <w:tcPr>
            <w:tcW w:w="452"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76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70</w:t>
            </w:r>
          </w:p>
        </w:tc>
        <w:tc>
          <w:tcPr>
            <w:tcW w:w="657"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个</w:t>
            </w:r>
          </w:p>
        </w:tc>
        <w:tc>
          <w:tcPr>
            <w:tcW w:w="846"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423"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831" w:type="dxa"/>
            <w:vMerge w:val="continue"/>
            <w:tcBorders>
              <w:top w:val="nil"/>
              <w:left w:val="nil"/>
              <w:bottom w:val="single" w:color="000000" w:sz="4" w:space="0"/>
              <w:right w:val="single" w:color="000000" w:sz="4" w:space="0"/>
            </w:tcBorders>
            <w:vAlign w:val="center"/>
          </w:tcP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质量指标</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网页内容合格率</w:t>
            </w:r>
          </w:p>
        </w:tc>
        <w:tc>
          <w:tcPr>
            <w:tcW w:w="452"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76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95</w:t>
            </w:r>
          </w:p>
        </w:tc>
        <w:tc>
          <w:tcPr>
            <w:tcW w:w="657"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423"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831" w:type="dxa"/>
            <w:vMerge w:val="continue"/>
            <w:tcBorders>
              <w:top w:val="nil"/>
              <w:left w:val="nil"/>
              <w:bottom w:val="single" w:color="000000" w:sz="4" w:space="0"/>
              <w:right w:val="single" w:color="000000" w:sz="4" w:space="0"/>
            </w:tcBorders>
            <w:vAlign w:val="center"/>
          </w:tcPr>
          <w:p/>
        </w:tc>
        <w:tc>
          <w:tcPr>
            <w:tcW w:w="1228" w:type="dxa"/>
            <w:vMerge w:val="restart"/>
            <w:tcBorders>
              <w:top w:val="nil"/>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项目完成时间</w:t>
            </w:r>
          </w:p>
        </w:tc>
        <w:tc>
          <w:tcPr>
            <w:tcW w:w="452"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定性</w:t>
            </w:r>
          </w:p>
        </w:tc>
        <w:tc>
          <w:tcPr>
            <w:tcW w:w="76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合同约定时间内</w:t>
            </w:r>
          </w:p>
        </w:tc>
        <w:tc>
          <w:tcPr>
            <w:tcW w:w="657"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423"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831" w:type="dxa"/>
            <w:vMerge w:val="continue"/>
            <w:tcBorders>
              <w:top w:val="nil"/>
              <w:left w:val="nil"/>
              <w:bottom w:val="single" w:color="000000" w:sz="4" w:space="0"/>
              <w:right w:val="single" w:color="000000" w:sz="4" w:space="0"/>
            </w:tcBorders>
            <w:vAlign w:val="center"/>
          </w:tcPr>
          <w:p/>
        </w:tc>
        <w:tc>
          <w:tcPr>
            <w:tcW w:w="1401" w:type="dxa"/>
            <w:vMerge w:val="continue"/>
            <w:tcBorders>
              <w:top w:val="nil"/>
              <w:left w:val="nil"/>
              <w:bottom w:val="single" w:color="000000" w:sz="4" w:space="0"/>
              <w:right w:val="single" w:color="000000" w:sz="4" w:space="0"/>
            </w:tcBorders>
            <w:vAlign w:val="center"/>
          </w:tcP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服务周期</w:t>
            </w:r>
          </w:p>
        </w:tc>
        <w:tc>
          <w:tcPr>
            <w:tcW w:w="452"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76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w:t>
            </w:r>
          </w:p>
        </w:tc>
        <w:tc>
          <w:tcPr>
            <w:tcW w:w="657"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年</w:t>
            </w:r>
          </w:p>
        </w:tc>
        <w:tc>
          <w:tcPr>
            <w:tcW w:w="846"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423"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提升政府工作透明度、提升公信力</w:t>
            </w:r>
          </w:p>
        </w:tc>
        <w:tc>
          <w:tcPr>
            <w:tcW w:w="452"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定性</w:t>
            </w:r>
          </w:p>
        </w:tc>
        <w:tc>
          <w:tcPr>
            <w:tcW w:w="76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明显提升</w:t>
            </w:r>
          </w:p>
        </w:tc>
        <w:tc>
          <w:tcPr>
            <w:tcW w:w="657"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20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20</w:t>
            </w:r>
          </w:p>
        </w:tc>
        <w:tc>
          <w:tcPr>
            <w:tcW w:w="423"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服务对象满意度</w:t>
            </w:r>
          </w:p>
        </w:tc>
        <w:tc>
          <w:tcPr>
            <w:tcW w:w="452"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76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90</w:t>
            </w:r>
          </w:p>
        </w:tc>
        <w:tc>
          <w:tcPr>
            <w:tcW w:w="657"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w:t>
            </w:r>
          </w:p>
        </w:tc>
        <w:tc>
          <w:tcPr>
            <w:tcW w:w="423"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45" w:type="dxa"/>
            <w:vMerge w:val="continue"/>
            <w:tcBorders>
              <w:top w:val="nil"/>
              <w:left w:val="single" w:color="000000" w:sz="4" w:space="0"/>
              <w:bottom w:val="single" w:color="000000" w:sz="4" w:space="0"/>
              <w:right w:val="single" w:color="000000" w:sz="4" w:space="0"/>
            </w:tcBorders>
            <w:vAlign w:val="center"/>
          </w:tcPr>
          <w:p/>
        </w:tc>
        <w:tc>
          <w:tcPr>
            <w:tcW w:w="92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成本指标</w:t>
            </w:r>
          </w:p>
        </w:tc>
        <w:tc>
          <w:tcPr>
            <w:tcW w:w="1228"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经济成本指标</w:t>
            </w:r>
          </w:p>
        </w:tc>
        <w:tc>
          <w:tcPr>
            <w:tcW w:w="1479"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运维服务成本</w:t>
            </w:r>
          </w:p>
        </w:tc>
        <w:tc>
          <w:tcPr>
            <w:tcW w:w="452"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w:t>
            </w:r>
          </w:p>
        </w:tc>
        <w:tc>
          <w:tcPr>
            <w:tcW w:w="760"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36.78</w:t>
            </w:r>
          </w:p>
        </w:tc>
        <w:tc>
          <w:tcPr>
            <w:tcW w:w="657"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万元</w:t>
            </w:r>
          </w:p>
        </w:tc>
        <w:tc>
          <w:tcPr>
            <w:tcW w:w="846"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20</w:t>
            </w:r>
          </w:p>
        </w:tc>
        <w:tc>
          <w:tcPr>
            <w:tcW w:w="745"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20</w:t>
            </w:r>
          </w:p>
        </w:tc>
        <w:tc>
          <w:tcPr>
            <w:tcW w:w="423" w:type="dxa"/>
            <w:tcBorders>
              <w:top w:val="single" w:color="000000" w:sz="4" w:space="0"/>
              <w:left w:val="nil"/>
              <w:bottom w:val="single" w:color="000000" w:sz="4" w:space="0"/>
              <w:right w:val="single" w:color="000000" w:sz="4" w:space="0"/>
            </w:tcBorders>
            <w:vAlign w:val="center"/>
          </w:tcPr>
          <w:p>
            <w:pPr>
              <w:autoSpaceDE w:val="0"/>
              <w:spacing w:line="21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425"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合计</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100</w:t>
            </w:r>
          </w:p>
        </w:tc>
        <w:tc>
          <w:tcPr>
            <w:tcW w:w="1490" w:type="dxa"/>
            <w:gridSpan w:val="2"/>
            <w:tcBorders>
              <w:top w:val="single" w:color="000000" w:sz="4" w:space="0"/>
              <w:left w:val="nil"/>
              <w:bottom w:val="single" w:color="000000" w:sz="4" w:space="0"/>
              <w:right w:val="single" w:color="000000" w:sz="4" w:space="0"/>
            </w:tcBorders>
            <w:vAlign w:val="center"/>
          </w:tcPr>
          <w:p>
            <w:pPr>
              <w:widowControl/>
              <w:autoSpaceDE w:val="0"/>
              <w:spacing w:line="210" w:lineRule="exact"/>
              <w:jc w:val="right"/>
              <w:textAlignment w:val="center"/>
              <w:rPr>
                <w:rFonts w:ascii="宋体"/>
                <w:color w:val="000000"/>
                <w:sz w:val="18"/>
                <w:szCs w:val="18"/>
              </w:rPr>
            </w:pPr>
            <w:r>
              <w:rPr>
                <w:rFonts w:hint="eastAsia" w:ascii="宋体"/>
                <w:color w:val="000000"/>
                <w:kern w:val="0"/>
                <w:sz w:val="18"/>
                <w:szCs w:val="18"/>
              </w:rPr>
              <w:t>100</w:t>
            </w:r>
          </w:p>
        </w:tc>
        <w:tc>
          <w:tcPr>
            <w:tcW w:w="423" w:type="dxa"/>
            <w:tcBorders>
              <w:top w:val="single" w:color="000000" w:sz="4" w:space="0"/>
              <w:left w:val="nil"/>
              <w:bottom w:val="single" w:color="000000" w:sz="4" w:space="0"/>
              <w:right w:val="single" w:color="000000" w:sz="4" w:space="0"/>
            </w:tcBorders>
            <w:vAlign w:val="center"/>
          </w:tcPr>
          <w:p>
            <w:pPr>
              <w:autoSpaceDE w:val="0"/>
              <w:spacing w:line="21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4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339" w:type="dxa"/>
            <w:gridSpan w:val="10"/>
            <w:tcBorders>
              <w:top w:val="single" w:color="000000" w:sz="4" w:space="0"/>
              <w:left w:val="nil"/>
              <w:bottom w:val="single" w:color="000000" w:sz="4" w:space="0"/>
              <w:right w:val="single" w:color="000000" w:sz="4" w:space="0"/>
            </w:tcBorders>
            <w:vAlign w:val="center"/>
          </w:tcPr>
          <w:p>
            <w:pPr>
              <w:widowControl/>
              <w:autoSpaceDE w:val="0"/>
              <w:spacing w:line="21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4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339" w:type="dxa"/>
            <w:gridSpan w:val="10"/>
            <w:tcBorders>
              <w:top w:val="single" w:color="000000" w:sz="4" w:space="0"/>
              <w:left w:val="nil"/>
              <w:bottom w:val="single" w:color="000000" w:sz="4" w:space="0"/>
              <w:right w:val="single" w:color="000000" w:sz="4" w:space="0"/>
            </w:tcBorders>
            <w:vAlign w:val="center"/>
          </w:tcPr>
          <w:p>
            <w:pPr>
              <w:widowControl/>
              <w:autoSpaceDE w:val="0"/>
              <w:spacing w:line="21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84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1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339" w:type="dxa"/>
            <w:gridSpan w:val="10"/>
            <w:tcBorders>
              <w:top w:val="single" w:color="000000" w:sz="4" w:space="0"/>
              <w:left w:val="nil"/>
              <w:bottom w:val="single" w:color="000000" w:sz="4" w:space="0"/>
              <w:right w:val="single" w:color="000000" w:sz="4" w:space="0"/>
            </w:tcBorders>
            <w:vAlign w:val="center"/>
          </w:tcPr>
          <w:p>
            <w:pPr>
              <w:widowControl/>
              <w:autoSpaceDE w:val="0"/>
              <w:spacing w:line="21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008"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1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4176" w:type="dxa"/>
            <w:gridSpan w:val="6"/>
            <w:tcBorders>
              <w:top w:val="single" w:color="000000" w:sz="4" w:space="0"/>
              <w:left w:val="nil"/>
              <w:bottom w:val="single" w:color="000000" w:sz="4" w:space="0"/>
              <w:right w:val="single" w:color="000000" w:sz="4" w:space="0"/>
            </w:tcBorders>
            <w:vAlign w:val="center"/>
          </w:tcPr>
          <w:p>
            <w:pPr>
              <w:widowControl/>
              <w:autoSpaceDE w:val="0"/>
              <w:spacing w:line="21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r>
        <w:br w:type="page"/>
      </w:r>
    </w:p>
    <w:p>
      <w:pPr>
        <w:pStyle w:val="2"/>
      </w:pPr>
      <w:r>
        <w:t xml:space="preserve"> </w:t>
      </w:r>
    </w:p>
    <w:tbl>
      <w:tblPr>
        <w:tblStyle w:val="13"/>
        <w:tblW w:w="9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7"/>
        <w:gridCol w:w="1189"/>
        <w:gridCol w:w="1229"/>
        <w:gridCol w:w="1612"/>
        <w:gridCol w:w="538"/>
        <w:gridCol w:w="493"/>
        <w:gridCol w:w="396"/>
        <w:gridCol w:w="846"/>
        <w:gridCol w:w="753"/>
        <w:gridCol w:w="753"/>
        <w:gridCol w:w="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jc w:val="center"/>
        </w:trPr>
        <w:tc>
          <w:tcPr>
            <w:tcW w:w="9184"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kern w:val="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137"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7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046" w:type="dxa"/>
            <w:gridSpan w:val="9"/>
            <w:tcBorders>
              <w:top w:val="single" w:color="000000" w:sz="4" w:space="0"/>
              <w:left w:val="nil"/>
              <w:bottom w:val="single" w:color="000000" w:sz="4" w:space="0"/>
              <w:right w:val="single" w:color="000000" w:sz="4" w:space="0"/>
            </w:tcBorders>
            <w:vAlign w:val="center"/>
          </w:tcPr>
          <w:p>
            <w:pPr>
              <w:widowControl/>
              <w:autoSpaceDE w:val="0"/>
              <w:spacing w:line="270" w:lineRule="exact"/>
              <w:jc w:val="left"/>
              <w:textAlignment w:val="center"/>
              <w:rPr>
                <w:rFonts w:ascii="宋体"/>
                <w:color w:val="000000"/>
                <w:sz w:val="18"/>
                <w:szCs w:val="18"/>
              </w:rPr>
            </w:pPr>
            <w:r>
              <w:rPr>
                <w:rFonts w:hint="eastAsia" w:ascii="宋体"/>
                <w:color w:val="000000"/>
                <w:kern w:val="0"/>
                <w:sz w:val="18"/>
                <w:szCs w:val="18"/>
              </w:rPr>
              <w:t>51320022T000007108533-阿坝州政务信息化项目管理平台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2137"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7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002" w:type="dxa"/>
            <w:gridSpan w:val="5"/>
            <w:tcBorders>
              <w:top w:val="single" w:color="000000" w:sz="4" w:space="0"/>
              <w:left w:val="nil"/>
              <w:bottom w:val="single" w:color="000000" w:sz="4" w:space="0"/>
              <w:right w:val="single" w:color="000000" w:sz="4" w:space="0"/>
            </w:tcBorders>
            <w:vAlign w:val="center"/>
          </w:tcPr>
          <w:p>
            <w:pPr>
              <w:widowControl/>
              <w:autoSpaceDE w:val="0"/>
              <w:spacing w:line="27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5" w:type="dxa"/>
            <w:tcBorders>
              <w:top w:val="nil"/>
              <w:left w:val="nil"/>
              <w:bottom w:val="nil"/>
              <w:right w:val="nil"/>
            </w:tcBorders>
            <w:vAlign w:val="center"/>
          </w:tcPr>
          <w:p>
            <w:pPr>
              <w:widowControl/>
              <w:autoSpaceDE w:val="0"/>
              <w:spacing w:line="27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1933"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8" w:type="dxa"/>
            <w:vMerge w:val="restart"/>
            <w:tcBorders>
              <w:top w:val="nil"/>
              <w:left w:val="single" w:color="000000" w:sz="4" w:space="0"/>
              <w:bottom w:val="single" w:color="000000" w:sz="4" w:space="0"/>
              <w:right w:val="single" w:color="000000" w:sz="4" w:space="0"/>
            </w:tcBorders>
            <w:vAlign w:val="center"/>
          </w:tcPr>
          <w:p>
            <w:pPr>
              <w:widowControl/>
              <w:autoSpaceDE w:val="0"/>
              <w:spacing w:line="27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921" w:type="dxa"/>
            <w:vMerge w:val="restart"/>
            <w:tcBorders>
              <w:top w:val="nil"/>
              <w:left w:val="nil"/>
              <w:bottom w:val="single" w:color="000000" w:sz="4" w:space="0"/>
              <w:right w:val="single" w:color="000000" w:sz="4" w:space="0"/>
            </w:tcBorders>
            <w:vAlign w:val="center"/>
          </w:tcPr>
          <w:p>
            <w:pPr>
              <w:widowControl/>
              <w:autoSpaceDE w:val="0"/>
              <w:spacing w:line="27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002" w:type="dxa"/>
            <w:gridSpan w:val="5"/>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778" w:type="dxa"/>
            <w:gridSpan w:val="4"/>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948" w:type="dxa"/>
            <w:vMerge w:val="continue"/>
            <w:tcBorders>
              <w:top w:val="nil"/>
              <w:left w:val="single" w:color="000000" w:sz="4" w:space="0"/>
              <w:bottom w:val="single" w:color="000000" w:sz="4" w:space="0"/>
              <w:right w:val="single" w:color="000000" w:sz="4" w:space="0"/>
            </w:tcBorders>
            <w:vAlign w:val="center"/>
          </w:tcPr>
          <w:p/>
        </w:tc>
        <w:tc>
          <w:tcPr>
            <w:tcW w:w="933" w:type="dxa"/>
            <w:vMerge w:val="continue"/>
            <w:tcBorders>
              <w:top w:val="nil"/>
              <w:left w:val="nil"/>
              <w:bottom w:val="single" w:color="000000" w:sz="4" w:space="0"/>
              <w:right w:val="single" w:color="000000" w:sz="4" w:space="0"/>
            </w:tcBorders>
            <w:vAlign w:val="center"/>
          </w:tcPr>
          <w:p/>
        </w:tc>
        <w:tc>
          <w:tcPr>
            <w:tcW w:w="4002" w:type="dxa"/>
            <w:gridSpan w:val="5"/>
            <w:tcBorders>
              <w:top w:val="single" w:color="000000" w:sz="4" w:space="0"/>
              <w:left w:val="nil"/>
              <w:bottom w:val="single" w:color="000000" w:sz="4" w:space="0"/>
              <w:right w:val="single" w:color="000000" w:sz="4" w:space="0"/>
            </w:tcBorders>
            <w:vAlign w:val="center"/>
          </w:tcPr>
          <w:p>
            <w:pPr>
              <w:widowControl/>
              <w:autoSpaceDE w:val="0"/>
              <w:spacing w:line="270" w:lineRule="exact"/>
              <w:jc w:val="left"/>
              <w:textAlignment w:val="center"/>
              <w:rPr>
                <w:rFonts w:ascii="宋体"/>
                <w:color w:val="000000"/>
                <w:sz w:val="18"/>
                <w:szCs w:val="18"/>
              </w:rPr>
            </w:pPr>
            <w:r>
              <w:rPr>
                <w:rFonts w:hint="eastAsia" w:ascii="宋体"/>
                <w:color w:val="000000"/>
                <w:kern w:val="0"/>
                <w:sz w:val="18"/>
                <w:szCs w:val="18"/>
              </w:rPr>
              <w:t>确保阿坝藏族羌族自治州数字政府项目建设工作的统筹管理和集约化建设，加强信息化资源整合，提升信息安全，提高预算科学化，精细化管理水平，促进阿坝藏族羌族自治州数字政府项目统筹建设和协调发展，建设阿坝州政务信息化项目管理平台。</w:t>
            </w:r>
          </w:p>
        </w:tc>
        <w:tc>
          <w:tcPr>
            <w:tcW w:w="2778" w:type="dxa"/>
            <w:gridSpan w:val="4"/>
            <w:tcBorders>
              <w:top w:val="single" w:color="000000" w:sz="4" w:space="0"/>
              <w:left w:val="nil"/>
              <w:bottom w:val="single" w:color="000000" w:sz="4" w:space="0"/>
              <w:right w:val="single" w:color="000000" w:sz="4" w:space="0"/>
            </w:tcBorders>
            <w:vAlign w:val="center"/>
          </w:tcPr>
          <w:p>
            <w:pPr>
              <w:widowControl/>
              <w:autoSpaceDE w:val="0"/>
              <w:spacing w:line="27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948"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046" w:type="dxa"/>
            <w:gridSpan w:val="9"/>
            <w:tcBorders>
              <w:top w:val="single" w:color="000000" w:sz="4" w:space="0"/>
              <w:left w:val="nil"/>
              <w:bottom w:val="single" w:color="000000" w:sz="4" w:space="0"/>
              <w:right w:val="single" w:color="000000" w:sz="4" w:space="0"/>
            </w:tcBorders>
            <w:vAlign w:val="center"/>
          </w:tcPr>
          <w:p>
            <w:pPr>
              <w:widowControl/>
              <w:autoSpaceDE w:val="0"/>
              <w:spacing w:line="270" w:lineRule="exact"/>
              <w:jc w:val="left"/>
              <w:textAlignment w:val="center"/>
              <w:rPr>
                <w:rFonts w:ascii="宋体"/>
                <w:color w:val="000000"/>
                <w:sz w:val="18"/>
                <w:szCs w:val="18"/>
              </w:rPr>
            </w:pPr>
            <w:r>
              <w:rPr>
                <w:rFonts w:hint="eastAsia" w:ascii="宋体"/>
                <w:color w:val="000000"/>
                <w:kern w:val="0"/>
                <w:sz w:val="18"/>
                <w:szCs w:val="18"/>
              </w:rPr>
              <w:t>该项目为2023年结转项目，按照合同约定剩余资金于2024年支付，项目建设服务内容已于2023年完成。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948" w:type="dxa"/>
            <w:vMerge w:val="restart"/>
            <w:tcBorders>
              <w:top w:val="nil"/>
              <w:left w:val="single" w:color="000000" w:sz="4" w:space="0"/>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61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1382" w:type="dxa"/>
            <w:gridSpan w:val="3"/>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权重</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得分</w:t>
            </w:r>
          </w:p>
        </w:tc>
        <w:tc>
          <w:tcPr>
            <w:tcW w:w="427"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8"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总额</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0.00</w:t>
            </w:r>
          </w:p>
        </w:tc>
        <w:tc>
          <w:tcPr>
            <w:tcW w:w="161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8.00</w:t>
            </w:r>
          </w:p>
        </w:tc>
        <w:tc>
          <w:tcPr>
            <w:tcW w:w="1382" w:type="dxa"/>
            <w:gridSpan w:val="3"/>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8.00</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100.00%</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10</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10</w:t>
            </w:r>
          </w:p>
        </w:tc>
        <w:tc>
          <w:tcPr>
            <w:tcW w:w="427" w:type="dxa"/>
            <w:vMerge w:val="restart"/>
            <w:tcBorders>
              <w:top w:val="nil"/>
              <w:left w:val="nil"/>
              <w:bottom w:val="single" w:color="000000" w:sz="4" w:space="0"/>
              <w:right w:val="single" w:color="000000" w:sz="4" w:space="0"/>
            </w:tcBorders>
            <w:vAlign w:val="center"/>
          </w:tcPr>
          <w:p>
            <w:pPr>
              <w:autoSpaceDE w:val="0"/>
              <w:spacing w:line="27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8"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0.00</w:t>
            </w:r>
          </w:p>
        </w:tc>
        <w:tc>
          <w:tcPr>
            <w:tcW w:w="161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8.00</w:t>
            </w:r>
          </w:p>
        </w:tc>
        <w:tc>
          <w:tcPr>
            <w:tcW w:w="1382" w:type="dxa"/>
            <w:gridSpan w:val="3"/>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8.00</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100.00%</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427"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8"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0.00</w:t>
            </w:r>
          </w:p>
        </w:tc>
        <w:tc>
          <w:tcPr>
            <w:tcW w:w="161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0.00</w:t>
            </w:r>
          </w:p>
        </w:tc>
        <w:tc>
          <w:tcPr>
            <w:tcW w:w="1382" w:type="dxa"/>
            <w:gridSpan w:val="3"/>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0.00</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0.00%</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427"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8"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0.00</w:t>
            </w:r>
          </w:p>
        </w:tc>
        <w:tc>
          <w:tcPr>
            <w:tcW w:w="161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0.00</w:t>
            </w:r>
          </w:p>
        </w:tc>
        <w:tc>
          <w:tcPr>
            <w:tcW w:w="1382" w:type="dxa"/>
            <w:gridSpan w:val="3"/>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0.00</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0.00%</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427"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8"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229" w:type="dxa"/>
            <w:tcBorders>
              <w:top w:val="single" w:color="000000" w:sz="4" w:space="0"/>
              <w:left w:val="nil"/>
              <w:bottom w:val="single" w:color="000000" w:sz="4" w:space="0"/>
              <w:right w:val="single" w:color="000000" w:sz="4" w:space="0"/>
            </w:tcBorders>
            <w:vAlign w:val="center"/>
          </w:tcPr>
          <w:p>
            <w:pPr>
              <w:autoSpaceDE w:val="0"/>
              <w:spacing w:line="270" w:lineRule="exact"/>
              <w:jc w:val="center"/>
              <w:rPr>
                <w:rFonts w:ascii="微软雅黑" w:eastAsia="微软雅黑"/>
                <w:i/>
                <w:iCs/>
                <w:color w:val="000000"/>
                <w:sz w:val="16"/>
                <w:szCs w:val="16"/>
              </w:rPr>
            </w:pPr>
          </w:p>
        </w:tc>
        <w:tc>
          <w:tcPr>
            <w:tcW w:w="1613" w:type="dxa"/>
            <w:tcBorders>
              <w:top w:val="single" w:color="000000" w:sz="4" w:space="0"/>
              <w:left w:val="nil"/>
              <w:bottom w:val="single" w:color="000000" w:sz="4" w:space="0"/>
              <w:right w:val="single" w:color="000000" w:sz="4" w:space="0"/>
            </w:tcBorders>
            <w:vAlign w:val="center"/>
          </w:tcPr>
          <w:p>
            <w:pPr>
              <w:autoSpaceDE w:val="0"/>
              <w:spacing w:line="270" w:lineRule="exact"/>
              <w:jc w:val="center"/>
              <w:rPr>
                <w:rFonts w:ascii="微软雅黑" w:eastAsia="微软雅黑"/>
                <w:i/>
                <w:iCs/>
                <w:color w:val="000000"/>
                <w:sz w:val="16"/>
                <w:szCs w:val="16"/>
              </w:rPr>
            </w:pPr>
          </w:p>
        </w:tc>
        <w:tc>
          <w:tcPr>
            <w:tcW w:w="1382" w:type="dxa"/>
            <w:gridSpan w:val="3"/>
            <w:tcBorders>
              <w:top w:val="single" w:color="000000" w:sz="4" w:space="0"/>
              <w:left w:val="nil"/>
              <w:bottom w:val="single" w:color="000000" w:sz="4" w:space="0"/>
              <w:right w:val="single" w:color="000000" w:sz="4" w:space="0"/>
            </w:tcBorders>
            <w:vAlign w:val="center"/>
          </w:tcPr>
          <w:p>
            <w:pPr>
              <w:autoSpaceDE w:val="0"/>
              <w:spacing w:line="270" w:lineRule="exact"/>
              <w:jc w:val="center"/>
              <w:rPr>
                <w:rFonts w:ascii="微软雅黑" w:eastAsia="微软雅黑"/>
                <w:i/>
                <w:iCs/>
                <w:color w:val="000000"/>
                <w:sz w:val="16"/>
                <w:szCs w:val="16"/>
              </w:rPr>
            </w:pPr>
          </w:p>
        </w:tc>
        <w:tc>
          <w:tcPr>
            <w:tcW w:w="845" w:type="dxa"/>
            <w:tcBorders>
              <w:top w:val="single" w:color="000000" w:sz="4" w:space="0"/>
              <w:left w:val="nil"/>
              <w:bottom w:val="single" w:color="000000" w:sz="4" w:space="0"/>
              <w:right w:val="single" w:color="000000" w:sz="4" w:space="0"/>
            </w:tcBorders>
            <w:vAlign w:val="center"/>
          </w:tcPr>
          <w:p>
            <w:pPr>
              <w:autoSpaceDE w:val="0"/>
              <w:spacing w:line="270" w:lineRule="exact"/>
              <w:jc w:val="center"/>
              <w:rPr>
                <w:rFonts w:ascii="微软雅黑" w:eastAsia="微软雅黑"/>
                <w:i/>
                <w:iCs/>
                <w:color w:val="000000"/>
                <w:sz w:val="16"/>
                <w:szCs w:val="16"/>
              </w:rPr>
            </w:pP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427"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948" w:type="dxa"/>
            <w:vMerge w:val="restart"/>
            <w:tcBorders>
              <w:top w:val="nil"/>
              <w:left w:val="single" w:color="000000" w:sz="4" w:space="0"/>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61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指标值</w:t>
            </w:r>
          </w:p>
        </w:tc>
        <w:tc>
          <w:tcPr>
            <w:tcW w:w="396"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权重</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得分</w:t>
            </w:r>
          </w:p>
        </w:tc>
        <w:tc>
          <w:tcPr>
            <w:tcW w:w="427"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8"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61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服务人员数量</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3</w:t>
            </w:r>
          </w:p>
        </w:tc>
        <w:tc>
          <w:tcPr>
            <w:tcW w:w="396"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人</w:t>
            </w:r>
          </w:p>
        </w:tc>
        <w:tc>
          <w:tcPr>
            <w:tcW w:w="845" w:type="dxa"/>
            <w:tcBorders>
              <w:top w:val="single" w:color="000000" w:sz="4" w:space="0"/>
              <w:left w:val="nil"/>
              <w:bottom w:val="single" w:color="000000" w:sz="4" w:space="0"/>
              <w:right w:val="single" w:color="000000" w:sz="4" w:space="0"/>
            </w:tcBorders>
            <w:vAlign w:val="center"/>
          </w:tcPr>
          <w:p>
            <w:pPr>
              <w:autoSpaceDE w:val="0"/>
              <w:spacing w:line="270" w:lineRule="exact"/>
              <w:jc w:val="center"/>
              <w:rPr>
                <w:rFonts w:ascii="微软雅黑" w:eastAsia="微软雅黑"/>
                <w:i/>
                <w:iCs/>
                <w:color w:val="000000"/>
                <w:sz w:val="16"/>
                <w:szCs w:val="16"/>
              </w:rPr>
            </w:pP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40</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40</w:t>
            </w:r>
          </w:p>
        </w:tc>
        <w:tc>
          <w:tcPr>
            <w:tcW w:w="427" w:type="dxa"/>
            <w:tcBorders>
              <w:top w:val="single" w:color="000000" w:sz="4" w:space="0"/>
              <w:left w:val="nil"/>
              <w:bottom w:val="single" w:color="000000" w:sz="4" w:space="0"/>
              <w:right w:val="single" w:color="000000" w:sz="4" w:space="0"/>
            </w:tcBorders>
            <w:vAlign w:val="center"/>
          </w:tcPr>
          <w:p>
            <w:pPr>
              <w:autoSpaceDE w:val="0"/>
              <w:spacing w:line="27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8"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61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信息化资源整合</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90</w:t>
            </w:r>
          </w:p>
        </w:tc>
        <w:tc>
          <w:tcPr>
            <w:tcW w:w="396"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845" w:type="dxa"/>
            <w:tcBorders>
              <w:top w:val="single" w:color="000000" w:sz="4" w:space="0"/>
              <w:left w:val="nil"/>
              <w:bottom w:val="single" w:color="000000" w:sz="4" w:space="0"/>
              <w:right w:val="single" w:color="000000" w:sz="4" w:space="0"/>
            </w:tcBorders>
            <w:vAlign w:val="center"/>
          </w:tcPr>
          <w:p>
            <w:pPr>
              <w:autoSpaceDE w:val="0"/>
              <w:spacing w:line="270" w:lineRule="exact"/>
              <w:jc w:val="center"/>
              <w:rPr>
                <w:rFonts w:ascii="微软雅黑" w:eastAsia="微软雅黑"/>
                <w:i/>
                <w:iCs/>
                <w:color w:val="000000"/>
                <w:sz w:val="16"/>
                <w:szCs w:val="16"/>
              </w:rPr>
            </w:pP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30</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30</w:t>
            </w:r>
          </w:p>
        </w:tc>
        <w:tc>
          <w:tcPr>
            <w:tcW w:w="427" w:type="dxa"/>
            <w:tcBorders>
              <w:top w:val="single" w:color="000000" w:sz="4" w:space="0"/>
              <w:left w:val="nil"/>
              <w:bottom w:val="single" w:color="000000" w:sz="4" w:space="0"/>
              <w:right w:val="single" w:color="000000" w:sz="4" w:space="0"/>
            </w:tcBorders>
            <w:vAlign w:val="center"/>
          </w:tcPr>
          <w:p>
            <w:pPr>
              <w:autoSpaceDE w:val="0"/>
              <w:spacing w:line="27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48"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成本指标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经济成本指标</w:t>
            </w:r>
          </w:p>
        </w:tc>
        <w:tc>
          <w:tcPr>
            <w:tcW w:w="161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降低建设成本</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90</w:t>
            </w:r>
          </w:p>
        </w:tc>
        <w:tc>
          <w:tcPr>
            <w:tcW w:w="396"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w:t>
            </w:r>
          </w:p>
        </w:tc>
        <w:tc>
          <w:tcPr>
            <w:tcW w:w="845" w:type="dxa"/>
            <w:tcBorders>
              <w:top w:val="single" w:color="000000" w:sz="4" w:space="0"/>
              <w:left w:val="nil"/>
              <w:bottom w:val="single" w:color="000000" w:sz="4" w:space="0"/>
              <w:right w:val="single" w:color="000000" w:sz="4" w:space="0"/>
            </w:tcBorders>
            <w:vAlign w:val="center"/>
          </w:tcPr>
          <w:p>
            <w:pPr>
              <w:autoSpaceDE w:val="0"/>
              <w:spacing w:line="270" w:lineRule="exact"/>
              <w:jc w:val="center"/>
              <w:rPr>
                <w:rFonts w:ascii="微软雅黑" w:eastAsia="微软雅黑"/>
                <w:i/>
                <w:iCs/>
                <w:color w:val="000000"/>
                <w:sz w:val="16"/>
                <w:szCs w:val="16"/>
              </w:rPr>
            </w:pP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20</w:t>
            </w:r>
          </w:p>
        </w:tc>
        <w:tc>
          <w:tcPr>
            <w:tcW w:w="753"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20</w:t>
            </w:r>
          </w:p>
        </w:tc>
        <w:tc>
          <w:tcPr>
            <w:tcW w:w="427" w:type="dxa"/>
            <w:tcBorders>
              <w:top w:val="single" w:color="000000" w:sz="4" w:space="0"/>
              <w:left w:val="nil"/>
              <w:bottom w:val="single" w:color="000000" w:sz="4" w:space="0"/>
              <w:right w:val="single" w:color="000000" w:sz="4" w:space="0"/>
            </w:tcBorders>
            <w:vAlign w:val="center"/>
          </w:tcPr>
          <w:p>
            <w:pPr>
              <w:autoSpaceDE w:val="0"/>
              <w:spacing w:line="27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406"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合计</w:t>
            </w:r>
          </w:p>
        </w:tc>
        <w:tc>
          <w:tcPr>
            <w:tcW w:w="845" w:type="dxa"/>
            <w:tcBorders>
              <w:top w:val="single" w:color="000000" w:sz="4" w:space="0"/>
              <w:left w:val="nil"/>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100</w:t>
            </w:r>
          </w:p>
        </w:tc>
        <w:tc>
          <w:tcPr>
            <w:tcW w:w="1506" w:type="dxa"/>
            <w:gridSpan w:val="2"/>
            <w:tcBorders>
              <w:top w:val="single" w:color="000000" w:sz="4" w:space="0"/>
              <w:left w:val="nil"/>
              <w:bottom w:val="single" w:color="000000" w:sz="4" w:space="0"/>
              <w:right w:val="single" w:color="000000" w:sz="4" w:space="0"/>
            </w:tcBorders>
            <w:vAlign w:val="center"/>
          </w:tcPr>
          <w:p>
            <w:pPr>
              <w:widowControl/>
              <w:autoSpaceDE w:val="0"/>
              <w:spacing w:line="270" w:lineRule="exact"/>
              <w:jc w:val="right"/>
              <w:textAlignment w:val="center"/>
              <w:rPr>
                <w:rFonts w:ascii="宋体"/>
                <w:color w:val="000000"/>
                <w:sz w:val="18"/>
                <w:szCs w:val="18"/>
              </w:rPr>
            </w:pPr>
            <w:r>
              <w:rPr>
                <w:rFonts w:hint="eastAsia" w:ascii="宋体"/>
                <w:color w:val="000000"/>
                <w:kern w:val="0"/>
                <w:sz w:val="18"/>
                <w:szCs w:val="18"/>
              </w:rPr>
              <w:t>100</w:t>
            </w:r>
          </w:p>
        </w:tc>
        <w:tc>
          <w:tcPr>
            <w:tcW w:w="427" w:type="dxa"/>
            <w:tcBorders>
              <w:top w:val="single" w:color="000000" w:sz="4" w:space="0"/>
              <w:left w:val="nil"/>
              <w:bottom w:val="single" w:color="000000" w:sz="4" w:space="0"/>
              <w:right w:val="single" w:color="000000" w:sz="4" w:space="0"/>
            </w:tcBorders>
            <w:vAlign w:val="center"/>
          </w:tcPr>
          <w:p>
            <w:pPr>
              <w:autoSpaceDE w:val="0"/>
              <w:spacing w:line="27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948"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236" w:type="dxa"/>
            <w:gridSpan w:val="10"/>
            <w:tcBorders>
              <w:top w:val="single" w:color="000000" w:sz="4" w:space="0"/>
              <w:left w:val="nil"/>
              <w:bottom w:val="single" w:color="000000" w:sz="4" w:space="0"/>
              <w:right w:val="single" w:color="000000" w:sz="4" w:space="0"/>
            </w:tcBorders>
            <w:vAlign w:val="center"/>
          </w:tcPr>
          <w:p>
            <w:pPr>
              <w:widowControl/>
              <w:autoSpaceDE w:val="0"/>
              <w:spacing w:line="27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948"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236" w:type="dxa"/>
            <w:gridSpan w:val="10"/>
            <w:tcBorders>
              <w:top w:val="single" w:color="000000" w:sz="4" w:space="0"/>
              <w:left w:val="nil"/>
              <w:bottom w:val="single" w:color="000000" w:sz="4" w:space="0"/>
              <w:right w:val="single" w:color="000000" w:sz="4" w:space="0"/>
            </w:tcBorders>
            <w:vAlign w:val="center"/>
          </w:tcPr>
          <w:p>
            <w:pPr>
              <w:widowControl/>
              <w:autoSpaceDE w:val="0"/>
              <w:spacing w:line="27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948"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7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236" w:type="dxa"/>
            <w:gridSpan w:val="10"/>
            <w:tcBorders>
              <w:top w:val="single" w:color="000000" w:sz="4" w:space="0"/>
              <w:left w:val="nil"/>
              <w:bottom w:val="single" w:color="000000" w:sz="4" w:space="0"/>
              <w:right w:val="single" w:color="000000" w:sz="4" w:space="0"/>
            </w:tcBorders>
            <w:vAlign w:val="center"/>
          </w:tcPr>
          <w:p>
            <w:pPr>
              <w:widowControl/>
              <w:autoSpaceDE w:val="0"/>
              <w:spacing w:line="27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5517"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7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3667" w:type="dxa"/>
            <w:gridSpan w:val="6"/>
            <w:tcBorders>
              <w:top w:val="single" w:color="000000" w:sz="4" w:space="0"/>
              <w:left w:val="nil"/>
              <w:bottom w:val="single" w:color="000000" w:sz="4" w:space="0"/>
              <w:right w:val="single" w:color="000000" w:sz="4" w:space="0"/>
            </w:tcBorders>
            <w:vAlign w:val="center"/>
          </w:tcPr>
          <w:p>
            <w:pPr>
              <w:widowControl/>
              <w:autoSpaceDE w:val="0"/>
              <w:spacing w:line="27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r>
        <w:br w:type="page"/>
      </w:r>
    </w:p>
    <w:p>
      <w:pPr>
        <w:pStyle w:val="2"/>
      </w:pPr>
      <w:r>
        <w:t xml:space="preserve"> </w:t>
      </w:r>
    </w:p>
    <w:tbl>
      <w:tblPr>
        <w:tblStyle w:val="13"/>
        <w:tblW w:w="91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4"/>
        <w:gridCol w:w="1162"/>
        <w:gridCol w:w="1230"/>
        <w:gridCol w:w="1121"/>
        <w:gridCol w:w="928"/>
        <w:gridCol w:w="587"/>
        <w:gridCol w:w="454"/>
        <w:gridCol w:w="846"/>
        <w:gridCol w:w="752"/>
        <w:gridCol w:w="752"/>
        <w:gridCol w:w="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182"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kern w:val="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6"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6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097" w:type="dxa"/>
            <w:gridSpan w:val="9"/>
            <w:tcBorders>
              <w:top w:val="single" w:color="000000" w:sz="4" w:space="0"/>
              <w:left w:val="nil"/>
              <w:bottom w:val="single" w:color="000000" w:sz="4" w:space="0"/>
              <w:right w:val="single" w:color="000000" w:sz="4" w:space="0"/>
            </w:tcBorders>
            <w:vAlign w:val="center"/>
          </w:tcPr>
          <w:p>
            <w:pPr>
              <w:widowControl/>
              <w:autoSpaceDE w:val="0"/>
              <w:spacing w:line="260" w:lineRule="exact"/>
              <w:jc w:val="left"/>
              <w:textAlignment w:val="center"/>
              <w:rPr>
                <w:rFonts w:ascii="宋体"/>
                <w:color w:val="000000"/>
                <w:sz w:val="18"/>
                <w:szCs w:val="18"/>
              </w:rPr>
            </w:pPr>
            <w:r>
              <w:rPr>
                <w:rFonts w:hint="eastAsia" w:ascii="宋体"/>
                <w:color w:val="000000"/>
                <w:kern w:val="0"/>
                <w:sz w:val="18"/>
                <w:szCs w:val="18"/>
              </w:rPr>
              <w:t>51320022T000007108539-惠企政策直达平台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086"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6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136" w:type="dxa"/>
            <w:gridSpan w:val="5"/>
            <w:tcBorders>
              <w:top w:val="single" w:color="000000" w:sz="4" w:space="0"/>
              <w:left w:val="nil"/>
              <w:bottom w:val="single" w:color="000000" w:sz="4" w:space="0"/>
              <w:right w:val="single" w:color="000000" w:sz="4" w:space="0"/>
            </w:tcBorders>
            <w:vAlign w:val="center"/>
          </w:tcPr>
          <w:p>
            <w:pPr>
              <w:widowControl/>
              <w:autoSpaceDE w:val="0"/>
              <w:spacing w:line="26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6" w:type="dxa"/>
            <w:tcBorders>
              <w:top w:val="nil"/>
              <w:left w:val="nil"/>
              <w:bottom w:val="nil"/>
              <w:right w:val="nil"/>
            </w:tcBorders>
            <w:vAlign w:val="center"/>
          </w:tcPr>
          <w:p>
            <w:pPr>
              <w:widowControl/>
              <w:autoSpaceDE w:val="0"/>
              <w:spacing w:line="26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1930"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4" w:type="dxa"/>
            <w:vMerge w:val="restart"/>
            <w:tcBorders>
              <w:top w:val="nil"/>
              <w:left w:val="single" w:color="000000" w:sz="4" w:space="0"/>
              <w:bottom w:val="single" w:color="000000" w:sz="4" w:space="0"/>
              <w:right w:val="single" w:color="000000" w:sz="4" w:space="0"/>
            </w:tcBorders>
            <w:vAlign w:val="center"/>
          </w:tcPr>
          <w:p>
            <w:pPr>
              <w:widowControl/>
              <w:autoSpaceDE w:val="0"/>
              <w:spacing w:line="26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921" w:type="dxa"/>
            <w:vMerge w:val="restart"/>
            <w:tcBorders>
              <w:top w:val="nil"/>
              <w:left w:val="nil"/>
              <w:bottom w:val="single" w:color="000000" w:sz="4" w:space="0"/>
              <w:right w:val="single" w:color="000000" w:sz="4" w:space="0"/>
            </w:tcBorders>
            <w:vAlign w:val="center"/>
          </w:tcPr>
          <w:p>
            <w:pPr>
              <w:widowControl/>
              <w:autoSpaceDE w:val="0"/>
              <w:spacing w:line="26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136" w:type="dxa"/>
            <w:gridSpan w:val="5"/>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776" w:type="dxa"/>
            <w:gridSpan w:val="4"/>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924" w:type="dxa"/>
            <w:vMerge w:val="continue"/>
            <w:tcBorders>
              <w:top w:val="nil"/>
              <w:left w:val="single" w:color="000000" w:sz="4" w:space="0"/>
              <w:bottom w:val="single" w:color="000000" w:sz="4" w:space="0"/>
              <w:right w:val="single" w:color="000000" w:sz="4" w:space="0"/>
            </w:tcBorders>
            <w:vAlign w:val="center"/>
          </w:tcPr>
          <w:p/>
        </w:tc>
        <w:tc>
          <w:tcPr>
            <w:tcW w:w="909" w:type="dxa"/>
            <w:vMerge w:val="continue"/>
            <w:tcBorders>
              <w:top w:val="nil"/>
              <w:left w:val="nil"/>
              <w:bottom w:val="single" w:color="000000" w:sz="4" w:space="0"/>
              <w:right w:val="single" w:color="000000" w:sz="4" w:space="0"/>
            </w:tcBorders>
            <w:vAlign w:val="center"/>
          </w:tcPr>
          <w:p/>
        </w:tc>
        <w:tc>
          <w:tcPr>
            <w:tcW w:w="4136" w:type="dxa"/>
            <w:gridSpan w:val="5"/>
            <w:tcBorders>
              <w:top w:val="single" w:color="000000" w:sz="4" w:space="0"/>
              <w:left w:val="nil"/>
              <w:bottom w:val="single" w:color="000000" w:sz="4" w:space="0"/>
              <w:right w:val="single" w:color="000000" w:sz="4" w:space="0"/>
            </w:tcBorders>
            <w:vAlign w:val="center"/>
          </w:tcPr>
          <w:p>
            <w:pPr>
              <w:widowControl/>
              <w:autoSpaceDE w:val="0"/>
              <w:spacing w:line="260" w:lineRule="exact"/>
              <w:jc w:val="left"/>
              <w:textAlignment w:val="center"/>
              <w:rPr>
                <w:rFonts w:ascii="宋体"/>
                <w:color w:val="000000"/>
                <w:sz w:val="18"/>
                <w:szCs w:val="18"/>
              </w:rPr>
            </w:pPr>
            <w:r>
              <w:rPr>
                <w:rFonts w:hint="eastAsia" w:ascii="宋体"/>
                <w:color w:val="000000"/>
                <w:kern w:val="0"/>
                <w:sz w:val="18"/>
                <w:szCs w:val="18"/>
              </w:rPr>
              <w:t>为切实加强产业政策的统筹管理和统一执行，提高财政奖补资金兑现效率，更高水平实现产业政策落地落细落实。按照全省“放管服”改革和数字化改革要求，计划建设阿坝州“惠企政策直达平台”，打造全省财政资金直达基层和实体经济的示范样板，从而进一步优化我州营商环境，加快推动我州经济高质量发展。</w:t>
            </w:r>
          </w:p>
        </w:tc>
        <w:tc>
          <w:tcPr>
            <w:tcW w:w="2776" w:type="dxa"/>
            <w:gridSpan w:val="4"/>
            <w:tcBorders>
              <w:top w:val="single" w:color="000000" w:sz="4" w:space="0"/>
              <w:left w:val="nil"/>
              <w:bottom w:val="single" w:color="000000" w:sz="4" w:space="0"/>
              <w:right w:val="single" w:color="000000" w:sz="4" w:space="0"/>
            </w:tcBorders>
            <w:vAlign w:val="center"/>
          </w:tcPr>
          <w:p>
            <w:pPr>
              <w:widowControl/>
              <w:autoSpaceDE w:val="0"/>
              <w:spacing w:line="26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4"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097" w:type="dxa"/>
            <w:gridSpan w:val="9"/>
            <w:tcBorders>
              <w:top w:val="single" w:color="000000" w:sz="4" w:space="0"/>
              <w:left w:val="nil"/>
              <w:bottom w:val="single" w:color="000000" w:sz="4" w:space="0"/>
              <w:right w:val="single" w:color="000000" w:sz="4" w:space="0"/>
            </w:tcBorders>
            <w:vAlign w:val="center"/>
          </w:tcPr>
          <w:p>
            <w:pPr>
              <w:widowControl/>
              <w:autoSpaceDE w:val="0"/>
              <w:spacing w:line="260" w:lineRule="exact"/>
              <w:jc w:val="left"/>
              <w:textAlignment w:val="center"/>
              <w:rPr>
                <w:rFonts w:ascii="宋体"/>
                <w:color w:val="000000"/>
                <w:sz w:val="18"/>
                <w:szCs w:val="18"/>
              </w:rPr>
            </w:pPr>
            <w:r>
              <w:rPr>
                <w:rFonts w:hint="eastAsia" w:ascii="宋体"/>
                <w:color w:val="000000"/>
                <w:kern w:val="0"/>
                <w:sz w:val="18"/>
                <w:szCs w:val="18"/>
              </w:rPr>
              <w:t>该项目为2023年结转项目，按照合同约定剩余资金于2024年支付，项目建设服务内容已于2023年完成。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924" w:type="dxa"/>
            <w:vMerge w:val="restart"/>
            <w:tcBorders>
              <w:top w:val="nil"/>
              <w:left w:val="single" w:color="000000" w:sz="4" w:space="0"/>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230"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1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1628" w:type="dxa"/>
            <w:gridSpan w:val="3"/>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权重</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得分</w:t>
            </w:r>
          </w:p>
        </w:tc>
        <w:tc>
          <w:tcPr>
            <w:tcW w:w="426"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4"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总额</w:t>
            </w:r>
          </w:p>
        </w:tc>
        <w:tc>
          <w:tcPr>
            <w:tcW w:w="1230"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0.00</w:t>
            </w:r>
          </w:p>
        </w:tc>
        <w:tc>
          <w:tcPr>
            <w:tcW w:w="11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9.30</w:t>
            </w:r>
          </w:p>
        </w:tc>
        <w:tc>
          <w:tcPr>
            <w:tcW w:w="1628" w:type="dxa"/>
            <w:gridSpan w:val="3"/>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9.30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100.00%</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10</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10</w:t>
            </w:r>
          </w:p>
        </w:tc>
        <w:tc>
          <w:tcPr>
            <w:tcW w:w="426" w:type="dxa"/>
            <w:vMerge w:val="restart"/>
            <w:tcBorders>
              <w:top w:val="nil"/>
              <w:left w:val="nil"/>
              <w:bottom w:val="single" w:color="000000" w:sz="4" w:space="0"/>
              <w:right w:val="single" w:color="000000" w:sz="4" w:space="0"/>
            </w:tcBorders>
            <w:vAlign w:val="center"/>
          </w:tcPr>
          <w:p>
            <w:pPr>
              <w:autoSpaceDE w:val="0"/>
              <w:spacing w:line="26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4"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230"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0.00</w:t>
            </w:r>
          </w:p>
        </w:tc>
        <w:tc>
          <w:tcPr>
            <w:tcW w:w="11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9.30</w:t>
            </w:r>
          </w:p>
        </w:tc>
        <w:tc>
          <w:tcPr>
            <w:tcW w:w="1628" w:type="dxa"/>
            <w:gridSpan w:val="3"/>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9.30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100.00%</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426"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4"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230"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0.00</w:t>
            </w:r>
          </w:p>
        </w:tc>
        <w:tc>
          <w:tcPr>
            <w:tcW w:w="11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0.00</w:t>
            </w:r>
          </w:p>
        </w:tc>
        <w:tc>
          <w:tcPr>
            <w:tcW w:w="1628" w:type="dxa"/>
            <w:gridSpan w:val="3"/>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0.00%</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426"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4"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230"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0.00</w:t>
            </w:r>
          </w:p>
        </w:tc>
        <w:tc>
          <w:tcPr>
            <w:tcW w:w="11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0.00</w:t>
            </w:r>
          </w:p>
        </w:tc>
        <w:tc>
          <w:tcPr>
            <w:tcW w:w="1628" w:type="dxa"/>
            <w:gridSpan w:val="3"/>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0.00%</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426"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4"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230" w:type="dxa"/>
            <w:tcBorders>
              <w:top w:val="single" w:color="000000" w:sz="4" w:space="0"/>
              <w:left w:val="nil"/>
              <w:bottom w:val="single" w:color="000000" w:sz="4" w:space="0"/>
              <w:right w:val="single" w:color="000000" w:sz="4" w:space="0"/>
            </w:tcBorders>
            <w:vAlign w:val="center"/>
          </w:tcPr>
          <w:p>
            <w:pPr>
              <w:autoSpaceDE w:val="0"/>
              <w:spacing w:line="260" w:lineRule="exact"/>
              <w:jc w:val="center"/>
              <w:rPr>
                <w:rFonts w:ascii="微软雅黑" w:eastAsia="微软雅黑"/>
                <w:i/>
                <w:iCs/>
                <w:color w:val="000000"/>
                <w:sz w:val="16"/>
                <w:szCs w:val="16"/>
              </w:rPr>
            </w:pPr>
          </w:p>
        </w:tc>
        <w:tc>
          <w:tcPr>
            <w:tcW w:w="1121" w:type="dxa"/>
            <w:tcBorders>
              <w:top w:val="single" w:color="000000" w:sz="4" w:space="0"/>
              <w:left w:val="nil"/>
              <w:bottom w:val="single" w:color="000000" w:sz="4" w:space="0"/>
              <w:right w:val="single" w:color="000000" w:sz="4" w:space="0"/>
            </w:tcBorders>
            <w:vAlign w:val="center"/>
          </w:tcPr>
          <w:p>
            <w:pPr>
              <w:autoSpaceDE w:val="0"/>
              <w:spacing w:line="260" w:lineRule="exact"/>
              <w:jc w:val="center"/>
              <w:rPr>
                <w:rFonts w:ascii="微软雅黑" w:eastAsia="微软雅黑"/>
                <w:i/>
                <w:iCs/>
                <w:color w:val="000000"/>
                <w:sz w:val="16"/>
                <w:szCs w:val="16"/>
              </w:rPr>
            </w:pPr>
          </w:p>
        </w:tc>
        <w:tc>
          <w:tcPr>
            <w:tcW w:w="1628" w:type="dxa"/>
            <w:gridSpan w:val="3"/>
            <w:tcBorders>
              <w:top w:val="single" w:color="000000" w:sz="4" w:space="0"/>
              <w:left w:val="nil"/>
              <w:bottom w:val="single" w:color="000000" w:sz="4" w:space="0"/>
              <w:right w:val="single" w:color="000000" w:sz="4" w:space="0"/>
            </w:tcBorders>
            <w:vAlign w:val="center"/>
          </w:tcPr>
          <w:p>
            <w:pPr>
              <w:autoSpaceDE w:val="0"/>
              <w:spacing w:line="260" w:lineRule="exact"/>
              <w:jc w:val="center"/>
              <w:rPr>
                <w:rFonts w:ascii="微软雅黑" w:eastAsia="微软雅黑"/>
                <w:i/>
                <w:iCs/>
                <w:color w:val="000000"/>
                <w:sz w:val="16"/>
                <w:szCs w:val="16"/>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60" w:lineRule="exact"/>
              <w:jc w:val="center"/>
              <w:rPr>
                <w:rFonts w:ascii="微软雅黑" w:eastAsia="微软雅黑"/>
                <w:i/>
                <w:iCs/>
                <w:color w:val="000000"/>
                <w:sz w:val="16"/>
                <w:szCs w:val="16"/>
              </w:rPr>
            </w:pP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426"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4" w:type="dxa"/>
            <w:vMerge w:val="restart"/>
            <w:tcBorders>
              <w:top w:val="nil"/>
              <w:left w:val="single" w:color="000000" w:sz="4" w:space="0"/>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230"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1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587"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587"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指标值</w:t>
            </w:r>
          </w:p>
        </w:tc>
        <w:tc>
          <w:tcPr>
            <w:tcW w:w="454"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权重</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得分</w:t>
            </w:r>
          </w:p>
        </w:tc>
        <w:tc>
          <w:tcPr>
            <w:tcW w:w="426"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4"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230"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1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完成时限</w:t>
            </w:r>
          </w:p>
        </w:tc>
        <w:tc>
          <w:tcPr>
            <w:tcW w:w="587"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587"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90</w:t>
            </w:r>
          </w:p>
        </w:tc>
        <w:tc>
          <w:tcPr>
            <w:tcW w:w="454"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60" w:lineRule="exact"/>
              <w:jc w:val="center"/>
              <w:rPr>
                <w:rFonts w:ascii="微软雅黑" w:eastAsia="微软雅黑"/>
                <w:i/>
                <w:iCs/>
                <w:color w:val="000000"/>
                <w:sz w:val="16"/>
                <w:szCs w:val="16"/>
              </w:rPr>
            </w:pP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40</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40</w:t>
            </w:r>
          </w:p>
        </w:tc>
        <w:tc>
          <w:tcPr>
            <w:tcW w:w="426" w:type="dxa"/>
            <w:tcBorders>
              <w:top w:val="single" w:color="000000" w:sz="4" w:space="0"/>
              <w:left w:val="nil"/>
              <w:bottom w:val="single" w:color="000000" w:sz="4" w:space="0"/>
              <w:right w:val="single" w:color="000000" w:sz="4" w:space="0"/>
            </w:tcBorders>
            <w:vAlign w:val="center"/>
          </w:tcPr>
          <w:p>
            <w:pPr>
              <w:autoSpaceDE w:val="0"/>
              <w:spacing w:line="26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4"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230"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1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产业政策数据资源整合</w:t>
            </w:r>
          </w:p>
        </w:tc>
        <w:tc>
          <w:tcPr>
            <w:tcW w:w="587"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587"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90</w:t>
            </w:r>
          </w:p>
        </w:tc>
        <w:tc>
          <w:tcPr>
            <w:tcW w:w="454"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60" w:lineRule="exact"/>
              <w:jc w:val="center"/>
              <w:rPr>
                <w:rFonts w:ascii="微软雅黑" w:eastAsia="微软雅黑"/>
                <w:i/>
                <w:iCs/>
                <w:color w:val="000000"/>
                <w:sz w:val="16"/>
                <w:szCs w:val="16"/>
              </w:rPr>
            </w:pP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40</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40</w:t>
            </w:r>
          </w:p>
        </w:tc>
        <w:tc>
          <w:tcPr>
            <w:tcW w:w="426" w:type="dxa"/>
            <w:tcBorders>
              <w:top w:val="single" w:color="000000" w:sz="4" w:space="0"/>
              <w:left w:val="nil"/>
              <w:bottom w:val="single" w:color="000000" w:sz="4" w:space="0"/>
              <w:right w:val="single" w:color="000000" w:sz="4" w:space="0"/>
            </w:tcBorders>
            <w:vAlign w:val="center"/>
          </w:tcPr>
          <w:p>
            <w:pPr>
              <w:autoSpaceDE w:val="0"/>
              <w:spacing w:line="26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924"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230"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服务对象满意度指标</w:t>
            </w:r>
          </w:p>
        </w:tc>
        <w:tc>
          <w:tcPr>
            <w:tcW w:w="1121"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满意度</w:t>
            </w:r>
          </w:p>
        </w:tc>
        <w:tc>
          <w:tcPr>
            <w:tcW w:w="587"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587"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90</w:t>
            </w:r>
          </w:p>
        </w:tc>
        <w:tc>
          <w:tcPr>
            <w:tcW w:w="454"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60" w:lineRule="exact"/>
              <w:jc w:val="center"/>
              <w:rPr>
                <w:rFonts w:ascii="微软雅黑" w:eastAsia="微软雅黑"/>
                <w:i/>
                <w:iCs/>
                <w:color w:val="000000"/>
                <w:sz w:val="16"/>
                <w:szCs w:val="16"/>
              </w:rPr>
            </w:pP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10</w:t>
            </w:r>
          </w:p>
        </w:tc>
        <w:tc>
          <w:tcPr>
            <w:tcW w:w="752"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10</w:t>
            </w:r>
          </w:p>
        </w:tc>
        <w:tc>
          <w:tcPr>
            <w:tcW w:w="426" w:type="dxa"/>
            <w:tcBorders>
              <w:top w:val="single" w:color="000000" w:sz="4" w:space="0"/>
              <w:left w:val="nil"/>
              <w:bottom w:val="single" w:color="000000" w:sz="4" w:space="0"/>
              <w:right w:val="single" w:color="000000" w:sz="4" w:space="0"/>
            </w:tcBorders>
            <w:vAlign w:val="center"/>
          </w:tcPr>
          <w:p>
            <w:pPr>
              <w:autoSpaceDE w:val="0"/>
              <w:spacing w:line="26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06"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合计</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100</w:t>
            </w:r>
          </w:p>
        </w:tc>
        <w:tc>
          <w:tcPr>
            <w:tcW w:w="1504" w:type="dxa"/>
            <w:gridSpan w:val="2"/>
            <w:tcBorders>
              <w:top w:val="single" w:color="000000" w:sz="4" w:space="0"/>
              <w:left w:val="nil"/>
              <w:bottom w:val="single" w:color="000000" w:sz="4" w:space="0"/>
              <w:right w:val="single" w:color="000000" w:sz="4" w:space="0"/>
            </w:tcBorders>
            <w:vAlign w:val="center"/>
          </w:tcPr>
          <w:p>
            <w:pPr>
              <w:widowControl/>
              <w:autoSpaceDE w:val="0"/>
              <w:spacing w:line="260" w:lineRule="exact"/>
              <w:jc w:val="right"/>
              <w:textAlignment w:val="center"/>
              <w:rPr>
                <w:rFonts w:ascii="宋体"/>
                <w:color w:val="000000"/>
                <w:sz w:val="18"/>
                <w:szCs w:val="18"/>
              </w:rPr>
            </w:pPr>
            <w:r>
              <w:rPr>
                <w:rFonts w:hint="eastAsia" w:ascii="宋体"/>
                <w:color w:val="000000"/>
                <w:kern w:val="0"/>
                <w:sz w:val="18"/>
                <w:szCs w:val="18"/>
              </w:rPr>
              <w:t>100</w:t>
            </w:r>
          </w:p>
        </w:tc>
        <w:tc>
          <w:tcPr>
            <w:tcW w:w="426" w:type="dxa"/>
            <w:tcBorders>
              <w:top w:val="single" w:color="000000" w:sz="4" w:space="0"/>
              <w:left w:val="nil"/>
              <w:bottom w:val="single" w:color="000000" w:sz="4" w:space="0"/>
              <w:right w:val="single" w:color="000000" w:sz="4" w:space="0"/>
            </w:tcBorders>
            <w:vAlign w:val="center"/>
          </w:tcPr>
          <w:p>
            <w:pPr>
              <w:autoSpaceDE w:val="0"/>
              <w:spacing w:line="26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4"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258" w:type="dxa"/>
            <w:gridSpan w:val="10"/>
            <w:tcBorders>
              <w:top w:val="single" w:color="000000" w:sz="4" w:space="0"/>
              <w:left w:val="nil"/>
              <w:bottom w:val="single" w:color="000000" w:sz="4" w:space="0"/>
              <w:right w:val="single" w:color="000000" w:sz="4" w:space="0"/>
            </w:tcBorders>
            <w:vAlign w:val="center"/>
          </w:tcPr>
          <w:p>
            <w:pPr>
              <w:widowControl/>
              <w:autoSpaceDE w:val="0"/>
              <w:spacing w:line="26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4"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258" w:type="dxa"/>
            <w:gridSpan w:val="10"/>
            <w:tcBorders>
              <w:top w:val="single" w:color="000000" w:sz="4" w:space="0"/>
              <w:left w:val="nil"/>
              <w:bottom w:val="single" w:color="000000" w:sz="4" w:space="0"/>
              <w:right w:val="single" w:color="000000" w:sz="4" w:space="0"/>
            </w:tcBorders>
            <w:vAlign w:val="center"/>
          </w:tcPr>
          <w:p>
            <w:pPr>
              <w:widowControl/>
              <w:autoSpaceDE w:val="0"/>
              <w:spacing w:line="26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4"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6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258" w:type="dxa"/>
            <w:gridSpan w:val="10"/>
            <w:tcBorders>
              <w:top w:val="single" w:color="000000" w:sz="4" w:space="0"/>
              <w:left w:val="nil"/>
              <w:bottom w:val="single" w:color="000000" w:sz="4" w:space="0"/>
              <w:right w:val="single" w:color="000000" w:sz="4" w:space="0"/>
            </w:tcBorders>
            <w:vAlign w:val="center"/>
          </w:tcPr>
          <w:p>
            <w:pPr>
              <w:widowControl/>
              <w:autoSpaceDE w:val="0"/>
              <w:spacing w:line="26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65"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6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3817" w:type="dxa"/>
            <w:gridSpan w:val="6"/>
            <w:tcBorders>
              <w:top w:val="single" w:color="000000" w:sz="4" w:space="0"/>
              <w:left w:val="nil"/>
              <w:bottom w:val="single" w:color="000000" w:sz="4" w:space="0"/>
              <w:right w:val="single" w:color="000000" w:sz="4" w:space="0"/>
            </w:tcBorders>
            <w:vAlign w:val="center"/>
          </w:tcPr>
          <w:p>
            <w:pPr>
              <w:widowControl/>
              <w:autoSpaceDE w:val="0"/>
              <w:spacing w:line="26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r>
        <w:br w:type="page"/>
      </w:r>
    </w:p>
    <w:p>
      <w:pPr>
        <w:pStyle w:val="2"/>
      </w:pPr>
      <w:r>
        <w:t xml:space="preserve"> </w:t>
      </w:r>
    </w:p>
    <w:tbl>
      <w:tblPr>
        <w:tblStyle w:val="13"/>
        <w:tblW w:w="91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9"/>
        <w:gridCol w:w="1085"/>
        <w:gridCol w:w="1208"/>
        <w:gridCol w:w="1738"/>
        <w:gridCol w:w="427"/>
        <w:gridCol w:w="523"/>
        <w:gridCol w:w="612"/>
        <w:gridCol w:w="846"/>
        <w:gridCol w:w="731"/>
        <w:gridCol w:w="731"/>
        <w:gridCol w:w="4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184"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kern w:val="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81"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202" w:type="dxa"/>
            <w:gridSpan w:val="9"/>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51320023T000008003834-阿坝州社会信用信息平台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981"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405"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6" w:type="dxa"/>
            <w:tcBorders>
              <w:top w:val="nil"/>
              <w:left w:val="nil"/>
              <w:bottom w:val="nil"/>
              <w:right w:val="nil"/>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1918"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921" w:type="dxa"/>
            <w:vMerge w:val="restart"/>
            <w:tcBorders>
              <w:top w:val="nil"/>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405"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764" w:type="dxa"/>
            <w:gridSpan w:val="4"/>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858" w:type="dxa"/>
            <w:vMerge w:val="continue"/>
            <w:tcBorders>
              <w:top w:val="nil"/>
              <w:left w:val="nil"/>
              <w:bottom w:val="single" w:color="000000" w:sz="4" w:space="0"/>
              <w:right w:val="single" w:color="000000" w:sz="4" w:space="0"/>
            </w:tcBorders>
            <w:vAlign w:val="center"/>
          </w:tcPr>
          <w:p/>
        </w:tc>
        <w:tc>
          <w:tcPr>
            <w:tcW w:w="4405"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紧抓“十四五”发展机遇，围绕营商环境优化、数字经济健康发展等国家战略，深入贯彻落实国家、省、州关于社会信用体系建设工作的决策部署，结合阿坝州实际，对标先进，从基础能力建设、应用支撑扩能、信用应用创新、综合服务增效等四大方面，高标准推进阿坝社会信用建设向精细化、智慧化发展，打响“信用阿坝”名片，助力阿坝州社会信用体系建设水平全面提升，以信用支撑阿坝全方位推动高质量发展。</w:t>
            </w:r>
          </w:p>
        </w:tc>
        <w:tc>
          <w:tcPr>
            <w:tcW w:w="2764" w:type="dxa"/>
            <w:gridSpan w:val="4"/>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202" w:type="dxa"/>
            <w:gridSpan w:val="9"/>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该项目为2023年结转项目，按照合同约定剩余资金于2024年支付，项目建设服务内容已于2023年完成。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72"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1575"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权重</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得分</w:t>
            </w:r>
          </w:p>
        </w:tc>
        <w:tc>
          <w:tcPr>
            <w:tcW w:w="42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总额</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194.00</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70.23</w:t>
            </w:r>
          </w:p>
        </w:tc>
        <w:tc>
          <w:tcPr>
            <w:tcW w:w="1575"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70.23</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100.00%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vMerge w:val="restart"/>
            <w:tcBorders>
              <w:top w:val="nil"/>
              <w:left w:val="nil"/>
              <w:bottom w:val="single" w:color="000000" w:sz="4" w:space="0"/>
              <w:right w:val="single" w:color="000000" w:sz="4" w:space="0"/>
            </w:tcBorders>
            <w:vAlign w:val="center"/>
          </w:tcPr>
          <w:p>
            <w:pPr>
              <w:autoSpaceDE w:val="0"/>
              <w:spacing w:line="20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194.00</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70.23</w:t>
            </w:r>
          </w:p>
        </w:tc>
        <w:tc>
          <w:tcPr>
            <w:tcW w:w="1575"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70.23</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100.00%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575"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575"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229"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1788"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1575" w:type="dxa"/>
            <w:gridSpan w:val="3"/>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4"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2"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4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52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指标值</w:t>
            </w:r>
          </w:p>
        </w:tc>
        <w:tc>
          <w:tcPr>
            <w:tcW w:w="62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权重</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得分</w:t>
            </w:r>
          </w:p>
        </w:tc>
        <w:tc>
          <w:tcPr>
            <w:tcW w:w="42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921" w:type="dxa"/>
            <w:vMerge w:val="restart"/>
            <w:tcBorders>
              <w:top w:val="nil"/>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服务人员数量</w:t>
            </w:r>
          </w:p>
        </w:tc>
        <w:tc>
          <w:tcPr>
            <w:tcW w:w="4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2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3</w:t>
            </w:r>
          </w:p>
        </w:tc>
        <w:tc>
          <w:tcPr>
            <w:tcW w:w="62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人</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858" w:type="dxa"/>
            <w:vMerge w:val="continue"/>
            <w:tcBorders>
              <w:top w:val="nil"/>
              <w:left w:val="nil"/>
              <w:bottom w:val="single" w:color="000000" w:sz="4" w:space="0"/>
              <w:right w:val="single" w:color="000000" w:sz="4" w:space="0"/>
            </w:tcBorders>
            <w:vAlign w:val="center"/>
          </w:tcP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质量指标</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社会信用信息相关应用达标率</w:t>
            </w:r>
          </w:p>
        </w:tc>
        <w:tc>
          <w:tcPr>
            <w:tcW w:w="4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2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98</w:t>
            </w:r>
          </w:p>
        </w:tc>
        <w:tc>
          <w:tcPr>
            <w:tcW w:w="62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858" w:type="dxa"/>
            <w:vMerge w:val="continue"/>
            <w:tcBorders>
              <w:top w:val="nil"/>
              <w:left w:val="nil"/>
              <w:bottom w:val="single" w:color="000000" w:sz="4" w:space="0"/>
              <w:right w:val="single" w:color="000000" w:sz="4" w:space="0"/>
            </w:tcBorders>
            <w:vAlign w:val="center"/>
          </w:tcPr>
          <w:p/>
        </w:tc>
        <w:tc>
          <w:tcPr>
            <w:tcW w:w="1229" w:type="dxa"/>
            <w:vMerge w:val="restart"/>
            <w:tcBorders>
              <w:top w:val="nil"/>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响应时间</w:t>
            </w:r>
          </w:p>
        </w:tc>
        <w:tc>
          <w:tcPr>
            <w:tcW w:w="4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2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30</w:t>
            </w:r>
          </w:p>
        </w:tc>
        <w:tc>
          <w:tcPr>
            <w:tcW w:w="62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分钟</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858" w:type="dxa"/>
            <w:vMerge w:val="continue"/>
            <w:tcBorders>
              <w:top w:val="nil"/>
              <w:left w:val="nil"/>
              <w:bottom w:val="single" w:color="000000" w:sz="4" w:space="0"/>
              <w:right w:val="single" w:color="000000" w:sz="4" w:space="0"/>
            </w:tcBorders>
            <w:vAlign w:val="center"/>
          </w:tcPr>
          <w:p/>
        </w:tc>
        <w:tc>
          <w:tcPr>
            <w:tcW w:w="1327" w:type="dxa"/>
            <w:vMerge w:val="continue"/>
            <w:tcBorders>
              <w:top w:val="nil"/>
              <w:left w:val="nil"/>
              <w:bottom w:val="single" w:color="000000" w:sz="4" w:space="0"/>
              <w:right w:val="single" w:color="000000" w:sz="4" w:space="0"/>
            </w:tcBorders>
            <w:vAlign w:val="center"/>
          </w:tcP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服务周期</w:t>
            </w:r>
          </w:p>
        </w:tc>
        <w:tc>
          <w:tcPr>
            <w:tcW w:w="4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2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w:t>
            </w:r>
          </w:p>
        </w:tc>
        <w:tc>
          <w:tcPr>
            <w:tcW w:w="62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提升阿坝州社会信用体系建设水平</w:t>
            </w:r>
          </w:p>
        </w:tc>
        <w:tc>
          <w:tcPr>
            <w:tcW w:w="4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定性</w:t>
            </w:r>
          </w:p>
        </w:tc>
        <w:tc>
          <w:tcPr>
            <w:tcW w:w="52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显著提升</w:t>
            </w:r>
          </w:p>
        </w:tc>
        <w:tc>
          <w:tcPr>
            <w:tcW w:w="622"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42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服务对象满意度</w:t>
            </w:r>
          </w:p>
        </w:tc>
        <w:tc>
          <w:tcPr>
            <w:tcW w:w="4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2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90</w:t>
            </w:r>
          </w:p>
        </w:tc>
        <w:tc>
          <w:tcPr>
            <w:tcW w:w="62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2" w:type="dxa"/>
            <w:vMerge w:val="continue"/>
            <w:tcBorders>
              <w:top w:val="nil"/>
              <w:left w:val="single" w:color="000000" w:sz="4" w:space="0"/>
              <w:bottom w:val="single" w:color="000000" w:sz="4" w:space="0"/>
              <w:right w:val="single" w:color="000000" w:sz="4" w:space="0"/>
            </w:tcBorders>
            <w:vAlign w:val="center"/>
          </w:tcPr>
          <w:p/>
        </w:tc>
        <w:tc>
          <w:tcPr>
            <w:tcW w:w="921"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成本指标</w:t>
            </w:r>
          </w:p>
        </w:tc>
        <w:tc>
          <w:tcPr>
            <w:tcW w:w="1229"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经济成本指标</w:t>
            </w:r>
          </w:p>
        </w:tc>
        <w:tc>
          <w:tcPr>
            <w:tcW w:w="178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平台运行维护成本</w:t>
            </w:r>
          </w:p>
        </w:tc>
        <w:tc>
          <w:tcPr>
            <w:tcW w:w="428"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25"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194</w:t>
            </w:r>
          </w:p>
        </w:tc>
        <w:tc>
          <w:tcPr>
            <w:tcW w:w="62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万元</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4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42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20"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合计</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w:t>
            </w:r>
          </w:p>
        </w:tc>
        <w:tc>
          <w:tcPr>
            <w:tcW w:w="1494" w:type="dxa"/>
            <w:gridSpan w:val="2"/>
            <w:tcBorders>
              <w:top w:val="single" w:color="000000" w:sz="4" w:space="0"/>
              <w:left w:val="nil"/>
              <w:bottom w:val="single" w:color="000000" w:sz="4" w:space="0"/>
              <w:right w:val="single" w:color="000000" w:sz="4" w:space="0"/>
            </w:tcBorders>
            <w:vAlign w:val="center"/>
          </w:tcPr>
          <w:p>
            <w:pPr>
              <w:widowControl/>
              <w:autoSpaceDE w:val="0"/>
              <w:spacing w:line="200" w:lineRule="exact"/>
              <w:jc w:val="right"/>
              <w:textAlignment w:val="center"/>
              <w:rPr>
                <w:rFonts w:ascii="宋体"/>
                <w:color w:val="000000"/>
                <w:sz w:val="18"/>
                <w:szCs w:val="18"/>
              </w:rPr>
            </w:pPr>
            <w:r>
              <w:rPr>
                <w:rFonts w:hint="eastAsia" w:ascii="宋体"/>
                <w:color w:val="000000"/>
                <w:kern w:val="0"/>
                <w:sz w:val="18"/>
                <w:szCs w:val="18"/>
              </w:rPr>
              <w:t>100</w:t>
            </w:r>
          </w:p>
        </w:tc>
        <w:tc>
          <w:tcPr>
            <w:tcW w:w="424" w:type="dxa"/>
            <w:tcBorders>
              <w:top w:val="single" w:color="000000" w:sz="4" w:space="0"/>
              <w:left w:val="nil"/>
              <w:bottom w:val="single" w:color="000000" w:sz="4" w:space="0"/>
              <w:right w:val="single" w:color="000000" w:sz="4" w:space="0"/>
            </w:tcBorders>
            <w:vAlign w:val="center"/>
          </w:tcPr>
          <w:p>
            <w:pPr>
              <w:autoSpaceDE w:val="0"/>
              <w:spacing w:line="20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2"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312"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2"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312"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2"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312"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273"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3911" w:type="dxa"/>
            <w:gridSpan w:val="6"/>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r>
        <w:br w:type="page"/>
      </w:r>
    </w:p>
    <w:p>
      <w:pPr>
        <w:pStyle w:val="2"/>
      </w:pPr>
      <w:r>
        <w:t xml:space="preserve"> </w:t>
      </w:r>
    </w:p>
    <w:tbl>
      <w:tblPr>
        <w:tblStyle w:val="13"/>
        <w:tblW w:w="91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5"/>
        <w:gridCol w:w="841"/>
        <w:gridCol w:w="1524"/>
        <w:gridCol w:w="1830"/>
        <w:gridCol w:w="491"/>
        <w:gridCol w:w="615"/>
        <w:gridCol w:w="272"/>
        <w:gridCol w:w="846"/>
        <w:gridCol w:w="744"/>
        <w:gridCol w:w="744"/>
        <w:gridCol w:w="4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183"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kern w:val="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96"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487" w:type="dxa"/>
            <w:gridSpan w:val="9"/>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51320023T000008018297-阿坝州政府系统视频调度指挥中心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96"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731" w:type="dxa"/>
            <w:gridSpan w:val="5"/>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6" w:type="dxa"/>
            <w:tcBorders>
              <w:top w:val="nil"/>
              <w:left w:val="nil"/>
              <w:bottom w:val="nil"/>
              <w:right w:val="nil"/>
            </w:tcBorders>
            <w:vAlign w:val="center"/>
          </w:tcPr>
          <w:p>
            <w:pPr>
              <w:widowControl/>
              <w:autoSpaceDE w:val="0"/>
              <w:spacing w:line="22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1910"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5" w:type="dxa"/>
            <w:vMerge w:val="restart"/>
            <w:tcBorders>
              <w:top w:val="nil"/>
              <w:left w:val="single" w:color="000000" w:sz="4" w:space="0"/>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841" w:type="dxa"/>
            <w:vMerge w:val="restart"/>
            <w:tcBorders>
              <w:top w:val="nil"/>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731" w:type="dxa"/>
            <w:gridSpan w:val="5"/>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756" w:type="dxa"/>
            <w:gridSpan w:val="4"/>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vMerge w:val="continue"/>
            <w:tcBorders>
              <w:top w:val="nil"/>
              <w:left w:val="nil"/>
              <w:bottom w:val="single" w:color="000000" w:sz="4" w:space="0"/>
              <w:right w:val="single" w:color="000000" w:sz="4" w:space="0"/>
            </w:tcBorders>
            <w:vAlign w:val="center"/>
          </w:tcPr>
          <w:p/>
        </w:tc>
        <w:tc>
          <w:tcPr>
            <w:tcW w:w="4731" w:type="dxa"/>
            <w:gridSpan w:val="5"/>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打造阿坝州政府统一的调度指挥中心，根据州政府办公室安排，州大数据中心拟依托现有基础资源，建设以信息技术为主导，现代通讯、多网融合、自动化、电子监控等先进技术为支撑，集指挥调度、视频会议、日常监管、图像监控等多种功能于一体的现代化、网络化、智能化的阿坝州政府指挥调度中心。</w:t>
            </w:r>
          </w:p>
        </w:tc>
        <w:tc>
          <w:tcPr>
            <w:tcW w:w="2756" w:type="dxa"/>
            <w:gridSpan w:val="4"/>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487" w:type="dxa"/>
            <w:gridSpan w:val="9"/>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宋体"/>
                <w:color w:val="000000"/>
                <w:sz w:val="18"/>
                <w:szCs w:val="18"/>
              </w:rPr>
            </w:pPr>
            <w:r>
              <w:rPr>
                <w:rStyle w:val="22"/>
              </w:rPr>
              <w:t>该项目为2023年结转项目，按照合同约定剩余质保金于2024年支付，项目相关建设内容已于2023年完成。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55" w:type="dxa"/>
            <w:vMerge w:val="restart"/>
            <w:tcBorders>
              <w:top w:val="nil"/>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84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1378" w:type="dxa"/>
            <w:gridSpan w:val="3"/>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权重</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得分</w:t>
            </w:r>
          </w:p>
        </w:tc>
        <w:tc>
          <w:tcPr>
            <w:tcW w:w="42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总额</w:t>
            </w: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12.64</w:t>
            </w:r>
          </w:p>
        </w:tc>
        <w:tc>
          <w:tcPr>
            <w:tcW w:w="1378" w:type="dxa"/>
            <w:gridSpan w:val="3"/>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12.64</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422" w:type="dxa"/>
            <w:vMerge w:val="restart"/>
            <w:tcBorders>
              <w:top w:val="nil"/>
              <w:left w:val="nil"/>
              <w:bottom w:val="single" w:color="000000" w:sz="4" w:space="0"/>
              <w:right w:val="single" w:color="000000" w:sz="4" w:space="0"/>
            </w:tcBorders>
            <w:vAlign w:val="center"/>
          </w:tcPr>
          <w:p>
            <w:pPr>
              <w:autoSpaceDE w:val="0"/>
              <w:spacing w:line="22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12.64</w:t>
            </w:r>
          </w:p>
        </w:tc>
        <w:tc>
          <w:tcPr>
            <w:tcW w:w="1378" w:type="dxa"/>
            <w:gridSpan w:val="3"/>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12.64</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22"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1378" w:type="dxa"/>
            <w:gridSpan w:val="3"/>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22"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1378" w:type="dxa"/>
            <w:gridSpan w:val="3"/>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22"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524"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1830"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1378" w:type="dxa"/>
            <w:gridSpan w:val="3"/>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422"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55" w:type="dxa"/>
            <w:vMerge w:val="restart"/>
            <w:tcBorders>
              <w:top w:val="nil"/>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84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49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61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指标值</w:t>
            </w:r>
          </w:p>
        </w:tc>
        <w:tc>
          <w:tcPr>
            <w:tcW w:w="27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权重</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得分</w:t>
            </w:r>
          </w:p>
        </w:tc>
        <w:tc>
          <w:tcPr>
            <w:tcW w:w="42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vMerge w:val="restart"/>
            <w:tcBorders>
              <w:top w:val="nil"/>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完成指挥调度中心建设</w:t>
            </w:r>
          </w:p>
        </w:tc>
        <w:tc>
          <w:tcPr>
            <w:tcW w:w="49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61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w:t>
            </w:r>
          </w:p>
        </w:tc>
        <w:tc>
          <w:tcPr>
            <w:tcW w:w="27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套</w:t>
            </w:r>
          </w:p>
        </w:tc>
        <w:tc>
          <w:tcPr>
            <w:tcW w:w="846"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422"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vMerge w:val="continue"/>
            <w:tcBorders>
              <w:top w:val="nil"/>
              <w:left w:val="nil"/>
              <w:bottom w:val="single" w:color="000000" w:sz="4" w:space="0"/>
              <w:right w:val="single" w:color="000000" w:sz="4" w:space="0"/>
            </w:tcBorders>
            <w:vAlign w:val="center"/>
          </w:tcP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质量指标</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项目完成合格率</w:t>
            </w:r>
          </w:p>
        </w:tc>
        <w:tc>
          <w:tcPr>
            <w:tcW w:w="49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61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100</w:t>
            </w:r>
          </w:p>
        </w:tc>
        <w:tc>
          <w:tcPr>
            <w:tcW w:w="27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422"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vMerge w:val="continue"/>
            <w:tcBorders>
              <w:top w:val="nil"/>
              <w:left w:val="nil"/>
              <w:bottom w:val="single" w:color="000000" w:sz="4" w:space="0"/>
              <w:right w:val="single" w:color="000000" w:sz="4" w:space="0"/>
            </w:tcBorders>
            <w:vAlign w:val="center"/>
          </w:tcP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项目完成时间</w:t>
            </w:r>
          </w:p>
        </w:tc>
        <w:tc>
          <w:tcPr>
            <w:tcW w:w="49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定性</w:t>
            </w:r>
          </w:p>
        </w:tc>
        <w:tc>
          <w:tcPr>
            <w:tcW w:w="61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12月前</w:t>
            </w:r>
          </w:p>
        </w:tc>
        <w:tc>
          <w:tcPr>
            <w:tcW w:w="272"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422"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提升应急指挥调度效率</w:t>
            </w:r>
          </w:p>
        </w:tc>
        <w:tc>
          <w:tcPr>
            <w:tcW w:w="49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定性</w:t>
            </w:r>
          </w:p>
        </w:tc>
        <w:tc>
          <w:tcPr>
            <w:tcW w:w="61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显著提升应急调度指挥水平</w:t>
            </w:r>
          </w:p>
        </w:tc>
        <w:tc>
          <w:tcPr>
            <w:tcW w:w="272"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20</w:t>
            </w:r>
          </w:p>
        </w:tc>
        <w:tc>
          <w:tcPr>
            <w:tcW w:w="422"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55" w:type="dxa"/>
            <w:vMerge w:val="continue"/>
            <w:tcBorders>
              <w:top w:val="nil"/>
              <w:left w:val="single" w:color="000000" w:sz="4" w:space="0"/>
              <w:bottom w:val="single" w:color="000000" w:sz="4" w:space="0"/>
              <w:right w:val="single" w:color="000000" w:sz="4" w:space="0"/>
            </w:tcBorders>
            <w:vAlign w:val="center"/>
          </w:tcPr>
          <w:p/>
        </w:tc>
        <w:tc>
          <w:tcPr>
            <w:tcW w:w="84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52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830"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服务对象满意度</w:t>
            </w:r>
          </w:p>
        </w:tc>
        <w:tc>
          <w:tcPr>
            <w:tcW w:w="491"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615"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98</w:t>
            </w:r>
          </w:p>
        </w:tc>
        <w:tc>
          <w:tcPr>
            <w:tcW w:w="272"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w:t>
            </w:r>
          </w:p>
        </w:tc>
        <w:tc>
          <w:tcPr>
            <w:tcW w:w="422" w:type="dxa"/>
            <w:tcBorders>
              <w:top w:val="single" w:color="000000" w:sz="4" w:space="0"/>
              <w:left w:val="nil"/>
              <w:bottom w:val="single" w:color="000000" w:sz="4" w:space="0"/>
              <w:right w:val="single" w:color="000000" w:sz="4" w:space="0"/>
            </w:tcBorders>
            <w:vAlign w:val="center"/>
          </w:tcPr>
          <w:p>
            <w:pPr>
              <w:autoSpaceDE w:val="0"/>
              <w:spacing w:line="22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26"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合计</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100</w:t>
            </w:r>
          </w:p>
        </w:tc>
        <w:tc>
          <w:tcPr>
            <w:tcW w:w="1488" w:type="dxa"/>
            <w:gridSpan w:val="2"/>
            <w:tcBorders>
              <w:top w:val="single" w:color="000000" w:sz="4" w:space="0"/>
              <w:left w:val="nil"/>
              <w:bottom w:val="single" w:color="000000" w:sz="4" w:space="0"/>
              <w:right w:val="single" w:color="000000" w:sz="4" w:space="0"/>
            </w:tcBorders>
            <w:vAlign w:val="center"/>
          </w:tcPr>
          <w:p>
            <w:pPr>
              <w:widowControl/>
              <w:autoSpaceDE w:val="0"/>
              <w:spacing w:line="220" w:lineRule="exact"/>
              <w:jc w:val="right"/>
              <w:textAlignment w:val="center"/>
              <w:rPr>
                <w:rFonts w:ascii="宋体"/>
                <w:color w:val="000000"/>
                <w:sz w:val="18"/>
                <w:szCs w:val="18"/>
              </w:rPr>
            </w:pPr>
            <w:r>
              <w:rPr>
                <w:rFonts w:hint="eastAsia" w:ascii="宋体"/>
                <w:color w:val="000000"/>
                <w:kern w:val="0"/>
                <w:sz w:val="18"/>
                <w:szCs w:val="18"/>
              </w:rPr>
              <w:t>100</w:t>
            </w:r>
          </w:p>
        </w:tc>
        <w:tc>
          <w:tcPr>
            <w:tcW w:w="422" w:type="dxa"/>
            <w:tcBorders>
              <w:top w:val="single" w:color="000000" w:sz="4" w:space="0"/>
              <w:left w:val="nil"/>
              <w:bottom w:val="single" w:color="000000" w:sz="4" w:space="0"/>
              <w:right w:val="single" w:color="000000" w:sz="4" w:space="0"/>
            </w:tcBorders>
            <w:vAlign w:val="center"/>
          </w:tcPr>
          <w:p>
            <w:pPr>
              <w:autoSpaceDE w:val="0"/>
              <w:spacing w:line="22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5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328" w:type="dxa"/>
            <w:gridSpan w:val="10"/>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5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328" w:type="dxa"/>
            <w:gridSpan w:val="10"/>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5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328" w:type="dxa"/>
            <w:gridSpan w:val="10"/>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40"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2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3643" w:type="dxa"/>
            <w:gridSpan w:val="6"/>
            <w:tcBorders>
              <w:top w:val="single" w:color="000000" w:sz="4" w:space="0"/>
              <w:left w:val="nil"/>
              <w:bottom w:val="single" w:color="000000" w:sz="4" w:space="0"/>
              <w:right w:val="single" w:color="000000" w:sz="4" w:space="0"/>
            </w:tcBorders>
            <w:vAlign w:val="center"/>
          </w:tcPr>
          <w:p>
            <w:pPr>
              <w:widowControl/>
              <w:autoSpaceDE w:val="0"/>
              <w:spacing w:line="22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p>
      <w:pPr>
        <w:pStyle w:val="2"/>
      </w:pPr>
      <w:r>
        <w:t xml:space="preserve"> </w:t>
      </w:r>
    </w:p>
    <w:tbl>
      <w:tblPr>
        <w:tblStyle w:val="13"/>
        <w:tblW w:w="91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5"/>
        <w:gridCol w:w="833"/>
        <w:gridCol w:w="1533"/>
        <w:gridCol w:w="1837"/>
        <w:gridCol w:w="493"/>
        <w:gridCol w:w="584"/>
        <w:gridCol w:w="305"/>
        <w:gridCol w:w="846"/>
        <w:gridCol w:w="744"/>
        <w:gridCol w:w="744"/>
        <w:gridCol w:w="4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9184" w:type="dxa"/>
            <w:gridSpan w:val="11"/>
            <w:tcBorders>
              <w:top w:val="single" w:color="000000" w:sz="4" w:space="0"/>
              <w:left w:val="single" w:color="000000" w:sz="4" w:space="0"/>
              <w:bottom w:val="single" w:color="000000" w:sz="4" w:space="0"/>
              <w:right w:val="single" w:color="000000" w:sz="4" w:space="0"/>
            </w:tcBorders>
            <w:vAlign w:val="center"/>
          </w:tcPr>
          <w:p>
            <w:pPr>
              <w:widowControl/>
              <w:autoSpaceDE w:val="0"/>
              <w:spacing w:line="400" w:lineRule="exact"/>
              <w:jc w:val="center"/>
              <w:textAlignment w:val="center"/>
              <w:rPr>
                <w:rFonts w:ascii="黑体" w:eastAsia="黑体"/>
                <w:b/>
                <w:bCs/>
                <w:color w:val="000000"/>
                <w:kern w:val="0"/>
                <w:sz w:val="30"/>
                <w:szCs w:val="30"/>
              </w:rPr>
            </w:pPr>
            <w:r>
              <w:rPr>
                <w:rFonts w:hint="eastAsia" w:ascii="黑体" w:eastAsia="黑体"/>
                <w:b/>
                <w:bCs/>
                <w:color w:val="000000"/>
                <w:kern w:val="0"/>
                <w:sz w:val="30"/>
                <w:szCs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78"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项目名称</w:t>
            </w:r>
          </w:p>
        </w:tc>
        <w:tc>
          <w:tcPr>
            <w:tcW w:w="7506" w:type="dxa"/>
            <w:gridSpan w:val="9"/>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51320025T000012186214-州集约化平台与政府网站一体化运维服务尾款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78" w:type="dxa"/>
            <w:gridSpan w:val="2"/>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主管部门</w:t>
            </w:r>
          </w:p>
        </w:tc>
        <w:tc>
          <w:tcPr>
            <w:tcW w:w="4752"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州政府办公室部门</w:t>
            </w:r>
          </w:p>
        </w:tc>
        <w:tc>
          <w:tcPr>
            <w:tcW w:w="846" w:type="dxa"/>
            <w:tcBorders>
              <w:top w:val="nil"/>
              <w:left w:val="nil"/>
              <w:bottom w:val="nil"/>
              <w:right w:val="nil"/>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实施单位 （盖章）</w:t>
            </w:r>
          </w:p>
        </w:tc>
        <w:tc>
          <w:tcPr>
            <w:tcW w:w="1909" w:type="dxa"/>
            <w:gridSpan w:val="3"/>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州政府电子政务服务中心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5"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项目基本情况</w:t>
            </w:r>
          </w:p>
        </w:tc>
        <w:tc>
          <w:tcPr>
            <w:tcW w:w="833" w:type="dxa"/>
            <w:vMerge w:val="restart"/>
            <w:tcBorders>
              <w:top w:val="nil"/>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1.项目年度目标完成情况</w:t>
            </w:r>
          </w:p>
        </w:tc>
        <w:tc>
          <w:tcPr>
            <w:tcW w:w="4752"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项目年度目标</w:t>
            </w:r>
          </w:p>
        </w:tc>
        <w:tc>
          <w:tcPr>
            <w:tcW w:w="2755" w:type="dxa"/>
            <w:gridSpan w:val="4"/>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黑体" w:eastAsia="黑体"/>
                <w:color w:val="000000"/>
                <w:sz w:val="18"/>
                <w:szCs w:val="18"/>
              </w:rPr>
            </w:pPr>
            <w:r>
              <w:rPr>
                <w:rFonts w:hint="eastAsia" w:ascii="黑体" w:eastAsia="黑体"/>
                <w:color w:val="000000"/>
                <w:kern w:val="0"/>
                <w:sz w:val="18"/>
                <w:szCs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2" w:type="dxa"/>
            <w:vMerge w:val="continue"/>
            <w:tcBorders>
              <w:top w:val="nil"/>
              <w:left w:val="nil"/>
              <w:bottom w:val="single" w:color="000000" w:sz="4" w:space="0"/>
              <w:right w:val="single" w:color="000000" w:sz="4" w:space="0"/>
            </w:tcBorders>
            <w:vAlign w:val="center"/>
          </w:tcPr>
          <w:p/>
        </w:tc>
        <w:tc>
          <w:tcPr>
            <w:tcW w:w="4752" w:type="dxa"/>
            <w:gridSpan w:val="5"/>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为保障阿坝州集约化平台及运行在集约化平台上的所有政府网站持续稳定运行，结合网站工作及系统建设实际情况和2021年政府对政府部门网站的绩效评估要求，提高阿坝州集约化平台及阿坝州政府网站质量水平、服务效率。</w:t>
            </w:r>
          </w:p>
        </w:tc>
        <w:tc>
          <w:tcPr>
            <w:tcW w:w="2755" w:type="dxa"/>
            <w:gridSpan w:val="4"/>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已按年度目标完成。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2.项目实施内容及过程概述</w:t>
            </w:r>
          </w:p>
        </w:tc>
        <w:tc>
          <w:tcPr>
            <w:tcW w:w="7506" w:type="dxa"/>
            <w:gridSpan w:val="9"/>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宋体"/>
                <w:color w:val="000000"/>
                <w:sz w:val="18"/>
                <w:szCs w:val="18"/>
              </w:rPr>
            </w:pPr>
            <w:r>
              <w:rPr>
                <w:rFonts w:hint="eastAsia" w:ascii="宋体"/>
                <w:color w:val="000000"/>
                <w:kern w:val="0"/>
                <w:sz w:val="18"/>
                <w:szCs w:val="18"/>
              </w:rPr>
              <w:t>为2023年结转项目，已按合同约定完成阿坝州集约化平台及运行在集约化平台上的所有政府网站运维服务等工作。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5"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预算执行情况（10分）</w:t>
            </w:r>
          </w:p>
        </w:tc>
        <w:tc>
          <w:tcPr>
            <w:tcW w:w="8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年度预算数（万元）</w:t>
            </w: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年初预算</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调整后预算数</w:t>
            </w:r>
          </w:p>
        </w:tc>
        <w:tc>
          <w:tcPr>
            <w:tcW w:w="1382"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预算执行数</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预算执行率</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权重</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得分</w:t>
            </w:r>
          </w:p>
        </w:tc>
        <w:tc>
          <w:tcPr>
            <w:tcW w:w="42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总额</w:t>
            </w: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110.34</w:t>
            </w:r>
          </w:p>
        </w:tc>
        <w:tc>
          <w:tcPr>
            <w:tcW w:w="1382"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110.34</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2" w:type="dxa"/>
            <w:vMerge w:val="restart"/>
            <w:tcBorders>
              <w:top w:val="nil"/>
              <w:left w:val="nil"/>
              <w:bottom w:val="single" w:color="000000" w:sz="4" w:space="0"/>
              <w:right w:val="single" w:color="000000" w:sz="4" w:space="0"/>
            </w:tcBorders>
            <w:vAlign w:val="center"/>
          </w:tcPr>
          <w:p>
            <w:pPr>
              <w:autoSpaceDE w:val="0"/>
              <w:spacing w:line="200" w:lineRule="exact"/>
              <w:rPr>
                <w:rFonts w:ascii="黑体" w:eastAsia="黑体"/>
                <w:i/>
                <w:iCs/>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其中：财政资金</w:t>
            </w: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110.34</w:t>
            </w:r>
          </w:p>
        </w:tc>
        <w:tc>
          <w:tcPr>
            <w:tcW w:w="1382"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110.34</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2"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财政专户管理资金</w:t>
            </w: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382"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2"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单位资金</w:t>
            </w: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1382" w:type="dxa"/>
            <w:gridSpan w:val="3"/>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0.00%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2"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其他资金</w:t>
            </w:r>
          </w:p>
        </w:tc>
        <w:tc>
          <w:tcPr>
            <w:tcW w:w="1533"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1837"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1382" w:type="dxa"/>
            <w:gridSpan w:val="3"/>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422" w:type="dxa"/>
            <w:vMerge w:val="continue"/>
            <w:tcBorders>
              <w:top w:val="nil"/>
              <w:left w:val="nil"/>
              <w:bottom w:val="single" w:color="000000" w:sz="4" w:space="0"/>
              <w:right w:val="single" w:color="000000"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5" w:type="dxa"/>
            <w:vMerge w:val="restart"/>
            <w:tcBorders>
              <w:top w:val="nil"/>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绩效指标（90分）</w:t>
            </w:r>
          </w:p>
        </w:tc>
        <w:tc>
          <w:tcPr>
            <w:tcW w:w="8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一级指标</w:t>
            </w: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二级指标</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三级指标</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指标性质</w:t>
            </w:r>
          </w:p>
        </w:tc>
        <w:tc>
          <w:tcPr>
            <w:tcW w:w="58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指标值</w:t>
            </w:r>
          </w:p>
        </w:tc>
        <w:tc>
          <w:tcPr>
            <w:tcW w:w="3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度量单位</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完成值</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权重</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得分</w:t>
            </w:r>
          </w:p>
        </w:tc>
        <w:tc>
          <w:tcPr>
            <w:tcW w:w="422"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3" w:type="dxa"/>
            <w:vMerge w:val="restart"/>
            <w:tcBorders>
              <w:top w:val="nil"/>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产出指标</w:t>
            </w: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数量指标</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覆盖单位数量</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8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75</w:t>
            </w:r>
          </w:p>
        </w:tc>
        <w:tc>
          <w:tcPr>
            <w:tcW w:w="3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个</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422"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2" w:type="dxa"/>
            <w:vMerge w:val="continue"/>
            <w:tcBorders>
              <w:top w:val="nil"/>
              <w:left w:val="nil"/>
              <w:bottom w:val="single" w:color="000000" w:sz="4" w:space="0"/>
              <w:right w:val="single" w:color="000000" w:sz="4" w:space="0"/>
            </w:tcBorders>
            <w:vAlign w:val="center"/>
          </w:tcP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质量指标</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网页内容合格率</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8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99</w:t>
            </w:r>
          </w:p>
        </w:tc>
        <w:tc>
          <w:tcPr>
            <w:tcW w:w="3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422"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2" w:type="dxa"/>
            <w:vMerge w:val="continue"/>
            <w:tcBorders>
              <w:top w:val="nil"/>
              <w:left w:val="nil"/>
              <w:bottom w:val="single" w:color="000000" w:sz="4" w:space="0"/>
              <w:right w:val="single" w:color="000000" w:sz="4" w:space="0"/>
            </w:tcBorders>
            <w:vAlign w:val="center"/>
          </w:tcP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时效指标</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项目完成时间</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定性</w:t>
            </w:r>
          </w:p>
        </w:tc>
        <w:tc>
          <w:tcPr>
            <w:tcW w:w="58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合同约定期限内</w:t>
            </w:r>
          </w:p>
        </w:tc>
        <w:tc>
          <w:tcPr>
            <w:tcW w:w="30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422"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效益指标</w:t>
            </w: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社会效益指标</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提升政府工作透明度、提升公信力</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定性</w:t>
            </w:r>
          </w:p>
        </w:tc>
        <w:tc>
          <w:tcPr>
            <w:tcW w:w="58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显著提升政府公信力</w:t>
            </w:r>
          </w:p>
        </w:tc>
        <w:tc>
          <w:tcPr>
            <w:tcW w:w="304"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宋体"/>
                <w:color w:val="000000"/>
                <w:sz w:val="18"/>
                <w:szCs w:val="18"/>
              </w:rPr>
            </w:pP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20</w:t>
            </w:r>
          </w:p>
        </w:tc>
        <w:tc>
          <w:tcPr>
            <w:tcW w:w="422"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5" w:type="dxa"/>
            <w:vMerge w:val="continue"/>
            <w:tcBorders>
              <w:top w:val="nil"/>
              <w:left w:val="single" w:color="000000" w:sz="4" w:space="0"/>
              <w:bottom w:val="single" w:color="000000" w:sz="4" w:space="0"/>
              <w:right w:val="single" w:color="000000" w:sz="4" w:space="0"/>
            </w:tcBorders>
            <w:vAlign w:val="center"/>
          </w:tcPr>
          <w:p/>
        </w:tc>
        <w:tc>
          <w:tcPr>
            <w:tcW w:w="8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满意度指标</w:t>
            </w:r>
          </w:p>
        </w:tc>
        <w:tc>
          <w:tcPr>
            <w:tcW w:w="153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服务对象满意度指标</w:t>
            </w:r>
          </w:p>
        </w:tc>
        <w:tc>
          <w:tcPr>
            <w:tcW w:w="1837"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服务对象满意度</w:t>
            </w:r>
          </w:p>
        </w:tc>
        <w:tc>
          <w:tcPr>
            <w:tcW w:w="493"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58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95</w:t>
            </w:r>
          </w:p>
        </w:tc>
        <w:tc>
          <w:tcPr>
            <w:tcW w:w="30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w:t>
            </w:r>
          </w:p>
        </w:tc>
        <w:tc>
          <w:tcPr>
            <w:tcW w:w="846"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744"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w:t>
            </w:r>
          </w:p>
        </w:tc>
        <w:tc>
          <w:tcPr>
            <w:tcW w:w="422" w:type="dxa"/>
            <w:tcBorders>
              <w:top w:val="single" w:color="000000" w:sz="4" w:space="0"/>
              <w:left w:val="nil"/>
              <w:bottom w:val="single" w:color="000000" w:sz="4" w:space="0"/>
              <w:right w:val="single" w:color="000000" w:sz="4" w:space="0"/>
            </w:tcBorders>
            <w:vAlign w:val="center"/>
          </w:tcPr>
          <w:p>
            <w:pPr>
              <w:autoSpaceDE w:val="0"/>
              <w:spacing w:line="200" w:lineRule="exact"/>
              <w:jc w:val="center"/>
              <w:rPr>
                <w:rFonts w:ascii="微软雅黑" w:eastAsia="微软雅黑"/>
                <w:i/>
                <w:iCs/>
                <w:color w:val="000000"/>
                <w:sz w:val="16"/>
                <w:szCs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429" w:type="dxa"/>
            <w:gridSpan w:val="7"/>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合计</w:t>
            </w:r>
          </w:p>
        </w:tc>
        <w:tc>
          <w:tcPr>
            <w:tcW w:w="846" w:type="dxa"/>
            <w:tcBorders>
              <w:top w:val="single" w:color="000000" w:sz="4" w:space="0"/>
              <w:left w:val="nil"/>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100</w:t>
            </w:r>
          </w:p>
        </w:tc>
        <w:tc>
          <w:tcPr>
            <w:tcW w:w="1487" w:type="dxa"/>
            <w:gridSpan w:val="2"/>
            <w:tcBorders>
              <w:top w:val="single" w:color="000000" w:sz="4" w:space="0"/>
              <w:left w:val="nil"/>
              <w:bottom w:val="single" w:color="000000" w:sz="4" w:space="0"/>
              <w:right w:val="single" w:color="000000" w:sz="4" w:space="0"/>
            </w:tcBorders>
            <w:vAlign w:val="center"/>
          </w:tcPr>
          <w:p>
            <w:pPr>
              <w:widowControl/>
              <w:autoSpaceDE w:val="0"/>
              <w:spacing w:line="200" w:lineRule="exact"/>
              <w:jc w:val="right"/>
              <w:textAlignment w:val="center"/>
              <w:rPr>
                <w:rFonts w:ascii="宋体"/>
                <w:color w:val="000000"/>
                <w:sz w:val="18"/>
                <w:szCs w:val="18"/>
              </w:rPr>
            </w:pPr>
            <w:r>
              <w:rPr>
                <w:rFonts w:hint="eastAsia" w:ascii="宋体"/>
                <w:color w:val="000000"/>
                <w:kern w:val="0"/>
                <w:sz w:val="18"/>
                <w:szCs w:val="18"/>
              </w:rPr>
              <w:t>100</w:t>
            </w:r>
          </w:p>
        </w:tc>
        <w:tc>
          <w:tcPr>
            <w:tcW w:w="422" w:type="dxa"/>
            <w:tcBorders>
              <w:top w:val="single" w:color="000000" w:sz="4" w:space="0"/>
              <w:left w:val="nil"/>
              <w:bottom w:val="single" w:color="000000" w:sz="4" w:space="0"/>
              <w:right w:val="single" w:color="000000" w:sz="4" w:space="0"/>
            </w:tcBorders>
            <w:vAlign w:val="center"/>
          </w:tcPr>
          <w:p>
            <w:pPr>
              <w:autoSpaceDE w:val="0"/>
              <w:spacing w:line="200" w:lineRule="exact"/>
              <w:rPr>
                <w:rFonts w:ascii="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评价结论</w:t>
            </w:r>
          </w:p>
        </w:tc>
        <w:tc>
          <w:tcPr>
            <w:tcW w:w="8339"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自评得分100分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存在问题</w:t>
            </w:r>
          </w:p>
        </w:tc>
        <w:tc>
          <w:tcPr>
            <w:tcW w:w="8339"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5" w:type="dxa"/>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center"/>
              <w:textAlignment w:val="center"/>
              <w:rPr>
                <w:rFonts w:ascii="宋体"/>
                <w:color w:val="000000"/>
                <w:sz w:val="18"/>
                <w:szCs w:val="18"/>
              </w:rPr>
            </w:pPr>
            <w:r>
              <w:rPr>
                <w:rFonts w:hint="eastAsia" w:ascii="宋体"/>
                <w:color w:val="000000"/>
                <w:kern w:val="0"/>
                <w:sz w:val="18"/>
                <w:szCs w:val="18"/>
              </w:rPr>
              <w:t>改进措施</w:t>
            </w:r>
          </w:p>
        </w:tc>
        <w:tc>
          <w:tcPr>
            <w:tcW w:w="8339" w:type="dxa"/>
            <w:gridSpan w:val="10"/>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微软雅黑" w:eastAsia="微软雅黑"/>
                <w:i/>
                <w:iCs/>
                <w:color w:val="000000"/>
                <w:sz w:val="16"/>
                <w:szCs w:val="16"/>
              </w:rPr>
            </w:pPr>
            <w:r>
              <w:rPr>
                <w:rFonts w:hint="eastAsia" w:ascii="微软雅黑" w:eastAsia="微软雅黑"/>
                <w:i/>
                <w:iCs/>
                <w:color w:val="000000"/>
                <w:kern w:val="0"/>
                <w:sz w:val="16"/>
                <w:szCs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40"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项目负责人：桑木丹</w:t>
            </w:r>
          </w:p>
        </w:tc>
        <w:tc>
          <w:tcPr>
            <w:tcW w:w="3644" w:type="dxa"/>
            <w:gridSpan w:val="6"/>
            <w:tcBorders>
              <w:top w:val="single" w:color="000000" w:sz="4" w:space="0"/>
              <w:left w:val="nil"/>
              <w:bottom w:val="single" w:color="000000" w:sz="4" w:space="0"/>
              <w:right w:val="single" w:color="000000" w:sz="4" w:space="0"/>
            </w:tcBorders>
            <w:vAlign w:val="center"/>
          </w:tcPr>
          <w:p>
            <w:pPr>
              <w:widowControl/>
              <w:autoSpaceDE w:val="0"/>
              <w:spacing w:line="200" w:lineRule="exact"/>
              <w:jc w:val="left"/>
              <w:textAlignment w:val="center"/>
              <w:rPr>
                <w:rFonts w:ascii="黑体" w:eastAsia="黑体"/>
                <w:color w:val="000000"/>
                <w:sz w:val="18"/>
                <w:szCs w:val="18"/>
              </w:rPr>
            </w:pPr>
            <w:r>
              <w:rPr>
                <w:rFonts w:hint="eastAsia" w:ascii="黑体" w:eastAsia="黑体"/>
                <w:color w:val="000000"/>
                <w:kern w:val="0"/>
                <w:sz w:val="18"/>
                <w:szCs w:val="18"/>
              </w:rPr>
              <w:t>财务负责人：刘红平</w:t>
            </w:r>
          </w:p>
        </w:tc>
      </w:tr>
    </w:tbl>
    <w:p>
      <w:pPr>
        <w:rPr>
          <w:rFonts w:eastAsia="黑体"/>
          <w:sz w:val="44"/>
          <w:szCs w:val="44"/>
        </w:rPr>
      </w:pPr>
    </w:p>
    <w:p>
      <w:pPr>
        <w:widowControl/>
        <w:autoSpaceDE w:val="0"/>
        <w:spacing w:line="540" w:lineRule="exact"/>
        <w:jc w:val="center"/>
        <w:rPr>
          <w:rFonts w:ascii="黑体" w:eastAsia="黑体"/>
          <w:sz w:val="44"/>
          <w:szCs w:val="44"/>
        </w:rPr>
      </w:pPr>
    </w:p>
    <w:p>
      <w:pPr>
        <w:widowControl/>
        <w:autoSpaceDE w:val="0"/>
        <w:spacing w:line="540" w:lineRule="exact"/>
        <w:jc w:val="center"/>
        <w:rPr>
          <w:rFonts w:hint="eastAsia" w:eastAsia="仿宋"/>
        </w:rPr>
      </w:pPr>
      <w:r>
        <w:rPr>
          <w:rFonts w:hint="eastAsia" w:ascii="黑体" w:eastAsia="黑体"/>
          <w:sz w:val="44"/>
          <w:szCs w:val="44"/>
        </w:rPr>
        <w:t>第</w:t>
      </w:r>
      <w:r>
        <w:rPr>
          <w:rStyle w:val="19"/>
          <w:rFonts w:hint="eastAsia" w:ascii="黑体" w:eastAsia="黑体"/>
          <w:b w:val="0"/>
        </w:rPr>
        <w:t>五部分</w:t>
      </w:r>
      <w:r>
        <w:rPr>
          <w:rStyle w:val="19"/>
          <w:rFonts w:hint="eastAsia" w:eastAsia="黑体"/>
          <w:b w:val="0"/>
        </w:rPr>
        <w:t xml:space="preserve"> </w:t>
      </w:r>
      <w:r>
        <w:rPr>
          <w:rStyle w:val="19"/>
          <w:rFonts w:hint="eastAsia" w:ascii="黑体" w:eastAsia="黑体"/>
          <w:b w:val="0"/>
        </w:rPr>
        <w:t>附表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一、收入支出决算总表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二、收入决算表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三、支出决算表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四、财政拨款收入支出决算总表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五、财政拨款支出决算明细表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六、一般公共预算财政拨款支出决算表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七、一般公共预算财政拨款支出决算明细表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八、一般公共预算财政拨款基本支出决算表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九、一般公共预算财政拨款项目支出决算表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十、政府性基金预算财政拨款收入支出决算表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十一、国有资本经营预算财政拨款收入支出决算表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十二、国有资本经营预算财政拨款支出决算表</w:t>
      </w:r>
    </w:p>
    <w:p>
      <w:pPr>
        <w:pStyle w:val="12"/>
        <w:autoSpaceDE w:val="0"/>
        <w:adjustRightInd w:val="0"/>
        <w:snapToGrid w:val="0"/>
        <w:spacing w:line="540" w:lineRule="exact"/>
        <w:jc w:val="left"/>
        <w:rPr>
          <w:rFonts w:hint="eastAsia" w:ascii="仿宋" w:eastAsia="仿宋"/>
          <w:sz w:val="32"/>
          <w:szCs w:val="32"/>
        </w:rPr>
      </w:pPr>
      <w:r>
        <w:rPr>
          <w:rFonts w:hint="eastAsia" w:ascii="仿宋" w:eastAsia="仿宋"/>
          <w:sz w:val="32"/>
          <w:szCs w:val="32"/>
        </w:rPr>
        <w:t>十三、财政拨款“三公”经费支出决算表</w:t>
      </w:r>
    </w:p>
    <w:p>
      <w:pPr>
        <w:autoSpaceDE w:val="0"/>
        <w:spacing w:line="540" w:lineRule="exact"/>
        <w:rPr>
          <w:rFonts w:hint="eastAsia" w:ascii="仿宋" w:eastAsia="仿宋"/>
        </w:rPr>
      </w:pPr>
      <w:r>
        <w:rPr>
          <w:rFonts w:hint="eastAsia" w:ascii="仿宋" w:eastAsia="仿宋"/>
        </w:rPr>
        <w:t xml:space="preserve"> </w:t>
      </w:r>
    </w:p>
    <w:p/>
    <w:sectPr>
      <w:footerReference r:id="rId5" w:type="default"/>
      <w:footerReference r:id="rId6" w:type="even"/>
      <w:pgSz w:w="11907" w:h="16840"/>
      <w:pgMar w:top="1440" w:right="1797" w:bottom="1440" w:left="179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Lucida Sans Unicode"/>
    <w:panose1 w:val="020B0602030504020204"/>
    <w:charset w:val="00"/>
    <w:family w:val="auto"/>
    <w:pitch w:val="default"/>
    <w:sig w:usb0="00000000" w:usb1="00000000" w:usb2="00000000" w:usb3="00000000" w:csb0="2000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top w:val="none" w:color="auto" w:sz="0" w:space="0"/>
        <w:left w:val="none" w:color="auto" w:sz="0" w:space="0"/>
        <w:bottom w:val="none" w:color="auto" w:sz="0" w:space="0"/>
        <w:right w:val="none" w:color="auto" w:sz="0" w:space="0"/>
      </w:pBdr>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page" w:x="9389" w:y="151"/>
      <w:pBdr>
        <w:top w:val="none" w:color="auto" w:sz="0" w:space="0"/>
        <w:left w:val="none" w:color="auto" w:sz="0" w:space="0"/>
        <w:bottom w:val="none" w:color="auto" w:sz="0" w:space="0"/>
        <w:right w:val="none" w:color="auto" w:sz="0" w:space="0"/>
      </w:pBdr>
      <w:rPr>
        <w:rFonts w:hint="eastAsia" w:ascii="宋体" w:hAnsi="宋体" w:cs="宋体"/>
        <w:sz w:val="28"/>
        <w:szCs w:val="28"/>
      </w:rPr>
    </w:pPr>
    <w:r>
      <w:rPr>
        <w:rStyle w:val="15"/>
        <w:rFonts w:hint="eastAsia" w:ascii="宋体" w:hAnsi="宋体" w:cs="宋体"/>
        <w:sz w:val="28"/>
        <w:szCs w:val="28"/>
      </w:rPr>
      <w:fldChar w:fldCharType="begin"/>
    </w:r>
    <w:r>
      <w:rPr>
        <w:rStyle w:val="15"/>
        <w:rFonts w:hint="eastAsia" w:ascii="宋体" w:hAnsi="宋体" w:cs="宋体"/>
        <w:sz w:val="28"/>
        <w:szCs w:val="28"/>
      </w:rPr>
      <w:instrText xml:space="preserve">Page</w:instrText>
    </w:r>
    <w:r>
      <w:rPr>
        <w:rStyle w:val="15"/>
        <w:rFonts w:hint="eastAsia" w:ascii="宋体" w:hAnsi="宋体" w:cs="宋体"/>
        <w:sz w:val="28"/>
        <w:szCs w:val="28"/>
      </w:rPr>
      <w:fldChar w:fldCharType="separate"/>
    </w:r>
    <w:r>
      <w:rPr>
        <w:rStyle w:val="15"/>
        <w:rFonts w:hint="eastAsia" w:ascii="宋体" w:hAnsi="宋体" w:cs="宋体"/>
        <w:sz w:val="28"/>
        <w:szCs w:val="28"/>
      </w:rPr>
      <w:t>- 4 -</w:t>
    </w:r>
    <w:r>
      <w:rPr>
        <w:rStyle w:val="15"/>
        <w:rFonts w:hint="eastAsia" w:ascii="宋体" w:hAnsi="宋体" w:cs="宋体"/>
        <w:sz w:val="28"/>
        <w:szCs w:val="28"/>
      </w:rPr>
      <w:fldChar w:fldCharType="end"/>
    </w:r>
  </w:p>
  <w:p>
    <w:pPr>
      <w:pStyle w:val="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page" w:x="1825" w:y="1"/>
      <w:pBdr>
        <w:top w:val="none" w:color="auto" w:sz="0" w:space="0"/>
        <w:left w:val="none" w:color="auto" w:sz="0" w:space="0"/>
        <w:bottom w:val="none" w:color="auto" w:sz="0" w:space="0"/>
        <w:right w:val="none" w:color="auto" w:sz="0" w:space="0"/>
      </w:pBdr>
      <w:rPr>
        <w:rFonts w:hint="eastAsia" w:ascii="宋体" w:hAnsi="宋体" w:cs="宋体"/>
        <w:sz w:val="28"/>
        <w:szCs w:val="28"/>
      </w:rPr>
    </w:pPr>
    <w:r>
      <w:rPr>
        <w:rStyle w:val="15"/>
        <w:rFonts w:hint="eastAsia" w:ascii="宋体" w:hAnsi="宋体" w:cs="宋体"/>
        <w:sz w:val="28"/>
        <w:szCs w:val="28"/>
      </w:rPr>
      <w:fldChar w:fldCharType="begin"/>
    </w:r>
    <w:r>
      <w:rPr>
        <w:rStyle w:val="15"/>
        <w:rFonts w:hint="eastAsia" w:ascii="宋体" w:hAnsi="宋体" w:cs="宋体"/>
        <w:sz w:val="28"/>
        <w:szCs w:val="28"/>
      </w:rPr>
      <w:instrText xml:space="preserve">Page</w:instrText>
    </w:r>
    <w:r>
      <w:rPr>
        <w:rStyle w:val="15"/>
        <w:rFonts w:hint="eastAsia" w:ascii="宋体" w:hAnsi="宋体" w:cs="宋体"/>
        <w:sz w:val="28"/>
        <w:szCs w:val="28"/>
      </w:rPr>
      <w:fldChar w:fldCharType="separate"/>
    </w:r>
    <w:r>
      <w:rPr>
        <w:rStyle w:val="15"/>
        <w:rFonts w:hint="eastAsia" w:ascii="宋体" w:hAnsi="宋体" w:cs="宋体"/>
        <w:sz w:val="28"/>
        <w:szCs w:val="28"/>
      </w:rPr>
      <w:t>- 4 -</w:t>
    </w:r>
    <w:r>
      <w:rPr>
        <w:rStyle w:val="15"/>
        <w:rFonts w:hint="eastAsia" w:ascii="宋体" w:hAnsi="宋体" w:cs="宋体"/>
        <w:sz w:val="28"/>
        <w:szCs w:val="28"/>
      </w:rPr>
      <w:fldChar w:fldCharType="end"/>
    </w:r>
  </w:p>
  <w:p>
    <w:pPr>
      <w:pStyle w:val="9"/>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120A6F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1"/>
      <w:lang w:val="en-US" w:eastAsia="zh-CN" w:bidi="ar-SA"/>
    </w:rPr>
  </w:style>
  <w:style w:type="paragraph" w:styleId="5">
    <w:name w:val="heading 1"/>
    <w:basedOn w:val="1"/>
    <w:next w:val="1"/>
    <w:uiPriority w:val="0"/>
    <w:pPr>
      <w:keepNext/>
      <w:keepLines/>
      <w:widowControl w:val="0"/>
      <w:spacing w:before="340" w:after="330" w:line="576" w:lineRule="auto"/>
      <w:outlineLvl w:val="0"/>
    </w:pPr>
    <w:rPr>
      <w:b/>
      <w:bCs/>
      <w:kern w:val="44"/>
      <w:sz w:val="44"/>
      <w:szCs w:val="44"/>
    </w:rPr>
  </w:style>
  <w:style w:type="paragraph" w:styleId="6">
    <w:name w:val="heading 2"/>
    <w:basedOn w:val="1"/>
    <w:next w:val="1"/>
    <w:uiPriority w:val="0"/>
    <w:pPr>
      <w:keepNext/>
      <w:keepLines/>
      <w:widowControl w:val="0"/>
      <w:spacing w:before="260" w:after="260" w:line="413" w:lineRule="auto"/>
      <w:outlineLvl w:val="1"/>
    </w:pPr>
    <w:rPr>
      <w:rFonts w:ascii="Cambria" w:hAnsi="Cambria"/>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sz w:val="32"/>
    </w:rPr>
  </w:style>
  <w:style w:type="character" w:default="1" w:styleId="14">
    <w:name w:val="Default Paragraph Font"/>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footnote text"/>
    <w:basedOn w:val="1"/>
    <w:next w:val="3"/>
    <w:uiPriority w:val="0"/>
    <w:pPr>
      <w:snapToGrid w:val="0"/>
      <w:jc w:val="left"/>
    </w:pPr>
    <w:rPr>
      <w:sz w:val="18"/>
      <w:szCs w:val="18"/>
    </w:rPr>
  </w:style>
  <w:style w:type="paragraph" w:styleId="3">
    <w:name w:val="Body Text First Indent 2"/>
    <w:basedOn w:val="4"/>
    <w:uiPriority w:val="0"/>
    <w:pPr>
      <w:ind w:firstLine="200" w:firstLineChars="200"/>
    </w:pPr>
  </w:style>
  <w:style w:type="paragraph" w:styleId="4">
    <w:name w:val="Body Text Indent"/>
    <w:basedOn w:val="1"/>
    <w:next w:val="3"/>
    <w:uiPriority w:val="0"/>
    <w:pPr>
      <w:spacing w:before="100" w:beforeAutospacing="1" w:after="120"/>
      <w:ind w:left="200" w:leftChars="200"/>
    </w:pPr>
    <w:rPr>
      <w:rFonts w:ascii="仿宋_GB2312" w:hAnsi="仿宋_GB2312"/>
    </w:rPr>
  </w:style>
  <w:style w:type="paragraph" w:styleId="8">
    <w:name w:val="Body Text"/>
    <w:basedOn w:val="1"/>
    <w:qFormat/>
    <w:uiPriority w:val="0"/>
    <w:pPr>
      <w:spacing w:before="30" w:beforeLines="30" w:after="100" w:afterAutospacing="1"/>
    </w:pPr>
    <w:rPr>
      <w:rFonts w:ascii="仿宋_GB2312" w:hAnsi="仿宋_GB2312"/>
      <w:kern w:val="0"/>
      <w:sz w:val="30"/>
      <w:szCs w:val="30"/>
    </w:rPr>
  </w:style>
  <w:style w:type="paragraph" w:styleId="9">
    <w:name w:val="footer"/>
    <w:basedOn w:val="1"/>
    <w:uiPriority w:val="0"/>
    <w:pPr>
      <w:snapToGrid w:val="0"/>
      <w:jc w:val="left"/>
    </w:pPr>
    <w:rPr>
      <w:rFonts w:ascii="Calibri" w:hAnsi="Calibri"/>
      <w:kern w:val="0"/>
      <w:sz w:val="18"/>
      <w:szCs w:val="18"/>
    </w:rPr>
  </w:style>
  <w:style w:type="paragraph" w:styleId="10">
    <w:name w:val="header"/>
    <w:basedOn w:val="1"/>
    <w:uiPriority w:val="0"/>
    <w:pPr>
      <w:pBdr>
        <w:bottom w:val="single" w:color="auto" w:sz="6" w:space="1"/>
      </w:pBdr>
      <w:snapToGrid w:val="0"/>
      <w:jc w:val="center"/>
    </w:pPr>
    <w:rPr>
      <w:rFonts w:ascii="Calibri" w:hAnsi="Calibri"/>
      <w:kern w:val="0"/>
      <w:sz w:val="18"/>
      <w:szCs w:val="18"/>
    </w:rPr>
  </w:style>
  <w:style w:type="paragraph" w:styleId="11">
    <w:name w:val="toc 1"/>
    <w:basedOn w:val="1"/>
    <w:next w:val="1"/>
    <w:uiPriority w:val="0"/>
    <w:pPr>
      <w:spacing w:before="93" w:after="100" w:afterAutospacing="1"/>
      <w:jc w:val="center"/>
    </w:pPr>
    <w:rPr>
      <w:rFonts w:ascii="仿宋" w:eastAsia="仿宋"/>
      <w:sz w:val="28"/>
      <w:szCs w:val="28"/>
    </w:rPr>
  </w:style>
  <w:style w:type="paragraph" w:styleId="12">
    <w:name w:val="toc 2"/>
    <w:basedOn w:val="1"/>
    <w:next w:val="1"/>
    <w:uiPriority w:val="0"/>
    <w:pPr>
      <w:spacing w:before="100" w:beforeAutospacing="1" w:after="100" w:afterAutospacing="1"/>
      <w:ind w:left="200" w:leftChars="200"/>
    </w:pPr>
  </w:style>
  <w:style w:type="character" w:styleId="15">
    <w:name w:val="page number"/>
    <w:basedOn w:val="14"/>
    <w:uiPriority w:val="0"/>
  </w:style>
  <w:style w:type="paragraph" w:customStyle="1" w:styleId="16">
    <w:name w:val="List Paragraph"/>
    <w:basedOn w:val="1"/>
    <w:uiPriority w:val="0"/>
    <w:pPr>
      <w:ind w:firstLine="200" w:firstLineChars="200"/>
    </w:pPr>
  </w:style>
  <w:style w:type="paragraph" w:customStyle="1" w:styleId="17">
    <w:name w:val="Default"/>
    <w:basedOn w:val="1"/>
    <w:uiPriority w:val="0"/>
    <w:pPr>
      <w:autoSpaceDE w:val="0"/>
      <w:autoSpaceDN w:val="0"/>
      <w:adjustRightInd w:val="0"/>
      <w:jc w:val="left"/>
    </w:pPr>
    <w:rPr>
      <w:rFonts w:ascii="仿宋" w:eastAsia="仿宋" w:cs="宋体"/>
      <w:color w:val="000000"/>
      <w:kern w:val="0"/>
      <w:sz w:val="24"/>
      <w:szCs w:val="24"/>
    </w:rPr>
  </w:style>
  <w:style w:type="character" w:customStyle="1" w:styleId="18">
    <w:name w:val="10"/>
    <w:basedOn w:val="14"/>
    <w:uiPriority w:val="0"/>
    <w:rPr>
      <w:rFonts w:ascii="Times New Roman" w:hAnsi="Times New Roman" w:cs="Times New Roman"/>
    </w:rPr>
  </w:style>
  <w:style w:type="character" w:customStyle="1" w:styleId="19">
    <w:name w:val="15"/>
    <w:basedOn w:val="14"/>
    <w:uiPriority w:val="0"/>
    <w:rPr>
      <w:rFonts w:ascii="Times New Roman" w:hAnsi="Times New Roman" w:eastAsia="宋体" w:cs="Times New Roman"/>
      <w:b/>
      <w:bCs/>
      <w:kern w:val="44"/>
      <w:sz w:val="44"/>
      <w:szCs w:val="44"/>
    </w:rPr>
  </w:style>
  <w:style w:type="character" w:customStyle="1" w:styleId="20">
    <w:name w:val="16"/>
    <w:basedOn w:val="14"/>
    <w:uiPriority w:val="0"/>
    <w:rPr>
      <w:rFonts w:ascii="Cambria" w:hAnsi="Cambria" w:eastAsia="宋体" w:cs="Times New Roman"/>
      <w:b/>
      <w:bCs/>
      <w:kern w:val="2"/>
      <w:sz w:val="32"/>
      <w:szCs w:val="32"/>
    </w:rPr>
  </w:style>
  <w:style w:type="character" w:customStyle="1" w:styleId="21">
    <w:name w:val="17"/>
    <w:basedOn w:val="14"/>
    <w:uiPriority w:val="0"/>
    <w:rPr>
      <w:rFonts w:ascii="Times New Roman" w:hAnsi="Times New Roman" w:cs="Times New Roman"/>
      <w:b/>
    </w:rPr>
  </w:style>
  <w:style w:type="character" w:customStyle="1" w:styleId="22">
    <w:name w:val="18"/>
    <w:basedOn w:val="14"/>
    <w:uiPriority w:val="0"/>
    <w:rPr>
      <w:rFonts w:ascii="宋体" w:eastAsia="宋体"/>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customProps>
</customData>
</file>

<file path=customXml/itemProps1.xml><?xml version="1.0" encoding="utf-8"?>
<ds:datastoreItem xmlns:ds="http://schemas.openxmlformats.org/officeDocument/2006/customXml" ds:itemID="{A3280D4E-C53B-44FC-ADB0-4ED60C440081}">
  <ds:schemaRefs/>
</ds:datastoreItem>
</file>

<file path=docProps/app.xml><?xml version="1.0" encoding="utf-8"?>
<Properties xmlns="http://schemas.openxmlformats.org/officeDocument/2006/extended-properties" xmlns:vt="http://schemas.openxmlformats.org/officeDocument/2006/docPropsVTypes">
  <Template>Normal.eit</Template>
  <Pages>26</Pages>
  <Words>0</Words>
  <Characters>11805</Characters>
  <Lines>0</Lines>
  <Paragraphs>195</Paragraphs>
  <TotalTime>31</TotalTime>
  <ScaleCrop>false</ScaleCrop>
  <LinksUpToDate>false</LinksUpToDate>
  <CharactersWithSpaces>15741</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2025-09-19T02:42:00Z</dcterms:created>
  <dc:creator>Windows 用户</dc:creator>
  <cp:lastModifiedBy>Administrator</cp:lastModifiedBy>
  <dcterms:modified xsi:type="dcterms:W3CDTF">2025-09-19T03:24:37Z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05F20C9423034CDDBF2DB47C960975DC</vt:lpwstr>
  </property>
</Properties>
</file>