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r>
        <w:rPr>
          <w:rFonts w:ascii="方正小标宋简体" w:eastAsia="方正小标宋简体" w:cs="Times New Roman"/>
          <w:color w:val="000000"/>
          <w:sz w:val="52"/>
          <w:szCs w:val="52"/>
        </w:rPr>
        <w:t>2021年度</w:t>
      </w:r>
    </w:p>
    <w:p>
      <w:pPr>
        <w:spacing w:line="600" w:lineRule="exact"/>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r>
        <w:rPr>
          <w:rFonts w:ascii="方正小标宋简体" w:eastAsia="方正小标宋简体" w:cs="Times New Roman"/>
          <w:color w:val="000000"/>
          <w:sz w:val="52"/>
          <w:szCs w:val="52"/>
        </w:rPr>
        <w:t>四川省阿坝州人民政府办</w:t>
      </w:r>
    </w:p>
    <w:p>
      <w:pPr>
        <w:spacing w:line="600" w:lineRule="exact"/>
        <w:ind w:firstLine="1040" w:firstLineChars="200"/>
        <w:jc w:val="center"/>
        <w:outlineLvl w:val="0"/>
        <w:rPr>
          <w:rFonts w:ascii="方正小标宋简体" w:eastAsia="方正小标宋简体" w:cs="Times New Roman"/>
          <w:color w:val="000000"/>
          <w:sz w:val="52"/>
          <w:szCs w:val="52"/>
        </w:rPr>
      </w:pPr>
    </w:p>
    <w:p>
      <w:pPr>
        <w:spacing w:line="600" w:lineRule="exact"/>
        <w:jc w:val="center"/>
        <w:outlineLvl w:val="0"/>
        <w:rPr>
          <w:rFonts w:ascii="方正小标宋简体" w:eastAsia="方正小标宋简体" w:cs="Times New Roman"/>
          <w:color w:val="000000"/>
          <w:sz w:val="52"/>
          <w:szCs w:val="52"/>
        </w:rPr>
      </w:pPr>
      <w:r>
        <w:rPr>
          <w:rFonts w:ascii="方正小标宋简体" w:eastAsia="方正小标宋简体" w:cs="Times New Roman"/>
          <w:color w:val="000000"/>
          <w:sz w:val="52"/>
          <w:szCs w:val="52"/>
        </w:rPr>
        <w:t>公室</w:t>
      </w:r>
      <w:r>
        <w:rPr>
          <w:rFonts w:hint="eastAsia" w:ascii="方正小标宋简体" w:eastAsia="方正小标宋简体" w:cs="Times New Roman"/>
          <w:color w:val="000000"/>
          <w:sz w:val="52"/>
          <w:szCs w:val="52"/>
          <w:lang w:val="en-US" w:eastAsia="zh-CN"/>
        </w:rPr>
        <w:t>部门</w:t>
      </w:r>
      <w:r>
        <w:rPr>
          <w:rFonts w:ascii="方正小标宋简体" w:eastAsia="方正小标宋简体" w:cs="Times New Roman"/>
          <w:color w:val="000000"/>
          <w:sz w:val="52"/>
          <w:szCs w:val="52"/>
        </w:rPr>
        <w:t>决算</w:t>
      </w: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r>
        <w:t> </w:t>
      </w: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widowControl/>
        <w:suppressLineNumbers w:val="0"/>
      </w:pPr>
    </w:p>
    <w:p>
      <w:pPr>
        <w:pStyle w:val="8"/>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_GB2312" w:eastAsia="仿宋_GB2312" w:cs="仿宋_GB2312"/>
          <w:sz w:val="52"/>
          <w:szCs w:val="52"/>
        </w:rPr>
      </w:pPr>
      <w:r>
        <w:rPr>
          <w:rFonts w:hint="eastAsia" w:ascii="仿宋_GB2312" w:eastAsia="仿宋_GB2312" w:cs="仿宋_GB2312"/>
          <w:sz w:val="52"/>
          <w:szCs w:val="52"/>
        </w:rPr>
        <w:t>目录</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eastAsia="仿宋_GB2312" w:cs="仿宋_GB2312"/>
          <w:sz w:val="28"/>
          <w:szCs w:val="28"/>
        </w:rPr>
      </w:pPr>
      <w:r>
        <w:rPr>
          <w:rFonts w:hint="eastAsia" w:ascii="仿宋_GB2312" w:eastAsia="仿宋_GB2312" w:cs="仿宋_GB2312"/>
          <w:sz w:val="28"/>
          <w:szCs w:val="28"/>
        </w:rPr>
        <w:t>公开时间：2022年9月29日</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textAlignment w:val="auto"/>
        <w:rPr>
          <w:rFonts w:hint="default" w:ascii="仿宋_GB2312" w:eastAsia="仿宋_GB2312" w:cs="仿宋_GB2312"/>
          <w:sz w:val="28"/>
          <w:szCs w:val="28"/>
          <w:lang w:val="en-US" w:eastAsia="zh-CN"/>
        </w:rPr>
      </w:pPr>
      <w:r>
        <w:rPr>
          <w:rFonts w:hint="eastAsia" w:ascii="仿宋_GB2312" w:eastAsia="仿宋_GB2312" w:cs="仿宋_GB2312"/>
          <w:sz w:val="28"/>
          <w:szCs w:val="28"/>
        </w:rPr>
        <w:t> 第一部分 单位概况</w:t>
      </w:r>
      <w:r>
        <w:rPr>
          <w:rFonts w:hint="eastAsia" w:eastAsia="仿宋_GB2312"/>
          <w:lang w:val="en-US" w:eastAsia="zh-CN"/>
        </w:rPr>
        <w:t>..........................................................................................4</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eastAsia="仿宋_GB2312"/>
          <w:lang w:val="en-US" w:eastAsia="zh-CN"/>
        </w:rPr>
      </w:pPr>
      <w:r>
        <w:rPr>
          <w:rFonts w:hint="eastAsia" w:ascii="仿宋_GB2312" w:eastAsia="仿宋_GB2312" w:cs="仿宋_GB2312"/>
          <w:sz w:val="28"/>
          <w:szCs w:val="28"/>
        </w:rPr>
        <w:t>一、职能简介</w:t>
      </w:r>
      <w:r>
        <w:rPr>
          <w:rFonts w:hint="eastAsia" w:eastAsia="仿宋_GB2312"/>
          <w:lang w:val="en-US" w:eastAsia="zh-CN"/>
        </w:rPr>
        <w:t>................................................................................................4</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二、2021年重点工作完成情况</w:t>
      </w:r>
      <w:r>
        <w:rPr>
          <w:rFonts w:hint="eastAsia" w:eastAsia="仿宋_GB2312"/>
          <w:lang w:val="en-US" w:eastAsia="zh-CN"/>
        </w:rPr>
        <w:t>..............................................................4</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第二部分 2021年度单位决算情况说明</w:t>
      </w:r>
      <w:r>
        <w:rPr>
          <w:rFonts w:hint="eastAsia" w:eastAsia="仿宋_GB2312"/>
          <w:lang w:val="en-US" w:eastAsia="zh-CN"/>
        </w:rPr>
        <w:t>.....................................................7</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ascii="仿宋_GB2312" w:eastAsia="仿宋_GB2312" w:cs="仿宋_GB2312"/>
          <w:sz w:val="28"/>
          <w:szCs w:val="28"/>
          <w:lang w:val="en-US"/>
        </w:rPr>
      </w:pPr>
      <w:r>
        <w:rPr>
          <w:rFonts w:hint="eastAsia" w:ascii="仿宋_GB2312" w:eastAsia="仿宋_GB2312" w:cs="仿宋_GB2312"/>
          <w:sz w:val="28"/>
          <w:szCs w:val="28"/>
        </w:rPr>
        <w:t>一、收入支出决算总体情况说明</w:t>
      </w:r>
      <w:r>
        <w:rPr>
          <w:rFonts w:hint="eastAsia" w:eastAsia="仿宋_GB2312"/>
          <w:lang w:val="en-US" w:eastAsia="zh-CN"/>
        </w:rPr>
        <w:t xml:space="preserve">...........................................................7 </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二、收入决算情况说明</w:t>
      </w:r>
      <w:r>
        <w:rPr>
          <w:rFonts w:hint="eastAsia" w:eastAsia="仿宋_GB2312"/>
          <w:lang w:val="en-US" w:eastAsia="zh-CN"/>
        </w:rPr>
        <w:t>..............................................................................8</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三、支出决算情况说明</w:t>
      </w:r>
      <w:r>
        <w:rPr>
          <w:rFonts w:hint="eastAsia" w:eastAsia="仿宋_GB2312"/>
          <w:lang w:val="en-US" w:eastAsia="zh-CN"/>
        </w:rPr>
        <w:t>..............................................................................9</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四、财政拨款收入支出决算总体情况说明</w:t>
      </w:r>
      <w:r>
        <w:rPr>
          <w:rFonts w:hint="eastAsia" w:eastAsia="仿宋_GB2312"/>
          <w:lang w:val="en-US" w:eastAsia="zh-CN"/>
        </w:rPr>
        <w:t>..........................................9</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五、一般公共预算财政拨款支出决算情况说明</w:t>
      </w:r>
      <w:r>
        <w:rPr>
          <w:rFonts w:hint="eastAsia" w:eastAsia="仿宋_GB2312"/>
          <w:lang w:val="en-US" w:eastAsia="zh-CN"/>
        </w:rPr>
        <w:t>................................10</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六、一般公共预算财政拨款基本支出决算情况说明</w:t>
      </w:r>
      <w:r>
        <w:rPr>
          <w:rFonts w:hint="eastAsia" w:eastAsia="仿宋_GB2312"/>
          <w:lang w:val="en-US" w:eastAsia="zh-CN"/>
        </w:rPr>
        <w:t>.......................12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七、“三公”经费财政拨款支出决算情况说明</w:t>
      </w:r>
      <w:r>
        <w:rPr>
          <w:rFonts w:hint="eastAsia" w:eastAsia="仿宋_GB2312"/>
          <w:lang w:val="en-US" w:eastAsia="zh-CN"/>
        </w:rPr>
        <w:t>................................13</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八、政府性基金预算支出决算情况说明</w:t>
      </w:r>
      <w:r>
        <w:rPr>
          <w:rFonts w:hint="eastAsia" w:eastAsia="仿宋_GB2312"/>
          <w:lang w:val="en-US" w:eastAsia="zh-CN"/>
        </w:rPr>
        <w:t>..............................................15</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九、国有资本经营预算支出决算情况说明</w:t>
      </w:r>
      <w:r>
        <w:rPr>
          <w:rFonts w:hint="eastAsia" w:eastAsia="仿宋_GB2312"/>
          <w:lang w:val="en-US" w:eastAsia="zh-CN"/>
        </w:rPr>
        <w:t>..........................................15</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十、其他重要事项的情况说明</w:t>
      </w:r>
      <w:r>
        <w:rPr>
          <w:rFonts w:hint="eastAsia" w:eastAsia="仿宋_GB2312"/>
          <w:lang w:val="en-US" w:eastAsia="zh-CN"/>
        </w:rPr>
        <w:t>.................................................................15</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第三部分 名词解释</w:t>
      </w:r>
      <w:r>
        <w:rPr>
          <w:rFonts w:hint="eastAsia" w:eastAsia="仿宋_GB2312"/>
          <w:lang w:val="en-US" w:eastAsia="zh-CN"/>
        </w:rPr>
        <w:t>............................................................................................17</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第四部分 附件</w:t>
      </w:r>
      <w:r>
        <w:rPr>
          <w:rFonts w:hint="eastAsia" w:eastAsia="仿宋_GB2312"/>
          <w:lang w:val="en-US" w:eastAsia="zh-CN"/>
        </w:rPr>
        <w:t>......................................................................................................19</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第五部分 附表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一、收入支出决算总表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eastAsia" w:ascii="仿宋_GB2312" w:eastAsia="仿宋_GB2312" w:cs="仿宋_GB2312"/>
          <w:sz w:val="28"/>
          <w:szCs w:val="28"/>
        </w:rPr>
      </w:pPr>
      <w:r>
        <w:rPr>
          <w:rFonts w:hint="eastAsia" w:ascii="仿宋_GB2312" w:eastAsia="仿宋_GB2312" w:cs="仿宋_GB2312"/>
          <w:sz w:val="28"/>
          <w:szCs w:val="28"/>
        </w:rPr>
        <w:t>二、收入决算表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三、支出决算表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四、财政拨款收入支出决算总表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五、财政拨款支出决算明细表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六、一般公共预算财政拨款支出决算表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eastAsia="zh-CN"/>
        </w:rPr>
      </w:pPr>
      <w:r>
        <w:rPr>
          <w:rFonts w:hint="eastAsia" w:ascii="仿宋_GB2312" w:eastAsia="仿宋_GB2312" w:cs="仿宋_GB2312"/>
          <w:sz w:val="28"/>
          <w:szCs w:val="28"/>
        </w:rPr>
        <w:t>七、一般公共预算财政拨款支出决算明细表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八、一般公共预算财政拨款基本支出决算表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九、一般公共预算财政拨款项目支出决算表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十、一般公共预算财政拨款“三公”经费支出决算表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十一、政府性基金预算财政拨款收入支出决算表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十二、政府性基金预算财政拨款“三公”经费支出决算表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十三、国有资本经营预算财政拨款收入支出决算表</w:t>
      </w:r>
      <w:r>
        <w:rPr>
          <w:rFonts w:hint="eastAsia" w:eastAsia="仿宋_GB2312"/>
          <w:lang w:val="en-US" w:eastAsia="zh-CN"/>
        </w:rPr>
        <w:t>.......................22</w:t>
      </w:r>
    </w:p>
    <w:p>
      <w:pPr>
        <w:pStyle w:val="8"/>
        <w:keepNext w:val="0"/>
        <w:keepLines w:val="0"/>
        <w:pageBreakBefore w:val="0"/>
        <w:widowControl/>
        <w:suppressLineNumbers w:val="0"/>
        <w:kinsoku/>
        <w:wordWrap/>
        <w:overflowPunct/>
        <w:topLinePunct w:val="0"/>
        <w:autoSpaceDE/>
        <w:autoSpaceDN/>
        <w:bidi w:val="0"/>
        <w:adjustRightInd/>
        <w:snapToGrid/>
        <w:spacing w:line="480" w:lineRule="exact"/>
        <w:ind w:left="420"/>
        <w:jc w:val="left"/>
        <w:textAlignment w:val="auto"/>
        <w:rPr>
          <w:rFonts w:hint="default" w:ascii="仿宋_GB2312" w:eastAsia="仿宋_GB2312" w:cs="仿宋_GB2312"/>
          <w:sz w:val="28"/>
          <w:szCs w:val="28"/>
          <w:lang w:val="en-US"/>
        </w:rPr>
      </w:pPr>
      <w:r>
        <w:rPr>
          <w:rFonts w:hint="eastAsia" w:ascii="仿宋_GB2312" w:eastAsia="仿宋_GB2312" w:cs="仿宋_GB2312"/>
          <w:sz w:val="28"/>
          <w:szCs w:val="28"/>
        </w:rPr>
        <w:t>十四、国有资本经营预算财政拨款支出决算表</w:t>
      </w:r>
      <w:r>
        <w:rPr>
          <w:rFonts w:hint="eastAsia" w:eastAsia="仿宋_GB2312"/>
          <w:lang w:val="en-US" w:eastAsia="zh-CN"/>
        </w:rPr>
        <w:t>................................22</w:t>
      </w:r>
    </w:p>
    <w:p>
      <w:pPr>
        <w:pStyle w:val="8"/>
        <w:keepNext w:val="0"/>
        <w:keepLines w:val="0"/>
        <w:widowControl/>
        <w:suppressLineNumbers w:val="0"/>
        <w:rPr>
          <w:rFonts w:hint="eastAsia" w:ascii="仿宋_GB2312" w:eastAsia="仿宋_GB2312" w:cs="仿宋_GB2312"/>
          <w:sz w:val="32"/>
          <w:szCs w:val="32"/>
        </w:rPr>
      </w:pPr>
    </w:p>
    <w:p>
      <w:pPr>
        <w:pStyle w:val="8"/>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 </w:t>
      </w:r>
    </w:p>
    <w:p>
      <w:pPr>
        <w:pStyle w:val="8"/>
        <w:keepNext w:val="0"/>
        <w:keepLines w:val="0"/>
        <w:widowControl/>
        <w:suppressLineNumbers w:val="0"/>
        <w:jc w:val="left"/>
      </w:pPr>
      <w:r>
        <w:t>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pPr>
      <w:r>
        <w:t>第一部分 单位概况</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20" w:lineRule="exact"/>
        <w:textAlignment w:val="auto"/>
        <w:rPr>
          <w:b w:val="0"/>
          <w:bCs w:val="0"/>
        </w:rPr>
      </w:pPr>
      <w:r>
        <w:rPr>
          <w:b w:val="0"/>
          <w:bCs w:val="0"/>
        </w:rPr>
        <w:t>职能简介</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right="0" w:firstLine="643" w:firstLineChars="200"/>
        <w:textAlignment w:val="auto"/>
        <w:outlineLvl w:val="9"/>
        <w:rPr>
          <w:rFonts w:hint="eastAsia" w:ascii="仿宋_GB2312" w:hAnsi="仿宋_GB2312"/>
          <w:szCs w:val="32"/>
        </w:rPr>
      </w:pPr>
      <w:r>
        <w:rPr>
          <w:rFonts w:hint="eastAsia" w:ascii="仿宋_GB2312" w:eastAsia="仿宋_GB2312"/>
          <w:b/>
          <w:bCs/>
          <w:color w:val="000000"/>
          <w:sz w:val="32"/>
          <w:szCs w:val="32"/>
        </w:rPr>
        <w:t>一是</w:t>
      </w: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sz w:val="32"/>
          <w:szCs w:val="32"/>
        </w:rPr>
        <w:t>拟定、指导全州物流产业发展战略和工作，协调、推进全州物流园区（中心、集聚区）、物流网络体系以及重大物流项目规划和建设；组织、协调口岸建设和管理工作。</w:t>
      </w:r>
      <w:r>
        <w:rPr>
          <w:rFonts w:hint="eastAsia" w:ascii="仿宋_GB2312" w:eastAsia="仿宋_GB2312"/>
          <w:b/>
          <w:color w:val="000000"/>
          <w:sz w:val="32"/>
          <w:szCs w:val="32"/>
          <w:lang w:val="en-US" w:eastAsia="zh-CN"/>
        </w:rPr>
        <w:t>三</w:t>
      </w:r>
      <w:r>
        <w:rPr>
          <w:rFonts w:hint="eastAsia" w:ascii="仿宋_GB2312" w:eastAsia="仿宋_GB2312"/>
          <w:b/>
          <w:color w:val="000000"/>
          <w:sz w:val="32"/>
          <w:szCs w:val="32"/>
        </w:rPr>
        <w:t>是</w:t>
      </w:r>
      <w:r>
        <w:rPr>
          <w:rFonts w:hint="eastAsia" w:ascii="仿宋_GB2312" w:eastAsia="仿宋_GB2312"/>
          <w:sz w:val="32"/>
          <w:szCs w:val="32"/>
        </w:rPr>
        <w:t>做好机关事务工</w:t>
      </w:r>
      <w:r>
        <w:rPr>
          <w:rFonts w:hint="eastAsia" w:ascii="仿宋_GB2312" w:eastAsia="仿宋_GB2312"/>
          <w:sz w:val="32"/>
          <w:szCs w:val="32"/>
          <w:highlight w:val="none"/>
        </w:rPr>
        <w:t>作，为州政府</w:t>
      </w:r>
      <w:r>
        <w:rPr>
          <w:rFonts w:hint="eastAsia" w:ascii="仿宋_GB2312" w:eastAsia="仿宋_GB2312"/>
          <w:sz w:val="32"/>
          <w:szCs w:val="32"/>
          <w:highlight w:val="none"/>
          <w:lang w:val="en-US" w:eastAsia="zh-CN"/>
        </w:rPr>
        <w:t>各项工作开展</w:t>
      </w:r>
      <w:r>
        <w:rPr>
          <w:rFonts w:hint="eastAsia" w:ascii="仿宋_GB2312" w:eastAsia="仿宋_GB2312"/>
          <w:sz w:val="32"/>
          <w:szCs w:val="32"/>
          <w:highlight w:val="none"/>
        </w:rPr>
        <w:t>服好务。</w:t>
      </w:r>
      <w:r>
        <w:rPr>
          <w:rFonts w:hint="eastAsia" w:ascii="仿宋_GB2312" w:eastAsia="仿宋_GB2312"/>
          <w:b/>
          <w:bCs/>
          <w:sz w:val="32"/>
          <w:szCs w:val="32"/>
          <w:lang w:val="en-US" w:eastAsia="zh-CN"/>
        </w:rPr>
        <w:t>四</w:t>
      </w:r>
      <w:r>
        <w:rPr>
          <w:rFonts w:hint="eastAsia" w:ascii="仿宋_GB2312" w:eastAsia="仿宋_GB2312"/>
          <w:b/>
          <w:bCs/>
          <w:sz w:val="32"/>
          <w:szCs w:val="32"/>
          <w:lang w:eastAsia="zh-CN"/>
        </w:rPr>
        <w:t>是</w:t>
      </w:r>
      <w:r>
        <w:rPr>
          <w:rFonts w:hint="eastAsia" w:ascii="仿宋_GB2312" w:eastAsia="仿宋_GB2312"/>
          <w:sz w:val="32"/>
          <w:szCs w:val="32"/>
        </w:rPr>
        <w:t>承办州政府和州政府领导交办的其他事项。</w:t>
      </w:r>
    </w:p>
    <w:p>
      <w:pPr>
        <w:pStyle w:val="4"/>
        <w:keepNext w:val="0"/>
        <w:keepLines w:val="0"/>
        <w:pageBreakBefore w:val="0"/>
        <w:widowControl/>
        <w:suppressLineNumbers w:val="0"/>
        <w:kinsoku/>
        <w:wordWrap/>
        <w:overflowPunct/>
        <w:autoSpaceDE/>
        <w:bidi w:val="0"/>
        <w:snapToGrid/>
        <w:spacing w:beforeAutospacing="0" w:afterAutospacing="0" w:line="520" w:lineRule="exact"/>
        <w:textAlignment w:val="auto"/>
      </w:pPr>
      <w:r>
        <w:t>二、2021年重点工作完成情况</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643" w:firstLineChars="200"/>
        <w:textAlignment w:val="auto"/>
        <w:rPr>
          <w:rFonts w:hint="eastAsia" w:ascii="仿宋_GB2312" w:eastAsia="仿宋_GB2312" w:cs="Times New Roman"/>
          <w:color w:val="000000"/>
          <w:spacing w:val="6"/>
          <w:sz w:val="32"/>
          <w:szCs w:val="32"/>
          <w:lang w:bidi="ar-SA"/>
        </w:rPr>
      </w:pPr>
      <w:r>
        <w:rPr>
          <w:rFonts w:ascii="Times New Roman" w:hAnsi="Times New Roman" w:eastAsia="楷体_GB2312"/>
          <w:b/>
          <w:color w:val="000000"/>
          <w:sz w:val="32"/>
          <w:szCs w:val="32"/>
        </w:rPr>
        <w:t>创新文会办理，严把质量关口</w:t>
      </w:r>
      <w:r>
        <w:rPr>
          <w:rFonts w:hint="eastAsia" w:ascii="楷体_GB2312" w:eastAsia="楷体_GB2312"/>
          <w:b/>
          <w:bCs/>
          <w:color w:val="000000"/>
          <w:sz w:val="32"/>
          <w:szCs w:val="32"/>
        </w:rPr>
        <w:t>。</w:t>
      </w:r>
      <w:r>
        <w:rPr>
          <w:rFonts w:hint="eastAsia" w:ascii="仿宋_GB2312" w:eastAsia="仿宋_GB2312"/>
          <w:color w:val="000000"/>
          <w:sz w:val="32"/>
          <w:szCs w:val="32"/>
        </w:rPr>
        <w:t>严格执行中央、省、州关于精简文件的要求，严控发文数量，强化对公文必要性、政策性、针对性、指导性和合法性的审核，切实把住收文、发文关，做到少行文、行短文。印发《关于进一步规范办文办会办事程序的通知》《关于进一步规范和提升州政府常务会议议事决策质效的通知》，</w:t>
      </w:r>
      <w:r>
        <w:rPr>
          <w:rFonts w:hint="eastAsia" w:ascii="仿宋_GB2312" w:eastAsia="仿宋_GB2312" w:cs="Times New Roman"/>
          <w:color w:val="000000"/>
          <w:spacing w:val="6"/>
          <w:sz w:val="32"/>
          <w:szCs w:val="32"/>
          <w:lang w:bidi="ar-SA"/>
        </w:rPr>
        <w:t>压实政府部门公文起草责任</w:t>
      </w:r>
      <w:r>
        <w:rPr>
          <w:rFonts w:hint="eastAsia" w:ascii="仿宋_GB2312" w:eastAsia="仿宋_GB2312"/>
          <w:color w:val="000000"/>
          <w:sz w:val="32"/>
          <w:szCs w:val="32"/>
          <w:lang w:val="en-US" w:eastAsia="zh-CN"/>
        </w:rPr>
        <w:t>，</w:t>
      </w:r>
      <w:r>
        <w:rPr>
          <w:rFonts w:hint="eastAsia" w:ascii="仿宋_GB2312" w:eastAsia="仿宋_GB2312" w:cs="Times New Roman"/>
          <w:color w:val="000000"/>
          <w:spacing w:val="6"/>
          <w:sz w:val="32"/>
          <w:szCs w:val="32"/>
          <w:lang w:bidi="ar-SA"/>
        </w:rPr>
        <w:t>从源头提升公文质量。</w:t>
      </w:r>
      <w:r>
        <w:rPr>
          <w:rFonts w:eastAsia="仿宋_GB2312"/>
          <w:bCs/>
          <w:color w:val="000000"/>
          <w:spacing w:val="0"/>
          <w:w w:val="100"/>
          <w:kern w:val="2"/>
          <w:sz w:val="32"/>
          <w:szCs w:val="32"/>
          <w:lang w:val="en-US" w:eastAsia="zh-CN" w:bidi="ar-SA"/>
        </w:rPr>
        <w:t>强化会议统筹，</w:t>
      </w:r>
      <w:r>
        <w:rPr>
          <w:rFonts w:hint="eastAsia" w:ascii="仿宋_GB2312" w:eastAsia="仿宋_GB2312"/>
          <w:color w:val="000000"/>
          <w:sz w:val="32"/>
          <w:szCs w:val="32"/>
          <w:lang w:bidi="ar-SA"/>
        </w:rPr>
        <w:t>从严执行</w:t>
      </w:r>
      <w:r>
        <w:rPr>
          <w:rFonts w:hint="eastAsia" w:ascii="仿宋_GB2312" w:eastAsia="仿宋_GB2312"/>
          <w:color w:val="000000"/>
          <w:sz w:val="32"/>
          <w:szCs w:val="32"/>
        </w:rPr>
        <w:t>会议备案、审批制度。</w:t>
      </w:r>
      <w:r>
        <w:rPr>
          <w:rFonts w:hint="eastAsia" w:ascii="仿宋_GB2312" w:eastAsia="仿宋_GB2312" w:cs="Times New Roman"/>
          <w:color w:val="000000"/>
          <w:spacing w:val="6"/>
          <w:sz w:val="32"/>
          <w:szCs w:val="32"/>
          <w:lang w:bidi="ar-SA"/>
        </w:rPr>
        <w:t>项目化推进专题会议服务保障，做到</w:t>
      </w:r>
      <w:r>
        <w:rPr>
          <w:rFonts w:hint="eastAsia" w:ascii="Times New Roman" w:hAnsi="Times New Roman" w:eastAsia="仿宋_GB2312" w:cs="仿宋_GB2312"/>
          <w:color w:val="000000"/>
          <w:kern w:val="0"/>
          <w:sz w:val="32"/>
          <w:szCs w:val="32"/>
          <w:lang w:bidi="ar-SA"/>
        </w:rPr>
        <w:t>会前准备充分、会中精心组织、会后督查落实。</w:t>
      </w:r>
      <w:r>
        <w:rPr>
          <w:rFonts w:hint="eastAsia" w:ascii="仿宋_GB2312" w:eastAsia="仿宋_GB2312" w:cs="Times New Roman"/>
          <w:color w:val="000000"/>
          <w:spacing w:val="6"/>
          <w:sz w:val="32"/>
          <w:szCs w:val="32"/>
          <w:lang w:bidi="ar-SA"/>
        </w:rPr>
        <w:t xml:space="preserve">加大会风会纪监督，借鉴省政府办公厅建立“一次提醒本人、二次通报单位、三次全州通报”会风会纪考核通报制度，坚决扭转松散拖沓的参会状况。  </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643" w:firstLineChars="200"/>
        <w:textAlignment w:val="auto"/>
        <w:rPr>
          <w:rFonts w:hint="eastAsia" w:ascii="仿宋_GB2312" w:eastAsia="仿宋_GB2312"/>
          <w:color w:val="000000"/>
          <w:spacing w:val="6"/>
          <w:sz w:val="32"/>
          <w:szCs w:val="32"/>
        </w:rPr>
      </w:pPr>
      <w:r>
        <w:rPr>
          <w:rFonts w:hint="eastAsia" w:ascii="楷体_GB2312" w:eastAsia="楷体_GB2312"/>
          <w:b/>
          <w:bCs/>
          <w:color w:val="000000"/>
          <w:sz w:val="32"/>
          <w:szCs w:val="32"/>
        </w:rPr>
        <w:t>强化</w:t>
      </w:r>
      <w:r>
        <w:rPr>
          <w:rFonts w:ascii="Times New Roman" w:hAnsi="Times New Roman" w:eastAsia="楷体_GB2312"/>
          <w:b/>
          <w:color w:val="000000"/>
          <w:sz w:val="32"/>
          <w:szCs w:val="32"/>
        </w:rPr>
        <w:t>调查研究，深化成果运用。</w:t>
      </w:r>
      <w:r>
        <w:rPr>
          <w:rFonts w:hint="eastAsia" w:ascii="仿宋_GB2312" w:eastAsia="仿宋_GB2312"/>
          <w:color w:val="000000"/>
          <w:sz w:val="32"/>
          <w:szCs w:val="32"/>
        </w:rPr>
        <w:t>按照“贴近中心、贴近领导、贴近实际”的原则，结合党史学习教育活动，广泛开展调查研究，为领导决策提供科学依据、有益参考。形成</w:t>
      </w:r>
      <w:r>
        <w:rPr>
          <w:rFonts w:hint="eastAsia" w:ascii="仿宋_GB2312" w:eastAsia="仿宋_GB2312" w:cs="仿宋_GB2312"/>
          <w:color w:val="000000"/>
          <w:kern w:val="0"/>
          <w:sz w:val="32"/>
          <w:szCs w:val="32"/>
          <w:lang w:bidi="ar-SA"/>
        </w:rPr>
        <w:t>《</w:t>
      </w:r>
      <w:r>
        <w:rPr>
          <w:rFonts w:hint="eastAsia" w:ascii="仿宋_GB2312" w:eastAsia="仿宋_GB2312" w:cs="仿宋_GB2312"/>
          <w:color w:val="000000"/>
          <w:sz w:val="32"/>
          <w:szCs w:val="32"/>
          <w:lang w:eastAsia="zh-CN" w:bidi="ar-SA"/>
        </w:rPr>
        <w:t>深入挖掘黄河文化时代价值，大力推动文旅融合创新发展—以黄河流域阿坝段为例》《“</w:t>
      </w:r>
      <w:r>
        <w:rPr>
          <w:rFonts w:hint="eastAsia" w:ascii="仿宋_GB2312" w:eastAsia="仿宋_GB2312" w:cs="仿宋_GB2312"/>
          <w:color w:val="000000"/>
          <w:sz w:val="32"/>
          <w:szCs w:val="32"/>
          <w:lang w:val="en-US" w:eastAsia="zh-CN" w:bidi="ar-SA"/>
        </w:rPr>
        <w:t>双碳</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val="en-US" w:eastAsia="zh-CN" w:bidi="ar-SA"/>
        </w:rPr>
        <w:t>背景下阿坝光伏产业的发展与研究</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kern w:val="0"/>
          <w:sz w:val="32"/>
          <w:szCs w:val="32"/>
          <w:lang w:bidi="ar-SA"/>
        </w:rPr>
        <w:t>等多篇调研报告。指导各县（市）政府、州政府各部门开展48个政务课题调研，加速推进</w:t>
      </w:r>
      <w:r>
        <w:rPr>
          <w:rFonts w:hint="eastAsia" w:ascii="仿宋_GB2312" w:eastAsia="仿宋_GB2312"/>
          <w:color w:val="000000"/>
          <w:sz w:val="32"/>
          <w:szCs w:val="32"/>
        </w:rPr>
        <w:t>调研成果转化。全年</w:t>
      </w:r>
      <w:r>
        <w:rPr>
          <w:rFonts w:hint="eastAsia" w:ascii="仿宋_GB2312" w:eastAsia="仿宋_GB2312" w:cs="仿宋_GB2312"/>
          <w:color w:val="000000"/>
          <w:kern w:val="0"/>
          <w:sz w:val="32"/>
          <w:szCs w:val="32"/>
          <w:lang w:bidi="ar-SA"/>
        </w:rPr>
        <w:t>完成州政府领导讲话、汇报材料、调研材料等重要文稿</w:t>
      </w:r>
      <w:r>
        <w:rPr>
          <w:rFonts w:hint="eastAsia" w:ascii="仿宋_GB2312" w:eastAsia="仿宋_GB2312" w:cs="Times New Roman"/>
          <w:color w:val="000000"/>
          <w:kern w:val="0"/>
          <w:sz w:val="32"/>
          <w:szCs w:val="32"/>
          <w:lang w:bidi="ar-SA"/>
        </w:rPr>
        <w:t>300</w:t>
      </w:r>
      <w:r>
        <w:rPr>
          <w:rFonts w:hint="eastAsia" w:ascii="仿宋_GB2312" w:eastAsia="仿宋_GB2312" w:cs="仿宋_GB2312"/>
          <w:color w:val="000000"/>
          <w:kern w:val="0"/>
          <w:sz w:val="32"/>
          <w:szCs w:val="32"/>
          <w:lang w:bidi="ar-SA"/>
        </w:rPr>
        <w:t>余篇。</w:t>
      </w:r>
    </w:p>
    <w:p>
      <w:pPr>
        <w:keepNext w:val="0"/>
        <w:keepLines w:val="0"/>
        <w:pageBreakBefore w:val="0"/>
        <w:widowControl w:val="0"/>
        <w:kinsoku/>
        <w:wordWrap/>
        <w:overflowPunct/>
        <w:topLinePunct/>
        <w:autoSpaceDE/>
        <w:bidi w:val="0"/>
        <w:adjustRightInd w:val="0"/>
        <w:snapToGrid/>
        <w:spacing w:beforeAutospacing="0" w:afterAutospacing="0" w:line="520" w:lineRule="exact"/>
        <w:ind w:firstLine="803" w:firstLineChars="250"/>
        <w:textAlignment w:val="auto"/>
        <w:rPr>
          <w:rFonts w:hint="eastAsia" w:ascii="仿宋_GB2312" w:eastAsia="仿宋_GB2312"/>
          <w:bCs/>
          <w:color w:val="000000"/>
          <w:sz w:val="32"/>
          <w:szCs w:val="32"/>
          <w:highlight w:val="yellow"/>
        </w:rPr>
      </w:pPr>
      <w:r>
        <w:rPr>
          <w:rFonts w:ascii="Times New Roman" w:hAnsi="Times New Roman" w:eastAsia="楷体_GB2312"/>
          <w:b/>
          <w:color w:val="000000"/>
          <w:sz w:val="32"/>
          <w:szCs w:val="32"/>
        </w:rPr>
        <w:t>加强效能建设，狠抓督查督办。</w:t>
      </w:r>
      <w:r>
        <w:rPr>
          <w:rFonts w:hint="eastAsia" w:ascii="仿宋_GB2312" w:eastAsia="仿宋_GB2312" w:cs="仿宋_GB2312"/>
          <w:color w:val="000000"/>
          <w:kern w:val="0"/>
          <w:sz w:val="32"/>
          <w:szCs w:val="32"/>
          <w:lang w:bidi="ar-SA"/>
        </w:rPr>
        <w:t>严格落实</w:t>
      </w:r>
      <w:r>
        <w:rPr>
          <w:rFonts w:hint="eastAsia" w:ascii="仿宋_GB2312" w:eastAsia="仿宋_GB2312"/>
          <w:color w:val="000000"/>
          <w:sz w:val="32"/>
          <w:szCs w:val="32"/>
        </w:rPr>
        <w:t>“专人负责、及时跟踪、马上督办”机制，以重大决策、重要会议、重点工作和领导批示为督查督办重点，通过建立台账、逐项交办、适时提醒、跟踪督办、典型通报等渐进式工作法，深入开展跟踪督查，做到决策不落实不松劲、批示不办结不放松。</w:t>
      </w:r>
      <w:r>
        <w:rPr>
          <w:rFonts w:hint="eastAsia" w:ascii="仿宋_GB2312" w:eastAsia="仿宋_GB2312" w:cs="Times New Roman"/>
          <w:color w:val="000000"/>
          <w:spacing w:val="6"/>
          <w:sz w:val="32"/>
          <w:szCs w:val="32"/>
          <w:lang w:bidi="ar-SA"/>
        </w:rPr>
        <w:t>围绕“互联网+监管”、深化“放管服”、推进“一网通办”等工作，强化系统研究、工作推进和跟踪问效。</w:t>
      </w:r>
    </w:p>
    <w:p>
      <w:pPr>
        <w:pStyle w:val="12"/>
        <w:keepNext w:val="0"/>
        <w:keepLines w:val="0"/>
        <w:pageBreakBefore w:val="0"/>
        <w:widowControl w:val="0"/>
        <w:pBdr>
          <w:bottom w:val="single" w:color="FFFFFF" w:sz="4" w:space="31"/>
        </w:pBdr>
        <w:kinsoku/>
        <w:wordWrap/>
        <w:overflowPunct/>
        <w:topLinePunct/>
        <w:autoSpaceDE/>
        <w:autoSpaceDN w:val="0"/>
        <w:bidi w:val="0"/>
        <w:snapToGrid/>
        <w:spacing w:before="0" w:beforeAutospacing="0" w:after="0" w:afterAutospacing="0" w:line="520" w:lineRule="exact"/>
        <w:ind w:firstLine="803" w:firstLineChars="250"/>
        <w:jc w:val="both"/>
        <w:textAlignment w:val="auto"/>
        <w:rPr>
          <w:rFonts w:hint="eastAsia" w:ascii="仿宋_GB2312" w:eastAsia="仿宋_GB2312"/>
          <w:color w:val="000000"/>
          <w:sz w:val="32"/>
          <w:szCs w:val="32"/>
        </w:rPr>
      </w:pPr>
      <w:r>
        <w:rPr>
          <w:rFonts w:ascii="Times New Roman" w:hAnsi="Times New Roman" w:eastAsia="楷体_GB2312"/>
          <w:b/>
          <w:color w:val="000000"/>
          <w:sz w:val="32"/>
          <w:szCs w:val="32"/>
        </w:rPr>
        <w:t>畅通信息渠道，推进政务公开。</w:t>
      </w:r>
      <w:r>
        <w:rPr>
          <w:rFonts w:hint="eastAsia" w:ascii="仿宋_GB2312" w:eastAsia="仿宋_GB2312"/>
          <w:color w:val="000000"/>
          <w:sz w:val="32"/>
          <w:szCs w:val="32"/>
        </w:rPr>
        <w:t>组织开展州级部门在线访谈24期，发布民意征集和网上调查215期。全面落实政务公开清单管理，编制完成涵盖州、县（市）、乡（镇）共700余个单位的政府信息主动公开基本目录、试点领域基层政务公开标准目录。建立上下联动、整体发声的新媒体矩阵，多维度、全方位及时公开政府信息。</w:t>
      </w:r>
    </w:p>
    <w:p>
      <w:pPr>
        <w:pStyle w:val="12"/>
        <w:keepNext w:val="0"/>
        <w:keepLines w:val="0"/>
        <w:pageBreakBefore w:val="0"/>
        <w:widowControl w:val="0"/>
        <w:pBdr>
          <w:bottom w:val="single" w:color="FFFFFF" w:sz="4" w:space="31"/>
        </w:pBdr>
        <w:kinsoku/>
        <w:wordWrap/>
        <w:overflowPunct/>
        <w:topLinePunct/>
        <w:autoSpaceDE/>
        <w:autoSpaceDN w:val="0"/>
        <w:bidi w:val="0"/>
        <w:snapToGrid/>
        <w:spacing w:before="0" w:beforeAutospacing="0" w:after="0" w:afterAutospacing="0" w:line="520" w:lineRule="exact"/>
        <w:ind w:left="0" w:firstLine="643" w:firstLineChars="200"/>
        <w:jc w:val="both"/>
        <w:textAlignment w:val="auto"/>
        <w:rPr>
          <w:rFonts w:hint="eastAsia" w:ascii="仿宋_GB2312" w:eastAsia="仿宋_GB2312" w:cs="仿宋_GB2312"/>
          <w:color w:val="000000"/>
          <w:kern w:val="0"/>
          <w:sz w:val="32"/>
          <w:szCs w:val="32"/>
          <w:lang w:bidi="ar-SA"/>
        </w:rPr>
      </w:pPr>
      <w:r>
        <w:rPr>
          <w:rFonts w:ascii="Times New Roman" w:hAnsi="Times New Roman" w:eastAsia="楷体_GB2312"/>
          <w:b/>
          <w:color w:val="000000"/>
          <w:sz w:val="32"/>
          <w:szCs w:val="32"/>
        </w:rPr>
        <w:t>坚持上下联动，强化信息服务。</w:t>
      </w:r>
      <w:r>
        <w:rPr>
          <w:rFonts w:hint="eastAsia" w:ascii="仿宋_GB2312" w:eastAsia="仿宋_GB2312"/>
          <w:color w:val="000000"/>
          <w:sz w:val="32"/>
          <w:szCs w:val="32"/>
        </w:rPr>
        <w:t>实行“月提醒、季度通报、年度考核”督促考核机制，</w:t>
      </w:r>
      <w:r>
        <w:rPr>
          <w:rFonts w:hint="eastAsia" w:ascii="Times New Roman" w:hAnsi="Times New Roman" w:eastAsia="仿宋_GB2312" w:cs="仿宋_GB2312"/>
          <w:color w:val="000000"/>
          <w:kern w:val="0"/>
          <w:sz w:val="32"/>
          <w:szCs w:val="32"/>
          <w:lang w:bidi="ar-SA"/>
        </w:rPr>
        <w:t>主动对接信息采编重点，提升政务信息质量、时效和深度</w:t>
      </w:r>
      <w:r>
        <w:rPr>
          <w:rFonts w:ascii="Times New Roman" w:hAnsi="Times New Roman" w:eastAsia="仿宋_GB2312" w:cs="仿宋_GB2312"/>
          <w:color w:val="000000"/>
          <w:kern w:val="0"/>
          <w:sz w:val="32"/>
          <w:szCs w:val="32"/>
          <w:lang w:bidi="ar-SA"/>
        </w:rPr>
        <w:t>。</w:t>
      </w:r>
      <w:r>
        <w:rPr>
          <w:rFonts w:hint="eastAsia" w:ascii="Times New Roman" w:hAnsi="Times New Roman" w:eastAsia="仿宋_GB2312" w:cs="仿宋_GB2312"/>
          <w:color w:val="000000"/>
          <w:kern w:val="0"/>
          <w:sz w:val="32"/>
          <w:szCs w:val="32"/>
          <w:lang w:bidi="ar-SA"/>
        </w:rPr>
        <w:t>从完善信息保障、提升业务能力、夯实信息保障</w:t>
      </w:r>
      <w:r>
        <w:rPr>
          <w:rFonts w:ascii="Times New Roman" w:hAnsi="Times New Roman" w:eastAsia="仿宋_GB2312" w:cs="仿宋_GB2312"/>
          <w:color w:val="000000"/>
          <w:kern w:val="0"/>
          <w:sz w:val="32"/>
          <w:szCs w:val="32"/>
          <w:lang w:bidi="ar-SA"/>
        </w:rPr>
        <w:t>网络</w:t>
      </w:r>
      <w:r>
        <w:rPr>
          <w:rFonts w:hint="eastAsia" w:ascii="Times New Roman" w:hAnsi="Times New Roman" w:eastAsia="仿宋_GB2312" w:cs="仿宋_GB2312"/>
          <w:color w:val="000000"/>
          <w:kern w:val="0"/>
          <w:sz w:val="32"/>
          <w:szCs w:val="32"/>
          <w:lang w:bidi="ar-SA"/>
        </w:rPr>
        <w:t>、加强直报点管理</w:t>
      </w:r>
      <w:r>
        <w:rPr>
          <w:rFonts w:hint="eastAsia" w:ascii="仿宋_GB2312" w:eastAsia="仿宋_GB2312" w:cs="仿宋_GB2312"/>
          <w:color w:val="000000"/>
          <w:kern w:val="0"/>
          <w:sz w:val="32"/>
          <w:szCs w:val="32"/>
          <w:lang w:bidi="ar-SA"/>
        </w:rPr>
        <w:t>入手，</w:t>
      </w:r>
      <w:r>
        <w:rPr>
          <w:rFonts w:ascii="Times New Roman" w:hAnsi="Times New Roman" w:eastAsia="仿宋_GB2312" w:cs="仿宋_GB2312"/>
          <w:color w:val="000000"/>
          <w:kern w:val="0"/>
          <w:sz w:val="32"/>
          <w:szCs w:val="32"/>
          <w:lang w:bidi="ar-SA"/>
        </w:rPr>
        <w:t>积极</w:t>
      </w:r>
      <w:r>
        <w:rPr>
          <w:rFonts w:hint="eastAsia" w:ascii="仿宋_GB2312" w:eastAsia="仿宋_GB2312" w:cs="仿宋_GB2312"/>
          <w:color w:val="000000"/>
          <w:kern w:val="0"/>
          <w:sz w:val="32"/>
          <w:szCs w:val="32"/>
          <w:lang w:bidi="ar-SA"/>
        </w:rPr>
        <w:t>提供有价值、可借鉴的经验信息供领导参阅。</w:t>
      </w:r>
    </w:p>
    <w:p>
      <w:pPr>
        <w:pStyle w:val="12"/>
        <w:keepNext w:val="0"/>
        <w:keepLines w:val="0"/>
        <w:pageBreakBefore w:val="0"/>
        <w:widowControl w:val="0"/>
        <w:pBdr>
          <w:bottom w:val="single" w:color="FFFFFF" w:sz="4" w:space="31"/>
        </w:pBdr>
        <w:kinsoku/>
        <w:wordWrap/>
        <w:overflowPunct/>
        <w:topLinePunct/>
        <w:autoSpaceDE/>
        <w:autoSpaceDN w:val="0"/>
        <w:bidi w:val="0"/>
        <w:snapToGrid/>
        <w:spacing w:before="0" w:beforeAutospacing="0" w:after="0" w:afterAutospacing="0" w:line="520" w:lineRule="exact"/>
        <w:ind w:left="0" w:firstLine="643" w:firstLineChars="200"/>
        <w:jc w:val="both"/>
        <w:textAlignment w:val="auto"/>
        <w:rPr>
          <w:rFonts w:hint="eastAsia" w:ascii="仿宋_GB2312" w:eastAsia="仿宋_GB2312" w:cs="仿宋_GB2312"/>
          <w:color w:val="000000"/>
          <w:sz w:val="32"/>
          <w:szCs w:val="32"/>
          <w:lang w:bidi="ar-SA"/>
        </w:rPr>
      </w:pPr>
      <w:r>
        <w:rPr>
          <w:rFonts w:hint="eastAsia" w:ascii="楷体_GB2312" w:eastAsia="楷体_GB2312" w:cs="楷体_GB2312"/>
          <w:b/>
          <w:bCs/>
          <w:color w:val="000000"/>
          <w:kern w:val="0"/>
          <w:sz w:val="32"/>
          <w:szCs w:val="32"/>
          <w:lang w:bidi="ar-SA"/>
        </w:rPr>
        <w:t>科学下达指标，规范绩效管理。</w:t>
      </w:r>
      <w:r>
        <w:rPr>
          <w:rFonts w:hint="eastAsia" w:ascii="仿宋_GB2312" w:eastAsia="仿宋_GB2312" w:cs="楷体_GB2312"/>
          <w:color w:val="000000"/>
          <w:kern w:val="0"/>
          <w:sz w:val="32"/>
          <w:szCs w:val="32"/>
          <w:lang w:bidi="ar-SA"/>
        </w:rPr>
        <w:t>修订完善</w:t>
      </w:r>
      <w:r>
        <w:rPr>
          <w:rFonts w:hint="eastAsia" w:ascii="仿宋_GB2312" w:eastAsia="仿宋_GB2312"/>
          <w:color w:val="000000"/>
          <w:sz w:val="32"/>
          <w:szCs w:val="32"/>
        </w:rPr>
        <w:t>《阿坝州县（市）目标管理办法》《阿坝州州直部门（单位）绩效管理办法》《阿坝州县（市）、州直部门（单位）目标绩效管理加扣分标准》，科学下达2021年度各县（市）、州直部门（单位）绩效考评指标，组织完成2020年度目标绩效管理考核工作。及时分解下达</w:t>
      </w:r>
      <w:r>
        <w:rPr>
          <w:rFonts w:hint="eastAsia" w:ascii="仿宋_GB2312" w:eastAsia="仿宋_GB2312" w:cs="仿宋_GB2312"/>
          <w:color w:val="000000"/>
          <w:sz w:val="32"/>
          <w:szCs w:val="32"/>
          <w:lang w:bidi="ar-SA"/>
        </w:rPr>
        <w:t>民生实事项目到各县（市）和州级责任部门，定期开展督查考核。</w:t>
      </w:r>
    </w:p>
    <w:p>
      <w:pPr>
        <w:pStyle w:val="12"/>
        <w:keepNext w:val="0"/>
        <w:keepLines w:val="0"/>
        <w:pageBreakBefore w:val="0"/>
        <w:widowControl w:val="0"/>
        <w:pBdr>
          <w:bottom w:val="single" w:color="FFFFFF" w:sz="4" w:space="31"/>
        </w:pBdr>
        <w:kinsoku/>
        <w:wordWrap/>
        <w:overflowPunct/>
        <w:topLinePunct/>
        <w:autoSpaceDE/>
        <w:autoSpaceDN w:val="0"/>
        <w:bidi w:val="0"/>
        <w:snapToGrid/>
        <w:spacing w:before="0" w:beforeAutospacing="0" w:after="0" w:afterAutospacing="0" w:line="520" w:lineRule="exact"/>
        <w:ind w:left="0" w:firstLine="643" w:firstLineChars="200"/>
        <w:jc w:val="both"/>
        <w:textAlignment w:val="auto"/>
        <w:rPr>
          <w:rFonts w:hint="eastAsia" w:ascii="仿宋_GB2312" w:eastAsia="仿宋_GB2312"/>
          <w:color w:val="000000"/>
          <w:sz w:val="32"/>
          <w:szCs w:val="32"/>
        </w:rPr>
      </w:pPr>
      <w:r>
        <w:rPr>
          <w:rFonts w:hint="eastAsia" w:ascii="楷体_GB2312" w:eastAsia="楷体_GB2312"/>
          <w:b/>
          <w:bCs/>
          <w:color w:val="000000"/>
          <w:sz w:val="32"/>
          <w:szCs w:val="32"/>
        </w:rPr>
        <w:t>统筹人员调配，强化值班值守。</w:t>
      </w:r>
      <w:r>
        <w:rPr>
          <w:rFonts w:hint="eastAsia" w:ascii="仿宋_GB2312" w:eastAsia="仿宋_GB2312"/>
          <w:color w:val="000000"/>
          <w:sz w:val="32"/>
          <w:szCs w:val="32"/>
        </w:rPr>
        <w:t>严格执行24小时专人在岗值班制度，实行办公室县级领导、科级及以下干部全员值班。</w:t>
      </w:r>
      <w:r>
        <w:rPr>
          <w:rFonts w:hint="eastAsia" w:ascii="仿宋_GB2312" w:eastAsia="仿宋_GB2312"/>
          <w:bCs/>
          <w:color w:val="000000"/>
          <w:sz w:val="32"/>
          <w:szCs w:val="32"/>
          <w:lang w:bidi="ar-SA"/>
        </w:rPr>
        <w:t>结合汛期、敏感期等重点时段，动态调配值班力量，确保工作任务接续不断</w:t>
      </w:r>
      <w:r>
        <w:rPr>
          <w:rFonts w:hint="eastAsia" w:ascii="仿宋_GB2312" w:eastAsia="仿宋_GB2312" w:cs="Times New Roman"/>
          <w:bCs/>
          <w:color w:val="000000"/>
          <w:spacing w:val="6"/>
          <w:kern w:val="2"/>
          <w:sz w:val="32"/>
          <w:szCs w:val="32"/>
          <w:lang w:bidi="ar-SA"/>
        </w:rPr>
        <w:t>。严格突发事件信息报送，</w:t>
      </w:r>
      <w:r>
        <w:rPr>
          <w:rFonts w:hint="eastAsia" w:ascii="仿宋_GB2312" w:eastAsia="仿宋_GB2312"/>
          <w:color w:val="000000"/>
          <w:sz w:val="32"/>
          <w:szCs w:val="32"/>
        </w:rPr>
        <w:t>做到首报快速、续报精准。</w:t>
      </w:r>
    </w:p>
    <w:p>
      <w:pPr>
        <w:pStyle w:val="12"/>
        <w:keepNext w:val="0"/>
        <w:keepLines w:val="0"/>
        <w:pageBreakBefore w:val="0"/>
        <w:widowControl w:val="0"/>
        <w:pBdr>
          <w:bottom w:val="single" w:color="FFFFFF" w:sz="4" w:space="31"/>
        </w:pBdr>
        <w:kinsoku/>
        <w:wordWrap/>
        <w:overflowPunct/>
        <w:topLinePunct/>
        <w:autoSpaceDE/>
        <w:autoSpaceDN w:val="0"/>
        <w:bidi w:val="0"/>
        <w:snapToGrid/>
        <w:spacing w:before="0" w:beforeAutospacing="0" w:after="0" w:afterAutospacing="0" w:line="520" w:lineRule="exact"/>
        <w:ind w:firstLine="643" w:firstLineChars="200"/>
        <w:jc w:val="both"/>
        <w:textAlignment w:val="auto"/>
        <w:rPr>
          <w:rFonts w:hint="eastAsia" w:ascii="楷体_GB2312" w:eastAsia="楷体_GB2312"/>
          <w:b/>
          <w:bCs/>
          <w:color w:val="000000"/>
          <w:sz w:val="32"/>
          <w:szCs w:val="32"/>
        </w:rPr>
      </w:pPr>
      <w:r>
        <w:rPr>
          <w:rFonts w:hint="eastAsia" w:ascii="仿宋_GB2312" w:eastAsia="仿宋_GB2312"/>
          <w:b/>
          <w:color w:val="000000"/>
          <w:sz w:val="32"/>
          <w:szCs w:val="32"/>
        </w:rPr>
        <w:t>健全规章制度，强化规范管理。</w:t>
      </w:r>
      <w:r>
        <w:rPr>
          <w:rFonts w:hint="eastAsia" w:ascii="仿宋_GB2312" w:eastAsia="仿宋_GB2312"/>
          <w:color w:val="000000"/>
          <w:sz w:val="32"/>
          <w:szCs w:val="32"/>
        </w:rPr>
        <w:t>针对文件运转个别环节职责模糊等问题，分类细化标准和权限，强化流程再造，推进公文处理规范化、标准化。从严执行印章管理制度，建立印章管理台账，做到印章使用可查询、能监督，确保了印章使用管理规范安全。严格落实科室例会制度，定期分析和整改问题，交流好经验、好做法，“三服务”能力进一步提升。强化保密宣传教育，着重抓好定密管理、涉密人员管理、网络保密管理等工作，切实筑牢保密防线。</w:t>
      </w:r>
    </w:p>
    <w:p>
      <w:pPr>
        <w:pStyle w:val="12"/>
        <w:keepNext w:val="0"/>
        <w:keepLines w:val="0"/>
        <w:pageBreakBefore w:val="0"/>
        <w:pBdr>
          <w:bottom w:val="single" w:color="FFFFFF" w:sz="4" w:space="31"/>
        </w:pBdr>
        <w:kinsoku/>
        <w:wordWrap/>
        <w:overflowPunct/>
        <w:topLinePunct/>
        <w:autoSpaceDE/>
        <w:autoSpaceDN w:val="0"/>
        <w:bidi w:val="0"/>
        <w:snapToGrid/>
        <w:spacing w:before="0" w:beforeAutospacing="0" w:after="0" w:afterAutospacing="0" w:line="520" w:lineRule="exact"/>
        <w:ind w:firstLine="803" w:firstLineChars="250"/>
        <w:jc w:val="both"/>
        <w:textAlignment w:val="auto"/>
        <w:rPr>
          <w:rFonts w:hint="eastAsia" w:ascii="仿宋_GB2312" w:eastAsia="仿宋_GB2312"/>
          <w:color w:val="000000"/>
          <w:sz w:val="32"/>
          <w:szCs w:val="32"/>
        </w:rPr>
      </w:pPr>
      <w:r>
        <w:rPr>
          <w:rFonts w:ascii="Times New Roman" w:hAnsi="Times New Roman" w:eastAsia="楷体_GB2312"/>
          <w:b/>
          <w:color w:val="000000"/>
          <w:sz w:val="32"/>
          <w:szCs w:val="32"/>
        </w:rPr>
        <w:t>创新管理方式，提升后勤保障。</w:t>
      </w:r>
      <w:r>
        <w:rPr>
          <w:rFonts w:hint="eastAsia" w:ascii="仿宋_GB2312" w:eastAsia="仿宋_GB2312"/>
          <w:color w:val="000000"/>
          <w:sz w:val="32"/>
          <w:szCs w:val="32"/>
        </w:rPr>
        <w:t>坚决执行中央、省、州关于厉行节约、反对铺张浪费的规定，强化财务管理，严格执行预算，有序推进财务支出，保障各项公务活动正常开展，严控“三公经费”。进一步规范采购行为，提高采购资金效益。扎实开展公务用车安全管理专项教育整治，加强驾驶人员安全教育，</w:t>
      </w:r>
      <w:r>
        <w:rPr>
          <w:rFonts w:hint="eastAsia" w:ascii="仿宋_GB2312" w:eastAsia="仿宋_GB2312" w:cs="宋体"/>
          <w:color w:val="000000"/>
          <w:sz w:val="32"/>
          <w:szCs w:val="32"/>
          <w:lang w:eastAsia="zh-CN" w:bidi="ar-SA"/>
        </w:rPr>
        <w:t>形成学习笔记、心得体会。常态化落实疫情防控措施，深入</w:t>
      </w:r>
      <w:r>
        <w:rPr>
          <w:rFonts w:hint="eastAsia" w:ascii="仿宋_GB2312" w:eastAsia="仿宋_GB2312"/>
          <w:color w:val="000000"/>
          <w:sz w:val="32"/>
          <w:szCs w:val="32"/>
        </w:rPr>
        <w:t>开展节能降耗和环境卫生整治，</w:t>
      </w:r>
      <w:r>
        <w:rPr>
          <w:rFonts w:ascii="Times New Roman" w:hAnsi="Times New Roman" w:eastAsia="仿宋_GB2312" w:cs="Times New Roman"/>
          <w:color w:val="000000"/>
          <w:sz w:val="32"/>
          <w:szCs w:val="32"/>
          <w:lang w:bidi="ar-SA"/>
        </w:rPr>
        <w:t>积极打造绿色节能示范机关</w:t>
      </w:r>
      <w:r>
        <w:rPr>
          <w:rFonts w:hint="eastAsia" w:ascii="仿宋_GB2312" w:eastAsia="仿宋_GB2312"/>
          <w:color w:val="000000"/>
          <w:sz w:val="32"/>
          <w:szCs w:val="32"/>
        </w:rPr>
        <w:t>。</w:t>
      </w:r>
    </w:p>
    <w:p/>
    <w:p>
      <w:pPr>
        <w:pStyle w:val="3"/>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pPr>
      <w:r>
        <w:t>第二部分 2021年度单位决算情况说明</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540" w:lineRule="exact"/>
        <w:ind w:left="36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一、</w:t>
      </w:r>
      <w:r>
        <w:rPr>
          <w:rFonts w:hint="eastAsia" w:ascii="仿宋_GB2312" w:eastAsia="仿宋_GB2312" w:cs="仿宋_GB2312"/>
          <w:sz w:val="32"/>
          <w:szCs w:val="32"/>
        </w:rPr>
        <w:t>收入支出决算总体情况说明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ascii="仿宋_GB2312" w:eastAsia="仿宋_GB2312" w:cs="仿宋_GB2312"/>
          <w:sz w:val="32"/>
          <w:szCs w:val="32"/>
          <w:lang w:val="en-US" w:eastAsia="zh-CN"/>
        </w:rPr>
      </w:pPr>
      <w:r>
        <w:rPr>
          <w:rFonts w:hint="eastAsia" w:ascii="仿宋_GB2312" w:eastAsia="仿宋_GB2312" w:cs="仿宋_GB2312"/>
          <w:sz w:val="32"/>
          <w:szCs w:val="32"/>
        </w:rPr>
        <w:t>2021年</w:t>
      </w:r>
      <w:r>
        <w:rPr>
          <w:rFonts w:hint="eastAsia" w:ascii="仿宋_GB2312" w:eastAsia="仿宋_GB2312" w:cs="仿宋_GB2312"/>
          <w:sz w:val="32"/>
          <w:szCs w:val="32"/>
          <w:highlight w:val="none"/>
        </w:rPr>
        <w:t>度收</w:t>
      </w:r>
      <w:r>
        <w:rPr>
          <w:rFonts w:hint="eastAsia" w:ascii="仿宋_GB2312" w:eastAsia="仿宋_GB2312" w:cs="仿宋_GB2312"/>
          <w:sz w:val="32"/>
          <w:szCs w:val="32"/>
          <w:highlight w:val="none"/>
          <w:lang w:val="en-US" w:eastAsia="zh-CN"/>
        </w:rPr>
        <w:t>入</w:t>
      </w:r>
      <w:r>
        <w:rPr>
          <w:rFonts w:hint="eastAsia" w:ascii="仿宋_GB2312" w:eastAsia="仿宋_GB2312" w:cs="仿宋_GB2312"/>
          <w:sz w:val="32"/>
          <w:szCs w:val="32"/>
          <w:highlight w:val="none"/>
        </w:rPr>
        <w:t>4,030.61万元、支</w:t>
      </w:r>
      <w:r>
        <w:rPr>
          <w:rFonts w:hint="eastAsia" w:ascii="仿宋_GB2312" w:eastAsia="仿宋_GB2312" w:cs="仿宋_GB2312"/>
          <w:sz w:val="32"/>
          <w:szCs w:val="32"/>
          <w:highlight w:val="none"/>
          <w:lang w:val="en-US" w:eastAsia="zh-CN"/>
        </w:rPr>
        <w:t>出</w:t>
      </w:r>
      <w:r>
        <w:rPr>
          <w:rFonts w:hint="eastAsia" w:ascii="仿宋_GB2312" w:eastAsia="仿宋_GB2312" w:cs="仿宋_GB2312"/>
          <w:sz w:val="32"/>
          <w:szCs w:val="32"/>
          <w:highlight w:val="none"/>
        </w:rPr>
        <w:t>4,030.61万元。与</w:t>
      </w:r>
      <w:r>
        <w:rPr>
          <w:rFonts w:hint="eastAsia" w:ascii="仿宋_GB2312" w:eastAsia="仿宋_GB2312" w:cs="仿宋_GB2312"/>
          <w:sz w:val="32"/>
          <w:szCs w:val="32"/>
        </w:rPr>
        <w:t>2020年相比，收、支各增加316.07万元，增长8.51%。主要变动原因</w:t>
      </w:r>
      <w:r>
        <w:rPr>
          <w:rStyle w:val="11"/>
          <w:rFonts w:hint="eastAsia" w:ascii="仿宋_GB2312" w:eastAsia="仿宋_GB2312" w:cs="仿宋_GB2312"/>
          <w:sz w:val="32"/>
          <w:szCs w:val="32"/>
          <w:lang w:val="en-US" w:eastAsia="zh-CN"/>
        </w:rPr>
        <w:t>一是</w:t>
      </w:r>
      <w:r>
        <w:rPr>
          <w:rStyle w:val="11"/>
          <w:rFonts w:hint="eastAsia" w:ascii="仿宋_GB2312" w:eastAsia="仿宋_GB2312" w:cs="仿宋_GB2312"/>
          <w:b w:val="0"/>
          <w:bCs w:val="0"/>
          <w:sz w:val="32"/>
          <w:szCs w:val="32"/>
          <w:lang w:val="en-US" w:eastAsia="zh-CN"/>
        </w:rPr>
        <w:t>项目经费较上年增加251.2万元；</w:t>
      </w:r>
      <w:r>
        <w:rPr>
          <w:rStyle w:val="11"/>
          <w:rFonts w:hint="eastAsia" w:ascii="仿宋_GB2312" w:eastAsia="仿宋_GB2312" w:cs="仿宋_GB2312"/>
          <w:b/>
          <w:bCs/>
          <w:sz w:val="32"/>
          <w:szCs w:val="32"/>
          <w:lang w:val="en-US" w:eastAsia="zh-CN"/>
        </w:rPr>
        <w:t>二是</w:t>
      </w:r>
      <w:r>
        <w:rPr>
          <w:rStyle w:val="11"/>
          <w:rFonts w:hint="eastAsia" w:ascii="仿宋_GB2312" w:eastAsia="仿宋_GB2312" w:cs="仿宋_GB2312"/>
          <w:b w:val="0"/>
          <w:bCs w:val="0"/>
          <w:sz w:val="32"/>
          <w:szCs w:val="32"/>
          <w:lang w:val="en-US" w:eastAsia="zh-CN"/>
        </w:rPr>
        <w:t>2021年目标奖基数调整津贴补贴上涨203.06万元，</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我单位退休职工去世2人，抚恤金增加55.14万元；</w:t>
      </w: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lang w:val="en-US" w:eastAsia="zh-CN"/>
        </w:rPr>
        <w:t>公务用车运行费增加42.7万；</w:t>
      </w:r>
      <w:r>
        <w:rPr>
          <w:rFonts w:hint="eastAsia" w:ascii="仿宋_GB2312" w:eastAsia="仿宋_GB2312" w:cs="仿宋_GB2312"/>
          <w:b/>
          <w:bCs/>
          <w:sz w:val="32"/>
          <w:szCs w:val="32"/>
          <w:lang w:val="en-US" w:eastAsia="zh-CN"/>
        </w:rPr>
        <w:t>五是</w:t>
      </w:r>
      <w:r>
        <w:rPr>
          <w:rFonts w:hint="eastAsia" w:ascii="仿宋_GB2312" w:eastAsia="仿宋_GB2312" w:cs="仿宋_GB2312"/>
          <w:sz w:val="32"/>
          <w:szCs w:val="32"/>
          <w:lang w:val="en-US" w:eastAsia="zh-CN"/>
        </w:rPr>
        <w:t>其他商品服务支出、会议费、生活补助、邮电费、电费较上年有所下降。</w:t>
      </w:r>
    </w:p>
    <w:p>
      <w:pPr>
        <w:pStyle w:val="8"/>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eastAsia="仿宋_GB2312" w:cs="仿宋_GB2312"/>
          <w:sz w:val="32"/>
          <w:szCs w:val="32"/>
        </w:rPr>
      </w:pPr>
      <w:r>
        <w:rPr>
          <w:rFonts w:hint="eastAsia" w:asci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133985</wp:posOffset>
            </wp:positionH>
            <wp:positionV relativeFrom="paragraph">
              <wp:posOffset>106045</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eastAsia="仿宋_GB2312" w:cs="仿宋_GB2312"/>
          <w:sz w:val="32"/>
          <w:szCs w:val="32"/>
        </w:rPr>
        <w:t> </w:t>
      </w:r>
      <w:r>
        <w:rPr>
          <w:rFonts w:hint="eastAsia" w:ascii="仿宋_GB2312" w:eastAsia="仿宋_GB2312" w:cs="仿宋_GB2312"/>
          <w:sz w:val="32"/>
          <w:szCs w:val="32"/>
          <w:lang w:val="en-US" w:eastAsia="zh-CN"/>
        </w:rPr>
        <w:t>二、</w:t>
      </w:r>
      <w:r>
        <w:rPr>
          <w:rFonts w:hint="eastAsia" w:ascii="仿宋_GB2312" w:eastAsia="仿宋_GB2312" w:cs="仿宋_GB2312"/>
          <w:sz w:val="32"/>
          <w:szCs w:val="32"/>
        </w:rPr>
        <w:t>收入决算情况说明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rPr>
      </w:pPr>
      <w:r>
        <w:rPr>
          <w:rFonts w:hint="eastAsia" w:ascii="黑体" w:eastAsia="黑体" w:cs="Times New Roman"/>
          <w:color w:val="000000"/>
          <w:kern w:val="2"/>
          <w:sz w:val="32"/>
          <w:szCs w:val="32"/>
          <w:lang w:val="en-US" w:eastAsia="zh-CN" w:bidi="ar-SA"/>
        </w:rPr>
        <w:drawing>
          <wp:anchor distT="0" distB="0" distL="114300" distR="114300" simplePos="0" relativeHeight="251661312" behindDoc="0" locked="0" layoutInCell="1" allowOverlap="1">
            <wp:simplePos x="0" y="0"/>
            <wp:positionH relativeFrom="column">
              <wp:posOffset>162560</wp:posOffset>
            </wp:positionH>
            <wp:positionV relativeFrom="paragraph">
              <wp:posOffset>2927350</wp:posOffset>
            </wp:positionV>
            <wp:extent cx="4749165" cy="2245360"/>
            <wp:effectExtent l="4445" t="5080" r="8890" b="1651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cs="仿宋_GB2312"/>
          <w:sz w:val="32"/>
          <w:szCs w:val="32"/>
        </w:rPr>
        <w:t>2021年本年收</w:t>
      </w:r>
      <w:r>
        <w:rPr>
          <w:rFonts w:hint="eastAsia" w:ascii="仿宋_GB2312" w:eastAsia="仿宋_GB2312" w:cs="仿宋_GB2312"/>
          <w:sz w:val="32"/>
          <w:szCs w:val="32"/>
          <w:highlight w:val="none"/>
        </w:rPr>
        <w:t>入合计3,793.41万元，</w:t>
      </w:r>
      <w:r>
        <w:rPr>
          <w:rFonts w:hint="eastAsia" w:ascii="仿宋_GB2312" w:eastAsia="仿宋_GB2312" w:cs="仿宋_GB2312"/>
          <w:sz w:val="32"/>
          <w:szCs w:val="32"/>
          <w:highlight w:val="none"/>
          <w:lang w:val="en-US" w:eastAsia="zh-CN"/>
        </w:rPr>
        <w:t>上年结转237.2万元，总计4,030.61。</w:t>
      </w:r>
      <w:r>
        <w:rPr>
          <w:rFonts w:hint="eastAsia" w:ascii="仿宋_GB2312" w:eastAsia="仿宋_GB2312" w:cs="仿宋_GB2312"/>
          <w:sz w:val="32"/>
          <w:szCs w:val="32"/>
          <w:highlight w:val="none"/>
        </w:rPr>
        <w:t>其中</w:t>
      </w:r>
      <w:r>
        <w:rPr>
          <w:rFonts w:hint="eastAsia" w:ascii="仿宋_GB2312" w:eastAsia="仿宋_GB2312" w:cs="仿宋_GB2312"/>
          <w:sz w:val="32"/>
          <w:szCs w:val="32"/>
        </w:rPr>
        <w:t>：一般公共预算财政拨款收入</w:t>
      </w:r>
      <w:r>
        <w:rPr>
          <w:rFonts w:hint="eastAsia" w:ascii="仿宋_GB2312" w:eastAsia="仿宋_GB2312" w:cs="仿宋_GB2312"/>
          <w:sz w:val="32"/>
          <w:szCs w:val="32"/>
          <w:highlight w:val="none"/>
          <w:lang w:val="en-US" w:eastAsia="zh-CN"/>
        </w:rPr>
        <w:t>4,030.61</w:t>
      </w:r>
      <w:r>
        <w:rPr>
          <w:rFonts w:hint="eastAsia" w:ascii="仿宋_GB2312" w:eastAsia="仿宋_GB2312" w:cs="仿宋_GB2312"/>
          <w:sz w:val="32"/>
          <w:szCs w:val="32"/>
        </w:rPr>
        <w:t>万元，占 100.00%；政府性基金预算财政拨款收入0.00万元，占0.00%；国有资本经营预算财政拨款收入0.00万元，占0.00%；上级补助收入0.00万元，占0.00%；事业收入0.00万元，占0.00%；经营收</w:t>
      </w:r>
      <w:r>
        <w:rPr>
          <w:rFonts w:hint="eastAsia" w:ascii="仿宋_GB2312" w:eastAsia="仿宋_GB2312" w:cs="仿宋_GB2312"/>
          <w:sz w:val="32"/>
          <w:szCs w:val="32"/>
          <w:lang w:val="en-US" w:eastAsia="zh-CN"/>
        </w:rPr>
        <w:t>入</w:t>
      </w:r>
      <w:r>
        <w:rPr>
          <w:rFonts w:hint="eastAsia" w:ascii="仿宋_GB2312" w:eastAsia="仿宋_GB2312" w:cs="仿宋_GB2312"/>
          <w:sz w:val="32"/>
          <w:szCs w:val="32"/>
        </w:rPr>
        <w:t>0.00万元，占0.00%；附属单位上缴收入0.00万元，占 0.00%；其他收入0.00万元，占0.00%。</w:t>
      </w:r>
    </w:p>
    <w:p>
      <w:pPr>
        <w:pStyle w:val="8"/>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val="en-US" w:eastAsia="zh-CN"/>
        </w:rPr>
        <w:t>三、</w:t>
      </w:r>
      <w:r>
        <w:rPr>
          <w:rFonts w:hint="eastAsia" w:ascii="仿宋_GB2312" w:eastAsia="仿宋_GB2312" w:cs="仿宋_GB2312"/>
          <w:sz w:val="32"/>
          <w:szCs w:val="32"/>
        </w:rPr>
        <w:t>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2021年本年支出合计4,030.61万元，其中：基本支出3,490.30万元，占 86.59%；项目支出540.31万元，占13.41%；上缴上级支出0.00万元，占0.00%；经营支出0.00万元，占0.00%；对附属单位补助支出0.00万元，占0.00%。</w:t>
      </w:r>
    </w:p>
    <w:p>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line="540" w:lineRule="exact"/>
        <w:ind w:left="88" w:firstLine="0"/>
        <w:textAlignment w:val="auto"/>
        <w:rPr>
          <w:rFonts w:hint="eastAsia" w:ascii="仿宋_GB2312" w:eastAsia="仿宋_GB2312" w:cs="仿宋_GB2312"/>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111125</wp:posOffset>
            </wp:positionH>
            <wp:positionV relativeFrom="paragraph">
              <wp:posOffset>31115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cs="仿宋_GB2312"/>
          <w:sz w:val="32"/>
          <w:szCs w:val="32"/>
        </w:rPr>
        <w:t>财政拨款收入支出决算总体情况说明</w:t>
      </w:r>
    </w:p>
    <w:p>
      <w:pPr>
        <w:pStyle w:val="12"/>
        <w:keepNext w:val="0"/>
        <w:keepLines w:val="0"/>
        <w:pageBreakBefore w:val="0"/>
        <w:widowControl w:val="0"/>
        <w:pBdr>
          <w:bottom w:val="single" w:color="FFFFFF" w:sz="4" w:space="31"/>
        </w:pBdr>
        <w:kinsoku/>
        <w:wordWrap/>
        <w:overflowPunct/>
        <w:topLinePunct/>
        <w:autoSpaceDE/>
        <w:autoSpaceDN w:val="0"/>
        <w:bidi w:val="0"/>
        <w:adjustRightInd/>
        <w:snapToGrid/>
        <w:spacing w:before="0" w:beforeAutospacing="0" w:after="0" w:afterAutospacing="0" w:line="240" w:lineRule="auto"/>
        <w:ind w:left="0" w:firstLine="640" w:firstLineChars="200"/>
        <w:textAlignment w:val="auto"/>
        <w:rPr>
          <w:rFonts w:hint="eastAsia" w:ascii="仿宋_GB2312" w:hAnsi="Calibri" w:eastAsia="仿宋_GB2312" w:cs="仿宋_GB2312"/>
          <w:kern w:val="0"/>
          <w:sz w:val="32"/>
          <w:szCs w:val="32"/>
          <w:lang w:val="en-US" w:eastAsia="zh-CN" w:bidi="ar-SA"/>
        </w:rPr>
      </w:pPr>
      <w:r>
        <w:rPr>
          <w:rFonts w:hint="eastAsia" w:ascii="仿宋_GB2312" w:eastAsia="仿宋_GB2312" w:cs="仿宋_GB2312"/>
          <w:sz w:val="32"/>
          <w:szCs w:val="32"/>
        </w:rPr>
        <w:t>2021年财政</w:t>
      </w:r>
      <w:r>
        <w:rPr>
          <w:rFonts w:hint="eastAsia" w:ascii="仿宋_GB2312" w:eastAsia="仿宋_GB2312" w:cs="仿宋_GB2312"/>
          <w:sz w:val="32"/>
          <w:szCs w:val="32"/>
          <w:highlight w:val="none"/>
        </w:rPr>
        <w:t>拨款收</w:t>
      </w:r>
      <w:r>
        <w:rPr>
          <w:rFonts w:hint="eastAsia" w:ascii="仿宋_GB2312" w:eastAsia="仿宋_GB2312" w:cs="仿宋_GB2312"/>
          <w:sz w:val="32"/>
          <w:szCs w:val="32"/>
          <w:highlight w:val="none"/>
          <w:lang w:val="en-US" w:eastAsia="zh-CN"/>
        </w:rPr>
        <w:t>入</w:t>
      </w:r>
      <w:r>
        <w:rPr>
          <w:rFonts w:hint="eastAsia" w:ascii="仿宋_GB2312" w:eastAsia="仿宋_GB2312" w:cs="仿宋_GB2312"/>
          <w:sz w:val="32"/>
          <w:szCs w:val="32"/>
          <w:highlight w:val="none"/>
        </w:rPr>
        <w:t>4,030.61万元、支</w:t>
      </w:r>
      <w:r>
        <w:rPr>
          <w:rFonts w:hint="eastAsia" w:ascii="仿宋_GB2312" w:eastAsia="仿宋_GB2312" w:cs="仿宋_GB2312"/>
          <w:sz w:val="32"/>
          <w:szCs w:val="32"/>
          <w:highlight w:val="none"/>
          <w:lang w:val="en-US" w:eastAsia="zh-CN"/>
        </w:rPr>
        <w:t>出</w:t>
      </w:r>
      <w:r>
        <w:rPr>
          <w:rFonts w:hint="eastAsia" w:ascii="仿宋_GB2312" w:eastAsia="仿宋_GB2312" w:cs="仿宋_GB2312"/>
          <w:sz w:val="32"/>
          <w:szCs w:val="32"/>
          <w:highlight w:val="none"/>
        </w:rPr>
        <w:t>4,030.61万元</w:t>
      </w:r>
      <w:r>
        <w:rPr>
          <w:rFonts w:hint="eastAsia" w:ascii="仿宋_GB2312" w:eastAsia="仿宋_GB2312" w:cs="仿宋_GB2312"/>
          <w:sz w:val="32"/>
          <w:szCs w:val="32"/>
        </w:rPr>
        <w:t>。与2020年相比，</w:t>
      </w:r>
      <w:r>
        <w:rPr>
          <w:rFonts w:hint="eastAsia" w:ascii="仿宋_GB2312" w:eastAsia="仿宋_GB2312" w:cs="仿宋_GB2312"/>
          <w:sz w:val="32"/>
          <w:szCs w:val="32"/>
          <w:highlight w:val="none"/>
        </w:rPr>
        <w:t>财政拨款收、支各增加328.45万元，</w:t>
      </w:r>
      <w:r>
        <w:rPr>
          <w:rFonts w:hint="eastAsia" w:ascii="仿宋_GB2312" w:eastAsia="仿宋_GB2312" w:cs="仿宋_GB2312"/>
          <w:sz w:val="32"/>
          <w:szCs w:val="32"/>
        </w:rPr>
        <w:t>增长11.47%。主要变动原因</w:t>
      </w:r>
      <w:r>
        <w:rPr>
          <w:rStyle w:val="11"/>
          <w:rFonts w:hint="eastAsia" w:ascii="仿宋_GB2312" w:eastAsia="仿宋_GB2312" w:cs="仿宋_GB2312"/>
          <w:sz w:val="32"/>
          <w:szCs w:val="32"/>
          <w:lang w:val="en-US" w:eastAsia="zh-CN"/>
        </w:rPr>
        <w:t>一是</w:t>
      </w:r>
      <w:r>
        <w:rPr>
          <w:rStyle w:val="11"/>
          <w:rFonts w:hint="eastAsia" w:ascii="仿宋_GB2312" w:eastAsia="仿宋_GB2312" w:cs="仿宋_GB2312"/>
          <w:b w:val="0"/>
          <w:bCs w:val="0"/>
          <w:sz w:val="32"/>
          <w:szCs w:val="32"/>
          <w:lang w:val="en-US" w:eastAsia="zh-CN"/>
        </w:rPr>
        <w:t>项目经费较上年增加251.2万元；</w:t>
      </w:r>
      <w:r>
        <w:rPr>
          <w:rStyle w:val="11"/>
          <w:rFonts w:hint="eastAsia" w:ascii="仿宋_GB2312" w:eastAsia="仿宋_GB2312" w:cs="仿宋_GB2312"/>
          <w:b/>
          <w:bCs/>
          <w:sz w:val="32"/>
          <w:szCs w:val="32"/>
          <w:lang w:val="en-US" w:eastAsia="zh-CN"/>
        </w:rPr>
        <w:t>二是</w:t>
      </w:r>
      <w:r>
        <w:rPr>
          <w:rFonts w:hint="eastAsia" w:asci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114300</wp:posOffset>
            </wp:positionH>
            <wp:positionV relativeFrom="paragraph">
              <wp:posOffset>1795145</wp:posOffset>
            </wp:positionV>
            <wp:extent cx="4737735" cy="2112010"/>
            <wp:effectExtent l="0" t="0" r="0" b="0"/>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Style w:val="11"/>
          <w:rFonts w:hint="eastAsia" w:ascii="仿宋_GB2312" w:eastAsia="仿宋_GB2312" w:cs="仿宋_GB2312"/>
          <w:b w:val="0"/>
          <w:bCs w:val="0"/>
          <w:sz w:val="32"/>
          <w:szCs w:val="32"/>
          <w:lang w:val="en-US" w:eastAsia="zh-CN"/>
        </w:rPr>
        <w:t>2021年目标奖基数调整津贴补贴上涨203.06万元，</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我单位退休职工去世2人，抚恤金增加55.14万元；</w:t>
      </w: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lang w:val="en-US" w:eastAsia="zh-CN"/>
        </w:rPr>
        <w:t>公务用车运行费增加42.7万。</w:t>
      </w:r>
      <w:r>
        <w:rPr>
          <w:rFonts w:hint="eastAsia" w:ascii="仿宋_GB2312" w:eastAsia="仿宋_GB2312" w:cs="仿宋_GB2312"/>
          <w:b/>
          <w:bCs/>
          <w:sz w:val="32"/>
          <w:szCs w:val="32"/>
          <w:lang w:val="en-US" w:eastAsia="zh-CN"/>
        </w:rPr>
        <w:t>五是</w:t>
      </w:r>
      <w:r>
        <w:rPr>
          <w:rFonts w:hint="eastAsia" w:ascii="仿宋_GB2312" w:eastAsia="仿宋_GB2312" w:cs="仿宋_GB2312"/>
          <w:sz w:val="32"/>
          <w:szCs w:val="32"/>
          <w:lang w:val="en-US" w:eastAsia="zh-CN"/>
        </w:rPr>
        <w:t>2020年</w:t>
      </w:r>
      <w:r>
        <w:rPr>
          <w:rStyle w:val="11"/>
          <w:rFonts w:hint="eastAsia" w:ascii="仿宋_GB2312" w:eastAsia="仿宋_GB2312" w:cs="仿宋_GB2312"/>
          <w:b w:val="0"/>
          <w:bCs w:val="0"/>
          <w:sz w:val="32"/>
          <w:szCs w:val="32"/>
          <w:lang w:val="en-US" w:eastAsia="zh-CN"/>
        </w:rPr>
        <w:t>将职工伙食团缴费列入</w:t>
      </w:r>
      <w:r>
        <w:rPr>
          <w:rFonts w:hint="eastAsia" w:ascii="仿宋_GB2312" w:hAnsi="Calibri" w:eastAsia="仿宋_GB2312" w:cs="仿宋_GB2312"/>
          <w:kern w:val="0"/>
          <w:sz w:val="32"/>
          <w:szCs w:val="32"/>
          <w:lang w:val="en-US" w:eastAsia="zh-CN" w:bidi="ar-SA"/>
        </w:rPr>
        <w:t>非同级财政拨款收入核算。</w:t>
      </w:r>
    </w:p>
    <w:p>
      <w:pPr>
        <w:pStyle w:val="12"/>
        <w:keepNext w:val="0"/>
        <w:keepLines w:val="0"/>
        <w:pageBreakBefore w:val="0"/>
        <w:widowControl w:val="0"/>
        <w:pBdr>
          <w:bottom w:val="single" w:color="FFFFFF" w:sz="4" w:space="31"/>
        </w:pBdr>
        <w:kinsoku/>
        <w:wordWrap/>
        <w:overflowPunct/>
        <w:topLinePunct/>
        <w:autoSpaceDE/>
        <w:autoSpaceDN w:val="0"/>
        <w:bidi w:val="0"/>
        <w:adjustRightInd/>
        <w:snapToGrid/>
        <w:spacing w:before="0" w:beforeAutospacing="0" w:after="0" w:afterAutospacing="0" w:line="240" w:lineRule="auto"/>
        <w:ind w:left="0" w:firstLine="0" w:firstLineChars="0"/>
        <w:textAlignment w:val="auto"/>
        <w:rPr>
          <w:rFonts w:hint="eastAsia" w:ascii="仿宋_GB2312" w:eastAsia="仿宋_GB2312" w:cs="仿宋_GB2312"/>
          <w:sz w:val="32"/>
          <w:szCs w:val="32"/>
        </w:rPr>
      </w:pPr>
      <w:r>
        <w:rPr>
          <w:rFonts w:hint="eastAsia" w:ascii="仿宋_GB2312" w:hAnsi="Calibri" w:eastAsia="仿宋_GB2312" w:cs="仿宋_GB2312"/>
          <w:kern w:val="0"/>
          <w:sz w:val="32"/>
          <w:szCs w:val="32"/>
          <w:lang w:val="en-US" w:eastAsia="zh-CN" w:bidi="ar-SA"/>
        </w:rPr>
        <w:t>五、</w:t>
      </w:r>
      <w:r>
        <w:rPr>
          <w:rStyle w:val="11"/>
          <w:rFonts w:hint="eastAsia" w:ascii="仿宋_GB2312" w:eastAsia="仿宋_GB2312" w:cs="仿宋_GB2312"/>
          <w:sz w:val="32"/>
          <w:szCs w:val="32"/>
        </w:rPr>
        <w:t>一</w:t>
      </w:r>
      <w:r>
        <w:rPr>
          <w:rFonts w:hint="eastAsia" w:ascii="仿宋_GB2312" w:eastAsia="仿宋_GB2312" w:cs="仿宋_GB2312"/>
          <w:sz w:val="32"/>
          <w:szCs w:val="32"/>
        </w:rPr>
        <w:t>般公共预算财政拨款支出决算情况说明</w:t>
      </w:r>
    </w:p>
    <w:p>
      <w:pPr>
        <w:pStyle w:val="12"/>
        <w:keepNext w:val="0"/>
        <w:keepLines w:val="0"/>
        <w:pageBreakBefore w:val="0"/>
        <w:widowControl w:val="0"/>
        <w:numPr>
          <w:ilvl w:val="0"/>
          <w:numId w:val="3"/>
        </w:numPr>
        <w:pBdr>
          <w:bottom w:val="single" w:color="FFFFFF" w:sz="4" w:space="31"/>
        </w:pBdr>
        <w:tabs>
          <w:tab w:val="left" w:pos="0"/>
        </w:tabs>
        <w:kinsoku/>
        <w:wordWrap/>
        <w:overflowPunct/>
        <w:topLinePunct/>
        <w:autoSpaceDE/>
        <w:autoSpaceDN w:val="0"/>
        <w:bidi w:val="0"/>
        <w:adjustRightInd/>
        <w:snapToGrid/>
        <w:spacing w:before="0" w:beforeAutospacing="0" w:after="0" w:afterAutospacing="0" w:line="540" w:lineRule="exact"/>
        <w:ind w:left="0" w:leftChars="0" w:firstLineChars="0"/>
        <w:textAlignment w:val="auto"/>
        <w:rPr>
          <w:rStyle w:val="11"/>
          <w:rFonts w:hint="eastAsia" w:ascii="仿宋_GB2312" w:eastAsia="仿宋_GB2312" w:cs="仿宋_GB2312"/>
          <w:sz w:val="32"/>
          <w:szCs w:val="32"/>
        </w:rPr>
      </w:pPr>
      <w:r>
        <w:rPr>
          <w:rStyle w:val="11"/>
          <w:rFonts w:hint="eastAsia" w:ascii="仿宋_GB2312" w:eastAsia="仿宋_GB2312" w:cs="仿宋_GB2312"/>
          <w:sz w:val="32"/>
          <w:szCs w:val="32"/>
        </w:rPr>
        <w:t>一般公共预算财政拨款支出决算总体情况</w:t>
      </w:r>
    </w:p>
    <w:p>
      <w:pPr>
        <w:pStyle w:val="12"/>
        <w:keepNext w:val="0"/>
        <w:keepLines w:val="0"/>
        <w:pageBreakBefore w:val="0"/>
        <w:widowControl w:val="0"/>
        <w:numPr>
          <w:ilvl w:val="0"/>
          <w:numId w:val="0"/>
        </w:numPr>
        <w:pBdr>
          <w:bottom w:val="single" w:color="FFFFFF" w:sz="4" w:space="31"/>
        </w:pBdr>
        <w:tabs>
          <w:tab w:val="left" w:pos="0"/>
        </w:tabs>
        <w:kinsoku/>
        <w:wordWrap/>
        <w:overflowPunct/>
        <w:topLinePunct/>
        <w:autoSpaceDE/>
        <w:autoSpaceDN w:val="0"/>
        <w:bidi w:val="0"/>
        <w:adjustRightInd/>
        <w:snapToGrid/>
        <w:spacing w:before="0" w:beforeAutospacing="0" w:after="0" w:afterAutospacing="0" w:line="540" w:lineRule="exact"/>
        <w:ind w:firstLine="640" w:firstLineChars="200"/>
        <w:textAlignment w:val="auto"/>
        <w:rPr>
          <w:rFonts w:hint="eastAsia" w:ascii="仿宋_GB2312" w:eastAsia="仿宋_GB2312" w:cs="仿宋_GB2312"/>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246380</wp:posOffset>
            </wp:positionH>
            <wp:positionV relativeFrom="paragraph">
              <wp:posOffset>3129915</wp:posOffset>
            </wp:positionV>
            <wp:extent cx="4235450" cy="208026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cs="仿宋_GB2312"/>
          <w:sz w:val="32"/>
          <w:szCs w:val="32"/>
        </w:rPr>
        <w:t>2021年一般公共预算财政拨款支出4,030.61万元，占本年支出合计的100.00%。与2020年相比，一般公共预算财政拨款支出增加581.31万元，增长16.85%。主要变动原因</w:t>
      </w:r>
      <w:r>
        <w:rPr>
          <w:rStyle w:val="11"/>
          <w:rFonts w:hint="eastAsia" w:ascii="仿宋_GB2312" w:eastAsia="仿宋_GB2312" w:cs="仿宋_GB2312"/>
          <w:sz w:val="32"/>
          <w:szCs w:val="32"/>
          <w:lang w:val="en-US" w:eastAsia="zh-CN"/>
        </w:rPr>
        <w:t>一是</w:t>
      </w:r>
      <w:r>
        <w:rPr>
          <w:rStyle w:val="11"/>
          <w:rFonts w:hint="eastAsia" w:ascii="仿宋_GB2312" w:eastAsia="仿宋_GB2312" w:cs="仿宋_GB2312"/>
          <w:b w:val="0"/>
          <w:bCs w:val="0"/>
          <w:sz w:val="32"/>
          <w:szCs w:val="32"/>
          <w:lang w:val="en-US" w:eastAsia="zh-CN"/>
        </w:rPr>
        <w:t>项目经费较上年增加251.2万元；</w:t>
      </w:r>
      <w:r>
        <w:rPr>
          <w:rStyle w:val="11"/>
          <w:rFonts w:hint="eastAsia" w:ascii="仿宋_GB2312" w:eastAsia="仿宋_GB2312" w:cs="仿宋_GB2312"/>
          <w:b/>
          <w:bCs/>
          <w:sz w:val="32"/>
          <w:szCs w:val="32"/>
          <w:lang w:val="en-US" w:eastAsia="zh-CN"/>
        </w:rPr>
        <w:t>二是</w:t>
      </w:r>
      <w:r>
        <w:rPr>
          <w:rStyle w:val="11"/>
          <w:rFonts w:hint="eastAsia" w:ascii="仿宋_GB2312" w:eastAsia="仿宋_GB2312" w:cs="仿宋_GB2312"/>
          <w:b w:val="0"/>
          <w:bCs w:val="0"/>
          <w:sz w:val="32"/>
          <w:szCs w:val="32"/>
          <w:lang w:val="en-US" w:eastAsia="zh-CN"/>
        </w:rPr>
        <w:t>2021年目标奖基数调整津贴补贴上涨203.06万元，</w:t>
      </w: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lang w:val="en-US" w:eastAsia="zh-CN"/>
        </w:rPr>
        <w:t>我单位退休职工去世2人，抚恤金增加55.14万元；</w:t>
      </w: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lang w:val="en-US" w:eastAsia="zh-CN"/>
        </w:rPr>
        <w:t>公务用车运行费增加42.7万。</w:t>
      </w:r>
      <w:r>
        <w:rPr>
          <w:rFonts w:hint="eastAsia" w:ascii="仿宋_GB2312" w:eastAsia="仿宋_GB2312" w:cs="仿宋_GB2312"/>
          <w:b/>
          <w:bCs/>
          <w:sz w:val="32"/>
          <w:szCs w:val="32"/>
          <w:lang w:val="en-US" w:eastAsia="zh-CN"/>
        </w:rPr>
        <w:t>五是</w:t>
      </w:r>
      <w:r>
        <w:rPr>
          <w:rStyle w:val="11"/>
          <w:rFonts w:hint="eastAsia" w:ascii="仿宋_GB2312" w:eastAsia="仿宋_GB2312" w:cs="仿宋_GB2312"/>
          <w:b w:val="0"/>
          <w:bCs w:val="0"/>
          <w:sz w:val="32"/>
          <w:szCs w:val="32"/>
          <w:lang w:val="en-US" w:eastAsia="zh-CN"/>
        </w:rPr>
        <w:t>2020年结转八楼会议室配套设施及外挂电梯改造后期款174.86万元，结转加装电梯项目后期款及会议室设备购置款78万元。2021年按照财政要求不再对资金进行结转</w:t>
      </w:r>
      <w:r>
        <w:rPr>
          <w:rFonts w:hint="eastAsia" w:ascii="仿宋_GB2312" w:eastAsia="仿宋_GB2312" w:cs="仿宋_GB2312"/>
          <w:sz w:val="32"/>
          <w:szCs w:val="32"/>
        </w:rPr>
        <w:t>。</w:t>
      </w:r>
    </w:p>
    <w:p>
      <w:pPr>
        <w:pStyle w:val="12"/>
        <w:keepNext w:val="0"/>
        <w:keepLines w:val="0"/>
        <w:pageBreakBefore w:val="0"/>
        <w:widowControl w:val="0"/>
        <w:numPr>
          <w:ilvl w:val="0"/>
          <w:numId w:val="4"/>
        </w:numPr>
        <w:pBdr>
          <w:bottom w:val="single" w:color="FFFFFF" w:sz="4" w:space="31"/>
        </w:pBdr>
        <w:kinsoku/>
        <w:wordWrap/>
        <w:overflowPunct/>
        <w:topLinePunct/>
        <w:autoSpaceDE/>
        <w:autoSpaceDN w:val="0"/>
        <w:bidi w:val="0"/>
        <w:adjustRightInd/>
        <w:snapToGrid/>
        <w:spacing w:before="0" w:beforeAutospacing="0" w:after="0" w:afterAutospacing="0" w:line="540" w:lineRule="exact"/>
        <w:ind w:left="0" w:firstLine="0" w:firstLineChars="0"/>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一般公共预算财政拨款支出决算结构情况</w:t>
      </w:r>
    </w:p>
    <w:p>
      <w:pPr>
        <w:pStyle w:val="12"/>
        <w:keepNext w:val="0"/>
        <w:keepLines w:val="0"/>
        <w:pageBreakBefore w:val="0"/>
        <w:widowControl w:val="0"/>
        <w:numPr>
          <w:ilvl w:val="0"/>
          <w:numId w:val="0"/>
        </w:numPr>
        <w:pBdr>
          <w:bottom w:val="single" w:color="FFFFFF" w:sz="4" w:space="31"/>
        </w:pBdr>
        <w:tabs>
          <w:tab w:val="left" w:pos="0"/>
        </w:tabs>
        <w:kinsoku/>
        <w:wordWrap/>
        <w:overflowPunct/>
        <w:topLinePunct/>
        <w:autoSpaceDE/>
        <w:autoSpaceDN w:val="0"/>
        <w:bidi w:val="0"/>
        <w:adjustRightInd/>
        <w:snapToGrid/>
        <w:spacing w:before="0" w:beforeAutospacing="0" w:after="0" w:afterAutospacing="0" w:line="540" w:lineRule="exact"/>
        <w:ind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2021年一般公共预算财政拨款支出4,030.61万元，主要用于以下方面:</w:t>
      </w:r>
      <w:r>
        <w:rPr>
          <w:rStyle w:val="11"/>
          <w:rFonts w:hint="eastAsia" w:ascii="仿宋_GB2312" w:eastAsia="仿宋_GB2312" w:cs="仿宋_GB2312"/>
          <w:sz w:val="32"/>
          <w:szCs w:val="32"/>
        </w:rPr>
        <w:t>一般公共服务（类）</w:t>
      </w:r>
      <w:r>
        <w:rPr>
          <w:rFonts w:hint="eastAsia" w:ascii="仿宋_GB2312" w:eastAsia="仿宋_GB2312" w:cs="仿宋_GB2312"/>
          <w:sz w:val="32"/>
          <w:szCs w:val="32"/>
        </w:rPr>
        <w:t>支出3,550.27万元，占88.08%；</w:t>
      </w:r>
      <w:r>
        <w:rPr>
          <w:rStyle w:val="11"/>
          <w:rFonts w:hint="eastAsia" w:ascii="仿宋_GB2312" w:eastAsia="仿宋_GB2312" w:cs="仿宋_GB2312"/>
          <w:sz w:val="32"/>
          <w:szCs w:val="32"/>
        </w:rPr>
        <w:t>教育支出（类）</w:t>
      </w:r>
      <w:r>
        <w:rPr>
          <w:rFonts w:hint="eastAsia" w:ascii="仿宋_GB2312" w:eastAsia="仿宋_GB2312" w:cs="仿宋_GB2312"/>
          <w:sz w:val="32"/>
          <w:szCs w:val="32"/>
        </w:rPr>
        <w:t>1.02万元，占0.03%；</w:t>
      </w:r>
      <w:r>
        <w:rPr>
          <w:rStyle w:val="11"/>
          <w:rFonts w:hint="eastAsia" w:ascii="仿宋_GB2312" w:eastAsia="仿宋_GB2312" w:cs="仿宋_GB2312"/>
          <w:sz w:val="32"/>
          <w:szCs w:val="32"/>
        </w:rPr>
        <w:t>科学技术（类）</w:t>
      </w:r>
      <w:r>
        <w:rPr>
          <w:rFonts w:hint="eastAsia" w:ascii="仿宋_GB2312" w:eastAsia="仿宋_GB2312" w:cs="仿宋_GB2312"/>
          <w:sz w:val="32"/>
          <w:szCs w:val="32"/>
        </w:rPr>
        <w:t>支出0.00万元，占0.00%；</w:t>
      </w:r>
      <w:r>
        <w:rPr>
          <w:rStyle w:val="11"/>
          <w:rFonts w:hint="eastAsia" w:ascii="仿宋_GB2312" w:eastAsia="仿宋_GB2312" w:cs="仿宋_GB2312"/>
          <w:sz w:val="32"/>
          <w:szCs w:val="32"/>
        </w:rPr>
        <w:t>文化旅游体育与传媒（类）支出</w:t>
      </w: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78740</wp:posOffset>
            </wp:positionH>
            <wp:positionV relativeFrom="paragraph">
              <wp:posOffset>1470660</wp:posOffset>
            </wp:positionV>
            <wp:extent cx="4610100" cy="2699385"/>
            <wp:effectExtent l="4445" t="4445" r="14605" b="20320"/>
            <wp:wrapTopAndBottom/>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s="仿宋_GB2312"/>
          <w:sz w:val="32"/>
          <w:szCs w:val="32"/>
        </w:rPr>
        <w:t>0.00</w:t>
      </w:r>
      <w:r>
        <w:rPr>
          <w:rStyle w:val="11"/>
          <w:rFonts w:hint="eastAsia" w:ascii="仿宋_GB2312" w:eastAsia="仿宋_GB2312" w:cs="仿宋_GB2312"/>
          <w:sz w:val="32"/>
          <w:szCs w:val="32"/>
        </w:rPr>
        <w:t>万元，占</w:t>
      </w:r>
      <w:r>
        <w:rPr>
          <w:rFonts w:hint="eastAsia" w:ascii="仿宋_GB2312" w:eastAsia="仿宋_GB2312" w:cs="仿宋_GB2312"/>
          <w:sz w:val="32"/>
          <w:szCs w:val="32"/>
        </w:rPr>
        <w:t>0.00%；</w:t>
      </w:r>
      <w:r>
        <w:rPr>
          <w:rStyle w:val="11"/>
          <w:rFonts w:hint="eastAsia" w:ascii="仿宋_GB2312" w:eastAsia="仿宋_GB2312" w:cs="仿宋_GB2312"/>
          <w:sz w:val="32"/>
          <w:szCs w:val="32"/>
        </w:rPr>
        <w:t>社会保障和就业（类）</w:t>
      </w:r>
      <w:r>
        <w:rPr>
          <w:rFonts w:hint="eastAsia" w:ascii="仿宋_GB2312" w:eastAsia="仿宋_GB2312" w:cs="仿宋_GB2312"/>
          <w:sz w:val="32"/>
          <w:szCs w:val="32"/>
        </w:rPr>
        <w:t>支出223.48万元，占5.54%；</w:t>
      </w:r>
      <w:r>
        <w:rPr>
          <w:rStyle w:val="11"/>
          <w:rFonts w:hint="eastAsia" w:ascii="仿宋_GB2312" w:eastAsia="仿宋_GB2312" w:cs="仿宋_GB2312"/>
          <w:sz w:val="32"/>
          <w:szCs w:val="32"/>
        </w:rPr>
        <w:t>卫生健康支出</w:t>
      </w:r>
      <w:r>
        <w:rPr>
          <w:rFonts w:hint="eastAsia" w:ascii="仿宋_GB2312" w:eastAsia="仿宋_GB2312" w:cs="仿宋_GB2312"/>
          <w:sz w:val="32"/>
          <w:szCs w:val="32"/>
        </w:rPr>
        <w:t>97.72万元，占2.42%；</w:t>
      </w:r>
      <w:r>
        <w:rPr>
          <w:rStyle w:val="11"/>
          <w:rFonts w:hint="eastAsia" w:ascii="仿宋_GB2312" w:eastAsia="仿宋_GB2312" w:cs="仿宋_GB2312"/>
          <w:sz w:val="32"/>
          <w:szCs w:val="32"/>
        </w:rPr>
        <w:t>住房保障</w:t>
      </w:r>
      <w:r>
        <w:rPr>
          <w:rFonts w:hint="eastAsia" w:ascii="仿宋_GB2312" w:eastAsia="仿宋_GB2312" w:cs="仿宋_GB2312"/>
          <w:sz w:val="32"/>
          <w:szCs w:val="32"/>
        </w:rPr>
        <w:t>支出158.12万元，占3.9</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rPr>
          <w:rStyle w:val="11"/>
          <w:rFonts w:hint="eastAsia" w:ascii="仿宋_GB2312" w:eastAsia="仿宋_GB2312" w:cs="仿宋_GB2312"/>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（三）一般公共预算财政拨款支出决算具体情况</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3" w:firstLineChars="200"/>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2021年一般公共预算支出决算数为</w:t>
      </w:r>
      <w:r>
        <w:rPr>
          <w:rFonts w:hint="eastAsia" w:ascii="仿宋_GB2312" w:eastAsia="仿宋_GB2312" w:cs="仿宋_GB2312"/>
          <w:sz w:val="32"/>
          <w:szCs w:val="32"/>
        </w:rPr>
        <w:t>4,030.61，</w:t>
      </w:r>
      <w:r>
        <w:rPr>
          <w:rStyle w:val="11"/>
          <w:rFonts w:hint="eastAsia" w:ascii="仿宋_GB2312" w:eastAsia="仿宋_GB2312" w:cs="仿宋_GB2312"/>
          <w:sz w:val="32"/>
          <w:szCs w:val="32"/>
        </w:rPr>
        <w:t>完成预算</w:t>
      </w:r>
      <w:r>
        <w:rPr>
          <w:rFonts w:hint="eastAsia" w:ascii="仿宋_GB2312" w:eastAsia="仿宋_GB2312" w:cs="仿宋_GB2312"/>
          <w:sz w:val="32"/>
          <w:szCs w:val="32"/>
        </w:rPr>
        <w:t>100.00%</w:t>
      </w:r>
      <w:r>
        <w:rPr>
          <w:rStyle w:val="11"/>
          <w:rFonts w:hint="eastAsia" w:ascii="仿宋_GB2312" w:eastAsia="仿宋_GB2312" w:cs="仿宋_GB2312"/>
          <w:sz w:val="32"/>
          <w:szCs w:val="32"/>
        </w:rPr>
        <w:t>。其中：</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right="0" w:firstLine="643" w:firstLineChars="200"/>
        <w:jc w:val="left"/>
        <w:textAlignment w:val="auto"/>
        <w:rPr>
          <w:rStyle w:val="11"/>
          <w:rFonts w:hint="eastAsia" w:ascii="仿宋_GB2312" w:eastAsia="仿宋_GB2312" w:cs="仿宋_GB2312"/>
          <w:b w:val="0"/>
          <w:bCs/>
          <w:sz w:val="32"/>
          <w:szCs w:val="32"/>
        </w:rPr>
      </w:pPr>
      <w:r>
        <w:rPr>
          <w:rStyle w:val="11"/>
          <w:rFonts w:hint="eastAsia" w:ascii="仿宋_GB2312" w:eastAsia="仿宋_GB2312" w:cs="仿宋_GB2312"/>
          <w:sz w:val="32"/>
          <w:szCs w:val="32"/>
          <w:lang w:val="en-US" w:eastAsia="zh-CN"/>
        </w:rPr>
        <w:t>1.</w:t>
      </w:r>
      <w:r>
        <w:rPr>
          <w:rStyle w:val="11"/>
          <w:rFonts w:hint="eastAsia" w:ascii="仿宋_GB2312" w:eastAsia="仿宋_GB2312" w:cs="仿宋_GB2312"/>
          <w:sz w:val="32"/>
          <w:szCs w:val="32"/>
        </w:rPr>
        <w:t>一般公共服务</w:t>
      </w:r>
      <w:r>
        <w:rPr>
          <w:rStyle w:val="11"/>
          <w:rFonts w:hint="eastAsia" w:ascii="仿宋_GB2312" w:eastAsia="仿宋_GB2312" w:cs="仿宋_GB2312"/>
          <w:bCs/>
          <w:color w:val="000000"/>
          <w:sz w:val="32"/>
          <w:szCs w:val="32"/>
        </w:rPr>
        <w:t>（类）</w:t>
      </w:r>
      <w:r>
        <w:rPr>
          <w:rStyle w:val="11"/>
          <w:rFonts w:hint="eastAsia" w:ascii="仿宋_GB2312" w:eastAsia="仿宋_GB2312" w:cs="仿宋_GB2312"/>
          <w:bCs/>
          <w:color w:val="000000"/>
          <w:sz w:val="32"/>
          <w:szCs w:val="32"/>
          <w:lang w:val="en-US" w:eastAsia="zh-CN"/>
        </w:rPr>
        <w:t>政府办公厅（室）及相关机构事务</w:t>
      </w:r>
      <w:r>
        <w:rPr>
          <w:rStyle w:val="11"/>
          <w:rFonts w:hint="eastAsia" w:ascii="仿宋_GB2312" w:eastAsia="仿宋_GB2312" w:cs="仿宋_GB2312"/>
          <w:bCs/>
          <w:color w:val="000000"/>
          <w:sz w:val="32"/>
          <w:szCs w:val="32"/>
        </w:rPr>
        <w:t>（款）</w:t>
      </w:r>
      <w:r>
        <w:rPr>
          <w:rStyle w:val="11"/>
          <w:rFonts w:hint="eastAsia" w:ascii="仿宋_GB2312" w:eastAsia="仿宋_GB2312" w:cs="仿宋_GB2312"/>
          <w:bCs/>
          <w:color w:val="000000"/>
          <w:sz w:val="32"/>
          <w:szCs w:val="32"/>
          <w:lang w:val="en-US" w:eastAsia="zh-CN"/>
        </w:rPr>
        <w:t>行政运行</w:t>
      </w:r>
      <w:r>
        <w:rPr>
          <w:rStyle w:val="11"/>
          <w:rFonts w:hint="eastAsia" w:ascii="仿宋_GB2312" w:eastAsia="仿宋_GB2312" w:cs="仿宋_GB2312"/>
          <w:bCs/>
          <w:color w:val="000000"/>
          <w:sz w:val="32"/>
          <w:szCs w:val="32"/>
        </w:rPr>
        <w:t>（项</w:t>
      </w:r>
      <w:r>
        <w:rPr>
          <w:rStyle w:val="11"/>
          <w:rFonts w:hint="eastAsia" w:ascii="仿宋" w:eastAsia="仿宋"/>
          <w:bCs/>
          <w:color w:val="000000"/>
          <w:sz w:val="32"/>
          <w:szCs w:val="32"/>
        </w:rPr>
        <w:t>）</w:t>
      </w:r>
      <w:r>
        <w:rPr>
          <w:rStyle w:val="11"/>
          <w:rFonts w:hint="eastAsia" w:ascii="仿宋_GB2312" w:eastAsia="仿宋_GB2312" w:cs="仿宋_GB2312"/>
          <w:sz w:val="32"/>
          <w:szCs w:val="32"/>
        </w:rPr>
        <w:t xml:space="preserve">: </w:t>
      </w:r>
      <w:r>
        <w:rPr>
          <w:rStyle w:val="11"/>
          <w:rFonts w:hint="eastAsia" w:ascii="仿宋_GB2312" w:eastAsia="仿宋_GB2312" w:cs="仿宋_GB2312"/>
          <w:b w:val="0"/>
          <w:bCs/>
          <w:sz w:val="32"/>
          <w:szCs w:val="32"/>
        </w:rPr>
        <w:t>支出决算为</w:t>
      </w:r>
      <w:r>
        <w:rPr>
          <w:rStyle w:val="11"/>
          <w:rFonts w:hint="eastAsia" w:ascii="仿宋_GB2312" w:eastAsia="仿宋_GB2312" w:cs="仿宋_GB2312"/>
          <w:b w:val="0"/>
          <w:bCs/>
          <w:sz w:val="32"/>
          <w:szCs w:val="32"/>
          <w:lang w:val="en-US" w:eastAsia="zh-CN"/>
        </w:rPr>
        <w:t>3，009.96</w:t>
      </w:r>
      <w:r>
        <w:rPr>
          <w:rStyle w:val="11"/>
          <w:rFonts w:hint="eastAsia" w:ascii="仿宋_GB2312" w:eastAsia="仿宋_GB2312" w:cs="仿宋_GB2312"/>
          <w:b w:val="0"/>
          <w:bCs/>
          <w:sz w:val="32"/>
          <w:szCs w:val="32"/>
        </w:rPr>
        <w:t>万元，完成预算</w:t>
      </w:r>
      <w:r>
        <w:rPr>
          <w:rStyle w:val="11"/>
          <w:rFonts w:hint="eastAsia" w:ascii="仿宋_GB2312" w:eastAsia="仿宋_GB2312" w:cs="仿宋_GB2312"/>
          <w:b w:val="0"/>
          <w:bCs/>
          <w:sz w:val="32"/>
          <w:szCs w:val="32"/>
          <w:lang w:val="en-US" w:eastAsia="zh-CN"/>
        </w:rPr>
        <w:t>100</w:t>
      </w:r>
      <w:r>
        <w:rPr>
          <w:rStyle w:val="11"/>
          <w:rFonts w:hint="eastAsia" w:ascii="仿宋_GB2312" w:eastAsia="仿宋_GB2312" w:cs="仿宋_GB2312"/>
          <w:b w:val="0"/>
          <w:bCs/>
          <w:sz w:val="32"/>
          <w:szCs w:val="32"/>
        </w:rPr>
        <w:t>%</w:t>
      </w:r>
      <w:r>
        <w:rPr>
          <w:rStyle w:val="11"/>
          <w:rFonts w:hint="eastAsia" w:ascii="仿宋_GB2312" w:eastAsia="仿宋_GB2312" w:cs="仿宋_GB2312"/>
          <w:b w:val="0"/>
          <w:bCs/>
          <w:sz w:val="32"/>
          <w:szCs w:val="32"/>
          <w:lang w:eastAsia="zh-CN"/>
        </w:rPr>
        <w:t>，</w:t>
      </w:r>
      <w:r>
        <w:rPr>
          <w:rStyle w:val="11"/>
          <w:rFonts w:hint="eastAsia" w:ascii="仿宋" w:eastAsia="仿宋"/>
          <w:b w:val="0"/>
          <w:bCs/>
          <w:color w:val="000000"/>
          <w:sz w:val="32"/>
          <w:szCs w:val="32"/>
        </w:rPr>
        <w:t>决算数等于预算数</w:t>
      </w:r>
      <w:r>
        <w:rPr>
          <w:rStyle w:val="11"/>
          <w:rFonts w:hint="eastAsia" w:ascii="仿宋_GB2312" w:eastAsia="仿宋_GB2312" w:cs="仿宋_GB2312"/>
          <w:b w:val="0"/>
          <w:bCs/>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right="0" w:firstLine="643" w:firstLineChars="200"/>
        <w:jc w:val="left"/>
        <w:textAlignment w:val="auto"/>
        <w:rPr>
          <w:rStyle w:val="11"/>
          <w:rFonts w:hint="eastAsia" w:ascii="仿宋_GB2312" w:eastAsia="仿宋_GB2312" w:cs="仿宋_GB2312"/>
          <w:b w:val="0"/>
          <w:bCs/>
          <w:sz w:val="32"/>
          <w:szCs w:val="32"/>
        </w:rPr>
      </w:pPr>
      <w:r>
        <w:rPr>
          <w:rStyle w:val="11"/>
          <w:rFonts w:hint="eastAsia" w:ascii="仿宋_GB2312" w:eastAsia="仿宋_GB2312" w:cs="仿宋_GB2312"/>
          <w:sz w:val="32"/>
          <w:szCs w:val="32"/>
          <w:lang w:val="en-US" w:eastAsia="zh-CN"/>
        </w:rPr>
        <w:t>2.</w:t>
      </w:r>
      <w:r>
        <w:rPr>
          <w:rStyle w:val="11"/>
          <w:rFonts w:hint="eastAsia" w:ascii="仿宋_GB2312" w:eastAsia="仿宋_GB2312" w:cs="仿宋_GB2312"/>
          <w:sz w:val="32"/>
          <w:szCs w:val="32"/>
        </w:rPr>
        <w:t>一般公共服务（类）</w:t>
      </w:r>
      <w:r>
        <w:rPr>
          <w:rStyle w:val="11"/>
          <w:rFonts w:hint="eastAsia" w:ascii="仿宋_GB2312" w:eastAsia="仿宋_GB2312" w:cs="仿宋_GB2312"/>
          <w:sz w:val="32"/>
          <w:szCs w:val="32"/>
          <w:lang w:val="en-US" w:eastAsia="zh-CN"/>
        </w:rPr>
        <w:t>政府办公厅（室）及相关机构事务</w:t>
      </w:r>
      <w:r>
        <w:rPr>
          <w:rStyle w:val="11"/>
          <w:rFonts w:hint="eastAsia" w:ascii="仿宋_GB2312" w:eastAsia="仿宋_GB2312" w:cs="仿宋_GB2312"/>
          <w:sz w:val="32"/>
          <w:szCs w:val="32"/>
        </w:rPr>
        <w:t>（款）</w:t>
      </w:r>
      <w:r>
        <w:rPr>
          <w:rStyle w:val="11"/>
          <w:rFonts w:hint="eastAsia" w:ascii="仿宋_GB2312" w:eastAsia="仿宋_GB2312" w:cs="仿宋_GB2312"/>
          <w:sz w:val="32"/>
          <w:szCs w:val="32"/>
          <w:lang w:val="en-US" w:eastAsia="zh-CN"/>
        </w:rPr>
        <w:t>一般行政管理事务</w:t>
      </w:r>
      <w:r>
        <w:rPr>
          <w:rStyle w:val="11"/>
          <w:rFonts w:hint="eastAsia" w:ascii="仿宋_GB2312" w:eastAsia="仿宋_GB2312" w:cs="仿宋_GB2312"/>
          <w:sz w:val="32"/>
          <w:szCs w:val="32"/>
        </w:rPr>
        <w:t xml:space="preserve">（项）: </w:t>
      </w:r>
      <w:r>
        <w:rPr>
          <w:rStyle w:val="11"/>
          <w:rFonts w:hint="eastAsia" w:ascii="仿宋_GB2312" w:eastAsia="仿宋_GB2312" w:cs="仿宋_GB2312"/>
          <w:b w:val="0"/>
          <w:bCs/>
          <w:sz w:val="32"/>
          <w:szCs w:val="32"/>
        </w:rPr>
        <w:t>支出决算为</w:t>
      </w:r>
      <w:r>
        <w:rPr>
          <w:rStyle w:val="11"/>
          <w:rFonts w:hint="eastAsia" w:ascii="仿宋_GB2312" w:eastAsia="仿宋_GB2312" w:cs="仿宋_GB2312"/>
          <w:b w:val="0"/>
          <w:bCs/>
          <w:sz w:val="32"/>
          <w:szCs w:val="32"/>
          <w:lang w:val="en-US" w:eastAsia="zh-CN"/>
        </w:rPr>
        <w:t>540.31</w:t>
      </w:r>
      <w:r>
        <w:rPr>
          <w:rStyle w:val="11"/>
          <w:rFonts w:hint="eastAsia" w:ascii="仿宋_GB2312" w:eastAsia="仿宋_GB2312" w:cs="仿宋_GB2312"/>
          <w:b w:val="0"/>
          <w:bCs/>
          <w:sz w:val="32"/>
          <w:szCs w:val="32"/>
        </w:rPr>
        <w:t>万元，完成预算</w:t>
      </w:r>
      <w:r>
        <w:rPr>
          <w:rStyle w:val="11"/>
          <w:rFonts w:hint="eastAsia" w:ascii="仿宋_GB2312" w:eastAsia="仿宋_GB2312" w:cs="仿宋_GB2312"/>
          <w:b w:val="0"/>
          <w:bCs/>
          <w:sz w:val="32"/>
          <w:szCs w:val="32"/>
          <w:lang w:val="en-US" w:eastAsia="zh-CN"/>
        </w:rPr>
        <w:t>100</w:t>
      </w:r>
      <w:r>
        <w:rPr>
          <w:rStyle w:val="11"/>
          <w:rFonts w:hint="eastAsia" w:ascii="仿宋_GB2312" w:eastAsia="仿宋_GB2312" w:cs="仿宋_GB2312"/>
          <w:b w:val="0"/>
          <w:bCs/>
          <w:sz w:val="32"/>
          <w:szCs w:val="32"/>
        </w:rPr>
        <w:t>%</w:t>
      </w:r>
      <w:r>
        <w:rPr>
          <w:rStyle w:val="11"/>
          <w:rFonts w:hint="eastAsia" w:ascii="仿宋_GB2312" w:eastAsia="仿宋_GB2312" w:cs="仿宋_GB2312"/>
          <w:b w:val="0"/>
          <w:bCs/>
          <w:sz w:val="32"/>
          <w:szCs w:val="32"/>
          <w:lang w:eastAsia="zh-CN"/>
        </w:rPr>
        <w:t>，</w:t>
      </w:r>
      <w:r>
        <w:rPr>
          <w:rStyle w:val="11"/>
          <w:rFonts w:hint="eastAsia" w:ascii="仿宋" w:eastAsia="仿宋"/>
          <w:b w:val="0"/>
          <w:bCs/>
          <w:color w:val="000000"/>
          <w:sz w:val="32"/>
          <w:szCs w:val="32"/>
        </w:rPr>
        <w:t>决算数等于预算数</w:t>
      </w:r>
      <w:r>
        <w:rPr>
          <w:rStyle w:val="11"/>
          <w:rFonts w:hint="eastAsia" w:ascii="仿宋_GB2312" w:eastAsia="仿宋_GB2312" w:cs="仿宋_GB2312"/>
          <w:b w:val="0"/>
          <w:bCs/>
          <w:sz w:val="32"/>
          <w:szCs w:val="32"/>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3" w:firstLineChars="200"/>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lang w:val="en-US" w:eastAsia="zh-CN"/>
        </w:rPr>
        <w:t>3</w:t>
      </w:r>
      <w:r>
        <w:rPr>
          <w:rStyle w:val="11"/>
          <w:rFonts w:hint="eastAsia" w:ascii="仿宋_GB2312" w:eastAsia="仿宋_GB2312" w:cs="仿宋_GB2312"/>
          <w:sz w:val="32"/>
          <w:szCs w:val="32"/>
        </w:rPr>
        <w:t>.教育（类）</w:t>
      </w:r>
      <w:r>
        <w:rPr>
          <w:rStyle w:val="11"/>
          <w:rFonts w:hint="eastAsia" w:ascii="仿宋_GB2312" w:eastAsia="仿宋_GB2312" w:cs="仿宋_GB2312"/>
          <w:sz w:val="32"/>
          <w:szCs w:val="32"/>
          <w:lang w:val="en-US" w:eastAsia="zh-CN"/>
        </w:rPr>
        <w:t>其他教育支出</w:t>
      </w:r>
      <w:r>
        <w:rPr>
          <w:rStyle w:val="11"/>
          <w:rFonts w:hint="eastAsia" w:ascii="仿宋_GB2312" w:eastAsia="仿宋_GB2312" w:cs="仿宋_GB2312"/>
          <w:sz w:val="32"/>
          <w:szCs w:val="32"/>
        </w:rPr>
        <w:t>（款）</w:t>
      </w:r>
      <w:r>
        <w:rPr>
          <w:rStyle w:val="11"/>
          <w:rFonts w:hint="eastAsia" w:ascii="仿宋_GB2312" w:eastAsia="仿宋_GB2312" w:cs="仿宋_GB2312"/>
          <w:sz w:val="32"/>
          <w:szCs w:val="32"/>
          <w:lang w:val="en-US" w:eastAsia="zh-CN"/>
        </w:rPr>
        <w:t>其他教育支出</w:t>
      </w:r>
      <w:r>
        <w:rPr>
          <w:rStyle w:val="11"/>
          <w:rFonts w:hint="eastAsia" w:ascii="仿宋_GB2312" w:eastAsia="仿宋_GB2312" w:cs="仿宋_GB2312"/>
          <w:sz w:val="32"/>
          <w:szCs w:val="32"/>
        </w:rPr>
        <w:t xml:space="preserve">（项）: </w:t>
      </w:r>
      <w:r>
        <w:rPr>
          <w:rStyle w:val="11"/>
          <w:rFonts w:hint="eastAsia" w:ascii="仿宋_GB2312" w:eastAsia="仿宋_GB2312" w:cs="仿宋_GB2312"/>
          <w:b w:val="0"/>
          <w:bCs/>
          <w:sz w:val="32"/>
          <w:szCs w:val="32"/>
        </w:rPr>
        <w:t>支出决算为</w:t>
      </w:r>
      <w:r>
        <w:rPr>
          <w:rStyle w:val="11"/>
          <w:rFonts w:hint="eastAsia" w:ascii="仿宋_GB2312" w:eastAsia="仿宋_GB2312" w:cs="仿宋_GB2312"/>
          <w:b w:val="0"/>
          <w:bCs/>
          <w:sz w:val="32"/>
          <w:szCs w:val="32"/>
          <w:lang w:val="en-US" w:eastAsia="zh-CN"/>
        </w:rPr>
        <w:t>1.02</w:t>
      </w:r>
      <w:r>
        <w:rPr>
          <w:rStyle w:val="11"/>
          <w:rFonts w:hint="eastAsia" w:ascii="仿宋_GB2312" w:eastAsia="仿宋_GB2312" w:cs="仿宋_GB2312"/>
          <w:b w:val="0"/>
          <w:bCs/>
          <w:sz w:val="32"/>
          <w:szCs w:val="32"/>
        </w:rPr>
        <w:t>万元，完成预算</w:t>
      </w:r>
      <w:r>
        <w:rPr>
          <w:rStyle w:val="11"/>
          <w:rFonts w:hint="eastAsia" w:ascii="仿宋_GB2312" w:eastAsia="仿宋_GB2312" w:cs="仿宋_GB2312"/>
          <w:b w:val="0"/>
          <w:bCs/>
          <w:sz w:val="32"/>
          <w:szCs w:val="32"/>
          <w:lang w:val="en-US" w:eastAsia="zh-CN"/>
        </w:rPr>
        <w:t>100</w:t>
      </w:r>
      <w:r>
        <w:rPr>
          <w:rStyle w:val="11"/>
          <w:rFonts w:hint="eastAsia" w:ascii="仿宋_GB2312" w:eastAsia="仿宋_GB2312" w:cs="仿宋_GB2312"/>
          <w:b w:val="0"/>
          <w:bCs/>
          <w:sz w:val="32"/>
          <w:szCs w:val="32"/>
        </w:rPr>
        <w:t>%</w:t>
      </w:r>
      <w:r>
        <w:rPr>
          <w:rStyle w:val="11"/>
          <w:rFonts w:hint="eastAsia" w:ascii="仿宋_GB2312" w:eastAsia="仿宋_GB2312" w:cs="仿宋_GB2312"/>
          <w:b w:val="0"/>
          <w:bCs/>
          <w:sz w:val="32"/>
          <w:szCs w:val="32"/>
          <w:lang w:eastAsia="zh-CN"/>
        </w:rPr>
        <w:t>，</w:t>
      </w:r>
      <w:r>
        <w:rPr>
          <w:rStyle w:val="11"/>
          <w:rFonts w:hint="eastAsia" w:ascii="仿宋" w:eastAsia="仿宋"/>
          <w:b w:val="0"/>
          <w:bCs/>
          <w:color w:val="000000"/>
          <w:sz w:val="32"/>
          <w:szCs w:val="32"/>
        </w:rPr>
        <w:t>决算数等于预算数</w:t>
      </w:r>
      <w:r>
        <w:rPr>
          <w:rStyle w:val="11"/>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3" w:firstLineChars="200"/>
        <w:jc w:val="left"/>
        <w:textAlignment w:val="auto"/>
        <w:rPr>
          <w:rStyle w:val="11"/>
          <w:rFonts w:hint="eastAsia" w:ascii="仿宋_GB2312" w:eastAsia="仿宋_GB2312" w:cs="仿宋_GB2312"/>
          <w:sz w:val="32"/>
          <w:szCs w:val="32"/>
        </w:rPr>
      </w:pPr>
      <w:r>
        <w:rPr>
          <w:rStyle w:val="11"/>
          <w:rFonts w:hint="eastAsia" w:ascii="仿宋_GB2312" w:eastAsia="仿宋_GB2312" w:cs="仿宋_GB2312"/>
          <w:sz w:val="32"/>
          <w:szCs w:val="32"/>
          <w:lang w:val="en-US" w:eastAsia="zh-CN"/>
        </w:rPr>
        <w:t>4</w:t>
      </w:r>
      <w:r>
        <w:rPr>
          <w:rStyle w:val="11"/>
          <w:rFonts w:hint="eastAsia" w:ascii="仿宋_GB2312" w:eastAsia="仿宋_GB2312" w:cs="仿宋_GB2312"/>
          <w:sz w:val="32"/>
          <w:szCs w:val="32"/>
        </w:rPr>
        <w:t>.社会保障和就业（类）</w:t>
      </w:r>
      <w:r>
        <w:rPr>
          <w:rStyle w:val="11"/>
          <w:rFonts w:hint="eastAsia" w:ascii="仿宋_GB2312" w:eastAsia="仿宋_GB2312" w:cs="仿宋_GB2312"/>
          <w:sz w:val="32"/>
          <w:szCs w:val="32"/>
          <w:lang w:val="en-US" w:eastAsia="zh-CN"/>
        </w:rPr>
        <w:t>行政事业单位离退休</w:t>
      </w:r>
      <w:r>
        <w:rPr>
          <w:rStyle w:val="11"/>
          <w:rFonts w:hint="eastAsia" w:ascii="仿宋_GB2312" w:eastAsia="仿宋_GB2312" w:cs="仿宋_GB2312"/>
          <w:sz w:val="32"/>
          <w:szCs w:val="32"/>
        </w:rPr>
        <w:t>（款）</w:t>
      </w:r>
      <w:r>
        <w:rPr>
          <w:rStyle w:val="11"/>
          <w:rFonts w:hint="eastAsia" w:ascii="仿宋_GB2312" w:eastAsia="仿宋_GB2312" w:cs="仿宋_GB2312"/>
          <w:sz w:val="32"/>
          <w:szCs w:val="32"/>
          <w:lang w:val="en-US" w:eastAsia="zh-CN"/>
        </w:rPr>
        <w:t>机关事业单位基本养老保险缴费支出</w:t>
      </w:r>
      <w:r>
        <w:rPr>
          <w:rStyle w:val="11"/>
          <w:rFonts w:hint="eastAsia" w:ascii="仿宋_GB2312" w:eastAsia="仿宋_GB2312" w:cs="仿宋_GB2312"/>
          <w:sz w:val="32"/>
          <w:szCs w:val="32"/>
        </w:rPr>
        <w:t xml:space="preserve">（项）: </w:t>
      </w:r>
      <w:r>
        <w:rPr>
          <w:rStyle w:val="11"/>
          <w:rFonts w:hint="eastAsia" w:ascii="仿宋_GB2312" w:eastAsia="仿宋_GB2312" w:cs="仿宋_GB2312"/>
          <w:b w:val="0"/>
          <w:bCs/>
          <w:sz w:val="32"/>
          <w:szCs w:val="32"/>
        </w:rPr>
        <w:t>支出决算为</w:t>
      </w:r>
      <w:r>
        <w:rPr>
          <w:rStyle w:val="11"/>
          <w:rFonts w:hint="eastAsia" w:ascii="仿宋_GB2312" w:eastAsia="仿宋_GB2312" w:cs="仿宋_GB2312"/>
          <w:b w:val="0"/>
          <w:bCs/>
          <w:sz w:val="32"/>
          <w:szCs w:val="32"/>
          <w:lang w:val="en-US" w:eastAsia="zh-CN"/>
        </w:rPr>
        <w:t>148.94</w:t>
      </w:r>
      <w:r>
        <w:rPr>
          <w:rStyle w:val="11"/>
          <w:rFonts w:hint="eastAsia" w:ascii="仿宋_GB2312" w:eastAsia="仿宋_GB2312" w:cs="仿宋_GB2312"/>
          <w:b w:val="0"/>
          <w:bCs/>
          <w:sz w:val="32"/>
          <w:szCs w:val="32"/>
        </w:rPr>
        <w:t>万元，完成预算</w:t>
      </w:r>
      <w:r>
        <w:rPr>
          <w:rStyle w:val="11"/>
          <w:rFonts w:hint="eastAsia" w:ascii="仿宋_GB2312" w:eastAsia="仿宋_GB2312" w:cs="仿宋_GB2312"/>
          <w:b w:val="0"/>
          <w:bCs/>
          <w:sz w:val="32"/>
          <w:szCs w:val="32"/>
          <w:lang w:val="en-US" w:eastAsia="zh-CN"/>
        </w:rPr>
        <w:t>100</w:t>
      </w:r>
      <w:r>
        <w:rPr>
          <w:rStyle w:val="11"/>
          <w:rFonts w:hint="eastAsia" w:ascii="仿宋_GB2312" w:eastAsia="仿宋_GB2312" w:cs="仿宋_GB2312"/>
          <w:b w:val="0"/>
          <w:bCs/>
          <w:sz w:val="32"/>
          <w:szCs w:val="32"/>
        </w:rPr>
        <w:t>%</w:t>
      </w:r>
      <w:r>
        <w:rPr>
          <w:rStyle w:val="11"/>
          <w:rFonts w:hint="eastAsia" w:ascii="仿宋_GB2312" w:eastAsia="仿宋_GB2312" w:cs="仿宋_GB2312"/>
          <w:b w:val="0"/>
          <w:bCs/>
          <w:sz w:val="32"/>
          <w:szCs w:val="32"/>
          <w:lang w:eastAsia="zh-CN"/>
        </w:rPr>
        <w:t>，</w:t>
      </w:r>
      <w:r>
        <w:rPr>
          <w:rStyle w:val="11"/>
          <w:rFonts w:hint="eastAsia" w:ascii="仿宋" w:eastAsia="仿宋"/>
          <w:b w:val="0"/>
          <w:bCs/>
          <w:color w:val="000000"/>
          <w:sz w:val="32"/>
          <w:szCs w:val="32"/>
        </w:rPr>
        <w:t>决算数等于预算数</w:t>
      </w:r>
      <w:r>
        <w:rPr>
          <w:rStyle w:val="11"/>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3" w:firstLineChars="200"/>
        <w:jc w:val="left"/>
        <w:textAlignment w:val="auto"/>
        <w:rPr>
          <w:rStyle w:val="11"/>
          <w:rFonts w:hint="eastAsia" w:ascii="仿宋_GB2312" w:eastAsia="仿宋_GB2312" w:cs="仿宋_GB2312"/>
          <w:sz w:val="32"/>
          <w:szCs w:val="32"/>
          <w:lang w:val="en-US" w:eastAsia="zh-CN"/>
        </w:rPr>
      </w:pPr>
      <w:r>
        <w:rPr>
          <w:rStyle w:val="11"/>
          <w:rFonts w:hint="eastAsia" w:ascii="仿宋_GB2312" w:eastAsia="仿宋_GB2312" w:cs="仿宋_GB2312"/>
          <w:sz w:val="32"/>
          <w:szCs w:val="32"/>
          <w:lang w:val="en-US" w:eastAsia="zh-CN"/>
        </w:rPr>
        <w:t>5.</w:t>
      </w:r>
      <w:r>
        <w:rPr>
          <w:rStyle w:val="11"/>
          <w:rFonts w:hint="eastAsia" w:ascii="仿宋_GB2312" w:eastAsia="仿宋_GB2312" w:cs="仿宋_GB2312"/>
          <w:bCs/>
          <w:color w:val="000000"/>
          <w:sz w:val="32"/>
          <w:szCs w:val="32"/>
        </w:rPr>
        <w:t>社会保障和就业（类）</w:t>
      </w:r>
      <w:r>
        <w:rPr>
          <w:rStyle w:val="11"/>
          <w:rFonts w:hint="eastAsia" w:ascii="仿宋_GB2312" w:eastAsia="仿宋_GB2312" w:cs="仿宋_GB2312"/>
          <w:bCs/>
          <w:color w:val="000000"/>
          <w:sz w:val="32"/>
          <w:szCs w:val="32"/>
          <w:lang w:val="en-US" w:eastAsia="zh-CN"/>
        </w:rPr>
        <w:t>行政事业单位离退休</w:t>
      </w:r>
      <w:r>
        <w:rPr>
          <w:rStyle w:val="11"/>
          <w:rFonts w:hint="eastAsia" w:ascii="仿宋_GB2312" w:eastAsia="仿宋_GB2312" w:cs="仿宋_GB2312"/>
          <w:bCs/>
          <w:color w:val="000000"/>
          <w:sz w:val="32"/>
          <w:szCs w:val="32"/>
        </w:rPr>
        <w:t>（款）</w:t>
      </w:r>
      <w:r>
        <w:rPr>
          <w:rStyle w:val="11"/>
          <w:rFonts w:hint="eastAsia" w:ascii="仿宋_GB2312" w:eastAsia="仿宋_GB2312" w:cs="仿宋_GB2312"/>
          <w:bCs/>
          <w:color w:val="000000"/>
          <w:sz w:val="32"/>
          <w:szCs w:val="32"/>
          <w:lang w:val="en-US" w:eastAsia="zh-CN"/>
        </w:rPr>
        <w:t>机关事业单位基本职业年金缴费支出</w:t>
      </w:r>
      <w:r>
        <w:rPr>
          <w:rStyle w:val="11"/>
          <w:rFonts w:hint="eastAsia" w:ascii="仿宋_GB2312" w:eastAsia="仿宋_GB2312" w:cs="仿宋_GB2312"/>
          <w:bCs/>
          <w:color w:val="000000"/>
          <w:sz w:val="32"/>
          <w:szCs w:val="32"/>
        </w:rPr>
        <w:t>（项）</w:t>
      </w:r>
      <w:r>
        <w:rPr>
          <w:rStyle w:val="11"/>
          <w:rFonts w:ascii="仿宋" w:eastAsia="仿宋"/>
          <w:bCs/>
          <w:color w:val="000000"/>
          <w:sz w:val="32"/>
          <w:szCs w:val="32"/>
        </w:rPr>
        <w:t>:</w:t>
      </w:r>
      <w:r>
        <w:rPr>
          <w:rStyle w:val="11"/>
          <w:rFonts w:hint="eastAsia" w:ascii="仿宋_GB2312" w:eastAsia="仿宋_GB2312" w:cs="仿宋_GB2312"/>
          <w:b w:val="0"/>
          <w:bCs/>
          <w:color w:val="000000"/>
          <w:sz w:val="32"/>
          <w:szCs w:val="32"/>
        </w:rPr>
        <w:t>支出决算为</w:t>
      </w:r>
      <w:r>
        <w:rPr>
          <w:rStyle w:val="11"/>
          <w:rFonts w:hint="eastAsia" w:ascii="仿宋_GB2312" w:eastAsia="仿宋_GB2312" w:cs="仿宋_GB2312"/>
          <w:b w:val="0"/>
          <w:bCs/>
          <w:color w:val="000000"/>
          <w:sz w:val="32"/>
          <w:szCs w:val="32"/>
          <w:lang w:val="en-US" w:eastAsia="zh-CN"/>
        </w:rPr>
        <w:t>74.54</w:t>
      </w:r>
      <w:r>
        <w:rPr>
          <w:rStyle w:val="11"/>
          <w:rFonts w:hint="eastAsia" w:ascii="仿宋_GB2312" w:eastAsia="仿宋_GB2312" w:cs="仿宋_GB2312"/>
          <w:b w:val="0"/>
          <w:bCs/>
          <w:color w:val="000000"/>
          <w:sz w:val="32"/>
          <w:szCs w:val="32"/>
        </w:rPr>
        <w:t>万元，完成预算</w:t>
      </w:r>
      <w:r>
        <w:rPr>
          <w:rStyle w:val="11"/>
          <w:rFonts w:hint="eastAsia" w:ascii="仿宋_GB2312" w:eastAsia="仿宋_GB2312" w:cs="仿宋_GB2312"/>
          <w:b w:val="0"/>
          <w:bCs/>
          <w:color w:val="000000"/>
          <w:sz w:val="32"/>
          <w:szCs w:val="32"/>
          <w:lang w:val="en-US" w:eastAsia="zh-CN"/>
        </w:rPr>
        <w:t>100</w:t>
      </w:r>
      <w:r>
        <w:rPr>
          <w:rStyle w:val="11"/>
          <w:rFonts w:hint="eastAsia" w:ascii="仿宋_GB2312" w:eastAsia="仿宋_GB2312" w:cs="仿宋_GB2312"/>
          <w:b w:val="0"/>
          <w:bCs/>
          <w:color w:val="000000"/>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3" w:firstLineChars="200"/>
        <w:jc w:val="left"/>
        <w:textAlignment w:val="auto"/>
        <w:rPr>
          <w:rStyle w:val="11"/>
          <w:rFonts w:hint="eastAsia" w:ascii="仿宋_GB2312" w:eastAsia="仿宋_GB2312" w:cs="仿宋_GB2312"/>
          <w:b w:val="0"/>
          <w:bCs/>
          <w:color w:val="000000"/>
          <w:sz w:val="32"/>
          <w:szCs w:val="32"/>
        </w:rPr>
      </w:pPr>
      <w:r>
        <w:rPr>
          <w:rStyle w:val="11"/>
          <w:rFonts w:hint="eastAsia" w:ascii="仿宋_GB2312" w:eastAsia="仿宋_GB2312" w:cs="仿宋_GB2312"/>
          <w:sz w:val="32"/>
          <w:szCs w:val="32"/>
        </w:rPr>
        <w:t>6.</w:t>
      </w:r>
      <w:r>
        <w:rPr>
          <w:rStyle w:val="11"/>
          <w:rFonts w:hint="eastAsia" w:ascii="仿宋_GB2312" w:eastAsia="仿宋_GB2312" w:cs="仿宋_GB2312"/>
          <w:bCs/>
          <w:color w:val="000000"/>
          <w:sz w:val="32"/>
          <w:szCs w:val="32"/>
          <w:lang w:eastAsia="zh-CN"/>
        </w:rPr>
        <w:t>卫生健康支出</w:t>
      </w:r>
      <w:r>
        <w:rPr>
          <w:rStyle w:val="11"/>
          <w:rFonts w:hint="eastAsia" w:ascii="仿宋_GB2312" w:eastAsia="仿宋_GB2312" w:cs="仿宋_GB2312"/>
          <w:bCs/>
          <w:color w:val="000000"/>
          <w:sz w:val="32"/>
          <w:szCs w:val="32"/>
        </w:rPr>
        <w:t>（类）</w:t>
      </w:r>
      <w:r>
        <w:rPr>
          <w:rStyle w:val="11"/>
          <w:rFonts w:hint="eastAsia" w:ascii="仿宋_GB2312" w:eastAsia="仿宋_GB2312" w:cs="仿宋_GB2312"/>
          <w:bCs/>
          <w:color w:val="000000"/>
          <w:sz w:val="32"/>
          <w:szCs w:val="32"/>
          <w:lang w:val="en-US" w:eastAsia="zh-CN"/>
        </w:rPr>
        <w:t>行政事业单位医疗</w:t>
      </w:r>
      <w:r>
        <w:rPr>
          <w:rStyle w:val="11"/>
          <w:rFonts w:hint="eastAsia" w:ascii="仿宋_GB2312" w:eastAsia="仿宋_GB2312" w:cs="仿宋_GB2312"/>
          <w:bCs/>
          <w:color w:val="000000"/>
          <w:sz w:val="32"/>
          <w:szCs w:val="32"/>
        </w:rPr>
        <w:t>（款）</w:t>
      </w:r>
      <w:r>
        <w:rPr>
          <w:rStyle w:val="11"/>
          <w:rFonts w:hint="eastAsia" w:ascii="仿宋_GB2312" w:eastAsia="仿宋_GB2312" w:cs="仿宋_GB2312"/>
          <w:bCs/>
          <w:color w:val="000000"/>
          <w:sz w:val="32"/>
          <w:szCs w:val="32"/>
          <w:lang w:val="en-US" w:eastAsia="zh-CN"/>
        </w:rPr>
        <w:t>行政单位医疗</w:t>
      </w:r>
      <w:r>
        <w:rPr>
          <w:rStyle w:val="11"/>
          <w:rFonts w:hint="eastAsia" w:ascii="仿宋_GB2312" w:eastAsia="仿宋_GB2312" w:cs="仿宋_GB2312"/>
          <w:bCs/>
          <w:color w:val="000000"/>
          <w:sz w:val="32"/>
          <w:szCs w:val="32"/>
        </w:rPr>
        <w:t>（项）:</w:t>
      </w:r>
      <w:r>
        <w:rPr>
          <w:rStyle w:val="11"/>
          <w:rFonts w:hint="eastAsia" w:ascii="仿宋_GB2312" w:eastAsia="仿宋_GB2312" w:cs="仿宋_GB2312"/>
          <w:b w:val="0"/>
          <w:bCs/>
          <w:color w:val="000000"/>
          <w:sz w:val="32"/>
          <w:szCs w:val="32"/>
        </w:rPr>
        <w:t>支出决算为</w:t>
      </w:r>
      <w:r>
        <w:rPr>
          <w:rStyle w:val="11"/>
          <w:rFonts w:hint="eastAsia" w:ascii="仿宋_GB2312" w:eastAsia="仿宋_GB2312" w:cs="仿宋_GB2312"/>
          <w:b w:val="0"/>
          <w:bCs/>
          <w:color w:val="000000"/>
          <w:sz w:val="32"/>
          <w:szCs w:val="32"/>
          <w:lang w:val="en-US" w:eastAsia="zh-CN"/>
        </w:rPr>
        <w:t>74.47</w:t>
      </w:r>
      <w:r>
        <w:rPr>
          <w:rStyle w:val="11"/>
          <w:rFonts w:hint="eastAsia" w:ascii="仿宋_GB2312" w:eastAsia="仿宋_GB2312" w:cs="仿宋_GB2312"/>
          <w:b w:val="0"/>
          <w:bCs/>
          <w:color w:val="000000"/>
          <w:sz w:val="32"/>
          <w:szCs w:val="32"/>
        </w:rPr>
        <w:t>万元，完成预算</w:t>
      </w:r>
      <w:r>
        <w:rPr>
          <w:rStyle w:val="11"/>
          <w:rFonts w:hint="eastAsia" w:ascii="仿宋_GB2312" w:eastAsia="仿宋_GB2312" w:cs="仿宋_GB2312"/>
          <w:b w:val="0"/>
          <w:bCs/>
          <w:color w:val="000000"/>
          <w:sz w:val="32"/>
          <w:szCs w:val="32"/>
          <w:lang w:val="en-US" w:eastAsia="zh-CN"/>
        </w:rPr>
        <w:t>100</w:t>
      </w:r>
      <w:r>
        <w:rPr>
          <w:rStyle w:val="11"/>
          <w:rFonts w:hint="eastAsia" w:ascii="仿宋_GB2312" w:eastAsia="仿宋_GB2312" w:cs="仿宋_GB2312"/>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eastAsia="仿宋_GB2312" w:cs="仿宋_GB2312"/>
          <w:color w:val="000000"/>
          <w:sz w:val="32"/>
          <w:szCs w:val="32"/>
        </w:rPr>
      </w:pPr>
      <w:r>
        <w:rPr>
          <w:rStyle w:val="11"/>
          <w:rFonts w:hint="eastAsia" w:ascii="仿宋_GB2312" w:eastAsia="仿宋_GB2312" w:cs="仿宋_GB2312"/>
          <w:b w:val="0"/>
          <w:bCs/>
          <w:color w:val="000000"/>
          <w:sz w:val="32"/>
          <w:szCs w:val="32"/>
          <w:lang w:val="en-US" w:eastAsia="zh-CN"/>
        </w:rPr>
        <w:t>7.</w:t>
      </w:r>
      <w:r>
        <w:rPr>
          <w:rStyle w:val="11"/>
          <w:rFonts w:hint="eastAsia" w:ascii="仿宋_GB2312" w:eastAsia="仿宋_GB2312" w:cs="仿宋_GB2312"/>
          <w:bCs/>
          <w:color w:val="000000"/>
          <w:sz w:val="32"/>
          <w:szCs w:val="32"/>
          <w:lang w:eastAsia="zh-CN"/>
        </w:rPr>
        <w:t>卫生健康支出</w:t>
      </w:r>
      <w:r>
        <w:rPr>
          <w:rStyle w:val="11"/>
          <w:rFonts w:hint="eastAsia" w:ascii="仿宋_GB2312" w:eastAsia="仿宋_GB2312" w:cs="仿宋_GB2312"/>
          <w:bCs/>
          <w:color w:val="000000"/>
          <w:sz w:val="32"/>
          <w:szCs w:val="32"/>
        </w:rPr>
        <w:t>（类）</w:t>
      </w:r>
      <w:r>
        <w:rPr>
          <w:rStyle w:val="11"/>
          <w:rFonts w:hint="eastAsia" w:ascii="仿宋_GB2312" w:eastAsia="仿宋_GB2312" w:cs="仿宋_GB2312"/>
          <w:bCs/>
          <w:color w:val="000000"/>
          <w:sz w:val="32"/>
          <w:szCs w:val="32"/>
          <w:lang w:val="en-US" w:eastAsia="zh-CN"/>
        </w:rPr>
        <w:t>行政事业单位医疗</w:t>
      </w:r>
      <w:r>
        <w:rPr>
          <w:rStyle w:val="11"/>
          <w:rFonts w:hint="eastAsia" w:ascii="仿宋_GB2312" w:eastAsia="仿宋_GB2312" w:cs="仿宋_GB2312"/>
          <w:bCs/>
          <w:color w:val="000000"/>
          <w:sz w:val="32"/>
          <w:szCs w:val="32"/>
        </w:rPr>
        <w:t>（款）</w:t>
      </w:r>
      <w:r>
        <w:rPr>
          <w:rStyle w:val="11"/>
          <w:rFonts w:hint="eastAsia" w:ascii="仿宋_GB2312" w:eastAsia="仿宋_GB2312" w:cs="仿宋_GB2312"/>
          <w:bCs/>
          <w:color w:val="000000"/>
          <w:sz w:val="32"/>
          <w:szCs w:val="32"/>
          <w:lang w:val="en-US" w:eastAsia="zh-CN"/>
        </w:rPr>
        <w:t>公务员医疗补助</w:t>
      </w:r>
      <w:r>
        <w:rPr>
          <w:rStyle w:val="11"/>
          <w:rFonts w:hint="eastAsia" w:ascii="仿宋_GB2312" w:eastAsia="仿宋_GB2312" w:cs="仿宋_GB2312"/>
          <w:bCs/>
          <w:color w:val="000000"/>
          <w:sz w:val="32"/>
          <w:szCs w:val="32"/>
        </w:rPr>
        <w:t>（项）:</w:t>
      </w:r>
      <w:r>
        <w:rPr>
          <w:rStyle w:val="11"/>
          <w:rFonts w:hint="eastAsia" w:ascii="仿宋_GB2312" w:eastAsia="仿宋_GB2312" w:cs="仿宋_GB2312"/>
          <w:b w:val="0"/>
          <w:bCs/>
          <w:color w:val="000000"/>
          <w:sz w:val="32"/>
          <w:szCs w:val="32"/>
        </w:rPr>
        <w:t>支出决算为</w:t>
      </w:r>
      <w:r>
        <w:rPr>
          <w:rStyle w:val="11"/>
          <w:rFonts w:hint="eastAsia" w:ascii="仿宋_GB2312" w:eastAsia="仿宋_GB2312" w:cs="仿宋_GB2312"/>
          <w:b w:val="0"/>
          <w:bCs/>
          <w:color w:val="000000"/>
          <w:sz w:val="32"/>
          <w:szCs w:val="32"/>
          <w:lang w:val="en-US" w:eastAsia="zh-CN"/>
        </w:rPr>
        <w:t>23.26</w:t>
      </w:r>
      <w:r>
        <w:rPr>
          <w:rStyle w:val="11"/>
          <w:rFonts w:hint="eastAsia" w:ascii="仿宋_GB2312" w:eastAsia="仿宋_GB2312" w:cs="仿宋_GB2312"/>
          <w:b w:val="0"/>
          <w:bCs/>
          <w:color w:val="000000"/>
          <w:sz w:val="32"/>
          <w:szCs w:val="32"/>
        </w:rPr>
        <w:t>万元，完成预算</w:t>
      </w:r>
      <w:r>
        <w:rPr>
          <w:rStyle w:val="11"/>
          <w:rFonts w:hint="eastAsia" w:ascii="仿宋_GB2312" w:eastAsia="仿宋_GB2312" w:cs="仿宋_GB2312"/>
          <w:b w:val="0"/>
          <w:bCs/>
          <w:color w:val="000000"/>
          <w:sz w:val="32"/>
          <w:szCs w:val="32"/>
          <w:lang w:val="en-US" w:eastAsia="zh-CN"/>
        </w:rPr>
        <w:t>100</w:t>
      </w:r>
      <w:r>
        <w:rPr>
          <w:rStyle w:val="11"/>
          <w:rFonts w:hint="eastAsia" w:ascii="仿宋_GB2312" w:eastAsia="仿宋_GB2312" w:cs="仿宋_GB2312"/>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firstLineChars="200"/>
        <w:textAlignment w:val="auto"/>
        <w:rPr>
          <w:rStyle w:val="11"/>
          <w:rFonts w:hint="eastAsia" w:ascii="仿宋_GB2312" w:eastAsia="仿宋_GB2312" w:cs="仿宋_GB2312"/>
          <w:bCs/>
          <w:color w:val="000000"/>
          <w:sz w:val="32"/>
          <w:szCs w:val="32"/>
          <w:lang w:val="en-US" w:eastAsia="zh-CN"/>
        </w:rPr>
      </w:pPr>
      <w:r>
        <w:rPr>
          <w:rStyle w:val="11"/>
          <w:rFonts w:hint="eastAsia" w:ascii="仿宋_GB2312" w:eastAsia="仿宋_GB2312" w:cs="仿宋_GB2312"/>
          <w:bCs/>
          <w:color w:val="000000"/>
          <w:sz w:val="32"/>
          <w:szCs w:val="32"/>
          <w:lang w:val="en-US" w:eastAsia="zh-CN"/>
        </w:rPr>
        <w:t>8.住房保障（类）住房改革支出（款）住房公积金（项）：</w:t>
      </w:r>
      <w:r>
        <w:rPr>
          <w:rStyle w:val="11"/>
          <w:rFonts w:hint="eastAsia" w:ascii="仿宋_GB2312" w:eastAsia="仿宋_GB2312" w:cs="仿宋_GB2312"/>
          <w:b w:val="0"/>
          <w:bCs/>
          <w:color w:val="000000"/>
          <w:sz w:val="32"/>
          <w:szCs w:val="32"/>
        </w:rPr>
        <w:t>支出决算为</w:t>
      </w:r>
      <w:r>
        <w:rPr>
          <w:rStyle w:val="11"/>
          <w:rFonts w:hint="eastAsia" w:ascii="仿宋_GB2312" w:eastAsia="仿宋_GB2312" w:cs="仿宋_GB2312"/>
          <w:b w:val="0"/>
          <w:bCs/>
          <w:color w:val="000000"/>
          <w:sz w:val="32"/>
          <w:szCs w:val="32"/>
          <w:lang w:val="en-US" w:eastAsia="zh-CN"/>
        </w:rPr>
        <w:t>155.92</w:t>
      </w:r>
      <w:r>
        <w:rPr>
          <w:rStyle w:val="11"/>
          <w:rFonts w:hint="eastAsia" w:ascii="仿宋_GB2312" w:eastAsia="仿宋_GB2312" w:cs="仿宋_GB2312"/>
          <w:b w:val="0"/>
          <w:bCs/>
          <w:color w:val="000000"/>
          <w:sz w:val="32"/>
          <w:szCs w:val="32"/>
        </w:rPr>
        <w:t>万元，完成预算</w:t>
      </w:r>
      <w:r>
        <w:rPr>
          <w:rStyle w:val="11"/>
          <w:rFonts w:hint="eastAsia" w:ascii="仿宋_GB2312" w:eastAsia="仿宋_GB2312" w:cs="仿宋_GB2312"/>
          <w:b w:val="0"/>
          <w:bCs/>
          <w:color w:val="000000"/>
          <w:sz w:val="32"/>
          <w:szCs w:val="32"/>
          <w:lang w:val="en-US" w:eastAsia="zh-CN"/>
        </w:rPr>
        <w:t>100</w:t>
      </w:r>
      <w:r>
        <w:rPr>
          <w:rStyle w:val="11"/>
          <w:rFonts w:hint="eastAsia" w:ascii="仿宋_GB2312" w:eastAsia="仿宋_GB2312" w:cs="仿宋_GB2312"/>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3" w:firstLineChars="200"/>
        <w:textAlignment w:val="auto"/>
        <w:rPr>
          <w:rStyle w:val="11"/>
          <w:rFonts w:hint="eastAsia" w:ascii="仿宋_GB2312" w:eastAsia="仿宋_GB2312" w:cs="仿宋_GB2312"/>
          <w:bCs/>
          <w:color w:val="000000"/>
          <w:sz w:val="32"/>
          <w:szCs w:val="32"/>
          <w:lang w:val="en-US" w:eastAsia="zh-CN"/>
        </w:rPr>
      </w:pPr>
      <w:r>
        <w:rPr>
          <w:rStyle w:val="11"/>
          <w:rFonts w:hint="eastAsia" w:ascii="仿宋_GB2312" w:eastAsia="仿宋_GB2312" w:cs="仿宋_GB2312"/>
          <w:bCs/>
          <w:color w:val="000000"/>
          <w:sz w:val="32"/>
          <w:szCs w:val="32"/>
          <w:lang w:val="en-US" w:eastAsia="zh-CN"/>
        </w:rPr>
        <w:t>9.住房保障（类）住房改革支出（款）购房补贴（项）：</w:t>
      </w:r>
      <w:r>
        <w:rPr>
          <w:rStyle w:val="11"/>
          <w:rFonts w:hint="eastAsia" w:ascii="仿宋_GB2312" w:eastAsia="仿宋_GB2312" w:cs="仿宋_GB2312"/>
          <w:b w:val="0"/>
          <w:bCs/>
          <w:color w:val="000000"/>
          <w:sz w:val="32"/>
          <w:szCs w:val="32"/>
        </w:rPr>
        <w:t>支出决算为</w:t>
      </w:r>
      <w:r>
        <w:rPr>
          <w:rStyle w:val="11"/>
          <w:rFonts w:hint="eastAsia" w:ascii="仿宋_GB2312" w:eastAsia="仿宋_GB2312" w:cs="仿宋_GB2312"/>
          <w:b w:val="0"/>
          <w:bCs/>
          <w:color w:val="000000"/>
          <w:sz w:val="32"/>
          <w:szCs w:val="32"/>
          <w:lang w:val="en-US" w:eastAsia="zh-CN"/>
        </w:rPr>
        <w:t>2.2</w:t>
      </w:r>
      <w:r>
        <w:rPr>
          <w:rStyle w:val="11"/>
          <w:rFonts w:hint="eastAsia" w:ascii="仿宋_GB2312" w:eastAsia="仿宋_GB2312" w:cs="仿宋_GB2312"/>
          <w:b w:val="0"/>
          <w:bCs/>
          <w:color w:val="000000"/>
          <w:sz w:val="32"/>
          <w:szCs w:val="32"/>
        </w:rPr>
        <w:t>万元，完成预算</w:t>
      </w:r>
      <w:r>
        <w:rPr>
          <w:rStyle w:val="11"/>
          <w:rFonts w:hint="eastAsia" w:ascii="仿宋_GB2312" w:eastAsia="仿宋_GB2312" w:cs="仿宋_GB2312"/>
          <w:b w:val="0"/>
          <w:bCs/>
          <w:color w:val="000000"/>
          <w:sz w:val="32"/>
          <w:szCs w:val="32"/>
          <w:lang w:val="en-US" w:eastAsia="zh-CN"/>
        </w:rPr>
        <w:t>100</w:t>
      </w:r>
      <w:r>
        <w:rPr>
          <w:rStyle w:val="11"/>
          <w:rFonts w:hint="eastAsia" w:ascii="仿宋_GB2312" w:eastAsia="仿宋_GB2312" w:cs="仿宋_GB2312"/>
          <w:b w:val="0"/>
          <w:bCs/>
          <w:color w:val="000000"/>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textAlignment w:val="auto"/>
        <w:rPr>
          <w:rFonts w:hint="eastAsia" w:ascii="仿宋_GB2312" w:eastAsia="仿宋_GB2312" w:cs="仿宋_GB2312"/>
          <w:sz w:val="32"/>
          <w:szCs w:val="32"/>
        </w:rPr>
      </w:pPr>
      <w:r>
        <w:rPr>
          <w:rFonts w:hint="eastAsia" w:ascii="仿宋_GB2312" w:eastAsia="仿宋_GB2312" w:cs="仿宋_GB2312"/>
          <w:sz w:val="32"/>
          <w:szCs w:val="32"/>
        </w:rPr>
        <w:t> 六</w:t>
      </w:r>
      <w:r>
        <w:rPr>
          <w:rStyle w:val="11"/>
          <w:rFonts w:hint="eastAsia" w:ascii="仿宋_GB2312" w:eastAsia="仿宋_GB2312" w:cs="仿宋_GB2312"/>
          <w:sz w:val="32"/>
          <w:szCs w:val="32"/>
        </w:rPr>
        <w:t>、一</w:t>
      </w:r>
      <w:r>
        <w:rPr>
          <w:rFonts w:hint="eastAsia" w:ascii="仿宋_GB2312" w:eastAsia="仿宋_GB2312" w:cs="仿宋_GB2312"/>
          <w:sz w:val="32"/>
          <w:szCs w:val="32"/>
        </w:rPr>
        <w:t>般公共预算财政拨款基本支出决算情况说明   </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320" w:firstLineChars="1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2021年一般公共预算财政拨款基本支出3,490.30万元，其中：</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320" w:firstLineChars="1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人员经费2,333.42万元，主要包括：基本工资</w:t>
      </w:r>
      <w:r>
        <w:rPr>
          <w:rFonts w:hint="eastAsia" w:ascii="仿宋_GB2312" w:eastAsia="仿宋_GB2312" w:cs="仿宋_GB2312"/>
          <w:sz w:val="32"/>
          <w:szCs w:val="32"/>
          <w:lang w:val="en-US" w:eastAsia="zh-CN"/>
        </w:rPr>
        <w:t>416.49万元</w:t>
      </w:r>
      <w:r>
        <w:rPr>
          <w:rFonts w:hint="eastAsia" w:ascii="仿宋_GB2312" w:eastAsia="仿宋_GB2312" w:cs="仿宋_GB2312"/>
          <w:sz w:val="32"/>
          <w:szCs w:val="32"/>
        </w:rPr>
        <w:t>、津贴补贴1,208.0</w:t>
      </w:r>
      <w:r>
        <w:rPr>
          <w:rFonts w:hint="eastAsia" w:ascii="仿宋_GB2312" w:eastAsia="仿宋_GB2312" w:cs="仿宋_GB2312"/>
          <w:sz w:val="32"/>
          <w:szCs w:val="32"/>
          <w:lang w:val="en-US" w:eastAsia="zh-CN"/>
        </w:rPr>
        <w:t>6万元</w:t>
      </w:r>
      <w:r>
        <w:rPr>
          <w:rFonts w:hint="eastAsia" w:ascii="仿宋_GB2312" w:eastAsia="仿宋_GB2312" w:cs="仿宋_GB2312"/>
          <w:sz w:val="32"/>
          <w:szCs w:val="32"/>
        </w:rPr>
        <w:t>、奖金34.58</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、伙食补助费82.98</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、机关事业单位基本养老保险缴费148.94</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、职业年金缴费74.54</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职工基本医疗保险缴费74.47万元、公务员医疗补助缴费23.26万元、</w:t>
      </w:r>
      <w:r>
        <w:rPr>
          <w:rFonts w:hint="eastAsia" w:ascii="仿宋_GB2312" w:eastAsia="仿宋_GB2312" w:cs="仿宋_GB2312"/>
          <w:sz w:val="32"/>
          <w:szCs w:val="32"/>
        </w:rPr>
        <w:t>其他社会保障缴费24.0</w:t>
      </w:r>
      <w:r>
        <w:rPr>
          <w:rFonts w:hint="eastAsia" w:ascii="仿宋_GB2312" w:eastAsia="仿宋_GB2312" w:cs="仿宋_GB2312"/>
          <w:sz w:val="32"/>
          <w:szCs w:val="32"/>
          <w:lang w:val="en-US" w:eastAsia="zh-CN"/>
        </w:rPr>
        <w:t>1万元</w:t>
      </w:r>
      <w:r>
        <w:rPr>
          <w:rFonts w:hint="eastAsia" w:ascii="仿宋_GB2312" w:eastAsia="仿宋_GB2312" w:cs="仿宋_GB2312"/>
          <w:sz w:val="32"/>
          <w:szCs w:val="32"/>
        </w:rPr>
        <w:t>、其他工资福利支出17.70</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、抚恤金55.14</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、生活补助5.53</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、住房公积金155.92</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、其他对个人和家庭的补助支出11.8</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　　公用经费1,156.88万元，主要包括：办公费145.85</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、水费8.72</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、电费18.5</w:t>
      </w:r>
      <w:r>
        <w:rPr>
          <w:rFonts w:hint="eastAsia" w:ascii="仿宋_GB2312" w:eastAsia="仿宋_GB2312" w:cs="仿宋_GB2312"/>
          <w:sz w:val="32"/>
          <w:szCs w:val="32"/>
          <w:lang w:val="en-US" w:eastAsia="zh-CN"/>
        </w:rPr>
        <w:t>4万元</w:t>
      </w:r>
      <w:r>
        <w:rPr>
          <w:rFonts w:hint="eastAsia" w:ascii="仿宋_GB2312" w:eastAsia="仿宋_GB2312" w:cs="仿宋_GB2312"/>
          <w:sz w:val="32"/>
          <w:szCs w:val="32"/>
        </w:rPr>
        <w:t>、邮电费45.67</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、物业管理费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.45</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、差旅费298.07</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、维修（护）费</w:t>
      </w:r>
      <w:r>
        <w:rPr>
          <w:rFonts w:hint="eastAsia" w:ascii="仿宋_GB2312" w:eastAsia="仿宋_GB2312" w:cs="仿宋_GB2312"/>
          <w:sz w:val="32"/>
          <w:szCs w:val="32"/>
          <w:lang w:val="en-US" w:eastAsia="zh-CN"/>
        </w:rPr>
        <w:t>58.74万元</w:t>
      </w:r>
      <w:r>
        <w:rPr>
          <w:rFonts w:hint="eastAsia" w:ascii="仿宋_GB2312" w:eastAsia="仿宋_GB2312" w:cs="仿宋_GB2312"/>
          <w:sz w:val="32"/>
          <w:szCs w:val="32"/>
        </w:rPr>
        <w:t>、租赁费21.52</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、会议费5.23</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、培训费9.85</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、公务接待费18.02</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、劳务费147.07</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、工会经费1.36</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、福利费11.97</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、公务用车运行维护费</w:t>
      </w:r>
      <w:r>
        <w:rPr>
          <w:rFonts w:hint="eastAsia" w:ascii="仿宋_GB2312" w:eastAsia="仿宋_GB2312" w:cs="仿宋_GB2312"/>
          <w:sz w:val="32"/>
          <w:szCs w:val="32"/>
          <w:lang w:val="en-US" w:eastAsia="zh-CN"/>
        </w:rPr>
        <w:t>343.42万元、</w:t>
      </w:r>
      <w:r>
        <w:rPr>
          <w:rFonts w:hint="eastAsia" w:ascii="仿宋_GB2312" w:eastAsia="仿宋_GB2312" w:cs="仿宋_GB2312"/>
          <w:sz w:val="32"/>
          <w:szCs w:val="32"/>
        </w:rPr>
        <w:t>其他交通费0.40</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、办公设备购置</w:t>
      </w:r>
      <w:r>
        <w:rPr>
          <w:rFonts w:hint="eastAsia" w:ascii="仿宋_GB2312" w:eastAsia="仿宋_GB2312" w:cs="仿宋_GB2312"/>
          <w:sz w:val="32"/>
          <w:szCs w:val="32"/>
          <w:lang w:val="en-US" w:eastAsia="zh-CN"/>
        </w:rPr>
        <w:t>21万元</w:t>
      </w:r>
      <w:r>
        <w:rPr>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textAlignment w:val="auto"/>
        <w:rPr>
          <w:rFonts w:hint="eastAsia" w:ascii="仿宋_GB2312" w:eastAsia="仿宋_GB2312" w:cs="仿宋_GB2312"/>
          <w:sz w:val="32"/>
          <w:szCs w:val="32"/>
        </w:rPr>
      </w:pPr>
      <w:r>
        <w:rPr>
          <w:rFonts w:hint="eastAsia" w:ascii="仿宋_GB2312" w:eastAsia="仿宋_GB2312" w:cs="仿宋_GB2312"/>
          <w:sz w:val="32"/>
          <w:szCs w:val="32"/>
        </w:rPr>
        <w:t>七、“三公”经费财政拨款支出决算情况说明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（一）“三公”经费财政拨款支出决算总体情况说明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2021年“三公”经费财政拨款支出决算为</w:t>
      </w:r>
      <w:r>
        <w:rPr>
          <w:rFonts w:hint="eastAsia" w:ascii="仿宋_GB2312" w:eastAsia="仿宋_GB2312" w:cs="仿宋_GB2312"/>
          <w:sz w:val="32"/>
          <w:szCs w:val="32"/>
          <w:lang w:val="en-US" w:eastAsia="zh-CN"/>
        </w:rPr>
        <w:t>496.23</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r>
        <w:rPr>
          <w:rStyle w:val="11"/>
          <w:rFonts w:hint="eastAsia" w:ascii="仿宋_GB2312" w:eastAsia="仿宋_GB2312" w:cs="仿宋_GB2312"/>
          <w:b w:val="0"/>
          <w:bCs/>
          <w:color w:val="000000"/>
          <w:sz w:val="32"/>
          <w:szCs w:val="32"/>
        </w:rPr>
        <w:t>决算数等于预算数。</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（二）“三公”经费财政拨款支出决算具体情况说明</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2021年“三公”经费财政拨款支出决算中，因公出国（境）费支出决算0.00万元，占0.00%；公务用车购置及运行维护费支出决算478.21万元，占96.37%；公务接待费支出决算18.02万元，占3.63%。具体情况如下：</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rPr>
      </w:pP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-3175</wp:posOffset>
            </wp:positionH>
            <wp:positionV relativeFrom="paragraph">
              <wp:posOffset>9525</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color w:val="000000"/>
          <w:sz w:val="32"/>
          <w:szCs w:val="32"/>
          <w:lang w:val="en-US" w:eastAsia="zh-CN"/>
        </w:rPr>
        <w:t xml:space="preserve">    </w:t>
      </w:r>
      <w:r>
        <w:rPr>
          <w:rStyle w:val="11"/>
          <w:rFonts w:hint="eastAsia" w:ascii="仿宋_GB2312" w:eastAsia="仿宋_GB2312" w:cs="仿宋_GB2312"/>
          <w:sz w:val="32"/>
          <w:szCs w:val="32"/>
        </w:rPr>
        <w:t>1.因公出国（境）经费支出</w:t>
      </w:r>
      <w:r>
        <w:rPr>
          <w:rFonts w:hint="eastAsia" w:ascii="仿宋_GB2312" w:eastAsia="仿宋_GB2312" w:cs="仿宋_GB2312"/>
          <w:sz w:val="32"/>
          <w:szCs w:val="32"/>
        </w:rPr>
        <w:t>0.00万元</w:t>
      </w:r>
      <w:r>
        <w:rPr>
          <w:rStyle w:val="11"/>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2.公务用车购置及运行维护费支出</w:t>
      </w:r>
      <w:r>
        <w:rPr>
          <w:rFonts w:hint="eastAsia" w:ascii="仿宋_GB2312" w:eastAsia="仿宋_GB2312" w:cs="仿宋_GB2312"/>
          <w:sz w:val="32"/>
          <w:szCs w:val="32"/>
        </w:rPr>
        <w:t>478.21万元,</w:t>
      </w:r>
      <w:r>
        <w:rPr>
          <w:rStyle w:val="11"/>
          <w:rFonts w:hint="eastAsia" w:ascii="仿宋_GB2312" w:eastAsia="仿宋_GB2312" w:cs="仿宋_GB2312"/>
          <w:sz w:val="32"/>
          <w:szCs w:val="32"/>
        </w:rPr>
        <w:t>完成预算</w:t>
      </w:r>
      <w:r>
        <w:rPr>
          <w:rFonts w:hint="eastAsia" w:ascii="仿宋_GB2312" w:eastAsia="仿宋_GB2312" w:cs="仿宋_GB2312"/>
          <w:sz w:val="32"/>
          <w:szCs w:val="32"/>
          <w:lang w:val="en-US" w:eastAsia="zh-CN"/>
        </w:rPr>
        <w:t>100</w:t>
      </w:r>
      <w:r>
        <w:rPr>
          <w:rStyle w:val="11"/>
          <w:rFonts w:hint="eastAsia" w:ascii="仿宋_GB2312" w:eastAsia="仿宋_GB2312" w:cs="仿宋_GB2312"/>
          <w:sz w:val="32"/>
          <w:szCs w:val="32"/>
        </w:rPr>
        <w:t>%。</w:t>
      </w:r>
      <w:r>
        <w:rPr>
          <w:rFonts w:hint="eastAsia" w:ascii="仿宋_GB2312" w:eastAsia="仿宋_GB2312" w:cs="仿宋_GB2312"/>
          <w:sz w:val="32"/>
          <w:szCs w:val="32"/>
        </w:rPr>
        <w:t>公务用车购置及运行维护费支出决算比2020年增加96.84万元，增长25.39%。主要原因</w:t>
      </w:r>
      <w:r>
        <w:rPr>
          <w:rStyle w:val="11"/>
          <w:rFonts w:hint="eastAsia" w:ascii="仿宋_GB2312" w:eastAsia="仿宋_GB2312" w:cs="仿宋_GB2312"/>
          <w:sz w:val="32"/>
          <w:szCs w:val="32"/>
          <w:lang w:val="en-US" w:eastAsia="zh-CN"/>
        </w:rPr>
        <w:t>一是</w:t>
      </w:r>
      <w:r>
        <w:rPr>
          <w:rStyle w:val="11"/>
          <w:rFonts w:hint="eastAsia" w:ascii="仿宋_GB2312" w:eastAsia="仿宋_GB2312" w:cs="仿宋_GB2312"/>
          <w:b w:val="0"/>
          <w:bCs w:val="0"/>
          <w:sz w:val="32"/>
          <w:szCs w:val="32"/>
          <w:lang w:val="en-US" w:eastAsia="zh-CN"/>
        </w:rPr>
        <w:t>2020年购置公务用车一辆使用经费64.96万元，2021年购置公务用车2辆使用经费119.1万元</w:t>
      </w:r>
      <w:r>
        <w:rPr>
          <w:rFonts w:hint="eastAsia" w:ascii="仿宋_GB2312" w:eastAsia="仿宋_GB2312" w:cs="仿宋_GB2312"/>
          <w:sz w:val="32"/>
          <w:szCs w:val="32"/>
        </w:rPr>
        <w:t>；</w:t>
      </w:r>
      <w:r>
        <w:rPr>
          <w:rFonts w:hint="eastAsia" w:ascii="仿宋_GB2312" w:eastAsia="仿宋_GB2312" w:cs="仿宋_GB2312"/>
          <w:b/>
          <w:bCs/>
          <w:sz w:val="32"/>
          <w:szCs w:val="32"/>
          <w:lang w:val="en-US" w:eastAsia="zh-CN"/>
        </w:rPr>
        <w:t>二是</w:t>
      </w:r>
      <w:r>
        <w:rPr>
          <w:rFonts w:hint="eastAsia" w:ascii="仿宋_GB2312" w:eastAsia="仿宋_GB2312" w:cs="仿宋_GB2312"/>
          <w:b w:val="0"/>
          <w:bCs w:val="0"/>
          <w:sz w:val="32"/>
          <w:szCs w:val="32"/>
          <w:lang w:val="en-US" w:eastAsia="zh-CN"/>
        </w:rPr>
        <w:t>汶马高速于2021年5月开始全程收费，导致我单位ETC收费有较大幅度上涨；</w:t>
      </w:r>
      <w:r>
        <w:rPr>
          <w:rFonts w:hint="eastAsia" w:ascii="仿宋_GB2312" w:eastAsia="仿宋_GB2312" w:cs="仿宋_GB2312"/>
          <w:b/>
          <w:bCs/>
          <w:sz w:val="32"/>
          <w:szCs w:val="32"/>
          <w:lang w:val="en-US" w:eastAsia="zh-CN"/>
        </w:rPr>
        <w:t>三是</w:t>
      </w:r>
      <w:r>
        <w:rPr>
          <w:rFonts w:hint="eastAsia" w:ascii="仿宋_GB2312" w:eastAsia="仿宋_GB2312" w:cs="仿宋_GB2312"/>
          <w:b w:val="0"/>
          <w:bCs w:val="0"/>
          <w:sz w:val="32"/>
          <w:szCs w:val="32"/>
          <w:lang w:val="en-US" w:eastAsia="zh-CN"/>
        </w:rPr>
        <w:t>2021年油价上涨，2020年平均油价为每升6.59元，2021年平均油价为每升8.02元；导致我单位燃油费有较大幅度上涨。</w:t>
      </w:r>
      <w:r>
        <w:rPr>
          <w:rFonts w:hint="eastAsia" w:ascii="仿宋_GB2312" w:eastAsia="仿宋_GB2312" w:cs="仿宋_GB2312"/>
          <w:sz w:val="32"/>
          <w:szCs w:val="32"/>
        </w:rPr>
        <w:t>其中：</w:t>
      </w:r>
      <w:r>
        <w:rPr>
          <w:rStyle w:val="11"/>
          <w:rFonts w:hint="eastAsia" w:ascii="仿宋_GB2312" w:eastAsia="仿宋_GB2312" w:cs="仿宋_GB2312"/>
          <w:sz w:val="32"/>
          <w:szCs w:val="32"/>
        </w:rPr>
        <w:t>公务用车购置支出</w:t>
      </w:r>
      <w:r>
        <w:rPr>
          <w:rFonts w:hint="eastAsia" w:ascii="仿宋_GB2312" w:eastAsia="仿宋_GB2312" w:cs="仿宋_GB2312"/>
          <w:sz w:val="32"/>
          <w:szCs w:val="32"/>
        </w:rPr>
        <w:t>119.10万元。全年按规定更新购置公务用车2辆，其中：越野车</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辆、金额</w:t>
      </w:r>
      <w:r>
        <w:rPr>
          <w:rFonts w:hint="eastAsia" w:ascii="仿宋_GB2312" w:eastAsia="仿宋_GB2312" w:cs="仿宋_GB2312"/>
          <w:sz w:val="32"/>
          <w:szCs w:val="32"/>
          <w:lang w:val="en-US" w:eastAsia="zh-CN"/>
        </w:rPr>
        <w:t>119.1</w:t>
      </w:r>
      <w:r>
        <w:rPr>
          <w:rFonts w:hint="eastAsia" w:ascii="仿宋_GB2312" w:eastAsia="仿宋_GB2312" w:cs="仿宋_GB2312"/>
          <w:sz w:val="32"/>
          <w:szCs w:val="32"/>
        </w:rPr>
        <w:t>万元，主要用于</w:t>
      </w:r>
      <w:r>
        <w:rPr>
          <w:rFonts w:hint="eastAsia" w:ascii="仿宋_GB2312" w:eastAsia="仿宋_GB2312" w:cs="仿宋_GB2312"/>
          <w:sz w:val="32"/>
          <w:szCs w:val="32"/>
          <w:lang w:val="en-US" w:eastAsia="zh-CN"/>
        </w:rPr>
        <w:t>我单位</w:t>
      </w:r>
      <w:r>
        <w:rPr>
          <w:rFonts w:ascii="仿宋_GB2312" w:eastAsia="仿宋_GB2312" w:cs="仿宋_GB2312"/>
          <w:sz w:val="32"/>
          <w:szCs w:val="32"/>
          <w:lang w:val="en-US" w:eastAsia="zh-CN"/>
        </w:rPr>
        <w:t>公务用</w:t>
      </w:r>
      <w:r>
        <w:rPr>
          <w:rFonts w:hint="eastAsia" w:ascii="仿宋_GB2312" w:eastAsia="仿宋_GB2312" w:cs="仿宋_GB2312"/>
          <w:sz w:val="32"/>
          <w:szCs w:val="32"/>
          <w:lang w:val="en-US" w:eastAsia="zh-CN"/>
        </w:rPr>
        <w:t>车</w:t>
      </w:r>
      <w:r>
        <w:rPr>
          <w:rFonts w:hint="eastAsia" w:ascii="仿宋_GB2312" w:eastAsia="仿宋_GB2312" w:cs="仿宋_GB2312"/>
          <w:sz w:val="32"/>
          <w:szCs w:val="32"/>
          <w:highlight w:val="none"/>
          <w:lang w:val="en-US" w:eastAsia="zh-CN"/>
        </w:rPr>
        <w:t>辆保障</w:t>
      </w:r>
      <w:r>
        <w:rPr>
          <w:rFonts w:hint="eastAsia" w:ascii="仿宋_GB2312" w:eastAsia="仿宋_GB2312" w:cs="仿宋_GB2312"/>
          <w:sz w:val="32"/>
          <w:szCs w:val="32"/>
          <w:highlight w:val="none"/>
        </w:rPr>
        <w:t>。截至2021年12月底，单位共有</w:t>
      </w:r>
      <w:r>
        <w:rPr>
          <w:rFonts w:ascii="仿宋_GB2312" w:eastAsia="仿宋_GB2312" w:cs="仿宋_GB2312"/>
          <w:sz w:val="32"/>
          <w:szCs w:val="32"/>
          <w:highlight w:val="none"/>
        </w:rPr>
        <w:t>一般</w:t>
      </w:r>
      <w:r>
        <w:rPr>
          <w:rFonts w:hint="eastAsia" w:ascii="仿宋_GB2312" w:eastAsia="仿宋_GB2312" w:cs="仿宋_GB2312"/>
          <w:sz w:val="32"/>
          <w:szCs w:val="32"/>
          <w:highlight w:val="none"/>
        </w:rPr>
        <w:t>公务用车</w:t>
      </w:r>
      <w:r>
        <w:rPr>
          <w:rFonts w:hint="eastAsia" w:ascii="仿宋_GB2312" w:eastAsia="仿宋_GB2312" w:cs="仿宋_GB2312"/>
          <w:sz w:val="32"/>
          <w:szCs w:val="32"/>
          <w:highlight w:val="none"/>
          <w:lang w:val="en-US" w:eastAsia="zh-CN"/>
        </w:rPr>
        <w:t>3</w:t>
      </w:r>
      <w:r>
        <w:rPr>
          <w:rFonts w:ascii="仿宋_GB2312" w:eastAsia="仿宋_GB2312" w:cs="仿宋_GB2312"/>
          <w:sz w:val="32"/>
          <w:szCs w:val="32"/>
          <w:highlight w:val="none"/>
          <w:lang w:val="en-US" w:eastAsia="zh-CN"/>
        </w:rPr>
        <w:t>2</w:t>
      </w:r>
      <w:r>
        <w:rPr>
          <w:rFonts w:hint="eastAsia" w:ascii="仿宋_GB2312" w:eastAsia="仿宋_GB2312" w:cs="仿宋_GB2312"/>
          <w:sz w:val="32"/>
          <w:szCs w:val="32"/>
          <w:highlight w:val="none"/>
        </w:rPr>
        <w:t>辆，其中：越野车</w:t>
      </w:r>
      <w:r>
        <w:rPr>
          <w:rFonts w:hint="eastAsia" w:ascii="仿宋_GB2312" w:eastAsia="仿宋_GB2312" w:cs="仿宋_GB2312"/>
          <w:sz w:val="32"/>
          <w:szCs w:val="32"/>
          <w:highlight w:val="none"/>
          <w:lang w:val="en-US" w:eastAsia="zh-CN"/>
        </w:rPr>
        <w:t>3</w:t>
      </w:r>
      <w:r>
        <w:rPr>
          <w:rFonts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rPr>
        <w:t>辆</w:t>
      </w:r>
      <w:r>
        <w:rPr>
          <w:rFonts w:ascii="仿宋_GB2312" w:eastAsia="仿宋_GB2312" w:cs="仿宋_GB2312"/>
          <w:sz w:val="32"/>
          <w:szCs w:val="32"/>
          <w:highlight w:val="none"/>
        </w:rPr>
        <w:t>，其他小型客车1辆</w:t>
      </w:r>
      <w:r>
        <w:rPr>
          <w:rFonts w:hint="eastAsia" w:ascii="仿宋_GB2312" w:eastAsia="仿宋_GB2312" w:cs="仿宋_GB2312"/>
          <w:sz w:val="32"/>
          <w:szCs w:val="32"/>
          <w:highlight w:val="none"/>
        </w:rPr>
        <w:t>。</w:t>
      </w:r>
      <w:r>
        <w:rPr>
          <w:rStyle w:val="11"/>
          <w:rFonts w:hint="eastAsia" w:ascii="仿宋_GB2312" w:eastAsia="仿宋_GB2312" w:cs="仿宋_GB2312"/>
          <w:sz w:val="32"/>
          <w:szCs w:val="32"/>
          <w:highlight w:val="none"/>
        </w:rPr>
        <w:t>公务用车运行维</w:t>
      </w:r>
      <w:r>
        <w:rPr>
          <w:rStyle w:val="11"/>
          <w:rFonts w:hint="eastAsia" w:ascii="仿宋_GB2312" w:eastAsia="仿宋_GB2312" w:cs="仿宋_GB2312"/>
          <w:sz w:val="32"/>
          <w:szCs w:val="32"/>
        </w:rPr>
        <w:t>护费支出</w:t>
      </w:r>
      <w:r>
        <w:rPr>
          <w:rFonts w:hint="eastAsia" w:ascii="仿宋_GB2312" w:eastAsia="仿宋_GB2312" w:cs="仿宋_GB2312"/>
          <w:sz w:val="32"/>
          <w:szCs w:val="32"/>
        </w:rPr>
        <w:t>359.11万元。主要用于</w:t>
      </w:r>
      <w:r>
        <w:rPr>
          <w:rFonts w:hint="eastAsia" w:ascii="仿宋_GB2312" w:eastAsia="仿宋_GB2312" w:cs="仿宋_GB2312"/>
          <w:sz w:val="32"/>
          <w:szCs w:val="32"/>
          <w:lang w:val="en-US" w:eastAsia="zh-CN"/>
        </w:rPr>
        <w:t>我单位</w:t>
      </w:r>
      <w:r>
        <w:rPr>
          <w:rFonts w:hint="eastAsia" w:ascii="仿宋_GB2312" w:eastAsia="仿宋_GB2312" w:cs="仿宋"/>
          <w:color w:val="000000"/>
          <w:sz w:val="32"/>
          <w:szCs w:val="32"/>
          <w:lang w:val="en-US" w:eastAsia="zh-CN"/>
        </w:rPr>
        <w:t>脱贫攻坚、两联一进、抗击突发自然灾害等</w:t>
      </w:r>
      <w:r>
        <w:rPr>
          <w:rFonts w:hint="eastAsia" w:ascii="仿宋_GB2312" w:eastAsia="仿宋_GB2312" w:cs="仿宋_GB2312"/>
          <w:sz w:val="32"/>
          <w:szCs w:val="32"/>
          <w:lang w:val="en-US" w:eastAsia="zh-CN"/>
        </w:rPr>
        <w:t>日常</w:t>
      </w:r>
      <w:r>
        <w:rPr>
          <w:rFonts w:hint="eastAsia" w:ascii="仿宋_GB2312" w:eastAsia="仿宋_GB2312" w:cs="仿宋_GB2312"/>
          <w:sz w:val="32"/>
          <w:szCs w:val="32"/>
        </w:rPr>
        <w:t>所需的公务用车燃料费、维修费、过路过桥费、保险费等支出。</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3.公务接待费支出</w:t>
      </w:r>
      <w:r>
        <w:rPr>
          <w:rFonts w:hint="eastAsia" w:ascii="仿宋_GB2312" w:eastAsia="仿宋_GB2312" w:cs="仿宋_GB2312"/>
          <w:sz w:val="32"/>
          <w:szCs w:val="32"/>
        </w:rPr>
        <w:t>18.02万元，</w:t>
      </w:r>
      <w:r>
        <w:rPr>
          <w:rStyle w:val="11"/>
          <w:rFonts w:hint="eastAsia" w:ascii="仿宋_GB2312" w:eastAsia="仿宋_GB2312" w:cs="仿宋_GB2312"/>
          <w:sz w:val="32"/>
          <w:szCs w:val="32"/>
        </w:rPr>
        <w:t>完成预算</w:t>
      </w:r>
      <w:r>
        <w:rPr>
          <w:rFonts w:hint="eastAsia" w:ascii="仿宋_GB2312" w:eastAsia="仿宋_GB2312" w:cs="仿宋_GB2312"/>
          <w:sz w:val="32"/>
          <w:szCs w:val="32"/>
        </w:rPr>
        <w:t>100</w:t>
      </w:r>
      <w:r>
        <w:rPr>
          <w:rStyle w:val="11"/>
          <w:rFonts w:hint="eastAsia" w:ascii="仿宋_GB2312" w:eastAsia="仿宋_GB2312" w:cs="仿宋_GB2312"/>
          <w:sz w:val="32"/>
          <w:szCs w:val="32"/>
        </w:rPr>
        <w:t>%。</w:t>
      </w:r>
      <w:r>
        <w:rPr>
          <w:rFonts w:hint="eastAsia" w:ascii="仿宋_GB2312" w:eastAsia="仿宋_GB2312" w:cs="仿宋_GB2312"/>
          <w:sz w:val="32"/>
          <w:szCs w:val="32"/>
        </w:rPr>
        <w:t>公务接待费支出决算比2020年</w:t>
      </w:r>
      <w:r>
        <w:rPr>
          <w:rFonts w:hint="eastAsia" w:ascii="仿宋_GB2312" w:eastAsia="仿宋_GB2312" w:cs="仿宋_GB2312"/>
          <w:sz w:val="32"/>
          <w:szCs w:val="32"/>
          <w:lang w:val="en-US" w:eastAsia="zh-CN"/>
        </w:rPr>
        <w:t>减少</w:t>
      </w:r>
      <w:r>
        <w:rPr>
          <w:rFonts w:hint="eastAsia" w:ascii="仿宋_GB2312" w:eastAsia="仿宋_GB2312" w:cs="仿宋_GB2312"/>
          <w:sz w:val="32"/>
          <w:szCs w:val="32"/>
        </w:rPr>
        <w:t>1.41万元，</w:t>
      </w:r>
      <w:r>
        <w:rPr>
          <w:rFonts w:hint="eastAsia" w:ascii="仿宋_GB2312" w:eastAsia="仿宋_GB2312" w:cs="仿宋_GB2312"/>
          <w:sz w:val="32"/>
          <w:szCs w:val="32"/>
          <w:lang w:val="en-US" w:eastAsia="zh-CN"/>
        </w:rPr>
        <w:t>下降</w:t>
      </w:r>
      <w:r>
        <w:rPr>
          <w:rFonts w:hint="eastAsia" w:ascii="仿宋_GB2312" w:eastAsia="仿宋_GB2312" w:cs="仿宋_GB2312"/>
          <w:sz w:val="32"/>
          <w:szCs w:val="32"/>
        </w:rPr>
        <w:t>7.26%。主要原因</w:t>
      </w:r>
      <w:r>
        <w:rPr>
          <w:rFonts w:hint="eastAsia" w:ascii="仿宋_GB2312" w:eastAsia="仿宋_GB2312" w:cs="仿宋"/>
          <w:color w:val="000000"/>
          <w:sz w:val="32"/>
          <w:szCs w:val="32"/>
          <w:lang w:val="en-US" w:eastAsia="zh-CN"/>
        </w:rPr>
        <w:t>是严格执行有关规定，实行“先审批，后接待”制度，严格控制接待标准和陪餐人数，降低接待费用。</w:t>
      </w:r>
      <w:r>
        <w:rPr>
          <w:rFonts w:hint="eastAsia" w:ascii="仿宋_GB2312" w:eastAsia="仿宋_GB2312"/>
          <w:color w:val="000000"/>
          <w:sz w:val="32"/>
          <w:szCs w:val="32"/>
        </w:rPr>
        <w:t>主要用于执行公务、开展业务活动开支的交通费、住宿费、用餐费等</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 xml:space="preserve">  </w:t>
      </w:r>
      <w:r>
        <w:rPr>
          <w:rFonts w:hint="eastAsia" w:ascii="仿宋_GB2312" w:eastAsia="仿宋_GB2312" w:cs="仿宋_GB2312"/>
          <w:sz w:val="32"/>
          <w:szCs w:val="32"/>
        </w:rPr>
        <w:t>其中：</w:t>
      </w:r>
      <w:r>
        <w:rPr>
          <w:rStyle w:val="11"/>
          <w:rFonts w:hint="eastAsia" w:ascii="仿宋_GB2312" w:eastAsia="仿宋_GB2312" w:cs="仿宋_GB2312"/>
          <w:sz w:val="32"/>
          <w:szCs w:val="32"/>
        </w:rPr>
        <w:t>国内公务接待支出</w:t>
      </w:r>
      <w:r>
        <w:rPr>
          <w:rFonts w:hint="eastAsia" w:ascii="仿宋_GB2312" w:eastAsia="仿宋_GB2312" w:cs="仿宋_GB2312"/>
          <w:sz w:val="32"/>
          <w:szCs w:val="32"/>
        </w:rPr>
        <w:t>18.02万元，主要用于</w:t>
      </w:r>
      <w:r>
        <w:rPr>
          <w:rFonts w:hint="eastAsia" w:ascii="仿宋_GB2312" w:eastAsia="仿宋_GB2312" w:cs="仿宋_GB2312"/>
          <w:sz w:val="32"/>
          <w:szCs w:val="32"/>
          <w:lang w:val="en-US" w:eastAsia="zh-CN"/>
        </w:rPr>
        <w:t>我单位</w:t>
      </w:r>
      <w:r>
        <w:rPr>
          <w:rFonts w:hint="eastAsia" w:ascii="仿宋_GB2312" w:eastAsia="仿宋_GB2312" w:cs="仿宋_GB2312"/>
          <w:sz w:val="32"/>
          <w:szCs w:val="32"/>
        </w:rPr>
        <w:t>执行公务、开展业务活动</w:t>
      </w:r>
      <w:r>
        <w:rPr>
          <w:rFonts w:hint="eastAsia" w:ascii="仿宋_GB2312" w:eastAsia="仿宋_GB2312" w:cs="仿宋_GB2312"/>
          <w:sz w:val="32"/>
          <w:szCs w:val="32"/>
          <w:lang w:val="en-US" w:eastAsia="zh-CN"/>
        </w:rPr>
        <w:t>来宾的</w:t>
      </w:r>
      <w:r>
        <w:rPr>
          <w:rFonts w:hint="eastAsia" w:ascii="仿宋_GB2312" w:eastAsia="仿宋_GB2312" w:cs="仿宋_GB2312"/>
          <w:sz w:val="32"/>
          <w:szCs w:val="32"/>
        </w:rPr>
        <w:t>住宿费、用餐费等。国内公务接待87批次，1,502人次，共计支出18.02万元。</w:t>
      </w:r>
      <w:r>
        <w:rPr>
          <w:rStyle w:val="11"/>
          <w:rFonts w:hint="eastAsia" w:ascii="仿宋_GB2312" w:eastAsia="仿宋_GB2312" w:cs="仿宋_GB2312"/>
          <w:sz w:val="32"/>
          <w:szCs w:val="32"/>
        </w:rPr>
        <w:t>外事接待支出</w:t>
      </w:r>
      <w:r>
        <w:rPr>
          <w:rFonts w:hint="eastAsia" w:ascii="仿宋_GB2312" w:eastAsia="仿宋_GB2312" w:cs="仿宋_GB2312"/>
          <w:sz w:val="32"/>
          <w:szCs w:val="32"/>
        </w:rPr>
        <w:t>0.00万元。</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八、政府性基金预算支出决算情况说明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2021年政府性基金预算财政拨款支出0.00万元。</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500" w:lineRule="exact"/>
        <w:ind w:left="360" w:firstLine="320" w:firstLineChars="1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九、</w:t>
      </w:r>
      <w:r>
        <w:rPr>
          <w:rFonts w:hint="eastAsia" w:ascii="仿宋_GB2312" w:eastAsia="仿宋_GB2312" w:cs="仿宋_GB2312"/>
          <w:sz w:val="32"/>
          <w:szCs w:val="32"/>
        </w:rPr>
        <w:t>国有资本经营预算支出决算情况说明</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2021年国有资本经营预算财政拨款支出0.00万元。</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 </w:t>
      </w:r>
      <w:r>
        <w:rPr>
          <w:rFonts w:hint="eastAsia" w:ascii="仿宋_GB2312" w:eastAsia="仿宋_GB2312" w:cs="仿宋_GB2312"/>
          <w:sz w:val="32"/>
          <w:szCs w:val="32"/>
          <w:lang w:val="en-US" w:eastAsia="zh-CN"/>
        </w:rPr>
        <w:t xml:space="preserve">   十、</w:t>
      </w:r>
      <w:r>
        <w:rPr>
          <w:rFonts w:hint="eastAsia" w:ascii="仿宋_GB2312" w:eastAsia="仿宋_GB2312" w:cs="仿宋_GB2312"/>
          <w:sz w:val="32"/>
          <w:szCs w:val="32"/>
        </w:rPr>
        <w:t>其他重要事项的情况说明</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321" w:firstLineChars="100"/>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（一）机关运行经费支出情况</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eastAsia="仿宋_GB2312" w:cs="仿宋_GB2312"/>
          <w:sz w:val="32"/>
          <w:szCs w:val="32"/>
          <w:highlight w:val="yellow"/>
          <w:lang w:val="en-US" w:eastAsia="zh-CN"/>
        </w:rPr>
      </w:pPr>
      <w:r>
        <w:rPr>
          <w:rFonts w:hint="eastAsia" w:ascii="仿宋_GB2312" w:eastAsia="仿宋_GB2312" w:cs="仿宋_GB2312"/>
          <w:sz w:val="32"/>
          <w:szCs w:val="32"/>
        </w:rPr>
        <w:t>2021年，四川省阿坝州人民政府办公室机关运行经费支出1,156.88万元，比2020年增加205.82万元，增长21.64%。</w:t>
      </w:r>
      <w:r>
        <w:rPr>
          <w:rFonts w:hint="eastAsia" w:ascii="仿宋_GB2312" w:eastAsia="仿宋_GB2312" w:cs="仿宋_GB2312"/>
          <w:sz w:val="32"/>
          <w:szCs w:val="32"/>
          <w:highlight w:val="none"/>
          <w:lang w:val="en-US" w:eastAsia="zh-CN"/>
        </w:rPr>
        <w:t>一</w:t>
      </w:r>
      <w:r>
        <w:rPr>
          <w:rFonts w:hint="eastAsia" w:ascii="仿宋_GB2312" w:eastAsia="仿宋_GB2312" w:cs="仿宋_GB2312"/>
          <w:b/>
          <w:bCs/>
          <w:sz w:val="32"/>
          <w:szCs w:val="32"/>
          <w:highlight w:val="none"/>
          <w:lang w:val="en-US" w:eastAsia="zh-CN"/>
        </w:rPr>
        <w:t>是</w:t>
      </w:r>
      <w:r>
        <w:rPr>
          <w:rFonts w:hint="eastAsia" w:ascii="仿宋_GB2312" w:eastAsia="仿宋_GB2312" w:cs="仿宋_GB2312"/>
          <w:sz w:val="32"/>
          <w:szCs w:val="32"/>
          <w:highlight w:val="none"/>
          <w:lang w:val="en-US" w:eastAsia="zh-CN"/>
        </w:rPr>
        <w:t>公务用车运行费增加42.85万远。二是劳务费增加145.43万元(2020年在其他工资福利核算）。</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（二）政府采购支出情况</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2021年，四川省阿坝州人民政府办公室（本级）政府采购支出总额319.44万元，其中：政府采购货物支出319.44万元。主要用于</w:t>
      </w:r>
      <w:r>
        <w:rPr>
          <w:rFonts w:hint="eastAsia" w:ascii="仿宋_GB2312" w:eastAsia="仿宋_GB2312" w:cs="仿宋_GB2312"/>
          <w:sz w:val="32"/>
          <w:szCs w:val="32"/>
          <w:lang w:val="en-US" w:eastAsia="zh-CN"/>
        </w:rPr>
        <w:t>我单位日常办公设备购置</w:t>
      </w:r>
      <w:r>
        <w:rPr>
          <w:rFonts w:hint="eastAsia" w:ascii="仿宋_GB2312" w:eastAsia="仿宋_GB2312" w:cs="仿宋_GB2312"/>
          <w:sz w:val="32"/>
          <w:szCs w:val="32"/>
        </w:rPr>
        <w:t>。授予中小企业合同金额27.88万元，占政府采购支出总额的8.73%。</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（三）国有资产占有使用情况</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s="仿宋_GB2312"/>
          <w:sz w:val="32"/>
          <w:szCs w:val="32"/>
          <w:highlight w:val="none"/>
        </w:rPr>
      </w:pPr>
      <w:r>
        <w:rPr>
          <w:rFonts w:hint="eastAsia" w:ascii="仿宋_GB2312" w:eastAsia="仿宋_GB2312" w:cs="仿宋_GB2312"/>
          <w:sz w:val="32"/>
          <w:szCs w:val="32"/>
        </w:rPr>
        <w:t>截至2021年12月31日，四川省阿坝州人民政府办公室（本级）共有车</w:t>
      </w:r>
      <w:r>
        <w:rPr>
          <w:rFonts w:hint="eastAsia" w:ascii="仿宋_GB2312" w:eastAsia="仿宋_GB2312" w:cs="仿宋_GB2312"/>
          <w:sz w:val="32"/>
          <w:szCs w:val="32"/>
          <w:highlight w:val="none"/>
        </w:rPr>
        <w:t>辆3</w:t>
      </w:r>
      <w:r>
        <w:rPr>
          <w:rFonts w:ascii="仿宋_GB2312" w:eastAsia="仿宋_GB2312" w:cs="仿宋_GB2312"/>
          <w:sz w:val="32"/>
          <w:szCs w:val="32"/>
          <w:highlight w:val="none"/>
        </w:rPr>
        <w:t>2</w:t>
      </w:r>
      <w:r>
        <w:rPr>
          <w:rFonts w:hint="eastAsia" w:ascii="仿宋_GB2312" w:eastAsia="仿宋_GB2312" w:cs="仿宋_GB2312"/>
          <w:sz w:val="32"/>
          <w:szCs w:val="32"/>
          <w:highlight w:val="none"/>
        </w:rPr>
        <w:t>辆，</w:t>
      </w:r>
      <w:r>
        <w:rPr>
          <w:rFonts w:hint="eastAsia" w:ascii="仿宋_GB2312" w:eastAsia="仿宋_GB2312" w:cs="仿宋_GB2312"/>
          <w:sz w:val="32"/>
          <w:szCs w:val="32"/>
          <w:highlight w:val="none"/>
          <w:lang w:val="en-US" w:eastAsia="zh-CN"/>
        </w:rPr>
        <w:t>为</w:t>
      </w:r>
      <w:r>
        <w:rPr>
          <w:rFonts w:hint="eastAsia" w:ascii="仿宋_GB2312" w:eastAsia="仿宋_GB2312" w:cs="仿宋_GB2312"/>
          <w:sz w:val="32"/>
          <w:szCs w:val="32"/>
          <w:highlight w:val="none"/>
        </w:rPr>
        <w:t>应急保障用车</w:t>
      </w:r>
      <w:r>
        <w:rPr>
          <w:rFonts w:ascii="仿宋_GB2312" w:eastAsia="仿宋_GB2312" w:cs="仿宋_GB2312"/>
          <w:sz w:val="32"/>
          <w:szCs w:val="32"/>
          <w:highlight w:val="none"/>
        </w:rPr>
        <w:t>、一般公务用车等</w:t>
      </w:r>
      <w:r>
        <w:rPr>
          <w:rFonts w:hint="eastAsia" w:ascii="仿宋_GB2312" w:eastAsia="仿宋_GB2312" w:cs="仿宋_GB2312"/>
          <w:sz w:val="32"/>
          <w:szCs w:val="32"/>
          <w:highlight w:val="none"/>
        </w:rPr>
        <w:t>。</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_GB2312" w:eastAsia="仿宋_GB2312" w:cs="仿宋_GB2312"/>
          <w:sz w:val="32"/>
          <w:szCs w:val="32"/>
        </w:rPr>
      </w:pPr>
      <w:r>
        <w:rPr>
          <w:rStyle w:val="11"/>
          <w:rFonts w:hint="eastAsia" w:ascii="仿宋_GB2312" w:eastAsia="仿宋_GB2312" w:cs="仿宋_GB2312"/>
          <w:sz w:val="32"/>
          <w:szCs w:val="32"/>
        </w:rPr>
        <w:t>（四）预算绩效管理情况</w:t>
      </w:r>
    </w:p>
    <w:p>
      <w:pPr>
        <w:pStyle w:val="8"/>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根据</w:t>
      </w:r>
      <w:r>
        <w:rPr>
          <w:rFonts w:hint="eastAsia" w:ascii="仿宋_GB2312" w:eastAsia="仿宋_GB2312" w:cs="仿宋_GB2312"/>
          <w:sz w:val="32"/>
          <w:szCs w:val="32"/>
          <w:lang w:val="zh-CN"/>
        </w:rPr>
        <w:t>《阿坝州财政局关于开展20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rPr>
        <w:t>年</w:t>
      </w:r>
      <w:r>
        <w:rPr>
          <w:rFonts w:hint="eastAsia" w:ascii="仿宋_GB2312" w:eastAsia="仿宋_GB2312" w:cs="仿宋_GB2312"/>
          <w:sz w:val="32"/>
          <w:szCs w:val="32"/>
          <w:lang w:val="en-US" w:eastAsia="zh-CN"/>
        </w:rPr>
        <w:t>部门、政策和项目</w:t>
      </w:r>
      <w:r>
        <w:rPr>
          <w:rFonts w:hint="eastAsia" w:ascii="仿宋_GB2312" w:eastAsia="仿宋_GB2312" w:cs="仿宋_GB2312"/>
          <w:sz w:val="32"/>
          <w:szCs w:val="32"/>
          <w:lang w:val="zh-CN"/>
        </w:rPr>
        <w:t>支出绩效评价工作的通知》（阿州财</w:t>
      </w:r>
      <w:r>
        <w:rPr>
          <w:rFonts w:hint="eastAsia" w:ascii="仿宋_GB2312" w:eastAsia="仿宋_GB2312" w:cs="仿宋_GB2312"/>
          <w:sz w:val="32"/>
          <w:szCs w:val="32"/>
          <w:lang w:val="en-US" w:eastAsia="zh-CN"/>
        </w:rPr>
        <w:t>监绩</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14</w:t>
      </w:r>
      <w:r>
        <w:rPr>
          <w:rFonts w:hint="eastAsia" w:ascii="仿宋_GB2312" w:eastAsia="仿宋_GB2312" w:cs="仿宋_GB2312"/>
          <w:sz w:val="32"/>
          <w:szCs w:val="32"/>
          <w:lang w:val="zh-CN"/>
        </w:rPr>
        <w:t>号）</w:t>
      </w:r>
      <w:r>
        <w:rPr>
          <w:rFonts w:hint="eastAsia" w:ascii="仿宋_GB2312" w:eastAsia="仿宋_GB2312" w:cs="仿宋_GB2312"/>
          <w:sz w:val="32"/>
          <w:szCs w:val="32"/>
          <w:lang w:val="en-US" w:eastAsia="zh-CN"/>
        </w:rPr>
        <w:t>精神</w:t>
      </w:r>
      <w:r>
        <w:rPr>
          <w:rFonts w:hint="eastAsia" w:ascii="仿宋_GB2312" w:eastAsia="仿宋_GB2312" w:cs="仿宋_GB2312"/>
          <w:sz w:val="32"/>
          <w:szCs w:val="32"/>
          <w:lang w:val="zh-CN"/>
        </w:rPr>
        <w:t>，州政府办公室对20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val="zh-CN"/>
        </w:rPr>
        <w:t>年部门</w:t>
      </w:r>
      <w:r>
        <w:rPr>
          <w:rFonts w:hint="eastAsia" w:ascii="仿宋_GB2312" w:eastAsia="仿宋_GB2312" w:cs="仿宋_GB2312"/>
          <w:sz w:val="32"/>
          <w:szCs w:val="32"/>
          <w:lang w:val="en-US" w:eastAsia="zh-CN"/>
        </w:rPr>
        <w:t>整体</w:t>
      </w:r>
      <w:r>
        <w:rPr>
          <w:rFonts w:hint="eastAsia" w:ascii="仿宋_GB2312" w:eastAsia="仿宋_GB2312" w:cs="仿宋_GB2312"/>
          <w:sz w:val="32"/>
          <w:szCs w:val="32"/>
          <w:lang w:val="zh-CN"/>
        </w:rPr>
        <w:t>支出绩效进行了全面综合评价。经全面综合评价，我办部门</w:t>
      </w:r>
      <w:r>
        <w:rPr>
          <w:rFonts w:hint="eastAsia" w:ascii="仿宋_GB2312" w:eastAsia="仿宋_GB2312" w:cs="仿宋_GB2312"/>
          <w:sz w:val="32"/>
          <w:szCs w:val="32"/>
          <w:lang w:val="zh-CN" w:eastAsia="zh-CN"/>
        </w:rPr>
        <w:t>预算</w:t>
      </w:r>
      <w:r>
        <w:rPr>
          <w:rFonts w:hint="eastAsia" w:ascii="仿宋_GB2312" w:eastAsia="仿宋_GB2312" w:cs="仿宋_GB2312"/>
          <w:sz w:val="32"/>
          <w:szCs w:val="32"/>
          <w:lang w:val="zh-CN"/>
        </w:rPr>
        <w:t>支出绩效自评得分</w:t>
      </w:r>
      <w:r>
        <w:rPr>
          <w:rFonts w:hint="eastAsia" w:ascii="仿宋_GB2312" w:eastAsia="仿宋_GB2312" w:cs="仿宋_GB2312"/>
          <w:sz w:val="32"/>
          <w:szCs w:val="32"/>
          <w:lang w:val="en-US" w:eastAsia="zh-CN"/>
        </w:rPr>
        <w:t>78.54</w:t>
      </w:r>
      <w:r>
        <w:rPr>
          <w:rFonts w:hint="eastAsia" w:ascii="仿宋_GB2312" w:eastAsia="仿宋_GB2312" w:cs="仿宋_GB2312"/>
          <w:sz w:val="32"/>
          <w:szCs w:val="32"/>
          <w:lang w:val="zh-CN"/>
        </w:rPr>
        <w:t>分（总分为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lang w:val="zh-CN"/>
        </w:rPr>
        <w:t>分）。</w:t>
      </w:r>
      <w:r>
        <w:rPr>
          <w:rFonts w:hint="eastAsia" w:ascii="仿宋_GB2312" w:eastAsia="仿宋_GB2312" w:cs="仿宋_GB2312"/>
          <w:sz w:val="32"/>
          <w:szCs w:val="32"/>
        </w:rPr>
        <w:t>在2021年度预算编制阶段，组织对</w:t>
      </w:r>
      <w:r>
        <w:rPr>
          <w:rFonts w:hint="eastAsia" w:ascii="仿宋_GB2312" w:eastAsia="仿宋_GB2312" w:cs="仿宋_GB2312"/>
          <w:sz w:val="32"/>
          <w:szCs w:val="32"/>
          <w:lang w:val="en-US" w:eastAsia="zh-CN"/>
        </w:rPr>
        <w:t>我单位所有项目制定了</w:t>
      </w:r>
      <w:r>
        <w:rPr>
          <w:rFonts w:hint="eastAsia" w:ascii="仿宋_GB2312" w:eastAsia="仿宋_GB2312" w:cs="仿宋_GB2312"/>
          <w:sz w:val="32"/>
          <w:szCs w:val="32"/>
        </w:rPr>
        <w:t>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个项目开展了绩效自评，2021年特定目标类部门预算项目绩效目标自评表见附件（第四部分）。</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center"/>
        <w:textAlignment w:val="auto"/>
        <w:rPr>
          <w:rFonts w:hint="eastAsia" w:ascii="仿宋_GB2312" w:eastAsia="仿宋_GB2312" w:cs="仿宋_GB2312"/>
          <w:sz w:val="52"/>
          <w:szCs w:val="52"/>
        </w:rPr>
      </w:pPr>
      <w:r>
        <w:rPr>
          <w:rFonts w:hint="eastAsia" w:ascii="仿宋_GB2312" w:eastAsia="仿宋_GB2312" w:cs="仿宋_GB2312"/>
          <w:sz w:val="52"/>
          <w:szCs w:val="52"/>
        </w:rPr>
        <w:t>第三部分 名词解释</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ascii="仿宋_GB2312" w:eastAsia="仿宋_GB2312"/>
          <w:sz w:val="32"/>
          <w:szCs w:val="32"/>
        </w:rPr>
        <w:t xml:space="preserve">4.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sz w:val="32"/>
          <w:szCs w:val="32"/>
          <w:lang w:val="en-US" w:eastAsia="zh-CN"/>
        </w:rPr>
        <w:t>7.</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beforeAutospacing="0" w:afterAutospacing="0"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val="0"/>
        <w:kinsoku/>
        <w:wordWrap/>
        <w:overflowPunct/>
        <w:topLinePunct w:val="0"/>
        <w:autoSpaceDE w:val="0"/>
        <w:autoSpaceDN w:val="0"/>
        <w:bidi w:val="0"/>
        <w:adjustRightInd w:val="0"/>
        <w:snapToGrid/>
        <w:spacing w:beforeAutospacing="0" w:afterAutospacing="0" w:line="540" w:lineRule="exact"/>
        <w:ind w:firstLine="640" w:firstLineChars="200"/>
        <w:textAlignment w:val="auto"/>
        <w:rPr>
          <w:rFonts w:ascii="仿宋_GB2312" w:eastAsia="仿宋_GB2312"/>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keepNext w:val="0"/>
        <w:keepLines w:val="0"/>
        <w:pageBreakBefore w:val="0"/>
        <w:widowControl/>
        <w:suppressLineNumbers w:val="0"/>
        <w:kinsoku/>
        <w:wordWrap/>
        <w:overflowPunct/>
        <w:topLinePunct w:val="0"/>
        <w:autoSpaceDE/>
        <w:autoSpaceDN/>
        <w:bidi w:val="0"/>
        <w:adjustRightInd/>
        <w:snapToGrid/>
        <w:spacing w:line="540" w:lineRule="exact"/>
        <w:textAlignment w:val="auto"/>
        <w:rPr>
          <w:rFonts w:hint="eastAsia" w:ascii="仿宋_GB2312" w:eastAsia="仿宋_GB2312" w:cs="仿宋_GB2312"/>
          <w:sz w:val="32"/>
          <w:szCs w:val="32"/>
        </w:rPr>
      </w:pPr>
    </w:p>
    <w:p>
      <w:pPr>
        <w:pStyle w:val="8"/>
        <w:keepNext w:val="0"/>
        <w:keepLines w:val="0"/>
        <w:widowControl/>
        <w:suppressLineNumbers w:val="0"/>
        <w:jc w:val="center"/>
      </w:pPr>
    </w:p>
    <w:p>
      <w:pPr>
        <w:pStyle w:val="8"/>
        <w:keepNext w:val="0"/>
        <w:keepLines w:val="0"/>
        <w:widowControl/>
        <w:suppressLineNumbers w:val="0"/>
        <w:jc w:val="center"/>
        <w:rPr>
          <w:rFonts w:hint="eastAsia" w:ascii="仿宋_GB2312" w:eastAsia="仿宋_GB2312" w:cs="仿宋_GB2312"/>
          <w:sz w:val="52"/>
          <w:szCs w:val="52"/>
        </w:rPr>
      </w:pPr>
      <w:r>
        <w:rPr>
          <w:rFonts w:hint="eastAsia" w:ascii="仿宋_GB2312" w:eastAsia="仿宋_GB2312" w:cs="仿宋_GB2312"/>
          <w:sz w:val="52"/>
          <w:szCs w:val="52"/>
        </w:rPr>
        <w:t>第四部分 附件</w:t>
      </w:r>
    </w:p>
    <w:p>
      <w:pPr>
        <w:pStyle w:val="8"/>
        <w:keepNext w:val="0"/>
        <w:keepLines w:val="0"/>
        <w:widowControl/>
        <w:suppressLineNumbers w:val="0"/>
        <w:jc w:val="left"/>
      </w:pPr>
      <w:r>
        <w:t>附件：</w:t>
      </w:r>
    </w:p>
    <w:p>
      <w:pPr>
        <w:pStyle w:val="8"/>
        <w:keepNext w:val="0"/>
        <w:keepLines w:val="0"/>
        <w:widowControl/>
        <w:suppressLineNumbers w:val="0"/>
        <w:jc w:val="center"/>
        <w:rPr>
          <w:rFonts w:eastAsia="宋体"/>
          <w:lang w:val="en-US" w:eastAsia="zh-CN"/>
        </w:rPr>
      </w:pPr>
      <w:r>
        <w:rPr>
          <w:rFonts w:hint="eastAsia"/>
          <w:lang w:val="en-US" w:eastAsia="zh-CN"/>
        </w:rPr>
        <w:t>阿坝州人民政府办公室专项业务费</w:t>
      </w:r>
    </w:p>
    <w:tbl>
      <w:tblPr>
        <w:tblStyle w:val="9"/>
        <w:tblW w:w="784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34"/>
        <w:gridCol w:w="962"/>
        <w:gridCol w:w="1358"/>
        <w:gridCol w:w="998"/>
        <w:gridCol w:w="1034"/>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40" w:hRule="atLeast"/>
          <w:tblCellSpacing w:w="0" w:type="dxa"/>
        </w:trPr>
        <w:tc>
          <w:tcPr>
            <w:tcW w:w="7848" w:type="dxa"/>
            <w:gridSpan w:val="6"/>
            <w:shd w:val="clear" w:color="auto" w:fill="auto"/>
            <w:noWrap/>
            <w:vAlign w:val="center"/>
          </w:tcPr>
          <w:p>
            <w:pPr>
              <w:pStyle w:val="8"/>
              <w:keepNext w:val="0"/>
              <w:keepLines w:val="0"/>
              <w:widowControl/>
              <w:suppressLineNumbers w:val="0"/>
              <w:jc w:val="center"/>
            </w:pPr>
            <w:r>
              <w:rPr>
                <w:rStyle w:val="11"/>
              </w:rPr>
              <w:t>2021年100万元以上（含）特定目标类部门预算项目绩效目标自评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4" w:hRule="atLeast"/>
          <w:tblCellSpacing w:w="0" w:type="dxa"/>
        </w:trPr>
        <w:tc>
          <w:tcPr>
            <w:tcW w:w="2556" w:type="dxa"/>
            <w:gridSpan w:val="2"/>
            <w:shd w:val="clear" w:color="auto" w:fill="auto"/>
            <w:noWrap/>
            <w:vAlign w:val="center"/>
          </w:tcPr>
          <w:p>
            <w:pPr>
              <w:pStyle w:val="8"/>
              <w:keepNext w:val="0"/>
              <w:keepLines w:val="0"/>
              <w:widowControl/>
              <w:suppressLineNumbers w:val="0"/>
              <w:jc w:val="center"/>
            </w:pPr>
            <w:r>
              <w:t>主管部门及代码</w:t>
            </w:r>
          </w:p>
        </w:tc>
        <w:tc>
          <w:tcPr>
            <w:tcW w:w="2316" w:type="dxa"/>
            <w:gridSpan w:val="2"/>
            <w:shd w:val="clear" w:color="auto" w:fill="auto"/>
            <w:noWrap/>
            <w:vAlign w:val="center"/>
          </w:tcPr>
          <w:p>
            <w:pPr>
              <w:pStyle w:val="8"/>
              <w:keepNext w:val="0"/>
              <w:keepLines w:val="0"/>
              <w:widowControl/>
              <w:suppressLineNumbers w:val="0"/>
              <w:jc w:val="center"/>
            </w:pPr>
            <w:r>
              <w:rPr>
                <w:rFonts w:hint="eastAsia"/>
                <w:lang w:val="en-US" w:eastAsia="zh-CN"/>
              </w:rPr>
              <w:t>102101</w:t>
            </w:r>
            <w:r>
              <w:t> </w:t>
            </w:r>
          </w:p>
        </w:tc>
        <w:tc>
          <w:tcPr>
            <w:tcW w:w="1014" w:type="dxa"/>
            <w:shd w:val="clear" w:color="auto" w:fill="auto"/>
            <w:noWrap/>
            <w:vAlign w:val="center"/>
          </w:tcPr>
          <w:p>
            <w:pPr>
              <w:pStyle w:val="8"/>
              <w:keepNext w:val="0"/>
              <w:keepLines w:val="0"/>
              <w:widowControl/>
              <w:suppressLineNumbers w:val="0"/>
              <w:jc w:val="center"/>
            </w:pPr>
            <w:r>
              <w:t>实施单位</w:t>
            </w:r>
          </w:p>
        </w:tc>
        <w:tc>
          <w:tcPr>
            <w:tcW w:w="1962" w:type="dxa"/>
            <w:shd w:val="clear" w:color="auto" w:fill="auto"/>
            <w:noWrap/>
            <w:vAlign w:val="center"/>
          </w:tcPr>
          <w:p>
            <w:pPr>
              <w:pStyle w:val="8"/>
              <w:keepNext w:val="0"/>
              <w:keepLines w:val="0"/>
              <w:widowControl/>
              <w:suppressLineNumbers w:val="0"/>
              <w:jc w:val="center"/>
            </w:pPr>
            <w:r>
              <w:rPr>
                <w:rFonts w:hint="eastAsia"/>
                <w:lang w:val="en-US" w:eastAsia="zh-CN"/>
              </w:rPr>
              <w:t>阿坝州人民政府办公室</w:t>
            </w: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6" w:hRule="atLeast"/>
          <w:tblCellSpacing w:w="0" w:type="dxa"/>
        </w:trPr>
        <w:tc>
          <w:tcPr>
            <w:tcW w:w="2556" w:type="dxa"/>
            <w:gridSpan w:val="2"/>
            <w:vMerge w:val="restart"/>
            <w:shd w:val="clear" w:color="auto" w:fill="auto"/>
            <w:noWrap/>
            <w:vAlign w:val="center"/>
          </w:tcPr>
          <w:p>
            <w:pPr>
              <w:pStyle w:val="8"/>
              <w:keepNext w:val="0"/>
              <w:keepLines w:val="0"/>
              <w:widowControl/>
              <w:suppressLineNumbers w:val="0"/>
              <w:jc w:val="center"/>
            </w:pPr>
            <w:r>
              <w:t>项目预算</w:t>
            </w:r>
          </w:p>
          <w:p>
            <w:pPr>
              <w:pStyle w:val="8"/>
              <w:keepNext w:val="0"/>
              <w:keepLines w:val="0"/>
              <w:widowControl/>
              <w:suppressLineNumbers w:val="0"/>
              <w:jc w:val="center"/>
            </w:pPr>
            <w:r>
              <w:t>执行情况</w:t>
            </w:r>
          </w:p>
          <w:p>
            <w:pPr>
              <w:pStyle w:val="8"/>
              <w:keepNext w:val="0"/>
              <w:keepLines w:val="0"/>
              <w:widowControl/>
              <w:suppressLineNumbers w:val="0"/>
              <w:jc w:val="center"/>
            </w:pPr>
            <w:r>
              <w:t>（万元）</w:t>
            </w:r>
          </w:p>
        </w:tc>
        <w:tc>
          <w:tcPr>
            <w:tcW w:w="1338" w:type="dxa"/>
            <w:shd w:val="clear" w:color="auto" w:fill="auto"/>
            <w:noWrap/>
            <w:vAlign w:val="center"/>
          </w:tcPr>
          <w:p>
            <w:pPr>
              <w:pStyle w:val="8"/>
              <w:keepNext w:val="0"/>
              <w:keepLines w:val="0"/>
              <w:widowControl/>
              <w:suppressLineNumbers w:val="0"/>
              <w:jc w:val="center"/>
            </w:pPr>
            <w:r>
              <w:t> 预算数：</w:t>
            </w:r>
          </w:p>
        </w:tc>
        <w:tc>
          <w:tcPr>
            <w:tcW w:w="978" w:type="dxa"/>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200</w:t>
            </w:r>
          </w:p>
        </w:tc>
        <w:tc>
          <w:tcPr>
            <w:tcW w:w="1014" w:type="dxa"/>
            <w:shd w:val="clear" w:color="auto" w:fill="auto"/>
            <w:noWrap/>
            <w:vAlign w:val="center"/>
          </w:tcPr>
          <w:p>
            <w:pPr>
              <w:pStyle w:val="8"/>
              <w:keepNext w:val="0"/>
              <w:keepLines w:val="0"/>
              <w:widowControl/>
              <w:suppressLineNumbers w:val="0"/>
              <w:jc w:val="center"/>
            </w:pPr>
            <w:r>
              <w:t> 执行数：</w:t>
            </w:r>
          </w:p>
        </w:tc>
        <w:tc>
          <w:tcPr>
            <w:tcW w:w="1962" w:type="dxa"/>
            <w:shd w:val="clear" w:color="auto" w:fill="auto"/>
            <w:noWrap/>
            <w:vAlign w:val="center"/>
          </w:tcPr>
          <w:p>
            <w:pPr>
              <w:pStyle w:val="8"/>
              <w:keepNext w:val="0"/>
              <w:keepLines w:val="0"/>
              <w:widowControl/>
              <w:suppressLineNumbers w:val="0"/>
              <w:jc w:val="center"/>
              <w:rPr>
                <w:lang w:val="en-US"/>
              </w:rPr>
            </w:pPr>
            <w:r>
              <w:rPr>
                <w:rFonts w:hint="eastAsia"/>
                <w:lang w:val="en-US" w:eastAsia="zh-CN"/>
              </w:rPr>
              <w:t>194.04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24" w:hRule="atLeast"/>
          <w:tblCellSpacing w:w="0" w:type="dxa"/>
        </w:trPr>
        <w:tc>
          <w:tcPr>
            <w:tcW w:w="2556" w:type="dxa"/>
            <w:gridSpan w:val="2"/>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spacing w:line="240" w:lineRule="auto"/>
              <w:jc w:val="center"/>
              <w:rPr>
                <w:rFonts w:hint="eastAsia" w:ascii="宋体"/>
                <w:sz w:val="24"/>
                <w:szCs w:val="24"/>
              </w:rPr>
            </w:pPr>
            <w:r>
              <w:t>其中：</w:t>
            </w:r>
          </w:p>
          <w:p>
            <w:pPr>
              <w:pStyle w:val="8"/>
              <w:keepNext w:val="0"/>
              <w:keepLines w:val="0"/>
              <w:widowControl/>
              <w:suppressLineNumbers w:val="0"/>
              <w:spacing w:line="240" w:lineRule="auto"/>
              <w:jc w:val="center"/>
            </w:pPr>
            <w:r>
              <w:t>财政拨款</w:t>
            </w:r>
          </w:p>
        </w:tc>
        <w:tc>
          <w:tcPr>
            <w:tcW w:w="978" w:type="dxa"/>
            <w:shd w:val="clear" w:color="auto" w:fill="auto"/>
            <w:noWrap/>
            <w:vAlign w:val="center"/>
          </w:tcPr>
          <w:p>
            <w:pPr>
              <w:pStyle w:val="8"/>
              <w:keepNext w:val="0"/>
              <w:keepLines w:val="0"/>
              <w:widowControl/>
              <w:suppressLineNumbers w:val="0"/>
              <w:jc w:val="center"/>
              <w:rPr>
                <w:lang w:val="en-US"/>
              </w:rPr>
            </w:pPr>
            <w:r>
              <w:rPr>
                <w:rFonts w:hint="eastAsia"/>
                <w:lang w:val="en-US" w:eastAsia="zh-CN"/>
              </w:rPr>
              <w:t>200</w:t>
            </w:r>
          </w:p>
        </w:tc>
        <w:tc>
          <w:tcPr>
            <w:tcW w:w="1014" w:type="dxa"/>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1962" w:type="dxa"/>
            <w:shd w:val="clear" w:color="auto" w:fill="auto"/>
            <w:noWrap/>
            <w:vAlign w:val="center"/>
          </w:tcPr>
          <w:p>
            <w:pPr>
              <w:pStyle w:val="8"/>
              <w:keepNext w:val="0"/>
              <w:keepLines w:val="0"/>
              <w:widowControl/>
              <w:suppressLineNumbers w:val="0"/>
              <w:jc w:val="center"/>
              <w:rPr>
                <w:lang w:val="en-US"/>
              </w:rPr>
            </w:pPr>
            <w:r>
              <w:rPr>
                <w:rFonts w:hint="eastAsia"/>
                <w:lang w:val="en-US" w:eastAsia="zh-CN"/>
              </w:rPr>
              <w:t>194.04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76" w:hRule="atLeast"/>
          <w:tblCellSpacing w:w="0" w:type="dxa"/>
        </w:trPr>
        <w:tc>
          <w:tcPr>
            <w:tcW w:w="2556" w:type="dxa"/>
            <w:gridSpan w:val="2"/>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其他资金</w:t>
            </w:r>
          </w:p>
        </w:tc>
        <w:tc>
          <w:tcPr>
            <w:tcW w:w="978" w:type="dxa"/>
            <w:shd w:val="clear" w:color="auto" w:fill="auto"/>
            <w:noWrap/>
            <w:vAlign w:val="center"/>
          </w:tcPr>
          <w:p>
            <w:pPr>
              <w:pStyle w:val="8"/>
              <w:keepNext w:val="0"/>
              <w:keepLines w:val="0"/>
              <w:widowControl/>
              <w:suppressLineNumbers w:val="0"/>
              <w:jc w:val="center"/>
            </w:pPr>
            <w:r>
              <w:t> </w:t>
            </w:r>
          </w:p>
        </w:tc>
        <w:tc>
          <w:tcPr>
            <w:tcW w:w="1014" w:type="dxa"/>
            <w:shd w:val="clear" w:color="auto" w:fill="auto"/>
            <w:noWrap/>
            <w:vAlign w:val="center"/>
          </w:tcPr>
          <w:p>
            <w:pPr>
              <w:pStyle w:val="8"/>
              <w:keepNext w:val="0"/>
              <w:keepLines w:val="0"/>
              <w:widowControl/>
              <w:suppressLineNumbers w:val="0"/>
              <w:jc w:val="center"/>
            </w:pPr>
            <w:r>
              <w:t>其他资金</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9" w:hRule="atLeast"/>
          <w:tblCellSpacing w:w="0" w:type="dxa"/>
        </w:trPr>
        <w:tc>
          <w:tcPr>
            <w:tcW w:w="1614" w:type="dxa"/>
            <w:vMerge w:val="restart"/>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年度总体目标</w:t>
            </w:r>
          </w:p>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完成情况</w:t>
            </w:r>
          </w:p>
        </w:tc>
        <w:tc>
          <w:tcPr>
            <w:tcW w:w="3258" w:type="dxa"/>
            <w:gridSpan w:val="3"/>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预期目标</w:t>
            </w:r>
          </w:p>
        </w:tc>
        <w:tc>
          <w:tcPr>
            <w:tcW w:w="2976" w:type="dxa"/>
            <w:gridSpan w:val="2"/>
            <w:shd w:val="clear" w:color="auto" w:fill="auto"/>
            <w:noWrap/>
            <w:vAlign w:val="center"/>
          </w:tcPr>
          <w:p>
            <w:pPr>
              <w:pStyle w:val="8"/>
              <w:keepNext w:val="0"/>
              <w:keepLines w:val="0"/>
              <w:widowControl/>
              <w:suppressLineNumbers w:val="0"/>
              <w:jc w:val="center"/>
            </w:pPr>
            <w:r>
              <w:t>目标实际完成情况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6" w:hRule="atLeast"/>
          <w:tblCellSpacing w:w="0" w:type="dxa"/>
        </w:trPr>
        <w:tc>
          <w:tcPr>
            <w:tcW w:w="1614" w:type="dxa"/>
            <w:vMerge w:val="continue"/>
            <w:shd w:val="clear" w:color="auto" w:fill="auto"/>
            <w:noWrap/>
            <w:vAlign w:val="center"/>
          </w:tcPr>
          <w:p/>
        </w:tc>
        <w:tc>
          <w:tcPr>
            <w:tcW w:w="3258" w:type="dxa"/>
            <w:gridSpan w:val="3"/>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ascii="仿宋_GB2312" w:hAnsi="仿宋_GB2312"/>
                <w:lang w:val="zh-CN"/>
              </w:rPr>
            </w:pPr>
            <w:r>
              <w:rPr>
                <w:rFonts w:hint="eastAsia" w:ascii="仿宋_GB2312" w:hAnsi="仿宋_GB2312"/>
                <w:lang w:val="en-US" w:eastAsia="zh-CN"/>
              </w:rPr>
              <w:t>保障我单位基本运转、为工作人员提供有序、高效的办公环境</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eastAsia="宋体" w:cs="宋体"/>
                <w:sz w:val="21"/>
                <w:szCs w:val="21"/>
              </w:rPr>
            </w:pPr>
          </w:p>
        </w:tc>
        <w:tc>
          <w:tcPr>
            <w:tcW w:w="2976" w:type="dxa"/>
            <w:gridSpan w:val="2"/>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53" w:hRule="atLeast"/>
          <w:tblCellSpacing w:w="0" w:type="dxa"/>
        </w:trPr>
        <w:tc>
          <w:tcPr>
            <w:tcW w:w="1614" w:type="dxa"/>
            <w:vMerge w:val="restart"/>
            <w:shd w:val="clear" w:color="auto" w:fill="auto"/>
            <w:noWrap/>
            <w:vAlign w:val="center"/>
          </w:tcPr>
          <w:p>
            <w:pPr>
              <w:pStyle w:val="8"/>
              <w:keepNext w:val="0"/>
              <w:keepLines w:val="0"/>
              <w:widowControl/>
              <w:suppressLineNumbers w:val="0"/>
              <w:jc w:val="center"/>
            </w:pPr>
            <w:r>
              <w:t>年度绩效指标完成情况</w:t>
            </w:r>
          </w:p>
        </w:tc>
        <w:tc>
          <w:tcPr>
            <w:tcW w:w="942" w:type="dxa"/>
            <w:shd w:val="clear" w:color="auto" w:fill="auto"/>
            <w:noWrap/>
            <w:vAlign w:val="center"/>
          </w:tcPr>
          <w:p>
            <w:pPr>
              <w:pStyle w:val="8"/>
              <w:keepNext w:val="0"/>
              <w:keepLines w:val="0"/>
              <w:widowControl/>
              <w:suppressLineNumbers w:val="0"/>
              <w:jc w:val="center"/>
            </w:pPr>
            <w:r>
              <w:t>一级</w:t>
            </w:r>
          </w:p>
          <w:p>
            <w:pPr>
              <w:pStyle w:val="8"/>
              <w:keepNext w:val="0"/>
              <w:keepLines w:val="0"/>
              <w:widowControl/>
              <w:suppressLineNumbers w:val="0"/>
              <w:jc w:val="center"/>
            </w:pPr>
            <w:r>
              <w:t>指标</w:t>
            </w:r>
          </w:p>
        </w:tc>
        <w:tc>
          <w:tcPr>
            <w:tcW w:w="1338" w:type="dxa"/>
            <w:shd w:val="clear" w:color="auto" w:fill="auto"/>
            <w:noWrap/>
            <w:vAlign w:val="center"/>
          </w:tcPr>
          <w:p>
            <w:pPr>
              <w:pStyle w:val="8"/>
              <w:keepNext w:val="0"/>
              <w:keepLines w:val="0"/>
              <w:widowControl/>
              <w:suppressLineNumbers w:val="0"/>
              <w:jc w:val="center"/>
            </w:pPr>
            <w:r>
              <w:t>二级</w:t>
            </w:r>
          </w:p>
          <w:p>
            <w:pPr>
              <w:pStyle w:val="8"/>
              <w:keepNext w:val="0"/>
              <w:keepLines w:val="0"/>
              <w:widowControl/>
              <w:suppressLineNumbers w:val="0"/>
              <w:jc w:val="center"/>
            </w:pPr>
            <w:r>
              <w:t>指标</w:t>
            </w:r>
          </w:p>
        </w:tc>
        <w:tc>
          <w:tcPr>
            <w:tcW w:w="978" w:type="dxa"/>
            <w:shd w:val="clear" w:color="auto" w:fill="auto"/>
            <w:noWrap/>
            <w:vAlign w:val="center"/>
          </w:tcPr>
          <w:p>
            <w:pPr>
              <w:pStyle w:val="8"/>
              <w:keepNext w:val="0"/>
              <w:keepLines w:val="0"/>
              <w:widowControl/>
              <w:suppressLineNumbers w:val="0"/>
              <w:jc w:val="center"/>
            </w:pPr>
            <w:r>
              <w:t>三级</w:t>
            </w:r>
          </w:p>
          <w:p>
            <w:pPr>
              <w:pStyle w:val="8"/>
              <w:keepNext w:val="0"/>
              <w:keepLines w:val="0"/>
              <w:widowControl/>
              <w:suppressLineNumbers w:val="0"/>
              <w:jc w:val="center"/>
            </w:pPr>
            <w:r>
              <w:t>指标</w:t>
            </w:r>
          </w:p>
        </w:tc>
        <w:tc>
          <w:tcPr>
            <w:tcW w:w="1014" w:type="dxa"/>
            <w:shd w:val="clear" w:color="auto" w:fill="auto"/>
            <w:noWrap/>
            <w:vAlign w:val="center"/>
          </w:tcPr>
          <w:p>
            <w:pPr>
              <w:pStyle w:val="8"/>
              <w:keepNext w:val="0"/>
              <w:keepLines w:val="0"/>
              <w:widowControl/>
              <w:suppressLineNumbers w:val="0"/>
              <w:jc w:val="center"/>
            </w:pPr>
            <w:r>
              <w:t>预期指标值</w:t>
            </w:r>
          </w:p>
        </w:tc>
        <w:tc>
          <w:tcPr>
            <w:tcW w:w="1962" w:type="dxa"/>
            <w:shd w:val="clear" w:color="auto" w:fill="auto"/>
            <w:noWrap/>
            <w:vAlign w:val="center"/>
          </w:tcPr>
          <w:p>
            <w:pPr>
              <w:pStyle w:val="8"/>
              <w:keepNext w:val="0"/>
              <w:keepLines w:val="0"/>
              <w:widowControl/>
              <w:suppressLineNumbers w:val="0"/>
              <w:jc w:val="center"/>
            </w:pPr>
            <w:r>
              <w:t>实际完成指标值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6" w:hRule="atLeast"/>
          <w:tblCellSpacing w:w="0" w:type="dxa"/>
        </w:trPr>
        <w:tc>
          <w:tcPr>
            <w:tcW w:w="1614" w:type="dxa"/>
            <w:vMerge w:val="continue"/>
            <w:shd w:val="clear" w:color="auto" w:fill="auto"/>
            <w:noWrap/>
            <w:vAlign w:val="center"/>
          </w:tcPr>
          <w:p/>
        </w:tc>
        <w:tc>
          <w:tcPr>
            <w:tcW w:w="942" w:type="dxa"/>
            <w:vMerge w:val="restart"/>
            <w:shd w:val="clear" w:color="auto" w:fill="auto"/>
            <w:noWrap/>
            <w:vAlign w:val="center"/>
          </w:tcPr>
          <w:p>
            <w:pPr>
              <w:pStyle w:val="8"/>
              <w:keepNext w:val="0"/>
              <w:keepLines w:val="0"/>
              <w:widowControl/>
              <w:suppressLineNumbers w:val="0"/>
              <w:jc w:val="center"/>
              <w:rPr>
                <w:rFonts w:hint="eastAsia" w:ascii="宋体"/>
                <w:sz w:val="24"/>
                <w:szCs w:val="24"/>
              </w:rPr>
            </w:pPr>
            <w:r>
              <w:t>完成</w:t>
            </w:r>
          </w:p>
          <w:p>
            <w:pPr>
              <w:pStyle w:val="8"/>
              <w:keepNext w:val="0"/>
              <w:keepLines w:val="0"/>
              <w:widowControl/>
              <w:suppressLineNumbers w:val="0"/>
              <w:jc w:val="center"/>
            </w:pPr>
            <w:r>
              <w:t>指标</w:t>
            </w:r>
          </w:p>
        </w:tc>
        <w:tc>
          <w:tcPr>
            <w:tcW w:w="1338" w:type="dxa"/>
            <w:shd w:val="clear" w:color="auto" w:fill="auto"/>
            <w:noWrap/>
            <w:vAlign w:val="center"/>
          </w:tcPr>
          <w:p>
            <w:pPr>
              <w:pStyle w:val="8"/>
              <w:keepNext w:val="0"/>
              <w:keepLines w:val="0"/>
              <w:widowControl/>
              <w:suppressLineNumbers w:val="0"/>
              <w:jc w:val="center"/>
            </w:pPr>
            <w:r>
              <w:t>数量指标</w:t>
            </w:r>
          </w:p>
        </w:tc>
        <w:tc>
          <w:tcPr>
            <w:tcW w:w="978" w:type="dxa"/>
            <w:shd w:val="clear" w:color="auto" w:fill="auto"/>
            <w:noWrap/>
            <w:vAlign w:val="center"/>
          </w:tcPr>
          <w:p>
            <w:pPr>
              <w:pStyle w:val="8"/>
              <w:keepNext w:val="0"/>
              <w:keepLines w:val="0"/>
              <w:widowControl/>
              <w:suppressLineNumbers w:val="0"/>
              <w:jc w:val="center"/>
            </w:pP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6"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质量指标</w:t>
            </w:r>
          </w:p>
        </w:tc>
        <w:tc>
          <w:tcPr>
            <w:tcW w:w="978" w:type="dxa"/>
            <w:shd w:val="clear" w:color="auto" w:fill="auto"/>
            <w:noWrap/>
            <w:vAlign w:val="center"/>
          </w:tcPr>
          <w:p>
            <w:pPr>
              <w:pStyle w:val="8"/>
              <w:keepNext w:val="0"/>
              <w:keepLines w:val="0"/>
              <w:widowControl/>
              <w:suppressLineNumbers w:val="0"/>
              <w:jc w:val="center"/>
            </w:pPr>
            <w:r>
              <w:t> </w:t>
            </w: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6"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时效指标</w:t>
            </w:r>
          </w:p>
        </w:tc>
        <w:tc>
          <w:tcPr>
            <w:tcW w:w="978" w:type="dxa"/>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时间</w:t>
            </w:r>
          </w:p>
        </w:tc>
        <w:tc>
          <w:tcPr>
            <w:tcW w:w="1014" w:type="dxa"/>
            <w:shd w:val="clear" w:color="auto" w:fill="auto"/>
            <w:noWrap/>
            <w:vAlign w:val="center"/>
          </w:tcPr>
          <w:p>
            <w:pPr>
              <w:pStyle w:val="8"/>
              <w:keepNext w:val="0"/>
              <w:keepLines w:val="0"/>
              <w:widowControl/>
              <w:suppressLineNumbers w:val="0"/>
              <w:jc w:val="left"/>
              <w:rPr>
                <w:rFonts w:ascii="宋体" w:eastAsia="宋体" w:cs="宋体"/>
                <w:kern w:val="2"/>
                <w:sz w:val="21"/>
                <w:szCs w:val="21"/>
                <w:lang w:val="en-US" w:eastAsia="zh-CN" w:bidi="ar-SA"/>
              </w:rPr>
            </w:pPr>
            <w:r>
              <w:rPr>
                <w:rFonts w:hint="eastAsia" w:ascii="宋体" w:eastAsia="宋体" w:cs="宋体"/>
                <w:kern w:val="2"/>
                <w:sz w:val="21"/>
                <w:szCs w:val="21"/>
                <w:lang w:val="en-US" w:eastAsia="zh-CN" w:bidi="ar-SA"/>
              </w:rPr>
              <w:t>1</w:t>
            </w:r>
            <w:r>
              <w:rPr>
                <w:rFonts w:hint="eastAsia" w:ascii="宋体" w:cs="宋体"/>
                <w:kern w:val="2"/>
                <w:sz w:val="21"/>
                <w:szCs w:val="21"/>
                <w:lang w:val="en-US" w:eastAsia="zh-CN" w:bidi="ar-SA"/>
              </w:rPr>
              <w:t>2</w:t>
            </w:r>
            <w:r>
              <w:rPr>
                <w:rFonts w:hint="eastAsia" w:ascii="宋体" w:eastAsia="宋体" w:cs="宋体"/>
                <w:kern w:val="2"/>
                <w:sz w:val="21"/>
                <w:szCs w:val="21"/>
                <w:lang w:val="en-US" w:eastAsia="zh-CN" w:bidi="ar-SA"/>
              </w:rPr>
              <w:t>月前</w:t>
            </w:r>
          </w:p>
        </w:tc>
        <w:tc>
          <w:tcPr>
            <w:tcW w:w="1962" w:type="dxa"/>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5"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成本指标</w:t>
            </w:r>
          </w:p>
        </w:tc>
        <w:tc>
          <w:tcPr>
            <w:tcW w:w="978" w:type="dxa"/>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成本</w:t>
            </w:r>
          </w:p>
        </w:tc>
        <w:tc>
          <w:tcPr>
            <w:tcW w:w="1014" w:type="dxa"/>
            <w:shd w:val="clear" w:color="auto" w:fill="auto"/>
            <w:noWrap/>
            <w:vAlign w:val="center"/>
          </w:tcPr>
          <w:p>
            <w:pPr>
              <w:pStyle w:val="8"/>
              <w:keepNext w:val="0"/>
              <w:keepLines w:val="0"/>
              <w:widowControl/>
              <w:suppressLineNumbers w:val="0"/>
              <w:jc w:val="left"/>
              <w:rPr>
                <w:rFonts w:hint="eastAsia" w:ascii="宋体" w:eastAsia="宋体" w:cs="宋体"/>
                <w:kern w:val="2"/>
                <w:sz w:val="21"/>
                <w:szCs w:val="21"/>
                <w:lang w:val="en-US" w:eastAsia="zh-CN" w:bidi="ar-SA"/>
              </w:rPr>
            </w:pPr>
            <w:r>
              <w:rPr>
                <w:rFonts w:hint="eastAsia" w:ascii="宋体" w:cs="宋体"/>
                <w:kern w:val="2"/>
                <w:sz w:val="21"/>
                <w:szCs w:val="21"/>
                <w:lang w:val="en-US" w:eastAsia="zh-CN" w:bidi="ar-SA"/>
              </w:rPr>
              <w:t>200</w:t>
            </w:r>
            <w:r>
              <w:rPr>
                <w:rFonts w:hint="eastAsia" w:ascii="宋体" w:eastAsia="宋体" w:cs="宋体"/>
                <w:kern w:val="2"/>
                <w:sz w:val="21"/>
                <w:szCs w:val="21"/>
                <w:lang w:val="en-US" w:eastAsia="zh-CN" w:bidi="ar-SA"/>
              </w:rPr>
              <w:t>万</w:t>
            </w:r>
            <w:r>
              <w:rPr>
                <w:rFonts w:hint="eastAsia" w:ascii="宋体" w:cs="宋体"/>
                <w:kern w:val="2"/>
                <w:sz w:val="21"/>
                <w:szCs w:val="21"/>
                <w:lang w:val="en-US" w:eastAsia="zh-CN" w:bidi="ar-SA"/>
              </w:rPr>
              <w:t>以内</w:t>
            </w:r>
            <w:r>
              <w:rPr>
                <w:rFonts w:hint="eastAsia" w:ascii="宋体" w:eastAsia="宋体" w:cs="宋体"/>
                <w:kern w:val="2"/>
                <w:sz w:val="21"/>
                <w:szCs w:val="21"/>
                <w:lang w:val="en-US" w:eastAsia="zh-CN" w:bidi="ar-SA"/>
              </w:rPr>
              <w:t> </w:t>
            </w:r>
          </w:p>
        </w:tc>
        <w:tc>
          <w:tcPr>
            <w:tcW w:w="1962" w:type="dxa"/>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5" w:hRule="atLeast"/>
          <w:tblCellSpacing w:w="0" w:type="dxa"/>
        </w:trPr>
        <w:tc>
          <w:tcPr>
            <w:tcW w:w="1614" w:type="dxa"/>
            <w:vMerge w:val="continue"/>
            <w:shd w:val="clear" w:color="auto" w:fill="auto"/>
            <w:noWrap/>
            <w:vAlign w:val="center"/>
          </w:tcPr>
          <w:p/>
        </w:tc>
        <w:tc>
          <w:tcPr>
            <w:tcW w:w="942" w:type="dxa"/>
            <w:vMerge w:val="restart"/>
            <w:shd w:val="clear" w:color="auto" w:fill="auto"/>
            <w:noWrap/>
            <w:vAlign w:val="center"/>
          </w:tcPr>
          <w:p>
            <w:pPr>
              <w:pStyle w:val="8"/>
              <w:keepNext w:val="0"/>
              <w:keepLines w:val="0"/>
              <w:widowControl/>
              <w:suppressLineNumbers w:val="0"/>
              <w:jc w:val="center"/>
              <w:rPr>
                <w:rFonts w:hint="eastAsia" w:ascii="宋体"/>
                <w:sz w:val="24"/>
                <w:szCs w:val="24"/>
              </w:rPr>
            </w:pPr>
            <w:r>
              <w:t>效益</w:t>
            </w:r>
          </w:p>
          <w:p>
            <w:pPr>
              <w:pStyle w:val="8"/>
              <w:keepNext w:val="0"/>
              <w:keepLines w:val="0"/>
              <w:widowControl/>
              <w:suppressLineNumbers w:val="0"/>
              <w:jc w:val="center"/>
            </w:pPr>
            <w:r>
              <w:t>指标</w:t>
            </w:r>
          </w:p>
        </w:tc>
        <w:tc>
          <w:tcPr>
            <w:tcW w:w="1338" w:type="dxa"/>
            <w:shd w:val="clear" w:color="auto" w:fill="auto"/>
            <w:noWrap/>
            <w:vAlign w:val="center"/>
          </w:tcPr>
          <w:p>
            <w:pPr>
              <w:pStyle w:val="8"/>
              <w:keepNext w:val="0"/>
              <w:keepLines w:val="0"/>
              <w:widowControl/>
              <w:suppressLineNumbers w:val="0"/>
              <w:jc w:val="center"/>
            </w:pPr>
            <w:r>
              <w:t>经济效益指标</w:t>
            </w:r>
          </w:p>
        </w:tc>
        <w:tc>
          <w:tcPr>
            <w:tcW w:w="978" w:type="dxa"/>
            <w:shd w:val="clear" w:color="auto" w:fill="auto"/>
            <w:noWrap/>
            <w:vAlign w:val="center"/>
          </w:tcPr>
          <w:p>
            <w:pPr>
              <w:pStyle w:val="8"/>
              <w:keepNext w:val="0"/>
              <w:keepLines w:val="0"/>
              <w:widowControl/>
              <w:suppressLineNumbers w:val="0"/>
              <w:jc w:val="center"/>
            </w:pPr>
            <w:r>
              <w:t> </w:t>
            </w: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5"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社会效益指标</w:t>
            </w:r>
          </w:p>
        </w:tc>
        <w:tc>
          <w:tcPr>
            <w:tcW w:w="978" w:type="dxa"/>
            <w:shd w:val="clear" w:color="auto" w:fill="auto"/>
            <w:noWrap/>
            <w:vAlign w:val="center"/>
          </w:tcPr>
          <w:p>
            <w:pPr>
              <w:pStyle w:val="8"/>
              <w:keepNext w:val="0"/>
              <w:keepLines w:val="0"/>
              <w:widowControl/>
              <w:suppressLineNumbers w:val="0"/>
              <w:jc w:val="center"/>
            </w:pPr>
            <w:r>
              <w:t> </w:t>
            </w: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6"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ind w:left="423"/>
              <w:rPr>
                <w:rFonts w:hint="eastAsia" w:ascii="宋体"/>
                <w:sz w:val="24"/>
                <w:szCs w:val="24"/>
              </w:rPr>
            </w:pPr>
            <w:r>
              <w:t>生态效益指标</w:t>
            </w:r>
          </w:p>
        </w:tc>
        <w:tc>
          <w:tcPr>
            <w:tcW w:w="978" w:type="dxa"/>
            <w:shd w:val="clear" w:color="auto" w:fill="auto"/>
            <w:noWrap/>
            <w:vAlign w:val="center"/>
          </w:tcPr>
          <w:p>
            <w:pPr>
              <w:pStyle w:val="8"/>
              <w:keepNext w:val="0"/>
              <w:keepLines w:val="0"/>
              <w:widowControl/>
              <w:suppressLineNumbers w:val="0"/>
            </w:pPr>
            <w:r>
              <w:t> </w:t>
            </w: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5" w:hRule="atLeast"/>
          <w:tblCellSpacing w:w="0" w:type="dxa"/>
        </w:trPr>
        <w:tc>
          <w:tcPr>
            <w:tcW w:w="1614" w:type="dxa"/>
            <w:vMerge w:val="continue"/>
            <w:shd w:val="clear" w:color="auto" w:fill="auto"/>
            <w:noWrap/>
            <w:vAlign w:val="center"/>
          </w:tcPr>
          <w:p/>
        </w:tc>
        <w:tc>
          <w:tcPr>
            <w:tcW w:w="942" w:type="dxa"/>
            <w:vMerge w:val="continue"/>
            <w:shd w:val="clear" w:color="auto" w:fill="auto"/>
            <w:noWrap/>
            <w:vAlign w:val="center"/>
          </w:tcPr>
          <w:p/>
        </w:tc>
        <w:tc>
          <w:tcPr>
            <w:tcW w:w="1338" w:type="dxa"/>
            <w:shd w:val="clear" w:color="auto" w:fill="auto"/>
            <w:noWrap/>
            <w:vAlign w:val="center"/>
          </w:tcPr>
          <w:p>
            <w:pPr>
              <w:pStyle w:val="8"/>
              <w:keepNext w:val="0"/>
              <w:keepLines w:val="0"/>
              <w:widowControl/>
              <w:suppressLineNumbers w:val="0"/>
              <w:jc w:val="center"/>
              <w:rPr>
                <w:rFonts w:hint="eastAsia" w:ascii="宋体"/>
                <w:sz w:val="24"/>
                <w:szCs w:val="24"/>
              </w:rPr>
            </w:pPr>
            <w:r>
              <w:t>可持续影响指标</w:t>
            </w:r>
          </w:p>
        </w:tc>
        <w:tc>
          <w:tcPr>
            <w:tcW w:w="978" w:type="dxa"/>
            <w:shd w:val="clear" w:color="auto" w:fill="auto"/>
            <w:noWrap/>
            <w:vAlign w:val="center"/>
          </w:tcPr>
          <w:p>
            <w:pPr>
              <w:pStyle w:val="8"/>
              <w:keepNext w:val="0"/>
              <w:keepLines w:val="0"/>
              <w:widowControl/>
              <w:suppressLineNumbers w:val="0"/>
              <w:jc w:val="center"/>
            </w:pPr>
            <w:r>
              <w:t> </w:t>
            </w:r>
          </w:p>
        </w:tc>
        <w:tc>
          <w:tcPr>
            <w:tcW w:w="1014" w:type="dxa"/>
            <w:shd w:val="clear" w:color="auto" w:fill="auto"/>
            <w:noWrap/>
            <w:vAlign w:val="center"/>
          </w:tcPr>
          <w:p>
            <w:pPr>
              <w:pStyle w:val="8"/>
              <w:keepNext w:val="0"/>
              <w:keepLines w:val="0"/>
              <w:widowControl/>
              <w:suppressLineNumbers w:val="0"/>
              <w:jc w:val="center"/>
            </w:pPr>
            <w:r>
              <w:t> </w:t>
            </w:r>
          </w:p>
        </w:tc>
        <w:tc>
          <w:tcPr>
            <w:tcW w:w="1962" w:type="dxa"/>
            <w:shd w:val="clear" w:color="auto" w:fill="auto"/>
            <w:noWrap/>
            <w:vAlign w:val="center"/>
          </w:tcPr>
          <w:p>
            <w:pPr>
              <w:pStyle w:val="8"/>
              <w:keepNext w:val="0"/>
              <w:keepLines w:val="0"/>
              <w:widowControl/>
              <w:suppressLineNumbers w:val="0"/>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0" w:hRule="atLeast"/>
          <w:tblCellSpacing w:w="0" w:type="dxa"/>
        </w:trPr>
        <w:tc>
          <w:tcPr>
            <w:tcW w:w="1614" w:type="dxa"/>
            <w:vMerge w:val="continue"/>
            <w:shd w:val="clear" w:color="auto" w:fill="auto"/>
            <w:noWrap/>
            <w:vAlign w:val="center"/>
          </w:tcPr>
          <w:p/>
        </w:tc>
        <w:tc>
          <w:tcPr>
            <w:tcW w:w="942" w:type="dxa"/>
            <w:shd w:val="clear" w:color="auto" w:fill="auto"/>
            <w:noWrap/>
            <w:vAlign w:val="center"/>
          </w:tcPr>
          <w:p>
            <w:pPr>
              <w:pStyle w:val="8"/>
              <w:keepNext w:val="0"/>
              <w:keepLines w:val="0"/>
              <w:widowControl/>
              <w:suppressLineNumbers w:val="0"/>
              <w:jc w:val="center"/>
              <w:rPr>
                <w:rFonts w:hint="eastAsia" w:ascii="宋体"/>
                <w:sz w:val="24"/>
                <w:szCs w:val="24"/>
              </w:rPr>
            </w:pPr>
            <w:r>
              <w:t>满意</w:t>
            </w:r>
          </w:p>
          <w:p>
            <w:pPr>
              <w:pStyle w:val="8"/>
              <w:keepNext w:val="0"/>
              <w:keepLines w:val="0"/>
              <w:widowControl/>
              <w:suppressLineNumbers w:val="0"/>
              <w:jc w:val="center"/>
            </w:pPr>
            <w:r>
              <w:t>度指标</w:t>
            </w:r>
          </w:p>
        </w:tc>
        <w:tc>
          <w:tcPr>
            <w:tcW w:w="1338" w:type="dxa"/>
            <w:shd w:val="clear" w:color="auto" w:fill="auto"/>
            <w:noWrap/>
            <w:vAlign w:val="center"/>
          </w:tcPr>
          <w:p>
            <w:pPr>
              <w:pStyle w:val="8"/>
              <w:keepNext w:val="0"/>
              <w:keepLines w:val="0"/>
              <w:widowControl/>
              <w:suppressLineNumbers w:val="0"/>
              <w:jc w:val="center"/>
            </w:pPr>
            <w:r>
              <w:t>满意度</w:t>
            </w:r>
          </w:p>
          <w:p>
            <w:pPr>
              <w:pStyle w:val="8"/>
              <w:keepNext w:val="0"/>
              <w:keepLines w:val="0"/>
              <w:widowControl/>
              <w:suppressLineNumbers w:val="0"/>
              <w:jc w:val="center"/>
            </w:pPr>
            <w:r>
              <w:t>指标</w:t>
            </w:r>
          </w:p>
        </w:tc>
        <w:tc>
          <w:tcPr>
            <w:tcW w:w="978" w:type="dxa"/>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使用人员满意度</w:t>
            </w:r>
          </w:p>
        </w:tc>
        <w:tc>
          <w:tcPr>
            <w:tcW w:w="1014" w:type="dxa"/>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90%以上</w:t>
            </w:r>
          </w:p>
        </w:tc>
        <w:tc>
          <w:tcPr>
            <w:tcW w:w="1962" w:type="dxa"/>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完成</w:t>
            </w:r>
          </w:p>
        </w:tc>
      </w:tr>
    </w:tbl>
    <w:p>
      <w:pPr>
        <w:pStyle w:val="8"/>
        <w:keepNext w:val="0"/>
        <w:keepLines w:val="0"/>
        <w:widowControl/>
        <w:suppressLineNumbers w:val="0"/>
        <w:jc w:val="left"/>
      </w:pPr>
    </w:p>
    <w:p>
      <w:pPr>
        <w:pStyle w:val="8"/>
        <w:keepNext w:val="0"/>
        <w:keepLines w:val="0"/>
        <w:widowControl/>
        <w:suppressLineNumbers w:val="0"/>
        <w:jc w:val="left"/>
        <w:rPr>
          <w:rFonts w:eastAsia="宋体"/>
          <w:lang w:val="en-US" w:eastAsia="zh-CN"/>
        </w:rPr>
      </w:pPr>
      <w:r>
        <w:rPr>
          <w:rFonts w:hint="eastAsia"/>
          <w:lang w:val="en-US" w:eastAsia="zh-CN"/>
        </w:rPr>
        <w:t>阿坝州人民政府办公室追加州政府办公务用车购置经费</w:t>
      </w:r>
    </w:p>
    <w:tbl>
      <w:tblPr>
        <w:tblStyle w:val="9"/>
        <w:tblW w:w="7848"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44"/>
        <w:gridCol w:w="972"/>
        <w:gridCol w:w="1368"/>
        <w:gridCol w:w="1008"/>
        <w:gridCol w:w="1044"/>
        <w:gridCol w:w="199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trPr>
        <w:tc>
          <w:tcPr>
            <w:tcW w:w="7848"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Style w:val="11"/>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4" w:hRule="atLeast"/>
          <w:tblCellSpacing w:w="0" w:type="dxa"/>
        </w:trPr>
        <w:tc>
          <w:tcPr>
            <w:tcW w:w="255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主管部门及代码</w:t>
            </w:r>
          </w:p>
        </w:tc>
        <w:tc>
          <w:tcPr>
            <w:tcW w:w="231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102101</w:t>
            </w: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实施单位</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阿坝州人民政府办公室</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6" w:hRule="atLeast"/>
          <w:tblCellSpacing w:w="0" w:type="dxa"/>
        </w:trPr>
        <w:tc>
          <w:tcPr>
            <w:tcW w:w="2556" w:type="dxa"/>
            <w:gridSpan w:val="2"/>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项目预算</w:t>
            </w:r>
          </w:p>
          <w:p>
            <w:pPr>
              <w:pStyle w:val="8"/>
              <w:keepNext w:val="0"/>
              <w:keepLines w:val="0"/>
              <w:widowControl/>
              <w:suppressLineNumbers w:val="0"/>
              <w:jc w:val="center"/>
            </w:pPr>
            <w:r>
              <w:t>执行情况</w:t>
            </w:r>
          </w:p>
          <w:p>
            <w:pPr>
              <w:pStyle w:val="8"/>
              <w:keepNext w:val="0"/>
              <w:keepLines w:val="0"/>
              <w:widowControl/>
              <w:suppressLineNumbers w:val="0"/>
              <w:jc w:val="center"/>
            </w:pPr>
            <w:r>
              <w:t>（万元）</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预算数：</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120</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执行数：</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119.1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4" w:hRule="atLeast"/>
          <w:tblCellSpacing w:w="0" w:type="dxa"/>
        </w:trPr>
        <w:tc>
          <w:tcPr>
            <w:tcW w:w="2556" w:type="dxa"/>
            <w:gridSpan w:val="2"/>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spacing w:line="240" w:lineRule="auto"/>
              <w:jc w:val="center"/>
              <w:rPr>
                <w:rFonts w:hint="eastAsia" w:ascii="宋体"/>
                <w:sz w:val="24"/>
                <w:szCs w:val="24"/>
              </w:rPr>
            </w:pPr>
            <w:r>
              <w:t>其中：</w:t>
            </w:r>
          </w:p>
          <w:p>
            <w:pPr>
              <w:pStyle w:val="8"/>
              <w:keepNext w:val="0"/>
              <w:keepLines w:val="0"/>
              <w:widowControl/>
              <w:suppressLineNumbers w:val="0"/>
              <w:spacing w:line="240" w:lineRule="auto"/>
              <w:jc w:val="center"/>
            </w:pPr>
            <w:r>
              <w:t>财政拨款</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120</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119.1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6" w:hRule="atLeast"/>
          <w:tblCellSpacing w:w="0" w:type="dxa"/>
        </w:trPr>
        <w:tc>
          <w:tcPr>
            <w:tcW w:w="2556" w:type="dxa"/>
            <w:gridSpan w:val="2"/>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其他资金</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其他资金</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9" w:hRule="atLeast"/>
          <w:tblCellSpacing w:w="0" w:type="dxa"/>
        </w:trPr>
        <w:tc>
          <w:tcPr>
            <w:tcW w:w="1614"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年度总体目标</w:t>
            </w:r>
          </w:p>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完成情况</w:t>
            </w:r>
          </w:p>
        </w:tc>
        <w:tc>
          <w:tcPr>
            <w:tcW w:w="3258"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预期目标</w:t>
            </w:r>
          </w:p>
        </w:tc>
        <w:tc>
          <w:tcPr>
            <w:tcW w:w="297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3258"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s="宋体"/>
                <w:sz w:val="21"/>
                <w:szCs w:val="21"/>
              </w:rPr>
            </w:pPr>
            <w:r>
              <w:rPr>
                <w:rFonts w:hint="eastAsia" w:ascii="仿宋_GB2312" w:hAnsi="仿宋_GB2312"/>
                <w:lang w:val="en-US" w:eastAsia="zh-CN"/>
              </w:rPr>
              <w:t>确保我单位公务用车保障工作正常运转，提高驾驶及乘车人员的安全保障</w:t>
            </w:r>
            <w:r>
              <w:rPr>
                <w:rFonts w:hint="eastAsia" w:ascii="宋体" w:eastAsia="宋体" w:cs="宋体"/>
                <w:sz w:val="21"/>
                <w:szCs w:val="21"/>
                <w:lang w:val="en-US" w:eastAsia="zh-CN"/>
              </w:rPr>
              <w:t>。</w:t>
            </w:r>
          </w:p>
        </w:tc>
        <w:tc>
          <w:tcPr>
            <w:tcW w:w="297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3" w:hRule="atLeast"/>
          <w:tblCellSpacing w:w="0" w:type="dxa"/>
        </w:trPr>
        <w:tc>
          <w:tcPr>
            <w:tcW w:w="1614"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年度绩效指标完成情况</w:t>
            </w:r>
          </w:p>
        </w:tc>
        <w:tc>
          <w:tcPr>
            <w:tcW w:w="94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一级</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二级</w:t>
            </w:r>
          </w:p>
          <w:p>
            <w:pPr>
              <w:pStyle w:val="8"/>
              <w:keepNext w:val="0"/>
              <w:keepLines w:val="0"/>
              <w:widowControl/>
              <w:suppressLineNumbers w:val="0"/>
              <w:jc w:val="center"/>
            </w:pPr>
            <w:r>
              <w:t>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三级</w:t>
            </w:r>
          </w:p>
          <w:p>
            <w:pPr>
              <w:pStyle w:val="8"/>
              <w:keepNext w:val="0"/>
              <w:keepLines w:val="0"/>
              <w:widowControl/>
              <w:suppressLineNumbers w:val="0"/>
              <w:jc w:val="center"/>
            </w:pPr>
            <w:r>
              <w:t>指标</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预期指标值</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完成</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数量指标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数量</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更新公务用车两辆</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质量指标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时效指标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时间</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left"/>
              <w:rPr>
                <w:rFonts w:ascii="宋体" w:eastAsia="宋体" w:cs="宋体"/>
                <w:kern w:val="2"/>
                <w:sz w:val="21"/>
                <w:szCs w:val="21"/>
                <w:lang w:val="en-US" w:eastAsia="zh-CN" w:bidi="ar-SA"/>
              </w:rPr>
            </w:pPr>
            <w:r>
              <w:rPr>
                <w:rFonts w:hint="eastAsia" w:ascii="宋体" w:eastAsia="宋体" w:cs="宋体"/>
                <w:kern w:val="2"/>
                <w:sz w:val="21"/>
                <w:szCs w:val="21"/>
                <w:lang w:val="en-US" w:eastAsia="zh-CN" w:bidi="ar-SA"/>
              </w:rPr>
              <w:t>1</w:t>
            </w:r>
            <w:r>
              <w:rPr>
                <w:rFonts w:hint="eastAsia" w:ascii="宋体" w:cs="宋体"/>
                <w:kern w:val="2"/>
                <w:sz w:val="21"/>
                <w:szCs w:val="21"/>
                <w:lang w:val="en-US" w:eastAsia="zh-CN" w:bidi="ar-SA"/>
              </w:rPr>
              <w:t>2</w:t>
            </w:r>
            <w:r>
              <w:rPr>
                <w:rFonts w:hint="eastAsia" w:ascii="宋体" w:eastAsia="宋体" w:cs="宋体"/>
                <w:kern w:val="2"/>
                <w:sz w:val="21"/>
                <w:szCs w:val="21"/>
                <w:lang w:val="en-US" w:eastAsia="zh-CN" w:bidi="ar-SA"/>
              </w:rPr>
              <w:t>月前</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成本指标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成本</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left"/>
              <w:rPr>
                <w:rFonts w:hint="eastAsia" w:ascii="宋体" w:eastAsia="宋体" w:cs="宋体"/>
                <w:kern w:val="2"/>
                <w:sz w:val="21"/>
                <w:szCs w:val="21"/>
                <w:lang w:val="en-US" w:eastAsia="zh-CN" w:bidi="ar-SA"/>
              </w:rPr>
            </w:pPr>
            <w:r>
              <w:rPr>
                <w:rFonts w:hint="eastAsia" w:ascii="宋体" w:cs="宋体"/>
                <w:kern w:val="2"/>
                <w:sz w:val="21"/>
                <w:szCs w:val="21"/>
                <w:lang w:val="en-US" w:eastAsia="zh-CN" w:bidi="ar-SA"/>
              </w:rPr>
              <w:t>120</w:t>
            </w:r>
            <w:r>
              <w:rPr>
                <w:rFonts w:hint="eastAsia" w:ascii="宋体" w:eastAsia="宋体" w:cs="宋体"/>
                <w:kern w:val="2"/>
                <w:sz w:val="21"/>
                <w:szCs w:val="21"/>
                <w:lang w:val="en-US" w:eastAsia="zh-CN" w:bidi="ar-SA"/>
              </w:rPr>
              <w:t>万</w:t>
            </w:r>
            <w:r>
              <w:rPr>
                <w:rFonts w:hint="eastAsia" w:ascii="宋体" w:cs="宋体"/>
                <w:kern w:val="2"/>
                <w:sz w:val="21"/>
                <w:szCs w:val="21"/>
                <w:lang w:val="en-US" w:eastAsia="zh-CN" w:bidi="ar-SA"/>
              </w:rPr>
              <w:t>以内</w:t>
            </w:r>
            <w:r>
              <w:rPr>
                <w:rFonts w:hint="eastAsia" w:ascii="宋体" w:eastAsia="宋体" w:cs="宋体"/>
                <w:kern w:val="2"/>
                <w:sz w:val="21"/>
                <w:szCs w:val="21"/>
                <w:lang w:val="en-US" w:eastAsia="zh-CN" w:bidi="ar-SA"/>
              </w:rP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效益</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经济效益指标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社会效益指标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5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ind w:left="423"/>
              <w:rPr>
                <w:rFonts w:hint="eastAsia" w:ascii="宋体"/>
                <w:sz w:val="24"/>
                <w:szCs w:val="24"/>
              </w:rPr>
            </w:pPr>
            <w:r>
              <w:t>生态效益指标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可持续影响指标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满意</w:t>
            </w:r>
          </w:p>
          <w:p>
            <w:pPr>
              <w:pStyle w:val="8"/>
              <w:keepNext w:val="0"/>
              <w:keepLines w:val="0"/>
              <w:widowControl/>
              <w:suppressLineNumbers w:val="0"/>
              <w:jc w:val="center"/>
            </w:pPr>
            <w:r>
              <w:t>度指标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满意度</w:t>
            </w:r>
          </w:p>
          <w:p>
            <w:pPr>
              <w:pStyle w:val="8"/>
              <w:keepNext w:val="0"/>
              <w:keepLines w:val="0"/>
              <w:widowControl/>
              <w:suppressLineNumbers w:val="0"/>
              <w:jc w:val="center"/>
            </w:pPr>
            <w:r>
              <w:t>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使用人员满意度</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90%以上</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完成</w:t>
            </w:r>
          </w:p>
        </w:tc>
      </w:tr>
    </w:tbl>
    <w:p>
      <w:pPr>
        <w:pStyle w:val="8"/>
        <w:keepNext w:val="0"/>
        <w:keepLines w:val="0"/>
        <w:widowControl/>
        <w:suppressLineNumbers w:val="0"/>
        <w:jc w:val="left"/>
      </w:pPr>
    </w:p>
    <w:p>
      <w:pPr>
        <w:pStyle w:val="8"/>
        <w:keepNext w:val="0"/>
        <w:keepLines w:val="0"/>
        <w:widowControl/>
        <w:suppressLineNumbers w:val="0"/>
        <w:jc w:val="center"/>
      </w:pPr>
      <w:r>
        <w:t> </w:t>
      </w:r>
    </w:p>
    <w:p>
      <w:pPr>
        <w:pStyle w:val="8"/>
        <w:keepNext w:val="0"/>
        <w:keepLines w:val="0"/>
        <w:widowControl/>
        <w:suppressLineNumbers w:val="0"/>
        <w:jc w:val="left"/>
      </w:pPr>
      <w:r>
        <w:t> </w:t>
      </w:r>
    </w:p>
    <w:p>
      <w:pPr>
        <w:pStyle w:val="8"/>
        <w:keepNext w:val="0"/>
        <w:keepLines w:val="0"/>
        <w:widowControl/>
        <w:suppressLineNumbers w:val="0"/>
        <w:jc w:val="center"/>
        <w:rPr>
          <w:rFonts w:eastAsia="宋体"/>
          <w:lang w:val="en-US" w:eastAsia="zh-CN"/>
        </w:rPr>
      </w:pPr>
      <w:bookmarkStart w:id="0" w:name="_GoBack"/>
      <w:r>
        <w:rPr>
          <w:rFonts w:hint="eastAsia"/>
          <w:lang w:val="en-US" w:eastAsia="zh-CN"/>
        </w:rPr>
        <w:t>州政府八楼会议室配套设施及外挂电梯井改造项目后期款经费</w:t>
      </w:r>
    </w:p>
    <w:bookmarkEnd w:id="0"/>
    <w:tbl>
      <w:tblPr>
        <w:tblStyle w:val="9"/>
        <w:tblW w:w="7848"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44"/>
        <w:gridCol w:w="972"/>
        <w:gridCol w:w="1368"/>
        <w:gridCol w:w="1008"/>
        <w:gridCol w:w="1044"/>
        <w:gridCol w:w="199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trPr>
        <w:tc>
          <w:tcPr>
            <w:tcW w:w="7848"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Style w:val="11"/>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204" w:hRule="atLeast"/>
          <w:tblCellSpacing w:w="0" w:type="dxa"/>
        </w:trPr>
        <w:tc>
          <w:tcPr>
            <w:tcW w:w="255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主管部门及代码</w:t>
            </w:r>
          </w:p>
        </w:tc>
        <w:tc>
          <w:tcPr>
            <w:tcW w:w="231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102101</w:t>
            </w: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实施单位</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阿坝州人民政府办公室</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6" w:hRule="atLeast"/>
          <w:tblCellSpacing w:w="0" w:type="dxa"/>
        </w:trPr>
        <w:tc>
          <w:tcPr>
            <w:tcW w:w="2556" w:type="dxa"/>
            <w:gridSpan w:val="2"/>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项目预算</w:t>
            </w:r>
          </w:p>
          <w:p>
            <w:pPr>
              <w:pStyle w:val="8"/>
              <w:keepNext w:val="0"/>
              <w:keepLines w:val="0"/>
              <w:widowControl/>
              <w:suppressLineNumbers w:val="0"/>
              <w:jc w:val="center"/>
            </w:pPr>
            <w:r>
              <w:t>执行情况</w:t>
            </w:r>
          </w:p>
          <w:p>
            <w:pPr>
              <w:pStyle w:val="8"/>
              <w:keepNext w:val="0"/>
              <w:keepLines w:val="0"/>
              <w:widowControl/>
              <w:suppressLineNumbers w:val="0"/>
              <w:jc w:val="center"/>
            </w:pPr>
            <w:r>
              <w:t>（万元）</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预算数：</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174.86</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执行数：</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174.86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4" w:hRule="atLeast"/>
          <w:tblCellSpacing w:w="0" w:type="dxa"/>
        </w:trPr>
        <w:tc>
          <w:tcPr>
            <w:tcW w:w="2556" w:type="dxa"/>
            <w:gridSpan w:val="2"/>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spacing w:line="240" w:lineRule="auto"/>
              <w:jc w:val="center"/>
              <w:rPr>
                <w:rFonts w:hint="eastAsia" w:ascii="宋体"/>
                <w:sz w:val="24"/>
                <w:szCs w:val="24"/>
              </w:rPr>
            </w:pPr>
            <w:r>
              <w:t>其中：</w:t>
            </w:r>
          </w:p>
          <w:p>
            <w:pPr>
              <w:pStyle w:val="8"/>
              <w:keepNext w:val="0"/>
              <w:keepLines w:val="0"/>
              <w:widowControl/>
              <w:suppressLineNumbers w:val="0"/>
              <w:spacing w:line="240" w:lineRule="auto"/>
              <w:jc w:val="center"/>
            </w:pPr>
            <w:r>
              <w:t>财政拨款</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174.86</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其中：</w:t>
            </w:r>
          </w:p>
          <w:p>
            <w:pPr>
              <w:pStyle w:val="8"/>
              <w:keepNext w:val="0"/>
              <w:keepLines w:val="0"/>
              <w:widowControl/>
              <w:suppressLineNumbers w:val="0"/>
              <w:jc w:val="center"/>
            </w:pPr>
            <w:r>
              <w:t>财政拨款</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lang w:val="en-US"/>
              </w:rPr>
            </w:pPr>
            <w:r>
              <w:rPr>
                <w:rFonts w:hint="eastAsia"/>
                <w:lang w:val="en-US" w:eastAsia="zh-CN"/>
              </w:rPr>
              <w:t>174.86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76" w:hRule="atLeast"/>
          <w:tblCellSpacing w:w="0" w:type="dxa"/>
        </w:trPr>
        <w:tc>
          <w:tcPr>
            <w:tcW w:w="2556" w:type="dxa"/>
            <w:gridSpan w:val="2"/>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其他资金</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其他资金</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9" w:hRule="atLeast"/>
          <w:tblCellSpacing w:w="0" w:type="dxa"/>
        </w:trPr>
        <w:tc>
          <w:tcPr>
            <w:tcW w:w="1614"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年度总体目标</w:t>
            </w:r>
          </w:p>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完成情况</w:t>
            </w:r>
          </w:p>
        </w:tc>
        <w:tc>
          <w:tcPr>
            <w:tcW w:w="3258"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eastAsia="宋体" w:cs="宋体"/>
                <w:sz w:val="21"/>
                <w:szCs w:val="21"/>
              </w:rPr>
            </w:pPr>
            <w:r>
              <w:rPr>
                <w:rFonts w:hint="eastAsia" w:ascii="宋体" w:eastAsia="宋体" w:cs="宋体"/>
                <w:sz w:val="21"/>
                <w:szCs w:val="21"/>
              </w:rPr>
              <w:t>预期目标</w:t>
            </w:r>
          </w:p>
        </w:tc>
        <w:tc>
          <w:tcPr>
            <w:tcW w:w="297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3258"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宋体" w:eastAsia="宋体" w:cs="宋体"/>
                <w:sz w:val="21"/>
                <w:szCs w:val="21"/>
              </w:rPr>
            </w:pPr>
            <w:r>
              <w:rPr>
                <w:rFonts w:hint="eastAsia" w:ascii="仿宋_GB2312" w:hAnsi="仿宋_GB2312"/>
                <w:lang w:val="en-US" w:eastAsia="zh-CN"/>
              </w:rPr>
              <w:t>缓解上、下班及会议时间电梯使用紧张的情况、解决八楼会议室无卫生间及会议休息室的情况</w:t>
            </w:r>
          </w:p>
        </w:tc>
        <w:tc>
          <w:tcPr>
            <w:tcW w:w="2976"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3" w:hRule="atLeast"/>
          <w:tblCellSpacing w:w="0" w:type="dxa"/>
        </w:trPr>
        <w:tc>
          <w:tcPr>
            <w:tcW w:w="1614"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年度绩效指标完成情况</w:t>
            </w:r>
          </w:p>
        </w:tc>
        <w:tc>
          <w:tcPr>
            <w:tcW w:w="94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一级</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二级</w:t>
            </w:r>
          </w:p>
          <w:p>
            <w:pPr>
              <w:pStyle w:val="8"/>
              <w:keepNext w:val="0"/>
              <w:keepLines w:val="0"/>
              <w:widowControl/>
              <w:suppressLineNumbers w:val="0"/>
              <w:jc w:val="center"/>
            </w:pPr>
            <w:r>
              <w:t>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三级</w:t>
            </w:r>
          </w:p>
          <w:p>
            <w:pPr>
              <w:pStyle w:val="8"/>
              <w:keepNext w:val="0"/>
              <w:keepLines w:val="0"/>
              <w:widowControl/>
              <w:suppressLineNumbers w:val="0"/>
              <w:jc w:val="center"/>
            </w:pPr>
            <w:r>
              <w:t>指标</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预期指标值</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完成</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数量指标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质量指标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时效指标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rPr>
                <w:rFonts w:hint="eastAsia"/>
                <w:lang w:val="en-US" w:eastAsia="zh-CN"/>
              </w:rPr>
              <w:t>时间</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left"/>
              <w:rPr>
                <w:rFonts w:ascii="宋体" w:eastAsia="宋体" w:cs="宋体"/>
                <w:kern w:val="2"/>
                <w:sz w:val="21"/>
                <w:szCs w:val="21"/>
                <w:lang w:val="en-US" w:eastAsia="zh-CN" w:bidi="ar-SA"/>
              </w:rPr>
            </w:pPr>
            <w:r>
              <w:rPr>
                <w:rFonts w:hint="eastAsia" w:ascii="宋体" w:eastAsia="宋体" w:cs="宋体"/>
                <w:kern w:val="2"/>
                <w:sz w:val="21"/>
                <w:szCs w:val="21"/>
                <w:lang w:val="en-US" w:eastAsia="zh-CN" w:bidi="ar-SA"/>
              </w:rPr>
              <w:t>1</w:t>
            </w:r>
            <w:r>
              <w:rPr>
                <w:rFonts w:hint="eastAsia" w:ascii="宋体" w:cs="宋体"/>
                <w:kern w:val="2"/>
                <w:sz w:val="21"/>
                <w:szCs w:val="21"/>
                <w:lang w:val="en-US" w:eastAsia="zh-CN" w:bidi="ar-SA"/>
              </w:rPr>
              <w:t>2</w:t>
            </w:r>
            <w:r>
              <w:rPr>
                <w:rFonts w:hint="eastAsia" w:ascii="宋体" w:eastAsia="宋体" w:cs="宋体"/>
                <w:kern w:val="2"/>
                <w:sz w:val="21"/>
                <w:szCs w:val="21"/>
                <w:lang w:val="en-US" w:eastAsia="zh-CN" w:bidi="ar-SA"/>
              </w:rPr>
              <w:t>月前</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成本指标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成本</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left"/>
              <w:rPr>
                <w:rFonts w:hint="eastAsia" w:ascii="宋体" w:eastAsia="宋体" w:cs="宋体"/>
                <w:kern w:val="2"/>
                <w:sz w:val="21"/>
                <w:szCs w:val="21"/>
                <w:lang w:val="en-US" w:eastAsia="zh-CN" w:bidi="ar-SA"/>
              </w:rPr>
            </w:pPr>
            <w:r>
              <w:rPr>
                <w:rFonts w:hint="eastAsia" w:ascii="宋体" w:cs="宋体"/>
                <w:kern w:val="2"/>
                <w:sz w:val="21"/>
                <w:szCs w:val="21"/>
                <w:lang w:val="en-US" w:eastAsia="zh-CN" w:bidi="ar-SA"/>
              </w:rPr>
              <w:t>174.86</w:t>
            </w:r>
            <w:r>
              <w:rPr>
                <w:rFonts w:hint="eastAsia" w:ascii="宋体" w:eastAsia="宋体" w:cs="宋体"/>
                <w:kern w:val="2"/>
                <w:sz w:val="21"/>
                <w:szCs w:val="21"/>
                <w:lang w:val="en-US" w:eastAsia="zh-CN" w:bidi="ar-SA"/>
              </w:rPr>
              <w:t>万</w:t>
            </w:r>
            <w:r>
              <w:rPr>
                <w:rFonts w:hint="eastAsia" w:ascii="宋体" w:cs="宋体"/>
                <w:kern w:val="2"/>
                <w:sz w:val="21"/>
                <w:szCs w:val="21"/>
                <w:lang w:val="en-US" w:eastAsia="zh-CN" w:bidi="ar-SA"/>
              </w:rPr>
              <w:t>以内</w:t>
            </w:r>
            <w:r>
              <w:rPr>
                <w:rFonts w:hint="eastAsia" w:ascii="宋体" w:eastAsia="宋体" w:cs="宋体"/>
                <w:kern w:val="2"/>
                <w:sz w:val="21"/>
                <w:szCs w:val="21"/>
                <w:lang w:val="en-US" w:eastAsia="zh-CN" w:bidi="ar-SA"/>
              </w:rP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rPr>
                <w:rFonts w:hint="eastAsia"/>
                <w:lang w:val="en-US" w:eastAsia="zh-CN"/>
              </w:rPr>
              <w:t>完成</w:t>
            </w: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效益</w:t>
            </w:r>
          </w:p>
          <w:p>
            <w:pPr>
              <w:pStyle w:val="8"/>
              <w:keepNext w:val="0"/>
              <w:keepLines w:val="0"/>
              <w:widowControl/>
              <w:suppressLineNumbers w:val="0"/>
              <w:jc w:val="center"/>
            </w:pPr>
            <w:r>
              <w:t>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经济效益指标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社会效益指标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56"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ind w:left="423"/>
              <w:rPr>
                <w:rFonts w:hint="eastAsia" w:ascii="宋体"/>
                <w:sz w:val="24"/>
                <w:szCs w:val="24"/>
              </w:rPr>
            </w:pPr>
            <w:r>
              <w:t>生态效益指标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385"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可持续影响指标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420" w:hRule="atLeast"/>
          <w:tblCellSpacing w:w="0" w:type="dxa"/>
        </w:trPr>
        <w:tc>
          <w:tcPr>
            <w:tcW w:w="1614"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94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ascii="宋体"/>
                <w:sz w:val="24"/>
                <w:szCs w:val="24"/>
              </w:rPr>
            </w:pPr>
            <w:r>
              <w:t>满意</w:t>
            </w:r>
          </w:p>
          <w:p>
            <w:pPr>
              <w:pStyle w:val="8"/>
              <w:keepNext w:val="0"/>
              <w:keepLines w:val="0"/>
              <w:widowControl/>
              <w:suppressLineNumbers w:val="0"/>
              <w:jc w:val="center"/>
            </w:pPr>
            <w:r>
              <w:t>度指标</w:t>
            </w:r>
          </w:p>
        </w:tc>
        <w:tc>
          <w:tcPr>
            <w:tcW w:w="133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pPr>
            <w:r>
              <w:t>满意度</w:t>
            </w:r>
          </w:p>
          <w:p>
            <w:pPr>
              <w:pStyle w:val="8"/>
              <w:keepNext w:val="0"/>
              <w:keepLines w:val="0"/>
              <w:widowControl/>
              <w:suppressLineNumbers w:val="0"/>
              <w:jc w:val="center"/>
            </w:pPr>
            <w:r>
              <w:t>指标</w:t>
            </w:r>
          </w:p>
        </w:tc>
        <w:tc>
          <w:tcPr>
            <w:tcW w:w="978"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使用人员满意度</w:t>
            </w:r>
          </w:p>
        </w:tc>
        <w:tc>
          <w:tcPr>
            <w:tcW w:w="101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eastAsia="宋体"/>
                <w:lang w:val="en-US" w:eastAsia="zh-CN"/>
              </w:rPr>
            </w:pPr>
            <w:r>
              <w:t> </w:t>
            </w:r>
            <w:r>
              <w:rPr>
                <w:rFonts w:hint="eastAsia"/>
                <w:lang w:val="en-US" w:eastAsia="zh-CN"/>
              </w:rPr>
              <w:t>90%以上</w:t>
            </w:r>
          </w:p>
        </w:tc>
        <w:tc>
          <w:tcPr>
            <w:tcW w:w="1962"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8"/>
              <w:keepNext w:val="0"/>
              <w:keepLines w:val="0"/>
              <w:widowControl/>
              <w:suppressLineNumbers w:val="0"/>
              <w:jc w:val="center"/>
              <w:rPr>
                <w:rFonts w:hint="eastAsia" w:eastAsia="宋体"/>
                <w:lang w:val="en-US" w:eastAsia="zh-CN"/>
              </w:rPr>
            </w:pPr>
            <w:r>
              <w:t> </w:t>
            </w:r>
            <w:r>
              <w:rPr>
                <w:rFonts w:hint="eastAsia"/>
                <w:lang w:val="en-US" w:eastAsia="zh-CN"/>
              </w:rPr>
              <w:t>完成</w:t>
            </w:r>
          </w:p>
        </w:tc>
      </w:tr>
    </w:tbl>
    <w:p>
      <w:pPr>
        <w:pStyle w:val="8"/>
        <w:keepNext w:val="0"/>
        <w:keepLines w:val="0"/>
        <w:widowControl/>
        <w:suppressLineNumbers w:val="0"/>
        <w:jc w:val="center"/>
      </w:pPr>
    </w:p>
    <w:p>
      <w:pPr>
        <w:pStyle w:val="8"/>
        <w:keepNext w:val="0"/>
        <w:keepLines w:val="0"/>
        <w:widowControl/>
        <w:suppressLineNumbers w:val="0"/>
        <w:jc w:val="center"/>
      </w:pPr>
    </w:p>
    <w:p>
      <w:pPr>
        <w:pStyle w:val="8"/>
        <w:keepNext w:val="0"/>
        <w:keepLines w:val="0"/>
        <w:widowControl/>
        <w:suppressLineNumbers w:val="0"/>
        <w:jc w:val="center"/>
      </w:pPr>
    </w:p>
    <w:p>
      <w:pPr>
        <w:pStyle w:val="8"/>
        <w:keepNext w:val="0"/>
        <w:keepLines w:val="0"/>
        <w:widowControl/>
        <w:suppressLineNumbers w:val="0"/>
        <w:jc w:val="center"/>
        <w:rPr>
          <w:sz w:val="52"/>
          <w:szCs w:val="52"/>
        </w:rPr>
      </w:pPr>
      <w:r>
        <w:rPr>
          <w:sz w:val="52"/>
          <w:szCs w:val="52"/>
        </w:rPr>
        <w:t>第五部分 附表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一、收入支出决算总表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二、收入决算表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三、支出决算表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四、财政拨款收入支出决算总表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五、财政拨款支出决算明细表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六、一般公共预算财政拨款支出决算表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七、一般公共预算财政拨款支出决算明细表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八、一般公共预算财政拨款基本支出决算表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九、一般公共预算财政拨款项目支出决算表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十、一般公共预算财政拨款“三公”经费支出决算表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十一、政府性基金预算财政拨款收入支出决算表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十二、政府性基金预算财政拨款“三公”经费支出决算表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十三、国有资本经营预算财政拨款收入支出决算表</w:t>
      </w:r>
    </w:p>
    <w:p>
      <w:pPr>
        <w:pStyle w:val="4"/>
        <w:keepNext w:val="0"/>
        <w:keepLines w:val="0"/>
        <w:widowControl/>
        <w:suppressLineNumbers w:val="0"/>
        <w:rPr>
          <w:rFonts w:hint="eastAsia" w:ascii="仿宋_GB2312" w:eastAsia="仿宋_GB2312" w:cs="仿宋_GB2312"/>
          <w:sz w:val="32"/>
          <w:szCs w:val="32"/>
        </w:rPr>
      </w:pPr>
      <w:r>
        <w:rPr>
          <w:rFonts w:hint="eastAsia" w:ascii="仿宋_GB2312" w:eastAsia="仿宋_GB2312" w:cs="仿宋_GB2312"/>
          <w:sz w:val="32"/>
          <w:szCs w:val="32"/>
        </w:rPr>
        <w:t>十四、国有资本经营预算财政拨款支出决算表</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A7C1A"/>
    <w:multiLevelType w:val="singleLevel"/>
    <w:tmpl w:val="817A7C1A"/>
    <w:lvl w:ilvl="0" w:tentative="0">
      <w:start w:val="2"/>
      <w:numFmt w:val="chineseCounting"/>
      <w:suff w:val="nothing"/>
      <w:lvlText w:val="（%1）"/>
      <w:lvlJc w:val="left"/>
      <w:pPr>
        <w:tabs>
          <w:tab w:val="left" w:pos="0"/>
        </w:tabs>
        <w:ind w:left="0" w:firstLine="0"/>
      </w:pPr>
      <w:rPr>
        <w:rFonts w:hint="eastAsia"/>
      </w:rPr>
    </w:lvl>
  </w:abstractNum>
  <w:abstractNum w:abstractNumId="1">
    <w:nsid w:val="8D408E0D"/>
    <w:multiLevelType w:val="singleLevel"/>
    <w:tmpl w:val="8D408E0D"/>
    <w:lvl w:ilvl="0" w:tentative="0">
      <w:start w:val="1"/>
      <w:numFmt w:val="chineseCounting"/>
      <w:suff w:val="nothing"/>
      <w:lvlText w:val="%1、"/>
      <w:lvlJc w:val="left"/>
      <w:pPr>
        <w:tabs>
          <w:tab w:val="left" w:pos="0"/>
        </w:tabs>
        <w:ind w:left="0" w:firstLine="0"/>
      </w:pPr>
      <w:rPr>
        <w:rFonts w:hint="eastAsia"/>
      </w:rPr>
    </w:lvl>
  </w:abstractNum>
  <w:abstractNum w:abstractNumId="2">
    <w:nsid w:val="CA79B84C"/>
    <w:multiLevelType w:val="singleLevel"/>
    <w:tmpl w:val="CA79B84C"/>
    <w:lvl w:ilvl="0" w:tentative="0">
      <w:start w:val="1"/>
      <w:numFmt w:val="chineseCounting"/>
      <w:suff w:val="nothing"/>
      <w:lvlText w:val="（%1）"/>
      <w:lvlJc w:val="left"/>
      <w:pPr>
        <w:ind w:left="-88"/>
      </w:pPr>
      <w:rPr>
        <w:rFonts w:hint="eastAsia"/>
      </w:rPr>
    </w:lvl>
  </w:abstractNum>
  <w:abstractNum w:abstractNumId="3">
    <w:nsid w:val="FDBBD4DC"/>
    <w:multiLevelType w:val="singleLevel"/>
    <w:tmpl w:val="FDBBD4DC"/>
    <w:lvl w:ilvl="0" w:tentative="0">
      <w:start w:val="4"/>
      <w:numFmt w:val="chineseCounting"/>
      <w:suff w:val="nothing"/>
      <w:lvlText w:val="%1、"/>
      <w:lvlJc w:val="left"/>
      <w:pPr>
        <w:tabs>
          <w:tab w:val="left" w:pos="0"/>
        </w:tabs>
        <w:ind w:left="88" w:firstLine="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YWQxMTVhMzA0ZmI5MzE0ZTQ4Njg5NWUwM2ZhMTJkY2QifQ=="/>
  </w:docVars>
  <w:rsids>
    <w:rsidRoot w:val="00000000"/>
    <w:rsid w:val="019E3970"/>
    <w:rsid w:val="041D2AC4"/>
    <w:rsid w:val="088469B2"/>
    <w:rsid w:val="0B163D2C"/>
    <w:rsid w:val="141645D1"/>
    <w:rsid w:val="14E9393D"/>
    <w:rsid w:val="212E0738"/>
    <w:rsid w:val="30A350E0"/>
    <w:rsid w:val="31652DDC"/>
    <w:rsid w:val="3B80172C"/>
    <w:rsid w:val="4671535D"/>
    <w:rsid w:val="4A572BF1"/>
    <w:rsid w:val="4C9E6C4C"/>
    <w:rsid w:val="51536881"/>
    <w:rsid w:val="68A1024E"/>
    <w:rsid w:val="7D8B43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4">
    <w:name w:val="heading 2"/>
    <w:basedOn w:val="1"/>
    <w:next w:val="1"/>
    <w:qFormat/>
    <w:uiPriority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line="480"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character" w:styleId="11">
    <w:name w:val="Strong"/>
    <w:basedOn w:val="10"/>
    <w:qFormat/>
    <w:uiPriority w:val="0"/>
    <w:rPr>
      <w:b/>
    </w:rPr>
  </w:style>
  <w:style w:type="paragraph" w:customStyle="1" w:styleId="12">
    <w:name w:val="p0"/>
    <w:qFormat/>
    <w:uiPriority w:val="0"/>
    <w:pPr>
      <w:spacing w:before="100" w:beforeAutospacing="1" w:after="100" w:afterAutospacing="1" w:line="240" w:lineRule="auto"/>
      <w:jc w:val="left"/>
    </w:pPr>
    <w:rPr>
      <w:rFonts w:ascii="宋体" w:hAnsi="Times New Roman" w:eastAsia="宋体" w:cs="宋体"/>
      <w:kern w:val="0"/>
      <w:sz w:val="24"/>
      <w:szCs w:val="24"/>
      <w:lang w:val="en-US" w:eastAsia="zh-CN" w:bidi="ar-SA"/>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收、支决算结构图</a:t>
            </a:r>
            <a:endParaRPr lang="zh-CN"/>
          </a:p>
        </c:rich>
      </c:tx>
      <c:layout/>
      <c:overlay val="0"/>
      <c:spPr>
        <a:noFill/>
        <a:ln>
          <a:noFill/>
        </a:ln>
      </c:spPr>
    </c:title>
    <c:autoTitleDeleted val="0"/>
    <c:plotArea>
      <c:layout>
        <c:manualLayout>
          <c:layoutTarget val="inner"/>
          <c:xMode val="edge"/>
          <c:yMode val="edge"/>
          <c:x val="0.06995"/>
          <c:y val="0.24784854"/>
          <c:w val="0.9263"/>
          <c:h val="0.6504549"/>
        </c:manualLayout>
      </c:layout>
      <c:barChart>
        <c:barDir val="col"/>
        <c:grouping val="clustered"/>
        <c:varyColors val="0"/>
        <c:ser>
          <c:idx val="0"/>
          <c:order val="0"/>
          <c:tx>
            <c:strRef>
              <c:f>'Sheet1'!$B$1</c:f>
              <c:strCache>
                <c:ptCount val="1"/>
                <c:pt idx="0">
                  <c:v>总收入</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'Sheet1'!$B$2:$B$3</c:f>
              <c:numCache>
                <c:formatCode>General</c:formatCode>
                <c:ptCount val="2"/>
                <c:pt idx="0">
                  <c:v>3714.54</c:v>
                </c:pt>
                <c:pt idx="1">
                  <c:v>4030.61</c:v>
                </c:pt>
              </c:numCache>
            </c:numRef>
          </c:val>
        </c:ser>
        <c:ser>
          <c:idx val="1"/>
          <c:order val="1"/>
          <c:tx>
            <c:strRef>
              <c:f>'Sheet1'!$C$1</c:f>
              <c:strCache>
                <c:ptCount val="1"/>
                <c:pt idx="0">
                  <c:v>总支出</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'Sheet1'!$C$2:$C$3</c:f>
              <c:numCache>
                <c:formatCode>General</c:formatCode>
                <c:ptCount val="2"/>
                <c:pt idx="0">
                  <c:v>3714.54</c:v>
                </c:pt>
                <c:pt idx="1">
                  <c:v>4030.61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Pt>
            <c:idx val="7"/>
            <c:bubble3D val="0"/>
            <c:spPr>
              <a:solidFill>
                <a:srgbClr val="9E480E"/>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4030.61</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3490.3</c:v>
                </c:pt>
                <c:pt idx="1">
                  <c:v>540.31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收、支决算结构图</a:t>
            </a:r>
            <a:endParaRPr lang="zh-CN"/>
          </a:p>
        </c:rich>
      </c:tx>
      <c:layout/>
      <c:overlay val="0"/>
      <c:spPr>
        <a:noFill/>
        <a:ln>
          <a:noFill/>
        </a:ln>
      </c:spPr>
    </c:title>
    <c:autoTitleDeleted val="0"/>
    <c:plotArea>
      <c:layout>
        <c:manualLayout>
          <c:layoutTarget val="inner"/>
          <c:xMode val="edge"/>
          <c:yMode val="edge"/>
          <c:x val="0.06995"/>
          <c:y val="0.24784854"/>
          <c:w val="0.9263"/>
          <c:h val="0.6504549"/>
        </c:manualLayout>
      </c:layout>
      <c:barChart>
        <c:barDir val="col"/>
        <c:grouping val="clustered"/>
        <c:varyColors val="0"/>
        <c:ser>
          <c:idx val="0"/>
          <c:order val="0"/>
          <c:tx>
            <c:strRef>
              <c:f>'Sheet1 (4)'!$B$1</c:f>
              <c:strCache>
                <c:ptCount val="1"/>
                <c:pt idx="0">
                  <c:v>总收入</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2020年 </c:v>
                </c:pt>
                <c:pt idx="1">
                  <c:v>2021年</c:v>
                </c:pt>
              </c:strCache>
            </c:strRef>
          </c:cat>
          <c:val>
            <c:numRef>
              <c:f>'Sheet1 (4)'!$B$2:$B$3</c:f>
              <c:numCache>
                <c:formatCode>General</c:formatCode>
                <c:ptCount val="2"/>
                <c:pt idx="0">
                  <c:v>3714.54</c:v>
                </c:pt>
                <c:pt idx="1">
                  <c:v>4030.61</c:v>
                </c:pt>
              </c:numCache>
            </c:numRef>
          </c:val>
        </c:ser>
        <c:ser>
          <c:idx val="1"/>
          <c:order val="1"/>
          <c:tx>
            <c:strRef>
              <c:f>'Sheet1 (4)'!$C$1</c:f>
              <c:strCache>
                <c:ptCount val="1"/>
                <c:pt idx="0">
                  <c:v>总支出</c:v>
                </c:pt>
              </c:strCache>
            </c:strRef>
          </c:tx>
          <c:spPr>
            <a:solidFill>
              <a:srgbClr val="ED7D31"/>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2020年 </c:v>
                </c:pt>
                <c:pt idx="1">
                  <c:v>2021年</c:v>
                </c:pt>
              </c:strCache>
            </c:strRef>
          </c:cat>
          <c:val>
            <c:numRef>
              <c:f>'Sheet1 (4)'!$C$2:$C$3</c:f>
              <c:numCache>
                <c:formatCode>General</c:formatCode>
                <c:ptCount val="2"/>
                <c:pt idx="0">
                  <c:v>3714.54</c:v>
                </c:pt>
                <c:pt idx="1">
                  <c:v>4030.61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389805"/>
          <c:y val="0.13859865"/>
          <c:w val="0.91222274"/>
          <c:h val="0.68554366"/>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2021年</c:v>
                </c:pt>
              </c:strCache>
            </c:strRef>
          </c:cat>
          <c:val>
            <c:numRef>
              <c:f>'Sheet1 (5)'!$B$2:$B$3</c:f>
              <c:numCache>
                <c:formatCode>General</c:formatCode>
                <c:ptCount val="2"/>
                <c:pt idx="0">
                  <c:v>3449.3</c:v>
                </c:pt>
                <c:pt idx="1">
                  <c:v>4030.61</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chemeClr val="accent6"/>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dLbl>
              <c:idx val="1"/>
              <c:layout>
                <c:manualLayout>
                  <c:x val="-0.049306978"/>
                  <c:y val="0.0507001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4932564"/>
                  <c:y val="-0.02722461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2994142"/>
                  <c:y val="-0.0757237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40312648"/>
                  <c:y val="-0.04630099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 (6)'!$B$2:$B$8</c:f>
              <c:numCache>
                <c:formatCode>General</c:formatCode>
                <c:ptCount val="7"/>
                <c:pt idx="0">
                  <c:v>3550.27</c:v>
                </c:pt>
                <c:pt idx="1">
                  <c:v>1.02</c:v>
                </c:pt>
                <c:pt idx="2">
                  <c:v>0</c:v>
                </c:pt>
                <c:pt idx="3">
                  <c:v>0</c:v>
                </c:pt>
                <c:pt idx="4">
                  <c:v>223.48</c:v>
                </c:pt>
                <c:pt idx="5">
                  <c:v>97.72</c:v>
                </c:pt>
                <c:pt idx="6">
                  <c:v>158.12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5B9BD5"/>
              </a:solidFill>
              <a:ln w="19050">
                <a:solidFill>
                  <a:srgbClr val="FFFFFF"/>
                </a:solidFill>
                <a:prstDash val="solid"/>
              </a:ln>
            </c:spPr>
          </c:dPt>
          <c:dPt>
            <c:idx val="2"/>
            <c:bubble3D val="0"/>
            <c:explosion val="0"/>
            <c:spPr>
              <a:solidFill>
                <a:schemeClr val="accent6"/>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478.21</c:v>
                </c:pt>
                <c:pt idx="2">
                  <c:v>18.02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22</Pages>
  <Words>8027</Words>
  <Characters>10798</Characters>
  <Lines>673</Lines>
  <Paragraphs>323</Paragraphs>
  <TotalTime>33</TotalTime>
  <ScaleCrop>false</ScaleCrop>
  <LinksUpToDate>false</LinksUpToDate>
  <CharactersWithSpaces>10939</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2022-09-26T01:22:00Z</dcterms:created>
  <dc:creator>Administrator</dc:creator>
  <cp:lastModifiedBy>Jayk</cp:lastModifiedBy>
  <cp:lastPrinted>2022-09-27T01:49:00Z</cp:lastPrinted>
  <dcterms:modified xsi:type="dcterms:W3CDTF">2022-09-30T05:53:03Z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7D7CA792B5A64460BCE1F29D0E26CB0E</vt:lpwstr>
  </property>
</Properties>
</file>