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60" w:lineRule="exact"/>
        <w:ind w:firstLine="1440" w:firstLineChars="200"/>
        <w:jc w:val="center"/>
        <w:outlineLvl w:val="0"/>
        <w:rPr>
          <w:rFonts w:ascii="方正小标宋简体" w:hAnsi="宋体" w:eastAsia="方正小标宋简体"/>
          <w:color w:val="000000"/>
          <w:sz w:val="72"/>
          <w:szCs w:val="72"/>
        </w:rPr>
      </w:pPr>
      <w:bookmarkStart w:id="0" w:name="_Toc15306267"/>
    </w:p>
    <w:p>
      <w:pPr>
        <w:pageBreakBefore w:val="0"/>
        <w:kinsoku/>
        <w:wordWrap/>
        <w:overflowPunct/>
        <w:topLinePunct w:val="0"/>
        <w:bidi w:val="0"/>
        <w:spacing w:line="560" w:lineRule="exact"/>
        <w:ind w:firstLine="1440" w:firstLineChars="200"/>
        <w:jc w:val="center"/>
        <w:outlineLvl w:val="0"/>
        <w:rPr>
          <w:rFonts w:ascii="方正小标宋简体" w:hAnsi="宋体" w:eastAsia="方正小标宋简体"/>
          <w:color w:val="000000"/>
          <w:sz w:val="72"/>
          <w:szCs w:val="72"/>
        </w:rPr>
      </w:pPr>
    </w:p>
    <w:p>
      <w:pPr>
        <w:pageBreakBefore w:val="0"/>
        <w:kinsoku/>
        <w:wordWrap/>
        <w:overflowPunct/>
        <w:topLinePunct w:val="0"/>
        <w:bidi w:val="0"/>
        <w:adjustRightInd w:val="0"/>
        <w:snapToGrid w:val="0"/>
        <w:spacing w:line="560" w:lineRule="exact"/>
        <w:jc w:val="both"/>
        <w:outlineLvl w:val="0"/>
        <w:rPr>
          <w:rFonts w:ascii="黑体" w:hAnsi="黑体" w:eastAsia="黑体"/>
          <w:color w:val="000000"/>
          <w:sz w:val="72"/>
          <w:szCs w:val="72"/>
        </w:rPr>
      </w:pPr>
      <w:bookmarkStart w:id="1" w:name="_Toc15396475"/>
      <w:bookmarkStart w:id="2" w:name="_Toc15378441"/>
      <w:bookmarkStart w:id="3" w:name="_Toc15377193"/>
      <w:bookmarkStart w:id="4" w:name="_Toc15377425"/>
      <w:bookmarkStart w:id="5" w:name="_Toc15396597"/>
    </w:p>
    <w:bookmarkEnd w:id="0"/>
    <w:bookmarkEnd w:id="1"/>
    <w:bookmarkEnd w:id="2"/>
    <w:bookmarkEnd w:id="3"/>
    <w:bookmarkEnd w:id="4"/>
    <w:bookmarkEnd w:id="5"/>
    <w:p>
      <w:pPr>
        <w:adjustRightInd w:val="0"/>
        <w:snapToGrid w:val="0"/>
        <w:spacing w:line="360" w:lineRule="auto"/>
        <w:jc w:val="center"/>
        <w:outlineLvl w:val="0"/>
        <w:rPr>
          <w:rFonts w:ascii="方正小标宋简体" w:hAnsi="宋体" w:eastAsia="方正小标宋简体"/>
          <w:color w:val="000000"/>
          <w:sz w:val="72"/>
          <w:szCs w:val="72"/>
        </w:rPr>
      </w:pPr>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方正小标宋简体" w:hAnsi="宋体" w:eastAsia="方正小标宋简体"/>
          <w:color w:val="000000"/>
          <w:sz w:val="72"/>
          <w:szCs w:val="72"/>
        </w:rPr>
        <w:t>年度</w:t>
      </w:r>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hAnsi="宋体" w:eastAsia="方正小标宋简体"/>
          <w:color w:val="000000"/>
          <w:sz w:val="72"/>
          <w:szCs w:val="72"/>
          <w:lang w:val="en-US" w:eastAsia="zh-CN"/>
        </w:rPr>
        <w:t>四川省</w:t>
      </w:r>
      <w:r>
        <w:rPr>
          <w:rFonts w:hint="eastAsia" w:ascii="方正小标宋简体" w:hAnsi="宋体" w:eastAsia="方正小标宋简体"/>
          <w:color w:val="000000"/>
          <w:sz w:val="72"/>
          <w:szCs w:val="72"/>
        </w:rPr>
        <w:t>阿坝州</w:t>
      </w:r>
      <w:bookmarkStart w:id="11" w:name="_Toc15306268"/>
      <w:r>
        <w:rPr>
          <w:rFonts w:hint="eastAsia" w:ascii="方正小标宋简体" w:hAnsi="宋体" w:eastAsia="方正小标宋简体"/>
          <w:color w:val="000000"/>
          <w:sz w:val="72"/>
          <w:szCs w:val="72"/>
          <w:lang w:val="en-US" w:eastAsia="zh-CN"/>
        </w:rPr>
        <w:t>人民政府办公室（事业单位）</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pageBreakBefore w:val="0"/>
        <w:widowControl/>
        <w:kinsoku/>
        <w:wordWrap/>
        <w:overflowPunct/>
        <w:topLinePunct w:val="0"/>
        <w:bidi w:val="0"/>
        <w:spacing w:line="560" w:lineRule="exact"/>
        <w:ind w:firstLine="720" w:firstLineChars="200"/>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ageBreakBefore w:val="0"/>
        <w:widowControl/>
        <w:kinsoku/>
        <w:wordWrap/>
        <w:overflowPunct/>
        <w:topLinePunct w:val="0"/>
        <w:bidi w:val="0"/>
        <w:spacing w:line="560" w:lineRule="exact"/>
        <w:ind w:firstLine="960" w:firstLineChars="200"/>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ageBreakBefore w:val="0"/>
        <w:kinsoku/>
        <w:wordWrap/>
        <w:overflowPunct/>
        <w:topLinePunct w:val="0"/>
        <w:bidi w:val="0"/>
        <w:spacing w:line="560" w:lineRule="exact"/>
        <w:ind w:firstLine="560" w:firstLineChars="200"/>
      </w:pPr>
      <w:r>
        <w:rPr>
          <w:rFonts w:hint="eastAsia"/>
        </w:rPr>
        <w:t>公开时间：</w:t>
      </w:r>
      <w:r>
        <w:t>2020</w:t>
      </w:r>
      <w:r>
        <w:rPr>
          <w:rFonts w:hint="eastAsia"/>
        </w:rPr>
        <w:t>年</w:t>
      </w:r>
      <w:r>
        <w:t>9</w:t>
      </w:r>
      <w:r>
        <w:rPr>
          <w:rFonts w:hint="eastAsia"/>
        </w:rPr>
        <w:t>月</w:t>
      </w:r>
      <w:r>
        <w:t>2</w:t>
      </w:r>
      <w:r>
        <w:rPr>
          <w:rFonts w:hint="eastAsia"/>
          <w:lang w:val="en-US" w:eastAsia="zh-CN"/>
        </w:rPr>
        <w:t>9</w:t>
      </w:r>
      <w:r>
        <w:rPr>
          <w:rFonts w:hint="eastAsia"/>
        </w:rPr>
        <w:t>日</w:t>
      </w:r>
    </w:p>
    <w:p>
      <w:pPr>
        <w:pageBreakBefore w:val="0"/>
        <w:kinsoku/>
        <w:wordWrap/>
        <w:overflowPunct/>
        <w:topLinePunct w:val="0"/>
        <w:bidi w:val="0"/>
        <w:spacing w:line="560" w:lineRule="exact"/>
        <w:ind w:firstLine="420" w:firstLineChars="200"/>
      </w:pPr>
    </w:p>
    <w:p>
      <w:pPr>
        <w:pStyle w:val="11"/>
        <w:pageBreakBefore w:val="0"/>
        <w:kinsoku/>
        <w:wordWrap/>
        <w:overflowPunct/>
        <w:topLinePunct w:val="0"/>
        <w:bidi w:val="0"/>
        <w:spacing w:line="560" w:lineRule="exact"/>
        <w:ind w:firstLine="560" w:firstLineChars="200"/>
      </w:pPr>
      <w:r>
        <w:fldChar w:fldCharType="begin"/>
      </w:r>
      <w:r>
        <w:instrText xml:space="preserve"> HYPERLINK \l "_Toc15396599" </w:instrText>
      </w:r>
      <w:r>
        <w:fldChar w:fldCharType="separate"/>
      </w:r>
      <w:r>
        <w:rPr>
          <w:rStyle w:val="17"/>
          <w:rFonts w:hint="eastAsia"/>
        </w:rPr>
        <w:t>第一部分部门概况</w:t>
      </w:r>
      <w:r>
        <w:tab/>
      </w:r>
      <w:r>
        <w:t>4</w:t>
      </w:r>
      <w: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t>6</w:t>
      </w:r>
      <w:r>
        <w:rPr>
          <w:rFonts w:ascii="仿宋" w:hAnsi="仿宋" w:eastAsia="仿宋"/>
          <w:sz w:val="28"/>
          <w:szCs w:val="28"/>
        </w:rPr>
        <w:fldChar w:fldCharType="end"/>
      </w:r>
    </w:p>
    <w:p>
      <w:pPr>
        <w:pStyle w:val="11"/>
        <w:pageBreakBefore w:val="0"/>
        <w:kinsoku/>
        <w:wordWrap/>
        <w:overflowPunct/>
        <w:topLinePunct w:val="0"/>
        <w:bidi w:val="0"/>
        <w:spacing w:line="560" w:lineRule="exact"/>
        <w:ind w:firstLine="560" w:firstLineChars="200"/>
      </w:pPr>
      <w:r>
        <w:fldChar w:fldCharType="begin"/>
      </w:r>
      <w:r>
        <w:instrText xml:space="preserve"> HYPERLINK \l "_Toc15396602" </w:instrText>
      </w:r>
      <w:r>
        <w:fldChar w:fldCharType="separate"/>
      </w:r>
      <w:r>
        <w:rPr>
          <w:rStyle w:val="17"/>
          <w:rFonts w:hint="eastAsia"/>
        </w:rPr>
        <w:t>第二部分部门决算情况说明</w:t>
      </w:r>
      <w:r>
        <w:tab/>
      </w:r>
      <w:r>
        <w:t>7</w:t>
      </w:r>
      <w: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"_Toc15396603" </w:instrText>
      </w:r>
      <w:r>
        <w:fldChar w:fldCharType="separate"/>
      </w:r>
      <w:r>
        <w:rPr>
          <w:rStyle w:val="17"/>
          <w:rFonts w:hint="eastAsia" w:ascii="仿宋" w:hAnsi="仿宋" w:eastAsia="仿宋"/>
          <w:bCs/>
          <w:sz w:val="28"/>
          <w:szCs w:val="28"/>
        </w:rPr>
        <w:t>一、</w:t>
      </w:r>
      <w:r>
        <w:rPr>
          <w:rStyle w:val="17"/>
          <w:rFonts w:hint="eastAsia" w:ascii="仿宋" w:hAnsi="仿宋" w:eastAsia="仿宋"/>
          <w:sz w:val="28"/>
          <w:szCs w:val="28"/>
        </w:rPr>
        <w:t>收</w:t>
      </w:r>
      <w:r>
        <w:rPr>
          <w:rStyle w:val="17"/>
          <w:rFonts w:hint="eastAsia" w:ascii="仿宋" w:hAnsi="仿宋" w:eastAsia="仿宋"/>
          <w:bCs/>
          <w:sz w:val="28"/>
          <w:szCs w:val="28"/>
        </w:rPr>
        <w:t>入支出决算总体情况说明</w:t>
      </w:r>
      <w:r>
        <w:rPr>
          <w:rFonts w:ascii="仿宋" w:hAnsi="仿宋" w:eastAsia="仿宋"/>
          <w:sz w:val="28"/>
          <w:szCs w:val="28"/>
        </w:rPr>
        <w:tab/>
      </w:r>
      <w:r>
        <w:rPr>
          <w:rFonts w:ascii="仿宋" w:hAnsi="仿宋" w:eastAsia="仿宋"/>
          <w:sz w:val="28"/>
          <w:szCs w:val="28"/>
        </w:rPr>
        <w:t>7</w:t>
      </w:r>
      <w:r>
        <w:rPr>
          <w:rFonts w:ascii="仿宋" w:hAnsi="仿宋" w:eastAsia="仿宋"/>
          <w:sz w:val="28"/>
          <w:szCs w:val="28"/>
        </w:rP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"_Toc15396604" </w:instrText>
      </w:r>
      <w:r>
        <w:fldChar w:fldCharType="separate"/>
      </w:r>
      <w:r>
        <w:rPr>
          <w:rStyle w:val="17"/>
          <w:rFonts w:hint="eastAsia" w:ascii="仿宋" w:hAnsi="仿宋" w:eastAsia="仿宋"/>
          <w:bCs/>
          <w:sz w:val="28"/>
          <w:szCs w:val="28"/>
        </w:rPr>
        <w:t>二、</w:t>
      </w:r>
      <w:r>
        <w:rPr>
          <w:rStyle w:val="17"/>
          <w:rFonts w:hint="eastAsia" w:ascii="仿宋" w:hAnsi="仿宋" w:eastAsia="仿宋"/>
          <w:sz w:val="28"/>
          <w:szCs w:val="28"/>
        </w:rPr>
        <w:t>收</w:t>
      </w:r>
      <w:r>
        <w:rPr>
          <w:rStyle w:val="17"/>
          <w:rFonts w:hint="eastAsia" w:ascii="仿宋" w:hAnsi="仿宋" w:eastAsia="仿宋"/>
          <w:bCs/>
          <w:sz w:val="28"/>
          <w:szCs w:val="28"/>
        </w:rPr>
        <w:t>入决算情况说明</w:t>
      </w:r>
      <w:r>
        <w:rPr>
          <w:rFonts w:ascii="仿宋" w:hAnsi="仿宋" w:eastAsia="仿宋"/>
          <w:sz w:val="28"/>
          <w:szCs w:val="28"/>
        </w:rPr>
        <w:tab/>
      </w:r>
      <w:r>
        <w:rPr>
          <w:rFonts w:ascii="仿宋" w:hAnsi="仿宋" w:eastAsia="仿宋"/>
          <w:sz w:val="28"/>
          <w:szCs w:val="28"/>
        </w:rPr>
        <w:t>7</w:t>
      </w:r>
      <w:r>
        <w:rPr>
          <w:rFonts w:ascii="仿宋" w:hAnsi="仿宋" w:eastAsia="仿宋"/>
          <w:sz w:val="28"/>
          <w:szCs w:val="28"/>
        </w:rP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"_Toc15396605" </w:instrText>
      </w:r>
      <w:r>
        <w:fldChar w:fldCharType="separate"/>
      </w:r>
      <w:r>
        <w:rPr>
          <w:rStyle w:val="17"/>
          <w:rFonts w:hint="eastAsia" w:ascii="仿宋" w:hAnsi="仿宋" w:eastAsia="仿宋"/>
          <w:bCs/>
          <w:sz w:val="28"/>
          <w:szCs w:val="28"/>
        </w:rPr>
        <w:t>三、</w:t>
      </w:r>
      <w:r>
        <w:rPr>
          <w:rStyle w:val="17"/>
          <w:rFonts w:hint="eastAsia" w:ascii="仿宋" w:hAnsi="仿宋" w:eastAsia="仿宋"/>
          <w:sz w:val="28"/>
          <w:szCs w:val="28"/>
        </w:rPr>
        <w:t>支</w:t>
      </w:r>
      <w:r>
        <w:rPr>
          <w:rStyle w:val="17"/>
          <w:rFonts w:hint="eastAsia" w:ascii="仿宋" w:hAnsi="仿宋" w:eastAsia="仿宋"/>
          <w:bCs/>
          <w:sz w:val="28"/>
          <w:szCs w:val="28"/>
        </w:rPr>
        <w:t>出决算情况说明</w:t>
      </w:r>
      <w:r>
        <w:rPr>
          <w:rFonts w:ascii="仿宋" w:hAnsi="仿宋" w:eastAsia="仿宋"/>
          <w:sz w:val="28"/>
          <w:szCs w:val="28"/>
        </w:rPr>
        <w:tab/>
      </w:r>
      <w:r>
        <w:rPr>
          <w:rFonts w:ascii="仿宋" w:hAnsi="仿宋" w:eastAsia="仿宋"/>
          <w:sz w:val="28"/>
          <w:szCs w:val="28"/>
        </w:rPr>
        <w:t>8</w:t>
      </w:r>
      <w:r>
        <w:rPr>
          <w:rFonts w:ascii="仿宋" w:hAnsi="仿宋" w:eastAsia="仿宋"/>
          <w:sz w:val="28"/>
          <w:szCs w:val="28"/>
        </w:rP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bCs/>
          <w:sz w:val="28"/>
          <w:szCs w:val="28"/>
        </w:rPr>
        <w:t>政拨款收入支出决算总体情况说明</w:t>
      </w:r>
      <w:r>
        <w:rPr>
          <w:rFonts w:ascii="仿宋" w:hAnsi="仿宋" w:eastAsia="仿宋"/>
          <w:sz w:val="28"/>
          <w:szCs w:val="28"/>
        </w:rPr>
        <w:tab/>
      </w:r>
      <w:r>
        <w:rPr>
          <w:rFonts w:ascii="仿宋" w:hAnsi="仿宋" w:eastAsia="仿宋"/>
          <w:sz w:val="28"/>
          <w:szCs w:val="28"/>
        </w:rPr>
        <w:t>8</w:t>
      </w:r>
      <w:r>
        <w:rPr>
          <w:rFonts w:ascii="仿宋" w:hAnsi="仿宋" w:eastAsia="仿宋"/>
          <w:sz w:val="28"/>
          <w:szCs w:val="28"/>
        </w:rP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bCs/>
          <w:sz w:val="28"/>
          <w:szCs w:val="28"/>
        </w:rPr>
        <w:t>般公共预算财政拨款支出决算情况说明</w:t>
      </w:r>
      <w:r>
        <w:rPr>
          <w:rFonts w:ascii="仿宋" w:hAnsi="仿宋" w:eastAsia="仿宋"/>
          <w:sz w:val="28"/>
          <w:szCs w:val="28"/>
        </w:rPr>
        <w:tab/>
      </w:r>
      <w:r>
        <w:rPr>
          <w:rFonts w:ascii="仿宋" w:hAnsi="仿宋" w:eastAsia="仿宋"/>
          <w:sz w:val="28"/>
          <w:szCs w:val="28"/>
        </w:rPr>
        <w:t>8</w:t>
      </w:r>
      <w:r>
        <w:rPr>
          <w:rFonts w:ascii="仿宋" w:hAnsi="仿宋" w:eastAsia="仿宋"/>
          <w:sz w:val="28"/>
          <w:szCs w:val="28"/>
        </w:rP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hint="eastAsia" w:ascii="仿宋" w:hAnsi="仿宋" w:eastAsia="仿宋"/>
          <w:bCs/>
          <w:sz w:val="28"/>
          <w:szCs w:val="28"/>
        </w:rPr>
        <w:t>三公”经费财政拨款支出决算情况说明</w:t>
      </w:r>
      <w:r>
        <w:rPr>
          <w:rFonts w:ascii="仿宋" w:hAnsi="仿宋" w:eastAsia="仿宋"/>
          <w:sz w:val="28"/>
          <w:szCs w:val="28"/>
        </w:rPr>
        <w:tab/>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"_Toc15396611" </w:instrText>
      </w:r>
      <w:r>
        <w:fldChar w:fldCharType="separate"/>
      </w:r>
      <w:r>
        <w:rPr>
          <w:rStyle w:val="17"/>
          <w:rFonts w:hint="eastAsia" w:ascii="仿宋" w:hAnsi="仿宋" w:eastAsia="仿宋"/>
          <w:bCs/>
          <w:sz w:val="28"/>
          <w:szCs w:val="28"/>
        </w:rPr>
        <w:t>九、</w:t>
      </w:r>
      <w:r>
        <w:rPr>
          <w:rStyle w:val="17"/>
          <w:rFonts w:ascii="仿宋" w:hAnsi="仿宋" w:eastAsia="仿宋"/>
          <w:sz w:val="28"/>
          <w:szCs w:val="28"/>
        </w:rPr>
        <w:t xml:space="preserve"> </w:t>
      </w:r>
      <w:r>
        <w:rPr>
          <w:rStyle w:val="17"/>
          <w:rFonts w:hint="eastAsia" w:ascii="仿宋" w:hAnsi="仿宋" w:eastAsia="仿宋"/>
          <w:sz w:val="28"/>
          <w:szCs w:val="28"/>
        </w:rPr>
        <w:t>国</w:t>
      </w:r>
      <w:r>
        <w:rPr>
          <w:rStyle w:val="17"/>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t>1</w:t>
      </w:r>
    </w:p>
    <w:p>
      <w:pPr>
        <w:pageBreakBefore w:val="0"/>
        <w:kinsoku/>
        <w:wordWrap/>
        <w:overflowPunct/>
        <w:topLinePunct w:val="0"/>
        <w:bidi w:val="0"/>
        <w:spacing w:line="560" w:lineRule="exact"/>
        <w:ind w:firstLine="560" w:firstLineChars="200"/>
      </w:pPr>
      <w:r>
        <w:rPr>
          <w:rStyle w:val="17"/>
          <w:rFonts w:ascii="仿宋" w:hAnsi="仿宋" w:eastAsia="仿宋"/>
          <w:bCs/>
          <w:sz w:val="28"/>
          <w:szCs w:val="28"/>
        </w:rPr>
        <w:t xml:space="preserve">   </w:t>
      </w:r>
      <w:r>
        <w:rPr>
          <w:rStyle w:val="17"/>
          <w:rFonts w:hint="eastAsia" w:ascii="仿宋" w:hAnsi="仿宋" w:eastAsia="仿宋"/>
          <w:bCs/>
          <w:sz w:val="28"/>
          <w:szCs w:val="28"/>
        </w:rPr>
        <w:t>十、预算绩效情况说明</w:t>
      </w:r>
      <w:r>
        <w:rPr>
          <w:rStyle w:val="17"/>
          <w:rFonts w:ascii="仿宋" w:hAnsi="仿宋" w:eastAsia="仿宋"/>
          <w:bCs/>
          <w:sz w:val="28"/>
          <w:szCs w:val="28"/>
        </w:rPr>
        <w:t>...........................</w:t>
      </w:r>
      <w:r>
        <w:rPr>
          <w:rStyle w:val="17"/>
          <w:rFonts w:hint="eastAsia" w:ascii="仿宋" w:hAnsi="仿宋" w:eastAsia="仿宋"/>
          <w:bCs/>
          <w:sz w:val="28"/>
          <w:szCs w:val="28"/>
          <w:lang w:val="en-US" w:eastAsia="zh-CN"/>
        </w:rPr>
        <w:t xml:space="preserve"> </w:t>
      </w:r>
      <w:r>
        <w:rPr>
          <w:rStyle w:val="17"/>
          <w:rFonts w:ascii="仿宋" w:hAnsi="仿宋" w:eastAsia="仿宋"/>
          <w:bCs/>
          <w:sz w:val="28"/>
          <w:szCs w:val="28"/>
        </w:rPr>
        <w:t>...11</w:t>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bCs/>
          <w:sz w:val="28"/>
          <w:szCs w:val="28"/>
        </w:rPr>
        <w:t>一、其他重要事项的情况说明</w:t>
      </w:r>
      <w:r>
        <w:rPr>
          <w:rFonts w:ascii="仿宋" w:hAnsi="仿宋" w:eastAsia="仿宋"/>
          <w:sz w:val="28"/>
          <w:szCs w:val="28"/>
        </w:rPr>
        <w:tab/>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t>1</w:t>
      </w:r>
    </w:p>
    <w:p>
      <w:pPr>
        <w:pStyle w:val="11"/>
        <w:pageBreakBefore w:val="0"/>
        <w:kinsoku/>
        <w:wordWrap/>
        <w:overflowPunct/>
        <w:topLinePunct w:val="0"/>
        <w:bidi w:val="0"/>
        <w:spacing w:line="560" w:lineRule="exact"/>
        <w:ind w:firstLine="560" w:firstLineChars="200"/>
      </w:pPr>
      <w:r>
        <w:fldChar w:fldCharType="begin"/>
      </w:r>
      <w:r>
        <w:instrText xml:space="preserve"> HYPERLINK \l "_Toc15396613" </w:instrText>
      </w:r>
      <w:r>
        <w:fldChar w:fldCharType="separate"/>
      </w:r>
      <w:r>
        <w:rPr>
          <w:rStyle w:val="17"/>
          <w:rFonts w:hint="eastAsia"/>
          <w:bCs/>
          <w:kern w:val="44"/>
        </w:rPr>
        <w:t>第三部分</w:t>
      </w:r>
      <w:r>
        <w:rPr>
          <w:rStyle w:val="17"/>
        </w:rPr>
        <w:t xml:space="preserve"> </w:t>
      </w:r>
      <w:r>
        <w:rPr>
          <w:rStyle w:val="17"/>
          <w:rFonts w:hint="eastAsia"/>
        </w:rPr>
        <w:t>名</w:t>
      </w:r>
      <w:r>
        <w:rPr>
          <w:rStyle w:val="17"/>
          <w:rFonts w:hint="eastAsia"/>
          <w:bCs/>
          <w:kern w:val="44"/>
        </w:rPr>
        <w:t>词解释</w:t>
      </w:r>
      <w:r>
        <w:tab/>
      </w:r>
      <w:r>
        <w:t>1</w:t>
      </w:r>
      <w:r>
        <w:fldChar w:fldCharType="end"/>
      </w:r>
      <w:r>
        <w:t>2</w:t>
      </w:r>
    </w:p>
    <w:p>
      <w:pPr>
        <w:pStyle w:val="11"/>
        <w:pageBreakBefore w:val="0"/>
        <w:kinsoku/>
        <w:wordWrap/>
        <w:overflowPunct/>
        <w:topLinePunct w:val="0"/>
        <w:bidi w:val="0"/>
        <w:spacing w:line="560" w:lineRule="exact"/>
        <w:ind w:firstLine="560" w:firstLineChars="200"/>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四部分附件</w:t>
      </w:r>
      <w:r>
        <w:tab/>
      </w:r>
      <w:r>
        <w:t>1</w:t>
      </w:r>
      <w:r>
        <w:fldChar w:fldCharType="end"/>
      </w:r>
      <w:r>
        <w:t>5</w:t>
      </w:r>
    </w:p>
    <w:p>
      <w:pPr>
        <w:pStyle w:val="13"/>
        <w:pageBreakBefore w:val="0"/>
        <w:kinsoku/>
        <w:wordWrap/>
        <w:overflowPunct/>
        <w:topLinePunct w:val="0"/>
        <w:bidi w:val="0"/>
        <w:spacing w:line="560" w:lineRule="exact"/>
        <w:ind w:left="31680" w:firstLine="420" w:firstLineChars="200"/>
        <w:rPr>
          <w:rFonts w:ascii="仿宋" w:hAnsi="仿宋" w:eastAsia="仿宋"/>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t>5</w:t>
      </w:r>
    </w:p>
    <w:p>
      <w:pPr>
        <w:pStyle w:val="11"/>
        <w:pageBreakBefore w:val="0"/>
        <w:kinsoku/>
        <w:wordWrap/>
        <w:overflowPunct/>
        <w:topLinePunct w:val="0"/>
        <w:bidi w:val="0"/>
        <w:spacing w:line="560" w:lineRule="exact"/>
        <w:ind w:firstLine="560" w:firstLineChars="200"/>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五部分附表</w:t>
      </w:r>
      <w:r>
        <w:tab/>
      </w:r>
      <w:r>
        <w:t>2</w:t>
      </w:r>
      <w:r>
        <w:fldChar w:fldCharType="end"/>
      </w:r>
      <w: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pageBreakBefore w:val="0"/>
        <w:kinsoku/>
        <w:wordWrap/>
        <w:overflowPunct/>
        <w:topLinePunct w:val="0"/>
        <w:bidi w:val="0"/>
        <w:spacing w:line="560" w:lineRule="exact"/>
        <w:ind w:left="31680" w:firstLine="560" w:firstLineChars="200"/>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t>0</w:t>
      </w:r>
    </w:p>
    <w:p>
      <w:pPr>
        <w:pStyle w:val="13"/>
        <w:ind w:firstLine="560" w:firstLineChars="200"/>
        <w:rPr>
          <w:rFonts w:hint="eastAsia" w:ascii="仿宋" w:hAnsi="仿宋" w:eastAsia="仿宋" w:cstheme="minorBidi"/>
          <w:sz w:val="24"/>
          <w:lang w:val="en-US" w:eastAsia="zh-CN"/>
        </w:rPr>
      </w:pPr>
      <w:r>
        <w:rPr>
          <w:rFonts w:hint="eastAsia" w:ascii="仿宋" w:hAnsi="仿宋" w:eastAsia="仿宋"/>
          <w:sz w:val="28"/>
          <w:szCs w:val="28"/>
        </w:rPr>
        <w:t>十</w:t>
      </w:r>
      <w:r>
        <w:rPr>
          <w:rFonts w:hint="eastAsia" w:ascii="仿宋" w:hAnsi="仿宋" w:eastAsia="仿宋"/>
          <w:sz w:val="28"/>
          <w:szCs w:val="28"/>
          <w:lang w:val="en-US" w:eastAsia="zh-CN"/>
        </w:rPr>
        <w:t>一</w:t>
      </w:r>
      <w:r>
        <w:rPr>
          <w:rFonts w:hint="eastAsia" w:ascii="仿宋" w:hAnsi="仿宋" w:eastAsia="仿宋"/>
          <w:sz w:val="28"/>
          <w:szCs w:val="28"/>
        </w:rPr>
        <w:t>、</w:t>
      </w:r>
      <w:r>
        <w:fldChar w:fldCharType="begin"/>
      </w:r>
      <w:r>
        <w:instrText xml:space="preserve"> HYPERLINK \l "_Toc15396631" </w:instrText>
      </w:r>
      <w:r>
        <w:fldChar w:fldCharType="separate"/>
      </w:r>
      <w:r>
        <w:rPr>
          <w:rStyle w:val="17"/>
          <w:rFonts w:hint="eastAsia" w:ascii="仿宋" w:hAnsi="仿宋" w:eastAsia="仿宋"/>
          <w:sz w:val="28"/>
          <w:szCs w:val="28"/>
          <w:lang w:val="en-US" w:eastAsia="zh-CN"/>
        </w:rPr>
        <w:t>封面代码</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ageBreakBefore w:val="0"/>
        <w:widowControl/>
        <w:kinsoku/>
        <w:wordWrap/>
        <w:overflowPunct/>
        <w:topLinePunct w:val="0"/>
        <w:bidi w:val="0"/>
        <w:spacing w:line="560" w:lineRule="exact"/>
        <w:ind w:firstLine="840" w:firstLineChars="300"/>
        <w:jc w:val="left"/>
        <w:rPr>
          <w:rFonts w:ascii="仿宋" w:hAnsi="仿宋" w:eastAsia="仿宋"/>
          <w:color w:val="000000"/>
          <w:sz w:val="24"/>
        </w:rPr>
      </w:pPr>
      <w:r>
        <w:rPr>
          <w:rFonts w:hint="eastAsia" w:ascii="仿宋" w:hAnsi="仿宋" w:eastAsia="仿宋" w:cs="Times New Roman"/>
          <w:kern w:val="2"/>
          <w:sz w:val="28"/>
          <w:szCs w:val="28"/>
          <w:lang w:val="en-US" w:eastAsia="zh-CN" w:bidi="ar-SA"/>
        </w:rPr>
        <w:t xml:space="preserve"> </w:t>
      </w:r>
      <w:r>
        <w:rPr>
          <w:rStyle w:val="19"/>
          <w:rFonts w:hint="eastAsia" w:ascii="仿宋" w:hAnsi="仿宋" w:eastAsia="仿宋"/>
          <w:b w:val="0"/>
          <w:bCs w:val="0"/>
        </w:rPr>
        <w:t xml:space="preserve"> </w:t>
      </w:r>
      <w:r>
        <w:rPr>
          <w:rFonts w:ascii="黑体" w:hAnsi="黑体" w:eastAsia="黑体"/>
          <w:color w:val="000000"/>
          <w:sz w:val="48"/>
          <w:szCs w:val="48"/>
        </w:rPr>
        <w:fldChar w:fldCharType="end"/>
      </w:r>
    </w:p>
    <w:p>
      <w:pPr>
        <w:pageBreakBefore w:val="0"/>
        <w:widowControl/>
        <w:kinsoku/>
        <w:wordWrap/>
        <w:overflowPunct/>
        <w:topLinePunct w:val="0"/>
        <w:bidi w:val="0"/>
        <w:spacing w:line="560" w:lineRule="exact"/>
        <w:ind w:firstLine="422" w:firstLineChars="200"/>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pageBreakBefore w:val="0"/>
        <w:kinsoku/>
        <w:wordWrap/>
        <w:overflowPunct/>
        <w:topLinePunct w:val="0"/>
        <w:bidi w:val="0"/>
        <w:spacing w:before="0" w:after="0" w:line="240" w:lineRule="auto"/>
        <w:ind w:firstLine="0" w:firstLineChars="0"/>
        <w:jc w:val="center"/>
        <w:rPr>
          <w:rStyle w:val="18"/>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8"/>
          <w:rFonts w:hint="eastAsia" w:ascii="黑体" w:hAnsi="黑体" w:eastAsia="黑体"/>
          <w:b w:val="0"/>
          <w:bCs w:val="0"/>
        </w:rPr>
        <w:t>部门概况</w:t>
      </w:r>
      <w:bookmarkEnd w:id="12"/>
      <w:bookmarkEnd w:id="13"/>
    </w:p>
    <w:p>
      <w:pPr>
        <w:pStyle w:val="3"/>
        <w:pageBreakBefore w:val="0"/>
        <w:numPr>
          <w:ilvl w:val="0"/>
          <w:numId w:val="0"/>
        </w:numPr>
        <w:kinsoku/>
        <w:wordWrap/>
        <w:overflowPunct/>
        <w:topLinePunct w:val="0"/>
        <w:bidi w:val="0"/>
        <w:spacing w:before="0" w:after="0" w:line="240" w:lineRule="auto"/>
        <w:jc w:val="left"/>
        <w:rPr>
          <w:rFonts w:hint="eastAsia" w:ascii="仿宋_GB2312" w:hAnsi="Times New Roman" w:eastAsia="仿宋_GB2312" w:cs="Times New Roman"/>
          <w:b w:val="0"/>
          <w:bCs w:val="0"/>
          <w:kern w:val="2"/>
          <w:sz w:val="32"/>
          <w:szCs w:val="32"/>
          <w:lang w:val="en-US" w:eastAsia="zh-CN" w:bidi="ar-SA"/>
        </w:rPr>
      </w:pPr>
      <w:bookmarkStart w:id="14" w:name="_Toc15377197"/>
      <w:bookmarkStart w:id="15" w:name="_Toc15396600"/>
      <w:r>
        <w:rPr>
          <w:rFonts w:hint="eastAsia" w:ascii="黑体" w:hAnsi="黑体" w:eastAsia="黑体"/>
          <w:b w:val="0"/>
          <w:color w:val="000000"/>
          <w:lang w:val="en-US" w:eastAsia="zh-CN"/>
        </w:rPr>
        <w:t>一、</w:t>
      </w:r>
      <w:r>
        <w:rPr>
          <w:rFonts w:hint="eastAsia" w:ascii="黑体" w:hAnsi="黑体" w:eastAsia="黑体"/>
          <w:b w:val="0"/>
          <w:color w:val="000000"/>
        </w:rPr>
        <w:t>基</w:t>
      </w:r>
      <w:r>
        <w:rPr>
          <w:rStyle w:val="19"/>
          <w:rFonts w:hint="eastAsia" w:ascii="黑体" w:hAnsi="黑体" w:eastAsia="黑体"/>
          <w:b w:val="0"/>
          <w:bCs w:val="0"/>
        </w:rPr>
        <w:t>本职能及主要工作</w:t>
      </w:r>
      <w:bookmarkEnd w:id="14"/>
      <w:bookmarkEnd w:id="15"/>
      <w:bookmarkStart w:id="16" w:name="_Toc15378445"/>
      <w:bookmarkStart w:id="17" w:name="_Toc15377198"/>
      <w:r>
        <w:rPr>
          <w:rStyle w:val="19"/>
          <w:rFonts w:hint="eastAsia" w:ascii="黑体" w:hAnsi="黑体" w:eastAsia="黑体"/>
          <w:b w:val="0"/>
          <w:bCs w:val="0"/>
        </w:rPr>
        <w:br w:type="textWrapping"/>
      </w:r>
      <w:r>
        <w:rPr>
          <w:rStyle w:val="19"/>
          <w:rFonts w:hint="eastAsia" w:ascii="黑体" w:hAnsi="黑体" w:eastAsia="黑体"/>
          <w:b w:val="0"/>
          <w:bCs w:val="0"/>
          <w:lang w:val="en-US" w:eastAsia="zh-CN"/>
        </w:rPr>
        <w:t xml:space="preserve">   </w:t>
      </w:r>
      <w:r>
        <w:rPr>
          <w:rFonts w:hint="eastAsia" w:ascii="楷体" w:hAnsi="楷体" w:eastAsia="楷体" w:cs="楷体"/>
          <w:b/>
          <w:bCs/>
          <w:color w:val="000000"/>
          <w:sz w:val="32"/>
          <w:szCs w:val="32"/>
        </w:rPr>
        <w:t>（一）主要职能</w:t>
      </w:r>
      <w:bookmarkEnd w:id="16"/>
      <w:bookmarkEnd w:id="17"/>
      <w:bookmarkStart w:id="18" w:name="_Toc15377199"/>
      <w:bookmarkStart w:id="19" w:name="_Toc15378446"/>
      <w:r>
        <w:rPr>
          <w:rFonts w:hint="eastAsia" w:ascii="楷体" w:hAnsi="楷体" w:eastAsia="楷体" w:cs="楷体"/>
          <w:b/>
          <w:bCs/>
          <w:color w:val="000000"/>
          <w:sz w:val="32"/>
          <w:szCs w:val="32"/>
        </w:rPr>
        <w:t>。</w:t>
      </w:r>
    </w:p>
    <w:p>
      <w:pPr>
        <w:pStyle w:val="3"/>
        <w:pageBreakBefore w:val="0"/>
        <w:numPr>
          <w:ilvl w:val="0"/>
          <w:numId w:val="0"/>
        </w:numPr>
        <w:kinsoku/>
        <w:wordWrap/>
        <w:overflowPunct/>
        <w:topLinePunct w:val="0"/>
        <w:bidi w:val="0"/>
        <w:spacing w:before="0" w:after="0" w:line="240" w:lineRule="auto"/>
        <w:ind w:firstLine="640" w:firstLineChars="200"/>
        <w:jc w:val="left"/>
        <w:rPr>
          <w:rFonts w:hint="eastAsia" w:ascii="仿宋_GB2312" w:hAnsi="Times New Roman" w:eastAsia="仿宋_GB2312" w:cs="Times New Roman"/>
          <w:b w:val="0"/>
          <w:bCs w:val="0"/>
          <w:kern w:val="2"/>
          <w:sz w:val="32"/>
          <w:szCs w:val="32"/>
          <w:lang w:val="en-US" w:eastAsia="zh-CN" w:bidi="ar-SA"/>
        </w:rPr>
      </w:pPr>
      <w:r>
        <w:rPr>
          <w:rFonts w:hint="eastAsia" w:ascii="仿宋_GB2312" w:hAnsi="Times New Roman" w:eastAsia="仿宋_GB2312" w:cs="Times New Roman"/>
          <w:b w:val="0"/>
          <w:bCs w:val="0"/>
          <w:kern w:val="2"/>
          <w:sz w:val="32"/>
          <w:szCs w:val="32"/>
          <w:lang w:val="en-US" w:eastAsia="zh-CN" w:bidi="ar-SA"/>
        </w:rPr>
        <w:t>州政府办公室事业单位是由阿坝州人民防空办公室和阿坝州政府大数据中心组成。人民防空办公室主要指导全州人防系统组织指挥体系建设，拟定全州人防通信及信息化建设规划，制定应急救援工作规划和年度工作计划。阿坝州政府大数据中心主要承担全州大数据和电子政务工作的规划、管理、统筹、协调和推进等职责。</w:t>
      </w:r>
    </w:p>
    <w:p>
      <w:pPr>
        <w:pStyle w:val="3"/>
        <w:pageBreakBefore w:val="0"/>
        <w:numPr>
          <w:ilvl w:val="0"/>
          <w:numId w:val="0"/>
        </w:numPr>
        <w:kinsoku/>
        <w:wordWrap/>
        <w:overflowPunct/>
        <w:topLinePunct w:val="0"/>
        <w:bidi w:val="0"/>
        <w:spacing w:before="0" w:after="0" w:line="240" w:lineRule="auto"/>
        <w:ind w:firstLine="321" w:firstLineChars="100"/>
        <w:jc w:val="left"/>
        <w:rPr>
          <w:rFonts w:hint="eastAsia" w:ascii="楷体" w:hAnsi="楷体" w:eastAsia="楷体" w:cs="楷体"/>
          <w:b/>
          <w:bCs/>
          <w:color w:val="000000"/>
          <w:kern w:val="2"/>
          <w:sz w:val="32"/>
          <w:szCs w:val="32"/>
          <w:lang w:val="en-US" w:eastAsia="zh-CN" w:bidi="ar-SA"/>
        </w:rPr>
      </w:pPr>
      <w:r>
        <w:rPr>
          <w:rFonts w:hint="eastAsia" w:ascii="楷体" w:hAnsi="楷体" w:eastAsia="楷体" w:cs="楷体"/>
          <w:b/>
          <w:bCs/>
          <w:color w:val="000000"/>
          <w:kern w:val="2"/>
          <w:sz w:val="32"/>
          <w:szCs w:val="32"/>
          <w:lang w:val="en-US" w:eastAsia="zh-CN" w:bidi="ar-SA"/>
        </w:rPr>
        <w:t>（二）2019年重点工作完成情况。</w:t>
      </w:r>
      <w:bookmarkEnd w:id="18"/>
      <w:bookmarkEnd w:id="19"/>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i w:val="0"/>
          <w:caps w:val="0"/>
          <w:color w:val="000000"/>
          <w:spacing w:val="0"/>
          <w:kern w:val="0"/>
          <w:sz w:val="32"/>
          <w:szCs w:val="32"/>
          <w:lang w:val="en-US" w:eastAsia="zh-CN" w:bidi="ar"/>
        </w:rPr>
      </w:pPr>
      <w:bookmarkStart w:id="20" w:name="_Toc15396601"/>
      <w:bookmarkStart w:id="21" w:name="_Toc15377200"/>
      <w:r>
        <w:rPr>
          <w:rFonts w:hint="eastAsia" w:ascii="仿宋_GB2312" w:hAnsi="仿宋_GB2312" w:eastAsia="仿宋_GB2312" w:cs="仿宋_GB2312"/>
          <w:i w:val="0"/>
          <w:caps w:val="0"/>
          <w:color w:val="000000"/>
          <w:spacing w:val="0"/>
          <w:kern w:val="0"/>
          <w:sz w:val="32"/>
          <w:szCs w:val="32"/>
          <w:lang w:val="en-US" w:eastAsia="zh-CN" w:bidi="ar"/>
        </w:rPr>
        <w:t>人民防空办公室：</w:t>
      </w:r>
      <w:r>
        <w:rPr>
          <w:rFonts w:hint="eastAsia" w:ascii="仿宋_GB2312" w:hAnsi="仿宋_GB2312" w:eastAsia="仿宋_GB2312" w:cs="仿宋_GB2312"/>
          <w:b/>
          <w:bCs/>
          <w:i w:val="0"/>
          <w:caps w:val="0"/>
          <w:color w:val="000000"/>
          <w:spacing w:val="0"/>
          <w:kern w:val="0"/>
          <w:sz w:val="32"/>
          <w:szCs w:val="32"/>
          <w:lang w:val="en-US" w:eastAsia="zh-CN" w:bidi="ar"/>
        </w:rPr>
        <w:t>一是</w:t>
      </w:r>
      <w:r>
        <w:rPr>
          <w:rFonts w:hint="eastAsia" w:ascii="仿宋_GB2312" w:hAnsi="仿宋_GB2312" w:eastAsia="仿宋_GB2312" w:cs="仿宋_GB2312"/>
          <w:b/>
          <w:bCs/>
          <w:sz w:val="32"/>
          <w:szCs w:val="32"/>
        </w:rPr>
        <w:t>完成人民防空（民防）“六个一”项目建设综合评估。</w:t>
      </w:r>
      <w:r>
        <w:rPr>
          <w:rFonts w:hint="eastAsia" w:ascii="仿宋_GB2312" w:eastAsia="仿宋_GB2312"/>
          <w:sz w:val="32"/>
          <w:szCs w:val="32"/>
        </w:rPr>
        <w:t>按照省人防办的统一部署，州人防办对全州人民防空（民防）“六个一”项目建设情况进行了综合评估，对我州“六个一”项目完成情况进行了全面核查，对“六个一”项目在我州效益进行了分析，提出了重点建设任务</w:t>
      </w:r>
      <w:r>
        <w:rPr>
          <w:rFonts w:hint="eastAsia" w:ascii="仿宋_GB2312" w:eastAsia="仿宋_GB2312"/>
          <w:sz w:val="32"/>
          <w:szCs w:val="32"/>
          <w:lang w:eastAsia="zh-CN"/>
        </w:rPr>
        <w:t>。</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bCs/>
          <w:sz w:val="32"/>
          <w:szCs w:val="32"/>
        </w:rPr>
        <w:t>完成人防数据统计检查工作。</w:t>
      </w:r>
      <w:r>
        <w:rPr>
          <w:rFonts w:hint="eastAsia" w:ascii="仿宋_GB2312" w:eastAsia="仿宋_GB2312"/>
          <w:sz w:val="32"/>
          <w:szCs w:val="32"/>
        </w:rPr>
        <w:t>对全州人民防空组织指挥、人员防护、目标防护、专业力量、支援保障5大体系共34个小类的人民防空数据进行全面统计和检查，涉及发改、经信、交通运输、</w:t>
      </w:r>
      <w:r>
        <w:rPr>
          <w:rFonts w:hint="eastAsia" w:ascii="仿宋_GB2312" w:eastAsia="仿宋_GB2312"/>
          <w:sz w:val="32"/>
          <w:szCs w:val="32"/>
          <w:lang w:eastAsia="zh-CN"/>
        </w:rPr>
        <w:t>住</w:t>
      </w:r>
      <w:r>
        <w:rPr>
          <w:rFonts w:hint="eastAsia" w:ascii="仿宋_GB2312" w:eastAsia="仿宋_GB2312"/>
          <w:sz w:val="32"/>
          <w:szCs w:val="32"/>
        </w:rPr>
        <w:t>建等多个行业，统计检查工作</w:t>
      </w:r>
      <w:r>
        <w:rPr>
          <w:rFonts w:hint="eastAsia" w:ascii="仿宋_GB2312" w:eastAsia="仿宋_GB2312"/>
          <w:sz w:val="32"/>
          <w:szCs w:val="32"/>
          <w:lang w:eastAsia="zh-CN"/>
        </w:rPr>
        <w:t>坚持</w:t>
      </w:r>
      <w:r>
        <w:rPr>
          <w:rFonts w:hint="eastAsia" w:ascii="仿宋_GB2312" w:eastAsia="仿宋_GB2312"/>
          <w:sz w:val="32"/>
          <w:szCs w:val="32"/>
        </w:rPr>
        <w:t>实事求是</w:t>
      </w:r>
      <w:r>
        <w:rPr>
          <w:rFonts w:hint="eastAsia" w:ascii="仿宋_GB2312" w:eastAsia="仿宋_GB2312"/>
          <w:sz w:val="32"/>
          <w:szCs w:val="32"/>
          <w:lang w:eastAsia="zh-CN"/>
        </w:rPr>
        <w:t>、</w:t>
      </w:r>
      <w:r>
        <w:rPr>
          <w:rFonts w:hint="eastAsia" w:ascii="仿宋_GB2312" w:eastAsia="仿宋_GB2312"/>
          <w:sz w:val="32"/>
          <w:szCs w:val="32"/>
        </w:rPr>
        <w:t>精准可靠，确保了统计数据的完整性和准确性</w:t>
      </w:r>
      <w:r>
        <w:rPr>
          <w:rFonts w:hint="eastAsia" w:ascii="仿宋_GB2312" w:eastAsia="仿宋_GB2312"/>
          <w:sz w:val="32"/>
          <w:szCs w:val="32"/>
          <w:lang w:eastAsia="zh-CN"/>
        </w:rPr>
        <w:t>。</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b/>
          <w:bCs/>
          <w:sz w:val="32"/>
          <w:szCs w:val="32"/>
          <w:lang w:bidi="ar-SA"/>
        </w:rPr>
        <w:t>扎实推进人防应急避难场所。</w:t>
      </w:r>
      <w:r>
        <w:rPr>
          <w:rFonts w:hint="eastAsia" w:ascii="仿宋_GB2312" w:eastAsia="仿宋_GB2312"/>
          <w:sz w:val="32"/>
          <w:szCs w:val="32"/>
        </w:rPr>
        <w:t>九寨沟景区沟口人防应急避难场所建设项目启动</w:t>
      </w:r>
      <w:r>
        <w:rPr>
          <w:rFonts w:hint="eastAsia" w:ascii="仿宋_GB2312" w:eastAsia="仿宋_GB2312"/>
          <w:sz w:val="32"/>
          <w:szCs w:val="32"/>
          <w:lang w:eastAsia="zh-CN"/>
        </w:rPr>
        <w:t>实施</w:t>
      </w:r>
      <w:r>
        <w:rPr>
          <w:rFonts w:hint="eastAsia" w:ascii="仿宋_GB2312" w:eastAsia="仿宋_GB2312"/>
          <w:sz w:val="32"/>
          <w:szCs w:val="32"/>
        </w:rPr>
        <w:t>，州人防</w:t>
      </w:r>
      <w:r>
        <w:rPr>
          <w:rFonts w:hint="eastAsia" w:ascii="仿宋_GB2312" w:eastAsia="仿宋_GB2312"/>
          <w:sz w:val="32"/>
          <w:szCs w:val="32"/>
          <w:lang w:eastAsia="zh-CN"/>
        </w:rPr>
        <w:t>办</w:t>
      </w:r>
      <w:r>
        <w:rPr>
          <w:rFonts w:hint="eastAsia" w:ascii="仿宋_GB2312" w:eastAsia="仿宋_GB2312"/>
          <w:sz w:val="32"/>
          <w:szCs w:val="32"/>
        </w:rPr>
        <w:t>配合九寨沟管理局扎实推进</w:t>
      </w:r>
      <w:r>
        <w:rPr>
          <w:rFonts w:hint="eastAsia" w:ascii="仿宋_GB2312" w:eastAsia="仿宋_GB2312"/>
          <w:sz w:val="32"/>
          <w:szCs w:val="32"/>
          <w:lang w:eastAsia="zh-CN"/>
        </w:rPr>
        <w:t>项目</w:t>
      </w:r>
      <w:r>
        <w:rPr>
          <w:rFonts w:hint="eastAsia" w:ascii="仿宋_GB2312" w:eastAsia="仿宋_GB2312"/>
          <w:sz w:val="32"/>
          <w:szCs w:val="32"/>
        </w:rPr>
        <w:t>建设，完成项目设计等前期工作，争取到省级补助资金1600余万元，承建单位正加紧开展建设工作</w:t>
      </w:r>
      <w:r>
        <w:rPr>
          <w:rFonts w:hint="eastAsia" w:ascii="仿宋_GB2312" w:eastAsia="仿宋_GB2312"/>
          <w:sz w:val="32"/>
          <w:szCs w:val="32"/>
          <w:lang w:eastAsia="zh-CN"/>
        </w:rPr>
        <w:t>。</w:t>
      </w:r>
      <w:r>
        <w:rPr>
          <w:rFonts w:hint="eastAsia" w:ascii="仿宋_GB2312" w:eastAsia="仿宋_GB2312"/>
          <w:b/>
          <w:bCs/>
          <w:sz w:val="32"/>
          <w:szCs w:val="32"/>
          <w:lang w:eastAsia="zh-CN"/>
        </w:rPr>
        <w:t>四是</w:t>
      </w:r>
      <w:r>
        <w:rPr>
          <w:rFonts w:hint="eastAsia" w:ascii="楷体" w:eastAsia="楷体"/>
          <w:b/>
          <w:bCs/>
          <w:sz w:val="32"/>
          <w:szCs w:val="32"/>
        </w:rPr>
        <w:t>加强人防宣传教育工作。</w:t>
      </w:r>
      <w:r>
        <w:rPr>
          <w:rFonts w:hint="eastAsia" w:ascii="仿宋_GB2312" w:eastAsia="仿宋_GB2312"/>
          <w:sz w:val="32"/>
          <w:szCs w:val="32"/>
        </w:rPr>
        <w:t>利用“3</w:t>
      </w:r>
      <w:r>
        <w:rPr>
          <w:rFonts w:hint="eastAsia" w:ascii="仿宋_GB2312" w:hAnsi="仿宋_GB2312" w:eastAsia="仿宋_GB2312" w:cs="仿宋_GB2312"/>
          <w:sz w:val="32"/>
          <w:szCs w:val="32"/>
        </w:rPr>
        <w:t>·</w:t>
      </w:r>
      <w:r>
        <w:rPr>
          <w:rFonts w:hint="eastAsia" w:ascii="仿宋_GB2312" w:eastAsia="仿宋_GB2312"/>
          <w:sz w:val="32"/>
          <w:szCs w:val="32"/>
        </w:rPr>
        <w:t>1国际民防日”、“5</w:t>
      </w:r>
      <w:r>
        <w:rPr>
          <w:rFonts w:hint="eastAsia" w:ascii="仿宋_GB2312" w:hAnsi="仿宋_GB2312" w:eastAsia="仿宋_GB2312" w:cs="仿宋_GB2312"/>
          <w:sz w:val="32"/>
          <w:szCs w:val="32"/>
        </w:rPr>
        <w:t>·</w:t>
      </w:r>
      <w:r>
        <w:rPr>
          <w:rFonts w:hint="eastAsia" w:ascii="仿宋_GB2312" w:eastAsia="仿宋_GB2312"/>
          <w:sz w:val="32"/>
          <w:szCs w:val="32"/>
        </w:rPr>
        <w:t>12全国防灾减灾日”等特殊时段，扎实开展宣传教育。</w:t>
      </w:r>
      <w:r>
        <w:rPr>
          <w:rFonts w:hint="eastAsia" w:ascii="仿宋_GB2312" w:eastAsia="仿宋_GB2312"/>
          <w:bCs/>
          <w:sz w:val="32"/>
          <w:szCs w:val="32"/>
        </w:rPr>
        <w:t>发放</w:t>
      </w:r>
      <w:r>
        <w:rPr>
          <w:rFonts w:hint="eastAsia" w:ascii="仿宋_GB2312" w:eastAsia="仿宋_GB2312"/>
          <w:sz w:val="32"/>
          <w:szCs w:val="32"/>
        </w:rPr>
        <w:t>藏汉双语宣</w:t>
      </w:r>
      <w:r>
        <w:rPr>
          <w:rFonts w:hint="eastAsia" w:ascii="仿宋_GB2312" w:eastAsia="仿宋_GB2312"/>
          <w:bCs/>
          <w:sz w:val="32"/>
          <w:szCs w:val="32"/>
        </w:rPr>
        <w:t>传手册300余、笔记本300册</w:t>
      </w:r>
      <w:r>
        <w:rPr>
          <w:rFonts w:hint="eastAsia" w:ascii="仿宋_GB2312" w:eastAsia="仿宋_GB2312"/>
          <w:bCs/>
          <w:sz w:val="32"/>
          <w:szCs w:val="32"/>
          <w:lang w:eastAsia="zh-CN"/>
        </w:rPr>
        <w:t>、</w:t>
      </w:r>
      <w:r>
        <w:rPr>
          <w:rFonts w:hint="eastAsia" w:ascii="仿宋_GB2312" w:eastAsia="仿宋_GB2312"/>
          <w:bCs/>
          <w:sz w:val="32"/>
          <w:szCs w:val="32"/>
        </w:rPr>
        <w:t>学习用具200余套、</w:t>
      </w:r>
      <w:r>
        <w:rPr>
          <w:rFonts w:hint="eastAsia" w:ascii="仿宋_GB2312" w:eastAsia="仿宋_GB2312" w:cs="仿宋_GB2312"/>
          <w:color w:val="000000"/>
          <w:sz w:val="32"/>
          <w:szCs w:val="32"/>
          <w:lang w:bidi="ar-SA"/>
        </w:rPr>
        <w:t>雨伞100余把</w:t>
      </w:r>
      <w:r>
        <w:rPr>
          <w:rFonts w:hint="eastAsia" w:ascii="仿宋_GB2312" w:eastAsia="仿宋_GB2312"/>
          <w:bCs/>
          <w:sz w:val="32"/>
          <w:szCs w:val="32"/>
        </w:rPr>
        <w:t>。参与全省人防（民防）知识竞赛，组织参赛队员参加现场竞赛，组织广大群众参与网络知识竞赛。</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eastAsia="仿宋_GB2312"/>
          <w:sz w:val="32"/>
          <w:szCs w:val="32"/>
          <w:lang w:eastAsia="zh-CN"/>
        </w:rPr>
        <w:t>阿坝州政府大数据中</w:t>
      </w:r>
      <w:r>
        <w:rPr>
          <w:rFonts w:hint="eastAsia" w:ascii="仿宋_GB2312" w:eastAsia="仿宋_GB2312"/>
          <w:sz w:val="32"/>
          <w:szCs w:val="32"/>
          <w:lang w:val="en-US" w:eastAsia="zh-CN"/>
        </w:rPr>
        <w:t>心：</w:t>
      </w:r>
      <w:r>
        <w:rPr>
          <w:rFonts w:hint="eastAsia" w:ascii="仿宋_GB2312" w:eastAsia="仿宋_GB2312"/>
          <w:b/>
          <w:bCs/>
          <w:sz w:val="32"/>
          <w:szCs w:val="32"/>
          <w:lang w:val="en-US" w:eastAsia="zh-CN"/>
        </w:rPr>
        <w:t>一是</w:t>
      </w:r>
      <w:r>
        <w:rPr>
          <w:rFonts w:hint="eastAsia" w:ascii="仿宋_GB2312" w:eastAsia="仿宋_GB2312"/>
          <w:b/>
          <w:bCs/>
          <w:sz w:val="32"/>
          <w:szCs w:val="32"/>
        </w:rPr>
        <w:t>完成政务云建设。</w:t>
      </w:r>
      <w:r>
        <w:rPr>
          <w:rFonts w:hint="eastAsia" w:ascii="仿宋_GB2312" w:eastAsia="仿宋_GB2312"/>
          <w:sz w:val="32"/>
          <w:szCs w:val="32"/>
        </w:rPr>
        <w:t>参照省政府构架模式，按照“一朵云由多个服务商提供支撑”的方式购买服务，通过公开招投标方式确定移动、联通两家云服务商，建立良性竞争机制，保障长期、高效的优质服务。每个云服务商提供完整的云计算（包括云管理）服务，各云服务商按照统一技术路线要求建设云平台，各云服务商平台上承载的业务可互相进行迁移。截至2019年10月底，州政务云资源规模为：计算容量10200核，内存容量36715G，存储容量</w:t>
      </w:r>
      <w:r>
        <w:rPr>
          <w:rFonts w:ascii="仿宋_GB2312" w:eastAsia="仿宋_GB2312"/>
          <w:sz w:val="32"/>
          <w:szCs w:val="32"/>
        </w:rPr>
        <w:t>1066</w:t>
      </w:r>
      <w:r>
        <w:rPr>
          <w:rFonts w:hint="eastAsia" w:ascii="仿宋_GB2312" w:eastAsia="仿宋_GB2312"/>
          <w:sz w:val="32"/>
          <w:szCs w:val="32"/>
        </w:rPr>
        <w:t>T，预计可以承载全州120个中小形非涉密信息系统，基本满足近2年内全州信息化建设的需求。按照“以上云为常态，不上云为例外”原则，已完成1</w:t>
      </w:r>
      <w:r>
        <w:rPr>
          <w:rFonts w:ascii="仿宋_GB2312" w:eastAsia="仿宋_GB2312"/>
          <w:sz w:val="32"/>
          <w:szCs w:val="32"/>
        </w:rPr>
        <w:t>8</w:t>
      </w:r>
      <w:r>
        <w:rPr>
          <w:rFonts w:hint="eastAsia" w:ascii="仿宋_GB2312" w:eastAsia="仿宋_GB2312"/>
          <w:sz w:val="32"/>
          <w:szCs w:val="32"/>
        </w:rPr>
        <w:t>个州级部门、13县（市）</w:t>
      </w:r>
      <w:r>
        <w:rPr>
          <w:rFonts w:ascii="仿宋_GB2312" w:eastAsia="仿宋_GB2312"/>
          <w:sz w:val="32"/>
          <w:szCs w:val="32"/>
        </w:rPr>
        <w:t>共60</w:t>
      </w:r>
      <w:r>
        <w:rPr>
          <w:rFonts w:hint="eastAsia" w:ascii="仿宋_GB2312" w:eastAsia="仿宋_GB2312"/>
          <w:sz w:val="32"/>
          <w:szCs w:val="32"/>
        </w:rPr>
        <w:t>个非涉密信息系统（包括公共资源交易、政府网站集约化平台、办公OA、综治平台、地灾防治、医疗监管等）迁移上云工作</w:t>
      </w:r>
      <w:r>
        <w:rPr>
          <w:rFonts w:hint="eastAsia" w:ascii="仿宋_GB2312" w:eastAsia="仿宋_GB2312"/>
          <w:sz w:val="32"/>
          <w:szCs w:val="32"/>
          <w:lang w:eastAsia="zh-CN"/>
        </w:rPr>
        <w:t>。</w:t>
      </w:r>
      <w:r>
        <w:rPr>
          <w:rFonts w:hint="eastAsia" w:ascii="仿宋_GB2312" w:eastAsia="仿宋_GB2312"/>
          <w:b/>
          <w:bCs/>
          <w:sz w:val="32"/>
          <w:szCs w:val="32"/>
          <w:lang w:eastAsia="zh-CN"/>
        </w:rPr>
        <w:t>二是</w:t>
      </w:r>
      <w:r>
        <w:rPr>
          <w:rFonts w:hint="eastAsia" w:ascii="仿宋_GB2312" w:eastAsia="仿宋_GB2312"/>
          <w:b/>
          <w:bCs/>
          <w:sz w:val="32"/>
          <w:szCs w:val="32"/>
        </w:rPr>
        <w:t>探索大数据汇聚。</w:t>
      </w:r>
      <w:r>
        <w:rPr>
          <w:rFonts w:hint="eastAsia" w:ascii="仿宋_GB2312" w:eastAsia="仿宋_GB2312"/>
          <w:sz w:val="32"/>
          <w:szCs w:val="32"/>
        </w:rPr>
        <w:t>建设完成阿坝州政务信息共享网站、阿坝州政务信息开放网站、政务信息资源目录管理系统，构建全州统一的电子政务数据交换体系，实现与省级平台级联对接。通过对迁移上云的信息系统非涉密数据进行梳理，将具有公共性、标识性、基准性的共享数据进行汇聚，集中存储于云平台，提高综合数据共享使用效率。截至目前，完成48个州级重点部门和13个县（市）的信息资源系统调研及信息资源目录梳理工作。共计梳理信息资源目录</w:t>
      </w:r>
      <w:r>
        <w:rPr>
          <w:rFonts w:ascii="仿宋_GB2312" w:eastAsia="仿宋_GB2312"/>
          <w:sz w:val="32"/>
          <w:szCs w:val="32"/>
        </w:rPr>
        <w:t>342</w:t>
      </w:r>
      <w:r>
        <w:rPr>
          <w:rFonts w:hint="eastAsia" w:ascii="仿宋_GB2312" w:eastAsia="仿宋_GB2312"/>
          <w:sz w:val="32"/>
          <w:szCs w:val="32"/>
        </w:rPr>
        <w:t>个、信息项5627项，上线目录</w:t>
      </w:r>
      <w:r>
        <w:rPr>
          <w:rFonts w:ascii="仿宋_GB2312" w:eastAsia="仿宋_GB2312"/>
          <w:sz w:val="32"/>
          <w:szCs w:val="32"/>
        </w:rPr>
        <w:t>270</w:t>
      </w:r>
      <w:r>
        <w:rPr>
          <w:rFonts w:hint="eastAsia" w:ascii="仿宋_GB2312" w:eastAsia="仿宋_GB2312"/>
          <w:sz w:val="32"/>
          <w:szCs w:val="32"/>
        </w:rPr>
        <w:t>个。</w:t>
      </w:r>
    </w:p>
    <w:p>
      <w:pPr>
        <w:pStyle w:val="3"/>
        <w:pageBreakBefore w:val="0"/>
        <w:numPr>
          <w:ilvl w:val="0"/>
          <w:numId w:val="1"/>
        </w:numPr>
        <w:kinsoku/>
        <w:wordWrap/>
        <w:overflowPunct/>
        <w:topLinePunct w:val="0"/>
        <w:bidi w:val="0"/>
        <w:spacing w:before="0" w:after="0" w:line="240" w:lineRule="auto"/>
        <w:ind w:firstLine="640" w:firstLineChars="200"/>
        <w:rPr>
          <w:rFonts w:hint="eastAsia" w:ascii="仿宋_GB2312" w:hAnsi="Times New Roman" w:eastAsia="仿宋_GB2312" w:cs="Times New Roman"/>
          <w:b w:val="0"/>
          <w:bCs w:val="0"/>
          <w:kern w:val="2"/>
          <w:sz w:val="32"/>
          <w:szCs w:val="32"/>
          <w:lang w:val="en-US" w:eastAsia="zh-CN" w:bidi="ar-SA"/>
        </w:rPr>
      </w:pPr>
      <w:r>
        <w:rPr>
          <w:rFonts w:hint="eastAsia" w:ascii="黑体" w:hAnsi="黑体" w:eastAsia="黑体"/>
          <w:b w:val="0"/>
          <w:color w:val="000000"/>
        </w:rPr>
        <w:t>机构设置</w:t>
      </w:r>
      <w:bookmarkEnd w:id="20"/>
      <w:bookmarkEnd w:id="21"/>
      <w:r>
        <w:rPr>
          <w:rFonts w:hint="eastAsia" w:ascii="黑体" w:hAnsi="黑体" w:eastAsia="黑体"/>
          <w:b w:val="0"/>
          <w:color w:val="000000"/>
        </w:rPr>
        <w:br w:type="textWrapping"/>
      </w:r>
      <w:r>
        <w:rPr>
          <w:rFonts w:hint="eastAsia" w:ascii="黑体" w:hAnsi="黑体" w:eastAsia="黑体"/>
          <w:b w:val="0"/>
          <w:color w:val="000000"/>
          <w:lang w:val="en-US" w:eastAsia="zh-CN"/>
        </w:rPr>
        <w:t xml:space="preserve">   </w:t>
      </w:r>
      <w:r>
        <w:rPr>
          <w:rFonts w:hint="eastAsia" w:ascii="仿宋_GB2312" w:hAnsi="Times New Roman" w:eastAsia="仿宋_GB2312" w:cs="Times New Roman"/>
          <w:b w:val="0"/>
          <w:bCs w:val="0"/>
          <w:kern w:val="2"/>
          <w:sz w:val="32"/>
          <w:szCs w:val="32"/>
          <w:lang w:val="en-US" w:eastAsia="zh-CN" w:bidi="ar-SA"/>
        </w:rPr>
        <w:t xml:space="preserve"> 阿坝州政府办公室事业单位是由州人防办和州大数据中心组成。设统一核算机构为1个，独立编制机构2个。</w:t>
      </w:r>
    </w:p>
    <w:p>
      <w:pPr>
        <w:numPr>
          <w:numId w:val="0"/>
        </w:numPr>
        <w:rPr>
          <w:rFonts w:hint="eastAsia"/>
          <w:lang w:val="en-US" w:eastAsia="zh-CN"/>
        </w:rPr>
      </w:pPr>
    </w:p>
    <w:p>
      <w:pPr>
        <w:pageBreakBefore w:val="0"/>
        <w:widowControl/>
        <w:numPr>
          <w:ilvl w:val="0"/>
          <w:numId w:val="2"/>
        </w:numPr>
        <w:kinsoku/>
        <w:wordWrap/>
        <w:overflowPunct/>
        <w:topLinePunct w:val="0"/>
        <w:bidi w:val="0"/>
        <w:spacing w:line="560" w:lineRule="exact"/>
        <w:ind w:firstLine="880" w:firstLineChars="200"/>
        <w:jc w:val="center"/>
        <w:rPr>
          <w:rStyle w:val="18"/>
          <w:rFonts w:ascii="黑体" w:hAnsi="黑体" w:eastAsia="黑体"/>
          <w:b w:val="0"/>
          <w:bCs w:val="0"/>
        </w:rPr>
      </w:pPr>
      <w:bookmarkStart w:id="22" w:name="_Toc15396602"/>
      <w:bookmarkStart w:id="23" w:name="_Toc15377204"/>
      <w:r>
        <w:rPr>
          <w:rStyle w:val="18"/>
          <w:rFonts w:ascii="黑体" w:hAnsi="黑体" w:eastAsia="黑体"/>
          <w:b w:val="0"/>
          <w:bCs w:val="0"/>
        </w:rPr>
        <w:t>2019</w:t>
      </w:r>
      <w:r>
        <w:rPr>
          <w:rStyle w:val="18"/>
          <w:rFonts w:hint="eastAsia" w:ascii="黑体" w:hAnsi="黑体" w:eastAsia="黑体"/>
          <w:b w:val="0"/>
          <w:bCs w:val="0"/>
        </w:rPr>
        <w:t>年度部门决算情况说明</w:t>
      </w:r>
      <w:bookmarkEnd w:id="22"/>
      <w:bookmarkEnd w:id="23"/>
    </w:p>
    <w:p>
      <w:pPr>
        <w:pStyle w:val="29"/>
        <w:pageBreakBefore w:val="0"/>
        <w:numPr>
          <w:ilvl w:val="0"/>
          <w:numId w:val="0"/>
        </w:numPr>
        <w:kinsoku/>
        <w:wordWrap/>
        <w:overflowPunct/>
        <w:topLinePunct w:val="0"/>
        <w:bidi w:val="0"/>
        <w:spacing w:line="560" w:lineRule="exact"/>
        <w:ind w:firstLine="640" w:firstLineChars="200"/>
        <w:outlineLvl w:val="1"/>
        <w:rPr>
          <w:rFonts w:hint="eastAsia" w:ascii="黑体" w:hAnsi="黑体" w:eastAsia="黑体"/>
          <w:color w:val="000000"/>
          <w:sz w:val="32"/>
          <w:szCs w:val="32"/>
          <w:lang w:val="en-US" w:eastAsia="zh-CN"/>
        </w:rPr>
      </w:pPr>
      <w:bookmarkStart w:id="24" w:name="_Toc15396603"/>
      <w:bookmarkStart w:id="25" w:name="_Toc15377205"/>
    </w:p>
    <w:p>
      <w:pPr>
        <w:pStyle w:val="29"/>
        <w:pageBreakBefore w:val="0"/>
        <w:numPr>
          <w:ilvl w:val="0"/>
          <w:numId w:val="0"/>
        </w:numPr>
        <w:kinsoku/>
        <w:wordWrap/>
        <w:overflowPunct/>
        <w:topLinePunct w:val="0"/>
        <w:bidi w:val="0"/>
        <w:spacing w:line="560" w:lineRule="exact"/>
        <w:ind w:firstLine="640" w:firstLineChars="200"/>
        <w:outlineLvl w:val="1"/>
        <w:rPr>
          <w:rStyle w:val="19"/>
          <w:rFonts w:ascii="黑体" w:hAnsi="黑体" w:eastAsia="黑体"/>
          <w:b w:val="0"/>
        </w:rPr>
      </w:pPr>
      <w:r>
        <w:rPr>
          <w:rFonts w:hint="eastAsia" w:ascii="黑体" w:hAnsi="黑体" w:eastAsia="黑体"/>
          <w:color w:val="000000"/>
          <w:sz w:val="32"/>
          <w:szCs w:val="32"/>
          <w:lang w:val="en-US" w:eastAsia="zh-CN"/>
        </w:rPr>
        <w:t>一、</w:t>
      </w:r>
      <w:r>
        <w:rPr>
          <w:rFonts w:hint="eastAsia" w:ascii="黑体" w:hAnsi="黑体" w:eastAsia="黑体"/>
          <w:color w:val="000000"/>
          <w:sz w:val="32"/>
          <w:szCs w:val="32"/>
        </w:rPr>
        <w:t>收</w:t>
      </w:r>
      <w:r>
        <w:rPr>
          <w:rStyle w:val="19"/>
          <w:rFonts w:hint="eastAsia" w:ascii="黑体" w:hAnsi="黑体" w:eastAsia="黑体"/>
          <w:b w:val="0"/>
        </w:rPr>
        <w:t>入支出决算总体情况说明</w:t>
      </w:r>
      <w:bookmarkEnd w:id="24"/>
      <w:bookmarkEnd w:id="25"/>
    </w:p>
    <w:p>
      <w:pPr>
        <w:pStyle w:val="6"/>
        <w:pageBreakBefore w:val="0"/>
        <w:kinsoku/>
        <w:wordWrap/>
        <w:overflowPunct/>
        <w:topLinePunct w:val="0"/>
        <w:bidi w:val="0"/>
        <w:spacing w:before="93" w:line="56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819.99万元，</w:t>
      </w:r>
      <w:r>
        <w:rPr>
          <w:rFonts w:hint="eastAsia" w:ascii="仿宋" w:hAnsi="仿宋" w:eastAsia="仿宋"/>
          <w:color w:val="000000"/>
          <w:sz w:val="32"/>
          <w:szCs w:val="32"/>
          <w:lang w:eastAsia="zh-CN"/>
        </w:rPr>
        <w:t>与</w:t>
      </w:r>
      <w:r>
        <w:rPr>
          <w:rFonts w:hint="eastAsia" w:ascii="仿宋" w:hAnsi="仿宋" w:eastAsia="仿宋"/>
          <w:color w:val="000000"/>
          <w:sz w:val="32"/>
          <w:szCs w:val="32"/>
          <w:lang w:val="en-US" w:eastAsia="zh-CN"/>
        </w:rPr>
        <w:t>2018年相比增加445.86万元，增长54.37%。主要原因为项目收入增加，2018年决算仅核算了事业基本收入，项目收入在行政核算。</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2278.05万元，较上年增加1908.17万元，主要原因为2019年项目支出在事业单位核算。</w:t>
      </w:r>
    </w:p>
    <w:p>
      <w:pPr>
        <w:pStyle w:val="6"/>
        <w:pageBreakBefore w:val="0"/>
        <w:kinsoku/>
        <w:wordWrap/>
        <w:overflowPunct/>
        <w:topLinePunct w:val="0"/>
        <w:bidi w:val="0"/>
        <w:spacing w:before="93" w:line="560" w:lineRule="exact"/>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pict>
          <v:shape id="_x0000_s1032" o:spid="_x0000_s1032" o:spt="75" type="#_x0000_t75" style="position:absolute;left:0pt;margin-left:51.2pt;margin-top:10.6pt;height:171.55pt;width:325.55pt;z-index:-251655168;mso-width-relative:page;mso-height-relative:page;" o:ole="t" filled="f" o:preferrelative="t" stroked="f" coordsize="21600,21600">
            <v:path/>
            <v:fill on="f" focussize="0,0"/>
            <v:stroke on="f"/>
            <v:imagedata r:id="rId9" o:title=""/>
            <o:lock v:ext="edit" aspectratio="t"/>
          </v:shape>
          <o:OLEObject Type="Embed" ProgID="Excel.Chart.8" ShapeID="_x0000_s1032" DrawAspect="Content" ObjectID="_1468075725" r:id="rId8">
            <o:LockedField>false</o:LockedField>
          </o:OLEObject>
        </w:pict>
      </w:r>
    </w:p>
    <w:p>
      <w:pPr>
        <w:pStyle w:val="6"/>
        <w:pageBreakBefore w:val="0"/>
        <w:kinsoku/>
        <w:wordWrap/>
        <w:overflowPunct/>
        <w:topLinePunct w:val="0"/>
        <w:bidi w:val="0"/>
        <w:spacing w:before="93" w:line="560" w:lineRule="exact"/>
        <w:rPr>
          <w:rFonts w:hint="eastAsia" w:ascii="仿宋" w:hAnsi="仿宋" w:eastAsia="仿宋"/>
          <w:color w:val="000000"/>
          <w:sz w:val="32"/>
          <w:szCs w:val="32"/>
          <w:lang w:val="en-US" w:eastAsia="zh-CN"/>
        </w:rPr>
      </w:pPr>
    </w:p>
    <w:p>
      <w:pPr>
        <w:pStyle w:val="6"/>
        <w:pageBreakBefore w:val="0"/>
        <w:kinsoku/>
        <w:wordWrap/>
        <w:overflowPunct/>
        <w:topLinePunct w:val="0"/>
        <w:bidi w:val="0"/>
        <w:spacing w:before="93" w:line="560" w:lineRule="exact"/>
        <w:ind w:firstLine="640" w:firstLineChars="200"/>
        <w:rPr>
          <w:rFonts w:hint="eastAsia" w:ascii="仿宋" w:hAnsi="仿宋" w:eastAsia="仿宋"/>
          <w:color w:val="000000"/>
          <w:sz w:val="32"/>
          <w:szCs w:val="32"/>
          <w:lang w:val="en-US" w:eastAsia="zh-CN"/>
        </w:rPr>
      </w:pPr>
    </w:p>
    <w:p>
      <w:pPr>
        <w:pStyle w:val="6"/>
        <w:pageBreakBefore w:val="0"/>
        <w:kinsoku/>
        <w:wordWrap/>
        <w:overflowPunct/>
        <w:topLinePunct w:val="0"/>
        <w:bidi w:val="0"/>
        <w:spacing w:before="93" w:line="560" w:lineRule="exact"/>
        <w:ind w:firstLine="640" w:firstLineChars="200"/>
        <w:rPr>
          <w:rFonts w:hint="default" w:ascii="仿宋" w:hAnsi="仿宋" w:eastAsia="仿宋"/>
          <w:color w:val="000000"/>
          <w:sz w:val="32"/>
          <w:szCs w:val="32"/>
          <w:lang w:val="en-US" w:eastAsia="zh-CN"/>
        </w:rPr>
      </w:pPr>
    </w:p>
    <w:p>
      <w:pPr>
        <w:pStyle w:val="29"/>
        <w:pageBreakBefore w:val="0"/>
        <w:numPr>
          <w:ilvl w:val="0"/>
          <w:numId w:val="0"/>
        </w:numPr>
        <w:kinsoku/>
        <w:wordWrap/>
        <w:overflowPunct/>
        <w:topLinePunct w:val="0"/>
        <w:bidi w:val="0"/>
        <w:spacing w:line="560" w:lineRule="exact"/>
        <w:outlineLvl w:val="1"/>
        <w:rPr>
          <w:rFonts w:hint="eastAsia" w:ascii="黑体" w:hAnsi="黑体" w:eastAsia="黑体"/>
          <w:color w:val="000000"/>
          <w:sz w:val="32"/>
          <w:szCs w:val="32"/>
          <w:lang w:val="en-US" w:eastAsia="zh-CN"/>
        </w:rPr>
      </w:pPr>
      <w:bookmarkStart w:id="26" w:name="_Toc15396604"/>
      <w:bookmarkStart w:id="27" w:name="_Toc15377206"/>
    </w:p>
    <w:p>
      <w:pPr>
        <w:pStyle w:val="29"/>
        <w:pageBreakBefore w:val="0"/>
        <w:numPr>
          <w:ilvl w:val="0"/>
          <w:numId w:val="0"/>
        </w:numPr>
        <w:kinsoku/>
        <w:wordWrap/>
        <w:overflowPunct/>
        <w:topLinePunct w:val="0"/>
        <w:bidi w:val="0"/>
        <w:spacing w:line="560" w:lineRule="exact"/>
        <w:outlineLvl w:val="1"/>
        <w:rPr>
          <w:rFonts w:hint="eastAsia" w:ascii="黑体" w:hAnsi="黑体" w:eastAsia="黑体"/>
          <w:color w:val="000000"/>
          <w:sz w:val="32"/>
          <w:szCs w:val="32"/>
          <w:lang w:val="en-US" w:eastAsia="zh-CN"/>
        </w:rPr>
      </w:pPr>
    </w:p>
    <w:p>
      <w:pPr>
        <w:pStyle w:val="29"/>
        <w:pageBreakBefore w:val="0"/>
        <w:numPr>
          <w:ilvl w:val="0"/>
          <w:numId w:val="0"/>
        </w:numPr>
        <w:kinsoku/>
        <w:wordWrap/>
        <w:overflowPunct/>
        <w:topLinePunct w:val="0"/>
        <w:bidi w:val="0"/>
        <w:spacing w:line="560" w:lineRule="exact"/>
        <w:ind w:firstLine="640" w:firstLineChars="200"/>
        <w:outlineLvl w:val="1"/>
        <w:rPr>
          <w:rFonts w:ascii="仿宋" w:hAnsi="仿宋" w:eastAsia="仿宋"/>
          <w:color w:val="000000"/>
          <w:sz w:val="32"/>
          <w:szCs w:val="32"/>
        </w:rPr>
      </w:pPr>
      <w:r>
        <w:rPr>
          <w:rFonts w:hint="eastAsia" w:ascii="黑体" w:hAnsi="黑体" w:eastAsia="黑体"/>
          <w:color w:val="000000"/>
          <w:sz w:val="32"/>
          <w:szCs w:val="32"/>
          <w:lang w:val="en-US" w:eastAsia="zh-CN"/>
        </w:rPr>
        <w:t>二、</w:t>
      </w:r>
      <w:r>
        <w:rPr>
          <w:rFonts w:hint="eastAsia" w:ascii="黑体" w:hAnsi="黑体" w:eastAsia="黑体"/>
          <w:color w:val="000000"/>
          <w:sz w:val="32"/>
          <w:szCs w:val="32"/>
        </w:rPr>
        <w:t>收</w:t>
      </w:r>
      <w:r>
        <w:rPr>
          <w:rStyle w:val="19"/>
          <w:rFonts w:hint="eastAsia" w:ascii="黑体" w:hAnsi="黑体" w:eastAsia="黑体"/>
          <w:b w:val="0"/>
        </w:rPr>
        <w:t>入决算情况说明</w:t>
      </w:r>
      <w:bookmarkEnd w:id="26"/>
      <w:bookmarkEnd w:id="27"/>
    </w:p>
    <w:p>
      <w:pPr>
        <w:pageBreakBefore w:val="0"/>
        <w:kinsoku/>
        <w:wordWrap/>
        <w:overflowPunct/>
        <w:topLinePunct w:val="0"/>
        <w:bidi w:val="0"/>
        <w:spacing w:line="56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年收入合计</w:t>
      </w:r>
      <w:r>
        <w:rPr>
          <w:rFonts w:hint="eastAsia" w:ascii="仿宋" w:hAnsi="仿宋" w:eastAsia="仿宋"/>
          <w:color w:val="000000"/>
          <w:sz w:val="32"/>
          <w:szCs w:val="32"/>
          <w:lang w:val="en-US" w:eastAsia="zh-CN"/>
        </w:rPr>
        <w:t>819.99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795.22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24.77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3.02</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pacing w:line="560" w:lineRule="exact"/>
        <w:outlineLvl w:val="1"/>
        <w:rPr>
          <w:rFonts w:hint="eastAsia" w:ascii="黑体" w:hAnsi="黑体" w:eastAsia="黑体"/>
          <w:color w:val="000000"/>
          <w:sz w:val="32"/>
          <w:szCs w:val="32"/>
        </w:rPr>
      </w:pPr>
      <w:r>
        <w:rPr>
          <w:rFonts w:hint="eastAsia" w:ascii="仿宋" w:hAnsi="仿宋" w:eastAsia="仿宋"/>
          <w:color w:val="000000"/>
          <w:sz w:val="32"/>
          <w:szCs w:val="32"/>
          <w:lang w:eastAsia="zh-CN"/>
        </w:rPr>
        <w:pict>
          <v:shape id="_x0000_s1034" o:spid="_x0000_s1034" o:spt="75" type="#_x0000_t75" style="position:absolute;left:0pt;margin-left:3.5pt;margin-top:8.9pt;height:222.75pt;width:399.75pt;mso-wrap-distance-bottom:0pt;mso-wrap-distance-left:9pt;mso-wrap-distance-right:9pt;mso-wrap-distance-top:0pt;z-index:251662336;mso-width-relative:page;mso-height-relative:page;" o:ole="t" filled="f" o:preferrelative="t" stroked="f" coordsize="21600,21600">
            <v:path/>
            <v:fill on="f" focussize="0,0"/>
            <v:stroke on="f"/>
            <v:imagedata r:id="rId11" o:title=""/>
            <o:lock v:ext="edit" aspectratio="t"/>
            <w10:wrap type="square"/>
          </v:shape>
          <o:OLEObject Type="Embed" ProgID="Excel.Chart.8" ShapeID="_x0000_s1034" DrawAspect="Content" ObjectID="_1468075726" r:id="rId10">
            <o:LockedField>false</o:LockedField>
          </o:OLEObject>
        </w:pict>
      </w:r>
      <w:bookmarkStart w:id="28" w:name="_Toc15377207"/>
      <w:bookmarkStart w:id="29" w:name="_Toc15396605"/>
    </w:p>
    <w:p>
      <w:pPr>
        <w:pStyle w:val="29"/>
        <w:pageBreakBefore w:val="0"/>
        <w:kinsoku/>
        <w:wordWrap/>
        <w:overflowPunct/>
        <w:topLinePunct w:val="0"/>
        <w:bidi w:val="0"/>
        <w:spacing w:line="560" w:lineRule="exact"/>
        <w:ind w:firstLine="640" w:firstLineChars="200"/>
        <w:outlineLvl w:val="1"/>
        <w:rPr>
          <w:rStyle w:val="19"/>
          <w:rFonts w:ascii="黑体" w:hAnsi="黑体" w:eastAsia="黑体"/>
          <w:b w:val="0"/>
        </w:rPr>
      </w:pPr>
      <w:r>
        <w:rPr>
          <w:rFonts w:hint="eastAsia" w:ascii="黑体" w:hAnsi="黑体" w:eastAsia="黑体"/>
          <w:color w:val="000000"/>
          <w:sz w:val="32"/>
          <w:szCs w:val="32"/>
        </w:rPr>
        <w:t>三、支</w:t>
      </w:r>
      <w:r>
        <w:rPr>
          <w:rStyle w:val="19"/>
          <w:rFonts w:hint="eastAsia" w:ascii="黑体" w:hAnsi="黑体" w:eastAsia="黑体"/>
          <w:b w:val="0"/>
        </w:rPr>
        <w:t>出决算情况说明</w:t>
      </w:r>
      <w:bookmarkEnd w:id="28"/>
      <w:bookmarkEnd w:id="29"/>
    </w:p>
    <w:p>
      <w:pPr>
        <w:pageBreakBefore w:val="0"/>
        <w:kinsoku/>
        <w:wordWrap/>
        <w:overflowPunct/>
        <w:topLinePunct w:val="0"/>
        <w:bidi w:val="0"/>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pict>
          <v:shape id="_x0000_s1035" o:spid="_x0000_s1035" o:spt="75" type="#_x0000_t75" style="position:absolute;left:0pt;margin-left:16.25pt;margin-top:113.7pt;height:127.9pt;width:381.75pt;mso-wrap-distance-bottom:0pt;mso-wrap-distance-left:9pt;mso-wrap-distance-right:9pt;mso-wrap-distance-top:0pt;z-index:251663360;mso-width-relative:page;mso-height-relative:page;" o:ole="t" filled="f" o:preferrelative="t" stroked="f" coordsize="21600,21600">
            <v:path/>
            <v:fill on="f" focussize="0,0"/>
            <v:stroke on="f"/>
            <v:imagedata r:id="rId13" o:title=""/>
            <o:lock v:ext="edit" aspectratio="t"/>
            <w10:wrap type="square"/>
          </v:shape>
          <o:OLEObject Type="Embed" ProgID="Excel.Chart.8" ShapeID="_x0000_s1035" DrawAspect="Content" ObjectID="_1468075727" r:id="rId12">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_GB2312" w:hAnsi="仿宋" w:eastAsia="仿宋_GB2312"/>
          <w:spacing w:val="-2"/>
          <w:sz w:val="32"/>
          <w:szCs w:val="32"/>
          <w:lang w:val="en-US" w:eastAsia="zh-CN"/>
        </w:rPr>
        <w:t>2278.05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362.18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15.9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1915.87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84.1</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pageBreakBefore w:val="0"/>
        <w:numPr>
          <w:ilvl w:val="0"/>
          <w:numId w:val="0"/>
        </w:numPr>
        <w:kinsoku/>
        <w:wordWrap/>
        <w:overflowPunct/>
        <w:topLinePunct w:val="0"/>
        <w:bidi w:val="0"/>
        <w:spacing w:line="560" w:lineRule="exact"/>
        <w:ind w:firstLine="640" w:firstLineChars="200"/>
        <w:rPr>
          <w:rFonts w:hint="eastAsia" w:ascii="黑体" w:hAnsi="黑体" w:eastAsia="黑体"/>
          <w:color w:val="000000"/>
          <w:sz w:val="32"/>
          <w:szCs w:val="32"/>
          <w:lang w:val="en-US" w:eastAsia="zh-CN"/>
        </w:rPr>
      </w:pPr>
      <w:bookmarkStart w:id="30" w:name="_Toc15396606"/>
      <w:bookmarkStart w:id="31" w:name="_Toc15377208"/>
    </w:p>
    <w:p>
      <w:pPr>
        <w:pageBreakBefore w:val="0"/>
        <w:numPr>
          <w:ilvl w:val="0"/>
          <w:numId w:val="0"/>
        </w:numPr>
        <w:kinsoku/>
        <w:wordWrap/>
        <w:overflowPunct/>
        <w:topLinePunct w:val="0"/>
        <w:bidi w:val="0"/>
        <w:spacing w:line="560" w:lineRule="exact"/>
        <w:ind w:firstLine="640" w:firstLineChars="200"/>
        <w:rPr>
          <w:rStyle w:val="19"/>
          <w:rFonts w:ascii="黑体" w:hAnsi="黑体" w:eastAsia="黑体"/>
          <w:b w:val="0"/>
        </w:rPr>
      </w:pPr>
      <w:r>
        <w:rPr>
          <w:rFonts w:hint="eastAsia" w:ascii="黑体" w:hAnsi="黑体" w:eastAsia="黑体"/>
          <w:color w:val="000000"/>
          <w:sz w:val="32"/>
          <w:szCs w:val="32"/>
          <w:lang w:val="en-US" w:eastAsia="zh-CN"/>
        </w:rPr>
        <w:t>四、</w:t>
      </w:r>
      <w:r>
        <w:rPr>
          <w:rFonts w:hint="eastAsia" w:ascii="黑体" w:hAnsi="黑体" w:eastAsia="黑体"/>
          <w:color w:val="000000"/>
          <w:sz w:val="32"/>
          <w:szCs w:val="32"/>
        </w:rPr>
        <w:t>财</w:t>
      </w:r>
      <w:r>
        <w:rPr>
          <w:rStyle w:val="19"/>
          <w:rFonts w:hint="eastAsia" w:ascii="黑体" w:hAnsi="黑体" w:eastAsia="黑体"/>
          <w:b w:val="0"/>
        </w:rPr>
        <w:t>政拨款收入支出决算总体情况说明</w:t>
      </w:r>
      <w:bookmarkEnd w:id="30"/>
      <w:bookmarkEnd w:id="31"/>
    </w:p>
    <w:p>
      <w:pPr>
        <w:pStyle w:val="6"/>
        <w:pageBreakBefore w:val="0"/>
        <w:kinsoku/>
        <w:wordWrap/>
        <w:overflowPunct/>
        <w:topLinePunct w:val="0"/>
        <w:bidi w:val="0"/>
        <w:spacing w:before="93" w:line="56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795.22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较上年收入增加</w:t>
      </w:r>
      <w:r>
        <w:rPr>
          <w:rFonts w:hint="eastAsia" w:ascii="仿宋" w:hAnsi="仿宋" w:eastAsia="仿宋"/>
          <w:color w:val="000000"/>
          <w:sz w:val="32"/>
          <w:szCs w:val="32"/>
          <w:lang w:val="en-US" w:eastAsia="zh-CN"/>
        </w:rPr>
        <w:t>425.34万元，增加53.49%。增加原因为2019年项目收入增加，</w:t>
      </w:r>
      <w:r>
        <w:rPr>
          <w:rFonts w:hint="eastAsia" w:ascii="仿宋" w:hAnsi="仿宋" w:eastAsia="仿宋"/>
          <w:color w:val="000000"/>
          <w:sz w:val="32"/>
          <w:szCs w:val="32"/>
        </w:rPr>
        <w:t>2018年</w:t>
      </w:r>
      <w:r>
        <w:rPr>
          <w:rFonts w:hint="eastAsia" w:ascii="仿宋" w:hAnsi="仿宋" w:eastAsia="仿宋"/>
          <w:color w:val="000000"/>
          <w:sz w:val="32"/>
          <w:szCs w:val="32"/>
          <w:lang w:eastAsia="zh-CN"/>
        </w:rPr>
        <w:t>项目收入在行政核算。财政拨款支出总计</w:t>
      </w:r>
      <w:r>
        <w:rPr>
          <w:rFonts w:hint="eastAsia" w:ascii="仿宋" w:hAnsi="仿宋" w:eastAsia="仿宋"/>
          <w:color w:val="000000"/>
          <w:sz w:val="32"/>
          <w:szCs w:val="32"/>
          <w:lang w:val="en-US" w:eastAsia="zh-CN"/>
        </w:rPr>
        <w:t>2253.28万元，较上年支出增加1883.4万元，增加支出原因为2019年增加项目支出。</w:t>
      </w:r>
    </w:p>
    <w:p>
      <w:pPr>
        <w:pStyle w:val="6"/>
        <w:pageBreakBefore w:val="0"/>
        <w:kinsoku/>
        <w:wordWrap/>
        <w:overflowPunct/>
        <w:topLinePunct w:val="0"/>
        <w:bidi w:val="0"/>
        <w:spacing w:before="93" w:line="560" w:lineRule="exact"/>
        <w:ind w:firstLine="640" w:firstLineChars="200"/>
        <w:rPr>
          <w:rStyle w:val="19"/>
          <w:rFonts w:ascii="黑体" w:hAnsi="黑体" w:eastAsia="黑体"/>
          <w:b w:val="0"/>
        </w:rPr>
      </w:pPr>
      <w:bookmarkStart w:id="32" w:name="_Toc15396607"/>
      <w:bookmarkStart w:id="33" w:name="_Toc15377209"/>
      <w:r>
        <w:rPr>
          <w:rStyle w:val="19"/>
          <w:rFonts w:hint="eastAsia" w:ascii="黑体" w:hAnsi="黑体" w:eastAsia="黑体"/>
          <w:b w:val="0"/>
        </w:rPr>
        <w:t>五、一般公共预算财政拨款支出决算情况说明</w:t>
      </w:r>
      <w:bookmarkEnd w:id="32"/>
      <w:bookmarkEnd w:id="33"/>
    </w:p>
    <w:p>
      <w:pPr>
        <w:pageBreakBefore w:val="0"/>
        <w:kinsoku/>
        <w:wordWrap/>
        <w:overflowPunct/>
        <w:topLinePunct w:val="0"/>
        <w:bidi w:val="0"/>
        <w:spacing w:line="56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pStyle w:val="6"/>
        <w:pageBreakBefore w:val="0"/>
        <w:kinsoku/>
        <w:wordWrap/>
        <w:overflowPunct/>
        <w:topLinePunct w:val="0"/>
        <w:bidi w:val="0"/>
        <w:spacing w:before="93" w:line="560" w:lineRule="exact"/>
        <w:ind w:firstLine="640" w:firstLineChars="200"/>
        <w:rPr>
          <w:rFonts w:hint="eastAsia" w:ascii="仿宋" w:hAnsi="仿宋" w:eastAsia="仿宋"/>
          <w:color w:val="FF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2253.28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98.91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较上年支出增加1883.4万元，</w:t>
      </w:r>
      <w:r>
        <w:rPr>
          <w:rFonts w:hint="eastAsia" w:ascii="仿宋" w:hAnsi="仿宋" w:eastAsia="仿宋"/>
          <w:color w:val="auto"/>
          <w:sz w:val="32"/>
          <w:szCs w:val="32"/>
          <w:lang w:val="en-US" w:eastAsia="zh-CN"/>
        </w:rPr>
        <w:t>增加支出原因为2019年增加项目支出。</w:t>
      </w:r>
    </w:p>
    <w:p>
      <w:pPr>
        <w:pageBreakBefore w:val="0"/>
        <w:kinsoku/>
        <w:wordWrap/>
        <w:overflowPunct/>
        <w:topLinePunct w:val="0"/>
        <w:bidi w:val="0"/>
        <w:spacing w:line="56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pageBreakBefore w:val="0"/>
        <w:kinsoku/>
        <w:wordWrap/>
        <w:overflowPunct/>
        <w:topLinePunct w:val="0"/>
        <w:bidi w:val="0"/>
        <w:spacing w:line="560" w:lineRule="exact"/>
        <w:ind w:firstLine="640" w:firstLineChars="200"/>
        <w:rPr>
          <w:rFonts w:hint="eastAsia" w:ascii="仿宋" w:hAnsi="仿宋" w:eastAsia="仿宋"/>
          <w:b w:val="0"/>
          <w:bCs/>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2253.28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1701.12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75.49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国防支出</w:t>
      </w:r>
      <w:r>
        <w:rPr>
          <w:rFonts w:hint="eastAsia" w:ascii="仿宋" w:hAnsi="仿宋" w:eastAsia="仿宋"/>
          <w:color w:val="000000"/>
          <w:sz w:val="32"/>
          <w:szCs w:val="32"/>
          <w:lang w:val="en-US" w:eastAsia="zh-CN"/>
        </w:rPr>
        <w:t>465.81万元，占20.67%；</w:t>
      </w:r>
      <w:r>
        <w:rPr>
          <w:rFonts w:hint="eastAsia" w:ascii="仿宋" w:hAnsi="仿宋" w:eastAsia="仿宋"/>
          <w:b/>
          <w:color w:val="000000"/>
          <w:sz w:val="32"/>
          <w:szCs w:val="32"/>
        </w:rPr>
        <w:t>社会保障和就业（类）支出</w:t>
      </w:r>
      <w:r>
        <w:rPr>
          <w:rFonts w:hint="eastAsia" w:ascii="仿宋" w:hAnsi="仿宋" w:eastAsia="仿宋"/>
          <w:color w:val="000000"/>
          <w:sz w:val="32"/>
          <w:szCs w:val="32"/>
          <w:lang w:val="en-US" w:eastAsia="zh-CN"/>
        </w:rPr>
        <w:t>41.15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卫生</w:t>
      </w:r>
      <w:r>
        <w:rPr>
          <w:rFonts w:hint="eastAsia" w:ascii="仿宋" w:hAnsi="仿宋" w:eastAsia="仿宋"/>
          <w:b/>
          <w:color w:val="000000"/>
          <w:sz w:val="32"/>
          <w:szCs w:val="32"/>
          <w:lang w:eastAsia="zh-CN"/>
        </w:rPr>
        <w:t>健康</w:t>
      </w:r>
      <w:r>
        <w:rPr>
          <w:rFonts w:hint="eastAsia" w:ascii="仿宋" w:hAnsi="仿宋" w:eastAsia="仿宋"/>
          <w:b/>
          <w:color w:val="000000"/>
          <w:sz w:val="32"/>
          <w:szCs w:val="32"/>
        </w:rPr>
        <w:t>支出</w:t>
      </w:r>
      <w:r>
        <w:rPr>
          <w:rFonts w:hint="eastAsia" w:ascii="仿宋" w:hAnsi="仿宋" w:eastAsia="仿宋"/>
          <w:b w:val="0"/>
          <w:bCs/>
          <w:color w:val="000000"/>
          <w:sz w:val="32"/>
          <w:szCs w:val="32"/>
          <w:lang w:val="en-US" w:eastAsia="zh-CN"/>
        </w:rPr>
        <w:t>18.61</w:t>
      </w:r>
      <w:r>
        <w:rPr>
          <w:rFonts w:hint="eastAsia" w:ascii="仿宋" w:hAnsi="仿宋" w:eastAsia="仿宋"/>
          <w:b w:val="0"/>
          <w:bCs/>
          <w:color w:val="000000"/>
          <w:sz w:val="32"/>
          <w:szCs w:val="32"/>
        </w:rPr>
        <w:t>万元，占</w:t>
      </w:r>
      <w:r>
        <w:rPr>
          <w:rFonts w:hint="eastAsia" w:ascii="仿宋" w:hAnsi="仿宋" w:eastAsia="仿宋"/>
          <w:b w:val="0"/>
          <w:bCs/>
          <w:color w:val="000000"/>
          <w:sz w:val="32"/>
          <w:szCs w:val="32"/>
          <w:lang w:val="en-US" w:eastAsia="zh-CN"/>
        </w:rPr>
        <w:t>0.83</w:t>
      </w:r>
      <w:r>
        <w:rPr>
          <w:rFonts w:hint="eastAsia" w:ascii="仿宋" w:hAnsi="仿宋" w:eastAsia="仿宋"/>
          <w:b w:val="0"/>
          <w:bCs/>
          <w:color w:val="000000"/>
          <w:sz w:val="32"/>
          <w:szCs w:val="32"/>
        </w:rPr>
        <w:t>%；</w:t>
      </w:r>
      <w:r>
        <w:rPr>
          <w:rFonts w:hint="eastAsia" w:ascii="仿宋" w:hAnsi="仿宋" w:eastAsia="仿宋"/>
          <w:b/>
          <w:color w:val="000000"/>
          <w:sz w:val="32"/>
          <w:szCs w:val="32"/>
        </w:rPr>
        <w:t>住房保障支出</w:t>
      </w:r>
      <w:r>
        <w:rPr>
          <w:rFonts w:hint="eastAsia" w:ascii="仿宋" w:hAnsi="仿宋" w:eastAsia="仿宋"/>
          <w:b w:val="0"/>
          <w:bCs/>
          <w:color w:val="000000"/>
          <w:sz w:val="32"/>
          <w:szCs w:val="32"/>
          <w:lang w:val="en-US" w:eastAsia="zh-CN"/>
        </w:rPr>
        <w:t>26.59</w:t>
      </w:r>
      <w:r>
        <w:rPr>
          <w:rFonts w:hint="eastAsia" w:ascii="仿宋" w:hAnsi="仿宋" w:eastAsia="仿宋"/>
          <w:b w:val="0"/>
          <w:bCs/>
          <w:color w:val="000000"/>
          <w:sz w:val="32"/>
          <w:szCs w:val="32"/>
        </w:rPr>
        <w:t>万元，占</w:t>
      </w:r>
      <w:r>
        <w:rPr>
          <w:rFonts w:hint="eastAsia" w:ascii="仿宋" w:hAnsi="仿宋" w:eastAsia="仿宋"/>
          <w:b w:val="0"/>
          <w:bCs/>
          <w:color w:val="000000"/>
          <w:sz w:val="32"/>
          <w:szCs w:val="32"/>
          <w:lang w:val="en-US" w:eastAsia="zh-CN"/>
        </w:rPr>
        <w:t>1.18</w:t>
      </w:r>
      <w:r>
        <w:rPr>
          <w:rFonts w:hint="eastAsia" w:ascii="仿宋" w:hAnsi="仿宋" w:eastAsia="仿宋"/>
          <w:b w:val="0"/>
          <w:bCs/>
          <w:color w:val="000000"/>
          <w:sz w:val="32"/>
          <w:szCs w:val="32"/>
        </w:rPr>
        <w:t>%。</w:t>
      </w:r>
    </w:p>
    <w:p>
      <w:pPr>
        <w:pageBreakBefore w:val="0"/>
        <w:kinsoku/>
        <w:wordWrap/>
        <w:overflowPunct/>
        <w:topLinePunct w:val="0"/>
        <w:bidi w:val="0"/>
        <w:spacing w:line="560" w:lineRule="exact"/>
        <w:ind w:firstLine="640" w:firstLineChars="200"/>
        <w:rPr>
          <w:rFonts w:hint="eastAsia" w:ascii="仿宋" w:hAnsi="仿宋" w:eastAsia="仿宋"/>
          <w:b w:val="0"/>
          <w:bCs/>
          <w:color w:val="000000"/>
          <w:sz w:val="32"/>
          <w:szCs w:val="32"/>
          <w:lang w:eastAsia="zh-CN"/>
        </w:rPr>
      </w:pPr>
      <w:r>
        <w:rPr>
          <w:rFonts w:hint="eastAsia" w:ascii="仿宋" w:hAnsi="仿宋" w:eastAsia="仿宋"/>
          <w:b w:val="0"/>
          <w:bCs/>
          <w:color w:val="000000"/>
          <w:sz w:val="32"/>
          <w:szCs w:val="32"/>
          <w:lang w:eastAsia="zh-CN"/>
        </w:rPr>
        <w:pict>
          <v:shape id="_x0000_s1036" o:spid="_x0000_s1036" o:spt="75" type="#_x0000_t75" style="position:absolute;left:0pt;margin-left:32.75pt;margin-top:8.2pt;height:210.7pt;width:351.8pt;mso-wrap-distance-bottom:0pt;mso-wrap-distance-left:9pt;mso-wrap-distance-right:9pt;mso-wrap-distance-top:0pt;z-index:251664384;mso-width-relative:page;mso-height-relative:page;" o:ole="t" filled="f" o:preferrelative="t" stroked="f" coordsize="21600,21600">
            <v:path/>
            <v:fill on="f" focussize="0,0"/>
            <v:stroke on="f"/>
            <v:imagedata r:id="rId15" o:title=""/>
            <o:lock v:ext="edit" aspectratio="t"/>
            <w10:wrap type="square"/>
          </v:shape>
          <o:OLEObject Type="Embed" ProgID="Excel.Chart.8" ShapeID="_x0000_s1036" DrawAspect="Content" ObjectID="_1468075728" r:id="rId14">
            <o:LockedField>false</o:LockedField>
          </o:OLEObject>
        </w:pict>
      </w:r>
    </w:p>
    <w:p>
      <w:pPr>
        <w:pageBreakBefore w:val="0"/>
        <w:kinsoku/>
        <w:wordWrap/>
        <w:overflowPunct/>
        <w:topLinePunct w:val="0"/>
        <w:bidi w:val="0"/>
        <w:spacing w:line="560" w:lineRule="exact"/>
        <w:ind w:firstLine="640" w:firstLineChars="200"/>
        <w:rPr>
          <w:rFonts w:hint="eastAsia" w:ascii="仿宋" w:hAnsi="仿宋" w:eastAsia="仿宋"/>
          <w:b w:val="0"/>
          <w:bCs/>
          <w:color w:val="000000"/>
          <w:sz w:val="32"/>
          <w:szCs w:val="32"/>
          <w:lang w:eastAsia="zh-CN"/>
        </w:rPr>
      </w:pPr>
    </w:p>
    <w:p>
      <w:pPr>
        <w:pageBreakBefore w:val="0"/>
        <w:kinsoku/>
        <w:wordWrap/>
        <w:overflowPunct/>
        <w:topLinePunct w:val="0"/>
        <w:bidi w:val="0"/>
        <w:spacing w:line="560" w:lineRule="exact"/>
        <w:ind w:firstLine="640" w:firstLineChars="200"/>
        <w:rPr>
          <w:rFonts w:hint="eastAsia" w:ascii="仿宋" w:hAnsi="仿宋" w:eastAsia="仿宋"/>
          <w:b w:val="0"/>
          <w:bCs/>
          <w:color w:val="000000"/>
          <w:sz w:val="32"/>
          <w:szCs w:val="32"/>
          <w:lang w:eastAsia="zh-CN"/>
        </w:rPr>
      </w:pPr>
    </w:p>
    <w:p>
      <w:pPr>
        <w:pageBreakBefore w:val="0"/>
        <w:kinsoku/>
        <w:wordWrap/>
        <w:overflowPunct/>
        <w:topLinePunct w:val="0"/>
        <w:bidi w:val="0"/>
        <w:spacing w:line="560" w:lineRule="exact"/>
        <w:ind w:firstLine="640" w:firstLineChars="200"/>
        <w:rPr>
          <w:rFonts w:hint="eastAsia" w:ascii="仿宋" w:hAnsi="仿宋" w:eastAsia="仿宋"/>
          <w:b w:val="0"/>
          <w:bCs/>
          <w:color w:val="000000"/>
          <w:sz w:val="32"/>
          <w:szCs w:val="32"/>
          <w:lang w:eastAsia="zh-CN"/>
        </w:rPr>
      </w:pPr>
    </w:p>
    <w:p>
      <w:pPr>
        <w:pageBreakBefore w:val="0"/>
        <w:kinsoku/>
        <w:wordWrap/>
        <w:overflowPunct/>
        <w:topLinePunct w:val="0"/>
        <w:bidi w:val="0"/>
        <w:spacing w:line="56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pageBreakBefore w:val="0"/>
        <w:kinsoku/>
        <w:wordWrap/>
        <w:overflowPunct/>
        <w:topLinePunct w:val="0"/>
        <w:bidi w:val="0"/>
        <w:spacing w:line="560" w:lineRule="exact"/>
        <w:ind w:firstLine="640" w:firstLineChars="200"/>
        <w:outlineLvl w:val="2"/>
        <w:rPr>
          <w:rFonts w:ascii="仿宋" w:hAnsi="仿宋" w:eastAsia="仿宋"/>
          <w:b w:val="0"/>
          <w:bCs/>
          <w:color w:val="FF0000"/>
          <w:sz w:val="32"/>
          <w:szCs w:val="32"/>
        </w:rPr>
      </w:pPr>
      <w:bookmarkStart w:id="37" w:name="_Toc15377444"/>
      <w:bookmarkStart w:id="38" w:name="_Toc15377213"/>
      <w:bookmarkStart w:id="39" w:name="_Toc15378460"/>
      <w:r>
        <w:rPr>
          <w:rFonts w:ascii="仿宋" w:hAnsi="仿宋" w:eastAsia="仿宋"/>
          <w:b w:val="0"/>
          <w:bCs/>
          <w:color w:val="000000"/>
          <w:sz w:val="32"/>
          <w:szCs w:val="32"/>
        </w:rPr>
        <w:t>201</w:t>
      </w:r>
      <w:r>
        <w:rPr>
          <w:rFonts w:hint="eastAsia" w:ascii="仿宋" w:hAnsi="仿宋" w:eastAsia="仿宋"/>
          <w:b w:val="0"/>
          <w:bCs/>
          <w:color w:val="000000"/>
          <w:sz w:val="32"/>
          <w:szCs w:val="32"/>
          <w:lang w:val="en-US" w:eastAsia="zh-CN"/>
        </w:rPr>
        <w:t>9</w:t>
      </w:r>
      <w:r>
        <w:rPr>
          <w:rFonts w:hint="eastAsia" w:ascii="仿宋" w:hAnsi="仿宋" w:eastAsia="仿宋"/>
          <w:b w:val="0"/>
          <w:bCs/>
          <w:color w:val="000000"/>
          <w:sz w:val="32"/>
          <w:szCs w:val="32"/>
        </w:rPr>
        <w:t>年</w:t>
      </w:r>
      <w:r>
        <w:rPr>
          <w:rFonts w:hint="eastAsia" w:ascii="仿宋" w:hAnsi="仿宋" w:eastAsia="仿宋"/>
          <w:b w:val="0"/>
          <w:bCs/>
          <w:color w:val="000000"/>
          <w:sz w:val="32"/>
          <w:szCs w:val="32"/>
          <w:lang w:eastAsia="zh-CN"/>
        </w:rPr>
        <w:t>一</w:t>
      </w:r>
      <w:r>
        <w:rPr>
          <w:rFonts w:hint="eastAsia" w:ascii="仿宋" w:hAnsi="仿宋" w:eastAsia="仿宋"/>
          <w:b w:val="0"/>
          <w:bCs/>
          <w:color w:val="000000"/>
          <w:sz w:val="32"/>
          <w:szCs w:val="32"/>
        </w:rPr>
        <w:t>般公共预算</w:t>
      </w:r>
      <w:r>
        <w:rPr>
          <w:rFonts w:hint="eastAsia" w:ascii="仿宋" w:hAnsi="仿宋" w:eastAsia="仿宋"/>
          <w:b w:val="0"/>
          <w:bCs/>
          <w:color w:val="000000"/>
          <w:sz w:val="32"/>
          <w:szCs w:val="32"/>
          <w:lang w:val="en-US" w:eastAsia="zh-CN"/>
        </w:rPr>
        <w:t>数为2263.83万元，</w:t>
      </w:r>
      <w:r>
        <w:rPr>
          <w:rFonts w:hint="eastAsia" w:ascii="仿宋" w:hAnsi="仿宋" w:eastAsia="仿宋"/>
          <w:b w:val="0"/>
          <w:bCs/>
          <w:color w:val="000000"/>
          <w:sz w:val="32"/>
          <w:szCs w:val="32"/>
        </w:rPr>
        <w:t>支出决算数为</w:t>
      </w:r>
      <w:r>
        <w:rPr>
          <w:rFonts w:hint="eastAsia" w:ascii="仿宋" w:hAnsi="仿宋" w:eastAsia="仿宋"/>
          <w:b w:val="0"/>
          <w:bCs/>
          <w:color w:val="000000"/>
          <w:sz w:val="32"/>
          <w:szCs w:val="32"/>
          <w:lang w:val="en-US" w:eastAsia="zh-CN"/>
        </w:rPr>
        <w:t>2253.28万元</w:t>
      </w:r>
      <w:r>
        <w:rPr>
          <w:rFonts w:hint="eastAsia" w:ascii="仿宋" w:hAnsi="仿宋" w:eastAsia="仿宋"/>
          <w:b w:val="0"/>
          <w:bCs/>
          <w:color w:val="000000"/>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99.53</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结转下年10.55万元。</w:t>
      </w:r>
      <w:r>
        <w:rPr>
          <w:rStyle w:val="16"/>
          <w:rFonts w:hint="eastAsia" w:ascii="仿宋" w:hAnsi="仿宋" w:eastAsia="仿宋"/>
          <w:b w:val="0"/>
          <w:bCs/>
          <w:color w:val="000000"/>
          <w:sz w:val="32"/>
          <w:szCs w:val="32"/>
        </w:rPr>
        <w:t>其中：</w:t>
      </w:r>
      <w:bookmarkEnd w:id="37"/>
      <w:bookmarkEnd w:id="38"/>
      <w:bookmarkEnd w:id="39"/>
    </w:p>
    <w:p>
      <w:pPr>
        <w:pageBreakBefore w:val="0"/>
        <w:numPr>
          <w:ilvl w:val="0"/>
          <w:numId w:val="0"/>
        </w:numPr>
        <w:kinsoku/>
        <w:wordWrap/>
        <w:overflowPunct/>
        <w:topLinePunct w:val="0"/>
        <w:bidi w:val="0"/>
        <w:spacing w:line="56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1.</w:t>
      </w:r>
      <w:r>
        <w:rPr>
          <w:rStyle w:val="16"/>
          <w:rFonts w:hint="eastAsia" w:ascii="仿宋" w:hAnsi="仿宋" w:eastAsia="仿宋"/>
          <w:bCs/>
          <w:color w:val="000000"/>
          <w:sz w:val="32"/>
          <w:szCs w:val="32"/>
        </w:rPr>
        <w:t>一般公共服务（类）政府办公厅（室）及相关机构事务（款）事业运行（项）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275.83</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pageBreakBefore w:val="0"/>
        <w:kinsoku/>
        <w:wordWrap/>
        <w:overflowPunct/>
        <w:topLinePunct w:val="0"/>
        <w:bidi w:val="0"/>
        <w:spacing w:line="560" w:lineRule="exact"/>
        <w:ind w:firstLine="643" w:firstLineChars="200"/>
        <w:rPr>
          <w:rStyle w:val="16"/>
          <w:rFonts w:hint="default"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2.</w:t>
      </w:r>
      <w:r>
        <w:rPr>
          <w:rStyle w:val="16"/>
          <w:rFonts w:hint="eastAsia" w:ascii="仿宋" w:hAnsi="仿宋" w:eastAsia="仿宋"/>
          <w:bCs/>
          <w:color w:val="000000"/>
          <w:sz w:val="32"/>
          <w:szCs w:val="32"/>
        </w:rPr>
        <w:t>一般公共服务（类）政府办公厅（室）及相关机构事务（款）</w:t>
      </w:r>
      <w:r>
        <w:rPr>
          <w:rStyle w:val="16"/>
          <w:rFonts w:hint="eastAsia" w:ascii="仿宋" w:hAnsi="仿宋" w:eastAsia="仿宋"/>
          <w:bCs/>
          <w:color w:val="000000"/>
          <w:sz w:val="32"/>
          <w:szCs w:val="32"/>
          <w:lang w:eastAsia="zh-CN"/>
        </w:rPr>
        <w:t>其他政府办公厅（室）及相关机构事务支出</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1425.29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99.27</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 w:val="0"/>
          <w:bCs/>
          <w:color w:val="000000"/>
          <w:sz w:val="32"/>
          <w:szCs w:val="32"/>
          <w:lang w:val="en-US" w:eastAsia="zh-CN"/>
        </w:rPr>
        <w:t>结转下年10.55万元，为阿坝州政府公报制作印刷费尾款。</w:t>
      </w:r>
    </w:p>
    <w:p>
      <w:pPr>
        <w:pageBreakBefore w:val="0"/>
        <w:kinsoku/>
        <w:wordWrap/>
        <w:overflowPunct/>
        <w:topLinePunct w:val="0"/>
        <w:bidi w:val="0"/>
        <w:spacing w:line="56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eastAsia="zh-CN"/>
        </w:rPr>
        <w:t>国防支出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国防动员</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人民防空</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465.81</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pageBreakBefore w:val="0"/>
        <w:kinsoku/>
        <w:wordWrap/>
        <w:overflowPunct/>
        <w:topLinePunct w:val="0"/>
        <w:bidi w:val="0"/>
        <w:spacing w:line="56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4</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社会保障和就业（类）行政事业单位离退休（款）机关事业单位基本养老保险缴费支出（项）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28.16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pageBreakBefore w:val="0"/>
        <w:kinsoku/>
        <w:wordWrap/>
        <w:overflowPunct/>
        <w:topLinePunct w:val="0"/>
        <w:bidi w:val="0"/>
        <w:spacing w:line="56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社会保障和就业（类）行政事业单位离退休（款）机关事业单位基本职业年金缴费支出（项）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12.99</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pageBreakBefore w:val="0"/>
        <w:kinsoku/>
        <w:wordWrap/>
        <w:overflowPunct/>
        <w:topLinePunct w:val="0"/>
        <w:bidi w:val="0"/>
        <w:spacing w:line="56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6</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医疗卫生与计划生育（类）行政事业单位医疗（款）事业单位医疗（项）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15.49</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pageBreakBefore w:val="0"/>
        <w:kinsoku/>
        <w:wordWrap/>
        <w:overflowPunct/>
        <w:topLinePunct w:val="0"/>
        <w:bidi w:val="0"/>
        <w:spacing w:line="56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lang w:val="en-US" w:eastAsia="zh-CN"/>
        </w:rPr>
        <w:t>7</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医疗卫生与计划生育（类）行政事业单位医疗（款）其他行政事业单位医疗支出（项）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3.12</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pageBreakBefore w:val="0"/>
        <w:kinsoku/>
        <w:wordWrap/>
        <w:overflowPunct/>
        <w:topLinePunct w:val="0"/>
        <w:bidi w:val="0"/>
        <w:spacing w:line="560" w:lineRule="exact"/>
        <w:ind w:firstLine="643" w:firstLineChars="200"/>
        <w:rPr>
          <w:rStyle w:val="16"/>
          <w:rFonts w:ascii="仿宋" w:hAnsi="仿宋" w:eastAsia="仿宋"/>
          <w:bCs/>
          <w:color w:val="000000"/>
          <w:sz w:val="32"/>
          <w:szCs w:val="32"/>
        </w:rPr>
      </w:pPr>
      <w:r>
        <w:rPr>
          <w:rStyle w:val="16"/>
          <w:rFonts w:hint="eastAsia" w:ascii="仿宋" w:hAnsi="仿宋" w:eastAsia="仿宋"/>
          <w:bCs/>
          <w:color w:val="000000"/>
          <w:sz w:val="32"/>
          <w:szCs w:val="32"/>
          <w:lang w:val="en-US" w:eastAsia="zh-CN"/>
        </w:rPr>
        <w:t>8</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住房保障（类）住房改革支出（款）住房公积金（项）：</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26.59</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，决算数等于预算数。</w:t>
      </w:r>
    </w:p>
    <w:p>
      <w:pPr>
        <w:pageBreakBefore w:val="0"/>
        <w:tabs>
          <w:tab w:val="right" w:pos="8306"/>
        </w:tabs>
        <w:kinsoku/>
        <w:wordWrap/>
        <w:overflowPunct/>
        <w:topLinePunct w:val="0"/>
        <w:bidi w:val="0"/>
        <w:spacing w:line="560" w:lineRule="exact"/>
        <w:ind w:firstLine="640" w:firstLineChars="200"/>
        <w:outlineLvl w:val="1"/>
        <w:rPr>
          <w:rStyle w:val="19"/>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9"/>
          <w:rFonts w:hint="eastAsia" w:ascii="黑体" w:hAnsi="黑体" w:eastAsia="黑体"/>
          <w:b w:val="0"/>
        </w:rPr>
        <w:t>般公共预算财政拨款基本支出决算情况说明</w:t>
      </w:r>
      <w:bookmarkEnd w:id="40"/>
      <w:bookmarkEnd w:id="41"/>
      <w:r>
        <w:rPr>
          <w:rStyle w:val="19"/>
          <w:rFonts w:ascii="黑体" w:hAnsi="黑体" w:eastAsia="黑体"/>
          <w:b w:val="0"/>
        </w:rPr>
        <w:tab/>
      </w: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362.18</w:t>
      </w:r>
      <w:r>
        <w:rPr>
          <w:rFonts w:hint="eastAsia" w:ascii="仿宋" w:hAnsi="仿宋" w:eastAsia="仿宋"/>
          <w:color w:val="000000"/>
          <w:sz w:val="32"/>
          <w:szCs w:val="32"/>
        </w:rPr>
        <w:t>万元，其中：</w:t>
      </w:r>
    </w:p>
    <w:p>
      <w:pPr>
        <w:pageBreakBefore w:val="0"/>
        <w:kinsoku/>
        <w:wordWrap/>
        <w:overflowPunct/>
        <w:topLinePunct w:val="0"/>
        <w:bidi w:val="0"/>
        <w:spacing w:line="56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336.73</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73.23</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107.19</w:t>
      </w:r>
      <w:r>
        <w:rPr>
          <w:rFonts w:hint="eastAsia" w:ascii="仿宋" w:hAnsi="仿宋" w:eastAsia="仿宋"/>
          <w:color w:val="000000"/>
          <w:sz w:val="32"/>
          <w:szCs w:val="32"/>
        </w:rPr>
        <w:t>万元、绩效工资</w:t>
      </w:r>
      <w:r>
        <w:rPr>
          <w:rFonts w:hint="eastAsia" w:ascii="仿宋" w:hAnsi="仿宋" w:eastAsia="仿宋"/>
          <w:color w:val="000000"/>
          <w:sz w:val="32"/>
          <w:szCs w:val="32"/>
          <w:lang w:val="en-US" w:eastAsia="zh-CN"/>
        </w:rPr>
        <w:t>66.38</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28.16</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12.99</w:t>
      </w:r>
      <w:r>
        <w:rPr>
          <w:rFonts w:hint="eastAsia" w:ascii="仿宋" w:hAnsi="仿宋" w:eastAsia="仿宋"/>
          <w:color w:val="000000"/>
          <w:sz w:val="32"/>
          <w:szCs w:val="32"/>
        </w:rPr>
        <w:t>万元、职工基本医疗保险缴费</w:t>
      </w:r>
      <w:r>
        <w:rPr>
          <w:rFonts w:hint="eastAsia" w:ascii="仿宋" w:hAnsi="仿宋" w:eastAsia="仿宋"/>
          <w:color w:val="000000"/>
          <w:sz w:val="32"/>
          <w:szCs w:val="32"/>
          <w:lang w:val="en-US" w:eastAsia="zh-CN"/>
        </w:rPr>
        <w:t>15.49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3.12万元、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3.58</w:t>
      </w:r>
      <w:r>
        <w:rPr>
          <w:rFonts w:hint="eastAsia" w:ascii="仿宋" w:hAnsi="仿宋" w:eastAsia="仿宋"/>
          <w:color w:val="000000"/>
          <w:sz w:val="32"/>
          <w:szCs w:val="32"/>
        </w:rPr>
        <w:t>万元、住房公积金</w:t>
      </w:r>
      <w:r>
        <w:rPr>
          <w:rFonts w:hint="eastAsia" w:ascii="仿宋" w:hAnsi="仿宋" w:eastAsia="仿宋"/>
          <w:color w:val="000000"/>
          <w:sz w:val="32"/>
          <w:szCs w:val="32"/>
          <w:lang w:val="en-US" w:eastAsia="zh-CN"/>
        </w:rPr>
        <w:t>26.59</w:t>
      </w:r>
      <w:r>
        <w:rPr>
          <w:rFonts w:hint="eastAsia" w:ascii="仿宋" w:hAnsi="仿宋" w:eastAsia="仿宋"/>
          <w:color w:val="000000"/>
          <w:sz w:val="32"/>
          <w:szCs w:val="32"/>
        </w:rPr>
        <w:t>万元。</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25.45</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0.52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水费</w:t>
      </w:r>
      <w:r>
        <w:rPr>
          <w:rFonts w:hint="eastAsia" w:ascii="仿宋" w:hAnsi="仿宋" w:eastAsia="仿宋"/>
          <w:color w:val="000000"/>
          <w:sz w:val="32"/>
          <w:szCs w:val="32"/>
          <w:lang w:val="en-US" w:eastAsia="zh-CN"/>
        </w:rPr>
        <w:t>0.5万元、电费0.96万元、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15.73</w:t>
      </w:r>
      <w:r>
        <w:rPr>
          <w:rFonts w:hint="eastAsia" w:ascii="仿宋" w:hAnsi="仿宋" w:eastAsia="仿宋"/>
          <w:color w:val="000000"/>
          <w:sz w:val="32"/>
          <w:szCs w:val="32"/>
        </w:rPr>
        <w:t>万元、培训费</w:t>
      </w:r>
      <w:r>
        <w:rPr>
          <w:rFonts w:hint="eastAsia" w:ascii="仿宋" w:hAnsi="仿宋" w:eastAsia="仿宋"/>
          <w:color w:val="000000"/>
          <w:sz w:val="32"/>
          <w:szCs w:val="32"/>
          <w:lang w:val="en-US" w:eastAsia="zh-CN"/>
        </w:rPr>
        <w:t>7.41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、劳务费</w:t>
      </w:r>
      <w:r>
        <w:rPr>
          <w:rFonts w:hint="eastAsia" w:ascii="仿宋" w:hAnsi="仿宋" w:eastAsia="仿宋"/>
          <w:color w:val="000000"/>
          <w:sz w:val="32"/>
          <w:szCs w:val="32"/>
          <w:lang w:val="en-US" w:eastAsia="zh-CN"/>
        </w:rPr>
        <w:t>0.33万元。</w:t>
      </w:r>
    </w:p>
    <w:p>
      <w:pPr>
        <w:pageBreakBefore w:val="0"/>
        <w:kinsoku/>
        <w:wordWrap/>
        <w:overflowPunct/>
        <w:topLinePunct w:val="0"/>
        <w:bidi w:val="0"/>
        <w:spacing w:line="560" w:lineRule="exact"/>
        <w:ind w:firstLine="640" w:firstLineChars="200"/>
        <w:outlineLvl w:val="1"/>
        <w:rPr>
          <w:rStyle w:val="19"/>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19"/>
          <w:rFonts w:hint="eastAsia" w:ascii="黑体" w:hAnsi="黑体" w:eastAsia="黑体"/>
        </w:rPr>
        <w:t>“</w:t>
      </w:r>
      <w:r>
        <w:rPr>
          <w:rStyle w:val="19"/>
          <w:rFonts w:hint="eastAsia" w:ascii="黑体" w:hAnsi="黑体" w:eastAsia="黑体"/>
          <w:b w:val="0"/>
        </w:rPr>
        <w:t>三公”经费财政拨款支出决算情况说明</w:t>
      </w:r>
      <w:bookmarkEnd w:id="42"/>
      <w:bookmarkEnd w:id="43"/>
    </w:p>
    <w:p>
      <w:pPr>
        <w:pageBreakBefore w:val="0"/>
        <w:kinsoku/>
        <w:wordWrap/>
        <w:overflowPunct/>
        <w:topLinePunct w:val="0"/>
        <w:bidi w:val="0"/>
        <w:spacing w:line="56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w:t>
      </w:r>
      <w:r>
        <w:rPr>
          <w:rFonts w:hint="eastAsia" w:ascii="仿宋" w:hAnsi="仿宋" w:eastAsia="仿宋"/>
          <w:color w:val="000000"/>
          <w:sz w:val="32"/>
          <w:szCs w:val="32"/>
          <w:lang w:eastAsia="zh-CN"/>
        </w:rPr>
        <w:t>公务用车运行维护费</w:t>
      </w:r>
      <w:r>
        <w:rPr>
          <w:rFonts w:hint="eastAsia" w:ascii="仿宋" w:hAnsi="仿宋" w:eastAsia="仿宋"/>
          <w:color w:val="000000"/>
          <w:sz w:val="32"/>
          <w:szCs w:val="32"/>
        </w:rPr>
        <w:t>为</w:t>
      </w:r>
      <w:r>
        <w:rPr>
          <w:rFonts w:hint="eastAsia" w:ascii="仿宋" w:hAnsi="仿宋" w:eastAsia="仿宋"/>
          <w:color w:val="000000"/>
          <w:sz w:val="32"/>
          <w:szCs w:val="32"/>
          <w:lang w:val="en-US" w:eastAsia="zh-CN"/>
        </w:rPr>
        <w:t>1.98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主要是州人防办指挥用车运行费。2018年在行政单位统一核算。</w:t>
      </w:r>
    </w:p>
    <w:p>
      <w:pPr>
        <w:pageBreakBefore w:val="0"/>
        <w:kinsoku/>
        <w:wordWrap/>
        <w:overflowPunct/>
        <w:topLinePunct w:val="0"/>
        <w:bidi w:val="0"/>
        <w:spacing w:line="560" w:lineRule="exact"/>
        <w:ind w:firstLine="640" w:firstLineChars="200"/>
        <w:outlineLvl w:val="1"/>
        <w:rPr>
          <w:rStyle w:val="19"/>
          <w:rFonts w:ascii="黑体" w:hAnsi="黑体" w:eastAsia="黑体"/>
        </w:rPr>
      </w:pPr>
      <w:bookmarkStart w:id="44" w:name="_Toc15377218"/>
      <w:bookmarkStart w:id="45" w:name="_Toc15396610"/>
      <w:r>
        <w:rPr>
          <w:rFonts w:hint="eastAsia" w:ascii="黑体" w:eastAsia="黑体"/>
          <w:color w:val="000000"/>
          <w:sz w:val="32"/>
          <w:szCs w:val="32"/>
        </w:rPr>
        <w:t>八、</w:t>
      </w:r>
      <w:r>
        <w:rPr>
          <w:rStyle w:val="19"/>
          <w:rFonts w:hint="eastAsia" w:ascii="黑体" w:hAnsi="黑体" w:eastAsia="黑体"/>
          <w:b w:val="0"/>
        </w:rPr>
        <w:t>政府性基金预算支出决算情况说明</w:t>
      </w:r>
      <w:bookmarkEnd w:id="44"/>
      <w:bookmarkEnd w:id="45"/>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pageBreakBefore w:val="0"/>
        <w:numPr>
          <w:ilvl w:val="0"/>
          <w:numId w:val="3"/>
        </w:numPr>
        <w:kinsoku/>
        <w:wordWrap/>
        <w:overflowPunct/>
        <w:topLinePunct w:val="0"/>
        <w:bidi w:val="0"/>
        <w:spacing w:line="560" w:lineRule="exact"/>
        <w:ind w:firstLine="640" w:firstLineChars="200"/>
        <w:outlineLvl w:val="1"/>
        <w:rPr>
          <w:rStyle w:val="19"/>
          <w:rFonts w:ascii="黑体" w:hAnsi="黑体" w:eastAsia="黑体"/>
          <w:b w:val="0"/>
        </w:rPr>
      </w:pPr>
      <w:bookmarkStart w:id="46" w:name="_Toc15377219"/>
      <w:bookmarkStart w:id="47" w:name="_Toc15396611"/>
      <w:r>
        <w:rPr>
          <w:rStyle w:val="19"/>
          <w:rFonts w:hint="eastAsia" w:ascii="黑体" w:hAnsi="黑体" w:eastAsia="黑体"/>
          <w:b w:val="0"/>
        </w:rPr>
        <w:t>国有资本经营预算支出决算情况说明</w:t>
      </w:r>
      <w:bookmarkEnd w:id="46"/>
      <w:bookmarkEnd w:id="47"/>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pStyle w:val="29"/>
        <w:pageBreakBefore w:val="0"/>
        <w:numPr>
          <w:ilvl w:val="0"/>
          <w:numId w:val="0"/>
        </w:numPr>
        <w:kinsoku/>
        <w:wordWrap/>
        <w:overflowPunct/>
        <w:topLinePunct w:val="0"/>
        <w:bidi w:val="0"/>
        <w:spacing w:line="560" w:lineRule="exact"/>
        <w:ind w:firstLine="640" w:firstLineChars="200"/>
        <w:rPr>
          <w:rStyle w:val="19"/>
          <w:rFonts w:hint="eastAsia" w:ascii="黑体" w:hAnsi="黑体" w:eastAsia="黑体"/>
          <w:b w:val="0"/>
          <w:lang w:val="en-US" w:eastAsia="zh-CN"/>
        </w:rPr>
      </w:pPr>
    </w:p>
    <w:p>
      <w:pPr>
        <w:pStyle w:val="29"/>
        <w:pageBreakBefore w:val="0"/>
        <w:numPr>
          <w:ilvl w:val="0"/>
          <w:numId w:val="0"/>
        </w:numPr>
        <w:kinsoku/>
        <w:wordWrap/>
        <w:overflowPunct/>
        <w:topLinePunct w:val="0"/>
        <w:bidi w:val="0"/>
        <w:spacing w:line="560" w:lineRule="exact"/>
        <w:ind w:firstLine="640" w:firstLineChars="200"/>
        <w:rPr>
          <w:rStyle w:val="19"/>
          <w:rFonts w:ascii="黑体" w:hAnsi="黑体" w:eastAsia="黑体"/>
          <w:b w:val="0"/>
        </w:rPr>
      </w:pPr>
      <w:r>
        <w:rPr>
          <w:rStyle w:val="19"/>
          <w:rFonts w:hint="eastAsia" w:ascii="黑体" w:hAnsi="黑体" w:eastAsia="黑体"/>
          <w:b w:val="0"/>
          <w:lang w:val="en-US" w:eastAsia="zh-CN"/>
        </w:rPr>
        <w:t>十、</w:t>
      </w:r>
      <w:r>
        <w:rPr>
          <w:rStyle w:val="19"/>
          <w:rFonts w:hint="eastAsia" w:ascii="黑体" w:hAnsi="黑体" w:eastAsia="黑体"/>
          <w:b w:val="0"/>
        </w:rPr>
        <w:t>预算绩效情况说明</w:t>
      </w:r>
    </w:p>
    <w:p>
      <w:pPr>
        <w:pageBreakBefore w:val="0"/>
        <w:numPr>
          <w:ilvl w:val="0"/>
          <w:numId w:val="4"/>
        </w:numPr>
        <w:kinsoku/>
        <w:wordWrap/>
        <w:overflowPunct/>
        <w:topLinePunct w:val="0"/>
        <w:bidi w:val="0"/>
        <w:spacing w:line="56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根据预算绩效管理要求，我单位在年初预算编制阶段，组织对项目开展了预算事前绩效评估，对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个项目开展了绩效目标完成情况梳理填报。</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w:t>
      </w:r>
      <w:r>
        <w:rPr>
          <w:rFonts w:ascii="仿宋_GB2312" w:eastAsia="仿宋_GB2312"/>
          <w:sz w:val="32"/>
          <w:szCs w:val="32"/>
        </w:rPr>
        <w:t>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w:t>
      </w:r>
      <w:r>
        <w:rPr>
          <w:rFonts w:ascii="仿宋_GB2312" w:eastAsia="仿宋_GB2312"/>
          <w:sz w:val="32"/>
          <w:szCs w:val="32"/>
        </w:rPr>
        <w:t>,</w:t>
      </w:r>
      <w:r>
        <w:rPr>
          <w:rFonts w:hint="eastAsia" w:ascii="仿宋_GB2312" w:eastAsia="仿宋_GB2312"/>
          <w:sz w:val="32"/>
          <w:szCs w:val="32"/>
        </w:rPr>
        <w:t>总分为</w:t>
      </w:r>
      <w:r>
        <w:rPr>
          <w:rFonts w:ascii="仿宋_GB2312" w:eastAsia="仿宋_GB2312"/>
          <w:sz w:val="32"/>
          <w:szCs w:val="32"/>
        </w:rPr>
        <w:t>96</w:t>
      </w:r>
      <w:r>
        <w:rPr>
          <w:rFonts w:hint="eastAsia" w:ascii="仿宋_GB2312" w:eastAsia="仿宋_GB2312"/>
          <w:sz w:val="32"/>
          <w:szCs w:val="32"/>
        </w:rPr>
        <w:t>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hAnsi="仿宋_GB2312" w:eastAsia="仿宋_GB2312" w:cs="仿宋_GB2312"/>
          <w:sz w:val="32"/>
          <w:szCs w:val="32"/>
        </w:rPr>
        <w:t>。本单位还自行组织了</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个项目绩效评价，从评价情况来看我单位年初预算项目基本按照绩效目标完成支付，有部分项目结转质保金在下年质保期后进行支付。</w:t>
      </w:r>
    </w:p>
    <w:p>
      <w:pPr>
        <w:pageBreakBefore w:val="0"/>
        <w:numPr>
          <w:ilvl w:val="0"/>
          <w:numId w:val="4"/>
        </w:numPr>
        <w:kinsoku/>
        <w:wordWrap/>
        <w:overflowPunct/>
        <w:topLinePunct w:val="0"/>
        <w:bidi w:val="0"/>
        <w:spacing w:line="560" w:lineRule="exact"/>
        <w:ind w:firstLine="643" w:firstLineChars="200"/>
        <w:jc w:val="left"/>
        <w:rPr>
          <w:rFonts w:hint="eastAsia" w:ascii="仿宋_GB2312" w:eastAsia="仿宋_GB2312" w:cs="仿宋_GB2312"/>
          <w:sz w:val="32"/>
          <w:szCs w:val="32"/>
          <w:lang w:bidi="ar-SA"/>
        </w:rPr>
      </w:pPr>
      <w:bookmarkStart w:id="48" w:name="_Toc15377222"/>
      <w:r>
        <w:rPr>
          <w:rFonts w:hint="eastAsia" w:ascii="仿宋" w:hAnsi="仿宋" w:eastAsia="仿宋" w:cs="楷体_GB2312"/>
          <w:b/>
          <w:bCs/>
          <w:sz w:val="32"/>
          <w:szCs w:val="32"/>
        </w:rPr>
        <w:t>项目绩效目标完成情况。</w:t>
      </w:r>
      <w:r>
        <w:rPr>
          <w:rFonts w:ascii="楷体_GB2312" w:hAnsi="楷体_GB2312" w:eastAsia="楷体_GB2312" w:cs="楷体_GB2312"/>
          <w:b/>
          <w:bCs/>
          <w:sz w:val="32"/>
          <w:szCs w:val="32"/>
        </w:rPr>
        <w:br w:type="textWrapping"/>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年度部门决算中反映“阿坝州政府公报制作”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eastAsia="仿宋_GB2312" w:cs="仿宋_GB2312"/>
          <w:sz w:val="32"/>
          <w:szCs w:val="32"/>
        </w:rPr>
        <w:t>州政府门户网站、信息公开平台、公文交换及其它信息系统软硬件日常运营维护及信息系统日常安全运维经费项目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“州级电子政务外网网络租赁”等项目绩效目标实际完成情况。</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w:t>
      </w:r>
      <w:r>
        <w:rPr>
          <w:rFonts w:hint="eastAsia" w:ascii="仿宋_GB2312" w:eastAsia="仿宋_GB2312" w:cs="仿宋_GB2312"/>
          <w:sz w:val="32"/>
          <w:szCs w:val="32"/>
        </w:rPr>
        <w:t>州级电子政务外网网络租赁费</w:t>
      </w:r>
      <w:r>
        <w:rPr>
          <w:rFonts w:hint="eastAsia" w:ascii="仿宋_GB2312" w:eastAsia="仿宋_GB2312" w:cs="仿宋_GB2312"/>
          <w:sz w:val="32"/>
          <w:szCs w:val="32"/>
          <w:lang w:eastAsia="zh-CN"/>
        </w:rPr>
        <w:t>”</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79</w:t>
      </w:r>
      <w:r>
        <w:rPr>
          <w:rFonts w:hint="eastAsia" w:ascii="仿宋_GB2312" w:eastAsia="仿宋_GB2312" w:cs="仿宋_GB2312"/>
          <w:sz w:val="32"/>
          <w:szCs w:val="32"/>
        </w:rPr>
        <w:t>万元，执行数为</w:t>
      </w:r>
      <w:r>
        <w:rPr>
          <w:rFonts w:ascii="仿宋_GB2312" w:eastAsia="仿宋_GB2312" w:cs="仿宋_GB2312"/>
          <w:sz w:val="32"/>
          <w:szCs w:val="32"/>
        </w:rPr>
        <w:t>79</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sz w:val="32"/>
          <w:szCs w:val="32"/>
          <w:lang w:bidi="ar-SA"/>
        </w:rPr>
        <w:t>政务外网将提供网络传输、数据交换、网络管理和安全保障等服务，为州级政务云和各级政务部门提供网络支撑，为全州各业务应用系统的运行提供支撑；为实现跨部门、跨地区的信息资源共享创造条件，促进业务系统的互联互通和信息共享；满足阿坝州各级政务部门行业内部协同办公的需要和面向社会服务的需要，促进政府监管能力和服务水平的提高。</w:t>
      </w:r>
    </w:p>
    <w:tbl>
      <w:tblPr>
        <w:tblStyle w:val="14"/>
        <w:tblpPr w:leftFromText="180" w:rightFromText="180" w:vertAnchor="text" w:horzAnchor="page" w:tblpXSpec="center" w:tblpY="423"/>
        <w:tblOverlap w:val="never"/>
        <w:tblW w:w="9960" w:type="dxa"/>
        <w:tblInd w:w="15"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cs="宋体"/>
                <w:color w:val="000000"/>
                <w:kern w:val="0"/>
                <w:sz w:val="36"/>
                <w:szCs w:val="36"/>
                <w:lang w:bidi="ar-SA"/>
              </w:rPr>
            </w:pPr>
            <w:r>
              <w:rPr>
                <w:rFonts w:hint="eastAsia" w:ascii="宋体" w:cs="宋体"/>
                <w:b/>
                <w:bCs/>
                <w:color w:val="000000"/>
                <w:kern w:val="0"/>
                <w:sz w:val="36"/>
                <w:szCs w:val="36"/>
                <w:lang w:bidi="ar-SA"/>
              </w:rPr>
              <w:t>项目绩效目标完成情况表</w:t>
            </w:r>
          </w:p>
          <w:p>
            <w:pPr>
              <w:pStyle w:val="29"/>
              <w:widowControl/>
              <w:ind w:firstLine="0" w:firstLineChars="0"/>
              <w:jc w:val="center"/>
              <w:textAlignment w:val="center"/>
              <w:rPr>
                <w:rFonts w:ascii="宋体" w:cs="宋体"/>
                <w:color w:val="000000"/>
                <w:sz w:val="36"/>
                <w:szCs w:val="36"/>
              </w:rPr>
            </w:pPr>
            <w:r>
              <w:rPr>
                <w:rFonts w:hint="eastAsia" w:ascii="宋体" w:cs="宋体"/>
                <w:color w:val="000000"/>
                <w:kern w:val="0"/>
                <w:sz w:val="36"/>
                <w:szCs w:val="36"/>
                <w:lang w:bidi="ar-SA"/>
              </w:rPr>
              <w:t>(2019年度)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州级电子政务外网网络租赁费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宋体"/>
                <w:color w:val="000000"/>
                <w:sz w:val="24"/>
                <w:lang w:bidi="ar-SA"/>
              </w:rPr>
              <w:t>阿坝州大数据中心（原阿坝州政府信息公开办）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bidi="ar-SA"/>
              </w:rPr>
              <w:t>79</w:t>
            </w:r>
            <w:r>
              <w:rPr>
                <w:rFonts w:hint="eastAsia" w:ascii="宋体" w:cs="宋体"/>
                <w:color w:val="000000"/>
                <w:sz w:val="24"/>
                <w:lang w:bidi="ar-SA"/>
              </w:rPr>
              <w:t>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79万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bidi="ar-SA"/>
              </w:rPr>
              <w:t>79</w:t>
            </w:r>
            <w:r>
              <w:rPr>
                <w:rFonts w:hint="eastAsia" w:ascii="宋体" w:cs="宋体"/>
                <w:color w:val="000000"/>
                <w:sz w:val="24"/>
                <w:lang w:bidi="ar-SA"/>
              </w:rPr>
              <w:t>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79万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lang w:bidi="ar-SA"/>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kern w:val="0"/>
                <w:sz w:val="24"/>
                <w:lang w:bidi="ar-SA"/>
              </w:rPr>
            </w:pPr>
            <w:r>
              <w:rPr>
                <w:rFonts w:hint="eastAsia" w:ascii="宋体" w:cs="宋体"/>
                <w:color w:val="000000"/>
                <w:kern w:val="0"/>
                <w:sz w:val="24"/>
                <w:lang w:val="en-US" w:eastAsia="zh-CN" w:bidi="ar-SA"/>
              </w:rPr>
              <w:t>1.</w:t>
            </w:r>
            <w:r>
              <w:rPr>
                <w:rFonts w:hint="eastAsia" w:ascii="宋体" w:cs="宋体"/>
                <w:color w:val="000000"/>
                <w:kern w:val="0"/>
                <w:sz w:val="24"/>
                <w:lang w:bidi="ar-SA"/>
              </w:rPr>
              <w:t>网络系统升级</w:t>
            </w:r>
          </w:p>
          <w:p>
            <w:pPr>
              <w:widowControl/>
              <w:jc w:val="center"/>
              <w:textAlignment w:val="center"/>
              <w:rPr>
                <w:rFonts w:hint="eastAsia" w:ascii="宋体" w:cs="宋体"/>
                <w:color w:val="000000"/>
                <w:kern w:val="0"/>
                <w:sz w:val="24"/>
                <w:lang w:bidi="ar-SA"/>
              </w:rPr>
            </w:pPr>
            <w:r>
              <w:rPr>
                <w:rFonts w:hint="eastAsia" w:ascii="宋体" w:cs="宋体"/>
                <w:color w:val="000000"/>
                <w:kern w:val="0"/>
                <w:sz w:val="24"/>
                <w:lang w:val="en-US" w:eastAsia="zh-CN" w:bidi="ar-SA"/>
              </w:rPr>
              <w:t>2.</w:t>
            </w:r>
            <w:r>
              <w:rPr>
                <w:rFonts w:hint="eastAsia" w:ascii="宋体" w:cs="宋体"/>
                <w:color w:val="000000"/>
                <w:kern w:val="0"/>
                <w:sz w:val="24"/>
                <w:lang w:bidi="ar-SA"/>
              </w:rPr>
              <w:t>安全系统升级</w:t>
            </w:r>
          </w:p>
          <w:p>
            <w:pPr>
              <w:widowControl/>
              <w:jc w:val="center"/>
              <w:textAlignment w:val="center"/>
              <w:rPr>
                <w:rFonts w:ascii="宋体" w:cs="宋体"/>
                <w:color w:val="000000"/>
                <w:sz w:val="24"/>
              </w:rPr>
            </w:pPr>
            <w:r>
              <w:rPr>
                <w:rFonts w:hint="eastAsia" w:ascii="宋体" w:cs="宋体"/>
                <w:color w:val="000000"/>
                <w:kern w:val="0"/>
                <w:sz w:val="24"/>
                <w:lang w:val="en-US" w:eastAsia="zh-CN" w:bidi="ar-SA"/>
              </w:rPr>
              <w:t>3.</w:t>
            </w:r>
            <w:r>
              <w:rPr>
                <w:rFonts w:hint="eastAsia" w:ascii="宋体" w:cs="宋体"/>
                <w:color w:val="000000"/>
                <w:kern w:val="0"/>
                <w:sz w:val="24"/>
                <w:lang w:bidi="ar-SA"/>
              </w:rPr>
              <w:t>运维管理升级</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kern w:val="0"/>
                <w:sz w:val="24"/>
                <w:lang w:val="en-US" w:eastAsia="zh-CN" w:bidi="ar-SA"/>
              </w:rPr>
            </w:pPr>
            <w:r>
              <w:rPr>
                <w:rFonts w:hint="eastAsia" w:ascii="宋体" w:cs="宋体"/>
                <w:color w:val="000000"/>
                <w:kern w:val="0"/>
                <w:sz w:val="24"/>
                <w:lang w:val="en-US" w:eastAsia="zh-CN" w:bidi="ar-SA"/>
              </w:rPr>
              <w:t>全面完成网络系统升级，州-县（市）广域网骨干传输带宽由原来的150M升级为1000M；州级城域网由原来的1000M升级为10G光纤骨干网络；州级各单位接入带宽由原来的100M升级为1000M；将互联网出口带宽由原来的300M升级为1000M。</w:t>
            </w:r>
          </w:p>
          <w:p>
            <w:pPr>
              <w:widowControl/>
              <w:jc w:val="center"/>
              <w:textAlignment w:val="center"/>
              <w:rPr>
                <w:rFonts w:ascii="宋体" w:cs="宋体"/>
                <w:color w:val="000000"/>
                <w:sz w:val="24"/>
              </w:rPr>
            </w:pPr>
            <w:r>
              <w:rPr>
                <w:rFonts w:hint="eastAsia" w:ascii="宋体" w:cs="宋体"/>
                <w:color w:val="000000"/>
                <w:kern w:val="0"/>
                <w:sz w:val="24"/>
                <w:lang w:val="en-US" w:eastAsia="zh-CN" w:bidi="ar-SA"/>
              </w:rPr>
              <w:t>基本完成安全系统和运维管理建设。建设了网络安全管理中心，包括主机监控审计安全管理监控、网络防病毒系统监控等平台，实现对网络设备、安全设备、应用服务器、主机设备的集中监控管理，对系统所有访问进行集中的管理和控制。</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接入单位</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保障州级部门政务外网全接入</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171个单位，5700多个终端接入。</w:t>
            </w:r>
          </w:p>
        </w:tc>
      </w:tr>
      <w:tr>
        <w:tblPrEx>
          <w:tblCellMar>
            <w:top w:w="0" w:type="dxa"/>
            <w:left w:w="0" w:type="dxa"/>
            <w:bottom w:w="0" w:type="dxa"/>
            <w:right w:w="0" w:type="dxa"/>
          </w:tblCellMar>
        </w:tblPrEx>
        <w:trPr>
          <w:trHeight w:val="135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网络带宽</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州级城域网骨干网络带宽、部门接入带宽全面提升。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60" w:lineRule="exact"/>
              <w:jc w:val="center"/>
              <w:textAlignment w:val="center"/>
              <w:rPr>
                <w:rFonts w:ascii="宋体" w:cs="宋体"/>
                <w:color w:val="000000"/>
                <w:sz w:val="24"/>
              </w:rPr>
            </w:pPr>
            <w:r>
              <w:rPr>
                <w:rFonts w:hint="eastAsia" w:ascii="宋体" w:cs="宋体"/>
                <w:color w:val="000000"/>
                <w:sz w:val="24"/>
                <w:lang w:bidi="ar-SA"/>
              </w:rPr>
              <w:t>州-县（市）广域网骨干传输带宽由原来的150M升级为1000M；州级城域网由原来的1000M升级为10G光纤骨干网络；州级各单位接入带宽由原来的100M升级为1000M；将互联网出口带宽由原来的300M升级为1000M。</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hAnsi="仿宋_GB2312" w:cs="宋体"/>
                <w:color w:val="000000"/>
                <w:sz w:val="24"/>
                <w:lang w:bidi="ar-SA"/>
              </w:rPr>
              <w:t>完成</w:t>
            </w:r>
            <w:r>
              <w:rPr>
                <w:rFonts w:hint="eastAsia" w:ascii="仿宋_GB2312" w:hAnsi="仿宋_GB2312" w:cs="宋体"/>
                <w:color w:val="000000"/>
                <w:sz w:val="24"/>
                <w:lang w:val="en-US" w:eastAsia="zh-CN" w:bidi="ar-SA"/>
              </w:rPr>
              <w:t>时效</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宋体"/>
                <w:color w:val="000000"/>
                <w:sz w:val="24"/>
                <w:lang w:bidi="ar-SA"/>
              </w:rPr>
              <w:t>2019年6月完成州级升级改造</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80" w:lineRule="exact"/>
              <w:jc w:val="center"/>
              <w:textAlignment w:val="center"/>
              <w:rPr>
                <w:rFonts w:ascii="宋体" w:cs="宋体"/>
                <w:color w:val="000000"/>
                <w:sz w:val="24"/>
              </w:rPr>
            </w:pPr>
            <w:r>
              <w:rPr>
                <w:rFonts w:hint="eastAsia" w:ascii="仿宋_GB2312" w:hAnsi="仿宋_GB2312" w:cs="宋体"/>
                <w:color w:val="000000"/>
                <w:sz w:val="24"/>
                <w:lang w:bidi="ar-SA"/>
              </w:rPr>
              <w:t>基本完成项目施工，竣工验收拟于2020年3月开展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bidi="ar-SA"/>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宋体"/>
                <w:color w:val="000000"/>
                <w:sz w:val="24"/>
                <w:lang w:bidi="ar-SA"/>
              </w:rPr>
              <w:t>办公网络</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宋体"/>
                <w:color w:val="000000"/>
                <w:sz w:val="24"/>
                <w:lang w:bidi="ar-SA"/>
              </w:rPr>
              <w:t>提供稳定、快速、安全的政务网络环境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80" w:lineRule="exact"/>
              <w:jc w:val="center"/>
              <w:textAlignment w:val="center"/>
              <w:rPr>
                <w:rFonts w:ascii="宋体" w:cs="宋体"/>
                <w:color w:val="000000"/>
                <w:sz w:val="24"/>
              </w:rPr>
            </w:pPr>
            <w:r>
              <w:rPr>
                <w:rFonts w:hint="eastAsia" w:ascii="仿宋_GB2312" w:hAnsi="仿宋_GB2312" w:cs="宋体"/>
                <w:color w:val="000000"/>
                <w:sz w:val="24"/>
                <w:lang w:bidi="ar-SA"/>
              </w:rPr>
              <w:t>政务外网已成为全州覆盖面最广、连接政务部门最多、承载业务类型最丰富的政务公用网络平台。</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宋体"/>
                <w:color w:val="000000"/>
                <w:sz w:val="24"/>
                <w:lang w:bidi="ar-SA"/>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宋体"/>
                <w:color w:val="000000"/>
                <w:sz w:val="24"/>
                <w:lang w:bidi="ar-SA"/>
              </w:rPr>
              <w:t>服务评价</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宋体"/>
                <w:color w:val="000000"/>
                <w:sz w:val="24"/>
                <w:lang w:bidi="ar-SA"/>
              </w:rPr>
              <w:t>快速响应机制</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textAlignment w:val="center"/>
              <w:rPr>
                <w:rFonts w:ascii="宋体" w:cs="宋体"/>
                <w:color w:val="000000"/>
                <w:sz w:val="24"/>
              </w:rPr>
            </w:pPr>
            <w:r>
              <w:rPr>
                <w:rFonts w:hint="eastAsia" w:ascii="仿宋_GB2312" w:hAnsi="仿宋_GB2312" w:cs="宋体"/>
                <w:color w:val="000000"/>
                <w:sz w:val="24"/>
                <w:lang w:bidi="ar-SA"/>
              </w:rPr>
              <w:t>阿坝州电子政务外网运营中心成立专班，快速响应</w:t>
            </w:r>
            <w:r>
              <w:rPr>
                <w:rFonts w:ascii="仿宋_GB2312" w:hAnsi="仿宋_GB2312" w:cs="宋体"/>
                <w:color w:val="000000"/>
                <w:sz w:val="24"/>
                <w:lang w:bidi="ar-SA"/>
              </w:rPr>
              <w:t>用户</w:t>
            </w:r>
            <w:r>
              <w:rPr>
                <w:rFonts w:hint="eastAsia" w:ascii="仿宋_GB2312" w:hAnsi="仿宋_GB2312" w:cs="宋体"/>
                <w:color w:val="000000"/>
                <w:sz w:val="24"/>
                <w:lang w:bidi="ar-SA"/>
              </w:rPr>
              <w:t>故障</w:t>
            </w:r>
            <w:r>
              <w:rPr>
                <w:rFonts w:ascii="仿宋_GB2312" w:hAnsi="仿宋_GB2312" w:cs="宋体"/>
                <w:color w:val="000000"/>
                <w:sz w:val="24"/>
                <w:lang w:bidi="ar-SA"/>
              </w:rPr>
              <w:t>。</w:t>
            </w:r>
          </w:p>
        </w:tc>
      </w:tr>
    </w:tbl>
    <w:p>
      <w:pPr>
        <w:pageBreakBefore w:val="0"/>
        <w:kinsoku/>
        <w:wordWrap/>
        <w:overflowPunct/>
        <w:topLinePunct w:val="0"/>
        <w:bidi w:val="0"/>
        <w:spacing w:line="560" w:lineRule="exact"/>
        <w:ind w:firstLine="420" w:firstLineChars="200"/>
      </w:pPr>
    </w:p>
    <w:p>
      <w:pPr>
        <w:spacing w:line="580" w:lineRule="exact"/>
        <w:ind w:firstLine="640" w:firstLineChars="200"/>
        <w:rPr>
          <w:rFonts w:hint="eastAsia" w:ascii="仿宋_GB2312" w:hAnsi="仿宋_GB2312" w:eastAsia="仿宋_GB2312" w:cs="仿宋_GB2312"/>
          <w:sz w:val="32"/>
          <w:szCs w:val="32"/>
          <w:lang w:val="en-US" w:eastAsia="zh-CN"/>
        </w:rPr>
      </w:pPr>
    </w:p>
    <w:p>
      <w:pPr>
        <w:spacing w:line="580" w:lineRule="exact"/>
        <w:ind w:firstLine="640" w:firstLineChars="200"/>
        <w:rPr>
          <w:rFonts w:ascii="仿宋_GB2312" w:eastAsia="仿宋_GB2312" w:cs="仿宋_GB2312"/>
          <w:color w:val="FF000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eastAsia="仿宋_GB2312" w:cs="仿宋_GB2312"/>
          <w:sz w:val="32"/>
          <w:szCs w:val="32"/>
        </w:rPr>
        <w:t>州政府门户网站、信息公开平台、公文交换及其它信息系统软硬件日常运营维护及信息系统日常安全运维经费项目</w:t>
      </w:r>
      <w:r>
        <w:rPr>
          <w:rFonts w:hint="eastAsia" w:ascii="仿宋_GB2312" w:eastAsia="仿宋_GB2312" w:cs="仿宋_GB2312"/>
          <w:sz w:val="32"/>
          <w:szCs w:val="32"/>
          <w:lang w:eastAsia="zh-CN"/>
        </w:rPr>
        <w:t>”</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11.73</w:t>
      </w:r>
      <w:r>
        <w:rPr>
          <w:rFonts w:hint="eastAsia" w:ascii="仿宋_GB2312" w:eastAsia="仿宋_GB2312" w:cs="仿宋_GB2312"/>
          <w:sz w:val="32"/>
          <w:szCs w:val="32"/>
        </w:rPr>
        <w:t>万元，执行数为</w:t>
      </w:r>
      <w:r>
        <w:rPr>
          <w:rFonts w:ascii="仿宋_GB2312" w:eastAsia="仿宋_GB2312" w:cs="仿宋_GB2312"/>
          <w:sz w:val="32"/>
          <w:szCs w:val="32"/>
        </w:rPr>
        <w:t>11.73</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sz w:val="32"/>
          <w:szCs w:val="32"/>
          <w:lang w:bidi="ar-SA"/>
        </w:rPr>
        <w:t>通过项目实施，进一步提升全州政府网站及政务新媒体建管水平，强化在线访谈栏目内容保障工作，全州政府网站及政务新媒体实行了专业化、智能化的监管。存在问题：一是部分政府网站及政务新媒体主办单位还存在责任意识缺失的问题，只建不管的现象较为突出。二是对“云监测技术服务”提供方督促不够，前期乙方提供的部分监测结果与本地区网站及新媒体建设指标有差异。整改措施：一是建立健全政府网站及政务新媒体运营管理制度，强化目标绩效考核，促使主办单位提高责任意识，落实好各项运营工作。二是根据政府网站及政务新媒体建管最新要求及时调整云监测技术服务指标内容，对接服务提供方以最贴合本地区工作实际对服务内容进行优化。三是服务到期后，结合国、省最新要求，高标准严要求选择业务能力优秀的监测机构提供相应服务。</w:t>
      </w:r>
    </w:p>
    <w:tbl>
      <w:tblPr>
        <w:tblStyle w:val="14"/>
        <w:tblpPr w:leftFromText="180" w:rightFromText="180" w:vertAnchor="text" w:horzAnchor="page" w:tblpXSpec="center" w:tblpY="423"/>
        <w:tblOverlap w:val="never"/>
        <w:tblW w:w="9960" w:type="dxa"/>
        <w:tblInd w:w="15"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pPr>
              <w:widowControl/>
              <w:jc w:val="center"/>
              <w:textAlignment w:val="center"/>
              <w:rPr>
                <w:rFonts w:hint="eastAsia" w:ascii="宋体" w:cs="宋体"/>
                <w:color w:val="000000"/>
                <w:sz w:val="36"/>
                <w:szCs w:val="36"/>
                <w:lang w:bidi="ar-SA"/>
              </w:rPr>
            </w:pPr>
            <w:r>
              <w:rPr>
                <w:rFonts w:hint="eastAsia" w:ascii="宋体" w:cs="宋体"/>
                <w:b/>
                <w:bCs/>
                <w:color w:val="000000"/>
                <w:kern w:val="0"/>
                <w:sz w:val="36"/>
                <w:szCs w:val="36"/>
                <w:lang w:bidi="ar-SA"/>
              </w:rPr>
              <w:t>项目绩效目标完成情况表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州政府门户网站、信息公开平台、公文交换及其它信息系统软硬件日常运营维护及信息系统日常安全运维经费项目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州政府办公室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bCs/>
                <w:color w:val="000000"/>
                <w:kern w:val="0"/>
                <w:sz w:val="24"/>
                <w:lang w:val="en-US" w:eastAsia="zh-CN" w:bidi="ar-SA"/>
              </w:rPr>
              <w:t>11.73</w:t>
            </w:r>
            <w:r>
              <w:rPr>
                <w:rFonts w:hint="eastAsia" w:ascii="宋体" w:cs="宋体"/>
                <w:bCs/>
                <w:color w:val="000000"/>
                <w:kern w:val="0"/>
                <w:sz w:val="24"/>
                <w:lang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bCs/>
                <w:color w:val="000000"/>
                <w:kern w:val="0"/>
                <w:sz w:val="24"/>
                <w:lang w:bidi="ar-SA"/>
              </w:rPr>
              <w:t>11.73万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bCs/>
                <w:color w:val="000000"/>
                <w:kern w:val="0"/>
                <w:sz w:val="24"/>
                <w:lang w:val="en-US" w:eastAsia="zh-CN" w:bidi="ar-SA"/>
              </w:rPr>
              <w:t>11.73</w:t>
            </w:r>
            <w:r>
              <w:rPr>
                <w:rFonts w:hint="eastAsia" w:ascii="宋体" w:cs="宋体"/>
                <w:bCs/>
                <w:color w:val="000000"/>
                <w:kern w:val="0"/>
                <w:sz w:val="24"/>
                <w:lang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bCs/>
                <w:color w:val="000000"/>
                <w:kern w:val="0"/>
                <w:sz w:val="24"/>
                <w:lang w:bidi="ar-SA"/>
              </w:rPr>
              <w:t>11.73万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5"/>
              </w:numPr>
              <w:textAlignment w:val="center"/>
              <w:rPr>
                <w:rFonts w:hint="eastAsia" w:ascii="宋体" w:cs="宋体"/>
                <w:color w:val="000000"/>
                <w:sz w:val="24"/>
                <w:lang w:bidi="ar-SA"/>
              </w:rPr>
            </w:pPr>
            <w:r>
              <w:rPr>
                <w:rFonts w:hint="eastAsia" w:ascii="宋体" w:cs="宋体"/>
                <w:color w:val="000000"/>
                <w:sz w:val="24"/>
                <w:lang w:bidi="ar-SA"/>
              </w:rPr>
              <w:t>州政府网站在线访谈栏目内容保障</w:t>
            </w:r>
          </w:p>
          <w:p>
            <w:pPr>
              <w:widowControl/>
              <w:numPr>
                <w:ilvl w:val="0"/>
                <w:numId w:val="5"/>
              </w:numPr>
              <w:textAlignment w:val="center"/>
              <w:rPr>
                <w:rFonts w:hint="eastAsia" w:ascii="宋体" w:cs="宋体"/>
                <w:color w:val="000000"/>
                <w:sz w:val="24"/>
                <w:lang w:bidi="ar-SA"/>
              </w:rPr>
            </w:pPr>
            <w:r>
              <w:rPr>
                <w:rFonts w:hint="eastAsia" w:ascii="宋体" w:cs="宋体"/>
                <w:color w:val="000000"/>
                <w:sz w:val="24"/>
                <w:lang w:bidi="ar-SA"/>
              </w:rPr>
              <w:t>州政府网站及政务新媒体常态化云监测技术服务</w:t>
            </w:r>
          </w:p>
          <w:p>
            <w:pPr>
              <w:widowControl/>
              <w:numPr>
                <w:ilvl w:val="0"/>
                <w:numId w:val="5"/>
              </w:numPr>
              <w:textAlignment w:val="center"/>
              <w:rPr>
                <w:rFonts w:hint="eastAsia" w:ascii="宋体" w:cs="宋体"/>
                <w:color w:val="000000"/>
                <w:sz w:val="24"/>
                <w:lang w:bidi="ar-SA"/>
              </w:rPr>
            </w:pPr>
            <w:r>
              <w:rPr>
                <w:rFonts w:hint="eastAsia" w:ascii="宋体" w:cs="宋体"/>
                <w:color w:val="000000"/>
                <w:sz w:val="24"/>
                <w:lang w:bidi="ar-SA"/>
              </w:rPr>
              <w:t>全省政府信息公开目录管理系统软硬件设备维护</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6"/>
              </w:numPr>
              <w:textAlignment w:val="center"/>
              <w:rPr>
                <w:rFonts w:hint="eastAsia" w:ascii="宋体" w:cs="宋体"/>
                <w:color w:val="000000"/>
                <w:sz w:val="24"/>
                <w:lang w:bidi="ar-SA"/>
              </w:rPr>
            </w:pPr>
            <w:r>
              <w:rPr>
                <w:rFonts w:hint="eastAsia" w:ascii="宋体" w:cs="宋体"/>
                <w:color w:val="000000"/>
                <w:sz w:val="24"/>
                <w:lang w:bidi="ar-SA"/>
              </w:rPr>
              <w:t>完成州政府网站在线访谈栏目14期。</w:t>
            </w:r>
          </w:p>
          <w:p>
            <w:pPr>
              <w:widowControl/>
              <w:numPr>
                <w:ilvl w:val="0"/>
                <w:numId w:val="6"/>
              </w:numPr>
              <w:textAlignment w:val="center"/>
              <w:rPr>
                <w:rFonts w:hint="eastAsia" w:ascii="宋体" w:cs="宋体"/>
                <w:color w:val="000000"/>
                <w:sz w:val="24"/>
                <w:lang w:bidi="ar-SA"/>
              </w:rPr>
            </w:pPr>
            <w:r>
              <w:rPr>
                <w:rFonts w:hint="eastAsia" w:ascii="宋体" w:cs="宋体"/>
                <w:color w:val="000000"/>
                <w:sz w:val="24"/>
                <w:lang w:bidi="ar-SA"/>
              </w:rPr>
              <w:t>累计完成对228个政府网站879个政务新媒体的日常监管工作。</w:t>
            </w:r>
          </w:p>
          <w:p>
            <w:pPr>
              <w:widowControl/>
              <w:numPr>
                <w:ilvl w:val="0"/>
                <w:numId w:val="6"/>
              </w:numPr>
              <w:textAlignment w:val="center"/>
              <w:rPr>
                <w:rFonts w:hint="eastAsia" w:ascii="宋体" w:cs="宋体"/>
                <w:color w:val="000000"/>
                <w:sz w:val="24"/>
                <w:lang w:bidi="ar-SA"/>
              </w:rPr>
            </w:pPr>
            <w:r>
              <w:rPr>
                <w:rFonts w:hint="eastAsia" w:ascii="宋体" w:cs="宋体"/>
                <w:color w:val="000000"/>
                <w:sz w:val="24"/>
                <w:lang w:bidi="ar-SA"/>
              </w:rPr>
              <w:t>修复全省政府信息公开目录管理系统硬件设备一台。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nil"/>
              <w:left w:val="single" w:color="000000" w:sz="4" w:space="0"/>
              <w:bottom w:val="nil"/>
              <w:right w:val="single" w:color="000000" w:sz="4" w:space="0"/>
            </w:tcBorders>
            <w:noWrap w:val="0"/>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在线访谈完成期数</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完成14期</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提供专业演播室、主持人；每期访谈栏目时长10—35分钟；在录制完成后2个工作日完成视频专业剪辑及后期制作。</w:t>
            </w:r>
          </w:p>
        </w:tc>
      </w:tr>
      <w:tr>
        <w:tblPrEx>
          <w:tblCellMar>
            <w:top w:w="0" w:type="dxa"/>
            <w:left w:w="0" w:type="dxa"/>
            <w:bottom w:w="0" w:type="dxa"/>
            <w:right w:w="0" w:type="dxa"/>
          </w:tblCellMar>
        </w:tblPrEx>
        <w:trPr>
          <w:trHeight w:val="1042" w:hRule="atLeast"/>
        </w:trPr>
        <w:tc>
          <w:tcPr>
            <w:tcW w:w="390" w:type="dxa"/>
            <w:vMerge w:val="continue"/>
            <w:tcBorders>
              <w:top w:val="nil"/>
              <w:left w:val="single" w:color="000000" w:sz="4" w:space="0"/>
              <w:bottom w:val="nil"/>
              <w:right w:val="single" w:color="000000" w:sz="4" w:space="0"/>
            </w:tcBorders>
            <w:noWrap w:val="0"/>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kern w:val="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监测范围</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纳入服务的网站共57个（包括阿坝州人民政府门户网站1个、县（市）政府门户网站13个、州级政府部门网站43个）（附件2）；政务新媒体168个（账号类型包括但不限于新浪微博、腾讯微博、微信公众号、今日头条号等）</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纳入服务的网站共57个（包括阿坝州人民政府门户网站1个、县（市）政府门户网站13个、州级政府部门网站43个）（附件2）；政务新媒体168个（账号类型包括但不限于新浪微博、腾讯微博、微信公众号、今日头条号等）</w:t>
            </w:r>
          </w:p>
        </w:tc>
      </w:tr>
      <w:tr>
        <w:tblPrEx>
          <w:tblCellMar>
            <w:top w:w="0" w:type="dxa"/>
            <w:left w:w="0" w:type="dxa"/>
            <w:bottom w:w="0" w:type="dxa"/>
            <w:right w:w="0" w:type="dxa"/>
          </w:tblCellMar>
        </w:tblPrEx>
        <w:trPr>
          <w:trHeight w:val="1042" w:hRule="atLeast"/>
        </w:trPr>
        <w:tc>
          <w:tcPr>
            <w:tcW w:w="390" w:type="dxa"/>
            <w:vMerge w:val="continue"/>
            <w:tcBorders>
              <w:top w:val="nil"/>
              <w:left w:val="single" w:color="000000" w:sz="4" w:space="0"/>
              <w:bottom w:val="nil"/>
              <w:right w:val="single" w:color="000000" w:sz="4" w:space="0"/>
            </w:tcBorders>
            <w:noWrap w:val="0"/>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实效指标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服务周期和频率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乙方对甲方57个网站和168个政务新媒体实行7x24小时不间断自动监测和人工复核，发现问题及时通知甲方和纳入监测的网站（政务多媒体）主管单位工作人员进行整改</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乙方对甲方57个网站和168个政务新媒体实行7x24小时不间断自动监测和人工复核，发现问题及时通知甲方和纳入监测的网站（政务多媒体）主管单位工作人员进行整改</w:t>
            </w:r>
          </w:p>
        </w:tc>
      </w:tr>
    </w:tbl>
    <w:p>
      <w:pPr>
        <w:spacing w:line="540" w:lineRule="exact"/>
        <w:ind w:firstLine="640" w:firstLineChars="200"/>
        <w:rPr>
          <w:rFonts w:hint="eastAsia" w:ascii="仿宋_GB2312" w:hAnsi="仿宋_GB2312" w:eastAsia="仿宋_GB2312" w:cs="仿宋_GB2312"/>
          <w:sz w:val="32"/>
          <w:szCs w:val="32"/>
          <w:lang w:val="en-US" w:eastAsia="zh-CN"/>
        </w:rPr>
      </w:pPr>
    </w:p>
    <w:p>
      <w:pPr>
        <w:numPr>
          <w:ilvl w:val="0"/>
          <w:numId w:val="6"/>
        </w:numPr>
        <w:spacing w:line="540" w:lineRule="exact"/>
        <w:ind w:left="360" w:leftChars="0" w:hanging="360" w:firstLineChars="0"/>
        <w:rPr>
          <w:rFonts w:hint="eastAsia" w:ascii="仿宋_GB2312" w:eastAsia="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阿坝州政府公报制作项目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绩效目标完成情况综述。项目全年预算数</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4.45</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29.67%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结转下年10.55万元。</w:t>
      </w:r>
      <w:r>
        <w:rPr>
          <w:rFonts w:hint="eastAsia" w:ascii="仿宋_GB2312" w:hAnsi="仿宋_GB2312" w:eastAsia="仿宋_GB2312" w:cs="仿宋_GB2312"/>
          <w:sz w:val="32"/>
          <w:szCs w:val="32"/>
        </w:rPr>
        <w:t>按照《国务院办公厅关于做好政府公报工作的通知》（国办发〔2018〕22号）《四川省人民政府办公厅关于做好政府公报工作的通知》（川办发〔2018〕79号）的要求，正式创建《阿坝州人民政府公报》。刊物栏目主要设有州政府文件、州政府部门规范性文件、人事任免、领导讲话等。</w:t>
      </w:r>
      <w:r>
        <w:rPr>
          <w:rFonts w:hint="eastAsia" w:ascii="仿宋_GB2312" w:hAnsi="仿宋_GB2312" w:eastAsia="仿宋_GB2312" w:cs="仿宋_GB2312"/>
          <w:sz w:val="32"/>
          <w:szCs w:val="32"/>
          <w:lang w:val="en-US" w:eastAsia="zh-CN"/>
        </w:rPr>
        <w:t>办刊周期为双月刊，每期印制4000册，主要实行免费赠阅，重点向基层单位和各类政府主体倾斜。赠阅范围覆盖州、县（市）部门和档案馆、公共图书馆、政务服务中心等政府信息公开查阅场所和公共服务场所，以及乡（镇）政府、村（社区）等基层单位等。</w:t>
      </w:r>
      <w:r>
        <w:rPr>
          <w:rFonts w:hint="eastAsia" w:ascii="仿宋_GB2312" w:eastAsia="仿宋_GB2312"/>
          <w:sz w:val="32"/>
          <w:szCs w:val="32"/>
        </w:rPr>
        <w:t>存在主要问题</w:t>
      </w:r>
      <w:r>
        <w:rPr>
          <w:rFonts w:hint="eastAsia" w:ascii="仿宋_GB2312" w:eastAsia="仿宋_GB2312"/>
          <w:sz w:val="32"/>
          <w:szCs w:val="32"/>
          <w:lang w:eastAsia="zh-CN"/>
        </w:rPr>
        <w:t>：</w:t>
      </w:r>
      <w:r>
        <w:rPr>
          <w:rFonts w:hint="eastAsia" w:ascii="仿宋_GB2312" w:eastAsia="仿宋_GB2312"/>
          <w:sz w:val="32"/>
          <w:szCs w:val="32"/>
        </w:rPr>
        <w:t>一是政府公报知晓度较低。二是政府公报印制周期较长，时效性较低。相关措施建议</w:t>
      </w:r>
      <w:r>
        <w:rPr>
          <w:rFonts w:hint="eastAsia" w:ascii="仿宋_GB2312" w:eastAsia="仿宋_GB2312"/>
          <w:sz w:val="32"/>
          <w:szCs w:val="32"/>
          <w:lang w:eastAsia="zh-CN"/>
        </w:rPr>
        <w:t>：</w:t>
      </w:r>
      <w:r>
        <w:rPr>
          <w:rFonts w:hint="eastAsia" w:ascii="仿宋_GB2312" w:eastAsia="仿宋_GB2312"/>
          <w:sz w:val="32"/>
          <w:szCs w:val="32"/>
          <w:lang w:val="en-US" w:eastAsia="zh-CN"/>
        </w:rPr>
        <w:t>一是</w:t>
      </w:r>
      <w:r>
        <w:rPr>
          <w:rFonts w:hint="eastAsia" w:ascii="仿宋_GB2312" w:eastAsia="仿宋_GB2312"/>
          <w:sz w:val="32"/>
          <w:szCs w:val="32"/>
        </w:rPr>
        <w:t>是优化出刊方式，缩短出刊周期，逐步做到施行前刊登，提高时效性。</w:t>
      </w:r>
      <w:r>
        <w:rPr>
          <w:rFonts w:hint="eastAsia" w:ascii="仿宋_GB2312" w:eastAsia="仿宋_GB2312"/>
          <w:sz w:val="32"/>
          <w:szCs w:val="32"/>
          <w:lang w:val="en-US" w:eastAsia="zh-CN"/>
        </w:rPr>
        <w:t>二是</w:t>
      </w:r>
      <w:r>
        <w:rPr>
          <w:rFonts w:hint="eastAsia" w:ascii="仿宋_GB2312" w:eastAsia="仿宋_GB2312"/>
          <w:sz w:val="32"/>
          <w:szCs w:val="32"/>
        </w:rPr>
        <w:t>是建立统一的政府公报数据库平台并向公众开放，提供目录服务、文件检索等功能，方便公众查阅。</w:t>
      </w:r>
      <w:r>
        <w:rPr>
          <w:rFonts w:hint="eastAsia" w:ascii="仿宋_GB2312" w:eastAsia="仿宋_GB2312"/>
          <w:sz w:val="32"/>
          <w:szCs w:val="32"/>
          <w:lang w:val="en-US" w:eastAsia="zh-CN"/>
        </w:rPr>
        <w:t>三</w:t>
      </w:r>
      <w:r>
        <w:rPr>
          <w:rFonts w:hint="eastAsia" w:ascii="仿宋_GB2312" w:eastAsia="仿宋_GB2312"/>
          <w:sz w:val="32"/>
          <w:szCs w:val="32"/>
        </w:rPr>
        <w:t>是继续将政府公报工作所需经费列入财政预算。</w:t>
      </w:r>
    </w:p>
    <w:p>
      <w:pPr>
        <w:widowControl w:val="0"/>
        <w:numPr>
          <w:numId w:val="0"/>
        </w:numPr>
        <w:spacing w:line="540" w:lineRule="exact"/>
        <w:jc w:val="both"/>
        <w:rPr>
          <w:rFonts w:hint="eastAsia" w:ascii="仿宋_GB2312" w:eastAsia="仿宋_GB2312"/>
          <w:sz w:val="32"/>
          <w:szCs w:val="32"/>
        </w:rPr>
      </w:pPr>
    </w:p>
    <w:p>
      <w:pPr>
        <w:widowControl w:val="0"/>
        <w:numPr>
          <w:numId w:val="0"/>
        </w:numPr>
        <w:spacing w:line="540" w:lineRule="exact"/>
        <w:jc w:val="both"/>
        <w:rPr>
          <w:rFonts w:hint="eastAsia" w:ascii="仿宋_GB2312" w:eastAsia="仿宋_GB2312"/>
          <w:sz w:val="32"/>
          <w:szCs w:val="32"/>
        </w:rPr>
      </w:pPr>
    </w:p>
    <w:p>
      <w:pPr>
        <w:widowControl w:val="0"/>
        <w:numPr>
          <w:numId w:val="0"/>
        </w:numPr>
        <w:spacing w:line="540" w:lineRule="exact"/>
        <w:jc w:val="both"/>
        <w:rPr>
          <w:rFonts w:hint="eastAsia" w:ascii="仿宋_GB2312" w:eastAsia="仿宋_GB2312"/>
          <w:sz w:val="32"/>
          <w:szCs w:val="32"/>
        </w:rPr>
      </w:pPr>
    </w:p>
    <w:p>
      <w:pPr>
        <w:widowControl w:val="0"/>
        <w:numPr>
          <w:numId w:val="0"/>
        </w:numPr>
        <w:spacing w:line="540" w:lineRule="exact"/>
        <w:jc w:val="both"/>
        <w:rPr>
          <w:rFonts w:hint="eastAsia" w:ascii="仿宋_GB2312" w:eastAsia="仿宋_GB2312"/>
          <w:sz w:val="32"/>
          <w:szCs w:val="32"/>
        </w:rPr>
      </w:pPr>
    </w:p>
    <w:p>
      <w:pPr>
        <w:widowControl w:val="0"/>
        <w:numPr>
          <w:numId w:val="0"/>
        </w:numPr>
        <w:spacing w:line="540" w:lineRule="exact"/>
        <w:jc w:val="both"/>
        <w:rPr>
          <w:rFonts w:hint="eastAsia" w:ascii="仿宋_GB2312" w:eastAsia="仿宋_GB2312"/>
          <w:sz w:val="32"/>
          <w:szCs w:val="32"/>
        </w:rPr>
      </w:pPr>
    </w:p>
    <w:p>
      <w:pPr>
        <w:widowControl w:val="0"/>
        <w:numPr>
          <w:numId w:val="0"/>
        </w:numPr>
        <w:spacing w:line="540" w:lineRule="exact"/>
        <w:jc w:val="both"/>
        <w:rPr>
          <w:rFonts w:hint="eastAsia" w:ascii="仿宋_GB2312" w:eastAsia="仿宋_GB2312"/>
          <w:sz w:val="32"/>
          <w:szCs w:val="32"/>
        </w:rPr>
      </w:pPr>
    </w:p>
    <w:tbl>
      <w:tblPr>
        <w:tblStyle w:val="14"/>
        <w:tblpPr w:leftFromText="180" w:rightFromText="180" w:vertAnchor="text" w:horzAnchor="page" w:tblpXSpec="center" w:tblpY="423"/>
        <w:tblOverlap w:val="never"/>
        <w:tblW w:w="9960" w:type="dxa"/>
        <w:tblInd w:w="15"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pPr>
              <w:widowControl/>
              <w:jc w:val="center"/>
              <w:textAlignment w:val="center"/>
              <w:rPr>
                <w:rFonts w:hint="eastAsia" w:ascii="宋体" w:cs="宋体"/>
                <w:color w:val="000000"/>
                <w:kern w:val="0"/>
                <w:sz w:val="36"/>
                <w:szCs w:val="36"/>
                <w:lang w:bidi="ar-SA"/>
              </w:rPr>
            </w:pPr>
            <w:r>
              <w:rPr>
                <w:rFonts w:hint="eastAsia" w:ascii="宋体" w:cs="宋体"/>
                <w:b/>
                <w:bCs/>
                <w:color w:val="000000"/>
                <w:kern w:val="0"/>
                <w:sz w:val="36"/>
                <w:szCs w:val="36"/>
                <w:lang w:bidi="ar-SA"/>
              </w:rPr>
              <w:t>项目绩效目标完成情况表</w:t>
            </w:r>
          </w:p>
          <w:p>
            <w:pPr>
              <w:pStyle w:val="29"/>
              <w:widowControl/>
              <w:ind w:firstLine="0" w:firstLineChars="0"/>
              <w:jc w:val="center"/>
              <w:textAlignment w:val="center"/>
              <w:rPr>
                <w:rFonts w:hint="eastAsia" w:ascii="宋体" w:cs="宋体"/>
                <w:color w:val="000000"/>
                <w:kern w:val="0"/>
                <w:sz w:val="36"/>
                <w:szCs w:val="36"/>
                <w:lang w:bidi="ar-SA"/>
              </w:rPr>
            </w:pPr>
            <w:r>
              <w:rPr>
                <w:rFonts w:hint="eastAsia" w:ascii="宋体" w:cs="宋体"/>
                <w:color w:val="000000"/>
                <w:kern w:val="0"/>
                <w:sz w:val="36"/>
                <w:szCs w:val="36"/>
                <w:lang w:bidi="ar-SA"/>
              </w:rPr>
              <w:t>(2019年度)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阿坝州政府公报制作预算</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宋体"/>
                <w:color w:val="000000"/>
                <w:sz w:val="24"/>
                <w:lang w:bidi="ar-SA"/>
              </w:rPr>
            </w:pPr>
            <w:r>
              <w:rPr>
                <w:rFonts w:hint="eastAsia" w:ascii="仿宋_GB2312" w:hAnsi="仿宋_GB2312" w:cs="宋体"/>
                <w:color w:val="000000"/>
                <w:sz w:val="24"/>
                <w:lang w:bidi="ar-SA"/>
              </w:rPr>
              <w:t>阿坝州大数据中心（原阿坝州政府信息公开办）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bidi="ar-SA"/>
              </w:rPr>
            </w:pPr>
            <w:r>
              <w:rPr>
                <w:rFonts w:hint="eastAsia" w:ascii="宋体" w:cs="宋体"/>
                <w:color w:val="000000"/>
                <w:sz w:val="24"/>
                <w:lang w:bidi="ar-SA"/>
              </w:rPr>
              <w:t>15万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bidi="ar-SA"/>
              </w:rPr>
            </w:pPr>
            <w:r>
              <w:rPr>
                <w:rFonts w:hint="eastAsia" w:ascii="宋体" w:cs="宋体"/>
                <w:color w:val="000000"/>
                <w:sz w:val="24"/>
                <w:lang w:bidi="ar-SA"/>
              </w:rPr>
              <w:t>4.45万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bidi="ar-SA"/>
              </w:rPr>
            </w:pPr>
            <w:r>
              <w:rPr>
                <w:rFonts w:hint="eastAsia" w:ascii="宋体" w:cs="宋体"/>
                <w:color w:val="000000"/>
                <w:sz w:val="24"/>
                <w:lang w:val="en-US" w:eastAsia="zh-CN" w:bidi="ar-SA"/>
              </w:rPr>
              <w:t>15</w:t>
            </w:r>
            <w:r>
              <w:rPr>
                <w:rFonts w:hint="eastAsia" w:ascii="宋体" w:cs="宋体"/>
                <w:color w:val="000000"/>
                <w:sz w:val="24"/>
                <w:lang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bidi="ar-SA"/>
              </w:rPr>
            </w:pPr>
            <w:r>
              <w:rPr>
                <w:rFonts w:hint="eastAsia" w:ascii="宋体" w:cs="宋体"/>
                <w:color w:val="000000"/>
                <w:sz w:val="24"/>
                <w:lang w:bidi="ar-SA"/>
              </w:rPr>
              <w:t>4.45万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0"/>
              </w:numPr>
              <w:ind w:leftChars="0"/>
              <w:jc w:val="both"/>
              <w:textAlignment w:val="center"/>
              <w:rPr>
                <w:rFonts w:hint="eastAsia" w:ascii="仿宋_GB2312" w:hAnsi="仿宋_GB2312" w:cs="宋体"/>
                <w:color w:val="000000"/>
                <w:sz w:val="24"/>
                <w:lang w:bidi="ar-SA"/>
              </w:rPr>
            </w:pPr>
            <w:r>
              <w:rPr>
                <w:rFonts w:ascii="仿宋_GB2312" w:hAnsi="仿宋_GB2312" w:cs="宋体"/>
                <w:color w:val="000000"/>
                <w:sz w:val="24"/>
                <w:lang w:bidi="ar-SA"/>
              </w:rPr>
              <w:t>《阿坝州人民政府公报》刊物栏目主要设有州政府文件、州政府部门规范性文件、人事任免、领导讲话等。办刊周期为双月刊，每期印制4000册，主要实行免费赠阅，重点向基层单位和各类政府主体倾斜。赠阅范围覆盖州、县（市）部门和档案馆、公共图书馆、政务服务中心等政府信息公开查阅场所和公共服务场所，以及乡（镇）政府、村（社区）等基层单位等。</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80" w:lineRule="exact"/>
              <w:ind w:left="0" w:firstLine="0"/>
              <w:textAlignment w:val="center"/>
              <w:rPr>
                <w:rFonts w:hint="eastAsia" w:ascii="仿宋_GB2312" w:hAnsi="仿宋_GB2312" w:cs="宋体"/>
                <w:color w:val="000000"/>
                <w:sz w:val="21"/>
                <w:szCs w:val="21"/>
                <w:lang w:bidi="ar-SA"/>
              </w:rPr>
            </w:pPr>
            <w:r>
              <w:rPr>
                <w:rFonts w:ascii="仿宋_GB2312" w:hAnsi="仿宋_GB2312" w:cs="宋体"/>
                <w:color w:val="000000"/>
                <w:sz w:val="24"/>
                <w:lang w:bidi="ar-SA"/>
              </w:rPr>
              <w:t>完成《阿坝州政府公报》创刊工作。办刊周期为双月刊，每期印制4000册，2019年已发刊3期，主要实行免费赠阅，重点向基层单位和各类政府主体倾斜。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印制份数</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每期印量4000册，全年共3期，全年印量12000册。</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ascii="仿宋_GB2312" w:hAnsi="仿宋_GB2312" w:cs="宋体"/>
                <w:color w:val="000000"/>
                <w:sz w:val="24"/>
                <w:lang w:bidi="ar-SA"/>
              </w:rPr>
              <w:t>赠阅范围覆盖州、县（市）部门和档案馆、公共图书馆、政务服务中心等政府信息公开查阅场所和公共服务场所，以及乡（镇）政府、村（社区）等基层单位等。</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bidi="ar-SA"/>
              </w:rPr>
            </w:pPr>
            <w:r>
              <w:rPr>
                <w:rFonts w:hint="eastAsia" w:ascii="宋体" w:cs="宋体"/>
                <w:color w:val="000000"/>
                <w:sz w:val="24"/>
                <w:lang w:bidi="ar-SA"/>
              </w:rPr>
              <w:t>质量指标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印刷工艺</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1.刊物尺寸：210*285MM（大16开）；</w:t>
            </w:r>
          </w:p>
          <w:p>
            <w:pPr>
              <w:widowControl/>
              <w:jc w:val="center"/>
              <w:textAlignment w:val="center"/>
              <w:rPr>
                <w:rFonts w:hint="eastAsia" w:ascii="宋体" w:cs="宋体"/>
                <w:color w:val="000000"/>
                <w:sz w:val="24"/>
                <w:lang w:bidi="ar-SA"/>
              </w:rPr>
            </w:pPr>
            <w:r>
              <w:rPr>
                <w:rFonts w:hint="eastAsia" w:ascii="宋体" w:cs="宋体"/>
                <w:color w:val="000000"/>
                <w:sz w:val="24"/>
                <w:lang w:bidi="ar-SA"/>
              </w:rPr>
              <w:t>2.刊物封面工艺：封面250g铜板彩色印刷覆哑膜；</w:t>
            </w:r>
          </w:p>
          <w:p>
            <w:pPr>
              <w:widowControl/>
              <w:jc w:val="center"/>
              <w:textAlignment w:val="center"/>
              <w:rPr>
                <w:rFonts w:hint="eastAsia" w:ascii="宋体" w:cs="宋体"/>
                <w:color w:val="000000"/>
                <w:sz w:val="24"/>
                <w:lang w:bidi="ar-SA"/>
              </w:rPr>
            </w:pPr>
            <w:r>
              <w:rPr>
                <w:rFonts w:hint="eastAsia" w:ascii="宋体" w:cs="宋体"/>
                <w:color w:val="000000"/>
                <w:sz w:val="24"/>
                <w:lang w:bidi="ar-SA"/>
              </w:rPr>
              <w:t>3.刊物内页工艺：黑色印刷共46P（45页），80克双胶纸单色印刷，并制作4个独立快速索引章节以提升阅读体验；</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1.刊物尺寸：210*285MM（大16开）；</w:t>
            </w:r>
          </w:p>
          <w:p>
            <w:pPr>
              <w:widowControl/>
              <w:jc w:val="center"/>
              <w:textAlignment w:val="center"/>
              <w:rPr>
                <w:rFonts w:hint="eastAsia" w:ascii="宋体" w:cs="宋体"/>
                <w:color w:val="000000"/>
                <w:sz w:val="24"/>
                <w:lang w:bidi="ar-SA"/>
              </w:rPr>
            </w:pPr>
            <w:r>
              <w:rPr>
                <w:rFonts w:hint="eastAsia" w:ascii="宋体" w:cs="宋体"/>
                <w:color w:val="000000"/>
                <w:sz w:val="24"/>
                <w:lang w:bidi="ar-SA"/>
              </w:rPr>
              <w:t>2.刊物封面工艺：封面250g铜板彩色印刷覆哑膜；</w:t>
            </w:r>
          </w:p>
          <w:p>
            <w:pPr>
              <w:widowControl/>
              <w:spacing w:line="460" w:lineRule="exact"/>
              <w:jc w:val="center"/>
              <w:textAlignment w:val="center"/>
              <w:rPr>
                <w:rFonts w:hint="eastAsia" w:ascii="宋体" w:cs="宋体"/>
                <w:color w:val="000000"/>
                <w:sz w:val="24"/>
                <w:lang w:bidi="ar-SA"/>
              </w:rPr>
            </w:pPr>
            <w:r>
              <w:rPr>
                <w:rFonts w:hint="eastAsia" w:ascii="宋体" w:cs="宋体"/>
                <w:color w:val="000000"/>
                <w:sz w:val="24"/>
                <w:lang w:bidi="ar-SA"/>
              </w:rPr>
              <w:t>3.刊物内页工艺：黑色印刷共46P（45页），80克双胶纸单色印刷，并制作4个独立快速索引章节以提升阅读体验；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bidi="ar-SA"/>
              </w:rPr>
            </w:pPr>
            <w:r>
              <w:rPr>
                <w:rFonts w:hint="eastAsia" w:ascii="宋体" w:cs="宋体"/>
                <w:color w:val="000000"/>
                <w:sz w:val="24"/>
                <w:lang w:bidi="ar-SA"/>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宋体"/>
                <w:color w:val="000000"/>
                <w:sz w:val="24"/>
                <w:lang w:bidi="ar-SA"/>
              </w:rPr>
            </w:pPr>
            <w:r>
              <w:rPr>
                <w:rFonts w:ascii="仿宋_GB2312" w:hAnsi="仿宋_GB2312" w:cs="宋体"/>
                <w:color w:val="000000"/>
                <w:sz w:val="24"/>
                <w:lang w:bidi="ar-SA"/>
              </w:rPr>
              <w:t>投递时限</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left="0"/>
              <w:rPr>
                <w:rFonts w:hint="eastAsia" w:ascii="宋体" w:cs="宋体"/>
                <w:color w:val="000000"/>
                <w:sz w:val="24"/>
                <w:lang w:bidi="ar-SA"/>
              </w:rPr>
            </w:pPr>
            <w:r>
              <w:rPr>
                <w:rFonts w:hint="eastAsia" w:ascii="宋体" w:cs="宋体"/>
                <w:color w:val="000000"/>
                <w:sz w:val="24"/>
                <w:lang w:bidi="ar-SA"/>
              </w:rPr>
              <w:t>乙方根据甲方提供州人民政府公报赠阅范围清单进行精准运输投递，确保赠阅范围对象按时接收到刊物。</w:t>
            </w:r>
          </w:p>
          <w:p>
            <w:pPr>
              <w:widowControl/>
              <w:jc w:val="center"/>
              <w:textAlignment w:val="center"/>
              <w:rPr>
                <w:rFonts w:hint="eastAsia" w:ascii="仿宋_GB2312" w:hAnsi="仿宋_GB2312"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80" w:lineRule="exact"/>
              <w:jc w:val="center"/>
              <w:textAlignment w:val="center"/>
              <w:rPr>
                <w:rFonts w:hint="eastAsia" w:ascii="仿宋_GB2312" w:hAnsi="仿宋_GB2312" w:cs="宋体"/>
                <w:color w:val="000000"/>
                <w:sz w:val="24"/>
                <w:lang w:bidi="ar-SA"/>
              </w:rPr>
            </w:pPr>
            <w:r>
              <w:rPr>
                <w:rFonts w:ascii="仿宋_GB2312" w:hAnsi="仿宋_GB2312" w:cs="宋体"/>
                <w:color w:val="000000"/>
                <w:sz w:val="24"/>
                <w:lang w:bidi="ar-SA"/>
              </w:rPr>
              <w:t>乙方在书刊制作完成后5日历天内按照甲方提供的运输投递名单开展投递运输工作，对专递名单按名单开展邮政专递服务。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kern w:val="0"/>
                <w:sz w:val="24"/>
                <w:lang w:bidi="ar-SA"/>
              </w:rPr>
            </w:pPr>
            <w:r>
              <w:rPr>
                <w:rFonts w:hint="eastAsia" w:ascii="宋体" w:cs="宋体"/>
                <w:color w:val="000000"/>
                <w:kern w:val="0"/>
                <w:sz w:val="24"/>
                <w:lang w:bidi="ar-SA"/>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宋体"/>
                <w:color w:val="000000"/>
                <w:sz w:val="24"/>
                <w:lang w:bidi="ar-SA"/>
              </w:rPr>
            </w:pPr>
            <w:r>
              <w:rPr>
                <w:rFonts w:ascii="仿宋_GB2312" w:hAnsi="仿宋_GB2312" w:cs="宋体"/>
                <w:color w:val="000000"/>
                <w:sz w:val="24"/>
                <w:lang w:bidi="ar-SA"/>
              </w:rPr>
              <w:t>公开渠道</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宋体"/>
                <w:color w:val="000000"/>
                <w:sz w:val="24"/>
                <w:lang w:bidi="ar-SA"/>
              </w:rPr>
            </w:pPr>
            <w:r>
              <w:rPr>
                <w:rFonts w:ascii="仿宋_GB2312" w:hAnsi="仿宋_GB2312" w:cs="宋体"/>
                <w:color w:val="000000"/>
                <w:sz w:val="24"/>
                <w:lang w:bidi="ar-SA"/>
              </w:rPr>
              <w:t>办好政府公报电子版</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80" w:lineRule="exact"/>
              <w:jc w:val="center"/>
              <w:textAlignment w:val="center"/>
              <w:rPr>
                <w:rFonts w:hint="eastAsia" w:ascii="仿宋_GB2312" w:hAnsi="仿宋_GB2312" w:cs="宋体"/>
                <w:color w:val="000000"/>
                <w:sz w:val="24"/>
                <w:lang w:bidi="ar-SA"/>
              </w:rPr>
            </w:pPr>
            <w:r>
              <w:rPr>
                <w:rFonts w:ascii="仿宋_GB2312" w:hAnsi="仿宋_GB2312" w:cs="宋体"/>
                <w:color w:val="000000"/>
                <w:sz w:val="24"/>
                <w:lang w:bidi="ar-SA"/>
              </w:rPr>
              <w:t>充分发挥互联网覆盖面广、传播迅速、便于查询的优势，开办政府公报电子版，进一步扩大公报受众面。</w:t>
            </w:r>
          </w:p>
        </w:tc>
      </w:tr>
    </w:tbl>
    <w:p>
      <w:pPr>
        <w:pageBreakBefore w:val="0"/>
        <w:numPr>
          <w:ilvl w:val="0"/>
          <w:numId w:val="4"/>
        </w:numPr>
        <w:kinsoku/>
        <w:wordWrap/>
        <w:overflowPunct/>
        <w:topLinePunct w:val="0"/>
        <w:bidi w:val="0"/>
        <w:spacing w:line="56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pageBreakBefore w:val="0"/>
        <w:kinsoku/>
        <w:wordWrap/>
        <w:overflowPunct/>
        <w:topLinePunct w:val="0"/>
        <w:bidi w:val="0"/>
        <w:spacing w:line="560" w:lineRule="exact"/>
        <w:ind w:firstLine="640" w:firstLineChars="200"/>
        <w:jc w:val="both"/>
        <w:rPr>
          <w:rFonts w:hint="default" w:ascii="仿宋" w:hAnsi="仿宋" w:eastAsia="仿宋" w:cs="仿宋"/>
          <w:sz w:val="32"/>
          <w:szCs w:val="32"/>
          <w:lang w:val="en-US" w:eastAsia="zh-CN"/>
        </w:rPr>
      </w:pPr>
      <w:bookmarkStart w:id="49" w:name="_Toc15377221"/>
      <w:bookmarkStart w:id="50" w:name="_Toc15396612"/>
      <w:r>
        <w:rPr>
          <w:rFonts w:hint="eastAsia" w:ascii="仿宋" w:hAnsi="仿宋" w:eastAsia="仿宋" w:cs="仿宋"/>
          <w:sz w:val="32"/>
          <w:szCs w:val="32"/>
          <w:lang w:eastAsia="zh-CN"/>
        </w:rPr>
        <w:t>《</w:t>
      </w:r>
      <w:r>
        <w:rPr>
          <w:rFonts w:hint="eastAsia" w:ascii="仿宋" w:hAnsi="仿宋" w:eastAsia="仿宋" w:cs="仿宋"/>
          <w:sz w:val="32"/>
          <w:szCs w:val="32"/>
        </w:rPr>
        <w:t>阿坝州人民政府办公室2019年部门</w:t>
      </w:r>
      <w:r>
        <w:rPr>
          <w:rFonts w:hint="eastAsia" w:ascii="仿宋" w:hAnsi="仿宋" w:eastAsia="仿宋" w:cs="仿宋"/>
          <w:sz w:val="32"/>
          <w:szCs w:val="32"/>
          <w:lang w:val="en-US" w:eastAsia="zh-CN"/>
        </w:rPr>
        <w:t>整体</w:t>
      </w:r>
      <w:r>
        <w:rPr>
          <w:rFonts w:hint="eastAsia" w:ascii="仿宋" w:hAnsi="仿宋" w:eastAsia="仿宋" w:cs="仿宋"/>
          <w:sz w:val="32"/>
          <w:szCs w:val="32"/>
        </w:rPr>
        <w:t>支出绩效</w:t>
      </w:r>
      <w:r>
        <w:rPr>
          <w:rFonts w:hint="eastAsia" w:ascii="仿宋" w:hAnsi="仿宋" w:eastAsia="仿宋" w:cs="仿宋"/>
          <w:sz w:val="32"/>
          <w:szCs w:val="32"/>
          <w:lang w:val="en-US" w:eastAsia="zh-CN"/>
        </w:rPr>
        <w:t>评价</w:t>
      </w:r>
      <w:r>
        <w:rPr>
          <w:rFonts w:hint="eastAsia" w:ascii="仿宋" w:hAnsi="仿宋" w:eastAsia="仿宋" w:cs="仿宋"/>
          <w:sz w:val="32"/>
          <w:szCs w:val="32"/>
        </w:rPr>
        <w:t>报告</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在阿坝州人民政府办公室部门决算公开中进行报告。</w:t>
      </w:r>
    </w:p>
    <w:p>
      <w:pPr>
        <w:pageBreakBefore w:val="0"/>
        <w:kinsoku/>
        <w:wordWrap/>
        <w:overflowPunct/>
        <w:topLinePunct w:val="0"/>
        <w:bidi w:val="0"/>
        <w:spacing w:line="560" w:lineRule="exact"/>
        <w:ind w:firstLine="640" w:firstLineChars="200"/>
        <w:outlineLvl w:val="1"/>
        <w:rPr>
          <w:rStyle w:val="19"/>
          <w:rFonts w:ascii="黑体" w:hAnsi="黑体" w:eastAsia="黑体"/>
        </w:rPr>
      </w:pPr>
      <w:r>
        <w:rPr>
          <w:rFonts w:hint="eastAsia" w:ascii="黑体" w:hAnsi="黑体" w:eastAsia="黑体"/>
          <w:color w:val="000000"/>
          <w:sz w:val="32"/>
          <w:szCs w:val="32"/>
        </w:rPr>
        <w:t>十</w:t>
      </w:r>
      <w:r>
        <w:rPr>
          <w:rStyle w:val="19"/>
          <w:rFonts w:hint="eastAsia" w:ascii="黑体" w:hAnsi="黑体" w:eastAsia="黑体"/>
        </w:rPr>
        <w:t>一、</w:t>
      </w:r>
      <w:r>
        <w:rPr>
          <w:rStyle w:val="19"/>
          <w:rFonts w:hint="eastAsia" w:ascii="黑体" w:hAnsi="黑体" w:eastAsia="黑体"/>
          <w:b w:val="0"/>
        </w:rPr>
        <w:t>其他重要事项的情况说明</w:t>
      </w:r>
      <w:bookmarkEnd w:id="49"/>
      <w:bookmarkEnd w:id="50"/>
    </w:p>
    <w:p>
      <w:pPr>
        <w:pageBreakBefore w:val="0"/>
        <w:kinsoku/>
        <w:wordWrap/>
        <w:overflowPunct/>
        <w:topLinePunct w:val="0"/>
        <w:bidi w:val="0"/>
        <w:spacing w:line="56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bookmarkEnd w:id="48"/>
    </w:p>
    <w:p>
      <w:pPr>
        <w:pageBreakBefore w:val="0"/>
        <w:kinsoku/>
        <w:wordWrap/>
        <w:overflowPunct/>
        <w:topLinePunct w:val="0"/>
        <w:bidi w:val="0"/>
        <w:spacing w:line="560" w:lineRule="exact"/>
        <w:ind w:firstLine="640" w:firstLineChars="200"/>
        <w:rPr>
          <w:rFonts w:hint="default" w:ascii="仿宋" w:hAnsi="仿宋" w:eastAsia="仿宋_GB2312"/>
          <w:b/>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年，机关运行经费支出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原因为单位属事业编制性质单位，机关运行经费支出在2019年部门决算中未体现。</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pPr>
        <w:pageBreakBefore w:val="0"/>
        <w:kinsoku/>
        <w:wordWrap/>
        <w:overflowPunct/>
        <w:topLinePunct w:val="0"/>
        <w:bidi w:val="0"/>
        <w:spacing w:line="560" w:lineRule="exact"/>
        <w:ind w:firstLine="640" w:firstLineChars="200"/>
        <w:rPr>
          <w:rFonts w:hint="default" w:ascii="仿宋" w:hAnsi="仿宋" w:eastAsia="仿宋"/>
          <w:b/>
          <w:color w:val="FF0000"/>
          <w:sz w:val="32"/>
          <w:szCs w:val="32"/>
          <w:lang w:val="en-US" w:eastAsia="zh-CN"/>
        </w:rPr>
      </w:pPr>
      <w:bookmarkStart w:id="52" w:name="_Toc15377224"/>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1753.27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958.12</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795.15</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val="en-US" w:eastAsia="zh-CN"/>
        </w:rPr>
        <w:t>阿坝州政务云和政务大数据平台建设、政务云监管平台建设、政府网站集约化建设、州级电子政务外网网络租赁费等。</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52"/>
    </w:p>
    <w:p>
      <w:pPr>
        <w:pageBreakBefore w:val="0"/>
        <w:widowControl/>
        <w:kinsoku/>
        <w:wordWrap/>
        <w:overflowPunct/>
        <w:topLinePunct w:val="0"/>
        <w:bidi w:val="0"/>
        <w:spacing w:line="560" w:lineRule="exact"/>
        <w:ind w:firstLine="640" w:firstLineChars="200"/>
        <w:jc w:val="left"/>
        <w:rPr>
          <w:rFonts w:hint="default"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共有车辆1台。</w:t>
      </w:r>
    </w:p>
    <w:p>
      <w:pPr>
        <w:pageBreakBefore w:val="0"/>
        <w:numPr>
          <w:ilvl w:val="0"/>
          <w:numId w:val="4"/>
        </w:numPr>
        <w:kinsoku/>
        <w:wordWrap/>
        <w:overflowPunct/>
        <w:topLinePunct w:val="0"/>
        <w:autoSpaceDE w:val="0"/>
        <w:autoSpaceDN w:val="0"/>
        <w:bidi w:val="0"/>
        <w:adjustRightInd w:val="0"/>
        <w:spacing w:line="560" w:lineRule="exact"/>
        <w:ind w:left="0" w:leftChars="0" w:firstLine="643" w:firstLineChars="200"/>
        <w:jc w:val="left"/>
        <w:outlineLvl w:val="2"/>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其他</w:t>
      </w:r>
    </w:p>
    <w:p>
      <w:pPr>
        <w:pageBreakBefore w:val="0"/>
        <w:widowControl/>
        <w:kinsoku/>
        <w:wordWrap/>
        <w:overflowPunct/>
        <w:topLinePunct w:val="0"/>
        <w:bidi w:val="0"/>
        <w:spacing w:line="560" w:lineRule="exact"/>
        <w:ind w:firstLine="640" w:firstLineChars="200"/>
        <w:jc w:val="left"/>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根据《中共阿坝州委 阿坝州人民政府关于印发阿坝州机构改革方案的通知》(阿委发</w:t>
      </w:r>
      <w:r>
        <w:rPr>
          <w:rFonts w:hint="eastAsia" w:ascii="仿宋_GB2312" w:eastAsia="仿宋_GB2312" w:cs="仿宋_GB2312"/>
          <w:sz w:val="32"/>
          <w:szCs w:val="32"/>
        </w:rPr>
        <w:t>〔</w:t>
      </w:r>
      <w:r>
        <w:rPr>
          <w:rFonts w:hint="eastAsia" w:ascii="仿宋_GB2312" w:eastAsia="仿宋_GB2312"/>
          <w:color w:val="000000"/>
          <w:sz w:val="32"/>
          <w:szCs w:val="32"/>
          <w:lang w:val="en-US" w:eastAsia="zh-CN"/>
        </w:rPr>
        <w:t>2019</w:t>
      </w:r>
      <w:r>
        <w:rPr>
          <w:rFonts w:hint="eastAsia" w:ascii="仿宋_GB2312" w:eastAsia="仿宋_GB2312" w:cs="仿宋_GB2312"/>
          <w:sz w:val="32"/>
          <w:szCs w:val="32"/>
        </w:rPr>
        <w:t>〕</w:t>
      </w:r>
      <w:r>
        <w:rPr>
          <w:rFonts w:hint="eastAsia" w:ascii="仿宋_GB2312" w:eastAsia="仿宋_GB2312"/>
          <w:color w:val="000000"/>
          <w:sz w:val="32"/>
          <w:szCs w:val="32"/>
          <w:lang w:val="en-US" w:eastAsia="zh-CN"/>
        </w:rPr>
        <w:t>3）和《阿坝州深化机构改革工作领导小组 中共阿坝州委机构编制委员会印发关于&lt;阿坝州机构改革方案&gt;的实施意见的通知》(阿机改办</w:t>
      </w:r>
      <w:r>
        <w:rPr>
          <w:rFonts w:hint="eastAsia" w:ascii="仿宋_GB2312" w:eastAsia="仿宋_GB2312" w:cs="仿宋_GB2312"/>
          <w:sz w:val="32"/>
          <w:szCs w:val="32"/>
        </w:rPr>
        <w:t>〔</w:t>
      </w:r>
      <w:r>
        <w:rPr>
          <w:rFonts w:hint="eastAsia" w:ascii="仿宋_GB2312" w:eastAsia="仿宋_GB2312"/>
          <w:color w:val="000000"/>
          <w:sz w:val="32"/>
          <w:szCs w:val="32"/>
          <w:lang w:val="en-US" w:eastAsia="zh-CN"/>
        </w:rPr>
        <w:t>2019</w:t>
      </w:r>
      <w:r>
        <w:rPr>
          <w:rFonts w:hint="eastAsia" w:ascii="仿宋_GB2312" w:eastAsia="仿宋_GB2312" w:cs="仿宋_GB2312"/>
          <w:sz w:val="32"/>
          <w:szCs w:val="32"/>
        </w:rPr>
        <w:t>〕</w:t>
      </w:r>
      <w:r>
        <w:rPr>
          <w:rFonts w:hint="eastAsia" w:ascii="仿宋_GB2312" w:eastAsia="仿宋_GB2312"/>
          <w:color w:val="000000"/>
          <w:sz w:val="32"/>
          <w:szCs w:val="32"/>
          <w:lang w:val="en-US" w:eastAsia="zh-CN"/>
        </w:rPr>
        <w:t>2号)文件要求，2019年3月，撤销原阿坝州政府金融办，由州政府办挂牌为金融工作局，但部门预算和部门决算名称未进行修改。</w:t>
      </w:r>
    </w:p>
    <w:p>
      <w:pPr>
        <w:pageBreakBefore w:val="0"/>
        <w:widowControl/>
        <w:kinsoku/>
        <w:wordWrap/>
        <w:overflowPunct/>
        <w:topLinePunct w:val="0"/>
        <w:bidi w:val="0"/>
        <w:spacing w:line="560" w:lineRule="exact"/>
        <w:ind w:firstLine="640" w:firstLineChars="200"/>
        <w:jc w:val="left"/>
        <w:rPr>
          <w:rFonts w:hint="eastAsia" w:ascii="仿宋_GB2312" w:eastAsia="仿宋_GB2312"/>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0"/>
        </w:numPr>
        <w:kinsoku/>
        <w:wordWrap/>
        <w:overflowPunct/>
        <w:topLinePunct w:val="0"/>
        <w:autoSpaceDE w:val="0"/>
        <w:autoSpaceDN w:val="0"/>
        <w:bidi w:val="0"/>
        <w:adjustRightInd w:val="0"/>
        <w:spacing w:line="560" w:lineRule="exact"/>
        <w:ind w:leftChars="200"/>
        <w:jc w:val="left"/>
        <w:outlineLvl w:val="2"/>
        <w:rPr>
          <w:rFonts w:hint="eastAsia" w:ascii="仿宋" w:hAnsi="仿宋" w:eastAsia="仿宋"/>
          <w:b/>
          <w:color w:val="000000"/>
          <w:sz w:val="32"/>
          <w:szCs w:val="32"/>
          <w:lang w:val="en-US" w:eastAsia="zh-CN"/>
        </w:rPr>
      </w:pPr>
    </w:p>
    <w:p>
      <w:pPr>
        <w:pageBreakBefore w:val="0"/>
        <w:numPr>
          <w:ilvl w:val="0"/>
          <w:numId w:val="7"/>
        </w:numPr>
        <w:kinsoku/>
        <w:wordWrap/>
        <w:overflowPunct/>
        <w:topLinePunct w:val="0"/>
        <w:bidi w:val="0"/>
        <w:spacing w:line="560" w:lineRule="exact"/>
        <w:ind w:firstLine="883" w:firstLineChars="200"/>
        <w:jc w:val="center"/>
        <w:outlineLvl w:val="0"/>
        <w:rPr>
          <w:rStyle w:val="18"/>
          <w:rFonts w:ascii="黑体" w:hAnsi="黑体" w:eastAsia="黑体"/>
          <w:b w:val="0"/>
        </w:rPr>
      </w:pPr>
      <w:bookmarkStart w:id="53" w:name="_Toc15377225"/>
      <w:bookmarkStart w:id="54" w:name="_Toc15396613"/>
      <w:r>
        <w:rPr>
          <w:rFonts w:hint="eastAsia" w:ascii="黑体" w:hAnsi="黑体" w:eastAsia="黑体"/>
          <w:b/>
          <w:color w:val="000000"/>
          <w:sz w:val="44"/>
          <w:szCs w:val="44"/>
        </w:rPr>
        <w:t>名</w:t>
      </w:r>
      <w:r>
        <w:rPr>
          <w:rStyle w:val="18"/>
          <w:rFonts w:hint="eastAsia" w:ascii="黑体" w:hAnsi="黑体" w:eastAsia="黑体"/>
          <w:b w:val="0"/>
        </w:rPr>
        <w:t>词解释</w:t>
      </w:r>
      <w:bookmarkEnd w:id="53"/>
      <w:bookmarkEnd w:id="54"/>
    </w:p>
    <w:p>
      <w:pPr>
        <w:pageBreakBefore w:val="0"/>
        <w:kinsoku/>
        <w:wordWrap/>
        <w:overflowPunct/>
        <w:topLinePunct w:val="0"/>
        <w:bidi w:val="0"/>
        <w:spacing w:line="560" w:lineRule="exact"/>
        <w:ind w:firstLine="883" w:firstLineChars="200"/>
        <w:jc w:val="left"/>
        <w:rPr>
          <w:rFonts w:ascii="宋体"/>
          <w:b/>
          <w:color w:val="000000"/>
          <w:sz w:val="44"/>
          <w:szCs w:val="44"/>
        </w:rPr>
      </w:pPr>
    </w:p>
    <w:p>
      <w:pPr>
        <w:pStyle w:val="28"/>
        <w:pageBreakBefore w:val="0"/>
        <w:kinsoku/>
        <w:wordWrap/>
        <w:overflowPunct/>
        <w:topLinePunct w:val="0"/>
        <w:bidi w:val="0"/>
        <w:spacing w:line="560" w:lineRule="exact"/>
        <w:ind w:firstLine="640" w:firstLineChars="200"/>
        <w:rPr>
          <w:rFonts w:ascii="仿宋_GB2312" w:eastAsia="仿宋_GB2312"/>
          <w:sz w:val="32"/>
          <w:szCs w:val="32"/>
        </w:rPr>
      </w:pPr>
      <w:bookmarkStart w:id="55"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p>
    <w:p>
      <w:pPr>
        <w:pStyle w:val="28"/>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p>
    <w:p>
      <w:pPr>
        <w:pStyle w:val="28"/>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lang w:val="en-US" w:eastAsia="zh-CN"/>
        </w:rPr>
        <w:t>.</w:t>
      </w:r>
      <w:bookmarkStart w:id="69" w:name="_GoBack"/>
      <w:bookmarkEnd w:id="69"/>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hAnsi="Calibri"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hAnsi="Calibri"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hAnsi="Calibri"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hAnsi="Calibri"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hAnsi="Calibri"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医疗卫生与计划生育（类）行政事业单位医疗（款）行政单位医疗（项）：指反映职工缴纳的基本医疗保险费。</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住房保障（类）住房改革支出（款）住房公积金（项）：指单位按规定为职工缴纳的住房公积金。</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p>
    <w:p>
      <w:pPr>
        <w:pStyle w:val="28"/>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60" w:lineRule="exact"/>
        <w:jc w:val="both"/>
        <w:outlineLvl w:val="0"/>
        <w:rPr>
          <w:rFonts w:ascii="黑体" w:hAnsi="黑体" w:eastAsia="黑体"/>
          <w:color w:val="000000"/>
          <w:sz w:val="44"/>
          <w:szCs w:val="44"/>
        </w:rPr>
      </w:pPr>
      <w:bookmarkStart w:id="56" w:name="_Toc15396618"/>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60" w:lineRule="exact"/>
        <w:jc w:val="both"/>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exact"/>
        <w:ind w:firstLine="880" w:firstLineChars="200"/>
        <w:jc w:val="center"/>
        <w:outlineLvl w:val="0"/>
        <w:rPr>
          <w:rStyle w:val="18"/>
          <w:rFonts w:ascii="黑体" w:hAnsi="黑体" w:eastAsia="黑体"/>
          <w:b w:val="0"/>
        </w:rPr>
      </w:pPr>
      <w:r>
        <w:rPr>
          <w:rFonts w:hint="eastAsia" w:ascii="黑体" w:hAnsi="黑体" w:eastAsia="黑体"/>
          <w:color w:val="000000"/>
          <w:sz w:val="44"/>
          <w:szCs w:val="44"/>
        </w:rPr>
        <w:t>第</w:t>
      </w:r>
      <w:r>
        <w:rPr>
          <w:rStyle w:val="18"/>
          <w:rFonts w:hint="eastAsia" w:ascii="黑体" w:hAnsi="黑体" w:eastAsia="黑体"/>
          <w:b w:val="0"/>
        </w:rPr>
        <w:t>五部分</w:t>
      </w:r>
      <w:r>
        <w:rPr>
          <w:rStyle w:val="18"/>
          <w:rFonts w:ascii="黑体" w:hAnsi="黑体" w:eastAsia="黑体"/>
          <w:b w:val="0"/>
        </w:rPr>
        <w:t xml:space="preserve"> </w:t>
      </w:r>
      <w:r>
        <w:rPr>
          <w:rStyle w:val="18"/>
          <w:rFonts w:hint="eastAsia" w:ascii="黑体" w:hAnsi="黑体" w:eastAsia="黑体"/>
          <w:b w:val="0"/>
        </w:rPr>
        <w:t>附表</w:t>
      </w:r>
      <w:bookmarkEnd w:id="55"/>
      <w:bookmarkEnd w:id="56"/>
    </w:p>
    <w:p>
      <w:pPr>
        <w:pageBreakBefore w:val="0"/>
        <w:kinsoku/>
        <w:wordWrap/>
        <w:overflowPunct/>
        <w:topLinePunct w:val="0"/>
        <w:bidi w:val="0"/>
        <w:spacing w:line="560" w:lineRule="exact"/>
        <w:ind w:firstLine="883" w:firstLineChars="200"/>
        <w:jc w:val="center"/>
        <w:outlineLvl w:val="0"/>
        <w:rPr>
          <w:rFonts w:ascii="仿宋" w:hAnsi="仿宋" w:eastAsia="仿宋"/>
          <w:b/>
          <w:color w:val="000000"/>
          <w:sz w:val="44"/>
          <w:szCs w:val="44"/>
        </w:rPr>
      </w:pPr>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57" w:name="_Toc15396619"/>
      <w:r>
        <w:rPr>
          <w:rFonts w:hint="eastAsia" w:ascii="仿宋" w:hAnsi="仿宋" w:eastAsia="仿宋"/>
          <w:b w:val="0"/>
          <w:color w:val="000000"/>
        </w:rPr>
        <w:t>一、收</w:t>
      </w:r>
      <w:r>
        <w:rPr>
          <w:rStyle w:val="19"/>
          <w:rFonts w:hint="eastAsia" w:ascii="仿宋" w:hAnsi="仿宋" w:eastAsia="仿宋"/>
          <w:b w:val="0"/>
          <w:bCs w:val="0"/>
        </w:rPr>
        <w:t>入支出决算总表</w:t>
      </w:r>
      <w:bookmarkEnd w:id="57"/>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58" w:name="_Toc15396620"/>
      <w:r>
        <w:rPr>
          <w:rFonts w:hint="eastAsia" w:ascii="仿宋" w:hAnsi="仿宋" w:eastAsia="仿宋"/>
          <w:b w:val="0"/>
          <w:color w:val="000000"/>
        </w:rPr>
        <w:t>二、收</w:t>
      </w:r>
      <w:r>
        <w:rPr>
          <w:rStyle w:val="19"/>
          <w:rFonts w:hint="eastAsia" w:ascii="仿宋" w:hAnsi="仿宋" w:eastAsia="仿宋"/>
          <w:b w:val="0"/>
          <w:bCs w:val="0"/>
        </w:rPr>
        <w:t>入总表</w:t>
      </w:r>
      <w:bookmarkEnd w:id="58"/>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59" w:name="_Toc15396621"/>
      <w:r>
        <w:rPr>
          <w:rStyle w:val="19"/>
          <w:rFonts w:hint="eastAsia" w:ascii="仿宋" w:hAnsi="仿宋" w:eastAsia="仿宋"/>
          <w:b w:val="0"/>
          <w:bCs w:val="0"/>
        </w:rPr>
        <w:t>三、</w:t>
      </w:r>
      <w:r>
        <w:rPr>
          <w:rFonts w:hint="eastAsia" w:ascii="仿宋" w:hAnsi="仿宋" w:eastAsia="仿宋"/>
          <w:b w:val="0"/>
          <w:color w:val="000000"/>
        </w:rPr>
        <w:t>支</w:t>
      </w:r>
      <w:r>
        <w:rPr>
          <w:rStyle w:val="19"/>
          <w:rFonts w:hint="eastAsia" w:ascii="仿宋" w:hAnsi="仿宋" w:eastAsia="仿宋"/>
          <w:b w:val="0"/>
          <w:bCs w:val="0"/>
        </w:rPr>
        <w:t>出总表</w:t>
      </w:r>
      <w:bookmarkEnd w:id="59"/>
    </w:p>
    <w:p>
      <w:pPr>
        <w:pStyle w:val="3"/>
        <w:pageBreakBefore w:val="0"/>
        <w:kinsoku/>
        <w:wordWrap/>
        <w:overflowPunct/>
        <w:topLinePunct w:val="0"/>
        <w:bidi w:val="0"/>
        <w:spacing w:line="560" w:lineRule="exact"/>
        <w:ind w:firstLine="640" w:firstLineChars="200"/>
        <w:rPr>
          <w:rFonts w:ascii="仿宋" w:hAnsi="仿宋" w:eastAsia="仿宋"/>
          <w:b w:val="0"/>
          <w:color w:val="000000"/>
        </w:rPr>
      </w:pPr>
      <w:bookmarkStart w:id="60" w:name="_Toc15396622"/>
      <w:r>
        <w:rPr>
          <w:rStyle w:val="19"/>
          <w:rFonts w:hint="eastAsia" w:ascii="仿宋" w:hAnsi="仿宋" w:eastAsia="仿宋"/>
          <w:b w:val="0"/>
          <w:bCs w:val="0"/>
        </w:rPr>
        <w:t>四、</w:t>
      </w:r>
      <w:r>
        <w:rPr>
          <w:rFonts w:hint="eastAsia" w:ascii="仿宋" w:hAnsi="仿宋" w:eastAsia="仿宋"/>
          <w:b w:val="0"/>
          <w:color w:val="000000"/>
        </w:rPr>
        <w:t>财</w:t>
      </w:r>
      <w:r>
        <w:rPr>
          <w:rStyle w:val="19"/>
          <w:rFonts w:hint="eastAsia" w:ascii="仿宋" w:hAnsi="仿宋" w:eastAsia="仿宋"/>
          <w:b w:val="0"/>
          <w:bCs w:val="0"/>
        </w:rPr>
        <w:t>政拨款收入支出决算总表</w:t>
      </w:r>
      <w:bookmarkEnd w:id="60"/>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61" w:name="_Toc15396623"/>
      <w:r>
        <w:rPr>
          <w:rStyle w:val="19"/>
          <w:rFonts w:hint="eastAsia" w:ascii="仿宋" w:hAnsi="仿宋" w:eastAsia="仿宋"/>
          <w:b w:val="0"/>
          <w:bCs w:val="0"/>
        </w:rPr>
        <w:t>五、</w:t>
      </w:r>
      <w:r>
        <w:rPr>
          <w:rFonts w:hint="eastAsia" w:ascii="仿宋" w:hAnsi="仿宋" w:eastAsia="仿宋"/>
          <w:b w:val="0"/>
          <w:color w:val="000000"/>
        </w:rPr>
        <w:t>财</w:t>
      </w:r>
      <w:r>
        <w:rPr>
          <w:rStyle w:val="19"/>
          <w:rFonts w:hint="eastAsia" w:ascii="仿宋" w:hAnsi="仿宋" w:eastAsia="仿宋"/>
          <w:b w:val="0"/>
          <w:bCs w:val="0"/>
        </w:rPr>
        <w:t>政拨款支出决算明细表（政府经济分类科目）</w:t>
      </w:r>
      <w:bookmarkEnd w:id="61"/>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62" w:name="_Toc15396624"/>
      <w:r>
        <w:rPr>
          <w:rStyle w:val="19"/>
          <w:rFonts w:hint="eastAsia" w:ascii="仿宋" w:hAnsi="仿宋" w:eastAsia="仿宋"/>
          <w:b w:val="0"/>
          <w:bCs w:val="0"/>
        </w:rPr>
        <w:t>六、</w:t>
      </w:r>
      <w:r>
        <w:rPr>
          <w:rFonts w:hint="eastAsia" w:ascii="仿宋" w:hAnsi="仿宋" w:eastAsia="仿宋"/>
          <w:b w:val="0"/>
          <w:color w:val="000000"/>
        </w:rPr>
        <w:t>一</w:t>
      </w:r>
      <w:r>
        <w:rPr>
          <w:rStyle w:val="19"/>
          <w:rFonts w:hint="eastAsia" w:ascii="仿宋" w:hAnsi="仿宋" w:eastAsia="仿宋"/>
          <w:b w:val="0"/>
          <w:bCs w:val="0"/>
        </w:rPr>
        <w:t>般公共预算财政拨款支出决算表</w:t>
      </w:r>
      <w:bookmarkEnd w:id="62"/>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63" w:name="_Toc15396625"/>
      <w:r>
        <w:rPr>
          <w:rStyle w:val="19"/>
          <w:rFonts w:hint="eastAsia" w:ascii="仿宋" w:hAnsi="仿宋" w:eastAsia="仿宋"/>
          <w:b w:val="0"/>
          <w:bCs w:val="0"/>
        </w:rPr>
        <w:t>七、</w:t>
      </w:r>
      <w:r>
        <w:rPr>
          <w:rFonts w:hint="eastAsia" w:ascii="仿宋" w:hAnsi="仿宋" w:eastAsia="仿宋"/>
          <w:b w:val="0"/>
          <w:color w:val="000000"/>
        </w:rPr>
        <w:t>一</w:t>
      </w:r>
      <w:r>
        <w:rPr>
          <w:rStyle w:val="19"/>
          <w:rFonts w:hint="eastAsia" w:ascii="仿宋" w:hAnsi="仿宋" w:eastAsia="仿宋"/>
          <w:b w:val="0"/>
          <w:bCs w:val="0"/>
        </w:rPr>
        <w:t>般公共预算财政拨款支出决算明细表</w:t>
      </w:r>
      <w:bookmarkEnd w:id="63"/>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64" w:name="_Toc15396626"/>
      <w:r>
        <w:rPr>
          <w:rStyle w:val="19"/>
          <w:rFonts w:hint="eastAsia" w:ascii="仿宋" w:hAnsi="仿宋" w:eastAsia="仿宋"/>
          <w:b w:val="0"/>
          <w:bCs w:val="0"/>
        </w:rPr>
        <w:t>八、</w:t>
      </w:r>
      <w:r>
        <w:rPr>
          <w:rFonts w:hint="eastAsia" w:ascii="仿宋" w:hAnsi="仿宋" w:eastAsia="仿宋"/>
          <w:b w:val="0"/>
          <w:color w:val="000000"/>
        </w:rPr>
        <w:t>一</w:t>
      </w:r>
      <w:r>
        <w:rPr>
          <w:rStyle w:val="19"/>
          <w:rFonts w:hint="eastAsia" w:ascii="仿宋" w:hAnsi="仿宋" w:eastAsia="仿宋"/>
          <w:b w:val="0"/>
          <w:bCs w:val="0"/>
        </w:rPr>
        <w:t>般公共预算财政拨款基本支出决算表</w:t>
      </w:r>
      <w:bookmarkEnd w:id="64"/>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65" w:name="_Toc15396627"/>
      <w:r>
        <w:rPr>
          <w:rStyle w:val="19"/>
          <w:rFonts w:hint="eastAsia" w:ascii="仿宋" w:hAnsi="仿宋" w:eastAsia="仿宋"/>
          <w:b w:val="0"/>
          <w:bCs w:val="0"/>
        </w:rPr>
        <w:t>九、</w:t>
      </w:r>
      <w:r>
        <w:rPr>
          <w:rFonts w:hint="eastAsia" w:ascii="仿宋" w:hAnsi="仿宋" w:eastAsia="仿宋"/>
          <w:b w:val="0"/>
          <w:color w:val="000000"/>
        </w:rPr>
        <w:t>一</w:t>
      </w:r>
      <w:r>
        <w:rPr>
          <w:rStyle w:val="19"/>
          <w:rFonts w:hint="eastAsia" w:ascii="仿宋" w:hAnsi="仿宋" w:eastAsia="仿宋"/>
          <w:b w:val="0"/>
          <w:bCs w:val="0"/>
        </w:rPr>
        <w:t>般公共预算财政拨款项目支出决算表</w:t>
      </w:r>
      <w:bookmarkEnd w:id="65"/>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66" w:name="_Toc15396628"/>
      <w:r>
        <w:rPr>
          <w:rStyle w:val="19"/>
          <w:rFonts w:hint="eastAsia" w:ascii="仿宋" w:hAnsi="仿宋" w:eastAsia="仿宋"/>
          <w:b w:val="0"/>
          <w:bCs w:val="0"/>
        </w:rPr>
        <w:t>十、</w:t>
      </w:r>
      <w:r>
        <w:rPr>
          <w:rFonts w:hint="eastAsia" w:ascii="仿宋" w:hAnsi="仿宋" w:eastAsia="仿宋"/>
          <w:b w:val="0"/>
          <w:color w:val="000000"/>
        </w:rPr>
        <w:t>一</w:t>
      </w:r>
      <w:r>
        <w:rPr>
          <w:rStyle w:val="19"/>
          <w:rFonts w:hint="eastAsia" w:ascii="仿宋" w:hAnsi="仿宋" w:eastAsia="仿宋"/>
          <w:b w:val="0"/>
          <w:bCs w:val="0"/>
        </w:rPr>
        <w:t>般公共预算财政拨款“三公”经费支出决算表</w:t>
      </w:r>
      <w:bookmarkEnd w:id="66"/>
    </w:p>
    <w:p>
      <w:pPr>
        <w:pStyle w:val="3"/>
        <w:pageBreakBefore w:val="0"/>
        <w:kinsoku/>
        <w:wordWrap/>
        <w:overflowPunct/>
        <w:topLinePunct w:val="0"/>
        <w:bidi w:val="0"/>
        <w:spacing w:line="560" w:lineRule="exact"/>
        <w:ind w:firstLine="640" w:firstLineChars="200"/>
        <w:rPr>
          <w:rFonts w:ascii="仿宋" w:hAnsi="仿宋" w:eastAsia="仿宋"/>
          <w:color w:val="000000"/>
        </w:rPr>
      </w:pPr>
      <w:bookmarkStart w:id="67" w:name="_Toc15396629"/>
      <w:r>
        <w:rPr>
          <w:rStyle w:val="19"/>
          <w:rFonts w:hint="eastAsia" w:ascii="仿宋" w:hAnsi="仿宋" w:eastAsia="仿宋"/>
          <w:b w:val="0"/>
          <w:bCs w:val="0"/>
        </w:rPr>
        <w:t>十一、</w:t>
      </w:r>
      <w:bookmarkEnd w:id="67"/>
      <w:bookmarkStart w:id="68" w:name="_Toc15396630"/>
      <w:r>
        <w:rPr>
          <w:rStyle w:val="19"/>
          <w:rFonts w:hint="eastAsia" w:ascii="仿宋" w:hAnsi="仿宋" w:eastAsia="仿宋"/>
          <w:b w:val="0"/>
          <w:bCs w:val="0"/>
        </w:rPr>
        <w:t xml:space="preserve">封面代码  </w:t>
      </w:r>
      <w:r>
        <w:rPr>
          <w:rFonts w:hint="eastAsia" w:ascii="仿宋" w:hAnsi="仿宋" w:eastAsia="仿宋"/>
          <w:b w:val="0"/>
          <w:color w:val="000000"/>
        </w:rPr>
        <w:t xml:space="preserve">                </w:t>
      </w:r>
      <w:bookmarkEnd w:id="68"/>
    </w:p>
    <w:sectPr>
      <w:headerReference r:id="rId3" w:type="default"/>
      <w:footerReference r:id="rId5" w:type="default"/>
      <w:headerReference r:id="rId4" w:type="even"/>
      <w:footerReference r:id="rId6"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19</w:t>
    </w:r>
    <w:r>
      <w:rPr>
        <w:lang w:val="zh-CN"/>
      </w:rP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B3471B"/>
    <w:multiLevelType w:val="singleLevel"/>
    <w:tmpl w:val="93B3471B"/>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EDEA00A6"/>
    <w:multiLevelType w:val="multilevel"/>
    <w:tmpl w:val="EDEA00A6"/>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5EA8F6C"/>
    <w:multiLevelType w:val="multilevel"/>
    <w:tmpl w:val="05EA8F6C"/>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7BBB3B7D"/>
    <w:multiLevelType w:val="singleLevel"/>
    <w:tmpl w:val="7BBB3B7D"/>
    <w:lvl w:ilvl="0" w:tentative="0">
      <w:start w:val="2"/>
      <w:numFmt w:val="chineseCounting"/>
      <w:suff w:val="space"/>
      <w:lvlText w:val="第%1部分"/>
      <w:lvlJc w:val="left"/>
      <w:rPr>
        <w:rFonts w:hint="eastAsia"/>
      </w:rPr>
    </w:lvl>
  </w:abstractNum>
  <w:num w:numId="1">
    <w:abstractNumId w:val="0"/>
  </w:num>
  <w:num w:numId="2">
    <w:abstractNumId w:val="6"/>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007A"/>
    <w:rsid w:val="0040503F"/>
    <w:rsid w:val="00406254"/>
    <w:rsid w:val="004223DE"/>
    <w:rsid w:val="00434489"/>
    <w:rsid w:val="00437085"/>
    <w:rsid w:val="00443880"/>
    <w:rsid w:val="004464F4"/>
    <w:rsid w:val="00464BD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02911"/>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16274"/>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36391"/>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B465B"/>
    <w:rsid w:val="00EC7C01"/>
    <w:rsid w:val="00ED1B63"/>
    <w:rsid w:val="00ED3C1F"/>
    <w:rsid w:val="00ED4085"/>
    <w:rsid w:val="00ED420E"/>
    <w:rsid w:val="00EE2F57"/>
    <w:rsid w:val="00EF4C34"/>
    <w:rsid w:val="00EF7648"/>
    <w:rsid w:val="00EF77C6"/>
    <w:rsid w:val="00F05438"/>
    <w:rsid w:val="00F1361C"/>
    <w:rsid w:val="00F160C7"/>
    <w:rsid w:val="00F36D8F"/>
    <w:rsid w:val="00F417B1"/>
    <w:rsid w:val="00F602DF"/>
    <w:rsid w:val="00F81FD9"/>
    <w:rsid w:val="00F841AA"/>
    <w:rsid w:val="00FA23E8"/>
    <w:rsid w:val="00FD3CC1"/>
    <w:rsid w:val="00FF1E02"/>
    <w:rsid w:val="00FF30B4"/>
    <w:rsid w:val="025B7E6B"/>
    <w:rsid w:val="02CC3BFB"/>
    <w:rsid w:val="03B455AF"/>
    <w:rsid w:val="060C1D6E"/>
    <w:rsid w:val="067259B9"/>
    <w:rsid w:val="099F3F5D"/>
    <w:rsid w:val="0A041EE3"/>
    <w:rsid w:val="0B883693"/>
    <w:rsid w:val="0BE21B6D"/>
    <w:rsid w:val="10C055FF"/>
    <w:rsid w:val="125C2770"/>
    <w:rsid w:val="12B670B5"/>
    <w:rsid w:val="153B2A54"/>
    <w:rsid w:val="16BB723D"/>
    <w:rsid w:val="1A052A86"/>
    <w:rsid w:val="1A552D66"/>
    <w:rsid w:val="1EC55E31"/>
    <w:rsid w:val="1EFD439E"/>
    <w:rsid w:val="207B28BD"/>
    <w:rsid w:val="218106DB"/>
    <w:rsid w:val="227101A7"/>
    <w:rsid w:val="22915CC7"/>
    <w:rsid w:val="239A254B"/>
    <w:rsid w:val="23D43FC8"/>
    <w:rsid w:val="240371BF"/>
    <w:rsid w:val="253F7DB5"/>
    <w:rsid w:val="25C41BBE"/>
    <w:rsid w:val="280B03BF"/>
    <w:rsid w:val="282F2F0F"/>
    <w:rsid w:val="29FD04D3"/>
    <w:rsid w:val="2CD87C96"/>
    <w:rsid w:val="2CF17D14"/>
    <w:rsid w:val="2DF077D0"/>
    <w:rsid w:val="2F9149E5"/>
    <w:rsid w:val="2FCE2E8E"/>
    <w:rsid w:val="3009337E"/>
    <w:rsid w:val="30117D06"/>
    <w:rsid w:val="303E3B19"/>
    <w:rsid w:val="3127150E"/>
    <w:rsid w:val="319F7F4E"/>
    <w:rsid w:val="343B2D6B"/>
    <w:rsid w:val="35023426"/>
    <w:rsid w:val="38E809DC"/>
    <w:rsid w:val="39CF5396"/>
    <w:rsid w:val="3A3C7587"/>
    <w:rsid w:val="3B3751D7"/>
    <w:rsid w:val="3BE95BB5"/>
    <w:rsid w:val="3CAC70AE"/>
    <w:rsid w:val="3D832633"/>
    <w:rsid w:val="3E3104D3"/>
    <w:rsid w:val="3F6F6B2A"/>
    <w:rsid w:val="3FE46328"/>
    <w:rsid w:val="405208E3"/>
    <w:rsid w:val="412E6FB4"/>
    <w:rsid w:val="44AF1D60"/>
    <w:rsid w:val="458A4A56"/>
    <w:rsid w:val="48225479"/>
    <w:rsid w:val="48E81C75"/>
    <w:rsid w:val="4B5C3A32"/>
    <w:rsid w:val="4B5F5D2A"/>
    <w:rsid w:val="4E76587B"/>
    <w:rsid w:val="4EA748A2"/>
    <w:rsid w:val="4FA437FA"/>
    <w:rsid w:val="5017202C"/>
    <w:rsid w:val="506439DD"/>
    <w:rsid w:val="50C36A19"/>
    <w:rsid w:val="51884AC7"/>
    <w:rsid w:val="532C648B"/>
    <w:rsid w:val="53FE7DF4"/>
    <w:rsid w:val="54C710A2"/>
    <w:rsid w:val="56233F8D"/>
    <w:rsid w:val="56FE05E6"/>
    <w:rsid w:val="58486477"/>
    <w:rsid w:val="5A04516F"/>
    <w:rsid w:val="5A930EF2"/>
    <w:rsid w:val="5BC80C53"/>
    <w:rsid w:val="5D3D45C6"/>
    <w:rsid w:val="5D71550E"/>
    <w:rsid w:val="5E3316FE"/>
    <w:rsid w:val="5EC83EE1"/>
    <w:rsid w:val="5F1313E4"/>
    <w:rsid w:val="5F384D8D"/>
    <w:rsid w:val="60373243"/>
    <w:rsid w:val="62140179"/>
    <w:rsid w:val="633E19F9"/>
    <w:rsid w:val="673E7C4A"/>
    <w:rsid w:val="67E361D0"/>
    <w:rsid w:val="6B2762A3"/>
    <w:rsid w:val="6B85609E"/>
    <w:rsid w:val="6EF54FB6"/>
    <w:rsid w:val="6FD37171"/>
    <w:rsid w:val="7021428D"/>
    <w:rsid w:val="70AE48F7"/>
    <w:rsid w:val="71A843FB"/>
    <w:rsid w:val="739C3160"/>
    <w:rsid w:val="74476944"/>
    <w:rsid w:val="7477449E"/>
    <w:rsid w:val="77065A1E"/>
    <w:rsid w:val="770675DD"/>
    <w:rsid w:val="775977DA"/>
    <w:rsid w:val="7B052F2D"/>
    <w:rsid w:val="7C124625"/>
    <w:rsid w:val="7CC3364F"/>
    <w:rsid w:val="7D6540D2"/>
    <w:rsid w:val="7DD52DA3"/>
    <w:rsid w:val="7E593E30"/>
    <w:rsid w:val="7F673C1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黑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qFormat="1" w:unhideWhenUsed="0" w:uiPriority="0" w:semiHidden="0"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semiHidden/>
    <w:qFormat/>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index 5"/>
    <w:basedOn w:val="1"/>
    <w:next w:val="1"/>
    <w:qFormat/>
    <w:uiPriority w:val="0"/>
    <w:pPr>
      <w:ind w:left="1680"/>
    </w:pPr>
  </w:style>
  <w:style w:type="paragraph" w:styleId="6">
    <w:name w:val="Body Text"/>
    <w:basedOn w:val="1"/>
    <w:link w:val="27"/>
    <w:qFormat/>
    <w:uiPriority w:val="99"/>
    <w:pPr>
      <w:spacing w:beforeLines="30"/>
    </w:pPr>
    <w:rPr>
      <w:rFonts w:ascii="仿宋_GB2312" w:eastAsia="仿宋_GB2312"/>
      <w:kern w:val="0"/>
      <w:sz w:val="24"/>
      <w:szCs w:val="20"/>
    </w:r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22"/>
    <w:semiHidden/>
    <w:qFormat/>
    <w:uiPriority w:val="99"/>
    <w:rPr>
      <w:sz w:val="18"/>
      <w:szCs w:val="18"/>
    </w:rPr>
  </w:style>
  <w:style w:type="paragraph" w:styleId="9">
    <w:name w:val="footer"/>
    <w:basedOn w:val="1"/>
    <w:link w:val="26"/>
    <w:qFormat/>
    <w:uiPriority w:val="99"/>
    <w:pPr>
      <w:tabs>
        <w:tab w:val="center" w:pos="4153"/>
        <w:tab w:val="right" w:pos="8306"/>
      </w:tabs>
      <w:snapToGrid w:val="0"/>
      <w:jc w:val="left"/>
    </w:pPr>
    <w:rPr>
      <w:rFonts w:eastAsia="黑体"/>
      <w:kern w:val="0"/>
      <w:sz w:val="18"/>
      <w:szCs w:val="20"/>
    </w:rPr>
  </w:style>
  <w:style w:type="paragraph" w:styleId="10">
    <w:name w:val="header"/>
    <w:basedOn w:val="1"/>
    <w:link w:val="25"/>
    <w:semiHidden/>
    <w:qFormat/>
    <w:uiPriority w:val="99"/>
    <w:pPr>
      <w:pBdr>
        <w:bottom w:val="single" w:color="auto" w:sz="6" w:space="1"/>
      </w:pBdr>
      <w:tabs>
        <w:tab w:val="center" w:pos="4153"/>
        <w:tab w:val="right" w:pos="8306"/>
      </w:tabs>
      <w:snapToGrid w:val="0"/>
      <w:jc w:val="center"/>
    </w:pPr>
    <w:rPr>
      <w:rFonts w:eastAsia="黑体"/>
      <w:kern w:val="0"/>
      <w:sz w:val="18"/>
      <w:szCs w:val="20"/>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index 7"/>
    <w:basedOn w:val="1"/>
    <w:next w:val="1"/>
    <w:qFormat/>
    <w:uiPriority w:val="0"/>
    <w:pPr>
      <w:ind w:left="2520"/>
    </w:pPr>
  </w:style>
  <w:style w:type="paragraph" w:styleId="13">
    <w:name w:val="toc 2"/>
    <w:basedOn w:val="1"/>
    <w:next w:val="1"/>
    <w:qFormat/>
    <w:uiPriority w:val="99"/>
    <w:pPr>
      <w:tabs>
        <w:tab w:val="right" w:leader="dot" w:pos="8296"/>
      </w:tabs>
      <w:ind w:left="420" w:leftChars="200"/>
    </w:pPr>
  </w:style>
  <w:style w:type="character" w:styleId="16">
    <w:name w:val="Strong"/>
    <w:basedOn w:val="15"/>
    <w:qFormat/>
    <w:uiPriority w:val="99"/>
    <w:rPr>
      <w:rFonts w:cs="Times New Roman"/>
      <w:b/>
    </w:rPr>
  </w:style>
  <w:style w:type="character" w:styleId="17">
    <w:name w:val="Hyperlink"/>
    <w:basedOn w:val="15"/>
    <w:qFormat/>
    <w:uiPriority w:val="99"/>
    <w:rPr>
      <w:rFonts w:cs="Times New Roman"/>
      <w:color w:val="0000FF"/>
      <w:u w:val="single"/>
    </w:rPr>
  </w:style>
  <w:style w:type="character" w:customStyle="1" w:styleId="18">
    <w:name w:val="Heading 1 Char"/>
    <w:basedOn w:val="15"/>
    <w:link w:val="2"/>
    <w:qFormat/>
    <w:locked/>
    <w:uiPriority w:val="99"/>
    <w:rPr>
      <w:rFonts w:ascii="Times New Roman" w:hAnsi="Times New Roman" w:cs="Times New Roman"/>
      <w:b/>
      <w:bCs/>
      <w:kern w:val="44"/>
      <w:sz w:val="44"/>
      <w:szCs w:val="44"/>
    </w:rPr>
  </w:style>
  <w:style w:type="character" w:customStyle="1" w:styleId="19">
    <w:name w:val="Heading 2 Char"/>
    <w:basedOn w:val="15"/>
    <w:link w:val="3"/>
    <w:qFormat/>
    <w:locked/>
    <w:uiPriority w:val="99"/>
    <w:rPr>
      <w:rFonts w:ascii="Cambria" w:hAnsi="Cambria" w:eastAsia="宋体" w:cs="Times New Roman"/>
      <w:b/>
      <w:bCs/>
      <w:kern w:val="2"/>
      <w:sz w:val="32"/>
      <w:szCs w:val="32"/>
    </w:rPr>
  </w:style>
  <w:style w:type="character" w:customStyle="1" w:styleId="20">
    <w:name w:val="Heading 3 Char"/>
    <w:basedOn w:val="15"/>
    <w:link w:val="4"/>
    <w:qFormat/>
    <w:locked/>
    <w:uiPriority w:val="99"/>
    <w:rPr>
      <w:rFonts w:ascii="Times New Roman" w:hAnsi="Times New Roman" w:cs="Times New Roman"/>
      <w:b/>
      <w:bCs/>
      <w:kern w:val="2"/>
      <w:sz w:val="32"/>
      <w:szCs w:val="32"/>
    </w:rPr>
  </w:style>
  <w:style w:type="character" w:customStyle="1" w:styleId="21">
    <w:name w:val="Body Text Char"/>
    <w:basedOn w:val="15"/>
    <w:link w:val="6"/>
    <w:semiHidden/>
    <w:qFormat/>
    <w:uiPriority w:val="99"/>
    <w:rPr>
      <w:rFonts w:ascii="Times New Roman" w:hAnsi="Times New Roman" w:cs="Times New Roman"/>
      <w:sz w:val="24"/>
      <w:szCs w:val="24"/>
    </w:rPr>
  </w:style>
  <w:style w:type="character" w:customStyle="1" w:styleId="22">
    <w:name w:val="Balloon Text Char"/>
    <w:basedOn w:val="15"/>
    <w:link w:val="8"/>
    <w:semiHidden/>
    <w:qFormat/>
    <w:locked/>
    <w:uiPriority w:val="99"/>
    <w:rPr>
      <w:rFonts w:ascii="Times New Roman" w:hAnsi="Times New Roman" w:cs="Times New Roman"/>
      <w:kern w:val="2"/>
      <w:sz w:val="18"/>
      <w:szCs w:val="18"/>
    </w:rPr>
  </w:style>
  <w:style w:type="character" w:customStyle="1" w:styleId="23">
    <w:name w:val="Footer Char"/>
    <w:basedOn w:val="15"/>
    <w:link w:val="9"/>
    <w:semiHidden/>
    <w:qFormat/>
    <w:uiPriority w:val="99"/>
    <w:rPr>
      <w:rFonts w:ascii="Times New Roman" w:hAnsi="Times New Roman" w:cs="Times New Roman"/>
      <w:sz w:val="18"/>
      <w:szCs w:val="18"/>
    </w:rPr>
  </w:style>
  <w:style w:type="character" w:customStyle="1" w:styleId="24">
    <w:name w:val="Header Char"/>
    <w:basedOn w:val="15"/>
    <w:link w:val="10"/>
    <w:semiHidden/>
    <w:qFormat/>
    <w:uiPriority w:val="99"/>
    <w:rPr>
      <w:rFonts w:ascii="Times New Roman" w:hAnsi="Times New Roman" w:cs="Times New Roman"/>
      <w:sz w:val="18"/>
      <w:szCs w:val="18"/>
    </w:rPr>
  </w:style>
  <w:style w:type="character" w:customStyle="1" w:styleId="25">
    <w:name w:val="Header Char1"/>
    <w:link w:val="10"/>
    <w:semiHidden/>
    <w:qFormat/>
    <w:locked/>
    <w:uiPriority w:val="99"/>
    <w:rPr>
      <w:sz w:val="18"/>
    </w:rPr>
  </w:style>
  <w:style w:type="character" w:customStyle="1" w:styleId="26">
    <w:name w:val="Footer Char1"/>
    <w:link w:val="9"/>
    <w:qFormat/>
    <w:locked/>
    <w:uiPriority w:val="99"/>
    <w:rPr>
      <w:sz w:val="18"/>
    </w:rPr>
  </w:style>
  <w:style w:type="character" w:customStyle="1" w:styleId="27">
    <w:name w:val="Body Text Char1"/>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9">
    <w:name w:val="List Paragraph"/>
    <w:basedOn w:val="1"/>
    <w:next w:val="5"/>
    <w:qFormat/>
    <w:uiPriority w:val="99"/>
    <w:pPr>
      <w:ind w:firstLine="420" w:firstLineChars="200"/>
    </w:pPr>
  </w:style>
  <w:style w:type="paragraph" w:customStyle="1" w:styleId="30">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4"/>
    <customShpInfo spid="_x0000_s1035"/>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30</Pages>
  <Words>2041</Words>
  <Characters>11640</Characters>
  <Lines>0</Lines>
  <Paragraphs>0</Paragraphs>
  <TotalTime>3</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Jayk</cp:lastModifiedBy>
  <cp:lastPrinted>2019-08-01T00:48:00Z</cp:lastPrinted>
  <dcterms:modified xsi:type="dcterms:W3CDTF">2020-09-30T04:04:03Z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