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7193"/>
      <w:bookmarkStart w:id="3" w:name="_Toc15378441"/>
      <w:bookmarkStart w:id="4" w:name="_Toc15396597"/>
      <w:bookmarkStart w:id="5" w:name="_Toc15377425"/>
      <w:r>
        <w:rPr>
          <w:rFonts w:ascii="黑体" w:hAnsi="黑体" w:eastAsia="黑体"/>
          <w:color w:val="000000"/>
          <w:sz w:val="72"/>
          <w:szCs w:val="72"/>
        </w:rPr>
        <w:t>201</w:t>
      </w:r>
      <w:r>
        <w:rPr>
          <w:rFonts w:hint="eastAsia" w:ascii="黑体" w:hAnsi="黑体" w:eastAsia="黑体"/>
          <w:color w:val="000000"/>
          <w:sz w:val="72"/>
          <w:szCs w:val="72"/>
          <w:lang w:val="en-US" w:eastAsia="zh-CN"/>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426"/>
      <w:bookmarkStart w:id="7" w:name="_Toc15396598"/>
      <w:bookmarkStart w:id="8" w:name="_Toc15396476"/>
      <w:bookmarkStart w:id="9" w:name="_Toc15377194"/>
      <w:bookmarkStart w:id="10" w:name="_Toc15378442"/>
      <w:r>
        <w:rPr>
          <w:rFonts w:hint="eastAsia" w:ascii="方正小标宋简体" w:hAnsi="宋体" w:eastAsia="方正小标宋简体"/>
          <w:color w:val="000000"/>
          <w:sz w:val="72"/>
          <w:szCs w:val="72"/>
          <w:lang w:val="en-US" w:eastAsia="zh-CN"/>
        </w:rPr>
        <w:t>四川省</w:t>
      </w:r>
      <w:r>
        <w:rPr>
          <w:rFonts w:hint="eastAsia" w:ascii="方正小标宋简体" w:hAnsi="宋体" w:eastAsia="方正小标宋简体"/>
          <w:color w:val="000000"/>
          <w:sz w:val="72"/>
          <w:szCs w:val="72"/>
        </w:rPr>
        <w:t>阿坝州</w:t>
      </w:r>
      <w:bookmarkEnd w:id="0"/>
      <w:bookmarkStart w:id="11" w:name="_Toc15306268"/>
      <w:r>
        <w:rPr>
          <w:rFonts w:hint="eastAsia" w:ascii="方正小标宋简体" w:hAnsi="宋体" w:eastAsia="方正小标宋简体"/>
          <w:color w:val="000000"/>
          <w:sz w:val="72"/>
          <w:szCs w:val="72"/>
          <w:lang w:val="en-US" w:eastAsia="zh-CN"/>
        </w:rPr>
        <w:t>人民政府办公室</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0"/>
        <w:rPr>
          <w:rFonts w:hint="eastAsia"/>
        </w:rPr>
      </w:pPr>
      <w:r>
        <w:rPr>
          <w:rFonts w:hint="eastAsia"/>
        </w:rPr>
        <w:t>公开时间：2019年</w:t>
      </w:r>
      <w:r>
        <w:t>9</w:t>
      </w:r>
      <w:r>
        <w:rPr>
          <w:rFonts w:hint="eastAsia"/>
        </w:rPr>
        <w:t>月</w:t>
      </w:r>
      <w:r>
        <w:rPr>
          <w:rFonts w:hint="eastAsia"/>
          <w:lang w:val="en-US" w:eastAsia="zh-CN"/>
        </w:rPr>
        <w:t>29</w:t>
      </w:r>
      <w:r>
        <w:rPr>
          <w:rFonts w:hint="eastAsia"/>
        </w:rPr>
        <w:t>日</w:t>
      </w:r>
    </w:p>
    <w:p>
      <w:pPr>
        <w:rPr>
          <w:rFonts w:hint="eastAsia"/>
        </w:rPr>
      </w:pPr>
    </w:p>
    <w:p>
      <w:pPr>
        <w:rPr>
          <w:rFonts w:hint="eastAsia"/>
        </w:rPr>
      </w:pPr>
    </w:p>
    <w:p>
      <w:pPr>
        <w:rPr>
          <w:rFonts w:hint="eastAsia"/>
        </w:rPr>
      </w:pPr>
    </w:p>
    <w:p/>
    <w:p>
      <w:pPr>
        <w:pStyle w:val="10"/>
        <w:rPr>
          <w:rFonts w:cstheme="minorBidi"/>
        </w:rPr>
      </w:pPr>
      <w:r>
        <w:fldChar w:fldCharType="begin"/>
      </w:r>
      <w:r>
        <w:instrText xml:space="preserve"> HYPERLINK \l "_Toc15396599" </w:instrText>
      </w:r>
      <w:r>
        <w:fldChar w:fldCharType="separate"/>
      </w:r>
      <w:r>
        <w:rPr>
          <w:rStyle w:val="15"/>
          <w:rFonts w:hint="eastAsia"/>
        </w:rPr>
        <w:t>第一部分</w:t>
      </w:r>
      <w:r>
        <w:rPr>
          <w:rStyle w:val="15"/>
        </w:rPr>
        <w:t xml:space="preserve"> </w:t>
      </w:r>
      <w:r>
        <w:rPr>
          <w:rStyle w:val="15"/>
          <w:rFonts w:hint="eastAsia"/>
        </w:rPr>
        <w:t>部门概况</w:t>
      </w:r>
      <w:r>
        <w:tab/>
      </w:r>
      <w:r>
        <w:rPr>
          <w:rFonts w:hint="eastAsia"/>
          <w:lang w:val="en-US" w:eastAsia="zh-CN"/>
        </w:rPr>
        <w:t>4</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5"/>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lang w:val="en-US" w:eastAsia="zh-CN"/>
        </w:rPr>
        <w:t>4</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5"/>
          <w:rFonts w:hint="eastAsia" w:ascii="仿宋" w:hAnsi="仿宋" w:eastAsia="仿宋"/>
          <w:sz w:val="28"/>
          <w:szCs w:val="28"/>
        </w:rPr>
        <w:t>二、机构设置</w:t>
      </w:r>
      <w:r>
        <w:rPr>
          <w:rFonts w:ascii="仿宋" w:hAnsi="仿宋" w:eastAsia="仿宋"/>
          <w:sz w:val="28"/>
          <w:szCs w:val="28"/>
        </w:rPr>
        <w:tab/>
      </w:r>
      <w:r>
        <w:rPr>
          <w:rFonts w:hint="eastAsia" w:ascii="仿宋" w:hAnsi="仿宋" w:eastAsia="仿宋"/>
          <w:sz w:val="28"/>
          <w:szCs w:val="28"/>
          <w:lang w:val="en-US" w:eastAsia="zh-CN"/>
        </w:rPr>
        <w:t>6</w:t>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5"/>
          <w:rFonts w:hint="eastAsia"/>
        </w:rPr>
        <w:t>第二部分</w:t>
      </w:r>
      <w:r>
        <w:rPr>
          <w:rStyle w:val="15"/>
        </w:rPr>
        <w:t xml:space="preserve"> </w:t>
      </w:r>
      <w:r>
        <w:rPr>
          <w:rStyle w:val="15"/>
          <w:rFonts w:hint="eastAsia"/>
        </w:rPr>
        <w:t>部门决算情况说明</w:t>
      </w:r>
      <w:r>
        <w:tab/>
      </w:r>
      <w:r>
        <w:rPr>
          <w:rFonts w:hint="eastAsia"/>
          <w:lang w:val="en-US" w:eastAsia="zh-CN"/>
        </w:rPr>
        <w:t>7</w:t>
      </w:r>
      <w: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5"/>
          <w:rFonts w:hint="eastAsia" w:ascii="仿宋" w:hAnsi="仿宋" w:eastAsia="仿宋" w:cstheme="majorBidi"/>
          <w:bCs/>
          <w:sz w:val="28"/>
          <w:szCs w:val="28"/>
        </w:rPr>
        <w:t>一、</w:t>
      </w:r>
      <w:r>
        <w:rPr>
          <w:rStyle w:val="15"/>
          <w:rFonts w:hint="eastAsia" w:ascii="仿宋" w:hAnsi="仿宋" w:eastAsia="仿宋"/>
          <w:sz w:val="28"/>
          <w:szCs w:val="28"/>
        </w:rPr>
        <w:t>收</w:t>
      </w:r>
      <w:r>
        <w:rPr>
          <w:rStyle w:val="15"/>
          <w:rFonts w:hint="eastAsia" w:ascii="仿宋" w:hAnsi="仿宋" w:eastAsia="仿宋" w:cstheme="majorBidi"/>
          <w:bCs/>
          <w:sz w:val="28"/>
          <w:szCs w:val="28"/>
        </w:rPr>
        <w:t>入支出决算总体情况说明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5"/>
          <w:rFonts w:hint="eastAsia" w:ascii="仿宋" w:hAnsi="仿宋" w:eastAsia="仿宋" w:cstheme="majorBidi"/>
          <w:bCs/>
          <w:sz w:val="28"/>
          <w:szCs w:val="28"/>
        </w:rPr>
        <w:t>二、</w:t>
      </w:r>
      <w:r>
        <w:rPr>
          <w:rStyle w:val="15"/>
          <w:rFonts w:hint="eastAsia" w:ascii="仿宋" w:hAnsi="仿宋" w:eastAsia="仿宋"/>
          <w:sz w:val="28"/>
          <w:szCs w:val="28"/>
        </w:rPr>
        <w:t>收</w:t>
      </w:r>
      <w:r>
        <w:rPr>
          <w:rStyle w:val="15"/>
          <w:rFonts w:hint="eastAsia" w:ascii="仿宋" w:hAnsi="仿宋" w:eastAsia="仿宋" w:cstheme="majorBidi"/>
          <w:bCs/>
          <w:sz w:val="28"/>
          <w:szCs w:val="28"/>
        </w:rPr>
        <w:t>入决算情况说明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5"/>
          <w:rFonts w:hint="eastAsia" w:ascii="仿宋" w:hAnsi="仿宋" w:eastAsia="仿宋" w:cstheme="majorBidi"/>
          <w:bCs/>
          <w:sz w:val="28"/>
          <w:szCs w:val="28"/>
        </w:rPr>
        <w:t>三、</w:t>
      </w:r>
      <w:r>
        <w:rPr>
          <w:rStyle w:val="15"/>
          <w:rFonts w:hint="eastAsia" w:ascii="仿宋" w:hAnsi="仿宋" w:eastAsia="仿宋"/>
          <w:sz w:val="28"/>
          <w:szCs w:val="28"/>
        </w:rPr>
        <w:t>支</w:t>
      </w:r>
      <w:r>
        <w:rPr>
          <w:rStyle w:val="15"/>
          <w:rFonts w:hint="eastAsia" w:ascii="仿宋" w:hAnsi="仿宋" w:eastAsia="仿宋" w:cstheme="majorBidi"/>
          <w:bCs/>
          <w:sz w:val="28"/>
          <w:szCs w:val="28"/>
        </w:rPr>
        <w:t>出决算情况说明</w:t>
      </w:r>
      <w:r>
        <w:rPr>
          <w:rFonts w:ascii="仿宋" w:hAnsi="仿宋" w:eastAsia="仿宋"/>
          <w:sz w:val="28"/>
          <w:szCs w:val="28"/>
        </w:rPr>
        <w:tab/>
      </w:r>
      <w:r>
        <w:rPr>
          <w:rFonts w:hint="eastAsia" w:ascii="仿宋" w:hAnsi="仿宋" w:eastAsia="仿宋"/>
          <w:sz w:val="28"/>
          <w:szCs w:val="28"/>
          <w:lang w:val="en-US" w:eastAsia="zh-CN"/>
        </w:rPr>
        <w:t>8</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5"/>
          <w:rFonts w:hint="eastAsia" w:ascii="仿宋" w:hAnsi="仿宋" w:eastAsia="仿宋"/>
          <w:sz w:val="28"/>
          <w:szCs w:val="28"/>
        </w:rPr>
        <w:t>四、财</w:t>
      </w:r>
      <w:r>
        <w:rPr>
          <w:rStyle w:val="15"/>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hint="eastAsia" w:ascii="仿宋" w:hAnsi="仿宋" w:eastAsia="仿宋"/>
          <w:sz w:val="28"/>
          <w:szCs w:val="28"/>
          <w:lang w:val="en-US" w:eastAsia="zh-CN"/>
        </w:rPr>
        <w:t>9</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5"/>
          <w:rFonts w:hint="eastAsia" w:ascii="仿宋" w:hAnsi="仿宋" w:eastAsia="仿宋"/>
          <w:sz w:val="28"/>
          <w:szCs w:val="28"/>
        </w:rPr>
        <w:t>五、一</w:t>
      </w:r>
      <w:r>
        <w:rPr>
          <w:rStyle w:val="15"/>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hint="eastAsia" w:ascii="仿宋" w:hAnsi="仿宋" w:eastAsia="仿宋"/>
          <w:sz w:val="28"/>
          <w:szCs w:val="28"/>
          <w:lang w:val="en-US" w:eastAsia="zh-CN"/>
        </w:rPr>
        <w:t>9</w:t>
      </w:r>
      <w:r>
        <w:rPr>
          <w:rFonts w:ascii="仿宋" w:hAnsi="仿宋" w:eastAsia="仿宋"/>
          <w:sz w:val="28"/>
          <w:szCs w:val="28"/>
        </w:rPr>
        <w:fldChar w:fldCharType="end"/>
      </w:r>
    </w:p>
    <w:p>
      <w:pPr>
        <w:pStyle w:val="11"/>
        <w:rPr>
          <w:rFonts w:hint="eastAsia" w:ascii="仿宋" w:hAnsi="仿宋" w:eastAsia="仿宋" w:cstheme="minorBidi"/>
          <w:sz w:val="28"/>
          <w:szCs w:val="28"/>
          <w:lang w:val="en-US" w:eastAsia="zh-CN"/>
        </w:rPr>
      </w:pPr>
      <w:r>
        <w:fldChar w:fldCharType="begin"/>
      </w:r>
      <w:r>
        <w:instrText xml:space="preserve"> HYPERLINK \l "_Toc15396608" </w:instrText>
      </w:r>
      <w:r>
        <w:fldChar w:fldCharType="separate"/>
      </w:r>
      <w:r>
        <w:rPr>
          <w:rStyle w:val="15"/>
          <w:rFonts w:hint="eastAsia" w:ascii="仿宋" w:hAnsi="仿宋" w:eastAsia="仿宋"/>
          <w:sz w:val="28"/>
          <w:szCs w:val="28"/>
        </w:rPr>
        <w:t>六、一</w:t>
      </w:r>
      <w:r>
        <w:rPr>
          <w:rStyle w:val="15"/>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2</w:t>
      </w:r>
    </w:p>
    <w:p>
      <w:pPr>
        <w:pStyle w:val="11"/>
        <w:rPr>
          <w:rFonts w:hint="eastAsia" w:ascii="仿宋" w:hAnsi="仿宋" w:eastAsia="仿宋" w:cstheme="minorBidi"/>
          <w:sz w:val="28"/>
          <w:szCs w:val="28"/>
          <w:lang w:val="en-US" w:eastAsia="zh-CN"/>
        </w:rPr>
      </w:pPr>
      <w:r>
        <w:fldChar w:fldCharType="begin"/>
      </w:r>
      <w:r>
        <w:instrText xml:space="preserve"> HYPERLINK \l "_Toc15396609" </w:instrText>
      </w:r>
      <w:r>
        <w:fldChar w:fldCharType="separate"/>
      </w:r>
      <w:r>
        <w:rPr>
          <w:rStyle w:val="15"/>
          <w:rFonts w:hint="eastAsia" w:ascii="仿宋" w:hAnsi="仿宋" w:eastAsia="仿宋"/>
          <w:sz w:val="28"/>
          <w:szCs w:val="28"/>
        </w:rPr>
        <w:t>七、</w:t>
      </w:r>
      <w:r>
        <w:rPr>
          <w:rStyle w:val="15"/>
          <w:rFonts w:ascii="仿宋" w:hAnsi="仿宋" w:eastAsia="仿宋"/>
          <w:sz w:val="28"/>
          <w:szCs w:val="28"/>
        </w:rPr>
        <w:t>“</w:t>
      </w:r>
      <w:r>
        <w:rPr>
          <w:rStyle w:val="15"/>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fldChar w:fldCharType="begin"/>
      </w:r>
      <w:r>
        <w:instrText xml:space="preserve"> HYPERLINK \l "_Toc15396610" </w:instrText>
      </w:r>
      <w:r>
        <w:fldChar w:fldCharType="separate"/>
      </w:r>
      <w:r>
        <w:rPr>
          <w:rStyle w:val="15"/>
          <w:rFonts w:hint="eastAsia" w:ascii="仿宋" w:hAnsi="仿宋" w:eastAsia="仿宋"/>
          <w:sz w:val="28"/>
          <w:szCs w:val="28"/>
        </w:rPr>
        <w:t>八、</w:t>
      </w:r>
      <w:r>
        <w:rPr>
          <w:rStyle w:val="15"/>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5</w:t>
      </w:r>
    </w:p>
    <w:p>
      <w:pPr>
        <w:pStyle w:val="11"/>
        <w:rPr>
          <w:rFonts w:hint="eastAsia" w:ascii="仿宋" w:hAnsi="仿宋" w:eastAsia="仿宋"/>
          <w:sz w:val="28"/>
          <w:szCs w:val="28"/>
          <w:lang w:val="en-US" w:eastAsia="zh-CN"/>
        </w:rPr>
      </w:pPr>
      <w:r>
        <w:fldChar w:fldCharType="begin"/>
      </w:r>
      <w:r>
        <w:instrText xml:space="preserve"> HYPERLINK \l "_Toc15396611" </w:instrText>
      </w:r>
      <w:r>
        <w:fldChar w:fldCharType="separate"/>
      </w:r>
      <w:r>
        <w:rPr>
          <w:rStyle w:val="15"/>
          <w:rFonts w:hint="eastAsia" w:ascii="仿宋" w:hAnsi="仿宋" w:eastAsia="仿宋" w:cstheme="majorBidi"/>
          <w:bCs/>
          <w:sz w:val="28"/>
          <w:szCs w:val="28"/>
        </w:rPr>
        <w:t>九、</w:t>
      </w:r>
      <w:r>
        <w:rPr>
          <w:rStyle w:val="15"/>
          <w:rFonts w:hint="eastAsia" w:ascii="仿宋" w:hAnsi="仿宋" w:eastAsia="仿宋"/>
          <w:sz w:val="28"/>
          <w:szCs w:val="28"/>
        </w:rPr>
        <w:t xml:space="preserve"> 国</w:t>
      </w:r>
      <w:r>
        <w:rPr>
          <w:rStyle w:val="15"/>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5</w:t>
      </w:r>
    </w:p>
    <w:p>
      <w:pPr>
        <w:pStyle w:val="23"/>
        <w:numPr>
          <w:ilvl w:val="0"/>
          <w:numId w:val="0"/>
        </w:numPr>
        <w:spacing w:line="580" w:lineRule="exact"/>
        <w:rPr>
          <w:rStyle w:val="15"/>
          <w:rFonts w:hint="default" w:ascii="仿宋" w:hAnsi="仿宋" w:eastAsia="仿宋" w:cstheme="majorBidi"/>
          <w:bCs/>
          <w:kern w:val="2"/>
          <w:sz w:val="28"/>
          <w:szCs w:val="28"/>
          <w:lang w:val="en-US" w:eastAsia="zh-CN" w:bidi="ar-SA"/>
        </w:rPr>
      </w:pPr>
      <w:r>
        <w:rPr>
          <w:rStyle w:val="15"/>
          <w:rFonts w:hint="eastAsia" w:ascii="仿宋" w:hAnsi="仿宋" w:eastAsia="仿宋" w:cstheme="majorBidi"/>
          <w:bCs/>
          <w:kern w:val="2"/>
          <w:sz w:val="28"/>
          <w:szCs w:val="28"/>
          <w:lang w:val="en-US" w:eastAsia="zh-CN" w:bidi="ar-SA"/>
        </w:rPr>
        <w:t xml:space="preserve">   十、预算绩效情况说明..................................15</w:t>
      </w:r>
    </w:p>
    <w:p>
      <w:pPr>
        <w:rPr>
          <w:rFonts w:hint="default"/>
          <w:lang w:val="en-US" w:eastAsia="zh-CN"/>
        </w:rPr>
      </w:pPr>
    </w:p>
    <w:p>
      <w:pPr>
        <w:pStyle w:val="11"/>
        <w:rPr>
          <w:rFonts w:hint="eastAsia" w:ascii="仿宋" w:hAnsi="仿宋" w:eastAsia="仿宋" w:cstheme="minorBidi"/>
          <w:sz w:val="28"/>
          <w:szCs w:val="28"/>
          <w:lang w:val="en-US" w:eastAsia="zh-CN"/>
        </w:rPr>
      </w:pPr>
      <w:r>
        <w:fldChar w:fldCharType="begin"/>
      </w:r>
      <w:r>
        <w:instrText xml:space="preserve"> HYPERLINK \l "_Toc15396612" </w:instrText>
      </w:r>
      <w:r>
        <w:fldChar w:fldCharType="separate"/>
      </w:r>
      <w:r>
        <w:rPr>
          <w:rStyle w:val="15"/>
          <w:rFonts w:hint="eastAsia" w:ascii="仿宋" w:hAnsi="仿宋" w:eastAsia="仿宋"/>
          <w:sz w:val="28"/>
          <w:szCs w:val="28"/>
        </w:rPr>
        <w:t>十</w:t>
      </w:r>
      <w:r>
        <w:rPr>
          <w:rStyle w:val="15"/>
          <w:rFonts w:hint="eastAsia" w:ascii="仿宋" w:hAnsi="仿宋" w:eastAsia="仿宋" w:cstheme="majorBidi"/>
          <w:bCs/>
          <w:sz w:val="28"/>
          <w:szCs w:val="28"/>
        </w:rPr>
        <w:t>一、其他重要事项的情况说明</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0"/>
        <w:rPr>
          <w:rFonts w:hint="eastAsia" w:eastAsia="仿宋" w:cstheme="minorBidi"/>
          <w:lang w:val="en-US" w:eastAsia="zh-CN"/>
        </w:rPr>
      </w:pPr>
      <w:r>
        <w:fldChar w:fldCharType="begin"/>
      </w:r>
      <w:r>
        <w:instrText xml:space="preserve"> HYPERLINK \l "_Toc15396613" </w:instrText>
      </w:r>
      <w:r>
        <w:fldChar w:fldCharType="separate"/>
      </w:r>
      <w:r>
        <w:rPr>
          <w:rStyle w:val="15"/>
          <w:rFonts w:hint="eastAsia"/>
          <w:bCs/>
          <w:kern w:val="44"/>
        </w:rPr>
        <w:t>第三部分</w:t>
      </w:r>
      <w:r>
        <w:rPr>
          <w:rStyle w:val="15"/>
          <w:rFonts w:hint="eastAsia"/>
        </w:rPr>
        <w:t xml:space="preserve"> 名</w:t>
      </w:r>
      <w:r>
        <w:rPr>
          <w:rStyle w:val="15"/>
          <w:rFonts w:hint="eastAsia"/>
          <w:bCs/>
          <w:kern w:val="44"/>
        </w:rPr>
        <w:t>词解释</w:t>
      </w:r>
      <w:r>
        <w:tab/>
      </w:r>
      <w:r>
        <w:rPr>
          <w:rFonts w:hint="eastAsia"/>
          <w:lang w:val="en-US" w:eastAsia="zh-CN"/>
        </w:rPr>
        <w:t>2</w:t>
      </w:r>
      <w:r>
        <w:fldChar w:fldCharType="end"/>
      </w:r>
      <w:r>
        <w:rPr>
          <w:rFonts w:hint="eastAsia"/>
          <w:lang w:val="en-US" w:eastAsia="zh-CN"/>
        </w:rPr>
        <w:t>5</w:t>
      </w:r>
    </w:p>
    <w:p>
      <w:pPr>
        <w:pStyle w:val="10"/>
        <w:rPr>
          <w:rFonts w:hint="eastAsia" w:eastAsia="仿宋" w:cstheme="minorBidi"/>
          <w:lang w:val="en-US" w:eastAsia="zh-CN"/>
        </w:rPr>
      </w:pPr>
      <w:r>
        <w:fldChar w:fldCharType="begin"/>
      </w:r>
      <w:r>
        <w:instrText xml:space="preserve"> HYPERLINK \l "_Toc15396614" </w:instrText>
      </w:r>
      <w:r>
        <w:fldChar w:fldCharType="separate"/>
      </w:r>
      <w:r>
        <w:rPr>
          <w:rStyle w:val="15"/>
          <w:rFonts w:hint="eastAsia"/>
        </w:rPr>
        <w:t>第</w:t>
      </w:r>
      <w:r>
        <w:rPr>
          <w:rStyle w:val="15"/>
          <w:rFonts w:hint="eastAsia"/>
          <w:bCs/>
          <w:kern w:val="44"/>
        </w:rPr>
        <w:t>四部分</w:t>
      </w:r>
      <w:r>
        <w:rPr>
          <w:rStyle w:val="15"/>
          <w:bCs/>
          <w:kern w:val="44"/>
        </w:rPr>
        <w:t xml:space="preserve"> </w:t>
      </w:r>
      <w:r>
        <w:rPr>
          <w:rStyle w:val="15"/>
          <w:rFonts w:hint="eastAsia"/>
          <w:bCs/>
          <w:kern w:val="44"/>
        </w:rPr>
        <w:t>附件</w:t>
      </w:r>
      <w:r>
        <w:tab/>
      </w:r>
      <w:r>
        <w:rPr>
          <w:rFonts w:hint="eastAsia"/>
          <w:lang w:val="en-US" w:eastAsia="zh-CN"/>
        </w:rPr>
        <w:t>2</w:t>
      </w:r>
      <w:r>
        <w:fldChar w:fldCharType="end"/>
      </w:r>
      <w:r>
        <w:rPr>
          <w:rFonts w:hint="eastAsia"/>
          <w:lang w:val="en-US" w:eastAsia="zh-CN"/>
        </w:rPr>
        <w:t>8</w:t>
      </w:r>
    </w:p>
    <w:p>
      <w:pPr>
        <w:pStyle w:val="11"/>
        <w:rPr>
          <w:rFonts w:hint="eastAsia" w:ascii="仿宋" w:hAnsi="仿宋" w:eastAsia="仿宋" w:cstheme="minorBidi"/>
          <w:sz w:val="28"/>
          <w:szCs w:val="28"/>
          <w:lang w:val="en-US" w:eastAsia="zh-CN"/>
        </w:rPr>
      </w:pPr>
      <w:r>
        <w:fldChar w:fldCharType="begin"/>
      </w:r>
      <w:r>
        <w:instrText xml:space="preserve"> HYPERLINK \l "_Toc15396615" </w:instrText>
      </w:r>
      <w:r>
        <w:fldChar w:fldCharType="separate"/>
      </w:r>
      <w:r>
        <w:rPr>
          <w:rStyle w:val="15"/>
          <w:rFonts w:hint="eastAsia" w:ascii="仿宋" w:hAnsi="仿宋" w:eastAsia="仿宋"/>
          <w:kern w:val="44"/>
          <w:sz w:val="28"/>
          <w:szCs w:val="28"/>
        </w:rPr>
        <w:t>附件</w:t>
      </w:r>
      <w:r>
        <w:rPr>
          <w:rStyle w:val="15"/>
          <w:rFonts w:ascii="仿宋" w:hAnsi="仿宋" w:eastAsia="仿宋"/>
          <w:kern w:val="44"/>
          <w:sz w:val="28"/>
          <w:szCs w:val="28"/>
        </w:rPr>
        <w:t>1</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8</w:t>
      </w:r>
    </w:p>
    <w:p>
      <w:pPr>
        <w:pStyle w:val="10"/>
        <w:rPr>
          <w:rFonts w:hint="eastAsia" w:eastAsia="仿宋" w:cstheme="minorBidi"/>
          <w:lang w:val="en-US" w:eastAsia="zh-CN"/>
        </w:rPr>
      </w:pPr>
      <w:r>
        <w:fldChar w:fldCharType="begin"/>
      </w:r>
      <w:r>
        <w:instrText xml:space="preserve"> HYPERLINK \l "_Toc15396618" </w:instrText>
      </w:r>
      <w:r>
        <w:fldChar w:fldCharType="separate"/>
      </w:r>
      <w:r>
        <w:rPr>
          <w:rStyle w:val="15"/>
          <w:rFonts w:hint="eastAsia"/>
        </w:rPr>
        <w:t>第</w:t>
      </w:r>
      <w:r>
        <w:rPr>
          <w:rStyle w:val="15"/>
          <w:rFonts w:hint="eastAsia"/>
          <w:bCs/>
          <w:kern w:val="44"/>
        </w:rPr>
        <w:t>五部分</w:t>
      </w:r>
      <w:r>
        <w:rPr>
          <w:rStyle w:val="15"/>
          <w:bCs/>
          <w:kern w:val="44"/>
        </w:rPr>
        <w:t xml:space="preserve"> </w:t>
      </w:r>
      <w:r>
        <w:rPr>
          <w:rStyle w:val="15"/>
          <w:rFonts w:hint="eastAsia"/>
          <w:bCs/>
          <w:kern w:val="44"/>
        </w:rPr>
        <w:t>附表</w:t>
      </w:r>
      <w:r>
        <w:tab/>
      </w:r>
      <w:r>
        <w:rPr>
          <w:rFonts w:hint="eastAsia"/>
          <w:lang w:val="en-US" w:eastAsia="zh-CN"/>
        </w:rPr>
        <w:t>2</w:t>
      </w:r>
      <w:r>
        <w:fldChar w:fldCharType="end"/>
      </w:r>
      <w:r>
        <w:rPr>
          <w:rFonts w:hint="eastAsia"/>
          <w:lang w:val="en-US" w:eastAsia="zh-CN"/>
        </w:rPr>
        <w:t>8</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5"/>
          <w:rFonts w:hint="eastAsia" w:ascii="仿宋" w:hAnsi="仿宋" w:eastAsia="仿宋"/>
          <w:sz w:val="28"/>
          <w:szCs w:val="28"/>
        </w:rPr>
        <w:t>收入支出决算总表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5"/>
          <w:rFonts w:hint="eastAsia" w:ascii="仿宋" w:hAnsi="仿宋" w:eastAsia="仿宋"/>
          <w:sz w:val="28"/>
          <w:szCs w:val="28"/>
        </w:rPr>
        <w:t>收入总表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5"/>
          <w:rFonts w:hint="eastAsia" w:ascii="仿宋" w:hAnsi="仿宋" w:eastAsia="仿宋"/>
          <w:sz w:val="28"/>
          <w:szCs w:val="28"/>
        </w:rPr>
        <w:t>支出总表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5"/>
          <w:rFonts w:hint="eastAsia" w:ascii="仿宋" w:hAnsi="仿宋" w:eastAsia="仿宋"/>
          <w:sz w:val="28"/>
          <w:szCs w:val="28"/>
        </w:rPr>
        <w:t>财政拨款收入支出决算总表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sz w:val="28"/>
          <w:szCs w:val="28"/>
          <w:lang w:val="en-US" w:eastAsia="zh-CN"/>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5"/>
          <w:rFonts w:hint="eastAsia" w:ascii="仿宋" w:hAnsi="仿宋" w:eastAsia="仿宋"/>
          <w:sz w:val="28"/>
          <w:szCs w:val="28"/>
        </w:rPr>
        <w:t>一般公共预算财政拨款支出决算表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5"/>
          <w:rFonts w:hint="eastAsia" w:ascii="仿宋" w:hAnsi="仿宋" w:eastAsia="仿宋"/>
          <w:sz w:val="28"/>
          <w:szCs w:val="28"/>
        </w:rPr>
        <w:t>一般公共预算财政拨款支出决算明细表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5"/>
          <w:rFonts w:hint="eastAsia" w:ascii="仿宋" w:hAnsi="仿宋" w:eastAsia="仿宋"/>
          <w:sz w:val="28"/>
          <w:szCs w:val="28"/>
        </w:rPr>
        <w:t>一般公共预算财政拨款基本支出决算表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5"/>
          <w:rFonts w:hint="eastAsia" w:ascii="仿宋" w:hAnsi="仿宋" w:eastAsia="仿宋"/>
          <w:sz w:val="28"/>
          <w:szCs w:val="28"/>
        </w:rPr>
        <w:t>一般公共预算财政拨款项目支出决算表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5"/>
          <w:rFonts w:hint="eastAsia" w:ascii="仿宋" w:hAnsi="仿宋" w:eastAsia="仿宋"/>
          <w:sz w:val="28"/>
          <w:szCs w:val="28"/>
        </w:rPr>
        <w:t>一般公共预算财政拨款“三公”经费支出决算表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5"/>
          <w:rFonts w:hint="eastAsia" w:ascii="仿宋" w:hAnsi="仿宋" w:eastAsia="仿宋"/>
          <w:sz w:val="28"/>
          <w:szCs w:val="28"/>
          <w:lang w:val="en-US" w:eastAsia="zh-CN"/>
        </w:rPr>
        <w:t>封面代码</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2"/>
        <w:jc w:val="center"/>
        <w:rPr>
          <w:rFonts w:ascii="黑体" w:eastAsia="黑体"/>
          <w:color w:val="000000"/>
          <w:sz w:val="32"/>
          <w:szCs w:val="32"/>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pPr>
        <w:pStyle w:val="3"/>
        <w:pageBreakBefore w:val="0"/>
        <w:widowControl w:val="0"/>
        <w:kinsoku/>
        <w:wordWrap/>
        <w:overflowPunct/>
        <w:topLinePunct w:val="0"/>
        <w:autoSpaceDE/>
        <w:autoSpaceDN/>
        <w:bidi w:val="0"/>
        <w:adjustRightInd/>
        <w:snapToGrid/>
        <w:spacing w:before="0" w:after="0" w:line="240" w:lineRule="auto"/>
        <w:ind w:left="640" w:hanging="640" w:hangingChars="200"/>
        <w:textAlignment w:val="auto"/>
        <w:rPr>
          <w:rStyle w:val="25"/>
          <w:rFonts w:hint="eastAsia" w:ascii="黑体" w:hAnsi="黑体" w:eastAsia="黑体"/>
          <w:b w:val="0"/>
          <w:bCs w:val="0"/>
        </w:rPr>
      </w:pPr>
      <w:bookmarkStart w:id="14" w:name="_Toc15377197"/>
      <w:bookmarkStart w:id="15" w:name="_Toc15396600"/>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bookmarkStart w:id="16" w:name="_Toc15378445"/>
      <w:bookmarkStart w:id="17" w:name="_Toc15377198"/>
    </w:p>
    <w:p>
      <w:pPr>
        <w:pStyle w:val="3"/>
        <w:pageBreakBefore w:val="0"/>
        <w:widowControl w:val="0"/>
        <w:kinsoku/>
        <w:wordWrap/>
        <w:overflowPunct/>
        <w:topLinePunct w:val="0"/>
        <w:autoSpaceDE/>
        <w:autoSpaceDN/>
        <w:bidi w:val="0"/>
        <w:adjustRightInd/>
        <w:snapToGrid/>
        <w:spacing w:before="0" w:after="0" w:line="240" w:lineRule="auto"/>
        <w:ind w:left="642" w:leftChars="153" w:hanging="321" w:hangingChars="100"/>
        <w:textAlignment w:val="auto"/>
        <w:rPr>
          <w:rFonts w:hint="eastAsia" w:ascii="楷体" w:hAnsi="楷体" w:eastAsia="楷体" w:cs="楷体"/>
          <w:bCs/>
          <w:color w:val="000000"/>
          <w:sz w:val="32"/>
          <w:szCs w:val="32"/>
        </w:rPr>
      </w:pPr>
      <w:r>
        <w:rPr>
          <w:rFonts w:hint="eastAsia" w:ascii="楷体" w:hAnsi="楷体" w:eastAsia="楷体" w:cs="楷体"/>
          <w:bCs/>
          <w:color w:val="000000"/>
          <w:sz w:val="32"/>
          <w:szCs w:val="32"/>
        </w:rPr>
        <w:t>（一）主要职能</w:t>
      </w:r>
      <w:bookmarkEnd w:id="16"/>
      <w:bookmarkEnd w:id="17"/>
      <w:bookmarkStart w:id="18" w:name="_Toc15377199"/>
      <w:bookmarkStart w:id="19" w:name="_Toc15378446"/>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outlineLvl w:val="9"/>
        <w:rPr>
          <w:rFonts w:hint="eastAsia" w:ascii="仿宋_GB2312" w:hAnsi="仿宋"/>
          <w:szCs w:val="32"/>
        </w:rPr>
      </w:pPr>
      <w:r>
        <w:rPr>
          <w:rFonts w:hint="eastAsia" w:ascii="仿宋_GB2312" w:hAnsi="华文楷体" w:eastAsia="仿宋_GB2312"/>
          <w:b/>
          <w:bCs/>
          <w:color w:val="000000"/>
          <w:sz w:val="32"/>
          <w:szCs w:val="32"/>
        </w:rPr>
        <w:t>一是</w:t>
      </w:r>
      <w:r>
        <w:rPr>
          <w:rFonts w:hint="eastAsia" w:ascii="仿宋_GB2312" w:eastAsia="仿宋_GB2312"/>
          <w:sz w:val="32"/>
          <w:szCs w:val="32"/>
        </w:rPr>
        <w:t>协助州政府领导同志组织起草或审核以州政府、州政府办公室名义发布的公文；办理省政府办公厅及各厅局发送州政府的文电。指导全州行政机关公文处理工作；研究州政府部门和县政府请示州政府的事项，提出审核意见，报州政府领导同志审批；负责州政府会议的准备工作，协助州政府领导同志组织实施会议决定事项；根据州政府领导同志的指示，对政府部门间出现的争议问题提出处理意见和建议，报州政府领导同志决定；督促检查州政府部门和县政府对州政府会议决定事项及州政府领导同志指示的贯彻落实情况，及时向州政府领导同志报告；负责州政府值班工作，指导县政府和州政府部门值班工作，及时报告重要情况；指导、监督全州政府信息公开工作和机关行政效能建设工作，指导、监督全州政府系统电子政务工作和政府网站建设；组织办理涉及州政府工作的人大代表议案、批评、建议和政协委员建议案、提案工作；围绕州政府中心工作和州政府领导同志指示，组织专题调查研究，及时反映情况，提出政策性建议。</w:t>
      </w:r>
      <w:r>
        <w:rPr>
          <w:rFonts w:hint="eastAsia" w:ascii="仿宋_GB2312" w:eastAsia="仿宋_GB2312"/>
          <w:b/>
          <w:color w:val="000000"/>
          <w:sz w:val="32"/>
          <w:szCs w:val="32"/>
        </w:rPr>
        <w:t>二是</w:t>
      </w:r>
      <w:r>
        <w:rPr>
          <w:rFonts w:hint="eastAsia" w:ascii="仿宋_GB2312" w:eastAsia="仿宋_GB2312"/>
          <w:sz w:val="32"/>
          <w:szCs w:val="32"/>
        </w:rPr>
        <w:t>拟定、指导全州物流产业发展战略和工作，协调、推进全州物流园区（中心、集聚区）、物流网络体系以及重大物流项目规划和建设；组织、协调口岸建设和管理工作。</w:t>
      </w:r>
      <w:r>
        <w:rPr>
          <w:rFonts w:hint="eastAsia" w:ascii="仿宋_GB2312" w:eastAsia="仿宋_GB2312"/>
          <w:b/>
          <w:color w:val="000000"/>
          <w:sz w:val="32"/>
          <w:szCs w:val="32"/>
          <w:lang w:val="en-US" w:eastAsia="zh-CN"/>
        </w:rPr>
        <w:t>三</w:t>
      </w:r>
      <w:r>
        <w:rPr>
          <w:rFonts w:hint="eastAsia" w:ascii="仿宋_GB2312" w:eastAsia="仿宋_GB2312"/>
          <w:b/>
          <w:color w:val="000000"/>
          <w:sz w:val="32"/>
          <w:szCs w:val="32"/>
        </w:rPr>
        <w:t>是</w:t>
      </w:r>
      <w:r>
        <w:rPr>
          <w:rFonts w:hint="eastAsia" w:ascii="仿宋_GB2312" w:eastAsia="仿宋_GB2312"/>
          <w:sz w:val="32"/>
          <w:szCs w:val="32"/>
        </w:rPr>
        <w:t>做好机关事务工作，为州政府领导同志服好务。</w:t>
      </w:r>
      <w:r>
        <w:rPr>
          <w:rFonts w:hint="eastAsia" w:ascii="仿宋_GB2312" w:eastAsia="仿宋_GB2312"/>
          <w:b/>
          <w:bCs/>
          <w:sz w:val="32"/>
          <w:szCs w:val="32"/>
          <w:lang w:val="en-US" w:eastAsia="zh-CN"/>
        </w:rPr>
        <w:t>四</w:t>
      </w:r>
      <w:r>
        <w:rPr>
          <w:rFonts w:hint="eastAsia" w:ascii="仿宋_GB2312" w:eastAsia="仿宋_GB2312"/>
          <w:b/>
          <w:bCs/>
          <w:sz w:val="32"/>
          <w:szCs w:val="32"/>
          <w:lang w:eastAsia="zh-CN"/>
        </w:rPr>
        <w:t>是</w:t>
      </w:r>
      <w:r>
        <w:rPr>
          <w:rFonts w:hint="eastAsia" w:ascii="仿宋_GB2312" w:eastAsia="仿宋_GB2312"/>
          <w:sz w:val="32"/>
          <w:szCs w:val="32"/>
        </w:rPr>
        <w:t>承办州政府和州政府领导交办的其他事项。</w:t>
      </w:r>
    </w:p>
    <w:p>
      <w:pPr>
        <w:pStyle w:val="3"/>
        <w:spacing w:before="0" w:after="0" w:line="240" w:lineRule="auto"/>
        <w:ind w:firstLine="321" w:firstLineChars="100"/>
        <w:rPr>
          <w:rFonts w:hint="eastAsia" w:ascii="楷体" w:hAnsi="楷体" w:eastAsia="楷体" w:cs="楷体"/>
          <w:bCs/>
          <w:color w:val="000000"/>
          <w:sz w:val="32"/>
          <w:szCs w:val="32"/>
        </w:rPr>
      </w:pPr>
      <w:r>
        <w:rPr>
          <w:rFonts w:hint="eastAsia" w:ascii="楷体" w:hAnsi="楷体" w:eastAsia="楷体" w:cs="楷体"/>
          <w:bCs/>
          <w:color w:val="000000"/>
          <w:sz w:val="32"/>
          <w:szCs w:val="32"/>
        </w:rPr>
        <w:t>（二）201</w:t>
      </w:r>
      <w:r>
        <w:rPr>
          <w:rFonts w:hint="eastAsia" w:ascii="楷体" w:hAnsi="楷体" w:eastAsia="楷体" w:cs="楷体"/>
          <w:bCs/>
          <w:color w:val="000000"/>
          <w:sz w:val="32"/>
          <w:szCs w:val="32"/>
          <w:lang w:val="en-US" w:eastAsia="zh-CN"/>
        </w:rPr>
        <w:t>9</w:t>
      </w:r>
      <w:r>
        <w:rPr>
          <w:rFonts w:hint="eastAsia" w:ascii="楷体" w:hAnsi="楷体" w:eastAsia="楷体" w:cs="楷体"/>
          <w:bCs/>
          <w:color w:val="000000"/>
          <w:sz w:val="32"/>
          <w:szCs w:val="32"/>
        </w:rPr>
        <w:t>年重点工作完成情况</w:t>
      </w:r>
      <w:bookmarkEnd w:id="18"/>
      <w:bookmarkEnd w:id="19"/>
    </w:p>
    <w:p>
      <w:pPr>
        <w:numPr>
          <w:ilvl w:val="0"/>
          <w:numId w:val="1"/>
        </w:numPr>
        <w:spacing w:line="578" w:lineRule="exact"/>
        <w:ind w:firstLine="640" w:firstLineChars="200"/>
        <w:rPr>
          <w:rFonts w:hint="eastAsia" w:ascii="仿宋_GB2312" w:eastAsia="仿宋_GB2312"/>
          <w:sz w:val="32"/>
          <w:szCs w:val="32"/>
        </w:rPr>
      </w:pPr>
      <w:bookmarkStart w:id="20" w:name="_Toc15396601"/>
      <w:bookmarkStart w:id="21" w:name="_Toc15377200"/>
      <w:r>
        <w:rPr>
          <w:rFonts w:hint="eastAsia" w:ascii="黑体" w:hAnsi="黑体" w:eastAsia="黑体"/>
          <w:sz w:val="32"/>
          <w:szCs w:val="32"/>
        </w:rPr>
        <w:t>坚持三个“注重”提质量</w:t>
      </w:r>
      <w:r>
        <w:rPr>
          <w:rFonts w:hint="eastAsia" w:ascii="仿宋_GB2312" w:eastAsia="仿宋_GB2312"/>
          <w:sz w:val="32"/>
          <w:szCs w:val="32"/>
        </w:rPr>
        <w:t>阿坝州政府办公室始终围绕中心工作，在文电会务办理方面履职尽责，扎实工作，</w:t>
      </w:r>
      <w:r>
        <w:rPr>
          <w:rFonts w:hint="eastAsia" w:eastAsia="仿宋_GB2312"/>
          <w:color w:val="000000"/>
          <w:sz w:val="32"/>
          <w:szCs w:val="32"/>
        </w:rPr>
        <w:t>办文办会办事能力不断提升</w:t>
      </w:r>
      <w:r>
        <w:rPr>
          <w:rFonts w:hint="eastAsia" w:ascii="仿宋_GB2312" w:eastAsia="仿宋_GB2312"/>
          <w:sz w:val="32"/>
          <w:szCs w:val="32"/>
        </w:rPr>
        <w:t>。</w:t>
      </w:r>
      <w:r>
        <w:rPr>
          <w:rFonts w:hint="eastAsia" w:ascii="黑体" w:hAnsi="黑体" w:eastAsia="黑体"/>
          <w:sz w:val="32"/>
          <w:szCs w:val="32"/>
          <w:lang w:val="en-US" w:eastAsia="zh-CN"/>
        </w:rPr>
        <w:t>2</w:t>
      </w:r>
      <w:r>
        <w:rPr>
          <w:rFonts w:hint="eastAsia" w:ascii="黑体" w:hAnsi="黑体" w:eastAsia="黑体"/>
          <w:sz w:val="32"/>
          <w:szCs w:val="32"/>
        </w:rPr>
        <w:t>、坚持三个“精细”</w:t>
      </w:r>
      <w:r>
        <w:rPr>
          <w:rFonts w:hint="eastAsia" w:ascii="黑体" w:hAnsi="黑体" w:eastAsia="黑体"/>
          <w:color w:val="000000"/>
          <w:sz w:val="32"/>
          <w:szCs w:val="32"/>
        </w:rPr>
        <w:t>展亮点</w:t>
      </w:r>
      <w:r>
        <w:rPr>
          <w:rFonts w:hint="eastAsia" w:ascii="仿宋_GB2312" w:eastAsia="仿宋_GB2312"/>
          <w:sz w:val="32"/>
          <w:szCs w:val="32"/>
        </w:rPr>
        <w:t>阿坝州政府办公室</w:t>
      </w:r>
      <w:r>
        <w:rPr>
          <w:rFonts w:hint="eastAsia" w:ascii="仿宋_GB2312" w:eastAsia="仿宋_GB2312"/>
          <w:kern w:val="32"/>
          <w:sz w:val="32"/>
          <w:szCs w:val="32"/>
        </w:rPr>
        <w:t>始终把规范、精细、高效作为基本要求，突出重点，抓住关键，增添措施，以文辅政水平不断提高。</w:t>
      </w:r>
      <w:r>
        <w:rPr>
          <w:rFonts w:hint="eastAsia" w:ascii="黑体" w:hAnsi="黑体" w:eastAsia="黑体"/>
          <w:color w:val="000000"/>
          <w:sz w:val="32"/>
          <w:szCs w:val="32"/>
          <w:lang w:val="en-US" w:eastAsia="zh-CN"/>
        </w:rPr>
        <w:t>3</w:t>
      </w:r>
      <w:r>
        <w:rPr>
          <w:rFonts w:hint="eastAsia" w:ascii="黑体" w:hAnsi="黑体" w:eastAsia="黑体"/>
          <w:color w:val="000000"/>
          <w:sz w:val="32"/>
          <w:szCs w:val="32"/>
        </w:rPr>
        <w:t>、坚持三个“强化”</w:t>
      </w:r>
      <w:r>
        <w:rPr>
          <w:rFonts w:hint="eastAsia" w:ascii="黑体" w:hAnsi="黑体" w:eastAsia="黑体"/>
          <w:sz w:val="32"/>
          <w:szCs w:val="32"/>
        </w:rPr>
        <w:t>优服务</w:t>
      </w:r>
      <w:r>
        <w:rPr>
          <w:rFonts w:hint="eastAsia" w:ascii="仿宋_GB2312" w:eastAsia="仿宋_GB2312"/>
          <w:sz w:val="32"/>
          <w:szCs w:val="32"/>
        </w:rPr>
        <w:t>阿坝州政府办公室始终坚持创新工作，在平台建设、信息报送、政务信息公开和网站建设等方面下实功夫，工作有力有序有效推进。</w:t>
      </w:r>
      <w:r>
        <w:rPr>
          <w:rFonts w:hint="eastAsia" w:ascii="仿宋_GB2312" w:eastAsia="仿宋_GB2312"/>
          <w:sz w:val="32"/>
          <w:szCs w:val="32"/>
          <w:lang w:val="en-US" w:eastAsia="zh-CN"/>
        </w:rPr>
        <w:t>4、</w:t>
      </w:r>
      <w:r>
        <w:rPr>
          <w:rFonts w:hint="eastAsia" w:ascii="黑体" w:hAnsi="黑体" w:eastAsia="黑体"/>
          <w:sz w:val="32"/>
          <w:szCs w:val="32"/>
        </w:rPr>
        <w:t>坚持三个“落实”</w:t>
      </w:r>
      <w:r>
        <w:rPr>
          <w:rFonts w:hint="eastAsia" w:ascii="黑体" w:hAnsi="黑体" w:eastAsia="黑体"/>
          <w:color w:val="000000"/>
          <w:sz w:val="32"/>
          <w:szCs w:val="32"/>
        </w:rPr>
        <w:t>树形象</w:t>
      </w:r>
      <w:r>
        <w:rPr>
          <w:rFonts w:hint="eastAsia" w:ascii="仿宋_GB2312" w:eastAsia="仿宋_GB2312"/>
          <w:sz w:val="32"/>
          <w:szCs w:val="32"/>
        </w:rPr>
        <w:t>阿坝州政府办公室</w:t>
      </w:r>
      <w:r>
        <w:rPr>
          <w:rFonts w:hint="eastAsia" w:ascii="仿宋_GB2312" w:eastAsia="仿宋_GB2312"/>
          <w:bCs/>
          <w:kern w:val="32"/>
          <w:sz w:val="32"/>
          <w:szCs w:val="32"/>
        </w:rPr>
        <w:t>始终把廉政建设放在更加突出的位置，</w:t>
      </w:r>
      <w:r>
        <w:rPr>
          <w:rFonts w:hint="eastAsia" w:ascii="仿宋_GB2312" w:eastAsia="仿宋_GB2312"/>
          <w:sz w:val="32"/>
          <w:szCs w:val="32"/>
        </w:rPr>
        <w:t>切实履行责任，</w:t>
      </w:r>
      <w:r>
        <w:rPr>
          <w:rFonts w:hint="eastAsia" w:ascii="仿宋_GB2312" w:eastAsia="仿宋_GB2312"/>
          <w:bCs/>
          <w:kern w:val="32"/>
          <w:sz w:val="32"/>
          <w:szCs w:val="32"/>
        </w:rPr>
        <w:t>狠抓工作落实。</w:t>
      </w:r>
      <w:r>
        <w:rPr>
          <w:rFonts w:hint="eastAsia" w:ascii="仿宋_GB2312" w:eastAsia="仿宋_GB2312"/>
          <w:sz w:val="32"/>
          <w:szCs w:val="32"/>
        </w:rPr>
        <w:t>始终坚持民主集中制，团结协作，勤政廉政，具有较强的凝聚力和工作能力。</w:t>
      </w:r>
    </w:p>
    <w:p>
      <w:pPr>
        <w:numPr>
          <w:ilvl w:val="0"/>
          <w:numId w:val="0"/>
        </w:numPr>
        <w:spacing w:line="578" w:lineRule="exact"/>
        <w:ind w:firstLine="640" w:firstLineChars="200"/>
        <w:rPr>
          <w:rStyle w:val="25"/>
          <w:b w:val="0"/>
          <w:bCs w:val="0"/>
        </w:rPr>
      </w:pPr>
      <w:r>
        <w:rPr>
          <w:rStyle w:val="25"/>
          <w:rFonts w:hint="eastAsia" w:ascii="黑体" w:hAnsi="黑体" w:eastAsia="黑体"/>
          <w:b w:val="0"/>
          <w:bCs w:val="0"/>
        </w:rPr>
        <w:t>二、机构设置</w:t>
      </w:r>
      <w:bookmarkEnd w:id="20"/>
      <w:bookmarkEnd w:id="21"/>
    </w:p>
    <w:p>
      <w:pPr>
        <w:widowControl/>
        <w:ind w:firstLine="640" w:firstLineChars="200"/>
        <w:jc w:val="left"/>
        <w:rPr>
          <w:rFonts w:hint="eastAsia" w:ascii="仿宋" w:hAnsi="仿宋" w:eastAsia="仿宋_GB2312"/>
          <w:color w:val="000000"/>
          <w:kern w:val="0"/>
          <w:sz w:val="32"/>
          <w:szCs w:val="32"/>
          <w:lang w:eastAsia="zh-CN"/>
        </w:rPr>
      </w:pPr>
      <w:r>
        <w:rPr>
          <w:rFonts w:hint="eastAsia" w:ascii="仿宋_GB2312" w:eastAsia="仿宋_GB2312"/>
          <w:color w:val="000000"/>
          <w:sz w:val="32"/>
          <w:szCs w:val="32"/>
        </w:rPr>
        <w:t>阿坝州政府办公室是</w:t>
      </w:r>
      <w:r>
        <w:rPr>
          <w:rFonts w:hint="eastAsia" w:ascii="仿宋_GB2312" w:eastAsia="仿宋_GB2312"/>
          <w:bCs/>
          <w:color w:val="000000"/>
          <w:sz w:val="32"/>
          <w:szCs w:val="32"/>
        </w:rPr>
        <w:t>政府组成部门，</w:t>
      </w:r>
      <w:r>
        <w:rPr>
          <w:rFonts w:hint="eastAsia" w:ascii="仿宋_GB2312" w:eastAsia="仿宋_GB2312"/>
          <w:bCs/>
          <w:color w:val="000000"/>
          <w:sz w:val="32"/>
          <w:szCs w:val="32"/>
          <w:lang w:val="en-US" w:eastAsia="zh-CN"/>
        </w:rPr>
        <w:t>由州政府办公室、州政府发展研究中心（州政府办公室代管）、州口岸物流办（挂牌）、州金融工作局（挂牌）组成，</w:t>
      </w:r>
      <w:r>
        <w:rPr>
          <w:rFonts w:hint="eastAsia" w:ascii="仿宋_GB2312" w:eastAsia="仿宋_GB2312"/>
          <w:bCs/>
          <w:color w:val="000000"/>
          <w:sz w:val="32"/>
          <w:szCs w:val="32"/>
        </w:rPr>
        <w:t>设</w:t>
      </w:r>
      <w:r>
        <w:rPr>
          <w:rFonts w:hint="eastAsia" w:ascii="仿宋_GB2312" w:eastAsia="仿宋_GB2312"/>
          <w:color w:val="000000"/>
          <w:sz w:val="32"/>
          <w:szCs w:val="32"/>
        </w:rPr>
        <w:t>统一核算机构为1个，独立编制机构</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个，其中:行政单位1个，参照公务员法管理的事业单位</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个</w:t>
      </w:r>
      <w:r>
        <w:rPr>
          <w:rFonts w:hint="eastAsia" w:ascii="仿宋_GB2312" w:eastAsia="仿宋_GB2312"/>
          <w:color w:val="000000"/>
          <w:sz w:val="32"/>
          <w:szCs w:val="32"/>
          <w:lang w:eastAsia="zh-CN"/>
        </w:rPr>
        <w:t>。</w:t>
      </w:r>
    </w:p>
    <w:p>
      <w:pPr>
        <w:pStyle w:val="2"/>
        <w:ind w:right="440"/>
        <w:jc w:val="right"/>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w:t>
      </w:r>
      <w:r>
        <w:rPr>
          <w:rStyle w:val="24"/>
          <w:rFonts w:hint="eastAsia" w:ascii="黑体" w:hAnsi="黑体" w:eastAsia="黑体"/>
          <w:b w:val="0"/>
          <w:bCs w:val="0"/>
          <w:lang w:val="en-US" w:eastAsia="zh-CN"/>
        </w:rPr>
        <w:t>9</w:t>
      </w:r>
      <w:r>
        <w:rPr>
          <w:rStyle w:val="24"/>
          <w:rFonts w:hint="eastAsia" w:ascii="黑体" w:hAnsi="黑体" w:eastAsia="黑体"/>
          <w:b w:val="0"/>
          <w:bCs w:val="0"/>
        </w:rPr>
        <w:t>年度部门决算情况说明</w:t>
      </w:r>
      <w:bookmarkEnd w:id="22"/>
      <w:bookmarkEnd w:id="23"/>
    </w:p>
    <w:p>
      <w:pPr>
        <w:pStyle w:val="23"/>
        <w:numPr>
          <w:ilvl w:val="0"/>
          <w:numId w:val="2"/>
        </w:numPr>
        <w:spacing w:line="240" w:lineRule="auto"/>
        <w:ind w:left="0" w:firstLine="0" w:firstLineChars="0"/>
        <w:outlineLvl w:val="1"/>
        <w:rPr>
          <w:rStyle w:val="25"/>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4"/>
      <w:bookmarkEnd w:id="25"/>
    </w:p>
    <w:p>
      <w:pPr>
        <w:snapToGrid w:val="0"/>
        <w:spacing w:line="520" w:lineRule="exact"/>
        <w:ind w:firstLine="632" w:firstLineChars="200"/>
        <w:rPr>
          <w:rFonts w:hint="default" w:ascii="仿宋_GB2312" w:hAnsi="仿宋" w:eastAsia="仿宋_GB2312"/>
          <w:color w:val="000000" w:themeColor="text1"/>
          <w:spacing w:val="-2"/>
          <w:kern w:val="2"/>
          <w:sz w:val="32"/>
          <w:szCs w:val="32"/>
          <w:lang w:val="en-US" w:eastAsia="zh-CN" w:bidi="ar-SA"/>
          <w14:textFill>
            <w14:solidFill>
              <w14:schemeClr w14:val="tx1"/>
            </w14:solidFill>
          </w14:textFill>
        </w:rPr>
      </w:pPr>
      <w:r>
        <w:rPr>
          <w:rFonts w:hint="eastAsia" w:ascii="仿宋_GB2312" w:hAnsi="仿宋" w:eastAsia="仿宋_GB2312"/>
          <w:color w:val="000000" w:themeColor="text1"/>
          <w:spacing w:val="-2"/>
          <w:kern w:val="2"/>
          <w:sz w:val="32"/>
          <w:szCs w:val="32"/>
          <w:lang w:val="en-US" w:eastAsia="zh-CN" w:bidi="ar-SA"/>
          <w14:textFill>
            <w14:solidFill>
              <w14:schemeClr w14:val="tx1"/>
            </w14:solidFill>
          </w14:textFill>
        </w:rPr>
        <w:t>2019年度总收入3,290.44万元，较上年收入减少1037.31万元，减少23.97%。减少的主要原因是2019年更加规范财务核算，州政府直属事业单位项目经费在事业单位核算，主要是减少“州大数据中心”“州人防办”项目经费及州政府口岸物流办建设经费。</w:t>
      </w:r>
    </w:p>
    <w:p>
      <w:pPr>
        <w:snapToGrid w:val="0"/>
        <w:spacing w:line="520" w:lineRule="exact"/>
        <w:ind w:firstLine="632" w:firstLineChars="200"/>
        <w:rPr>
          <w:rFonts w:hint="default" w:ascii="仿宋" w:hAnsi="仿宋" w:eastAsia="仿宋"/>
          <w:color w:val="auto"/>
          <w:sz w:val="32"/>
          <w:szCs w:val="32"/>
          <w:lang w:val="en-US" w:eastAsia="zh-CN"/>
        </w:rPr>
      </w:pPr>
      <w:r>
        <w:rPr>
          <w:rFonts w:hint="eastAsia" w:ascii="仿宋_GB2312" w:hAnsi="仿宋" w:eastAsia="仿宋_GB2312"/>
          <w:color w:val="auto"/>
          <w:spacing w:val="-2"/>
          <w:kern w:val="2"/>
          <w:sz w:val="32"/>
          <w:szCs w:val="32"/>
          <w:lang w:val="en-US" w:eastAsia="zh-CN" w:bidi="ar-SA"/>
        </w:rPr>
        <w:t>2019年总支出3,752.38万元，较上年支出减少97.62万元，减少2%。主要原因一是当年部门预算安排项目经费较上年有所减少；二是2019年支出包含了上年结转项目。</w:t>
      </w:r>
    </w:p>
    <w:p>
      <w:pPr>
        <w:spacing w:line="600" w:lineRule="exact"/>
        <w:ind w:firstLine="640" w:firstLineChars="200"/>
        <w:rPr>
          <w:rStyle w:val="25"/>
          <w:rFonts w:ascii="黑体" w:hAnsi="黑体" w:eastAsia="黑体"/>
          <w:b w:val="0"/>
        </w:rPr>
      </w:pPr>
      <w:r>
        <w:rPr>
          <w:rFonts w:hint="eastAsia" w:ascii="黑体" w:hAnsi="黑体" w:eastAsia="黑体" w:cs="Times New Roman"/>
          <w:color w:val="000000"/>
          <w:kern w:val="2"/>
          <w:sz w:val="32"/>
          <w:szCs w:val="32"/>
          <w:lang w:val="en-US" w:eastAsia="zh-CN" w:bidi="ar-SA"/>
        </w:rPr>
        <w:drawing>
          <wp:anchor distT="0" distB="0" distL="114300" distR="114300" simplePos="0" relativeHeight="251659264" behindDoc="0" locked="0" layoutInCell="1" allowOverlap="1">
            <wp:simplePos x="0" y="0"/>
            <wp:positionH relativeFrom="column">
              <wp:posOffset>314960</wp:posOffset>
            </wp:positionH>
            <wp:positionV relativeFrom="paragraph">
              <wp:posOffset>45720</wp:posOffset>
            </wp:positionV>
            <wp:extent cx="5080000" cy="2582545"/>
            <wp:effectExtent l="4445" t="4445" r="20955" b="2286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26" w:name="_Toc15396604"/>
      <w:bookmarkStart w:id="27" w:name="_Toc15377206"/>
      <w:r>
        <w:rPr>
          <w:rFonts w:hint="eastAsia" w:ascii="黑体" w:hAnsi="黑体" w:eastAsia="黑体" w:cs="Times New Roman"/>
          <w:color w:val="000000"/>
          <w:kern w:val="2"/>
          <w:sz w:val="32"/>
          <w:szCs w:val="32"/>
          <w:lang w:val="en-US" w:eastAsia="zh-CN" w:bidi="ar-SA"/>
        </w:rPr>
        <w:t>二、收入决</w:t>
      </w:r>
      <w:r>
        <w:rPr>
          <w:rStyle w:val="25"/>
          <w:rFonts w:hint="eastAsia" w:ascii="黑体" w:hAnsi="黑体" w:eastAsia="黑体"/>
          <w:b w:val="0"/>
        </w:rPr>
        <w:t>算情况说明</w:t>
      </w:r>
      <w:bookmarkEnd w:id="26"/>
      <w:bookmarkEnd w:id="27"/>
    </w:p>
    <w:p>
      <w:pPr>
        <w:spacing w:line="600" w:lineRule="exact"/>
        <w:ind w:firstLine="640" w:firstLineChars="200"/>
        <w:outlineLvl w:val="1"/>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w:t>
      </w:r>
      <w:r>
        <w:rPr>
          <w:rFonts w:hint="eastAsia" w:ascii="仿宋" w:hAnsi="仿宋" w:eastAsia="仿宋"/>
          <w:color w:val="000000"/>
          <w:sz w:val="32"/>
          <w:szCs w:val="32"/>
          <w:lang w:val="en-US" w:eastAsia="zh-CN"/>
        </w:rPr>
        <w:t>总</w:t>
      </w:r>
      <w:r>
        <w:rPr>
          <w:rFonts w:hint="eastAsia" w:ascii="仿宋" w:hAnsi="仿宋" w:eastAsia="仿宋"/>
          <w:color w:val="000000"/>
          <w:sz w:val="32"/>
          <w:szCs w:val="32"/>
        </w:rPr>
        <w:t>收入</w:t>
      </w:r>
      <w:r>
        <w:rPr>
          <w:rFonts w:hint="eastAsia" w:ascii="仿宋" w:hAnsi="仿宋" w:eastAsia="仿宋"/>
          <w:color w:val="000000"/>
          <w:sz w:val="32"/>
          <w:szCs w:val="32"/>
          <w:lang w:val="en-US" w:eastAsia="zh-CN"/>
        </w:rPr>
        <w:t>3,290.44</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3,184.66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96.79</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105.78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3.21</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（青藏川滇交界地藏区州（市）长联席会议各市州缴纳联席会议费及机关食堂职工缴费）。</w:t>
      </w:r>
    </w:p>
    <w:p>
      <w:pPr>
        <w:spacing w:line="600" w:lineRule="exact"/>
        <w:ind w:firstLine="640" w:firstLineChars="200"/>
        <w:outlineLvl w:val="1"/>
        <w:rPr>
          <w:rStyle w:val="25"/>
          <w:rFonts w:ascii="黑体" w:hAnsi="黑体" w:eastAsia="黑体"/>
          <w:b w:val="0"/>
        </w:rPr>
      </w:pPr>
      <w:r>
        <w:rPr>
          <w:rFonts w:hint="eastAsia" w:ascii="黑体" w:hAnsi="黑体" w:eastAsia="黑体" w:cs="Times New Roman"/>
          <w:color w:val="000000"/>
          <w:kern w:val="2"/>
          <w:sz w:val="32"/>
          <w:szCs w:val="32"/>
          <w:lang w:val="en-US" w:eastAsia="zh-CN" w:bidi="ar-SA"/>
        </w:rPr>
        <w:drawing>
          <wp:anchor distT="0" distB="0" distL="114300" distR="114300" simplePos="0" relativeHeight="251660288" behindDoc="0" locked="0" layoutInCell="1" allowOverlap="1">
            <wp:simplePos x="0" y="0"/>
            <wp:positionH relativeFrom="column">
              <wp:posOffset>177800</wp:posOffset>
            </wp:positionH>
            <wp:positionV relativeFrom="paragraph">
              <wp:posOffset>135255</wp:posOffset>
            </wp:positionV>
            <wp:extent cx="5373370" cy="2648585"/>
            <wp:effectExtent l="4445" t="4445" r="13335" b="1397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28" w:name="_Toc15377207"/>
      <w:bookmarkStart w:id="29" w:name="_Toc15396605"/>
      <w:r>
        <w:rPr>
          <w:rFonts w:hint="eastAsia" w:ascii="黑体" w:hAnsi="黑体" w:eastAsia="黑体" w:cs="Times New Roman"/>
          <w:color w:val="000000"/>
          <w:kern w:val="2"/>
          <w:sz w:val="32"/>
          <w:szCs w:val="32"/>
          <w:lang w:val="en-US" w:eastAsia="zh-CN" w:bidi="ar-SA"/>
        </w:rPr>
        <w:t>三、支出决</w:t>
      </w:r>
      <w:r>
        <w:rPr>
          <w:rStyle w:val="25"/>
          <w:rFonts w:hint="eastAsia" w:ascii="黑体" w:hAnsi="黑体" w:eastAsia="黑体"/>
          <w:b w:val="0"/>
        </w:rPr>
        <w:t>算情况说明</w:t>
      </w:r>
      <w:bookmarkEnd w:id="28"/>
      <w:bookmarkEnd w:id="29"/>
    </w:p>
    <w:p>
      <w:pPr>
        <w:spacing w:line="600" w:lineRule="exact"/>
        <w:ind w:firstLine="640"/>
        <w:rPr>
          <w:rFonts w:ascii="仿宋" w:hAnsi="仿宋" w:eastAsia="仿宋"/>
          <w:color w:val="000000"/>
          <w:sz w:val="32"/>
          <w:szCs w:val="32"/>
          <w:shd w:val="pct10" w:color="auto" w:fill="FFFFFF"/>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年本年</w:t>
      </w:r>
      <w:r>
        <w:rPr>
          <w:rFonts w:hint="eastAsia" w:ascii="仿宋" w:hAnsi="仿宋" w:eastAsia="仿宋"/>
          <w:color w:val="000000"/>
          <w:sz w:val="32"/>
          <w:szCs w:val="32"/>
          <w:lang w:val="en-US" w:eastAsia="zh-CN"/>
        </w:rPr>
        <w:t>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3,752.38</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3,476.69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92.65</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275.69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7.35</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anchor distT="0" distB="0" distL="114300" distR="114300" simplePos="0" relativeHeight="251661312" behindDoc="0" locked="0" layoutInCell="1" allowOverlap="1">
            <wp:simplePos x="0" y="0"/>
            <wp:positionH relativeFrom="column">
              <wp:posOffset>64770</wp:posOffset>
            </wp:positionH>
            <wp:positionV relativeFrom="paragraph">
              <wp:posOffset>136525</wp:posOffset>
            </wp:positionV>
            <wp:extent cx="5061585" cy="1984375"/>
            <wp:effectExtent l="4445" t="4445" r="20320" b="1143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25"/>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30"/>
      <w:bookmarkEnd w:id="31"/>
    </w:p>
    <w:p>
      <w:pPr>
        <w:snapToGrid w:val="0"/>
        <w:spacing w:line="520" w:lineRule="exact"/>
        <w:ind w:firstLine="640" w:firstLineChars="200"/>
        <w:rPr>
          <w:rFonts w:hint="default" w:ascii="仿宋" w:hAnsi="仿宋" w:eastAsia="仿宋"/>
          <w:color w:val="FF0000"/>
          <w:sz w:val="32"/>
          <w:szCs w:val="32"/>
          <w:lang w:val="en-US" w:eastAsia="zh-CN"/>
        </w:rPr>
      </w:pPr>
      <w:r>
        <w:rPr>
          <w:rFonts w:hint="eastAsia" w:ascii="仿宋" w:hAnsi="仿宋" w:eastAsia="仿宋"/>
          <w:color w:val="000000"/>
          <w:sz w:val="32"/>
          <w:szCs w:val="32"/>
          <w:lang w:val="en-US" w:eastAsia="zh-CN"/>
        </w:rPr>
        <w:t>2019年财政拨款收入3,184.66万元。与2018年相比，一般公共预算财政拨款收入较上年减少1,135.83万元，减少26.29%。减少的主要原因是2019年事业单位项目经费在事业单位核算，主要是减少州政府办公室直属事业单位“州大数据中心”、“州人防办”项目经费及州政府“口岸物流办”建设经费。2019年财政拨款支出3646.60万元，</w:t>
      </w:r>
      <w:r>
        <w:rPr>
          <w:rFonts w:hint="eastAsia" w:ascii="仿宋" w:hAnsi="仿宋" w:eastAsia="仿宋"/>
          <w:color w:val="auto"/>
          <w:sz w:val="32"/>
          <w:szCs w:val="32"/>
          <w:lang w:val="en-US" w:eastAsia="zh-CN"/>
        </w:rPr>
        <w:t>较上年支出减少196.15万元，减少5.1%</w:t>
      </w:r>
      <w:r>
        <w:rPr>
          <w:rFonts w:hint="eastAsia" w:ascii="仿宋_GB2312" w:hAnsi="仿宋" w:eastAsia="仿宋_GB2312"/>
          <w:color w:val="auto"/>
          <w:spacing w:val="-2"/>
          <w:kern w:val="2"/>
          <w:sz w:val="32"/>
          <w:szCs w:val="32"/>
          <w:lang w:val="en-US" w:eastAsia="zh-CN" w:bidi="ar-SA"/>
        </w:rPr>
        <w:t>。</w:t>
      </w:r>
    </w:p>
    <w:p>
      <w:pPr>
        <w:spacing w:line="600" w:lineRule="exact"/>
        <w:ind w:firstLine="640" w:firstLineChars="200"/>
        <w:rPr>
          <w:rStyle w:val="25"/>
          <w:rFonts w:ascii="黑体" w:hAnsi="黑体" w:eastAsia="黑体"/>
          <w:b w:val="0"/>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2336" behindDoc="0" locked="0" layoutInCell="1" allowOverlap="1">
            <wp:simplePos x="0" y="0"/>
            <wp:positionH relativeFrom="column">
              <wp:posOffset>93345</wp:posOffset>
            </wp:positionH>
            <wp:positionV relativeFrom="paragraph">
              <wp:posOffset>222250</wp:posOffset>
            </wp:positionV>
            <wp:extent cx="5090160" cy="2953385"/>
            <wp:effectExtent l="4445" t="4445" r="10795" b="1397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napToGrid w:val="0"/>
        <w:spacing w:line="520" w:lineRule="exact"/>
        <w:ind w:firstLine="640" w:firstLineChars="200"/>
        <w:rPr>
          <w:rFonts w:hint="eastAsia" w:ascii="仿宋_GB2312" w:hAnsi="仿宋" w:eastAsia="仿宋_GB2312"/>
          <w:color w:val="FF0000"/>
          <w:spacing w:val="-2"/>
          <w:kern w:val="2"/>
          <w:sz w:val="32"/>
          <w:szCs w:val="32"/>
          <w:lang w:val="en-US" w:eastAsia="zh-CN" w:bidi="ar-SA"/>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w:t>
      </w:r>
      <w:r>
        <w:rPr>
          <w:rFonts w:hint="eastAsia" w:ascii="仿宋_GB2312" w:hAnsi="仿宋" w:eastAsia="仿宋_GB2312"/>
          <w:spacing w:val="-2"/>
          <w:kern w:val="2"/>
          <w:sz w:val="32"/>
          <w:szCs w:val="32"/>
          <w:lang w:val="en-US" w:eastAsia="zh-CN" w:bidi="ar-SA"/>
        </w:rPr>
        <w:t>一般公共预算财政拨款支出3,646.60万元，</w:t>
      </w:r>
      <w:r>
        <w:rPr>
          <w:rFonts w:hint="eastAsia" w:ascii="仿宋" w:hAnsi="仿宋" w:eastAsia="仿宋"/>
          <w:color w:val="000000"/>
          <w:sz w:val="32"/>
          <w:szCs w:val="32"/>
        </w:rPr>
        <w:t>占本年</w:t>
      </w:r>
      <w:r>
        <w:rPr>
          <w:rFonts w:hint="eastAsia" w:ascii="仿宋" w:hAnsi="仿宋" w:eastAsia="仿宋"/>
          <w:color w:val="000000"/>
          <w:sz w:val="32"/>
          <w:szCs w:val="32"/>
          <w:lang w:val="en-US" w:eastAsia="zh-CN"/>
        </w:rPr>
        <w:t>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的97.18</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年相比，一般公共预算财政拨款</w:t>
      </w:r>
      <w:r>
        <w:rPr>
          <w:rFonts w:hint="eastAsia" w:ascii="仿宋_GB2312" w:hAnsi="仿宋" w:eastAsia="仿宋_GB2312"/>
          <w:spacing w:val="-2"/>
          <w:kern w:val="2"/>
          <w:sz w:val="32"/>
          <w:szCs w:val="32"/>
          <w:lang w:val="en-US" w:eastAsia="zh-CN" w:bidi="ar-SA"/>
        </w:rPr>
        <w:t>支出减少196.15万元，减少5.1%。</w:t>
      </w:r>
      <w:r>
        <w:rPr>
          <w:rFonts w:hint="eastAsia" w:ascii="仿宋_GB2312" w:hAnsi="仿宋" w:eastAsia="仿宋_GB2312"/>
          <w:color w:val="auto"/>
          <w:spacing w:val="-2"/>
          <w:kern w:val="2"/>
          <w:sz w:val="32"/>
          <w:szCs w:val="32"/>
          <w:lang w:val="en-US" w:eastAsia="zh-CN" w:bidi="ar-SA"/>
        </w:rPr>
        <w:t>主要原因一是当年安排部门预算项目经费较上年有所减少；二是2019年财政拨款支出包含了上年结转项目。</w:t>
      </w:r>
    </w:p>
    <w:p>
      <w:pPr>
        <w:snapToGrid w:val="0"/>
        <w:spacing w:line="520" w:lineRule="exact"/>
        <w:ind w:firstLine="632" w:firstLineChars="200"/>
        <w:rPr>
          <w:rFonts w:hint="eastAsia" w:ascii="仿宋_GB2312" w:hAnsi="仿宋" w:eastAsia="仿宋_GB2312"/>
          <w:spacing w:val="-2"/>
          <w:kern w:val="2"/>
          <w:sz w:val="32"/>
          <w:szCs w:val="32"/>
          <w:lang w:val="en-US" w:eastAsia="zh-CN" w:bidi="ar-SA"/>
        </w:rPr>
      </w:pPr>
    </w:p>
    <w:p>
      <w:pPr>
        <w:snapToGrid w:val="0"/>
        <w:spacing w:line="520" w:lineRule="exact"/>
        <w:ind w:firstLine="640" w:firstLineChars="200"/>
        <w:rPr>
          <w:rFonts w:ascii="仿宋" w:hAnsi="仿宋" w:eastAsia="仿宋"/>
          <w:b/>
          <w:color w:val="000000"/>
          <w:sz w:val="32"/>
          <w:szCs w:val="32"/>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3360" behindDoc="0" locked="0" layoutInCell="1" allowOverlap="1">
            <wp:simplePos x="0" y="0"/>
            <wp:positionH relativeFrom="column">
              <wp:posOffset>177800</wp:posOffset>
            </wp:positionH>
            <wp:positionV relativeFrom="paragraph">
              <wp:posOffset>328295</wp:posOffset>
            </wp:positionV>
            <wp:extent cx="4836160" cy="2752090"/>
            <wp:effectExtent l="4445" t="4445" r="17145" b="5715"/>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3,646.60</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3,150.91</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86.41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237.59</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6.52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w:t>
      </w:r>
      <w:r>
        <w:rPr>
          <w:rFonts w:hint="eastAsia" w:ascii="仿宋" w:hAnsi="仿宋" w:eastAsia="仿宋"/>
          <w:b/>
          <w:bCs/>
          <w:color w:val="000000" w:themeColor="text1"/>
          <w:sz w:val="32"/>
          <w:szCs w:val="32"/>
          <w:lang w:eastAsia="zh-CN"/>
          <w14:textFill>
            <w14:solidFill>
              <w14:schemeClr w14:val="tx1"/>
            </w14:solidFill>
          </w14:textFill>
        </w:rPr>
        <w:t>健康</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105.17</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2.88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152.93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4.19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8320" w:firstLineChars="2600"/>
        <w:outlineLvl w:val="2"/>
        <w:rPr>
          <w:rFonts w:hint="eastAsia" w:ascii="仿宋" w:hAnsi="仿宋" w:eastAsia="仿宋"/>
          <w:b/>
          <w:color w:val="000000" w:themeColor="text1"/>
          <w:sz w:val="32"/>
          <w:szCs w:val="32"/>
          <w:lang w:val="en-US" w:eastAsia="zh-CN"/>
          <w14:textFill>
            <w14:solidFill>
              <w14:schemeClr w14:val="tx1"/>
            </w14:solidFill>
          </w14:textFill>
        </w:rPr>
      </w:pPr>
      <w:bookmarkStart w:id="36" w:name="_Toc15377213"/>
      <w:bookmarkStart w:id="37" w:name="_Toc15377444"/>
      <w:bookmarkStart w:id="38" w:name="_Toc15378460"/>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4384" behindDoc="0" locked="0" layoutInCell="1" allowOverlap="1">
            <wp:simplePos x="0" y="0"/>
            <wp:positionH relativeFrom="column">
              <wp:posOffset>540385</wp:posOffset>
            </wp:positionH>
            <wp:positionV relativeFrom="paragraph">
              <wp:posOffset>309245</wp:posOffset>
            </wp:positionV>
            <wp:extent cx="4572000" cy="2341245"/>
            <wp:effectExtent l="4445" t="4445" r="14605" b="1651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8353" w:firstLineChars="2600"/>
        <w:outlineLvl w:val="2"/>
        <w:rPr>
          <w:rFonts w:hint="eastAsia" w:ascii="仿宋" w:hAnsi="仿宋" w:eastAsia="仿宋"/>
          <w:b/>
          <w:color w:val="000000" w:themeColor="text1"/>
          <w:sz w:val="32"/>
          <w:szCs w:val="32"/>
          <w:lang w:val="en-US" w:eastAsia="zh-CN"/>
          <w14:textFill>
            <w14:solidFill>
              <w14:schemeClr w14:val="tx1"/>
            </w14:solidFill>
          </w14:textFill>
        </w:rPr>
      </w:pPr>
    </w:p>
    <w:p>
      <w:pPr>
        <w:spacing w:line="600" w:lineRule="exact"/>
        <w:ind w:firstLine="643" w:firstLineChars="200"/>
        <w:outlineLvl w:val="2"/>
        <w:rPr>
          <w:rFonts w:hint="eastAsia" w:ascii="仿宋" w:hAnsi="仿宋" w:eastAsia="仿宋"/>
          <w:b/>
          <w:color w:val="000000" w:themeColor="text1"/>
          <w:sz w:val="32"/>
          <w:szCs w:val="32"/>
          <w:lang w:val="en-US" w:eastAsia="zh-CN"/>
          <w14:textFill>
            <w14:solidFill>
              <w14:schemeClr w14:val="tx1"/>
            </w14:solidFill>
          </w14:textFill>
        </w:rPr>
      </w:pPr>
      <w:bookmarkStart w:id="39" w:name="_Toc15377212"/>
      <w:r>
        <w:rPr>
          <w:rFonts w:hint="eastAsia" w:ascii="仿宋" w:hAnsi="仿宋" w:eastAsia="仿宋"/>
          <w:b/>
          <w:color w:val="000000"/>
          <w:sz w:val="32"/>
          <w:szCs w:val="32"/>
        </w:rPr>
        <w:t>（三）一般公共预算财政拨款支出决算具体情况</w:t>
      </w:r>
      <w:bookmarkEnd w:id="39"/>
    </w:p>
    <w:p>
      <w:pPr>
        <w:spacing w:line="600" w:lineRule="exact"/>
        <w:outlineLvl w:val="2"/>
        <w:rPr>
          <w:rFonts w:ascii="仿宋" w:hAnsi="仿宋" w:eastAsia="仿宋"/>
          <w:b w:val="0"/>
          <w:bCs/>
          <w:color w:val="FF0000"/>
          <w:sz w:val="32"/>
          <w:szCs w:val="32"/>
        </w:rPr>
      </w:pPr>
      <w:r>
        <w:rPr>
          <w:rFonts w:hint="eastAsia" w:ascii="仿宋" w:hAnsi="仿宋" w:eastAsia="仿宋"/>
          <w:b w:val="0"/>
          <w:bCs/>
          <w:color w:val="000000" w:themeColor="text1"/>
          <w:sz w:val="32"/>
          <w:szCs w:val="32"/>
          <w:lang w:val="en-US" w:eastAsia="zh-CN"/>
          <w14:textFill>
            <w14:solidFill>
              <w14:schemeClr w14:val="tx1"/>
            </w14:solidFill>
          </w14:textFill>
        </w:rPr>
        <w:t xml:space="preserve">    </w:t>
      </w:r>
      <w:r>
        <w:rPr>
          <w:rFonts w:hint="eastAsia" w:ascii="仿宋" w:hAnsi="仿宋" w:eastAsia="仿宋"/>
          <w:b w:val="0"/>
          <w:bCs/>
          <w:color w:val="000000" w:themeColor="text1"/>
          <w:sz w:val="32"/>
          <w:szCs w:val="32"/>
          <w14:textFill>
            <w14:solidFill>
              <w14:schemeClr w14:val="tx1"/>
            </w14:solidFill>
          </w14:textFill>
        </w:rPr>
        <w:t>201</w:t>
      </w:r>
      <w:r>
        <w:rPr>
          <w:rFonts w:hint="eastAsia" w:ascii="仿宋" w:hAnsi="仿宋" w:eastAsia="仿宋"/>
          <w:b w:val="0"/>
          <w:bCs/>
          <w:color w:val="000000" w:themeColor="text1"/>
          <w:sz w:val="32"/>
          <w:szCs w:val="32"/>
          <w:lang w:val="en-US" w:eastAsia="zh-CN"/>
          <w14:textFill>
            <w14:solidFill>
              <w14:schemeClr w14:val="tx1"/>
            </w14:solidFill>
          </w14:textFill>
        </w:rPr>
        <w:t>9</w:t>
      </w:r>
      <w:r>
        <w:rPr>
          <w:rFonts w:hint="eastAsia" w:ascii="仿宋" w:hAnsi="仿宋" w:eastAsia="仿宋"/>
          <w:b w:val="0"/>
          <w:bCs/>
          <w:color w:val="000000" w:themeColor="text1"/>
          <w:sz w:val="32"/>
          <w:szCs w:val="32"/>
          <w14:textFill>
            <w14:solidFill>
              <w14:schemeClr w14:val="tx1"/>
            </w14:solidFill>
          </w14:textFill>
        </w:rPr>
        <w:t>年</w:t>
      </w:r>
      <w:r>
        <w:rPr>
          <w:rFonts w:hint="eastAsia" w:ascii="仿宋" w:hAnsi="仿宋" w:eastAsia="仿宋"/>
          <w:b w:val="0"/>
          <w:bCs/>
          <w:color w:val="000000"/>
          <w:sz w:val="32"/>
          <w:szCs w:val="32"/>
          <w:lang w:eastAsia="zh-CN"/>
        </w:rPr>
        <w:t>一</w:t>
      </w:r>
      <w:r>
        <w:rPr>
          <w:rFonts w:hint="eastAsia" w:ascii="仿宋" w:hAnsi="仿宋" w:eastAsia="仿宋"/>
          <w:b w:val="0"/>
          <w:bCs/>
          <w:color w:val="000000"/>
          <w:sz w:val="32"/>
          <w:szCs w:val="32"/>
        </w:rPr>
        <w:t>般公共预算</w:t>
      </w:r>
      <w:r>
        <w:rPr>
          <w:rFonts w:hint="eastAsia" w:ascii="仿宋" w:hAnsi="仿宋" w:eastAsia="仿宋"/>
          <w:b w:val="0"/>
          <w:bCs/>
          <w:color w:val="000000"/>
          <w:sz w:val="32"/>
          <w:szCs w:val="32"/>
          <w:lang w:val="en-US" w:eastAsia="zh-CN"/>
        </w:rPr>
        <w:t>数为3,721万元，</w:t>
      </w:r>
      <w:r>
        <w:rPr>
          <w:rFonts w:hint="eastAsia" w:ascii="仿宋" w:hAnsi="仿宋" w:eastAsia="仿宋"/>
          <w:b w:val="0"/>
          <w:bCs/>
          <w:color w:val="000000" w:themeColor="text1"/>
          <w:sz w:val="32"/>
          <w:szCs w:val="32"/>
          <w14:textFill>
            <w14:solidFill>
              <w14:schemeClr w14:val="tx1"/>
            </w14:solidFill>
          </w14:textFill>
        </w:rPr>
        <w:t>支出决算数为</w:t>
      </w:r>
      <w:r>
        <w:rPr>
          <w:rFonts w:hint="eastAsia" w:ascii="仿宋" w:hAnsi="仿宋" w:eastAsia="仿宋"/>
          <w:b w:val="0"/>
          <w:bCs/>
          <w:color w:val="000000" w:themeColor="text1"/>
          <w:sz w:val="32"/>
          <w:szCs w:val="32"/>
          <w:lang w:val="en-US" w:eastAsia="zh-CN"/>
          <w14:textFill>
            <w14:solidFill>
              <w14:schemeClr w14:val="tx1"/>
            </w14:solidFill>
          </w14:textFill>
        </w:rPr>
        <w:t>3,646.60万元</w:t>
      </w:r>
      <w:r>
        <w:rPr>
          <w:rFonts w:hint="eastAsia" w:ascii="仿宋" w:hAnsi="仿宋" w:eastAsia="仿宋"/>
          <w:b w:val="0"/>
          <w:bCs/>
          <w:color w:val="000000" w:themeColor="text1"/>
          <w:sz w:val="32"/>
          <w:szCs w:val="32"/>
          <w14:textFill>
            <w14:solidFill>
              <w14:schemeClr w14:val="tx1"/>
            </w14:solidFill>
          </w14:textFill>
        </w:rPr>
        <w:t>，完</w:t>
      </w:r>
      <w:r>
        <w:rPr>
          <w:rStyle w:val="14"/>
          <w:rFonts w:hint="eastAsia" w:ascii="仿宋" w:hAnsi="仿宋" w:eastAsia="仿宋"/>
          <w:b w:val="0"/>
          <w:bCs/>
          <w:color w:val="000000" w:themeColor="text1"/>
          <w:sz w:val="32"/>
          <w:szCs w:val="32"/>
          <w14:textFill>
            <w14:solidFill>
              <w14:schemeClr w14:val="tx1"/>
            </w14:solidFill>
          </w14:textFill>
        </w:rPr>
        <w:t>成</w:t>
      </w:r>
      <w:r>
        <w:rPr>
          <w:rStyle w:val="14"/>
          <w:rFonts w:hint="eastAsia" w:ascii="仿宋" w:hAnsi="仿宋" w:eastAsia="仿宋"/>
          <w:b w:val="0"/>
          <w:bCs/>
          <w:color w:val="000000"/>
          <w:sz w:val="32"/>
          <w:szCs w:val="32"/>
        </w:rPr>
        <w:t>预算</w:t>
      </w:r>
      <w:r>
        <w:rPr>
          <w:rStyle w:val="14"/>
          <w:rFonts w:hint="eastAsia" w:ascii="仿宋" w:hAnsi="仿宋" w:eastAsia="仿宋"/>
          <w:b w:val="0"/>
          <w:bCs/>
          <w:color w:val="000000"/>
          <w:sz w:val="32"/>
          <w:szCs w:val="32"/>
          <w:lang w:val="en-US" w:eastAsia="zh-CN"/>
        </w:rPr>
        <w:t>98.1</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Style w:val="14"/>
          <w:rFonts w:hint="eastAsia" w:ascii="仿宋" w:hAnsi="仿宋" w:eastAsia="仿宋"/>
          <w:b w:val="0"/>
          <w:bCs/>
          <w:color w:val="000000"/>
          <w:sz w:val="32"/>
          <w:szCs w:val="32"/>
          <w:lang w:val="en-US" w:eastAsia="zh-CN"/>
        </w:rPr>
        <w:t>结转下年74.4万元。</w:t>
      </w:r>
      <w:r>
        <w:rPr>
          <w:rStyle w:val="14"/>
          <w:rFonts w:hint="eastAsia" w:ascii="仿宋" w:hAnsi="仿宋" w:eastAsia="仿宋"/>
          <w:b w:val="0"/>
          <w:bCs/>
          <w:color w:val="000000"/>
          <w:sz w:val="32"/>
          <w:szCs w:val="32"/>
        </w:rPr>
        <w:t>其中：</w:t>
      </w:r>
      <w:bookmarkEnd w:id="36"/>
      <w:bookmarkEnd w:id="37"/>
      <w:bookmarkEnd w:id="38"/>
    </w:p>
    <w:p>
      <w:pPr>
        <w:numPr>
          <w:ilvl w:val="0"/>
          <w:numId w:val="0"/>
        </w:numPr>
        <w:spacing w:line="600" w:lineRule="exact"/>
        <w:ind w:firstLine="643" w:firstLineChars="200"/>
        <w:rPr>
          <w:rStyle w:val="14"/>
          <w:rFonts w:hint="eastAsia" w:ascii="仿宋" w:hAnsi="仿宋" w:eastAsia="仿宋"/>
          <w:b w:val="0"/>
          <w:bCs/>
          <w:color w:val="000000"/>
          <w:sz w:val="32"/>
          <w:szCs w:val="32"/>
        </w:rPr>
      </w:pPr>
      <w:r>
        <w:rPr>
          <w:rStyle w:val="14"/>
          <w:rFonts w:hint="eastAsia" w:ascii="仿宋" w:hAnsi="仿宋" w:eastAsia="仿宋"/>
          <w:bCs/>
          <w:color w:val="000000"/>
          <w:sz w:val="32"/>
          <w:szCs w:val="32"/>
          <w:lang w:val="en-US" w:eastAsia="zh-CN"/>
        </w:rPr>
        <w:t>1.</w:t>
      </w:r>
      <w:r>
        <w:rPr>
          <w:rStyle w:val="14"/>
          <w:rFonts w:hint="eastAsia" w:ascii="仿宋" w:hAnsi="仿宋" w:eastAsia="仿宋"/>
          <w:bCs/>
          <w:color w:val="000000"/>
          <w:sz w:val="32"/>
          <w:szCs w:val="32"/>
        </w:rPr>
        <w:t>一般公共服务（类）</w:t>
      </w:r>
      <w:r>
        <w:rPr>
          <w:rStyle w:val="14"/>
          <w:rFonts w:hint="eastAsia" w:ascii="仿宋" w:hAnsi="仿宋" w:eastAsia="仿宋"/>
          <w:bCs/>
          <w:color w:val="000000"/>
          <w:sz w:val="32"/>
          <w:szCs w:val="32"/>
          <w:lang w:val="en-US" w:eastAsia="zh-CN"/>
        </w:rPr>
        <w:t>政府办公厅（室）及相关机构事务</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行政运行</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2,975.22</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3" w:firstLineChars="200"/>
        <w:rPr>
          <w:rStyle w:val="14"/>
          <w:rFonts w:hint="default" w:ascii="仿宋" w:hAnsi="仿宋" w:eastAsia="仿宋"/>
          <w:b w:val="0"/>
          <w:bCs/>
          <w:color w:val="000000"/>
          <w:sz w:val="32"/>
          <w:szCs w:val="32"/>
          <w:lang w:val="en-US" w:eastAsia="zh-CN"/>
        </w:rPr>
      </w:pPr>
      <w:r>
        <w:rPr>
          <w:rStyle w:val="14"/>
          <w:rFonts w:ascii="仿宋" w:hAnsi="仿宋" w:eastAsia="仿宋"/>
          <w:bCs/>
          <w:color w:val="000000"/>
          <w:sz w:val="32"/>
          <w:szCs w:val="32"/>
        </w:rPr>
        <w:t>2.</w:t>
      </w:r>
      <w:r>
        <w:rPr>
          <w:rStyle w:val="14"/>
          <w:rFonts w:hint="eastAsia" w:ascii="仿宋" w:hAnsi="仿宋" w:eastAsia="仿宋"/>
          <w:bCs/>
          <w:color w:val="000000"/>
          <w:sz w:val="32"/>
          <w:szCs w:val="32"/>
        </w:rPr>
        <w:t>一般公共服务（类）</w:t>
      </w:r>
      <w:r>
        <w:rPr>
          <w:rStyle w:val="14"/>
          <w:rFonts w:hint="eastAsia" w:ascii="仿宋" w:hAnsi="仿宋" w:eastAsia="仿宋"/>
          <w:bCs/>
          <w:color w:val="000000"/>
          <w:sz w:val="32"/>
          <w:szCs w:val="32"/>
          <w:lang w:val="en-US" w:eastAsia="zh-CN"/>
        </w:rPr>
        <w:t>政府办公厅（室）及相关机构事务</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一般行政管理事务</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175.69</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70.17</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r>
        <w:rPr>
          <w:rStyle w:val="14"/>
          <w:rFonts w:hint="eastAsia" w:ascii="仿宋" w:hAnsi="仿宋" w:eastAsia="仿宋"/>
          <w:b w:val="0"/>
          <w:bCs/>
          <w:color w:val="000000"/>
          <w:sz w:val="32"/>
          <w:szCs w:val="32"/>
          <w:lang w:val="en-US" w:eastAsia="zh-CN"/>
        </w:rPr>
        <w:t>结转下年74.4万元，主要为：公务用车购置60万元，川滇藏青联席会会议费尾款5万元，口岸物流办可研报告尾款9.4万元。</w:t>
      </w:r>
    </w:p>
    <w:p>
      <w:pPr>
        <w:spacing w:line="60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lang w:val="en-US" w:eastAsia="zh-CN"/>
        </w:rPr>
        <w:t>3</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Cs/>
          <w:color w:val="000000"/>
          <w:sz w:val="32"/>
          <w:szCs w:val="32"/>
        </w:rPr>
        <w:t>社会保障和就业（类）</w:t>
      </w:r>
      <w:r>
        <w:rPr>
          <w:rStyle w:val="14"/>
          <w:rFonts w:hint="eastAsia" w:ascii="仿宋" w:hAnsi="仿宋" w:eastAsia="仿宋"/>
          <w:bCs/>
          <w:color w:val="000000"/>
          <w:sz w:val="32"/>
          <w:szCs w:val="32"/>
          <w:lang w:val="en-US" w:eastAsia="zh-CN"/>
        </w:rPr>
        <w:t>行政事业单位离退休</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机关事业单位基本养老保险缴费支出</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162.32</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lang w:val="en-US" w:eastAsia="zh-CN"/>
        </w:rPr>
        <w:t>4</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社会保障和就业（类）</w:t>
      </w:r>
      <w:r>
        <w:rPr>
          <w:rStyle w:val="14"/>
          <w:rFonts w:hint="eastAsia" w:ascii="仿宋" w:hAnsi="仿宋" w:eastAsia="仿宋"/>
          <w:bCs/>
          <w:color w:val="000000"/>
          <w:sz w:val="32"/>
          <w:szCs w:val="32"/>
          <w:lang w:val="en-US" w:eastAsia="zh-CN"/>
        </w:rPr>
        <w:t>行政事业单位离退休</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机关事业单位基本职业年金缴费支出</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75.27</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color w:val="000000"/>
          <w:sz w:val="32"/>
          <w:szCs w:val="32"/>
        </w:rPr>
      </w:pPr>
      <w:r>
        <w:rPr>
          <w:rStyle w:val="14"/>
          <w:rFonts w:hint="eastAsia" w:ascii="仿宋" w:hAnsi="仿宋" w:eastAsia="仿宋"/>
          <w:bCs/>
          <w:color w:val="000000"/>
          <w:sz w:val="32"/>
          <w:szCs w:val="32"/>
          <w:lang w:val="en-US" w:eastAsia="zh-CN"/>
        </w:rPr>
        <w:t>5.</w:t>
      </w:r>
      <w:r>
        <w:rPr>
          <w:rStyle w:val="14"/>
          <w:rFonts w:hint="eastAsia" w:ascii="仿宋" w:hAnsi="仿宋" w:eastAsia="仿宋"/>
          <w:bCs/>
          <w:color w:val="000000"/>
          <w:sz w:val="32"/>
          <w:szCs w:val="32"/>
          <w:lang w:eastAsia="zh-CN"/>
        </w:rPr>
        <w:t>卫生健康支出</w:t>
      </w:r>
      <w:r>
        <w:rPr>
          <w:rStyle w:val="14"/>
          <w:rFonts w:hint="eastAsia" w:ascii="仿宋" w:hAnsi="仿宋" w:eastAsia="仿宋"/>
          <w:bCs/>
          <w:color w:val="000000"/>
          <w:sz w:val="32"/>
          <w:szCs w:val="32"/>
        </w:rPr>
        <w:t>（类）</w:t>
      </w:r>
      <w:r>
        <w:rPr>
          <w:rStyle w:val="14"/>
          <w:rFonts w:hint="eastAsia" w:ascii="仿宋" w:hAnsi="仿宋" w:eastAsia="仿宋"/>
          <w:bCs/>
          <w:color w:val="000000"/>
          <w:sz w:val="32"/>
          <w:szCs w:val="32"/>
          <w:lang w:val="en-US" w:eastAsia="zh-CN"/>
        </w:rPr>
        <w:t>行政事业单位医疗</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行政单位医疗</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86.6</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color w:val="000000"/>
          <w:sz w:val="32"/>
          <w:szCs w:val="32"/>
        </w:rPr>
      </w:pPr>
      <w:r>
        <w:rPr>
          <w:rStyle w:val="14"/>
          <w:rFonts w:hint="eastAsia" w:ascii="仿宋" w:hAnsi="仿宋" w:eastAsia="仿宋"/>
          <w:bCs/>
          <w:color w:val="000000"/>
          <w:sz w:val="32"/>
          <w:szCs w:val="32"/>
          <w:lang w:val="en-US" w:eastAsia="zh-CN"/>
        </w:rPr>
        <w:t>6.</w:t>
      </w:r>
      <w:r>
        <w:rPr>
          <w:rStyle w:val="14"/>
          <w:rFonts w:hint="eastAsia" w:ascii="仿宋" w:hAnsi="仿宋" w:eastAsia="仿宋"/>
          <w:bCs/>
          <w:color w:val="000000"/>
          <w:sz w:val="32"/>
          <w:szCs w:val="32"/>
          <w:lang w:eastAsia="zh-CN"/>
        </w:rPr>
        <w:t>卫生健康支出</w:t>
      </w:r>
      <w:r>
        <w:rPr>
          <w:rStyle w:val="14"/>
          <w:rFonts w:hint="eastAsia" w:ascii="仿宋" w:hAnsi="仿宋" w:eastAsia="仿宋"/>
          <w:bCs/>
          <w:color w:val="000000"/>
          <w:sz w:val="32"/>
          <w:szCs w:val="32"/>
        </w:rPr>
        <w:t>（类）</w:t>
      </w:r>
      <w:r>
        <w:rPr>
          <w:rStyle w:val="14"/>
          <w:rFonts w:hint="eastAsia" w:ascii="仿宋" w:hAnsi="仿宋" w:eastAsia="仿宋"/>
          <w:bCs/>
          <w:color w:val="000000"/>
          <w:sz w:val="32"/>
          <w:szCs w:val="32"/>
          <w:lang w:val="en-US" w:eastAsia="zh-CN"/>
        </w:rPr>
        <w:t>行政事业单位医疗</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公务员医疗补助</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18.57</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Style w:val="14"/>
          <w:rFonts w:hint="default" w:ascii="仿宋" w:hAnsi="仿宋" w:eastAsia="仿宋"/>
          <w:bCs/>
          <w:color w:val="000000"/>
          <w:sz w:val="32"/>
          <w:szCs w:val="32"/>
          <w:lang w:val="en-US" w:eastAsia="zh-CN"/>
        </w:rPr>
      </w:pPr>
      <w:bookmarkStart w:id="40" w:name="_Toc15377214"/>
      <w:bookmarkStart w:id="41" w:name="_Toc15396608"/>
      <w:r>
        <w:rPr>
          <w:rStyle w:val="14"/>
          <w:rFonts w:hint="eastAsia" w:ascii="仿宋" w:hAnsi="仿宋" w:eastAsia="仿宋"/>
          <w:bCs/>
          <w:color w:val="000000"/>
          <w:sz w:val="32"/>
          <w:szCs w:val="32"/>
          <w:lang w:val="en-US" w:eastAsia="zh-CN"/>
        </w:rPr>
        <w:t>7.住房保障（类）住房改革支出（款）住房公积金（项）：</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152.93</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0"/>
        <w:rPr>
          <w:rStyle w:val="25"/>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40"/>
      <w:bookmarkEnd w:id="41"/>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3,470.91</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2,294.41</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442.66万元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1,068.27万元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39.87万元</w:t>
      </w:r>
      <w:r>
        <w:rPr>
          <w:rFonts w:hint="eastAsia" w:ascii="仿宋" w:hAnsi="仿宋" w:eastAsia="仿宋"/>
          <w:color w:val="000000"/>
          <w:sz w:val="32"/>
          <w:szCs w:val="32"/>
        </w:rPr>
        <w:t>、伙食补助费</w:t>
      </w:r>
      <w:r>
        <w:rPr>
          <w:rFonts w:hint="eastAsia" w:ascii="仿宋" w:hAnsi="仿宋" w:eastAsia="仿宋"/>
          <w:color w:val="000000"/>
          <w:sz w:val="32"/>
          <w:szCs w:val="32"/>
          <w:lang w:val="en-US" w:eastAsia="zh-CN"/>
        </w:rPr>
        <w:t>84.32万元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162.32万元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75.27万元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职工基本医疗保险缴费86.60万元、公务员医疗补助缴费18.57万元、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17.13万元</w:t>
      </w:r>
      <w:r>
        <w:rPr>
          <w:rFonts w:hint="eastAsia" w:ascii="仿宋" w:hAnsi="仿宋" w:eastAsia="仿宋"/>
          <w:color w:val="000000"/>
          <w:sz w:val="32"/>
          <w:szCs w:val="32"/>
        </w:rPr>
        <w:t>、其他工资福利支出</w:t>
      </w:r>
      <w:r>
        <w:rPr>
          <w:rFonts w:hint="eastAsia" w:ascii="仿宋" w:hAnsi="仿宋" w:eastAsia="仿宋"/>
          <w:color w:val="000000"/>
          <w:sz w:val="32"/>
          <w:szCs w:val="32"/>
          <w:lang w:val="en-US" w:eastAsia="zh-CN"/>
        </w:rPr>
        <w:t>98.44万元</w:t>
      </w:r>
      <w:r>
        <w:rPr>
          <w:rFonts w:hint="eastAsia" w:ascii="仿宋" w:hAnsi="仿宋" w:eastAsia="仿宋"/>
          <w:color w:val="000000"/>
          <w:sz w:val="32"/>
          <w:szCs w:val="32"/>
        </w:rPr>
        <w:t>、生活补助</w:t>
      </w:r>
      <w:r>
        <w:rPr>
          <w:rFonts w:hint="eastAsia" w:ascii="仿宋" w:hAnsi="仿宋" w:eastAsia="仿宋"/>
          <w:color w:val="000000"/>
          <w:sz w:val="32"/>
          <w:szCs w:val="32"/>
          <w:lang w:val="en-US" w:eastAsia="zh-CN"/>
        </w:rPr>
        <w:t>21.77万元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抚恤金</w:t>
      </w:r>
      <w:r>
        <w:rPr>
          <w:rFonts w:hint="eastAsia" w:ascii="仿宋" w:hAnsi="仿宋" w:eastAsia="仿宋"/>
          <w:color w:val="000000"/>
          <w:sz w:val="32"/>
          <w:szCs w:val="32"/>
          <w:lang w:val="en-US" w:eastAsia="zh-CN"/>
        </w:rPr>
        <w:t>23.34万元、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152.93万元</w:t>
      </w:r>
      <w:r>
        <w:rPr>
          <w:rFonts w:hint="eastAsia" w:ascii="仿宋" w:hAnsi="仿宋" w:eastAsia="仿宋"/>
          <w:color w:val="000000"/>
          <w:sz w:val="32"/>
          <w:szCs w:val="32"/>
        </w:rPr>
        <w:t>、其他对个人和家庭的补助支出</w:t>
      </w:r>
      <w:r>
        <w:rPr>
          <w:rFonts w:hint="eastAsia" w:ascii="仿宋" w:hAnsi="仿宋" w:eastAsia="仿宋"/>
          <w:color w:val="000000"/>
          <w:sz w:val="32"/>
          <w:szCs w:val="32"/>
          <w:lang w:val="en-US" w:eastAsia="zh-CN"/>
        </w:rPr>
        <w:t>2.92万元</w:t>
      </w:r>
      <w:r>
        <w:rPr>
          <w:rFonts w:hint="eastAsia" w:ascii="仿宋" w:hAnsi="仿宋" w:eastAsia="仿宋"/>
          <w:color w:val="000000"/>
          <w:sz w:val="32"/>
          <w:szCs w:val="32"/>
        </w:rPr>
        <w:t>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1,176.50</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69.21万元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手续费</w:t>
      </w:r>
      <w:r>
        <w:rPr>
          <w:rFonts w:hint="eastAsia" w:ascii="仿宋" w:hAnsi="仿宋" w:eastAsia="仿宋"/>
          <w:color w:val="000000"/>
          <w:sz w:val="32"/>
          <w:szCs w:val="32"/>
          <w:lang w:val="en-US" w:eastAsia="zh-CN"/>
        </w:rPr>
        <w:t>0.03万元、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10.51万元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20.51万元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60.70万元</w:t>
      </w:r>
      <w:r>
        <w:rPr>
          <w:rFonts w:hint="eastAsia" w:ascii="仿宋" w:hAnsi="仿宋" w:eastAsia="仿宋"/>
          <w:color w:val="000000"/>
          <w:sz w:val="32"/>
          <w:szCs w:val="32"/>
        </w:rPr>
        <w:t>、物业管理费</w:t>
      </w:r>
      <w:r>
        <w:rPr>
          <w:rFonts w:hint="eastAsia" w:ascii="仿宋" w:hAnsi="仿宋" w:eastAsia="仿宋"/>
          <w:color w:val="000000"/>
          <w:sz w:val="32"/>
          <w:szCs w:val="32"/>
          <w:lang w:val="en-US" w:eastAsia="zh-CN"/>
        </w:rPr>
        <w:t>6.67万元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399.00万元</w:t>
      </w:r>
      <w:r>
        <w:rPr>
          <w:rFonts w:hint="eastAsia" w:ascii="仿宋" w:hAnsi="仿宋" w:eastAsia="仿宋"/>
          <w:color w:val="000000"/>
          <w:sz w:val="32"/>
          <w:szCs w:val="32"/>
        </w:rPr>
        <w:t>、因公出国（境）费用</w:t>
      </w:r>
      <w:r>
        <w:rPr>
          <w:rFonts w:hint="eastAsia" w:ascii="仿宋" w:hAnsi="仿宋" w:eastAsia="仿宋"/>
          <w:color w:val="000000"/>
          <w:sz w:val="32"/>
          <w:szCs w:val="32"/>
          <w:lang w:val="en-US" w:eastAsia="zh-CN"/>
        </w:rPr>
        <w:t>25.10万元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30.87万元</w:t>
      </w:r>
      <w:r>
        <w:rPr>
          <w:rFonts w:hint="eastAsia" w:ascii="仿宋" w:hAnsi="仿宋" w:eastAsia="仿宋"/>
          <w:color w:val="000000"/>
          <w:sz w:val="32"/>
          <w:szCs w:val="32"/>
        </w:rPr>
        <w:t>、租赁费</w:t>
      </w:r>
      <w:r>
        <w:rPr>
          <w:rFonts w:hint="eastAsia" w:ascii="仿宋" w:hAnsi="仿宋" w:eastAsia="仿宋"/>
          <w:color w:val="000000"/>
          <w:sz w:val="32"/>
          <w:szCs w:val="32"/>
          <w:lang w:val="en-US" w:eastAsia="zh-CN"/>
        </w:rPr>
        <w:t>18.72万元</w:t>
      </w:r>
      <w:r>
        <w:rPr>
          <w:rFonts w:hint="eastAsia" w:ascii="仿宋" w:hAnsi="仿宋" w:eastAsia="仿宋"/>
          <w:color w:val="000000"/>
          <w:sz w:val="32"/>
          <w:szCs w:val="32"/>
        </w:rPr>
        <w:t>、会议费</w:t>
      </w:r>
      <w:r>
        <w:rPr>
          <w:rFonts w:hint="eastAsia" w:ascii="仿宋" w:hAnsi="仿宋" w:eastAsia="仿宋"/>
          <w:color w:val="000000"/>
          <w:sz w:val="32"/>
          <w:szCs w:val="32"/>
          <w:lang w:val="en-US" w:eastAsia="zh-CN"/>
        </w:rPr>
        <w:t>52.38万元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15.85万元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19.80万元</w:t>
      </w:r>
      <w:r>
        <w:rPr>
          <w:rFonts w:hint="eastAsia" w:ascii="仿宋" w:hAnsi="仿宋" w:eastAsia="仿宋"/>
          <w:color w:val="000000"/>
          <w:sz w:val="32"/>
          <w:szCs w:val="32"/>
        </w:rPr>
        <w:t>、福利费</w:t>
      </w:r>
      <w:r>
        <w:rPr>
          <w:rFonts w:hint="eastAsia" w:ascii="仿宋" w:hAnsi="仿宋" w:eastAsia="仿宋"/>
          <w:color w:val="000000"/>
          <w:sz w:val="32"/>
          <w:szCs w:val="32"/>
          <w:lang w:val="en-US" w:eastAsia="zh-CN"/>
        </w:rPr>
        <w:t>8.88万元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399.8万元、其他商品和服务支出2.99万元、办公设备购置19.08万元、无形资产购置16.40万元</w:t>
      </w:r>
      <w:r>
        <w:rPr>
          <w:rFonts w:hint="eastAsia" w:ascii="仿宋" w:hAnsi="仿宋" w:eastAsia="仿宋"/>
          <w:color w:val="000000"/>
          <w:sz w:val="32"/>
          <w:szCs w:val="32"/>
        </w:rPr>
        <w:t>等。</w:t>
      </w:r>
    </w:p>
    <w:p>
      <w:pPr>
        <w:spacing w:line="600" w:lineRule="exact"/>
        <w:ind w:firstLine="640" w:firstLineChars="200"/>
        <w:outlineLvl w:val="1"/>
        <w:rPr>
          <w:rStyle w:val="25"/>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444.57</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年“三公”经费财政拨款支出</w:t>
      </w:r>
      <w:r>
        <w:rPr>
          <w:rFonts w:hint="eastAsia" w:ascii="仿宋" w:hAnsi="仿宋" w:eastAsia="仿宋"/>
          <w:color w:val="auto"/>
          <w:sz w:val="32"/>
          <w:szCs w:val="32"/>
        </w:rPr>
        <w:t>决算</w:t>
      </w:r>
      <w:r>
        <w:rPr>
          <w:rFonts w:hint="eastAsia" w:ascii="仿宋" w:hAnsi="仿宋" w:eastAsia="仿宋"/>
          <w:color w:val="auto"/>
          <w:sz w:val="32"/>
          <w:szCs w:val="32"/>
          <w:lang w:val="en-US" w:eastAsia="zh-CN"/>
        </w:rPr>
        <w:t>444.57万元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其中：</w:t>
      </w:r>
      <w:r>
        <w:rPr>
          <w:rFonts w:hint="eastAsia" w:ascii="仿宋" w:hAnsi="仿宋" w:eastAsia="仿宋"/>
          <w:color w:val="000000"/>
          <w:sz w:val="32"/>
          <w:szCs w:val="32"/>
        </w:rPr>
        <w:t>因公出国（境）费支出决算</w:t>
      </w:r>
      <w:r>
        <w:rPr>
          <w:rFonts w:hint="eastAsia" w:ascii="仿宋" w:hAnsi="仿宋" w:eastAsia="仿宋"/>
          <w:color w:val="000000"/>
          <w:sz w:val="32"/>
          <w:szCs w:val="32"/>
          <w:lang w:val="en-US" w:eastAsia="zh-CN"/>
        </w:rPr>
        <w:t>25.10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5.65</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399.67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89.90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19.80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4.45</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65408" behindDoc="0" locked="0" layoutInCell="1" allowOverlap="1">
            <wp:simplePos x="0" y="0"/>
            <wp:positionH relativeFrom="column">
              <wp:posOffset>239395</wp:posOffset>
            </wp:positionH>
            <wp:positionV relativeFrom="paragraph">
              <wp:posOffset>147320</wp:posOffset>
            </wp:positionV>
            <wp:extent cx="5071110" cy="2591435"/>
            <wp:effectExtent l="4445" t="4445" r="10795" b="1397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25.10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auto"/>
          <w:sz w:val="32"/>
          <w:szCs w:val="32"/>
        </w:rPr>
        <w:t>全年安排因公出国（境）团组</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次，出国（境）</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人。因</w:t>
      </w:r>
      <w:r>
        <w:rPr>
          <w:rFonts w:hint="eastAsia" w:ascii="仿宋_GB2312" w:eastAsia="仿宋_GB2312"/>
          <w:color w:val="000000"/>
          <w:sz w:val="32"/>
          <w:szCs w:val="32"/>
        </w:rPr>
        <w:t>公出国（境）支出决算比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w:t>
      </w:r>
      <w:r>
        <w:rPr>
          <w:rFonts w:hint="eastAsia" w:ascii="仿宋_GB2312" w:hAnsi="仿宋" w:eastAsia="仿宋_GB2312" w:cs="仿宋"/>
          <w:color w:val="000000"/>
          <w:sz w:val="32"/>
          <w:szCs w:val="32"/>
          <w:lang w:val="en-US" w:eastAsia="zh-CN"/>
        </w:rPr>
        <w:t>增加20.23万元，增加原因为受出国人次增加和出国目的地消费水平不同的影响，同比增长幅度较大。出国境经费均按相关文件执行。</w:t>
      </w:r>
    </w:p>
    <w:p>
      <w:pPr>
        <w:spacing w:line="600" w:lineRule="exact"/>
        <w:ind w:firstLine="640"/>
        <w:rPr>
          <w:rFonts w:ascii="仿宋_GB2312" w:eastAsia="仿宋_GB2312"/>
          <w:b/>
          <w:color w:val="auto"/>
          <w:sz w:val="32"/>
          <w:szCs w:val="32"/>
        </w:rPr>
      </w:pPr>
      <w:r>
        <w:rPr>
          <w:rFonts w:ascii="仿宋_GB2312" w:eastAsia="仿宋_GB2312"/>
          <w:b/>
          <w:color w:val="000000"/>
          <w:sz w:val="32"/>
          <w:szCs w:val="32"/>
        </w:rPr>
        <w:t>2.</w:t>
      </w:r>
      <w:r>
        <w:rPr>
          <w:rFonts w:hint="eastAsia" w:ascii="仿宋_GB2312" w:eastAsia="仿宋_GB2312"/>
          <w:b/>
          <w:color w:val="000000"/>
          <w:sz w:val="32"/>
          <w:szCs w:val="32"/>
          <w:lang w:val="en-US" w:eastAsia="zh-CN"/>
        </w:rPr>
        <w:t>公务</w:t>
      </w:r>
      <w:r>
        <w:rPr>
          <w:rFonts w:hint="eastAsia" w:ascii="仿宋_GB2312" w:eastAsia="仿宋_GB2312"/>
          <w:b/>
          <w:color w:val="auto"/>
          <w:sz w:val="32"/>
          <w:szCs w:val="32"/>
          <w:shd w:val="clear"/>
        </w:rPr>
        <w:t>用车</w:t>
      </w:r>
      <w:r>
        <w:rPr>
          <w:rFonts w:hint="eastAsia" w:ascii="仿宋_GB2312" w:eastAsia="仿宋_GB2312"/>
          <w:b/>
          <w:color w:val="000000"/>
          <w:sz w:val="32"/>
          <w:szCs w:val="32"/>
          <w:shd w:val="clear"/>
        </w:rPr>
        <w:t>购置</w:t>
      </w:r>
      <w:r>
        <w:rPr>
          <w:rFonts w:hint="eastAsia" w:ascii="仿宋_GB2312" w:eastAsia="仿宋_GB2312"/>
          <w:b/>
          <w:color w:val="000000"/>
          <w:sz w:val="32"/>
          <w:szCs w:val="32"/>
        </w:rPr>
        <w:t>及运行维护费支出</w:t>
      </w:r>
      <w:r>
        <w:rPr>
          <w:rFonts w:hint="eastAsia" w:ascii="仿宋_GB2312" w:eastAsia="仿宋_GB2312"/>
          <w:color w:val="000000"/>
          <w:sz w:val="32"/>
          <w:szCs w:val="32"/>
          <w:lang w:val="en-US" w:eastAsia="zh-CN"/>
        </w:rPr>
        <w:t>399.67</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36.01</w:t>
      </w:r>
      <w:r>
        <w:rPr>
          <w:rFonts w:hint="eastAsia" w:ascii="仿宋_GB2312" w:eastAsia="仿宋_GB2312"/>
          <w:color w:val="000000"/>
          <w:sz w:val="32"/>
          <w:szCs w:val="32"/>
        </w:rPr>
        <w:t>万元，</w:t>
      </w:r>
      <w:r>
        <w:rPr>
          <w:rFonts w:hint="eastAsia" w:ascii="仿宋_GB2312" w:eastAsia="仿宋_GB2312"/>
          <w:color w:val="auto"/>
          <w:sz w:val="32"/>
          <w:szCs w:val="32"/>
          <w:lang w:eastAsia="zh-CN"/>
        </w:rPr>
        <w:t>上升</w:t>
      </w:r>
      <w:r>
        <w:rPr>
          <w:rFonts w:hint="eastAsia" w:ascii="仿宋_GB2312" w:eastAsia="仿宋_GB2312"/>
          <w:color w:val="auto"/>
          <w:sz w:val="32"/>
          <w:szCs w:val="32"/>
          <w:lang w:val="en-US" w:eastAsia="zh-CN"/>
        </w:rPr>
        <w:t>9.9</w:t>
      </w:r>
      <w:r>
        <w:rPr>
          <w:rFonts w:ascii="仿宋_GB2312" w:eastAsia="仿宋_GB2312"/>
          <w:color w:val="auto"/>
          <w:sz w:val="32"/>
          <w:szCs w:val="32"/>
        </w:rPr>
        <w:t>%</w:t>
      </w:r>
      <w:r>
        <w:rPr>
          <w:rFonts w:hint="eastAsia" w:ascii="仿宋_GB2312" w:eastAsia="仿宋_GB2312"/>
          <w:color w:val="auto"/>
          <w:sz w:val="32"/>
          <w:szCs w:val="32"/>
        </w:rPr>
        <w:t>。</w:t>
      </w:r>
      <w:r>
        <w:rPr>
          <w:rFonts w:hint="eastAsia" w:ascii="仿宋_GB2312" w:hAnsi="仿宋" w:eastAsia="仿宋_GB2312" w:cs="仿宋"/>
          <w:color w:val="000000"/>
          <w:sz w:val="32"/>
          <w:szCs w:val="32"/>
          <w:lang w:val="en-US" w:eastAsia="zh-CN"/>
        </w:rPr>
        <w:t>增加原因一是机关公务用车保障任务重、保障路程长、保障半径宽，车辆过半老化，维修维护费用高。二是高速公路ETC刷卡费用增加，办公室多台车辆原来都以7座计费，ETC刷卡按8座计费，过路费用翻番增长。三是按照藏区提前一年实现基本“脱贫”的工作要求，脱贫攻坚任务繁重，开展脱贫攻坚一线调研和现场指导的次数增多。四是开展“两联一进”群众工作，保障需求持续增加。五是抗击突发自然灾害，处置和查灾救灾的次数增多。六是承担浙江-阿坝东西部扶贫协作和对口支援工作，为浙江来川的挂职干部职工提供了相应的用车保障。</w:t>
      </w:r>
    </w:p>
    <w:p>
      <w:pPr>
        <w:autoSpaceDE w:val="0"/>
        <w:autoSpaceDN w:val="0"/>
        <w:adjustRightInd w:val="0"/>
        <w:spacing w:line="600" w:lineRule="exact"/>
        <w:ind w:firstLine="640" w:firstLineChars="200"/>
        <w:jc w:val="left"/>
        <w:rPr>
          <w:rFonts w:hint="eastAsia" w:ascii="仿宋_GB2312" w:eastAsia="仿宋_GB2312"/>
          <w:b/>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辆。截至</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辆，其中：部级领导干部用车0辆、主要领导干部用车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辆、执法执勤用车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辆、离退休干部用车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auto"/>
          <w:sz w:val="32"/>
          <w:szCs w:val="32"/>
          <w:lang w:val="en-US" w:eastAsia="zh-CN"/>
        </w:rPr>
        <w:t>399.67</w:t>
      </w:r>
      <w:r>
        <w:rPr>
          <w:rFonts w:hint="eastAsia" w:ascii="仿宋_GB2312" w:eastAsia="仿宋_GB2312"/>
          <w:color w:val="auto"/>
          <w:sz w:val="32"/>
          <w:szCs w:val="32"/>
        </w:rPr>
        <w:t>万元。</w:t>
      </w:r>
      <w:r>
        <w:rPr>
          <w:rFonts w:hint="eastAsia" w:ascii="仿宋_GB2312" w:eastAsia="仿宋_GB2312"/>
          <w:color w:val="000000"/>
          <w:sz w:val="32"/>
          <w:szCs w:val="32"/>
        </w:rPr>
        <w:t>主要用</w:t>
      </w:r>
      <w:r>
        <w:rPr>
          <w:rFonts w:hint="eastAsia" w:ascii="仿宋_GB2312" w:eastAsia="仿宋_GB2312"/>
          <w:color w:val="000000"/>
          <w:sz w:val="32"/>
          <w:szCs w:val="32"/>
          <w:lang w:val="en-US" w:eastAsia="zh-CN"/>
        </w:rPr>
        <w:t>我单位</w:t>
      </w:r>
      <w:r>
        <w:rPr>
          <w:rFonts w:hint="eastAsia" w:ascii="仿宋_GB2312" w:eastAsia="仿宋_GB2312"/>
          <w:color w:val="000000"/>
          <w:sz w:val="32"/>
          <w:szCs w:val="32"/>
        </w:rPr>
        <w:t>所需的公务用车燃料费、维修费、过路过桥费、保险费等支出。</w:t>
      </w:r>
    </w:p>
    <w:p>
      <w:pPr>
        <w:numPr>
          <w:ilvl w:val="0"/>
          <w:numId w:val="3"/>
        </w:numPr>
        <w:spacing w:line="600" w:lineRule="exact"/>
        <w:ind w:firstLine="640"/>
        <w:rPr>
          <w:rFonts w:hint="eastAsia" w:ascii="仿宋_GB2312" w:hAnsi="仿宋" w:eastAsia="仿宋_GB2312" w:cs="仿宋"/>
          <w:color w:val="000000"/>
          <w:sz w:val="32"/>
          <w:szCs w:val="32"/>
          <w:lang w:val="en-US" w:eastAsia="zh-CN"/>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19.80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hAnsi="仿宋" w:eastAsia="仿宋_GB2312" w:cs="仿宋"/>
          <w:color w:val="000000"/>
          <w:sz w:val="32"/>
          <w:szCs w:val="32"/>
          <w:lang w:val="en-US" w:eastAsia="zh-CN"/>
        </w:rPr>
        <w:t>公务接待费19.8万元，较上年减少0.5万元，减少2%，减少原因是严格执行有关规定，实行“先审批，后接待”制度，严格控制接待标准和陪餐人数，降低接待费用。</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65</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1660</w:t>
      </w:r>
      <w:r>
        <w:rPr>
          <w:rFonts w:hint="eastAsia" w:ascii="仿宋_GB2312" w:eastAsia="仿宋_GB2312"/>
          <w:color w:val="000000"/>
          <w:sz w:val="32"/>
          <w:szCs w:val="32"/>
        </w:rPr>
        <w:t>人次，共计支出</w:t>
      </w:r>
      <w:r>
        <w:rPr>
          <w:rFonts w:hint="eastAsia" w:ascii="仿宋_GB2312" w:eastAsia="仿宋_GB2312"/>
          <w:color w:val="000000"/>
          <w:sz w:val="32"/>
          <w:szCs w:val="32"/>
          <w:lang w:val="en-US" w:eastAsia="zh-CN"/>
        </w:rPr>
        <w:t>19.8</w:t>
      </w:r>
      <w:r>
        <w:rPr>
          <w:rFonts w:hint="eastAsia" w:ascii="仿宋_GB2312" w:eastAsia="仿宋_GB2312"/>
          <w:color w:val="000000"/>
          <w:sz w:val="32"/>
          <w:szCs w:val="32"/>
        </w:rPr>
        <w:t>万元。</w:t>
      </w:r>
    </w:p>
    <w:p>
      <w:pPr>
        <w:spacing w:line="600" w:lineRule="exact"/>
        <w:ind w:firstLine="640"/>
        <w:outlineLvl w:val="1"/>
        <w:rPr>
          <w:rFonts w:hint="eastAsia"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人，共计支出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bookmarkStart w:id="46" w:name="_Toc15377218"/>
      <w:bookmarkStart w:id="47" w:name="_Toc15396610"/>
    </w:p>
    <w:p>
      <w:pPr>
        <w:spacing w:line="600" w:lineRule="exact"/>
        <w:ind w:firstLine="640"/>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4"/>
        </w:numPr>
        <w:spacing w:line="600" w:lineRule="exact"/>
        <w:ind w:firstLine="640"/>
        <w:outlineLvl w:val="1"/>
        <w:rPr>
          <w:rStyle w:val="25"/>
          <w:rFonts w:ascii="黑体" w:hAnsi="黑体" w:eastAsia="黑体"/>
          <w:b w:val="0"/>
        </w:rPr>
      </w:pPr>
      <w:bookmarkStart w:id="48" w:name="_Toc15396611"/>
      <w:bookmarkStart w:id="49" w:name="_Toc15377219"/>
      <w:r>
        <w:rPr>
          <w:rStyle w:val="25"/>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3"/>
        <w:numPr>
          <w:ilvl w:val="0"/>
          <w:numId w:val="5"/>
        </w:numPr>
        <w:spacing w:line="580" w:lineRule="exact"/>
        <w:ind w:firstLineChars="0"/>
        <w:rPr>
          <w:rStyle w:val="25"/>
          <w:rFonts w:ascii="黑体" w:hAnsi="黑体" w:eastAsia="黑体"/>
          <w:b w:val="0"/>
        </w:rPr>
      </w:pPr>
      <w:r>
        <w:rPr>
          <w:rStyle w:val="25"/>
          <w:rFonts w:hint="eastAsia" w:ascii="黑体" w:hAnsi="黑体" w:eastAsia="黑体"/>
          <w:b w:val="0"/>
        </w:rPr>
        <w:t>预算绩效情况说明</w:t>
      </w:r>
    </w:p>
    <w:p>
      <w:pPr>
        <w:numPr>
          <w:ilvl w:val="0"/>
          <w:numId w:val="6"/>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w:t>
      </w:r>
      <w:r>
        <w:rPr>
          <w:rFonts w:hint="eastAsia" w:ascii="仿宋_GB2312" w:hAnsi="仿宋_GB2312" w:eastAsia="仿宋_GB2312" w:cs="仿宋_GB2312"/>
          <w:sz w:val="32"/>
          <w:szCs w:val="32"/>
          <w:lang w:val="en-US" w:eastAsia="zh-CN"/>
        </w:rPr>
        <w:t>我</w:t>
      </w:r>
      <w:r>
        <w:rPr>
          <w:rFonts w:hint="eastAsia" w:ascii="仿宋_GB2312" w:hAnsi="仿宋_GB2312" w:eastAsia="仿宋_GB2312" w:cs="仿宋_GB2312"/>
          <w:sz w:val="32"/>
          <w:szCs w:val="32"/>
        </w:rPr>
        <w:t>单位在年初预算编制阶段，组织对项目开展了预算事前绩效评估，对</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个项目开展了绩效目标完成情况梳理填报。</w:t>
      </w:r>
    </w:p>
    <w:p>
      <w:pPr>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年部门整体支出开展绩效自评，</w:t>
      </w:r>
      <w:r>
        <w:rPr>
          <w:rFonts w:hint="eastAsia" w:ascii="仿宋_GB2312" w:eastAsia="仿宋_GB2312"/>
          <w:sz w:val="32"/>
          <w:szCs w:val="32"/>
        </w:rPr>
        <w:t>经全面综合评价，我</w:t>
      </w:r>
      <w:r>
        <w:rPr>
          <w:rFonts w:hint="eastAsia" w:ascii="仿宋_GB2312" w:eastAsia="仿宋_GB2312"/>
          <w:sz w:val="32"/>
          <w:szCs w:val="32"/>
          <w:lang w:val="en-US" w:eastAsia="zh-CN"/>
        </w:rPr>
        <w:t>单位</w:t>
      </w:r>
      <w:r>
        <w:rPr>
          <w:rFonts w:hint="eastAsia" w:ascii="仿宋_GB2312" w:eastAsia="仿宋_GB2312"/>
          <w:sz w:val="32"/>
          <w:szCs w:val="32"/>
          <w:lang w:eastAsia="zh-CN"/>
        </w:rPr>
        <w:t>预算</w:t>
      </w:r>
      <w:r>
        <w:rPr>
          <w:rFonts w:hint="eastAsia" w:ascii="仿宋_GB2312" w:eastAsia="仿宋_GB2312"/>
          <w:sz w:val="32"/>
          <w:szCs w:val="32"/>
        </w:rPr>
        <w:t>支出绩效自评得分</w:t>
      </w:r>
      <w:r>
        <w:rPr>
          <w:rFonts w:hint="eastAsia" w:ascii="仿宋_GB2312" w:eastAsia="仿宋_GB2312"/>
          <w:sz w:val="32"/>
          <w:szCs w:val="32"/>
          <w:lang w:val="en-US" w:eastAsia="zh-CN"/>
        </w:rPr>
        <w:t>94.7</w:t>
      </w:r>
      <w:r>
        <w:rPr>
          <w:rFonts w:hint="eastAsia" w:ascii="仿宋_GB2312" w:eastAsia="仿宋_GB2312"/>
          <w:color w:val="000000" w:themeColor="text1"/>
          <w:sz w:val="32"/>
          <w:szCs w:val="32"/>
          <w14:textFill>
            <w14:solidFill>
              <w14:schemeClr w14:val="tx1"/>
            </w14:solidFill>
          </w14:textFill>
        </w:rPr>
        <w:t>分</w:t>
      </w:r>
      <w:r>
        <w:rPr>
          <w:rFonts w:hint="eastAsia" w:ascii="仿宋_GB2312" w:eastAsia="仿宋_GB2312"/>
          <w:sz w:val="32"/>
          <w:szCs w:val="32"/>
        </w:rPr>
        <w:t>（</w:t>
      </w:r>
      <w:r>
        <w:rPr>
          <w:rFonts w:hint="eastAsia" w:ascii="仿宋_GB2312" w:eastAsia="仿宋_GB2312"/>
          <w:sz w:val="32"/>
          <w:szCs w:val="32"/>
          <w:lang w:eastAsia="zh-CN"/>
        </w:rPr>
        <w:t>扣除我单位不存在的评价指标分值</w:t>
      </w:r>
      <w:r>
        <w:rPr>
          <w:rFonts w:hint="eastAsia" w:ascii="仿宋_GB2312" w:eastAsia="仿宋_GB2312"/>
          <w:sz w:val="32"/>
          <w:szCs w:val="32"/>
          <w:lang w:val="en-US" w:eastAsia="zh-CN"/>
        </w:rPr>
        <w:t>,</w:t>
      </w:r>
      <w:r>
        <w:rPr>
          <w:rFonts w:hint="eastAsia" w:ascii="仿宋_GB2312" w:eastAsia="仿宋_GB2312"/>
          <w:sz w:val="32"/>
          <w:szCs w:val="32"/>
        </w:rPr>
        <w:t>总分为</w:t>
      </w:r>
      <w:r>
        <w:rPr>
          <w:rFonts w:hint="eastAsia" w:ascii="仿宋_GB2312" w:eastAsia="仿宋_GB2312"/>
          <w:sz w:val="32"/>
          <w:szCs w:val="32"/>
          <w:lang w:val="en-US" w:eastAsia="zh-CN"/>
        </w:rPr>
        <w:t>96</w:t>
      </w:r>
      <w:r>
        <w:rPr>
          <w:rFonts w:hint="eastAsia" w:ascii="仿宋_GB2312" w:eastAsia="仿宋_GB2312"/>
          <w:sz w:val="32"/>
          <w:szCs w:val="32"/>
        </w:rPr>
        <w:t>分）。</w:t>
      </w:r>
      <w:r>
        <w:rPr>
          <w:rFonts w:hint="eastAsia" w:ascii="仿宋_GB2312" w:eastAsia="仿宋_GB2312"/>
          <w:sz w:val="32"/>
          <w:szCs w:val="32"/>
          <w:lang w:eastAsia="zh-CN"/>
        </w:rPr>
        <w:t>我单位深入贯彻落实十九大关于“全面实施绩效管理”的要求，努力提升本单位绩效预算管理业务水平。主动公开绩效结果，加大资金使用效率，提升政府管理水平。及时告知</w:t>
      </w:r>
      <w:r>
        <w:rPr>
          <w:rFonts w:hint="eastAsia" w:ascii="仿宋_GB2312" w:eastAsia="仿宋_GB2312"/>
          <w:sz w:val="32"/>
          <w:szCs w:val="32"/>
        </w:rPr>
        <w:t>各部门（科室）部门预算及</w:t>
      </w:r>
      <w:r>
        <w:rPr>
          <w:rFonts w:hint="eastAsia" w:ascii="仿宋_GB2312" w:eastAsia="仿宋_GB2312"/>
          <w:sz w:val="32"/>
          <w:szCs w:val="32"/>
          <w:lang w:eastAsia="zh-CN"/>
        </w:rPr>
        <w:t>项目支出进度</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还自行组织了</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个项目绩效评价，从评价情况来看</w:t>
      </w:r>
      <w:r>
        <w:rPr>
          <w:rFonts w:hint="eastAsia" w:ascii="仿宋_GB2312" w:hAnsi="仿宋_GB2312" w:eastAsia="仿宋_GB2312" w:cs="仿宋_GB2312"/>
          <w:sz w:val="32"/>
          <w:szCs w:val="32"/>
          <w:lang w:val="en-US" w:eastAsia="zh-CN"/>
        </w:rPr>
        <w:t>我单位年初预算项目基本按照绩效目标完成支付，有部分项目结转质保金在下年质保期后进行支付。</w:t>
      </w:r>
    </w:p>
    <w:p>
      <w:pPr>
        <w:numPr>
          <w:ilvl w:val="0"/>
          <w:numId w:val="6"/>
        </w:numPr>
        <w:spacing w:line="580" w:lineRule="exact"/>
        <w:ind w:firstLine="643" w:firstLineChars="200"/>
        <w:jc w:val="left"/>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院坝地面改造</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车辆大修</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办公室设备购置</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个项目绩效目标实际完成情况。</w:t>
      </w:r>
    </w:p>
    <w:p>
      <w:pPr>
        <w:numPr>
          <w:ilvl w:val="0"/>
          <w:numId w:val="0"/>
        </w:numPr>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1.“院坝地面改造”</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13.5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13.5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因办公区院坝地面</w:t>
      </w:r>
      <w:r>
        <w:rPr>
          <w:rFonts w:hint="eastAsia" w:ascii="仿宋_GB2312" w:hAnsi="仿宋_GB2312" w:eastAsia="仿宋_GB2312" w:cs="仿宋_GB2312"/>
          <w:sz w:val="32"/>
          <w:szCs w:val="32"/>
          <w:lang w:val="en-US" w:eastAsia="zh-CN"/>
        </w:rPr>
        <w:t>油面不断开裂</w:t>
      </w:r>
      <w:r>
        <w:rPr>
          <w:rFonts w:hint="eastAsia" w:ascii="仿宋_GB2312" w:hAnsi="仿宋_GB2312" w:eastAsia="仿宋_GB2312" w:cs="仿宋_GB2312"/>
          <w:sz w:val="32"/>
          <w:szCs w:val="32"/>
          <w:lang w:eastAsia="zh-CN"/>
        </w:rPr>
        <w:t>，地面积水太多，</w:t>
      </w:r>
      <w:r>
        <w:rPr>
          <w:rFonts w:hint="eastAsia" w:ascii="仿宋_GB2312" w:hAnsi="仿宋_GB2312" w:eastAsia="仿宋_GB2312" w:cs="仿宋_GB2312"/>
          <w:sz w:val="32"/>
          <w:szCs w:val="32"/>
          <w:lang w:val="en-US" w:eastAsia="zh-CN"/>
        </w:rPr>
        <w:t>排水不畅，一定程度上影响了日常</w:t>
      </w:r>
      <w:r>
        <w:rPr>
          <w:rFonts w:hint="eastAsia" w:ascii="仿宋_GB2312" w:hAnsi="仿宋_GB2312" w:eastAsia="仿宋_GB2312" w:cs="仿宋_GB2312"/>
          <w:sz w:val="32"/>
          <w:szCs w:val="32"/>
          <w:lang w:eastAsia="zh-CN"/>
        </w:rPr>
        <w:t>办公，故</w:t>
      </w:r>
      <w:r>
        <w:rPr>
          <w:rFonts w:hint="eastAsia" w:ascii="仿宋_GB2312" w:hAnsi="仿宋_GB2312" w:eastAsia="仿宋_GB2312" w:cs="仿宋_GB2312"/>
          <w:sz w:val="32"/>
          <w:szCs w:val="32"/>
          <w:lang w:val="en-US" w:eastAsia="zh-CN"/>
        </w:rPr>
        <w:t>2019年将院坝地面改造纳入年初预算，2019年进行了维修改造，年底前完成了改造。</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w:t>
            </w:r>
            <w:r>
              <w:rPr>
                <w:rFonts w:hint="eastAsia" w:ascii="宋体" w:hAnsi="宋体" w:cs="宋体"/>
                <w:color w:val="000000"/>
                <w:kern w:val="0"/>
                <w:sz w:val="36"/>
                <w:szCs w:val="36"/>
                <w:lang w:val="en-US" w:eastAsia="zh-CN" w:bidi="ar"/>
              </w:rPr>
              <w:t>9</w:t>
            </w:r>
            <w:r>
              <w:rPr>
                <w:rFonts w:hint="eastAsia" w:ascii="宋体" w:hAnsi="宋体" w:cs="宋体"/>
                <w:color w:val="000000"/>
                <w:kern w:val="0"/>
                <w:sz w:val="36"/>
                <w:szCs w:val="36"/>
                <w:lang w:bidi="ar"/>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val="en-US" w:eastAsia="zh-CN" w:bidi="ar"/>
              </w:rPr>
              <w:t>院坝地面改造</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阿坝州人民政府办公室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13.5万元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13.5万元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13.5万元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13.5万元</w:t>
            </w:r>
          </w:p>
        </w:tc>
      </w:tr>
      <w:tr>
        <w:tblPrEx>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both"/>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通过维修改造，实现地面平整。</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基本实现</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政府院坝维修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1次</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2019年10月31日前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auto"/>
                <w:sz w:val="24"/>
                <w:shd w:val="clear" w:color="auto" w:fill="auto"/>
                <w:lang w:val="en-US" w:eastAsia="zh-CN"/>
              </w:rPr>
              <w:t>2019年7月完成，地面铣刨23cm，加铺15cm5%水泥稳定层，加铺4cm中粒式AC-16沥青混泥土下面层，加铺4cm细粒式SBS改性AC-10沥青混泥土上面层。</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bidi="ar"/>
              </w:rPr>
              <w:t>项目完成指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控制成本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材料、人工等费用控制在13.5万元以内</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4"/>
                <w:lang w:val="en-US"/>
              </w:rPr>
            </w:pPr>
            <w:r>
              <w:rPr>
                <w:rFonts w:hint="eastAsia" w:ascii="宋体" w:hAnsi="宋体" w:cs="宋体"/>
                <w:color w:val="000000"/>
                <w:sz w:val="24"/>
                <w:lang w:val="en-US" w:eastAsia="zh-CN"/>
              </w:rPr>
              <w:t>13.5万元</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满意</w:t>
            </w:r>
          </w:p>
        </w:tc>
      </w:tr>
    </w:tbl>
    <w:p>
      <w:pPr>
        <w:numPr>
          <w:ilvl w:val="0"/>
          <w:numId w:val="0"/>
        </w:numPr>
        <w:spacing w:line="580" w:lineRule="exact"/>
        <w:ind w:firstLine="640" w:firstLineChars="200"/>
        <w:rPr>
          <w:rFonts w:hint="eastAsia" w:ascii="仿宋_GB2312" w:hAnsi="仿宋_GB2312" w:eastAsia="仿宋_GB2312" w:cs="仿宋_GB2312"/>
          <w:sz w:val="32"/>
          <w:szCs w:val="32"/>
          <w:lang w:val="en-US" w:eastAsia="zh-CN"/>
        </w:rPr>
      </w:pPr>
    </w:p>
    <w:p>
      <w:pPr>
        <w:numPr>
          <w:ilvl w:val="0"/>
          <w:numId w:val="0"/>
        </w:numPr>
        <w:spacing w:line="580" w:lineRule="exact"/>
        <w:ind w:firstLine="640" w:firstLineChars="200"/>
        <w:rPr>
          <w:rFonts w:hint="eastAsia" w:ascii="仿宋_GB2312" w:eastAsia="仿宋_GB2312" w:cs="仿宋_GB2312"/>
          <w:sz w:val="32"/>
          <w:szCs w:val="32"/>
          <w:lang w:bidi="ar-SA"/>
        </w:rPr>
      </w:pPr>
      <w:r>
        <w:rPr>
          <w:rFonts w:hint="eastAsia" w:ascii="仿宋_GB2312" w:hAnsi="仿宋_GB2312" w:eastAsia="仿宋_GB2312" w:cs="仿宋_GB2312"/>
          <w:sz w:val="32"/>
          <w:szCs w:val="32"/>
          <w:lang w:val="en-US" w:eastAsia="zh-CN"/>
        </w:rPr>
        <w:t>2.“车辆大修”项目绩效目标完成情况综述。项目全年预算数16万元，执行数为16万元，完成预算的100%。通过对我办存在安全隐患的车辆进行大修，减少安全隐患，确保安全行驶，达到零事故。</w:t>
      </w:r>
    </w:p>
    <w:tbl>
      <w:tblPr>
        <w:tblStyle w:val="12"/>
        <w:tblpPr w:leftFromText="180" w:rightFromText="180" w:vertAnchor="text" w:horzAnchor="page" w:tblpXSpec="center" w:tblpY="423"/>
        <w:tblOverlap w:val="never"/>
        <w:tblW w:w="9960" w:type="dxa"/>
        <w:tblInd w:w="5" w:type="dxa"/>
        <w:tblLayout w:type="fixed"/>
        <w:tblCellMar>
          <w:top w:w="0" w:type="dxa"/>
          <w:left w:w="0" w:type="dxa"/>
          <w:bottom w:w="0" w:type="dxa"/>
          <w:right w:w="0" w:type="dxa"/>
        </w:tblCellMar>
      </w:tblPr>
      <w:tblGrid>
        <w:gridCol w:w="390"/>
        <w:gridCol w:w="1367"/>
        <w:gridCol w:w="1025"/>
        <w:gridCol w:w="2392"/>
        <w:gridCol w:w="2356"/>
        <w:gridCol w:w="2430"/>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val="0"/>
            <w:tcMar>
              <w:top w:w="15" w:type="dxa"/>
              <w:left w:w="15" w:type="dxa"/>
              <w:right w:w="15" w:type="dxa"/>
            </w:tcMar>
            <w:vAlign w:val="center"/>
          </w:tcPr>
          <w:p>
            <w:pPr>
              <w:pStyle w:val="23"/>
              <w:widowControl/>
              <w:ind w:left="4173" w:leftChars="1310" w:hanging="1422" w:hangingChars="395"/>
              <w:textAlignment w:val="center"/>
              <w:rPr>
                <w:rFonts w:hint="eastAsia" w:ascii="宋体" w:cs="宋体"/>
                <w:color w:val="000000"/>
                <w:sz w:val="36"/>
                <w:szCs w:val="36"/>
                <w:lang w:bidi="ar-SA"/>
              </w:rPr>
            </w:pPr>
            <w:r>
              <w:rPr>
                <w:rFonts w:hint="eastAsia" w:ascii="黑体" w:eastAsia="黑体" w:cs="宋体"/>
                <w:bCs/>
                <w:color w:val="000000"/>
                <w:kern w:val="0"/>
                <w:sz w:val="36"/>
                <w:szCs w:val="36"/>
                <w:lang w:bidi="ar"/>
              </w:rPr>
              <w:t>项目支出绩效目标完成情况表</w:t>
            </w:r>
            <w:r>
              <w:rPr>
                <w:rFonts w:hint="eastAsia" w:ascii="宋体" w:cs="宋体"/>
                <w:b/>
                <w:bCs/>
                <w:color w:val="000000"/>
                <w:kern w:val="0"/>
                <w:sz w:val="36"/>
                <w:szCs w:val="36"/>
                <w:lang w:bidi="ar"/>
              </w:rPr>
              <w:br w:type="textWrapping"/>
            </w:r>
            <w:r>
              <w:rPr>
                <w:rFonts w:hint="eastAsia" w:ascii="宋体" w:cs="宋体"/>
                <w:color w:val="000000"/>
                <w:kern w:val="0"/>
                <w:sz w:val="36"/>
                <w:szCs w:val="36"/>
                <w:lang w:bidi="ar"/>
              </w:rPr>
              <w:t>(201</w:t>
            </w:r>
            <w:r>
              <w:rPr>
                <w:rFonts w:hint="eastAsia" w:ascii="宋体" w:cs="宋体"/>
                <w:color w:val="000000"/>
                <w:kern w:val="0"/>
                <w:sz w:val="36"/>
                <w:szCs w:val="36"/>
                <w:lang w:val="en-US" w:eastAsia="zh-CN" w:bidi="ar"/>
              </w:rPr>
              <w:t>9</w:t>
            </w:r>
            <w:r>
              <w:rPr>
                <w:rFonts w:hint="eastAsia" w:ascii="宋体" w:cs="宋体"/>
                <w:color w:val="000000"/>
                <w:kern w:val="0"/>
                <w:sz w:val="36"/>
                <w:szCs w:val="36"/>
                <w:lang w:bidi="ar"/>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车辆大修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bidi="ar-SA"/>
              </w:rPr>
            </w:pPr>
            <w:r>
              <w:rPr>
                <w:rFonts w:hint="eastAsia" w:ascii="宋体" w:cs="宋体"/>
                <w:color w:val="000000"/>
                <w:sz w:val="24"/>
                <w:lang w:val="en-US" w:eastAsia="zh-CN" w:bidi="ar-SA"/>
              </w:rPr>
              <w:t>阿坝州人民政府办公室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16</w:t>
            </w:r>
            <w:r>
              <w:rPr>
                <w:rFonts w:hint="eastAsia" w:ascii="宋体" w:cs="宋体"/>
                <w:color w:val="000000"/>
                <w:sz w:val="24"/>
                <w:lang w:bidi="ar-SA"/>
              </w:rPr>
              <w:t>万</w:t>
            </w:r>
            <w:r>
              <w:rPr>
                <w:rFonts w:hint="eastAsia" w:ascii="宋体" w:cs="宋体"/>
                <w:color w:val="000000"/>
                <w:sz w:val="24"/>
                <w:lang w:val="en-US" w:eastAsia="zh-CN" w:bidi="ar-SA"/>
              </w:rPr>
              <w:t>元</w:t>
            </w:r>
          </w:p>
        </w:tc>
        <w:tc>
          <w:tcPr>
            <w:tcW w:w="2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执行数:</w:t>
            </w:r>
          </w:p>
        </w:tc>
        <w:tc>
          <w:tcPr>
            <w:tcW w:w="24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16</w:t>
            </w:r>
            <w:r>
              <w:rPr>
                <w:rFonts w:hint="eastAsia" w:ascii="宋体" w:cs="宋体"/>
                <w:color w:val="000000"/>
                <w:sz w:val="24"/>
                <w:lang w:bidi="ar-SA"/>
              </w:rPr>
              <w:t>万</w:t>
            </w:r>
            <w:r>
              <w:rPr>
                <w:rFonts w:hint="eastAsia" w:ascii="宋体" w:cs="宋体"/>
                <w:color w:val="000000"/>
                <w:sz w:val="24"/>
                <w:lang w:val="en-US" w:eastAsia="zh-CN" w:bidi="ar-SA"/>
              </w:rPr>
              <w:t>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16</w:t>
            </w:r>
            <w:r>
              <w:rPr>
                <w:rFonts w:hint="eastAsia" w:ascii="宋体" w:cs="宋体"/>
                <w:color w:val="000000"/>
                <w:sz w:val="24"/>
                <w:lang w:bidi="ar-SA"/>
              </w:rPr>
              <w:t>万</w:t>
            </w:r>
            <w:r>
              <w:rPr>
                <w:rFonts w:hint="eastAsia" w:ascii="宋体" w:cs="宋体"/>
                <w:color w:val="000000"/>
                <w:sz w:val="24"/>
                <w:lang w:val="en-US" w:eastAsia="zh-CN" w:bidi="ar-SA"/>
              </w:rPr>
              <w:t>元</w:t>
            </w:r>
          </w:p>
        </w:tc>
        <w:tc>
          <w:tcPr>
            <w:tcW w:w="2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其中-财政拨款:</w:t>
            </w:r>
          </w:p>
        </w:tc>
        <w:tc>
          <w:tcPr>
            <w:tcW w:w="24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16</w:t>
            </w:r>
            <w:r>
              <w:rPr>
                <w:rFonts w:hint="eastAsia" w:ascii="宋体" w:cs="宋体"/>
                <w:color w:val="000000"/>
                <w:sz w:val="24"/>
                <w:lang w:bidi="ar-SA"/>
              </w:rPr>
              <w:t>万</w:t>
            </w:r>
            <w:r>
              <w:rPr>
                <w:rFonts w:hint="eastAsia" w:ascii="宋体" w:cs="宋体"/>
                <w:color w:val="000000"/>
                <w:sz w:val="24"/>
                <w:lang w:val="en-US" w:eastAsia="zh-CN" w:bidi="ar-SA"/>
              </w:rPr>
              <w:t>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0</w:t>
            </w:r>
          </w:p>
        </w:tc>
        <w:tc>
          <w:tcPr>
            <w:tcW w:w="2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其它资金:</w:t>
            </w:r>
          </w:p>
        </w:tc>
        <w:tc>
          <w:tcPr>
            <w:tcW w:w="24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cs="宋体"/>
                <w:color w:val="000000"/>
                <w:sz w:val="24"/>
                <w:lang w:bidi="ar-SA"/>
              </w:rPr>
            </w:pPr>
            <w:r>
              <w:rPr>
                <w:rFonts w:hint="eastAsia" w:ascii="宋体" w:cs="宋体"/>
                <w:color w:val="000000"/>
                <w:sz w:val="24"/>
                <w:lang w:bidi="ar-SA"/>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保质保量完成大修工作，减少安全隐患。</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按计划保质保量完成</w:t>
            </w:r>
            <w:r>
              <w:rPr>
                <w:rFonts w:hint="eastAsia" w:ascii="宋体" w:cs="宋体"/>
                <w:color w:val="000000"/>
                <w:sz w:val="24"/>
                <w:lang w:val="en-US" w:eastAsia="zh-CN" w:bidi="ar-SA"/>
              </w:rPr>
              <w:t>了2台公务用车大修</w:t>
            </w:r>
            <w:r>
              <w:rPr>
                <w:rFonts w:hint="eastAsia" w:ascii="宋体" w:cs="宋体"/>
                <w:color w:val="000000"/>
                <w:sz w:val="24"/>
                <w:lang w:eastAsia="zh-CN" w:bidi="ar-SA"/>
              </w:rPr>
              <w:t>。</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三级指标</w:t>
            </w:r>
          </w:p>
        </w:tc>
        <w:tc>
          <w:tcPr>
            <w:tcW w:w="2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预期指标值(包含数字及文字描述)</w:t>
            </w:r>
          </w:p>
        </w:tc>
        <w:tc>
          <w:tcPr>
            <w:tcW w:w="24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数量指标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台数</w:t>
            </w:r>
          </w:p>
        </w:tc>
        <w:tc>
          <w:tcPr>
            <w:tcW w:w="2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bidi="ar-SA"/>
              </w:rPr>
            </w:pPr>
            <w:r>
              <w:rPr>
                <w:rFonts w:hint="eastAsia" w:ascii="宋体" w:cs="宋体"/>
                <w:color w:val="000000"/>
                <w:sz w:val="24"/>
                <w:lang w:val="en-US" w:eastAsia="zh-CN" w:bidi="ar-SA"/>
              </w:rPr>
              <w:t>计划</w:t>
            </w:r>
            <w:r>
              <w:rPr>
                <w:rFonts w:hint="eastAsia" w:ascii="宋体" w:cs="宋体"/>
                <w:color w:val="000000"/>
                <w:sz w:val="24"/>
                <w:lang w:eastAsia="zh-CN" w:bidi="ar-SA"/>
              </w:rPr>
              <w:t>完成</w:t>
            </w:r>
            <w:r>
              <w:rPr>
                <w:rFonts w:hint="eastAsia" w:ascii="宋体" w:cs="宋体"/>
                <w:color w:val="000000"/>
                <w:sz w:val="24"/>
                <w:lang w:val="en-US" w:eastAsia="zh-CN" w:bidi="ar-SA"/>
              </w:rPr>
              <w:t>2台公务用车大修</w:t>
            </w:r>
          </w:p>
        </w:tc>
        <w:tc>
          <w:tcPr>
            <w:tcW w:w="24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完成</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eastAsia="zh-CN" w:bidi="ar-SA"/>
              </w:rPr>
              <w:t>质量</w:t>
            </w:r>
            <w:r>
              <w:rPr>
                <w:rFonts w:hint="eastAsia" w:ascii="宋体" w:cs="宋体"/>
                <w:color w:val="000000"/>
                <w:sz w:val="24"/>
                <w:lang w:bidi="ar-SA"/>
              </w:rPr>
              <w:t>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保质保量</w:t>
            </w:r>
          </w:p>
        </w:tc>
        <w:tc>
          <w:tcPr>
            <w:tcW w:w="2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保质保量完成大修工作，减少安全隐患</w:t>
            </w:r>
          </w:p>
        </w:tc>
        <w:tc>
          <w:tcPr>
            <w:tcW w:w="24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b/>
                <w:bCs/>
                <w:color w:val="000000"/>
                <w:sz w:val="24"/>
                <w:lang w:bidi="ar-SA"/>
              </w:rPr>
            </w:pPr>
            <w:r>
              <w:rPr>
                <w:rFonts w:hint="eastAsia" w:ascii="宋体" w:cs="宋体"/>
                <w:color w:val="000000"/>
                <w:sz w:val="24"/>
                <w:lang w:val="en-US" w:eastAsia="zh-CN" w:bidi="ar-SA"/>
              </w:rPr>
              <w:t>按计划</w:t>
            </w:r>
            <w:r>
              <w:rPr>
                <w:rFonts w:hint="eastAsia" w:ascii="宋体" w:cs="宋体"/>
                <w:color w:val="000000"/>
                <w:sz w:val="24"/>
                <w:lang w:eastAsia="zh-CN" w:bidi="ar-SA"/>
              </w:rPr>
              <w:t>保质保量完成</w:t>
            </w:r>
            <w:r>
              <w:rPr>
                <w:rFonts w:hint="eastAsia" w:ascii="宋体" w:cs="宋体"/>
                <w:color w:val="000000"/>
                <w:sz w:val="24"/>
                <w:lang w:val="en-US" w:eastAsia="zh-CN" w:bidi="ar-SA"/>
              </w:rPr>
              <w:t>2台公务用车车辆</w:t>
            </w:r>
            <w:r>
              <w:rPr>
                <w:rFonts w:hint="eastAsia" w:ascii="宋体" w:cs="宋体"/>
                <w:color w:val="000000"/>
                <w:sz w:val="24"/>
                <w:lang w:eastAsia="zh-CN" w:bidi="ar-SA"/>
              </w:rPr>
              <w:t>大修工作，减少安全隐患</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社会效益指标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bidi="ar-SA"/>
              </w:rPr>
            </w:pPr>
            <w:r>
              <w:rPr>
                <w:rFonts w:hint="eastAsia" w:ascii="宋体" w:cs="宋体"/>
                <w:color w:val="000000"/>
                <w:sz w:val="24"/>
                <w:lang w:val="en-US" w:eastAsia="zh-CN" w:bidi="ar-SA"/>
              </w:rPr>
              <w:t>社会效益</w:t>
            </w:r>
          </w:p>
        </w:tc>
        <w:tc>
          <w:tcPr>
            <w:tcW w:w="2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eastAsia="zh-CN" w:bidi="ar-SA"/>
              </w:rPr>
              <w:t>安全驾驶，确保自身和他人生命财产安全</w:t>
            </w:r>
          </w:p>
        </w:tc>
        <w:tc>
          <w:tcPr>
            <w:tcW w:w="24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eastAsia="zh-CN" w:bidi="ar-SA"/>
              </w:rPr>
              <w:t>安全驾驶，确保自身和他人生命财产安全</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满意度指标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满意</w:t>
            </w:r>
          </w:p>
        </w:tc>
        <w:tc>
          <w:tcPr>
            <w:tcW w:w="2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满意</w:t>
            </w:r>
          </w:p>
        </w:tc>
        <w:tc>
          <w:tcPr>
            <w:tcW w:w="24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满意</w:t>
            </w:r>
          </w:p>
        </w:tc>
      </w:tr>
    </w:tbl>
    <w:p>
      <w:pPr>
        <w:numPr>
          <w:ilvl w:val="0"/>
          <w:numId w:val="0"/>
        </w:numPr>
        <w:spacing w:line="24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p>
    <w:p>
      <w:pPr>
        <w:numPr>
          <w:ilvl w:val="0"/>
          <w:numId w:val="7"/>
        </w:num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eastAsia="仿宋_GB2312" w:cs="仿宋_GB2312"/>
          <w:b w:val="0"/>
          <w:bCs w:val="0"/>
          <w:sz w:val="32"/>
          <w:szCs w:val="32"/>
          <w:lang w:val="en-US" w:eastAsia="zh-CN" w:bidi="ar-SA"/>
        </w:rPr>
        <w:t>“</w:t>
      </w:r>
      <w:r>
        <w:rPr>
          <w:rFonts w:hint="eastAsia" w:ascii="仿宋_GB2312" w:eastAsia="仿宋_GB2312" w:cs="仿宋_GB2312"/>
          <w:sz w:val="32"/>
          <w:szCs w:val="32"/>
          <w:lang w:val="en-US" w:eastAsia="zh-CN"/>
        </w:rPr>
        <w:t>川滇藏青联席会议费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182.42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其中部门预算82.42万元，果洛州、甘孜州、玉树州、迪庆州、昌都市按规定缴纳会议费共计100万元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，执行数为</w:t>
      </w:r>
      <w:r>
        <w:rPr>
          <w:rFonts w:hint="eastAsia" w:ascii="仿宋_GB2312" w:hAnsi="仿宋_GB2312" w:eastAsia="仿宋_GB2312" w:cs="仿宋_GB2312"/>
          <w:sz w:val="32"/>
          <w:szCs w:val="32"/>
          <w:lang w:val="en-US" w:eastAsia="zh-CN"/>
        </w:rPr>
        <w:t>177.42</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rPr>
        <w:t>完成预算的</w:t>
      </w:r>
      <w:r>
        <w:rPr>
          <w:rFonts w:hint="eastAsia" w:ascii="仿宋_GB2312" w:hAnsi="仿宋_GB2312" w:eastAsia="仿宋_GB2312" w:cs="仿宋_GB2312"/>
          <w:color w:val="auto"/>
          <w:sz w:val="32"/>
          <w:szCs w:val="32"/>
          <w:lang w:val="en-US" w:eastAsia="zh-CN"/>
        </w:rPr>
        <w:t>94.16</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lang w:val="en-US" w:eastAsia="zh-CN"/>
        </w:rPr>
        <w:t>结转下年5万元，为会议后期相关费用。</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充分发挥青藏川滇交界地藏区市（州）长联席会议重要区域性合作平台作用，打造青藏川滇交界地藏区发展战略高地，推动区域经济社会融合发展。</w:t>
      </w:r>
    </w:p>
    <w:p>
      <w:pPr>
        <w:widowControl w:val="0"/>
        <w:numPr>
          <w:ilvl w:val="0"/>
          <w:numId w:val="0"/>
        </w:numPr>
        <w:spacing w:line="580" w:lineRule="exact"/>
        <w:jc w:val="both"/>
        <w:rPr>
          <w:rFonts w:hint="eastAsia" w:ascii="仿宋_GB2312" w:hAnsi="仿宋_GB2312" w:eastAsia="仿宋_GB2312" w:cs="仿宋_GB2312"/>
          <w:sz w:val="32"/>
          <w:szCs w:val="32"/>
          <w:lang w:val="en-US" w:eastAsia="zh-CN"/>
        </w:rPr>
      </w:pPr>
    </w:p>
    <w:p>
      <w:pPr>
        <w:widowControl w:val="0"/>
        <w:numPr>
          <w:ilvl w:val="0"/>
          <w:numId w:val="0"/>
        </w:numPr>
        <w:spacing w:line="580" w:lineRule="exact"/>
        <w:jc w:val="both"/>
        <w:rPr>
          <w:rFonts w:hint="eastAsia" w:ascii="仿宋_GB2312" w:hAnsi="仿宋_GB2312" w:eastAsia="仿宋_GB2312" w:cs="仿宋_GB2312"/>
          <w:sz w:val="32"/>
          <w:szCs w:val="32"/>
          <w:lang w:val="en-US" w:eastAsia="zh-CN"/>
        </w:rPr>
      </w:pP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青藏川滇交界地藏区州（市）长联席会议制度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阿坝州人民政府办公室</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182.42万元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177.42万元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82.42万元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77.42万元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宋体" w:cs="宋体"/>
                <w:color w:val="000000"/>
                <w:sz w:val="24"/>
              </w:rPr>
              <w:t>无</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为充分发挥青藏川滇交界地藏区市（州）长联席会议重要区域性合作平台作用，打造青藏川滇交界地藏区发展战略高地，推动区域经济社会融合发展，根据《青藏川滇交界地藏区市（州）长联席会议制度》，预算</w:t>
            </w:r>
            <w:r>
              <w:rPr>
                <w:rFonts w:hint="eastAsia" w:ascii="宋体" w:hAnsi="宋体" w:cs="宋体"/>
                <w:color w:val="000000"/>
                <w:sz w:val="24"/>
                <w:lang w:val="en-US" w:eastAsia="zh-CN"/>
              </w:rPr>
              <w:t>182.42</w:t>
            </w:r>
            <w:r>
              <w:rPr>
                <w:rFonts w:hint="eastAsia" w:ascii="宋体" w:hAnsi="宋体" w:cs="宋体"/>
                <w:color w:val="000000"/>
                <w:sz w:val="24"/>
              </w:rPr>
              <w:t>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完满完成了青藏川滇交界地</w:t>
            </w:r>
            <w:r>
              <w:rPr>
                <w:rFonts w:hint="eastAsia" w:ascii="宋体" w:hAnsi="宋体" w:cs="宋体"/>
                <w:color w:val="000000"/>
                <w:sz w:val="24"/>
              </w:rPr>
              <w:t>藏区市（州）长联席会议</w:t>
            </w:r>
            <w:r>
              <w:rPr>
                <w:rFonts w:hint="eastAsia" w:ascii="宋体" w:hAnsi="宋体" w:cs="宋体"/>
                <w:color w:val="000000"/>
                <w:sz w:val="24"/>
                <w:lang w:eastAsia="zh-CN"/>
              </w:rPr>
              <w:t>。</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r>
              <w:rPr>
                <w:rFonts w:hint="eastAsia"/>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ind w:firstLine="480" w:firstLineChars="200"/>
              <w:jc w:val="center"/>
            </w:pPr>
            <w:r>
              <w:rPr>
                <w:rFonts w:hint="eastAsia" w:ascii="宋体" w:hAnsi="宋体" w:cs="宋体"/>
                <w:color w:val="000000"/>
                <w:sz w:val="24"/>
                <w:lang w:val="en-US" w:eastAsia="zh-CN"/>
              </w:rPr>
              <w:t xml:space="preserve">              </w:t>
            </w:r>
            <w:r>
              <w:rPr>
                <w:rFonts w:hint="eastAsia" w:ascii="宋体" w:hAnsi="宋体" w:cs="宋体"/>
                <w:color w:val="000000"/>
                <w:sz w:val="24"/>
              </w:rPr>
              <w:t>完成时限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rPr>
              <w:t>2019年</w:t>
            </w:r>
            <w:r>
              <w:rPr>
                <w:rFonts w:hint="eastAsia" w:ascii="宋体" w:hAnsi="宋体" w:cs="宋体"/>
                <w:color w:val="000000"/>
                <w:sz w:val="24"/>
                <w:lang w:val="en-US" w:eastAsia="zh-CN"/>
              </w:rPr>
              <w:t>8</w:t>
            </w:r>
            <w:r>
              <w:rPr>
                <w:rFonts w:hint="eastAsia" w:ascii="宋体" w:hAnsi="宋体" w:cs="宋体"/>
                <w:color w:val="000000"/>
                <w:sz w:val="24"/>
              </w:rPr>
              <w:t>月31日前，</w:t>
            </w:r>
            <w:r>
              <w:rPr>
                <w:rFonts w:hint="eastAsia" w:ascii="宋体" w:hAnsi="宋体" w:cs="宋体"/>
                <w:color w:val="000000"/>
                <w:sz w:val="24"/>
                <w:lang w:val="en-US" w:eastAsia="zh-CN"/>
              </w:rPr>
              <w:t>召开会议。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2019年8月1日-8月2日召开</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重大意义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统筹推进“五位一体”总体布局和协调推进“四个全面”战略布局，牢固树立新发展理念，围绕实现合作双赢，着力促进区域经济社会发展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统筹推进“五位一体”总体布局和协调推进“四个全面”战略布局，牢固树立新发展理念，围绕实现合作双赢，着力促进区域经济社会发展。</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val="en-US" w:eastAsia="zh-CN"/>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val="en-US" w:eastAsia="zh-CN"/>
              </w:rPr>
              <w:t>满意</w:t>
            </w:r>
          </w:p>
        </w:tc>
      </w:tr>
    </w:tbl>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4 .“</w:t>
      </w:r>
      <w:r>
        <w:rPr>
          <w:rFonts w:hint="eastAsia" w:ascii="仿宋_GB2312" w:eastAsia="仿宋_GB2312" w:cs="仿宋_GB2312"/>
          <w:sz w:val="32"/>
          <w:szCs w:val="32"/>
        </w:rPr>
        <w:t>口岸物流办培训</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绩效目标完成情况综述。项目全年预算数11.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8万元，执行数为11.38万元，完成预算的100%。通过项目实施，提升了相关人员口岸物流知识，促进了全州物流事业发展，发现的主要问题：全州物流业相关人员绝大多数为非物流专业，整体物流知识欠缺，且培训时间短、覆盖面不足，培训难以在短时间内发挥出明显效益。下一步改进措施：通过持续物流培训等，全面提升全州物流业相关人员专业知识水平。</w:t>
      </w: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口岸物流办培训</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州政府口岸与物流办公室</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11.38万元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11.38万元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11.38万元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11.38万元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宋体" w:cs="宋体"/>
                <w:color w:val="000000"/>
                <w:sz w:val="24"/>
              </w:rPr>
              <w:t>无</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改善口岸物流人员专业知识欠缺的问题，提高工作意识和能力</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通过培训</w:t>
            </w:r>
            <w:r>
              <w:rPr>
                <w:rFonts w:hint="eastAsia" w:ascii="宋体" w:hAnsi="宋体" w:cs="宋体"/>
                <w:color w:val="000000"/>
                <w:sz w:val="24"/>
              </w:rPr>
              <w:t>改善</w:t>
            </w:r>
            <w:r>
              <w:rPr>
                <w:rFonts w:hint="eastAsia" w:ascii="宋体" w:hAnsi="宋体" w:cs="宋体"/>
                <w:color w:val="000000"/>
                <w:sz w:val="24"/>
                <w:lang w:val="en-US" w:eastAsia="zh-CN"/>
              </w:rPr>
              <w:t>了</w:t>
            </w:r>
            <w:r>
              <w:rPr>
                <w:rFonts w:hint="eastAsia" w:ascii="宋体" w:hAnsi="宋体" w:cs="宋体"/>
                <w:color w:val="000000"/>
                <w:sz w:val="24"/>
              </w:rPr>
              <w:t>口岸物流人员专业知识欠缺的问题，工作意识和能力</w:t>
            </w:r>
            <w:r>
              <w:rPr>
                <w:rFonts w:hint="eastAsia" w:ascii="宋体" w:hAnsi="宋体" w:cs="宋体"/>
                <w:color w:val="000000"/>
                <w:sz w:val="24"/>
                <w:lang w:val="en-US" w:eastAsia="zh-CN"/>
              </w:rPr>
              <w:t>得到了一定程度的提高。</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培训人数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p>
            <w:pPr>
              <w:rPr>
                <w:rFonts w:ascii="宋体" w:hAnsi="宋体" w:cs="宋体"/>
                <w:sz w:val="24"/>
              </w:rPr>
            </w:pPr>
            <w:r>
              <w:rPr>
                <w:rFonts w:hint="eastAsia" w:ascii="宋体" w:hAnsi="宋体" w:cs="宋体"/>
                <w:sz w:val="24"/>
              </w:rPr>
              <w:t>计划培训各县市、州级机关、物流企业等物流产业相关人员20人。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p>
            <w:pPr>
              <w:rPr>
                <w:rFonts w:ascii="宋体" w:hAnsi="宋体" w:cs="宋体"/>
                <w:sz w:val="24"/>
              </w:rPr>
            </w:pPr>
            <w:r>
              <w:rPr>
                <w:rFonts w:hint="eastAsia" w:ascii="宋体" w:hAnsi="宋体" w:cs="宋体"/>
                <w:sz w:val="24"/>
              </w:rPr>
              <w:t>完成各县市、州级机关、物流企业等物流产业相关人员20人。</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组织培训时间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2019年12月31日前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2019年12月7日</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发挥作用周期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长期</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参加人员对培训的满意度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w:t>
            </w:r>
          </w:p>
        </w:tc>
      </w:tr>
    </w:tbl>
    <w:p>
      <w:pPr>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5.办公设备购置</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万元，完成预算的100%。</w:t>
      </w:r>
      <w:r>
        <w:rPr>
          <w:rFonts w:hint="eastAsia" w:ascii="仿宋_GB2312" w:hAnsi="仿宋_GB2312" w:eastAsia="仿宋_GB2312" w:cs="仿宋_GB2312"/>
          <w:sz w:val="32"/>
          <w:szCs w:val="32"/>
          <w:lang w:val="en-US" w:eastAsia="zh-CN"/>
        </w:rPr>
        <w:t>为满足日常办公需求，提高工作质量和工作效率，更换陈旧老化办公设备。</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w:t>
            </w:r>
            <w:r>
              <w:rPr>
                <w:rFonts w:hint="eastAsia" w:ascii="宋体" w:hAnsi="宋体" w:cs="宋体"/>
                <w:color w:val="000000"/>
                <w:kern w:val="0"/>
                <w:sz w:val="36"/>
                <w:szCs w:val="36"/>
                <w:lang w:val="en-US" w:eastAsia="zh-CN" w:bidi="ar"/>
              </w:rPr>
              <w:t>9</w:t>
            </w:r>
            <w:r>
              <w:rPr>
                <w:rFonts w:hint="eastAsia" w:ascii="宋体" w:hAnsi="宋体" w:cs="宋体"/>
                <w:color w:val="000000"/>
                <w:kern w:val="0"/>
                <w:sz w:val="36"/>
                <w:szCs w:val="36"/>
                <w:lang w:bidi="ar"/>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4"/>
                <w:lang w:val="en-US"/>
              </w:rPr>
            </w:pPr>
            <w:r>
              <w:rPr>
                <w:rFonts w:hint="eastAsia" w:ascii="宋体" w:hAnsi="宋体" w:cs="宋体"/>
                <w:color w:val="000000"/>
                <w:kern w:val="0"/>
                <w:sz w:val="24"/>
                <w:lang w:val="en-US" w:eastAsia="zh-CN" w:bidi="ar"/>
              </w:rPr>
              <w:t>办公设备购置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阿坝州人民政府办公室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28万元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28万元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更换陈旧办公设备，提高工作质量和效率。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both"/>
              <w:textAlignment w:val="center"/>
              <w:rPr>
                <w:rFonts w:hint="default" w:ascii="宋体" w:hAnsi="宋体" w:eastAsia="宋体" w:cs="宋体"/>
                <w:color w:val="000000"/>
                <w:sz w:val="24"/>
                <w:lang w:val="en-US" w:eastAsia="zh-CN"/>
              </w:rPr>
            </w:pPr>
            <w:r>
              <w:rPr>
                <w:rFonts w:hint="eastAsia" w:ascii="宋体" w:hAnsi="宋体" w:cs="宋体"/>
                <w:color w:val="auto"/>
                <w:sz w:val="24"/>
                <w:lang w:val="en-US" w:eastAsia="zh-CN"/>
              </w:rPr>
              <w:t>2019年完成更换笔记本电脑、打印机、空调等办公设备。</w:t>
            </w:r>
            <w:r>
              <w:rPr>
                <w:rFonts w:hint="eastAsia" w:ascii="宋体" w:hAnsi="宋体" w:cs="宋体"/>
                <w:color w:val="000000"/>
                <w:sz w:val="24"/>
                <w:lang w:val="en-US" w:eastAsia="zh-CN"/>
              </w:rPr>
              <w:t xml:space="preserve">   </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机关零星维修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完成办公区域各种零星维修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完成办公区域各种零星维修</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维修合格率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维修目的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确保我办硬件设施正常运行，保障我机关职能正常发挥，为职工提高工作效率提供基础保障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确保我办硬件设施正常运行，保障我机关职能正常发挥，为职工提高工作效率提供基础保障</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机关工作人员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bl>
    <w:p>
      <w:pPr>
        <w:rPr>
          <w:rFonts w:ascii="Calibri" w:hAnsi="Calibri"/>
        </w:rPr>
      </w:pPr>
    </w:p>
    <w:p>
      <w:pPr>
        <w:numPr>
          <w:ilvl w:val="0"/>
          <w:numId w:val="6"/>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年部门整体支出绩效评价情况开展自评，</w:t>
      </w:r>
      <w:r>
        <w:rPr>
          <w:rFonts w:hint="eastAsia" w:ascii="仿宋_GB2312" w:eastAsia="仿宋_GB2312"/>
          <w:sz w:val="32"/>
          <w:szCs w:val="32"/>
        </w:rPr>
        <w:t>《阿坝州人民政府办公室</w:t>
      </w:r>
      <w:r>
        <w:rPr>
          <w:rFonts w:hint="eastAsia" w:ascii="仿宋_GB2312" w:eastAsia="仿宋_GB2312"/>
          <w:sz w:val="32"/>
          <w:szCs w:val="32"/>
          <w:lang w:val="en-US" w:eastAsia="zh-CN"/>
        </w:rPr>
        <w:t>2019</w:t>
      </w:r>
      <w:r>
        <w:rPr>
          <w:rFonts w:hint="eastAsia" w:ascii="仿宋_GB2312" w:eastAsia="仿宋_GB2312"/>
          <w:sz w:val="32"/>
          <w:szCs w:val="32"/>
        </w:rPr>
        <w:t>年部门</w:t>
      </w:r>
      <w:r>
        <w:rPr>
          <w:rFonts w:hint="eastAsia" w:ascii="仿宋_GB2312" w:eastAsia="仿宋_GB2312"/>
          <w:sz w:val="32"/>
          <w:szCs w:val="32"/>
          <w:lang w:eastAsia="zh-CN"/>
        </w:rPr>
        <w:t>预算</w:t>
      </w:r>
      <w:r>
        <w:rPr>
          <w:rFonts w:hint="eastAsia" w:ascii="仿宋_GB2312" w:eastAsia="仿宋_GB2312"/>
          <w:sz w:val="32"/>
          <w:szCs w:val="32"/>
          <w:lang w:val="en-US" w:eastAsia="zh-CN"/>
        </w:rPr>
        <w:t>整体</w:t>
      </w:r>
      <w:r>
        <w:rPr>
          <w:rFonts w:hint="eastAsia" w:ascii="仿宋_GB2312" w:eastAsia="仿宋_GB2312"/>
          <w:sz w:val="32"/>
          <w:szCs w:val="32"/>
        </w:rPr>
        <w:t>支出绩效</w:t>
      </w:r>
      <w:r>
        <w:rPr>
          <w:rFonts w:hint="eastAsia" w:ascii="仿宋_GB2312" w:eastAsia="仿宋_GB2312"/>
          <w:sz w:val="32"/>
          <w:szCs w:val="32"/>
          <w:lang w:val="en-US" w:eastAsia="zh-CN"/>
        </w:rPr>
        <w:t>评价</w:t>
      </w:r>
      <w:r>
        <w:rPr>
          <w:rFonts w:hint="eastAsia" w:ascii="仿宋_GB2312" w:eastAsia="仿宋_GB2312"/>
          <w:sz w:val="32"/>
          <w:szCs w:val="32"/>
        </w:rPr>
        <w:t>报告》</w:t>
      </w:r>
      <w:r>
        <w:rPr>
          <w:rFonts w:hint="eastAsia" w:ascii="仿宋_GB2312" w:hAnsi="仿宋_GB2312" w:eastAsia="仿宋_GB2312" w:cs="仿宋_GB2312"/>
          <w:sz w:val="32"/>
          <w:szCs w:val="32"/>
        </w:rPr>
        <w:t>见附件。</w:t>
      </w:r>
    </w:p>
    <w:p>
      <w:pPr>
        <w:spacing w:line="600" w:lineRule="exact"/>
        <w:ind w:firstLine="640" w:firstLineChars="200"/>
        <w:outlineLvl w:val="1"/>
        <w:rPr>
          <w:rStyle w:val="25"/>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5"/>
          <w:rFonts w:hint="eastAsia" w:ascii="黑体" w:hAnsi="黑体" w:eastAsia="黑体"/>
        </w:rPr>
        <w:t>一、</w:t>
      </w:r>
      <w:r>
        <w:rPr>
          <w:rStyle w:val="25"/>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hint="default" w:ascii="仿宋_GB2312" w:eastAsia="仿宋_GB2312"/>
          <w:color w:val="auto"/>
          <w:sz w:val="32"/>
          <w:szCs w:val="32"/>
          <w:lang w:val="en-US" w:eastAsia="zh-CN"/>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阿坝州人民政府办公室</w:t>
      </w:r>
      <w:r>
        <w:rPr>
          <w:rFonts w:hint="eastAsia" w:ascii="仿宋_GB2312" w:eastAsia="仿宋_GB2312"/>
          <w:color w:val="000000"/>
          <w:sz w:val="32"/>
          <w:szCs w:val="32"/>
        </w:rPr>
        <w:t>运行经费支出</w:t>
      </w:r>
      <w:r>
        <w:rPr>
          <w:rFonts w:hint="eastAsia" w:ascii="仿宋_GB2312" w:eastAsia="仿宋_GB2312"/>
          <w:color w:val="000000"/>
          <w:sz w:val="32"/>
          <w:szCs w:val="32"/>
          <w:lang w:val="en-US" w:eastAsia="zh-CN"/>
        </w:rPr>
        <w:t>1,176.50</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189.81</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上升</w:t>
      </w:r>
      <w:r>
        <w:rPr>
          <w:rFonts w:hint="eastAsia" w:ascii="仿宋_GB2312" w:eastAsia="仿宋_GB2312"/>
          <w:color w:val="000000"/>
          <w:sz w:val="32"/>
          <w:szCs w:val="32"/>
          <w:lang w:val="en-US" w:eastAsia="zh-CN"/>
        </w:rPr>
        <w:t>19.24</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auto"/>
          <w:sz w:val="32"/>
          <w:szCs w:val="32"/>
        </w:rPr>
        <w:t>主要原因</w:t>
      </w:r>
      <w:r>
        <w:rPr>
          <w:rFonts w:hint="eastAsia" w:ascii="仿宋_GB2312" w:eastAsia="仿宋_GB2312"/>
          <w:color w:val="auto"/>
          <w:sz w:val="32"/>
          <w:szCs w:val="32"/>
          <w:lang w:val="en-US" w:eastAsia="zh-CN"/>
        </w:rPr>
        <w:t>为差旅费、公务用车运行费、维修维护费、办公设备购置费经费等有所增长。</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hint="default" w:ascii="仿宋" w:hAnsi="仿宋" w:eastAsia="仿宋"/>
          <w:b/>
          <w:color w:val="auto"/>
          <w:sz w:val="32"/>
          <w:szCs w:val="32"/>
          <w:lang w:val="en-US" w:eastAsia="zh-CN"/>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57.97</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48.57</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9.4</w:t>
      </w:r>
      <w:r>
        <w:rPr>
          <w:rFonts w:hint="eastAsia" w:ascii="仿宋_GB2312" w:eastAsia="仿宋_GB2312"/>
          <w:color w:val="000000"/>
          <w:sz w:val="32"/>
          <w:szCs w:val="32"/>
        </w:rPr>
        <w:t>万元。</w:t>
      </w:r>
      <w:r>
        <w:rPr>
          <w:rFonts w:hint="eastAsia" w:ascii="仿宋_GB2312" w:eastAsia="仿宋_GB2312"/>
          <w:color w:val="auto"/>
          <w:sz w:val="32"/>
          <w:szCs w:val="32"/>
        </w:rPr>
        <w:t>主要用于</w:t>
      </w:r>
      <w:r>
        <w:rPr>
          <w:rFonts w:hint="eastAsia" w:ascii="仿宋_GB2312" w:eastAsia="仿宋_GB2312"/>
          <w:color w:val="auto"/>
          <w:sz w:val="32"/>
          <w:szCs w:val="32"/>
          <w:lang w:val="en-US" w:eastAsia="zh-CN"/>
        </w:rPr>
        <w:t>办公设备购置、口岸物流办可研报告编制服务费。</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widowControl/>
        <w:ind w:firstLine="640" w:firstLineChars="200"/>
        <w:jc w:val="left"/>
        <w:rPr>
          <w:rFonts w:hint="default" w:ascii="仿宋_GB2312" w:eastAsia="仿宋_GB2312"/>
          <w:b/>
          <w:color w:val="00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为日常工作及</w:t>
      </w:r>
      <w:r>
        <w:rPr>
          <w:rFonts w:hint="eastAsia" w:ascii="仿宋_GB2312" w:eastAsia="仿宋_GB2312"/>
          <w:color w:val="000000"/>
          <w:sz w:val="32"/>
          <w:szCs w:val="32"/>
        </w:rPr>
        <w:t>应急保障用车</w:t>
      </w:r>
      <w:r>
        <w:rPr>
          <w:rFonts w:hint="eastAsia" w:ascii="仿宋_GB2312" w:eastAsia="仿宋_GB2312"/>
          <w:color w:val="000000"/>
          <w:sz w:val="32"/>
          <w:szCs w:val="32"/>
          <w:lang w:eastAsia="zh-CN"/>
        </w:rPr>
        <w:t>。</w:t>
      </w:r>
      <w:r>
        <w:rPr>
          <w:rFonts w:hint="eastAsia" w:ascii="仿宋_GB2312" w:eastAsia="仿宋_GB2312"/>
          <w:b/>
          <w:color w:val="000000"/>
          <w:sz w:val="32"/>
          <w:szCs w:val="32"/>
          <w:lang w:val="en-US" w:eastAsia="zh-CN"/>
        </w:rPr>
        <w:t xml:space="preserve">    </w:t>
      </w:r>
    </w:p>
    <w:p>
      <w:pPr>
        <w:numPr>
          <w:ilvl w:val="0"/>
          <w:numId w:val="8"/>
        </w:numPr>
        <w:spacing w:line="600" w:lineRule="exact"/>
        <w:ind w:firstLine="663" w:firstLineChars="150"/>
        <w:jc w:val="center"/>
        <w:outlineLvl w:val="0"/>
        <w:rPr>
          <w:rStyle w:val="24"/>
          <w:rFonts w:ascii="黑体" w:hAnsi="黑体" w:eastAsia="黑体"/>
          <w:b w:val="0"/>
        </w:rPr>
      </w:pPr>
      <w:bookmarkStart w:id="55" w:name="_Toc15377225"/>
      <w:bookmarkStart w:id="56" w:name="_Toc15396613"/>
      <w:r>
        <w:rPr>
          <w:rFonts w:hint="eastAsia" w:ascii="黑体" w:hAnsi="黑体" w:eastAsia="黑体"/>
          <w:b/>
          <w:color w:val="000000"/>
          <w:sz w:val="44"/>
          <w:szCs w:val="44"/>
        </w:rPr>
        <w:t>名</w:t>
      </w:r>
      <w:r>
        <w:rPr>
          <w:rStyle w:val="24"/>
          <w:rFonts w:hint="eastAsia" w:ascii="黑体" w:hAnsi="黑体" w:eastAsia="黑体"/>
          <w:b w:val="0"/>
        </w:rPr>
        <w:t>词解释</w:t>
      </w:r>
      <w:bookmarkEnd w:id="55"/>
      <w:bookmarkEnd w:id="56"/>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一般公共服务（类）政府办公厅（室）及相关机构事务（款）一般行政管理事务（项）：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反映行政单位未单独设置顶级科目的其他项目支出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教育（类）其他教育支出（款）其他教育支出（项）：</w:t>
      </w:r>
      <w:r>
        <w:rPr>
          <w:rFonts w:hint="eastAsia" w:ascii="仿宋_GB2312" w:eastAsia="仿宋_GB2312"/>
          <w:color w:val="000000"/>
          <w:sz w:val="32"/>
          <w:szCs w:val="32"/>
          <w:lang w:val="en-US" w:eastAsia="zh-CN"/>
        </w:rPr>
        <w:t>除上诉项目以外用于教育管理事务方面的支出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lang w:val="en-US" w:eastAsia="zh-CN"/>
        </w:rPr>
        <w:t>医疗</w:t>
      </w:r>
      <w:r>
        <w:rPr>
          <w:rFonts w:hint="eastAsia" w:ascii="仿宋_GB2312" w:eastAsia="仿宋_GB2312"/>
          <w:color w:val="000000"/>
          <w:sz w:val="32"/>
          <w:szCs w:val="32"/>
        </w:rPr>
        <w:t>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color w:val="000000"/>
          <w:sz w:val="44"/>
          <w:szCs w:val="44"/>
        </w:rPr>
      </w:pPr>
      <w:bookmarkStart w:id="57" w:name="_Toc15396614"/>
      <w:bookmarkStart w:id="58" w:name="_Toc15377226"/>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pStyle w:val="3"/>
        <w:rPr>
          <w:rStyle w:val="24"/>
          <w:rFonts w:ascii="仿宋" w:hAnsi="仿宋" w:eastAsia="仿宋"/>
          <w:b w:val="0"/>
          <w:bCs w:val="0"/>
          <w:sz w:val="32"/>
          <w:szCs w:val="32"/>
        </w:rPr>
      </w:pPr>
      <w:bookmarkStart w:id="59" w:name="_Toc15396615"/>
      <w:r>
        <w:rPr>
          <w:rStyle w:val="24"/>
          <w:rFonts w:hint="eastAsia" w:ascii="仿宋" w:hAnsi="仿宋" w:eastAsia="仿宋"/>
          <w:b w:val="0"/>
          <w:bCs w:val="0"/>
          <w:sz w:val="32"/>
          <w:szCs w:val="32"/>
        </w:rPr>
        <w:t>附件1</w:t>
      </w:r>
      <w:bookmarkEnd w:id="59"/>
    </w:p>
    <w:p>
      <w:pPr>
        <w:numPr>
          <w:ilvl w:val="0"/>
          <w:numId w:val="8"/>
        </w:numPr>
        <w:spacing w:line="600" w:lineRule="exact"/>
        <w:ind w:left="0" w:leftChars="0" w:firstLine="660" w:firstLineChars="150"/>
        <w:jc w:val="center"/>
        <w:outlineLvl w:val="0"/>
        <w:rPr>
          <w:rStyle w:val="24"/>
          <w:rFonts w:hint="eastAsia" w:ascii="黑体" w:hAnsi="黑体" w:eastAsia="黑体"/>
          <w:b w:val="0"/>
        </w:rPr>
      </w:pPr>
      <w:r>
        <w:rPr>
          <w:rStyle w:val="24"/>
          <w:rFonts w:hint="eastAsia" w:ascii="黑体" w:hAnsi="黑体" w:eastAsia="黑体"/>
          <w:b w:val="0"/>
        </w:rPr>
        <w:t>附件</w:t>
      </w:r>
      <w:bookmarkEnd w:id="57"/>
    </w:p>
    <w:p>
      <w:pPr>
        <w:numPr>
          <w:ilvl w:val="0"/>
          <w:numId w:val="0"/>
        </w:numPr>
        <w:spacing w:line="240" w:lineRule="auto"/>
        <w:ind w:leftChars="0"/>
        <w:jc w:val="both"/>
        <w:outlineLvl w:val="0"/>
        <w:rPr>
          <w:rStyle w:val="24"/>
          <w:rFonts w:hint="eastAsia" w:ascii="黑体" w:hAnsi="黑体" w:eastAsia="黑体"/>
          <w:b w:val="0"/>
        </w:rPr>
      </w:pPr>
    </w:p>
    <w:bookmarkEnd w:id="58"/>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阿坝州人民政府办公室</w:t>
      </w: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20</w:t>
      </w:r>
      <w:r>
        <w:rPr>
          <w:rFonts w:hint="eastAsia" w:ascii="方正小标宋简体" w:eastAsia="方正小标宋简体"/>
          <w:sz w:val="44"/>
          <w:szCs w:val="44"/>
          <w:lang w:val="en-US" w:eastAsia="zh-CN"/>
        </w:rPr>
        <w:t>19</w:t>
      </w:r>
      <w:r>
        <w:rPr>
          <w:rFonts w:hint="eastAsia" w:ascii="方正小标宋简体" w:eastAsia="方正小标宋简体"/>
          <w:sz w:val="44"/>
          <w:szCs w:val="44"/>
        </w:rPr>
        <w:t>年</w:t>
      </w:r>
      <w:r>
        <w:rPr>
          <w:rFonts w:hint="eastAsia" w:ascii="方正小标宋简体" w:eastAsia="方正小标宋简体"/>
          <w:sz w:val="44"/>
          <w:szCs w:val="44"/>
          <w:lang w:val="en-US" w:eastAsia="zh-CN"/>
        </w:rPr>
        <w:t>部门整体</w:t>
      </w:r>
      <w:r>
        <w:rPr>
          <w:rFonts w:hint="eastAsia" w:ascii="方正小标宋简体" w:eastAsia="方正小标宋简体"/>
          <w:sz w:val="44"/>
          <w:szCs w:val="44"/>
        </w:rPr>
        <w:t>支出绩效</w:t>
      </w:r>
      <w:r>
        <w:rPr>
          <w:rFonts w:hint="eastAsia" w:ascii="方正小标宋简体" w:eastAsia="方正小标宋简体"/>
          <w:sz w:val="44"/>
          <w:szCs w:val="44"/>
          <w:lang w:val="en-US" w:eastAsia="zh-CN"/>
        </w:rPr>
        <w:t>评价</w:t>
      </w:r>
      <w:r>
        <w:rPr>
          <w:rFonts w:hint="eastAsia" w:ascii="方正小标宋简体" w:eastAsia="方正小标宋简体"/>
          <w:sz w:val="44"/>
          <w:szCs w:val="44"/>
        </w:rPr>
        <w:t>报告</w:t>
      </w:r>
    </w:p>
    <w:p>
      <w:pPr>
        <w:ind w:firstLine="640" w:firstLineChars="200"/>
        <w:rPr>
          <w:rFonts w:hint="eastAsia" w:ascii="仿宋_GB2312" w:eastAsia="仿宋_GB2312"/>
          <w:sz w:val="32"/>
          <w:szCs w:val="32"/>
        </w:rPr>
      </w:pPr>
    </w:p>
    <w:p>
      <w:pPr>
        <w:ind w:firstLine="640" w:firstLineChars="200"/>
        <w:rPr>
          <w:rFonts w:hint="eastAsia" w:ascii="仿宋_GB2312" w:eastAsia="仿宋_GB2312"/>
          <w:sz w:val="32"/>
          <w:szCs w:val="32"/>
        </w:rPr>
      </w:pPr>
      <w:r>
        <w:rPr>
          <w:rFonts w:hint="eastAsia" w:ascii="仿宋_GB2312" w:eastAsia="仿宋_GB2312"/>
          <w:sz w:val="32"/>
          <w:szCs w:val="32"/>
        </w:rPr>
        <w:t>根据《阿坝州财政局关于开展</w:t>
      </w:r>
      <w:r>
        <w:rPr>
          <w:rFonts w:hint="eastAsia" w:ascii="仿宋_GB2312" w:eastAsia="仿宋_GB2312"/>
          <w:sz w:val="32"/>
          <w:szCs w:val="32"/>
          <w:lang w:val="en-US" w:eastAsia="zh-CN"/>
        </w:rPr>
        <w:t>2020</w:t>
      </w:r>
      <w:r>
        <w:rPr>
          <w:rFonts w:hint="eastAsia" w:ascii="仿宋_GB2312" w:eastAsia="仿宋_GB2312"/>
          <w:sz w:val="32"/>
          <w:szCs w:val="32"/>
        </w:rPr>
        <w:t>年财政支出绩效评价工作的通知》（阿州财</w:t>
      </w:r>
      <w:r>
        <w:rPr>
          <w:rFonts w:hint="eastAsia" w:ascii="仿宋_GB2312" w:eastAsia="仿宋_GB2312"/>
          <w:sz w:val="32"/>
          <w:szCs w:val="32"/>
          <w:lang w:val="en-US" w:eastAsia="zh-CN"/>
        </w:rPr>
        <w:t>监绩</w:t>
      </w:r>
      <w:r>
        <w:rPr>
          <w:rFonts w:hint="eastAsia" w:ascii="仿宋_GB2312" w:eastAsia="仿宋_GB2312"/>
          <w:sz w:val="32"/>
          <w:szCs w:val="32"/>
        </w:rPr>
        <w:t>〔</w:t>
      </w:r>
      <w:r>
        <w:rPr>
          <w:rFonts w:hint="eastAsia" w:ascii="仿宋_GB2312" w:eastAsia="仿宋_GB2312"/>
          <w:sz w:val="32"/>
          <w:szCs w:val="32"/>
          <w:lang w:val="en-US" w:eastAsia="zh-CN"/>
        </w:rPr>
        <w:t>2020</w:t>
      </w:r>
      <w:r>
        <w:rPr>
          <w:rFonts w:hint="eastAsia" w:ascii="仿宋_GB2312" w:eastAsia="仿宋_GB2312"/>
          <w:sz w:val="32"/>
          <w:szCs w:val="32"/>
        </w:rPr>
        <w:t>〕</w:t>
      </w:r>
      <w:r>
        <w:rPr>
          <w:rFonts w:hint="eastAsia" w:ascii="仿宋_GB2312" w:eastAsia="仿宋_GB2312"/>
          <w:sz w:val="32"/>
          <w:szCs w:val="32"/>
          <w:lang w:val="en-US" w:eastAsia="zh-CN"/>
        </w:rPr>
        <w:t>11</w:t>
      </w:r>
      <w:r>
        <w:rPr>
          <w:rFonts w:hint="eastAsia" w:ascii="仿宋_GB2312" w:eastAsia="仿宋_GB2312"/>
          <w:sz w:val="32"/>
          <w:szCs w:val="32"/>
        </w:rPr>
        <w:t>号）精神，州政府办公室对</w:t>
      </w:r>
      <w:r>
        <w:rPr>
          <w:rFonts w:hint="eastAsia" w:ascii="仿宋_GB2312" w:eastAsia="仿宋_GB2312"/>
          <w:sz w:val="32"/>
          <w:szCs w:val="32"/>
          <w:lang w:val="en-US" w:eastAsia="zh-CN"/>
        </w:rPr>
        <w:t>2019年全年和</w:t>
      </w:r>
      <w:r>
        <w:rPr>
          <w:rFonts w:hint="eastAsia"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w:t>
      </w:r>
      <w:r>
        <w:rPr>
          <w:rFonts w:hint="eastAsia" w:ascii="仿宋_GB2312" w:eastAsia="仿宋_GB2312"/>
          <w:sz w:val="32"/>
          <w:szCs w:val="32"/>
          <w:lang w:val="en-US" w:eastAsia="zh-CN"/>
        </w:rPr>
        <w:t>1-6月</w:t>
      </w:r>
      <w:r>
        <w:rPr>
          <w:rFonts w:hint="eastAsia" w:ascii="仿宋_GB2312" w:eastAsia="仿宋_GB2312"/>
          <w:sz w:val="32"/>
          <w:szCs w:val="32"/>
        </w:rPr>
        <w:t>部门</w:t>
      </w:r>
      <w:r>
        <w:rPr>
          <w:rFonts w:hint="eastAsia" w:ascii="仿宋_GB2312" w:eastAsia="仿宋_GB2312"/>
          <w:sz w:val="32"/>
          <w:szCs w:val="32"/>
          <w:lang w:val="en-US" w:eastAsia="zh-CN"/>
        </w:rPr>
        <w:t>整体</w:t>
      </w:r>
      <w:r>
        <w:rPr>
          <w:rFonts w:hint="eastAsia" w:ascii="仿宋_GB2312" w:eastAsia="仿宋_GB2312"/>
          <w:sz w:val="32"/>
          <w:szCs w:val="32"/>
        </w:rPr>
        <w:t>支出绩效进行了全面综合评价。经全面综合评价，我办部门</w:t>
      </w:r>
      <w:r>
        <w:rPr>
          <w:rFonts w:hint="eastAsia" w:ascii="仿宋_GB2312" w:eastAsia="仿宋_GB2312"/>
          <w:sz w:val="32"/>
          <w:szCs w:val="32"/>
          <w:lang w:eastAsia="zh-CN"/>
        </w:rPr>
        <w:t>预算</w:t>
      </w:r>
      <w:r>
        <w:rPr>
          <w:rFonts w:hint="eastAsia" w:ascii="仿宋_GB2312" w:eastAsia="仿宋_GB2312"/>
          <w:sz w:val="32"/>
          <w:szCs w:val="32"/>
        </w:rPr>
        <w:t>支出绩效自评得分</w:t>
      </w:r>
      <w:r>
        <w:rPr>
          <w:rFonts w:hint="eastAsia" w:ascii="仿宋_GB2312" w:eastAsia="仿宋_GB2312"/>
          <w:sz w:val="32"/>
          <w:szCs w:val="32"/>
          <w:lang w:val="en-US" w:eastAsia="zh-CN"/>
        </w:rPr>
        <w:t>94.7</w:t>
      </w:r>
      <w:r>
        <w:rPr>
          <w:rFonts w:hint="eastAsia" w:ascii="仿宋_GB2312" w:eastAsia="仿宋_GB2312"/>
          <w:color w:val="000000" w:themeColor="text1"/>
          <w:sz w:val="32"/>
          <w:szCs w:val="32"/>
          <w14:textFill>
            <w14:solidFill>
              <w14:schemeClr w14:val="tx1"/>
            </w14:solidFill>
          </w14:textFill>
        </w:rPr>
        <w:t>分</w:t>
      </w:r>
      <w:r>
        <w:rPr>
          <w:rFonts w:hint="eastAsia" w:ascii="仿宋_GB2312" w:eastAsia="仿宋_GB2312"/>
          <w:sz w:val="32"/>
          <w:szCs w:val="32"/>
        </w:rPr>
        <w:t>（</w:t>
      </w:r>
      <w:r>
        <w:rPr>
          <w:rFonts w:hint="eastAsia" w:ascii="仿宋_GB2312" w:eastAsia="仿宋_GB2312"/>
          <w:sz w:val="32"/>
          <w:szCs w:val="32"/>
          <w:lang w:eastAsia="zh-CN"/>
        </w:rPr>
        <w:t>扣除我单位不存在的评价指标分值</w:t>
      </w:r>
      <w:r>
        <w:rPr>
          <w:rFonts w:hint="eastAsia" w:ascii="仿宋_GB2312" w:eastAsia="仿宋_GB2312"/>
          <w:sz w:val="32"/>
          <w:szCs w:val="32"/>
          <w:lang w:val="en-US" w:eastAsia="zh-CN"/>
        </w:rPr>
        <w:t>,</w:t>
      </w:r>
      <w:r>
        <w:rPr>
          <w:rFonts w:hint="eastAsia" w:ascii="仿宋_GB2312" w:eastAsia="仿宋_GB2312"/>
          <w:sz w:val="32"/>
          <w:szCs w:val="32"/>
        </w:rPr>
        <w:t>总分为</w:t>
      </w:r>
      <w:r>
        <w:rPr>
          <w:rFonts w:hint="eastAsia" w:ascii="仿宋_GB2312" w:eastAsia="仿宋_GB2312"/>
          <w:sz w:val="32"/>
          <w:szCs w:val="32"/>
          <w:lang w:val="en-US" w:eastAsia="zh-CN"/>
        </w:rPr>
        <w:t>96</w:t>
      </w:r>
      <w:r>
        <w:rPr>
          <w:rFonts w:hint="eastAsia" w:ascii="仿宋_GB2312" w:eastAsia="仿宋_GB2312"/>
          <w:sz w:val="32"/>
          <w:szCs w:val="32"/>
        </w:rPr>
        <w:t>分）。现将有关情况报告如下：</w:t>
      </w:r>
    </w:p>
    <w:p>
      <w:pPr>
        <w:ind w:firstLine="640" w:firstLineChars="200"/>
        <w:rPr>
          <w:rFonts w:hint="eastAsia" w:ascii="黑体" w:hAnsi="黑体" w:eastAsia="黑体"/>
          <w:sz w:val="32"/>
          <w:szCs w:val="32"/>
        </w:rPr>
      </w:pPr>
      <w:r>
        <w:rPr>
          <w:rFonts w:hint="eastAsia" w:ascii="黑体" w:hAnsi="黑体" w:eastAsia="黑体"/>
          <w:sz w:val="32"/>
          <w:szCs w:val="32"/>
        </w:rPr>
        <w:t>一、部门概况</w:t>
      </w:r>
    </w:p>
    <w:p>
      <w:pPr>
        <w:ind w:firstLine="643" w:firstLineChars="200"/>
        <w:rPr>
          <w:rFonts w:hint="eastAsia" w:ascii="楷体_GB2312" w:eastAsia="楷体_GB2312"/>
          <w:b/>
          <w:sz w:val="32"/>
          <w:szCs w:val="32"/>
        </w:rPr>
      </w:pPr>
      <w:r>
        <w:rPr>
          <w:rFonts w:hint="eastAsia" w:ascii="楷体_GB2312" w:eastAsia="楷体_GB2312"/>
          <w:b/>
          <w:sz w:val="32"/>
          <w:szCs w:val="32"/>
        </w:rPr>
        <w:t>（一）机构组成</w:t>
      </w:r>
    </w:p>
    <w:p>
      <w:pPr>
        <w:ind w:firstLine="640" w:firstLineChars="200"/>
        <w:rPr>
          <w:rFonts w:hint="default" w:ascii="仿宋_GB2312" w:eastAsia="仿宋_GB2312"/>
          <w:sz w:val="32"/>
          <w:szCs w:val="32"/>
          <w:lang w:val="en-US" w:eastAsia="zh-CN"/>
        </w:rPr>
      </w:pPr>
      <w:r>
        <w:rPr>
          <w:rFonts w:hint="eastAsia" w:ascii="仿宋_GB2312" w:eastAsia="仿宋_GB2312"/>
          <w:sz w:val="32"/>
          <w:szCs w:val="32"/>
        </w:rPr>
        <w:t>州政府办公室为州本级一级预算单位，</w:t>
      </w:r>
      <w:r>
        <w:rPr>
          <w:rFonts w:hint="eastAsia" w:ascii="仿宋_GB2312" w:eastAsia="仿宋_GB2312"/>
          <w:sz w:val="32"/>
          <w:szCs w:val="32"/>
          <w:lang w:val="en-US" w:eastAsia="zh-CN"/>
        </w:rPr>
        <w:t>独立核算机构2个，由行政单位（州政府办公室、州政府发展研究中心）和事业单位（州人防办、州大数据中心）组成。</w:t>
      </w:r>
    </w:p>
    <w:p>
      <w:pPr>
        <w:ind w:firstLine="643" w:firstLineChars="200"/>
        <w:rPr>
          <w:rFonts w:hint="eastAsia" w:ascii="楷体_GB2312" w:eastAsia="楷体_GB2312"/>
          <w:b/>
          <w:sz w:val="32"/>
          <w:szCs w:val="32"/>
        </w:rPr>
      </w:pPr>
      <w:r>
        <w:rPr>
          <w:rFonts w:hint="eastAsia" w:ascii="楷体_GB2312" w:eastAsia="楷体_GB2312"/>
          <w:b/>
          <w:sz w:val="32"/>
          <w:szCs w:val="32"/>
        </w:rPr>
        <w:t>（二）机构职能</w:t>
      </w:r>
    </w:p>
    <w:p>
      <w:pPr>
        <w:ind w:firstLine="640" w:firstLineChars="200"/>
        <w:rPr>
          <w:rFonts w:hint="default" w:ascii="仿宋_GB2312" w:eastAsia="仿宋_GB2312"/>
          <w:sz w:val="32"/>
          <w:szCs w:val="32"/>
          <w:lang w:val="en-US" w:eastAsia="zh-CN"/>
        </w:rPr>
      </w:pPr>
      <w:r>
        <w:rPr>
          <w:rFonts w:hint="eastAsia" w:ascii="仿宋_GB2312" w:eastAsia="仿宋_GB2312"/>
          <w:sz w:val="32"/>
          <w:szCs w:val="32"/>
        </w:rPr>
        <w:t>办理省政府办公厅及各厅局发送州政府的文</w:t>
      </w:r>
      <w:r>
        <w:rPr>
          <w:rFonts w:hint="eastAsia" w:ascii="仿宋_GB2312" w:eastAsia="仿宋_GB2312"/>
          <w:sz w:val="32"/>
          <w:szCs w:val="32"/>
          <w:lang w:eastAsia="zh-CN"/>
        </w:rPr>
        <w:t>电</w:t>
      </w:r>
      <w:r>
        <w:rPr>
          <w:rFonts w:hint="eastAsia" w:ascii="仿宋_GB2312" w:eastAsia="仿宋_GB2312"/>
          <w:sz w:val="32"/>
          <w:szCs w:val="32"/>
          <w:lang w:val="en-US" w:eastAsia="zh-CN"/>
        </w:rPr>
        <w:t>;</w:t>
      </w:r>
      <w:r>
        <w:rPr>
          <w:rFonts w:hint="eastAsia" w:ascii="仿宋_GB2312" w:eastAsia="仿宋_GB2312"/>
          <w:sz w:val="32"/>
          <w:szCs w:val="32"/>
        </w:rPr>
        <w:t>研究州政府部门和县政府请示州政府的事项，提出审核意见</w:t>
      </w:r>
      <w:r>
        <w:rPr>
          <w:rFonts w:hint="eastAsia" w:ascii="仿宋_GB2312" w:eastAsia="仿宋_GB2312"/>
          <w:sz w:val="32"/>
          <w:szCs w:val="32"/>
          <w:lang w:val="en-US" w:eastAsia="zh-CN"/>
        </w:rPr>
        <w:t>;</w:t>
      </w:r>
      <w:r>
        <w:rPr>
          <w:rFonts w:hint="eastAsia" w:ascii="仿宋_GB2312" w:eastAsia="仿宋_GB2312"/>
          <w:sz w:val="32"/>
          <w:szCs w:val="32"/>
        </w:rPr>
        <w:t>负责州政府值班工作，指导县政府和州政府部门值班工作，及时报告重要情况</w:t>
      </w:r>
      <w:r>
        <w:rPr>
          <w:rFonts w:hint="eastAsia" w:ascii="仿宋_GB2312" w:eastAsia="仿宋_GB2312"/>
          <w:sz w:val="32"/>
          <w:szCs w:val="32"/>
          <w:lang w:val="en-US" w:eastAsia="zh-CN"/>
        </w:rPr>
        <w:t>;</w:t>
      </w:r>
      <w:r>
        <w:rPr>
          <w:rFonts w:hint="eastAsia" w:ascii="仿宋_GB2312" w:eastAsia="仿宋_GB2312"/>
          <w:sz w:val="32"/>
          <w:szCs w:val="32"/>
        </w:rPr>
        <w:t>指导、监督全州政府信息公开工作和机关行政效能建设工作，指导、监督全州政府系统电子政务工作和政府网站建设</w:t>
      </w:r>
      <w:r>
        <w:rPr>
          <w:rFonts w:hint="eastAsia" w:ascii="仿宋_GB2312" w:eastAsia="仿宋_GB2312"/>
          <w:sz w:val="32"/>
          <w:szCs w:val="32"/>
          <w:lang w:val="en-US" w:eastAsia="zh-CN"/>
        </w:rPr>
        <w:t>;</w:t>
      </w:r>
      <w:r>
        <w:rPr>
          <w:rFonts w:hint="eastAsia" w:ascii="仿宋_GB2312" w:eastAsia="仿宋_GB2312"/>
          <w:sz w:val="32"/>
          <w:szCs w:val="32"/>
        </w:rPr>
        <w:t>组织办理涉及州政府工作的人大代表议案、批评、建议和政协委员建议案、提案工作</w:t>
      </w:r>
      <w:r>
        <w:rPr>
          <w:rFonts w:hint="eastAsia" w:ascii="仿宋_GB2312" w:eastAsia="仿宋_GB2312"/>
          <w:sz w:val="32"/>
          <w:szCs w:val="32"/>
          <w:lang w:val="en-US" w:eastAsia="zh-CN"/>
        </w:rPr>
        <w:t>;</w:t>
      </w:r>
      <w:r>
        <w:rPr>
          <w:rFonts w:hint="eastAsia" w:ascii="仿宋_GB2312" w:eastAsia="仿宋_GB2312"/>
          <w:sz w:val="32"/>
          <w:szCs w:val="32"/>
        </w:rPr>
        <w:t>负责州政府人民防空和民防工作，指导全州人民防空和民防工作</w:t>
      </w:r>
      <w:r>
        <w:rPr>
          <w:rFonts w:hint="eastAsia" w:ascii="仿宋_GB2312" w:eastAsia="仿宋_GB2312"/>
          <w:sz w:val="32"/>
          <w:szCs w:val="32"/>
          <w:lang w:eastAsia="zh-CN"/>
        </w:rPr>
        <w:t>；</w:t>
      </w:r>
      <w:r>
        <w:rPr>
          <w:rFonts w:hint="eastAsia" w:ascii="仿宋_GB2312" w:eastAsia="仿宋_GB2312"/>
          <w:sz w:val="32"/>
          <w:szCs w:val="32"/>
          <w:lang w:val="en-US" w:eastAsia="zh-CN"/>
        </w:rPr>
        <w:t>拟定、指导全州物流产业发展战略和工作、协调、推进全州物流园区（中心、集聚区）、物流网络体系以及重大物流项目规划和建设；组织协调口岸建设和管理工作。</w:t>
      </w:r>
    </w:p>
    <w:p>
      <w:pPr>
        <w:ind w:firstLine="643" w:firstLineChars="200"/>
        <w:rPr>
          <w:rFonts w:hint="eastAsia" w:ascii="楷体_GB2312" w:eastAsia="楷体_GB2312"/>
          <w:b/>
          <w:sz w:val="32"/>
          <w:szCs w:val="32"/>
        </w:rPr>
      </w:pPr>
      <w:r>
        <w:rPr>
          <w:rFonts w:hint="eastAsia" w:ascii="楷体_GB2312" w:eastAsia="楷体_GB2312"/>
          <w:b/>
          <w:sz w:val="32"/>
          <w:szCs w:val="32"/>
        </w:rPr>
        <w:t>（三）人员概况</w:t>
      </w:r>
    </w:p>
    <w:p>
      <w:pPr>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2019年12月</w:t>
      </w:r>
      <w:r>
        <w:rPr>
          <w:rFonts w:hint="eastAsia" w:ascii="仿宋_GB2312" w:eastAsia="仿宋_GB2312"/>
          <w:color w:val="auto"/>
          <w:sz w:val="32"/>
          <w:szCs w:val="32"/>
        </w:rPr>
        <w:t>机关总编制</w:t>
      </w:r>
      <w:r>
        <w:rPr>
          <w:rFonts w:hint="eastAsia" w:ascii="仿宋_GB2312" w:eastAsia="仿宋_GB2312"/>
          <w:color w:val="auto"/>
          <w:sz w:val="32"/>
          <w:szCs w:val="32"/>
          <w:lang w:val="en-US" w:eastAsia="zh-CN"/>
        </w:rPr>
        <w:t>(含挂靠、管理部门）134个</w:t>
      </w:r>
      <w:r>
        <w:rPr>
          <w:rFonts w:hint="eastAsia" w:ascii="仿宋_GB2312" w:eastAsia="仿宋_GB2312"/>
          <w:color w:val="auto"/>
          <w:sz w:val="32"/>
          <w:szCs w:val="32"/>
        </w:rPr>
        <w:t>,其中:核定行政编制</w:t>
      </w:r>
      <w:r>
        <w:rPr>
          <w:rFonts w:hint="eastAsia" w:ascii="仿宋_GB2312" w:eastAsia="仿宋_GB2312"/>
          <w:color w:val="auto"/>
          <w:sz w:val="32"/>
          <w:szCs w:val="32"/>
          <w:lang w:val="en-US" w:eastAsia="zh-CN"/>
        </w:rPr>
        <w:t>50</w:t>
      </w:r>
      <w:r>
        <w:rPr>
          <w:rFonts w:hint="eastAsia" w:ascii="仿宋_GB2312" w:eastAsia="仿宋_GB2312"/>
          <w:color w:val="auto"/>
          <w:sz w:val="32"/>
          <w:szCs w:val="32"/>
        </w:rPr>
        <w:t>个，单列编制9个（州级干部编制由州编办管理），核定工勤编制38个，参照公务员管理的事业单位核定事业编制</w:t>
      </w:r>
      <w:r>
        <w:rPr>
          <w:rFonts w:hint="eastAsia" w:ascii="仿宋_GB2312" w:eastAsia="仿宋_GB2312"/>
          <w:color w:val="auto"/>
          <w:sz w:val="32"/>
          <w:szCs w:val="32"/>
          <w:lang w:val="en-US" w:eastAsia="zh-CN"/>
        </w:rPr>
        <w:t>15</w:t>
      </w:r>
      <w:r>
        <w:rPr>
          <w:rFonts w:hint="eastAsia" w:ascii="仿宋_GB2312" w:eastAsia="仿宋_GB2312"/>
          <w:color w:val="auto"/>
          <w:sz w:val="32"/>
          <w:szCs w:val="32"/>
        </w:rPr>
        <w:t>名，核定其他事业编制3</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名。</w:t>
      </w:r>
      <w:r>
        <w:rPr>
          <w:rFonts w:hint="eastAsia" w:ascii="仿宋_GB2312" w:eastAsia="仿宋_GB2312"/>
          <w:color w:val="auto"/>
          <w:sz w:val="32"/>
          <w:szCs w:val="32"/>
          <w:lang w:val="en-US" w:eastAsia="zh-CN"/>
        </w:rPr>
        <w:t>2019年年末在职人数113人，</w:t>
      </w:r>
      <w:r>
        <w:rPr>
          <w:rFonts w:hint="eastAsia" w:ascii="仿宋_GB2312" w:eastAsia="仿宋_GB2312"/>
          <w:color w:val="auto"/>
          <w:sz w:val="32"/>
          <w:szCs w:val="32"/>
        </w:rPr>
        <w:t>其中：行政人员</w:t>
      </w:r>
      <w:r>
        <w:rPr>
          <w:rFonts w:hint="eastAsia" w:ascii="仿宋_GB2312" w:eastAsia="仿宋_GB2312"/>
          <w:color w:val="auto"/>
          <w:sz w:val="32"/>
          <w:szCs w:val="32"/>
          <w:lang w:val="en-US" w:eastAsia="zh-CN"/>
        </w:rPr>
        <w:t>85</w:t>
      </w:r>
      <w:r>
        <w:rPr>
          <w:rFonts w:hint="eastAsia" w:ascii="仿宋_GB2312" w:eastAsia="仿宋_GB2312"/>
          <w:color w:val="auto"/>
          <w:sz w:val="32"/>
          <w:szCs w:val="32"/>
        </w:rPr>
        <w:t>名（含行政工勤人员）</w:t>
      </w:r>
      <w:r>
        <w:rPr>
          <w:rFonts w:hint="eastAsia" w:ascii="仿宋_GB2312" w:eastAsia="仿宋_GB2312"/>
          <w:color w:val="auto"/>
          <w:sz w:val="32"/>
          <w:szCs w:val="32"/>
          <w:lang w:eastAsia="zh-CN"/>
        </w:rPr>
        <w:t>，</w:t>
      </w:r>
      <w:r>
        <w:rPr>
          <w:rFonts w:hint="eastAsia" w:ascii="仿宋_GB2312" w:eastAsia="仿宋_GB2312"/>
          <w:color w:val="auto"/>
          <w:sz w:val="32"/>
          <w:szCs w:val="32"/>
        </w:rPr>
        <w:t>参照公务员法管理的事业人员</w:t>
      </w:r>
      <w:r>
        <w:rPr>
          <w:rFonts w:hint="eastAsia" w:ascii="仿宋_GB2312" w:eastAsia="仿宋_GB2312"/>
          <w:color w:val="auto"/>
          <w:sz w:val="32"/>
          <w:szCs w:val="32"/>
          <w:lang w:val="en-US" w:eastAsia="zh-CN"/>
        </w:rPr>
        <w:t>10</w:t>
      </w:r>
      <w:r>
        <w:rPr>
          <w:rFonts w:hint="eastAsia" w:ascii="仿宋_GB2312" w:eastAsia="仿宋_GB2312"/>
          <w:color w:val="auto"/>
          <w:sz w:val="32"/>
          <w:szCs w:val="32"/>
        </w:rPr>
        <w:t>名，其他事业人员</w:t>
      </w:r>
      <w:r>
        <w:rPr>
          <w:rFonts w:hint="eastAsia" w:ascii="仿宋_GB2312" w:eastAsia="仿宋_GB2312"/>
          <w:color w:val="auto"/>
          <w:sz w:val="32"/>
          <w:szCs w:val="32"/>
          <w:lang w:val="en-US" w:eastAsia="zh-CN"/>
        </w:rPr>
        <w:t>18</w:t>
      </w:r>
      <w:r>
        <w:rPr>
          <w:rFonts w:hint="eastAsia" w:ascii="仿宋_GB2312" w:eastAsia="仿宋_GB2312"/>
          <w:color w:val="auto"/>
          <w:sz w:val="32"/>
          <w:szCs w:val="32"/>
        </w:rPr>
        <w:t>名（含事业工勤人员）。</w:t>
      </w:r>
      <w:r>
        <w:rPr>
          <w:rFonts w:hint="eastAsia" w:ascii="仿宋_GB2312" w:eastAsia="仿宋_GB2312"/>
          <w:color w:val="auto"/>
          <w:sz w:val="32"/>
          <w:szCs w:val="32"/>
          <w:lang w:val="en-US" w:eastAsia="zh-CN"/>
        </w:rPr>
        <w:t>2020年6月</w:t>
      </w:r>
      <w:r>
        <w:rPr>
          <w:rFonts w:hint="eastAsia" w:ascii="仿宋_GB2312" w:eastAsia="仿宋_GB2312"/>
          <w:color w:val="auto"/>
          <w:sz w:val="32"/>
          <w:szCs w:val="32"/>
        </w:rPr>
        <w:t>在职人员总数</w:t>
      </w:r>
      <w:r>
        <w:rPr>
          <w:rFonts w:hint="eastAsia" w:ascii="仿宋_GB2312" w:eastAsia="仿宋_GB2312"/>
          <w:color w:val="auto"/>
          <w:sz w:val="32"/>
          <w:szCs w:val="32"/>
          <w:lang w:val="en-US" w:eastAsia="zh-CN"/>
        </w:rPr>
        <w:t>108人</w:t>
      </w:r>
      <w:r>
        <w:rPr>
          <w:rFonts w:hint="eastAsia" w:ascii="仿宋_GB2312" w:eastAsia="仿宋_GB2312"/>
          <w:color w:val="auto"/>
          <w:sz w:val="32"/>
          <w:szCs w:val="32"/>
        </w:rPr>
        <w:t>，其中：行政人员</w:t>
      </w:r>
      <w:r>
        <w:rPr>
          <w:rFonts w:hint="eastAsia" w:ascii="仿宋_GB2312" w:eastAsia="仿宋_GB2312"/>
          <w:color w:val="auto"/>
          <w:sz w:val="32"/>
          <w:szCs w:val="32"/>
          <w:lang w:val="en-US" w:eastAsia="zh-CN"/>
        </w:rPr>
        <w:t>80</w:t>
      </w:r>
      <w:r>
        <w:rPr>
          <w:rFonts w:hint="eastAsia" w:ascii="仿宋_GB2312" w:eastAsia="仿宋_GB2312"/>
          <w:color w:val="auto"/>
          <w:sz w:val="32"/>
          <w:szCs w:val="32"/>
        </w:rPr>
        <w:t>名（含行政工勤人员）</w:t>
      </w:r>
      <w:r>
        <w:rPr>
          <w:rFonts w:hint="eastAsia" w:ascii="仿宋_GB2312" w:eastAsia="仿宋_GB2312"/>
          <w:color w:val="auto"/>
          <w:sz w:val="32"/>
          <w:szCs w:val="32"/>
          <w:lang w:eastAsia="zh-CN"/>
        </w:rPr>
        <w:t>，</w:t>
      </w:r>
      <w:r>
        <w:rPr>
          <w:rFonts w:hint="eastAsia" w:ascii="仿宋_GB2312" w:eastAsia="仿宋_GB2312"/>
          <w:color w:val="auto"/>
          <w:sz w:val="32"/>
          <w:szCs w:val="32"/>
        </w:rPr>
        <w:t>参照公务员法管理的事业人员</w:t>
      </w:r>
      <w:r>
        <w:rPr>
          <w:rFonts w:hint="eastAsia" w:ascii="仿宋_GB2312" w:eastAsia="仿宋_GB2312"/>
          <w:color w:val="auto"/>
          <w:sz w:val="32"/>
          <w:szCs w:val="32"/>
          <w:lang w:val="en-US" w:eastAsia="zh-CN"/>
        </w:rPr>
        <w:t>10</w:t>
      </w:r>
      <w:r>
        <w:rPr>
          <w:rFonts w:hint="eastAsia" w:ascii="仿宋_GB2312" w:eastAsia="仿宋_GB2312"/>
          <w:color w:val="auto"/>
          <w:sz w:val="32"/>
          <w:szCs w:val="32"/>
        </w:rPr>
        <w:t>名，其他事业人员</w:t>
      </w:r>
      <w:r>
        <w:rPr>
          <w:rFonts w:hint="eastAsia" w:ascii="仿宋_GB2312" w:eastAsia="仿宋_GB2312"/>
          <w:color w:val="auto"/>
          <w:sz w:val="32"/>
          <w:szCs w:val="32"/>
          <w:lang w:val="en-US" w:eastAsia="zh-CN"/>
        </w:rPr>
        <w:t>18</w:t>
      </w:r>
      <w:r>
        <w:rPr>
          <w:rFonts w:hint="eastAsia" w:ascii="仿宋_GB2312" w:eastAsia="仿宋_GB2312"/>
          <w:color w:val="auto"/>
          <w:sz w:val="32"/>
          <w:szCs w:val="32"/>
        </w:rPr>
        <w:t>名（含事业工勤人员）。</w:t>
      </w:r>
      <w:r>
        <w:rPr>
          <w:rFonts w:hint="eastAsia" w:ascii="仿宋_GB2312" w:eastAsia="仿宋_GB2312"/>
          <w:color w:val="auto"/>
          <w:sz w:val="32"/>
          <w:szCs w:val="32"/>
          <w:lang w:val="en-US" w:eastAsia="zh-CN"/>
        </w:rPr>
        <w:t>2020年6月末在职人数较2019年末在职人数较少5人，为退休3人，调出3人，调入1人。</w:t>
      </w:r>
    </w:p>
    <w:p>
      <w:pPr>
        <w:ind w:firstLine="640" w:firstLineChars="200"/>
        <w:rPr>
          <w:rFonts w:hint="eastAsia" w:ascii="黑体" w:hAnsi="黑体" w:eastAsia="黑体"/>
          <w:color w:val="auto"/>
          <w:sz w:val="32"/>
          <w:szCs w:val="32"/>
        </w:rPr>
      </w:pPr>
      <w:r>
        <w:rPr>
          <w:rFonts w:hint="eastAsia" w:ascii="黑体" w:hAnsi="黑体" w:eastAsia="黑体"/>
          <w:color w:val="auto"/>
          <w:sz w:val="32"/>
          <w:szCs w:val="32"/>
        </w:rPr>
        <w:t>二、</w:t>
      </w:r>
      <w:r>
        <w:rPr>
          <w:rFonts w:hint="eastAsia" w:ascii="黑体" w:hAnsi="黑体" w:eastAsia="黑体"/>
          <w:color w:val="auto"/>
          <w:sz w:val="32"/>
          <w:szCs w:val="32"/>
          <w:lang w:val="en-US" w:eastAsia="zh-CN"/>
        </w:rPr>
        <w:t>2019年及</w:t>
      </w:r>
      <w:r>
        <w:rPr>
          <w:rFonts w:hint="eastAsia" w:ascii="黑体" w:hAnsi="黑体" w:eastAsia="黑体"/>
          <w:color w:val="auto"/>
          <w:sz w:val="32"/>
          <w:szCs w:val="32"/>
        </w:rPr>
        <w:t>20</w:t>
      </w:r>
      <w:r>
        <w:rPr>
          <w:rFonts w:hint="eastAsia" w:ascii="黑体" w:hAnsi="黑体" w:eastAsia="黑体"/>
          <w:color w:val="auto"/>
          <w:sz w:val="32"/>
          <w:szCs w:val="32"/>
          <w:lang w:val="en-US" w:eastAsia="zh-CN"/>
        </w:rPr>
        <w:t>20</w:t>
      </w:r>
      <w:r>
        <w:rPr>
          <w:rFonts w:hint="eastAsia" w:ascii="黑体" w:hAnsi="黑体" w:eastAsia="黑体"/>
          <w:color w:val="auto"/>
          <w:sz w:val="32"/>
          <w:szCs w:val="32"/>
        </w:rPr>
        <w:t>年</w:t>
      </w:r>
      <w:r>
        <w:rPr>
          <w:rFonts w:hint="eastAsia" w:ascii="黑体" w:hAnsi="黑体" w:eastAsia="黑体"/>
          <w:color w:val="auto"/>
          <w:sz w:val="32"/>
          <w:szCs w:val="32"/>
          <w:lang w:val="en-US" w:eastAsia="zh-CN"/>
        </w:rPr>
        <w:t>1-6月</w:t>
      </w:r>
      <w:r>
        <w:rPr>
          <w:rFonts w:hint="eastAsia" w:ascii="黑体" w:hAnsi="黑体" w:eastAsia="黑体"/>
          <w:color w:val="auto"/>
          <w:sz w:val="32"/>
          <w:szCs w:val="32"/>
        </w:rPr>
        <w:t>财政资金当年收支情况</w:t>
      </w:r>
    </w:p>
    <w:p>
      <w:pPr>
        <w:numPr>
          <w:ilvl w:val="0"/>
          <w:numId w:val="9"/>
        </w:numPr>
        <w:ind w:firstLine="643" w:firstLineChars="200"/>
        <w:rPr>
          <w:rFonts w:hint="eastAsia" w:ascii="楷体_GB2312" w:eastAsia="楷体_GB2312"/>
          <w:b/>
          <w:color w:val="auto"/>
          <w:sz w:val="32"/>
          <w:szCs w:val="32"/>
        </w:rPr>
      </w:pPr>
      <w:r>
        <w:rPr>
          <w:rFonts w:hint="eastAsia" w:ascii="楷体_GB2312" w:eastAsia="楷体_GB2312"/>
          <w:b/>
          <w:color w:val="auto"/>
          <w:sz w:val="32"/>
          <w:szCs w:val="32"/>
        </w:rPr>
        <w:t>收入情况</w:t>
      </w:r>
    </w:p>
    <w:p>
      <w:pPr>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2019年财政拨款收入3,979.88万元，较上年减少714.74万元，下降15.22%。下降的主要原因是当年安排项目经费减少，其中：人防中型机动指挥所运行费减少224.76万元；人民防空建设专项补助资金减少430万元；阿坝州物流产业中长期发展规划编制项目和阿坝州突发事件应急物流课题研究项目减少98.7万元。上年结转资金2,004.95万元。</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1-6月</w:t>
      </w:r>
      <w:r>
        <w:rPr>
          <w:rFonts w:hint="eastAsia" w:ascii="仿宋_GB2312" w:eastAsia="仿宋_GB2312"/>
          <w:color w:val="auto"/>
          <w:sz w:val="32"/>
          <w:szCs w:val="32"/>
        </w:rPr>
        <w:t>部门预算下达资金为</w:t>
      </w:r>
      <w:r>
        <w:rPr>
          <w:rFonts w:hint="eastAsia" w:ascii="仿宋_GB2312" w:eastAsia="仿宋_GB2312"/>
          <w:color w:val="auto"/>
          <w:sz w:val="32"/>
          <w:szCs w:val="32"/>
          <w:lang w:val="en-US" w:eastAsia="zh-CN"/>
        </w:rPr>
        <w:t>5,889.21</w:t>
      </w:r>
      <w:r>
        <w:rPr>
          <w:rFonts w:hint="eastAsia" w:ascii="仿宋_GB2312" w:eastAsia="仿宋_GB2312"/>
          <w:color w:val="auto"/>
          <w:sz w:val="32"/>
          <w:szCs w:val="32"/>
        </w:rPr>
        <w:t>万元</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w:t>
      </w:r>
      <w:r>
        <w:rPr>
          <w:rFonts w:hint="eastAsia" w:ascii="仿宋_GB2312" w:eastAsia="仿宋_GB2312"/>
          <w:color w:val="auto"/>
          <w:sz w:val="32"/>
          <w:szCs w:val="32"/>
        </w:rPr>
        <w:t>其中：基本支出资金</w:t>
      </w:r>
      <w:r>
        <w:rPr>
          <w:rFonts w:hint="eastAsia" w:ascii="仿宋_GB2312" w:eastAsia="仿宋_GB2312"/>
          <w:color w:val="auto"/>
          <w:sz w:val="32"/>
          <w:szCs w:val="32"/>
          <w:lang w:val="en-US" w:eastAsia="zh-CN"/>
        </w:rPr>
        <w:t>3,373.84</w:t>
      </w:r>
      <w:r>
        <w:rPr>
          <w:rFonts w:hint="eastAsia" w:ascii="仿宋_GB2312" w:eastAsia="仿宋_GB2312"/>
          <w:color w:val="auto"/>
          <w:sz w:val="32"/>
          <w:szCs w:val="32"/>
        </w:rPr>
        <w:t>万元，专项资金</w:t>
      </w:r>
      <w:r>
        <w:rPr>
          <w:rFonts w:hint="eastAsia" w:ascii="仿宋_GB2312" w:eastAsia="仿宋_GB2312"/>
          <w:color w:val="auto"/>
          <w:sz w:val="32"/>
          <w:szCs w:val="32"/>
          <w:lang w:val="en-US" w:eastAsia="zh-CN"/>
        </w:rPr>
        <w:t>2,515.37万元)。</w:t>
      </w:r>
      <w:r>
        <w:rPr>
          <w:rFonts w:hint="eastAsia" w:ascii="仿宋_GB2312" w:eastAsia="仿宋_GB2312"/>
          <w:color w:val="auto"/>
          <w:sz w:val="32"/>
          <w:szCs w:val="32"/>
          <w:lang w:eastAsia="zh-CN"/>
        </w:rPr>
        <w:t>财政应返还资金</w:t>
      </w:r>
      <w:r>
        <w:rPr>
          <w:rFonts w:hint="eastAsia" w:ascii="仿宋_GB2312" w:eastAsia="仿宋_GB2312"/>
          <w:color w:val="auto"/>
          <w:sz w:val="32"/>
          <w:szCs w:val="32"/>
          <w:lang w:val="en-US" w:eastAsia="zh-CN"/>
        </w:rPr>
        <w:t>84.95万元。</w:t>
      </w:r>
    </w:p>
    <w:p>
      <w:pPr>
        <w:ind w:firstLine="643" w:firstLineChars="200"/>
        <w:rPr>
          <w:rFonts w:hint="eastAsia" w:ascii="楷体_GB2312" w:eastAsia="楷体_GB2312"/>
          <w:b/>
          <w:color w:val="auto"/>
          <w:sz w:val="32"/>
          <w:szCs w:val="32"/>
        </w:rPr>
      </w:pPr>
      <w:r>
        <w:rPr>
          <w:rFonts w:hint="eastAsia" w:ascii="楷体_GB2312" w:eastAsia="楷体_GB2312"/>
          <w:b/>
          <w:color w:val="auto"/>
          <w:sz w:val="32"/>
          <w:szCs w:val="32"/>
        </w:rPr>
        <w:t>（二）支出情况</w:t>
      </w:r>
    </w:p>
    <w:p>
      <w:pPr>
        <w:ind w:firstLine="640" w:firstLineChars="200"/>
        <w:rPr>
          <w:rFonts w:hint="eastAsia" w:ascii="仿宋_GB2312" w:hAnsi="仿宋" w:eastAsia="仿宋_GB2312"/>
          <w:spacing w:val="-2"/>
          <w:kern w:val="2"/>
          <w:sz w:val="32"/>
          <w:szCs w:val="32"/>
          <w:lang w:val="en-US" w:eastAsia="zh-CN" w:bidi="ar-SA"/>
        </w:rPr>
      </w:pPr>
      <w:r>
        <w:rPr>
          <w:rFonts w:hint="eastAsia" w:ascii="仿宋_GB2312" w:eastAsia="仿宋_GB2312"/>
          <w:color w:val="auto"/>
          <w:sz w:val="32"/>
          <w:szCs w:val="32"/>
          <w:lang w:val="en-US" w:eastAsia="zh-CN"/>
        </w:rPr>
        <w:t>2019年财政拨款支出5,899.88万元，较上年支出增加1,687.26万元，增长40.05%。</w:t>
      </w:r>
      <w:r>
        <w:rPr>
          <w:rFonts w:hint="eastAsia" w:ascii="仿宋_GB2312" w:hAnsi="仿宋" w:eastAsia="仿宋_GB2312"/>
          <w:spacing w:val="-2"/>
          <w:kern w:val="2"/>
          <w:sz w:val="32"/>
          <w:szCs w:val="32"/>
          <w:lang w:val="en-US" w:eastAsia="zh-CN" w:bidi="ar-SA"/>
        </w:rPr>
        <w:t>主要原因为2019新增项目经费，其中：川滇藏青联席会议经费177.42万元；阿坝州政务云大数据平台资源使用费795.15万元；人民防空建设465.81万元。</w:t>
      </w:r>
    </w:p>
    <w:p>
      <w:pPr>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2020年1-6月</w:t>
      </w:r>
      <w:r>
        <w:rPr>
          <w:rFonts w:hint="eastAsia" w:ascii="仿宋_GB2312" w:eastAsia="仿宋_GB2312"/>
          <w:color w:val="auto"/>
          <w:sz w:val="32"/>
          <w:szCs w:val="32"/>
        </w:rPr>
        <w:t>，已支出当年部门预算资金</w:t>
      </w:r>
      <w:r>
        <w:rPr>
          <w:rFonts w:hint="eastAsia" w:ascii="仿宋_GB2312" w:eastAsia="仿宋_GB2312"/>
          <w:color w:val="auto"/>
          <w:sz w:val="32"/>
          <w:szCs w:val="32"/>
          <w:lang w:val="en-US" w:eastAsia="zh-CN"/>
        </w:rPr>
        <w:t>1988.77</w:t>
      </w:r>
      <w:r>
        <w:rPr>
          <w:rFonts w:hint="eastAsia" w:ascii="仿宋_GB2312" w:eastAsia="仿宋_GB2312"/>
          <w:color w:val="auto"/>
          <w:sz w:val="32"/>
          <w:szCs w:val="32"/>
        </w:rPr>
        <w:t>万元</w:t>
      </w:r>
      <w:r>
        <w:rPr>
          <w:rFonts w:hint="eastAsia" w:ascii="仿宋_GB2312" w:eastAsia="仿宋_GB2312"/>
          <w:color w:val="auto"/>
          <w:sz w:val="32"/>
          <w:szCs w:val="32"/>
          <w:lang w:eastAsia="zh-CN"/>
        </w:rPr>
        <w:t>，支出进度为</w:t>
      </w:r>
      <w:r>
        <w:rPr>
          <w:rFonts w:hint="eastAsia" w:ascii="仿宋_GB2312" w:eastAsia="仿宋_GB2312"/>
          <w:color w:val="auto"/>
          <w:sz w:val="32"/>
          <w:szCs w:val="32"/>
          <w:lang w:val="en-US" w:eastAsia="zh-CN"/>
        </w:rPr>
        <w:t>33.77%（</w:t>
      </w:r>
      <w:r>
        <w:rPr>
          <w:rFonts w:hint="eastAsia" w:ascii="仿宋_GB2312" w:eastAsia="仿宋_GB2312"/>
          <w:color w:val="auto"/>
          <w:sz w:val="32"/>
          <w:szCs w:val="32"/>
        </w:rPr>
        <w:t>其中，</w:t>
      </w:r>
      <w:r>
        <w:rPr>
          <w:rFonts w:hint="eastAsia" w:ascii="仿宋_GB2312" w:eastAsia="仿宋_GB2312"/>
          <w:color w:val="auto"/>
          <w:sz w:val="32"/>
          <w:szCs w:val="32"/>
          <w:lang w:eastAsia="zh-CN"/>
        </w:rPr>
        <w:t>基本支出</w:t>
      </w:r>
      <w:r>
        <w:rPr>
          <w:rFonts w:hint="eastAsia" w:ascii="仿宋_GB2312" w:eastAsia="仿宋_GB2312"/>
          <w:color w:val="auto"/>
          <w:sz w:val="32"/>
          <w:szCs w:val="32"/>
          <w:lang w:val="en-US" w:eastAsia="zh-CN"/>
        </w:rPr>
        <w:t>1415.17万元，支出进度为41.95%；专项</w:t>
      </w:r>
      <w:r>
        <w:rPr>
          <w:rFonts w:hint="eastAsia" w:ascii="仿宋_GB2312" w:eastAsia="仿宋_GB2312"/>
          <w:color w:val="auto"/>
          <w:sz w:val="32"/>
          <w:szCs w:val="32"/>
        </w:rPr>
        <w:t>资金支出</w:t>
      </w:r>
      <w:r>
        <w:rPr>
          <w:rFonts w:hint="eastAsia" w:ascii="仿宋_GB2312" w:eastAsia="仿宋_GB2312"/>
          <w:color w:val="auto"/>
          <w:sz w:val="32"/>
          <w:szCs w:val="32"/>
          <w:lang w:val="en-US" w:eastAsia="zh-CN"/>
        </w:rPr>
        <w:t>573.6</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r>
        <w:rPr>
          <w:rFonts w:hint="eastAsia" w:ascii="仿宋_GB2312" w:eastAsia="仿宋_GB2312"/>
          <w:color w:val="auto"/>
          <w:sz w:val="32"/>
          <w:szCs w:val="32"/>
        </w:rPr>
        <w:t>专项资金</w:t>
      </w:r>
      <w:r>
        <w:rPr>
          <w:rFonts w:hint="eastAsia" w:ascii="仿宋_GB2312" w:eastAsia="仿宋_GB2312"/>
          <w:color w:val="auto"/>
          <w:sz w:val="32"/>
          <w:szCs w:val="32"/>
          <w:lang w:eastAsia="zh-CN"/>
        </w:rPr>
        <w:t>支出</w:t>
      </w:r>
      <w:r>
        <w:rPr>
          <w:rFonts w:hint="eastAsia" w:ascii="仿宋_GB2312" w:eastAsia="仿宋_GB2312"/>
          <w:color w:val="auto"/>
          <w:sz w:val="32"/>
          <w:szCs w:val="32"/>
        </w:rPr>
        <w:t>进度为</w:t>
      </w:r>
      <w:r>
        <w:rPr>
          <w:rFonts w:hint="eastAsia" w:ascii="仿宋_GB2312" w:eastAsia="仿宋_GB2312"/>
          <w:color w:val="auto"/>
          <w:sz w:val="32"/>
          <w:szCs w:val="32"/>
          <w:lang w:val="en-US" w:eastAsia="zh-CN"/>
        </w:rPr>
        <w:t>22.8</w:t>
      </w:r>
      <w:r>
        <w:rPr>
          <w:rFonts w:hint="eastAsia" w:ascii="仿宋_GB2312" w:eastAsia="仿宋_GB2312"/>
          <w:color w:val="auto"/>
          <w:sz w:val="32"/>
          <w:szCs w:val="32"/>
        </w:rPr>
        <w:t>%</w:t>
      </w:r>
      <w:r>
        <w:rPr>
          <w:rFonts w:hint="eastAsia" w:ascii="仿宋_GB2312" w:eastAsia="仿宋_GB2312"/>
          <w:color w:val="auto"/>
          <w:sz w:val="32"/>
          <w:szCs w:val="32"/>
          <w:lang w:eastAsia="zh-CN"/>
        </w:rPr>
        <w:t>）。财政应返还资金支出</w:t>
      </w:r>
      <w:r>
        <w:rPr>
          <w:rFonts w:hint="eastAsia" w:ascii="仿宋_GB2312" w:eastAsia="仿宋_GB2312"/>
          <w:color w:val="auto"/>
          <w:sz w:val="32"/>
          <w:szCs w:val="32"/>
          <w:lang w:val="en-US" w:eastAsia="zh-CN"/>
        </w:rPr>
        <w:t>63.18</w:t>
      </w:r>
      <w:r>
        <w:rPr>
          <w:rFonts w:hint="eastAsia" w:ascii="仿宋_GB2312" w:eastAsia="仿宋_GB2312"/>
          <w:color w:val="auto"/>
          <w:sz w:val="32"/>
          <w:szCs w:val="32"/>
          <w:lang w:eastAsia="zh-CN"/>
        </w:rPr>
        <w:t>万元。支出进度为</w:t>
      </w:r>
      <w:r>
        <w:rPr>
          <w:rFonts w:hint="eastAsia" w:ascii="仿宋_GB2312" w:eastAsia="仿宋_GB2312"/>
          <w:color w:val="auto"/>
          <w:sz w:val="32"/>
          <w:szCs w:val="32"/>
          <w:lang w:val="en-US" w:eastAsia="zh-CN"/>
        </w:rPr>
        <w:t>74.37%。</w:t>
      </w:r>
    </w:p>
    <w:p>
      <w:pPr>
        <w:numPr>
          <w:ilvl w:val="0"/>
          <w:numId w:val="10"/>
        </w:numPr>
        <w:ind w:firstLine="640" w:firstLineChars="200"/>
        <w:rPr>
          <w:rFonts w:hint="eastAsia" w:ascii="黑体" w:hAnsi="黑体" w:eastAsia="黑体"/>
          <w:sz w:val="32"/>
          <w:szCs w:val="32"/>
        </w:rPr>
      </w:pPr>
      <w:r>
        <w:rPr>
          <w:rFonts w:hint="eastAsia" w:ascii="黑体" w:hAnsi="黑体" w:eastAsia="黑体"/>
          <w:sz w:val="32"/>
          <w:szCs w:val="32"/>
          <w:lang w:val="en-US" w:eastAsia="zh-CN"/>
        </w:rPr>
        <w:t>2019年及</w:t>
      </w:r>
      <w:r>
        <w:rPr>
          <w:rFonts w:hint="eastAsia" w:ascii="黑体" w:hAnsi="黑体" w:eastAsia="黑体"/>
          <w:sz w:val="32"/>
          <w:szCs w:val="32"/>
        </w:rPr>
        <w:t>20</w:t>
      </w:r>
      <w:r>
        <w:rPr>
          <w:rFonts w:hint="eastAsia" w:ascii="黑体" w:hAnsi="黑体" w:eastAsia="黑体"/>
          <w:sz w:val="32"/>
          <w:szCs w:val="32"/>
          <w:lang w:val="en-US" w:eastAsia="zh-CN"/>
        </w:rPr>
        <w:t>20</w:t>
      </w:r>
      <w:r>
        <w:rPr>
          <w:rFonts w:hint="eastAsia" w:ascii="黑体" w:hAnsi="黑体" w:eastAsia="黑体"/>
          <w:sz w:val="32"/>
          <w:szCs w:val="32"/>
        </w:rPr>
        <w:t>年</w:t>
      </w:r>
      <w:r>
        <w:rPr>
          <w:rFonts w:hint="eastAsia" w:ascii="黑体" w:hAnsi="黑体" w:eastAsia="黑体"/>
          <w:sz w:val="32"/>
          <w:szCs w:val="32"/>
          <w:lang w:val="en-US" w:eastAsia="zh-CN"/>
        </w:rPr>
        <w:t>1-6月年</w:t>
      </w:r>
      <w:r>
        <w:rPr>
          <w:rFonts w:hint="eastAsia" w:ascii="黑体" w:hAnsi="黑体" w:eastAsia="黑体"/>
          <w:sz w:val="32"/>
          <w:szCs w:val="32"/>
        </w:rPr>
        <w:t>财政支出管理情况</w:t>
      </w:r>
    </w:p>
    <w:p>
      <w:pPr>
        <w:ind w:firstLine="643" w:firstLineChars="200"/>
        <w:rPr>
          <w:rFonts w:hint="eastAsia" w:ascii="楷体_GB2312" w:eastAsia="楷体_GB2312"/>
          <w:b/>
          <w:sz w:val="32"/>
          <w:szCs w:val="32"/>
          <w:lang w:val="zh-CN"/>
        </w:rPr>
      </w:pPr>
      <w:r>
        <w:rPr>
          <w:rFonts w:hint="eastAsia" w:ascii="楷体_GB2312" w:eastAsia="楷体_GB2312"/>
          <w:b/>
          <w:sz w:val="32"/>
          <w:szCs w:val="32"/>
          <w:lang w:val="zh-CN"/>
        </w:rPr>
        <w:t>（一）预算编制情况</w:t>
      </w:r>
    </w:p>
    <w:p>
      <w:pPr>
        <w:ind w:firstLine="604"/>
        <w:rPr>
          <w:rFonts w:hint="eastAsia" w:ascii="仿宋" w:hAnsi="仿宋" w:eastAsia="仿宋" w:cs="仿宋"/>
          <w:sz w:val="32"/>
          <w:szCs w:val="32"/>
        </w:rPr>
      </w:pPr>
      <w:r>
        <w:rPr>
          <w:rFonts w:hint="eastAsia" w:ascii="仿宋" w:hAnsi="仿宋" w:eastAsia="仿宋" w:cs="仿宋"/>
          <w:sz w:val="32"/>
          <w:szCs w:val="32"/>
          <w:lang w:eastAsia="zh-CN"/>
        </w:rPr>
        <w:t>我办</w:t>
      </w:r>
      <w:r>
        <w:rPr>
          <w:rFonts w:hint="eastAsia" w:ascii="仿宋" w:hAnsi="仿宋" w:eastAsia="仿宋" w:cs="仿宋"/>
          <w:sz w:val="32"/>
          <w:szCs w:val="32"/>
        </w:rPr>
        <w:t>严格按照</w:t>
      </w:r>
      <w:r>
        <w:rPr>
          <w:rFonts w:hint="eastAsia" w:ascii="仿宋" w:hAnsi="仿宋" w:eastAsia="仿宋" w:cs="仿宋"/>
          <w:sz w:val="32"/>
          <w:szCs w:val="32"/>
          <w:lang w:eastAsia="zh-CN"/>
        </w:rPr>
        <w:t>州</w:t>
      </w:r>
      <w:r>
        <w:rPr>
          <w:rFonts w:hint="eastAsia" w:ascii="仿宋" w:hAnsi="仿宋" w:eastAsia="仿宋" w:cs="仿宋"/>
          <w:sz w:val="32"/>
          <w:szCs w:val="32"/>
        </w:rPr>
        <w:t>级部门预算编制通知和有关要求，按时完成基础库、项目库报送工作，按时完成</w:t>
      </w:r>
      <w:r>
        <w:rPr>
          <w:rFonts w:hint="eastAsia" w:ascii="仿宋" w:hAnsi="仿宋" w:eastAsia="仿宋" w:cs="仿宋"/>
          <w:sz w:val="32"/>
          <w:szCs w:val="32"/>
          <w:lang w:val="en-US" w:eastAsia="zh-CN"/>
        </w:rPr>
        <w:t>2019、</w:t>
      </w:r>
      <w:r>
        <w:rPr>
          <w:rFonts w:hint="eastAsia" w:ascii="仿宋" w:hAnsi="仿宋" w:eastAsia="仿宋" w:cs="仿宋"/>
          <w:sz w:val="32"/>
          <w:szCs w:val="32"/>
        </w:rPr>
        <w:t>20</w:t>
      </w:r>
      <w:r>
        <w:rPr>
          <w:rFonts w:hint="eastAsia" w:ascii="仿宋" w:hAnsi="仿宋" w:eastAsia="仿宋" w:cs="仿宋"/>
          <w:sz w:val="32"/>
          <w:szCs w:val="32"/>
          <w:lang w:val="en-US" w:eastAsia="zh-CN"/>
        </w:rPr>
        <w:t>20</w:t>
      </w:r>
      <w:r>
        <w:rPr>
          <w:rFonts w:hint="eastAsia" w:ascii="仿宋" w:hAnsi="仿宋" w:eastAsia="仿宋" w:cs="仿宋"/>
          <w:sz w:val="32"/>
          <w:szCs w:val="32"/>
        </w:rPr>
        <w:t>年预算编制工作，并</w:t>
      </w:r>
      <w:r>
        <w:rPr>
          <w:rFonts w:hint="eastAsia" w:ascii="仿宋" w:hAnsi="仿宋" w:eastAsia="仿宋" w:cs="仿宋"/>
          <w:sz w:val="32"/>
          <w:szCs w:val="32"/>
          <w:lang w:eastAsia="zh-CN"/>
        </w:rPr>
        <w:t>及</w:t>
      </w:r>
      <w:r>
        <w:rPr>
          <w:rFonts w:hint="eastAsia" w:ascii="仿宋" w:hAnsi="仿宋" w:eastAsia="仿宋" w:cs="仿宋"/>
          <w:sz w:val="32"/>
          <w:szCs w:val="32"/>
        </w:rPr>
        <w:t>时提交部门预算草案。按规定编制政府采购预算，预算编制全面、科学。</w:t>
      </w:r>
    </w:p>
    <w:p>
      <w:pPr>
        <w:rPr>
          <w:rFonts w:hint="eastAsia" w:ascii="楷体_GB2312" w:eastAsia="楷体_GB2312"/>
          <w:b/>
          <w:sz w:val="32"/>
          <w:szCs w:val="32"/>
          <w:lang w:val="zh-CN"/>
        </w:rPr>
      </w:pPr>
      <w:r>
        <w:rPr>
          <w:rFonts w:hint="eastAsia" w:ascii="楷体_GB2312" w:eastAsia="楷体_GB2312"/>
          <w:b/>
          <w:sz w:val="32"/>
          <w:szCs w:val="32"/>
          <w:lang w:val="en-US" w:eastAsia="zh-CN"/>
        </w:rPr>
        <w:t xml:space="preserve">    </w:t>
      </w:r>
      <w:r>
        <w:rPr>
          <w:rFonts w:hint="eastAsia" w:ascii="楷体_GB2312" w:eastAsia="楷体_GB2312"/>
          <w:b/>
          <w:sz w:val="32"/>
          <w:szCs w:val="32"/>
          <w:lang w:val="zh-CN"/>
        </w:rPr>
        <w:t>（二）执行管理情况</w:t>
      </w:r>
    </w:p>
    <w:p>
      <w:pPr>
        <w:ind w:firstLine="640" w:firstLineChars="200"/>
        <w:rPr>
          <w:rFonts w:hint="eastAsia" w:ascii="仿宋_GB2312" w:eastAsia="仿宋_GB2312"/>
          <w:color w:val="FF0000"/>
          <w:sz w:val="32"/>
          <w:szCs w:val="32"/>
          <w:lang w:val="en-US" w:eastAsia="zh-CN"/>
        </w:rPr>
      </w:pPr>
      <w:r>
        <w:rPr>
          <w:rFonts w:hint="eastAsia" w:ascii="仿宋_GB2312" w:hAnsi="仿宋" w:eastAsia="仿宋_GB2312" w:cs="仿宋"/>
          <w:color w:val="auto"/>
          <w:sz w:val="32"/>
          <w:szCs w:val="32"/>
          <w:lang w:val="en-US" w:eastAsia="zh-CN"/>
        </w:rPr>
        <w:t>2019年“三公”经费支出决算数为446.55万元，较上年增加支出58.17万元，增长14.98%。增加的主要原因为2019年公务用车运行费增加及因公出国（境）经费增加。其中：因公出国（境）经费25.1万，较上年增加20.23万元，增加原因为受出国人次增加和出国目的地消费水平不同的影响，同比增长幅度较大；公务接待费19.8万元，较上年减少0.05万元，减少0.25%，减少原因是严格执行有关规定，实行“先审批，后接待”制度，严格控制接待标准和陪餐人数，降低接待费用；公务用车购置及公务用车运行费401.65万元，较上年增加37.99万元，增长10.45%（增加原因：一是机关公务用车保障任务重、保障路程长、服务半径大，老化车辆多，维修维护费用高；二是高速公路ETC刷卡费用增加，办公室多台车辆原来都以7座计费，ETC刷卡按8座计费，过路费用翻番增长；三是按照藏区提前一年实现基本“脱贫”的工作要求，脱贫攻坚任务繁重，开展脱贫攻坚一线调研和现场指导的次数增多；四是开展“两联一进”群众工作，保障需求持续增加；五是抗击突发自然灾害，处置和查灾救灾的次数增多；六是承担浙江-阿坝东西部扶贫协作和对口支援工作，为浙江来川的挂职干部职工提供了相应的用车保障）。</w:t>
      </w:r>
      <w:r>
        <w:rPr>
          <w:rFonts w:hint="eastAsia" w:ascii="仿宋_GB2312" w:eastAsia="仿宋_GB2312"/>
          <w:color w:val="auto"/>
          <w:sz w:val="32"/>
          <w:szCs w:val="32"/>
          <w:lang w:val="en-US" w:eastAsia="zh-CN"/>
        </w:rPr>
        <w:t xml:space="preserve">    </w:t>
      </w:r>
      <w:r>
        <w:rPr>
          <w:rFonts w:hint="eastAsia" w:ascii="仿宋_GB2312" w:eastAsia="仿宋_GB2312"/>
          <w:color w:val="FF0000"/>
          <w:sz w:val="32"/>
          <w:szCs w:val="32"/>
          <w:lang w:val="en-US" w:eastAsia="zh-CN"/>
        </w:rPr>
        <w:t xml:space="preserve"> </w:t>
      </w:r>
    </w:p>
    <w:p>
      <w:pPr>
        <w:ind w:firstLine="640" w:firstLineChars="200"/>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2020年1-6月</w:t>
      </w:r>
      <w:r>
        <w:rPr>
          <w:rFonts w:hint="eastAsia" w:ascii="仿宋" w:hAnsi="仿宋" w:eastAsia="仿宋" w:cs="仿宋"/>
          <w:color w:val="auto"/>
          <w:spacing w:val="0"/>
          <w:kern w:val="2"/>
          <w:sz w:val="32"/>
          <w:szCs w:val="32"/>
          <w:lang w:val="en-US" w:eastAsia="zh-CN" w:bidi="ar-SA"/>
        </w:rPr>
        <w:t>“三公”经费公务用车运行费支出192.85万元，支出进度为33.01%。</w:t>
      </w:r>
    </w:p>
    <w:p>
      <w:pPr>
        <w:ind w:firstLine="607"/>
        <w:rPr>
          <w:rFonts w:hint="eastAsia" w:ascii="楷体_GB2312" w:eastAsia="楷体_GB2312"/>
          <w:b/>
          <w:color w:val="auto"/>
          <w:sz w:val="32"/>
          <w:szCs w:val="32"/>
          <w:lang w:val="zh-CN" w:eastAsia="zh-CN"/>
        </w:rPr>
      </w:pPr>
      <w:r>
        <w:rPr>
          <w:rFonts w:hint="eastAsia" w:ascii="楷体_GB2312" w:eastAsia="楷体_GB2312"/>
          <w:b/>
          <w:color w:val="auto"/>
          <w:sz w:val="32"/>
          <w:szCs w:val="32"/>
          <w:lang w:val="zh-CN" w:eastAsia="zh-CN"/>
        </w:rPr>
        <w:t>（三）综合管理情况</w:t>
      </w:r>
    </w:p>
    <w:p>
      <w:pPr>
        <w:rPr>
          <w:rFonts w:hint="eastAsia" w:ascii="楷体_GB2312" w:eastAsia="楷体_GB2312"/>
          <w:b/>
          <w:sz w:val="32"/>
          <w:szCs w:val="32"/>
          <w:lang w:val="zh-CN" w:eastAsia="zh-CN"/>
        </w:rPr>
      </w:pPr>
      <w:r>
        <w:rPr>
          <w:rFonts w:hint="eastAsia" w:ascii="仿宋" w:hAnsi="仿宋" w:eastAsia="仿宋" w:cs="仿宋"/>
          <w:sz w:val="32"/>
          <w:szCs w:val="32"/>
          <w:lang w:val="en-US" w:eastAsia="zh-CN"/>
        </w:rPr>
        <w:t xml:space="preserve">    我单位</w:t>
      </w:r>
      <w:r>
        <w:rPr>
          <w:rFonts w:hint="eastAsia" w:ascii="仿宋" w:hAnsi="仿宋" w:eastAsia="仿宋" w:cs="仿宋"/>
          <w:sz w:val="32"/>
          <w:szCs w:val="32"/>
        </w:rPr>
        <w:t>认真贯彻落实中央和省委省政府相关规定，</w:t>
      </w:r>
      <w:r>
        <w:rPr>
          <w:rFonts w:hint="eastAsia" w:ascii="仿宋" w:hAnsi="仿宋" w:eastAsia="仿宋" w:cs="仿宋"/>
          <w:sz w:val="32"/>
          <w:szCs w:val="32"/>
          <w:lang w:eastAsia="zh-CN"/>
        </w:rPr>
        <w:t>及时为我州</w:t>
      </w:r>
      <w:r>
        <w:rPr>
          <w:rFonts w:hint="eastAsia" w:ascii="仿宋" w:hAnsi="仿宋" w:eastAsia="仿宋" w:cs="仿宋"/>
          <w:sz w:val="32"/>
          <w:szCs w:val="32"/>
          <w:lang w:val="en-US" w:eastAsia="zh-CN"/>
        </w:rPr>
        <w:t>脱贫</w:t>
      </w:r>
      <w:bookmarkStart w:id="74" w:name="_GoBack"/>
      <w:bookmarkEnd w:id="74"/>
      <w:r>
        <w:rPr>
          <w:rFonts w:hint="eastAsia" w:ascii="仿宋" w:hAnsi="仿宋" w:eastAsia="仿宋" w:cs="仿宋"/>
          <w:sz w:val="32"/>
          <w:szCs w:val="32"/>
          <w:lang w:val="en-US" w:eastAsia="zh-CN"/>
        </w:rPr>
        <w:t>攻坚、川滇藏青交界地藏区州（市）长第五次联席会议、阿坝州人民防空避难场所建设等重大工作提供后勤及资金保障。内控上厉行节约，严</w:t>
      </w:r>
      <w:r>
        <w:rPr>
          <w:rFonts w:hint="eastAsia" w:ascii="仿宋" w:hAnsi="仿宋" w:eastAsia="仿宋" w:cs="仿宋"/>
          <w:sz w:val="32"/>
          <w:szCs w:val="32"/>
        </w:rPr>
        <w:t>格控制因公出国（境）费用、会议费、车辆购置及运行费用和公务接待经费。</w:t>
      </w:r>
    </w:p>
    <w:p>
      <w:pPr>
        <w:ind w:firstLine="604"/>
        <w:rPr>
          <w:rFonts w:hint="eastAsia" w:ascii="仿宋_GB2312" w:eastAsia="仿宋_GB2312"/>
          <w:sz w:val="32"/>
          <w:szCs w:val="32"/>
          <w:lang w:eastAsia="zh-CN"/>
        </w:rPr>
      </w:pPr>
      <w:r>
        <w:rPr>
          <w:rFonts w:hint="eastAsia" w:ascii="仿宋_GB2312" w:eastAsia="仿宋_GB2312"/>
          <w:sz w:val="32"/>
          <w:szCs w:val="32"/>
          <w:lang w:eastAsia="zh-CN"/>
        </w:rPr>
        <w:t>我单位</w:t>
      </w:r>
      <w:r>
        <w:rPr>
          <w:rFonts w:hint="eastAsia" w:ascii="仿宋_GB2312" w:eastAsia="仿宋_GB2312"/>
          <w:sz w:val="32"/>
          <w:szCs w:val="32"/>
        </w:rPr>
        <w:t>财务管理制度健全，执行制度严格合规，会计核算符合相关规定，资金专款专用，资金支付依据和开支标准合法合规，严格执行政府采购</w:t>
      </w:r>
      <w:r>
        <w:rPr>
          <w:rFonts w:hint="eastAsia" w:ascii="仿宋_GB2312" w:eastAsia="仿宋_GB2312"/>
          <w:sz w:val="32"/>
          <w:szCs w:val="32"/>
          <w:lang w:eastAsia="zh-CN"/>
        </w:rPr>
        <w:t>，并依法接受财政监督。</w:t>
      </w:r>
    </w:p>
    <w:p>
      <w:pPr>
        <w:ind w:firstLine="604"/>
        <w:rPr>
          <w:rFonts w:hint="eastAsia" w:ascii="楷体_GB2312" w:eastAsia="楷体_GB2312"/>
          <w:b/>
          <w:sz w:val="32"/>
          <w:szCs w:val="32"/>
          <w:lang w:val="zh-CN" w:eastAsia="zh-CN"/>
        </w:rPr>
      </w:pPr>
      <w:r>
        <w:rPr>
          <w:rFonts w:hint="eastAsia" w:ascii="楷体_GB2312" w:eastAsia="楷体_GB2312"/>
          <w:b/>
          <w:sz w:val="32"/>
          <w:szCs w:val="32"/>
          <w:lang w:val="zh-CN" w:eastAsia="zh-CN"/>
        </w:rPr>
        <w:t>（</w:t>
      </w:r>
      <w:r>
        <w:rPr>
          <w:rFonts w:hint="eastAsia" w:ascii="楷体_GB2312" w:eastAsia="楷体_GB2312"/>
          <w:b/>
          <w:sz w:val="32"/>
          <w:szCs w:val="32"/>
          <w:lang w:val="en-US" w:eastAsia="zh-CN"/>
        </w:rPr>
        <w:t>四</w:t>
      </w:r>
      <w:r>
        <w:rPr>
          <w:rFonts w:hint="eastAsia" w:ascii="楷体_GB2312" w:eastAsia="楷体_GB2312"/>
          <w:b/>
          <w:sz w:val="32"/>
          <w:szCs w:val="32"/>
          <w:lang w:val="zh-CN" w:eastAsia="zh-CN"/>
        </w:rPr>
        <w:t>）整体绩效</w:t>
      </w:r>
    </w:p>
    <w:p>
      <w:pPr>
        <w:numPr>
          <w:ilvl w:val="0"/>
          <w:numId w:val="0"/>
        </w:numPr>
        <w:ind w:firstLine="640"/>
        <w:rPr>
          <w:rFonts w:hint="eastAsia" w:ascii="仿宋_GB2312" w:eastAsia="仿宋_GB2312"/>
          <w:sz w:val="32"/>
          <w:szCs w:val="32"/>
        </w:rPr>
      </w:pPr>
      <w:r>
        <w:rPr>
          <w:rFonts w:hint="eastAsia" w:ascii="仿宋_GB2312" w:eastAsia="仿宋_GB2312"/>
          <w:sz w:val="32"/>
          <w:szCs w:val="32"/>
          <w:lang w:eastAsia="zh-CN"/>
        </w:rPr>
        <w:t>我单位深入贯彻落实“全面实施绩效管理”的要求，努力提升本单位绩效预算管理业务水平。主动公开绩效结果，加大资金使用效率，提升政府管理水平。及时告知</w:t>
      </w:r>
      <w:r>
        <w:rPr>
          <w:rFonts w:hint="eastAsia" w:ascii="仿宋_GB2312" w:eastAsia="仿宋_GB2312"/>
          <w:sz w:val="32"/>
          <w:szCs w:val="32"/>
        </w:rPr>
        <w:t>各部门（科室）部门预算及</w:t>
      </w:r>
      <w:r>
        <w:rPr>
          <w:rFonts w:hint="eastAsia" w:ascii="仿宋_GB2312" w:eastAsia="仿宋_GB2312"/>
          <w:sz w:val="32"/>
          <w:szCs w:val="32"/>
          <w:lang w:eastAsia="zh-CN"/>
        </w:rPr>
        <w:t>项目支出进度</w:t>
      </w:r>
      <w:r>
        <w:rPr>
          <w:rFonts w:hint="eastAsia" w:ascii="仿宋_GB2312" w:eastAsia="仿宋_GB2312"/>
          <w:sz w:val="32"/>
          <w:szCs w:val="32"/>
        </w:rPr>
        <w:t>。</w:t>
      </w:r>
      <w:r>
        <w:rPr>
          <w:rFonts w:hint="eastAsia" w:ascii="仿宋_GB2312" w:eastAsia="仿宋_GB2312"/>
          <w:sz w:val="32"/>
          <w:szCs w:val="32"/>
          <w:lang w:eastAsia="zh-CN"/>
        </w:rPr>
        <w:t>截至目前，我单位项目支出进度未过半，主要原因为</w:t>
      </w:r>
      <w:r>
        <w:rPr>
          <w:rFonts w:hint="eastAsia" w:ascii="仿宋_GB2312" w:eastAsia="仿宋_GB2312"/>
          <w:sz w:val="32"/>
          <w:szCs w:val="32"/>
        </w:rPr>
        <w:t>专项资金上半年均处于项目进程实施中，资金尚未支付。</w:t>
      </w:r>
    </w:p>
    <w:p>
      <w:pPr>
        <w:numPr>
          <w:ilvl w:val="0"/>
          <w:numId w:val="0"/>
        </w:numPr>
        <w:ind w:firstLine="640"/>
        <w:rPr>
          <w:rFonts w:hint="eastAsia" w:ascii="仿宋_GB2312" w:eastAsia="仿宋_GB2312"/>
          <w:sz w:val="32"/>
          <w:szCs w:val="32"/>
          <w:lang w:eastAsia="zh-CN"/>
        </w:rPr>
      </w:pPr>
    </w:p>
    <w:p>
      <w:pPr>
        <w:numPr>
          <w:ilvl w:val="0"/>
          <w:numId w:val="10"/>
        </w:numPr>
        <w:ind w:left="0" w:leftChars="0" w:firstLine="640" w:firstLineChars="200"/>
        <w:rPr>
          <w:rFonts w:hint="eastAsia" w:ascii="黑体" w:hAnsi="黑体" w:eastAsia="黑体"/>
          <w:sz w:val="32"/>
          <w:szCs w:val="32"/>
        </w:rPr>
      </w:pPr>
      <w:r>
        <w:rPr>
          <w:rFonts w:hint="eastAsia" w:ascii="黑体" w:hAnsi="黑体" w:eastAsia="黑体"/>
          <w:sz w:val="32"/>
          <w:szCs w:val="32"/>
        </w:rPr>
        <w:t>评价结论及建议</w:t>
      </w:r>
    </w:p>
    <w:p>
      <w:pPr>
        <w:numPr>
          <w:ilvl w:val="0"/>
          <w:numId w:val="11"/>
        </w:numPr>
        <w:ind w:leftChars="200" w:firstLine="321" w:firstLineChars="100"/>
        <w:rPr>
          <w:rFonts w:hint="eastAsia" w:ascii="楷体_GB2312" w:eastAsia="楷体_GB2312"/>
          <w:b/>
          <w:sz w:val="32"/>
          <w:szCs w:val="32"/>
          <w:lang w:val="zh-CN" w:eastAsia="zh-CN"/>
        </w:rPr>
      </w:pPr>
      <w:r>
        <w:rPr>
          <w:rFonts w:hint="eastAsia" w:ascii="楷体_GB2312" w:eastAsia="楷体_GB2312"/>
          <w:b/>
          <w:sz w:val="32"/>
          <w:szCs w:val="32"/>
          <w:lang w:val="zh-CN" w:eastAsia="zh-CN"/>
        </w:rPr>
        <w:t>评价结论</w:t>
      </w:r>
    </w:p>
    <w:p>
      <w:pPr>
        <w:numPr>
          <w:ilvl w:val="0"/>
          <w:numId w:val="0"/>
        </w:numPr>
        <w:ind w:firstLine="640" w:firstLineChars="200"/>
        <w:rPr>
          <w:rFonts w:hint="eastAsia" w:ascii="仿宋" w:hAnsi="仿宋" w:eastAsia="仿宋" w:cs="仿宋"/>
          <w:sz w:val="32"/>
          <w:szCs w:val="32"/>
          <w:lang w:val="zh-CN" w:eastAsia="zh-CN"/>
        </w:rPr>
      </w:pPr>
      <w:r>
        <w:rPr>
          <w:rFonts w:hint="eastAsia" w:ascii="仿宋" w:hAnsi="仿宋" w:eastAsia="仿宋" w:cs="仿宋"/>
          <w:sz w:val="32"/>
          <w:szCs w:val="32"/>
          <w:lang w:val="zh-CN" w:eastAsia="zh-CN"/>
        </w:rPr>
        <w:t>综上所诉，</w:t>
      </w:r>
      <w:r>
        <w:rPr>
          <w:rFonts w:hint="eastAsia" w:ascii="仿宋" w:hAnsi="仿宋" w:eastAsia="仿宋" w:cs="仿宋"/>
          <w:sz w:val="32"/>
          <w:szCs w:val="32"/>
          <w:lang w:val="en-US" w:eastAsia="zh-CN"/>
        </w:rPr>
        <w:t>扣除不存在的评价指标分值,总分为96分，我办部门预算支出绩效自评得分94.7分。</w:t>
      </w:r>
    </w:p>
    <w:p>
      <w:pPr>
        <w:numPr>
          <w:ilvl w:val="0"/>
          <w:numId w:val="11"/>
        </w:numPr>
        <w:ind w:leftChars="200" w:firstLine="321" w:firstLineChars="100"/>
        <w:rPr>
          <w:rFonts w:hint="eastAsia" w:ascii="楷体_GB2312" w:eastAsia="楷体_GB2312"/>
          <w:b/>
          <w:sz w:val="32"/>
          <w:szCs w:val="32"/>
          <w:lang w:val="zh-CN" w:eastAsia="zh-CN"/>
        </w:rPr>
      </w:pPr>
      <w:r>
        <w:rPr>
          <w:rFonts w:hint="eastAsia" w:ascii="楷体_GB2312" w:eastAsia="楷体_GB2312"/>
          <w:b/>
          <w:sz w:val="32"/>
          <w:szCs w:val="32"/>
          <w:lang w:val="zh-CN" w:eastAsia="zh-CN"/>
        </w:rPr>
        <w:t>存在的问题</w:t>
      </w:r>
    </w:p>
    <w:p>
      <w:pPr>
        <w:ind w:firstLine="640" w:firstLineChars="200"/>
        <w:rPr>
          <w:rFonts w:hint="eastAsia" w:ascii="仿宋_GB2312" w:eastAsia="仿宋_GB2312"/>
          <w:sz w:val="32"/>
          <w:szCs w:val="32"/>
        </w:rPr>
      </w:pPr>
      <w:r>
        <w:rPr>
          <w:rFonts w:hint="eastAsia" w:ascii="仿宋_GB2312" w:eastAsia="仿宋_GB2312"/>
          <w:sz w:val="32"/>
          <w:szCs w:val="32"/>
        </w:rPr>
        <w:t>今年上半年，由于</w:t>
      </w:r>
      <w:r>
        <w:rPr>
          <w:rFonts w:hint="eastAsia" w:ascii="仿宋_GB2312" w:eastAsia="仿宋_GB2312"/>
          <w:sz w:val="32"/>
          <w:szCs w:val="32"/>
          <w:lang w:val="en-US" w:eastAsia="zh-CN"/>
        </w:rPr>
        <w:t>上半年</w:t>
      </w:r>
      <w:r>
        <w:rPr>
          <w:rFonts w:hint="eastAsia" w:ascii="仿宋_GB2312" w:eastAsia="仿宋_GB2312"/>
          <w:sz w:val="32"/>
          <w:szCs w:val="32"/>
        </w:rPr>
        <w:t>重点在实现人员经费支出、日常经费正常支付、项目组织实施等方面，</w:t>
      </w:r>
      <w:r>
        <w:rPr>
          <w:rFonts w:hint="eastAsia" w:ascii="仿宋_GB2312" w:eastAsia="仿宋_GB2312"/>
          <w:sz w:val="32"/>
          <w:szCs w:val="32"/>
          <w:lang w:val="en-US" w:eastAsia="zh-CN"/>
        </w:rPr>
        <w:t>大多项目都还处于实施阶段，资金尚未支付，造成</w:t>
      </w:r>
      <w:r>
        <w:rPr>
          <w:rFonts w:hint="eastAsia" w:ascii="仿宋_GB2312" w:eastAsia="仿宋_GB2312"/>
          <w:sz w:val="32"/>
          <w:szCs w:val="32"/>
        </w:rPr>
        <w:t>财政资金支出</w:t>
      </w:r>
      <w:r>
        <w:rPr>
          <w:rFonts w:hint="eastAsia" w:ascii="仿宋_GB2312" w:eastAsia="仿宋_GB2312"/>
          <w:sz w:val="32"/>
          <w:szCs w:val="32"/>
          <w:lang w:val="en-US" w:eastAsia="zh-CN"/>
        </w:rPr>
        <w:t>进度过慢</w:t>
      </w:r>
      <w:r>
        <w:rPr>
          <w:rFonts w:hint="eastAsia" w:ascii="仿宋_GB2312" w:eastAsia="仿宋_GB2312"/>
          <w:sz w:val="32"/>
          <w:szCs w:val="32"/>
        </w:rPr>
        <w:t>。</w:t>
      </w:r>
    </w:p>
    <w:p>
      <w:pPr>
        <w:ind w:firstLine="643" w:firstLineChars="200"/>
        <w:rPr>
          <w:rFonts w:hint="eastAsia" w:ascii="楷体_GB2312" w:eastAsia="楷体_GB2312"/>
          <w:b/>
          <w:sz w:val="32"/>
          <w:szCs w:val="32"/>
          <w:lang w:val="zh-CN" w:eastAsia="zh-CN"/>
        </w:rPr>
      </w:pPr>
      <w:r>
        <w:rPr>
          <w:rFonts w:hint="eastAsia" w:ascii="楷体_GB2312" w:eastAsia="楷体_GB2312"/>
          <w:b/>
          <w:sz w:val="32"/>
          <w:szCs w:val="32"/>
          <w:lang w:val="zh-CN" w:eastAsia="zh-CN"/>
        </w:rPr>
        <w:t>（三）改进建议</w:t>
      </w:r>
    </w:p>
    <w:p>
      <w:pPr>
        <w:ind w:firstLine="640" w:firstLineChars="200"/>
        <w:rPr>
          <w:rFonts w:hint="eastAsia" w:ascii="仿宋_GB2312" w:eastAsia="仿宋_GB2312"/>
          <w:sz w:val="32"/>
          <w:szCs w:val="32"/>
        </w:rPr>
      </w:pPr>
      <w:r>
        <w:rPr>
          <w:rFonts w:hint="eastAsia" w:ascii="仿宋_GB2312" w:eastAsia="仿宋_GB2312"/>
          <w:sz w:val="32"/>
          <w:szCs w:val="32"/>
        </w:rPr>
        <w:t>在今后的工作中，州政府办公室将采取有效措施，切实加强财务管理，加快财政资金支出进度：一是继续加强财务管理，严把支出审核关。严格执行国库集中支付、公务卡等相关管理制度，规范各项支出审核，严防超支，不断促进财务管理的法制化、科学化、合理化运行</w:t>
      </w:r>
      <w:r>
        <w:rPr>
          <w:rFonts w:hint="eastAsia" w:ascii="仿宋_GB2312" w:eastAsia="仿宋_GB2312"/>
          <w:sz w:val="32"/>
          <w:szCs w:val="32"/>
          <w:lang w:eastAsia="zh-CN"/>
        </w:rPr>
        <w:t>。</w:t>
      </w:r>
      <w:r>
        <w:rPr>
          <w:rFonts w:hint="eastAsia" w:ascii="仿宋_GB2312" w:eastAsia="仿宋_GB2312"/>
          <w:sz w:val="32"/>
          <w:szCs w:val="32"/>
        </w:rPr>
        <w:t>二是进一步加强预算监管，强化预算</w:t>
      </w:r>
      <w:r>
        <w:rPr>
          <w:rFonts w:hint="eastAsia" w:ascii="仿宋_GB2312" w:eastAsia="仿宋_GB2312"/>
          <w:sz w:val="32"/>
          <w:szCs w:val="32"/>
          <w:lang w:eastAsia="zh-CN"/>
        </w:rPr>
        <w:t>执行。</w:t>
      </w:r>
      <w:r>
        <w:rPr>
          <w:rFonts w:hint="eastAsia" w:ascii="仿宋_GB2312" w:eastAsia="仿宋_GB2312"/>
          <w:sz w:val="32"/>
          <w:szCs w:val="32"/>
        </w:rPr>
        <w:t>三是继续加大项目实施</w:t>
      </w:r>
      <w:r>
        <w:rPr>
          <w:rFonts w:hint="eastAsia" w:ascii="仿宋_GB2312" w:eastAsia="仿宋_GB2312"/>
          <w:sz w:val="32"/>
          <w:szCs w:val="32"/>
          <w:lang w:eastAsia="zh-CN"/>
        </w:rPr>
        <w:t>力度</w:t>
      </w:r>
      <w:r>
        <w:rPr>
          <w:rFonts w:hint="eastAsia" w:ascii="仿宋_GB2312" w:eastAsia="仿宋_GB2312"/>
          <w:sz w:val="32"/>
          <w:szCs w:val="32"/>
        </w:rPr>
        <w:t>，加快支出进度。</w:t>
      </w:r>
    </w:p>
    <w:p>
      <w:pPr>
        <w:spacing w:line="600" w:lineRule="exact"/>
        <w:jc w:val="center"/>
        <w:outlineLvl w:val="0"/>
        <w:rPr>
          <w:rFonts w:ascii="仿宋" w:hAnsi="仿宋" w:eastAsia="仿宋"/>
          <w:b/>
          <w:color w:val="000000"/>
          <w:sz w:val="44"/>
          <w:szCs w:val="44"/>
        </w:rPr>
      </w:pPr>
    </w:p>
    <w:p>
      <w:pPr>
        <w:spacing w:line="600" w:lineRule="exact"/>
        <w:jc w:val="center"/>
        <w:outlineLvl w:val="0"/>
        <w:rPr>
          <w:rFonts w:hint="eastAsia" w:ascii="黑体" w:hAnsi="黑体" w:eastAsia="黑体"/>
          <w:color w:val="000000"/>
          <w:sz w:val="44"/>
          <w:szCs w:val="44"/>
        </w:rPr>
      </w:pPr>
      <w:bookmarkStart w:id="60" w:name="_Toc15396618"/>
      <w:bookmarkStart w:id="61" w:name="_Toc15396619"/>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五部分 附表</w:t>
      </w:r>
      <w:bookmarkEnd w:id="60"/>
    </w:p>
    <w:p>
      <w:pPr>
        <w:pStyle w:val="3"/>
        <w:rPr>
          <w:rFonts w:ascii="仿宋" w:hAnsi="仿宋" w:eastAsia="仿宋"/>
          <w:color w:val="000000"/>
        </w:rPr>
      </w:pPr>
      <w:r>
        <w:rPr>
          <w:rFonts w:hint="eastAsia" w:ascii="仿宋" w:hAnsi="仿宋" w:eastAsia="仿宋"/>
          <w:b w:val="0"/>
          <w:color w:val="000000"/>
        </w:rPr>
        <w:t>一、收</w:t>
      </w:r>
      <w:r>
        <w:rPr>
          <w:rStyle w:val="25"/>
          <w:rFonts w:hint="eastAsia" w:ascii="仿宋" w:hAnsi="仿宋" w:eastAsia="仿宋"/>
          <w:b w:val="0"/>
          <w:bCs w:val="0"/>
        </w:rPr>
        <w:t>入支出决算总表</w:t>
      </w:r>
      <w:bookmarkEnd w:id="61"/>
    </w:p>
    <w:p>
      <w:pPr>
        <w:pStyle w:val="3"/>
        <w:rPr>
          <w:rFonts w:ascii="仿宋" w:hAnsi="仿宋" w:eastAsia="仿宋"/>
          <w:color w:val="000000"/>
        </w:rPr>
      </w:pPr>
      <w:bookmarkStart w:id="62" w:name="_Toc15396620"/>
      <w:r>
        <w:rPr>
          <w:rFonts w:hint="eastAsia" w:ascii="仿宋" w:hAnsi="仿宋" w:eastAsia="仿宋"/>
          <w:b w:val="0"/>
          <w:color w:val="000000"/>
        </w:rPr>
        <w:t>二、收</w:t>
      </w:r>
      <w:r>
        <w:rPr>
          <w:rStyle w:val="25"/>
          <w:rFonts w:hint="eastAsia" w:ascii="仿宋" w:hAnsi="仿宋" w:eastAsia="仿宋"/>
          <w:b w:val="0"/>
          <w:bCs w:val="0"/>
        </w:rPr>
        <w:t>入总表</w:t>
      </w:r>
      <w:bookmarkEnd w:id="62"/>
    </w:p>
    <w:p>
      <w:pPr>
        <w:pStyle w:val="3"/>
        <w:rPr>
          <w:rFonts w:ascii="仿宋" w:hAnsi="仿宋" w:eastAsia="仿宋"/>
          <w:color w:val="000000"/>
        </w:rPr>
      </w:pPr>
      <w:bookmarkStart w:id="63"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出总表</w:t>
      </w:r>
      <w:bookmarkEnd w:id="63"/>
    </w:p>
    <w:p>
      <w:pPr>
        <w:pStyle w:val="3"/>
        <w:rPr>
          <w:rFonts w:ascii="仿宋" w:hAnsi="仿宋" w:eastAsia="仿宋"/>
          <w:b w:val="0"/>
          <w:color w:val="000000"/>
        </w:rPr>
      </w:pPr>
      <w:bookmarkStart w:id="64"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4"/>
    </w:p>
    <w:p>
      <w:pPr>
        <w:pStyle w:val="3"/>
        <w:rPr>
          <w:rFonts w:ascii="仿宋" w:hAnsi="仿宋" w:eastAsia="仿宋"/>
          <w:color w:val="000000"/>
        </w:rPr>
      </w:pPr>
      <w:bookmarkStart w:id="65"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政拨款支出决算明细表（政府经济分类科目）</w:t>
      </w:r>
      <w:bookmarkEnd w:id="65"/>
    </w:p>
    <w:p>
      <w:pPr>
        <w:pStyle w:val="3"/>
        <w:rPr>
          <w:rFonts w:ascii="仿宋" w:hAnsi="仿宋" w:eastAsia="仿宋"/>
          <w:color w:val="000000"/>
        </w:rPr>
      </w:pPr>
      <w:bookmarkStart w:id="66" w:name="_Toc15396624"/>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6"/>
    </w:p>
    <w:p>
      <w:pPr>
        <w:pStyle w:val="3"/>
        <w:rPr>
          <w:rFonts w:ascii="仿宋" w:hAnsi="仿宋" w:eastAsia="仿宋"/>
          <w:color w:val="000000"/>
        </w:rPr>
      </w:pPr>
      <w:bookmarkStart w:id="67"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7"/>
    </w:p>
    <w:p>
      <w:pPr>
        <w:pStyle w:val="3"/>
        <w:rPr>
          <w:rFonts w:ascii="仿宋" w:hAnsi="仿宋" w:eastAsia="仿宋"/>
          <w:color w:val="000000"/>
        </w:rPr>
      </w:pPr>
      <w:bookmarkStart w:id="68"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8"/>
    </w:p>
    <w:p>
      <w:pPr>
        <w:pStyle w:val="3"/>
        <w:rPr>
          <w:rFonts w:ascii="仿宋" w:hAnsi="仿宋" w:eastAsia="仿宋"/>
          <w:color w:val="000000"/>
        </w:rPr>
      </w:pPr>
      <w:bookmarkStart w:id="69"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69"/>
    </w:p>
    <w:p>
      <w:pPr>
        <w:pStyle w:val="3"/>
        <w:rPr>
          <w:rFonts w:ascii="仿宋" w:hAnsi="仿宋" w:eastAsia="仿宋"/>
          <w:color w:val="000000"/>
        </w:rPr>
      </w:pPr>
      <w:bookmarkStart w:id="70"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70"/>
    </w:p>
    <w:p>
      <w:pPr>
        <w:pStyle w:val="3"/>
        <w:rPr>
          <w:rFonts w:ascii="仿宋" w:hAnsi="仿宋" w:eastAsia="仿宋"/>
          <w:color w:val="000000"/>
        </w:rPr>
      </w:pPr>
      <w:bookmarkStart w:id="71"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71"/>
    </w:p>
    <w:p>
      <w:pPr>
        <w:pStyle w:val="3"/>
        <w:rPr>
          <w:rFonts w:ascii="仿宋" w:hAnsi="仿宋" w:eastAsia="仿宋"/>
          <w:color w:val="000000"/>
        </w:rPr>
      </w:pPr>
      <w:bookmarkStart w:id="72"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72"/>
    </w:p>
    <w:p>
      <w:pPr>
        <w:pStyle w:val="3"/>
        <w:rPr>
          <w:rFonts w:ascii="仿宋" w:hAnsi="仿宋" w:eastAsia="仿宋"/>
          <w:color w:val="000000" w:themeColor="text1"/>
          <w14:textFill>
            <w14:solidFill>
              <w14:schemeClr w14:val="tx1"/>
            </w14:solidFill>
          </w14:textFill>
        </w:rPr>
      </w:pPr>
      <w:bookmarkStart w:id="73"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73"/>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8"/>
          <w:jc w:val="center"/>
        </w:pPr>
        <w:r>
          <w:fldChar w:fldCharType="begin"/>
        </w:r>
        <w:r>
          <w:instrText xml:space="preserve">PAGE   \* MERGEFORMAT</w:instrText>
        </w:r>
        <w:r>
          <w:fldChar w:fldCharType="separate"/>
        </w:r>
        <w:r>
          <w:rPr>
            <w:lang w:val="zh-CN"/>
          </w:rPr>
          <w:t>10</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01FD797A"/>
    <w:multiLevelType w:val="singleLevel"/>
    <w:tmpl w:val="01FD797A"/>
    <w:lvl w:ilvl="0" w:tentative="0">
      <w:start w:val="1"/>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6">
    <w:nsid w:val="386D6DF3"/>
    <w:multiLevelType w:val="singleLevel"/>
    <w:tmpl w:val="386D6DF3"/>
    <w:lvl w:ilvl="0" w:tentative="0">
      <w:start w:val="3"/>
      <w:numFmt w:val="decimal"/>
      <w:lvlText w:val="%1."/>
      <w:lvlJc w:val="left"/>
      <w:pPr>
        <w:tabs>
          <w:tab w:val="left" w:pos="312"/>
        </w:tabs>
      </w:pPr>
    </w:lvl>
  </w:abstractNum>
  <w:abstractNum w:abstractNumId="7">
    <w:nsid w:val="4F65A696"/>
    <w:multiLevelType w:val="singleLevel"/>
    <w:tmpl w:val="4F65A696"/>
    <w:lvl w:ilvl="0" w:tentative="0">
      <w:start w:val="1"/>
      <w:numFmt w:val="decimal"/>
      <w:suff w:val="nothing"/>
      <w:lvlText w:val="%1、"/>
      <w:lvlJc w:val="left"/>
    </w:lvl>
  </w:abstractNum>
  <w:abstractNum w:abstractNumId="8">
    <w:nsid w:val="5930D3C7"/>
    <w:multiLevelType w:val="singleLevel"/>
    <w:tmpl w:val="5930D3C7"/>
    <w:lvl w:ilvl="0" w:tentative="0">
      <w:start w:val="3"/>
      <w:numFmt w:val="chineseCounting"/>
      <w:suff w:val="nothing"/>
      <w:lvlText w:val="%1、"/>
      <w:lvlJc w:val="left"/>
    </w:lvl>
  </w:abstractNum>
  <w:abstractNum w:abstractNumId="9">
    <w:nsid w:val="63E78AEE"/>
    <w:multiLevelType w:val="singleLevel"/>
    <w:tmpl w:val="63E78AEE"/>
    <w:lvl w:ilvl="0" w:tentative="0">
      <w:start w:val="1"/>
      <w:numFmt w:val="chineseCounting"/>
      <w:suff w:val="nothing"/>
      <w:lvlText w:val="（%1）"/>
      <w:lvlJc w:val="left"/>
      <w:rPr>
        <w:rFonts w:hint="eastAsia"/>
      </w:rPr>
    </w:lvl>
  </w:abstractNum>
  <w:abstractNum w:abstractNumId="10">
    <w:nsid w:val="78D72DD4"/>
    <w:multiLevelType w:val="singleLevel"/>
    <w:tmpl w:val="78D72DD4"/>
    <w:lvl w:ilvl="0" w:tentative="0">
      <w:start w:val="3"/>
      <w:numFmt w:val="decimal"/>
      <w:lvlText w:val="%1."/>
      <w:lvlJc w:val="left"/>
      <w:pPr>
        <w:tabs>
          <w:tab w:val="left" w:pos="312"/>
        </w:tabs>
      </w:pPr>
    </w:lvl>
  </w:abstractNum>
  <w:num w:numId="1">
    <w:abstractNumId w:val="7"/>
  </w:num>
  <w:num w:numId="2">
    <w:abstractNumId w:val="4"/>
  </w:num>
  <w:num w:numId="3">
    <w:abstractNumId w:val="10"/>
  </w:num>
  <w:num w:numId="4">
    <w:abstractNumId w:val="0"/>
  </w:num>
  <w:num w:numId="5">
    <w:abstractNumId w:val="5"/>
  </w:num>
  <w:num w:numId="6">
    <w:abstractNumId w:val="2"/>
  </w:num>
  <w:num w:numId="7">
    <w:abstractNumId w:val="6"/>
  </w:num>
  <w:num w:numId="8">
    <w:abstractNumId w:val="1"/>
  </w:num>
  <w:num w:numId="9">
    <w:abstractNumId w:val="9"/>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41C0"/>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00A4"/>
    <w:rsid w:val="00295495"/>
    <w:rsid w:val="002B2613"/>
    <w:rsid w:val="002F1818"/>
    <w:rsid w:val="002F567B"/>
    <w:rsid w:val="003216A9"/>
    <w:rsid w:val="0037013F"/>
    <w:rsid w:val="00371F8B"/>
    <w:rsid w:val="00380C92"/>
    <w:rsid w:val="003A484F"/>
    <w:rsid w:val="003B0BE0"/>
    <w:rsid w:val="003B0C1B"/>
    <w:rsid w:val="003B688C"/>
    <w:rsid w:val="003C0291"/>
    <w:rsid w:val="003C104F"/>
    <w:rsid w:val="003C39AE"/>
    <w:rsid w:val="003C7B60"/>
    <w:rsid w:val="003D1FB2"/>
    <w:rsid w:val="003D66DA"/>
    <w:rsid w:val="003E1310"/>
    <w:rsid w:val="003E6F55"/>
    <w:rsid w:val="0040503F"/>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47083"/>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759C4"/>
    <w:rsid w:val="00676A35"/>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A2E13"/>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24A2B"/>
    <w:rsid w:val="00B310B9"/>
    <w:rsid w:val="00B35F3F"/>
    <w:rsid w:val="00B36CBB"/>
    <w:rsid w:val="00B425E0"/>
    <w:rsid w:val="00B440AA"/>
    <w:rsid w:val="00B44B70"/>
    <w:rsid w:val="00B53C56"/>
    <w:rsid w:val="00B77EA6"/>
    <w:rsid w:val="00B81598"/>
    <w:rsid w:val="00B841F1"/>
    <w:rsid w:val="00B944D6"/>
    <w:rsid w:val="00BB0682"/>
    <w:rsid w:val="00BB4DF0"/>
    <w:rsid w:val="00BC289F"/>
    <w:rsid w:val="00BC5361"/>
    <w:rsid w:val="00BC5460"/>
    <w:rsid w:val="00BC6B50"/>
    <w:rsid w:val="00BD0E25"/>
    <w:rsid w:val="00BF5BD6"/>
    <w:rsid w:val="00C03E31"/>
    <w:rsid w:val="00C159EF"/>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12650"/>
    <w:rsid w:val="00D20620"/>
    <w:rsid w:val="00D26091"/>
    <w:rsid w:val="00D34E7C"/>
    <w:rsid w:val="00D35489"/>
    <w:rsid w:val="00D51276"/>
    <w:rsid w:val="00D7035F"/>
    <w:rsid w:val="00DA0A2C"/>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23002AB"/>
    <w:rsid w:val="02E1730F"/>
    <w:rsid w:val="043E4C13"/>
    <w:rsid w:val="04601E12"/>
    <w:rsid w:val="04CF36B4"/>
    <w:rsid w:val="05C25B80"/>
    <w:rsid w:val="05E45580"/>
    <w:rsid w:val="068951A7"/>
    <w:rsid w:val="06E27DD7"/>
    <w:rsid w:val="071A426C"/>
    <w:rsid w:val="079348CC"/>
    <w:rsid w:val="07D36549"/>
    <w:rsid w:val="07E5395F"/>
    <w:rsid w:val="08F67BF7"/>
    <w:rsid w:val="0A7E337D"/>
    <w:rsid w:val="0CA74428"/>
    <w:rsid w:val="0CCD0C03"/>
    <w:rsid w:val="0CFB0A8A"/>
    <w:rsid w:val="0D8172A3"/>
    <w:rsid w:val="0E1815C8"/>
    <w:rsid w:val="0EAA5C5A"/>
    <w:rsid w:val="0EB302A1"/>
    <w:rsid w:val="0EC403E8"/>
    <w:rsid w:val="0F2121FB"/>
    <w:rsid w:val="0F730F9A"/>
    <w:rsid w:val="10842AE1"/>
    <w:rsid w:val="10AA5720"/>
    <w:rsid w:val="10C055FF"/>
    <w:rsid w:val="11251ED6"/>
    <w:rsid w:val="11AD5A15"/>
    <w:rsid w:val="11DA19EF"/>
    <w:rsid w:val="12754917"/>
    <w:rsid w:val="1308721F"/>
    <w:rsid w:val="13FB2AD9"/>
    <w:rsid w:val="14B45E63"/>
    <w:rsid w:val="16BB723D"/>
    <w:rsid w:val="175B5220"/>
    <w:rsid w:val="18266E24"/>
    <w:rsid w:val="185B4C17"/>
    <w:rsid w:val="19586DBB"/>
    <w:rsid w:val="197E3626"/>
    <w:rsid w:val="1A002162"/>
    <w:rsid w:val="1A6C163D"/>
    <w:rsid w:val="1B3A7ABE"/>
    <w:rsid w:val="1B97182E"/>
    <w:rsid w:val="1B9E3D8A"/>
    <w:rsid w:val="1C6D1313"/>
    <w:rsid w:val="1E284F2D"/>
    <w:rsid w:val="1E420C3F"/>
    <w:rsid w:val="1E48348B"/>
    <w:rsid w:val="1EC86353"/>
    <w:rsid w:val="1EE73062"/>
    <w:rsid w:val="1FF24AAB"/>
    <w:rsid w:val="21715B9A"/>
    <w:rsid w:val="22311A74"/>
    <w:rsid w:val="224A0538"/>
    <w:rsid w:val="22750CD4"/>
    <w:rsid w:val="2371487D"/>
    <w:rsid w:val="240371BF"/>
    <w:rsid w:val="24842D35"/>
    <w:rsid w:val="24CE2829"/>
    <w:rsid w:val="25002D08"/>
    <w:rsid w:val="25361855"/>
    <w:rsid w:val="25793C80"/>
    <w:rsid w:val="26393A97"/>
    <w:rsid w:val="263C55EC"/>
    <w:rsid w:val="27576F14"/>
    <w:rsid w:val="27710D5F"/>
    <w:rsid w:val="2822183A"/>
    <w:rsid w:val="287A776B"/>
    <w:rsid w:val="288A51BE"/>
    <w:rsid w:val="29893551"/>
    <w:rsid w:val="29FD04D3"/>
    <w:rsid w:val="2A3753A8"/>
    <w:rsid w:val="2A7863AA"/>
    <w:rsid w:val="2AE352DA"/>
    <w:rsid w:val="2BA3678D"/>
    <w:rsid w:val="2C36234E"/>
    <w:rsid w:val="2C4E325A"/>
    <w:rsid w:val="2C536B21"/>
    <w:rsid w:val="2C981E3E"/>
    <w:rsid w:val="2CC441EC"/>
    <w:rsid w:val="2CF53180"/>
    <w:rsid w:val="2D7860CA"/>
    <w:rsid w:val="2DDF321A"/>
    <w:rsid w:val="2E344C7E"/>
    <w:rsid w:val="2EAB657C"/>
    <w:rsid w:val="2F8C0ED7"/>
    <w:rsid w:val="319F7F4E"/>
    <w:rsid w:val="32D3007A"/>
    <w:rsid w:val="33057D8B"/>
    <w:rsid w:val="33AA61A1"/>
    <w:rsid w:val="34EA6956"/>
    <w:rsid w:val="354F134F"/>
    <w:rsid w:val="3567173A"/>
    <w:rsid w:val="35815A27"/>
    <w:rsid w:val="358D6C31"/>
    <w:rsid w:val="378731D3"/>
    <w:rsid w:val="383D334F"/>
    <w:rsid w:val="385B2116"/>
    <w:rsid w:val="38C37F12"/>
    <w:rsid w:val="39DE1B1E"/>
    <w:rsid w:val="3B47324A"/>
    <w:rsid w:val="3C223539"/>
    <w:rsid w:val="3D3673A8"/>
    <w:rsid w:val="3D631537"/>
    <w:rsid w:val="3E9441A7"/>
    <w:rsid w:val="3EC4545A"/>
    <w:rsid w:val="3FAB3F97"/>
    <w:rsid w:val="3FF87917"/>
    <w:rsid w:val="400301DF"/>
    <w:rsid w:val="401D6D1E"/>
    <w:rsid w:val="40441CD0"/>
    <w:rsid w:val="412648F7"/>
    <w:rsid w:val="41D64E14"/>
    <w:rsid w:val="42407D1A"/>
    <w:rsid w:val="43A941DF"/>
    <w:rsid w:val="44D14963"/>
    <w:rsid w:val="44D3044B"/>
    <w:rsid w:val="469D4446"/>
    <w:rsid w:val="47693C2B"/>
    <w:rsid w:val="495A2761"/>
    <w:rsid w:val="4A223C7E"/>
    <w:rsid w:val="4A676625"/>
    <w:rsid w:val="4A696211"/>
    <w:rsid w:val="4B6A4556"/>
    <w:rsid w:val="4C1118F0"/>
    <w:rsid w:val="4DCC1F46"/>
    <w:rsid w:val="4F6E331E"/>
    <w:rsid w:val="4FE015FC"/>
    <w:rsid w:val="501E58DE"/>
    <w:rsid w:val="51050403"/>
    <w:rsid w:val="5112500D"/>
    <w:rsid w:val="519F6341"/>
    <w:rsid w:val="51CC164C"/>
    <w:rsid w:val="51D75D13"/>
    <w:rsid w:val="51E36239"/>
    <w:rsid w:val="5210264F"/>
    <w:rsid w:val="521A488A"/>
    <w:rsid w:val="521C500A"/>
    <w:rsid w:val="52A478EB"/>
    <w:rsid w:val="52F36550"/>
    <w:rsid w:val="535D1D96"/>
    <w:rsid w:val="53C700D2"/>
    <w:rsid w:val="546E741E"/>
    <w:rsid w:val="550B692C"/>
    <w:rsid w:val="55686189"/>
    <w:rsid w:val="574933D7"/>
    <w:rsid w:val="577E7FD0"/>
    <w:rsid w:val="57815EBF"/>
    <w:rsid w:val="57E64C14"/>
    <w:rsid w:val="583B3846"/>
    <w:rsid w:val="58766736"/>
    <w:rsid w:val="588F57A1"/>
    <w:rsid w:val="589B395F"/>
    <w:rsid w:val="596F586E"/>
    <w:rsid w:val="59765408"/>
    <w:rsid w:val="5A5A73ED"/>
    <w:rsid w:val="5B680900"/>
    <w:rsid w:val="5BC81751"/>
    <w:rsid w:val="5D181542"/>
    <w:rsid w:val="5DC37E74"/>
    <w:rsid w:val="5E2D5284"/>
    <w:rsid w:val="5E81723F"/>
    <w:rsid w:val="5E8277BF"/>
    <w:rsid w:val="5E87475D"/>
    <w:rsid w:val="5EAF7173"/>
    <w:rsid w:val="5EB30705"/>
    <w:rsid w:val="5F422BEA"/>
    <w:rsid w:val="5F584FE8"/>
    <w:rsid w:val="5FA61A61"/>
    <w:rsid w:val="61C20AC0"/>
    <w:rsid w:val="6318484B"/>
    <w:rsid w:val="681D681A"/>
    <w:rsid w:val="686512B9"/>
    <w:rsid w:val="68D041D1"/>
    <w:rsid w:val="6925704D"/>
    <w:rsid w:val="69303D57"/>
    <w:rsid w:val="69435C9A"/>
    <w:rsid w:val="694A624C"/>
    <w:rsid w:val="69E132A1"/>
    <w:rsid w:val="6A6C75A6"/>
    <w:rsid w:val="6A8C4FEA"/>
    <w:rsid w:val="6C272236"/>
    <w:rsid w:val="6C293B5F"/>
    <w:rsid w:val="6C6E3758"/>
    <w:rsid w:val="6CF304BF"/>
    <w:rsid w:val="6D1C198A"/>
    <w:rsid w:val="6EEA518B"/>
    <w:rsid w:val="70A642D7"/>
    <w:rsid w:val="71A12E95"/>
    <w:rsid w:val="71D452DB"/>
    <w:rsid w:val="74C70B47"/>
    <w:rsid w:val="75F32FC4"/>
    <w:rsid w:val="766D1496"/>
    <w:rsid w:val="7709409F"/>
    <w:rsid w:val="77433F38"/>
    <w:rsid w:val="777E2099"/>
    <w:rsid w:val="77987EB0"/>
    <w:rsid w:val="7831022F"/>
    <w:rsid w:val="78830398"/>
    <w:rsid w:val="79114142"/>
    <w:rsid w:val="7A5A006F"/>
    <w:rsid w:val="7A707BCD"/>
    <w:rsid w:val="7BA4534D"/>
    <w:rsid w:val="7BC6647D"/>
    <w:rsid w:val="7CEE15BB"/>
    <w:rsid w:val="7D210A3F"/>
    <w:rsid w:val="7D7457AC"/>
    <w:rsid w:val="7E347559"/>
    <w:rsid w:val="7E536F00"/>
    <w:rsid w:val="7E771F55"/>
    <w:rsid w:val="7EDA5896"/>
    <w:rsid w:val="7EEF2760"/>
    <w:rsid w:val="7F765CDE"/>
    <w:rsid w:val="7FA17BF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字符"/>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字符"/>
    <w:basedOn w:val="13"/>
    <w:link w:val="7"/>
    <w:semiHidden/>
    <w:qFormat/>
    <w:uiPriority w:val="99"/>
    <w:rPr>
      <w:rFonts w:ascii="Times New Roman" w:hAnsi="Times New Roman"/>
      <w:kern w:val="2"/>
      <w:sz w:val="18"/>
      <w:szCs w:val="18"/>
    </w:rPr>
  </w:style>
  <w:style w:type="character" w:customStyle="1" w:styleId="28">
    <w:name w:val="标题 3 字符"/>
    <w:basedOn w:val="13"/>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收、支决算结构图</a:t>
            </a:r>
          </a:p>
        </c:rich>
      </c:tx>
      <c:layout/>
      <c:overlay val="0"/>
      <c:spPr>
        <a:noFill/>
        <a:ln>
          <a:noFill/>
        </a:ln>
        <a:effectLst/>
      </c:spPr>
    </c:title>
    <c:autoTitleDeleted val="0"/>
    <c:plotArea>
      <c:layout>
        <c:manualLayout>
          <c:layoutTarget val="inner"/>
          <c:xMode val="edge"/>
          <c:yMode val="edge"/>
          <c:x val="0.0695155279503106"/>
          <c:y val="0.229130434782609"/>
          <c:w val="0.928372670807453"/>
          <c:h val="0.630304347826087"/>
        </c:manualLayout>
      </c:layout>
      <c:barChart>
        <c:barDir val="col"/>
        <c:grouping val="clustered"/>
        <c:varyColors val="0"/>
        <c:ser>
          <c:idx val="0"/>
          <c:order val="0"/>
          <c:tx>
            <c:strRef>
              <c:f>Sheet1!$B$1</c:f>
              <c:strCache>
                <c:ptCount val="1"/>
                <c:pt idx="0">
                  <c:v>总收入</c:v>
                </c:pt>
              </c:strCache>
            </c:strRef>
          </c:tx>
          <c:spPr>
            <a:solidFill>
              <a:schemeClr val="accent1"/>
            </a:solidFill>
            <a:ln>
              <a:noFill/>
            </a:ln>
            <a:effectLst/>
          </c:spPr>
          <c:invertIfNegative val="0"/>
          <c:dLbls>
            <c:delete val="1"/>
          </c:dLbls>
          <c:cat>
            <c:strRef>
              <c:f>Sheet1!$A$2:$A$3</c:f>
              <c:strCache>
                <c:ptCount val="2"/>
                <c:pt idx="0">
                  <c:v>2018年 </c:v>
                </c:pt>
                <c:pt idx="1">
                  <c:v>2019年</c:v>
                </c:pt>
              </c:strCache>
            </c:strRef>
          </c:cat>
          <c:val>
            <c:numRef>
              <c:f>Sheet1!$B$2:$B$3</c:f>
              <c:numCache>
                <c:formatCode>General</c:formatCode>
                <c:ptCount val="2"/>
                <c:pt idx="0">
                  <c:v>4733.98</c:v>
                </c:pt>
                <c:pt idx="1">
                  <c:v>4327.74</c:v>
                </c:pt>
              </c:numCache>
            </c:numRef>
          </c:val>
        </c:ser>
        <c:ser>
          <c:idx val="1"/>
          <c:order val="1"/>
          <c:tx>
            <c:strRef>
              <c:f>Sheet1!$C$1</c:f>
              <c:strCache>
                <c:ptCount val="1"/>
                <c:pt idx="0">
                  <c:v>总支出</c:v>
                </c:pt>
              </c:strCache>
            </c:strRef>
          </c:tx>
          <c:spPr>
            <a:solidFill>
              <a:schemeClr val="accent2"/>
            </a:solidFill>
            <a:ln>
              <a:noFill/>
            </a:ln>
            <a:effectLst/>
          </c:spPr>
          <c:invertIfNegative val="0"/>
          <c:dLbls>
            <c:delete val="1"/>
          </c:dLbls>
          <c:cat>
            <c:strRef>
              <c:f>Sheet1!$A$2:$A$3</c:f>
              <c:strCache>
                <c:ptCount val="2"/>
                <c:pt idx="0">
                  <c:v>2018年 </c:v>
                </c:pt>
                <c:pt idx="1">
                  <c:v>2019年</c:v>
                </c:pt>
              </c:strCache>
            </c:strRef>
          </c:cat>
          <c:val>
            <c:numRef>
              <c:f>Sheet1!$C$2:$C$3</c:f>
              <c:numCache>
                <c:formatCode>General</c:formatCode>
                <c:ptCount val="2"/>
                <c:pt idx="0">
                  <c:v>3849.99</c:v>
                </c:pt>
                <c:pt idx="1">
                  <c:v>3752.37</c:v>
                </c:pt>
              </c:numCache>
            </c:numRef>
          </c:val>
        </c:ser>
        <c:dLbls>
          <c:showLegendKey val="0"/>
          <c:showVal val="0"/>
          <c:showCatName val="0"/>
          <c:showSerName val="0"/>
          <c:showPercent val="0"/>
          <c:showBubbleSize val="0"/>
        </c:dLbls>
        <c:gapWidth val="219"/>
        <c:overlap val="-27"/>
        <c:axId val="451407327"/>
        <c:axId val="337350686"/>
      </c:barChart>
      <c:catAx>
        <c:axId val="45140732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7350686"/>
        <c:crosses val="autoZero"/>
        <c:auto val="1"/>
        <c:lblAlgn val="ctr"/>
        <c:lblOffset val="100"/>
        <c:noMultiLvlLbl val="0"/>
      </c:catAx>
      <c:valAx>
        <c:axId val="337350686"/>
        <c:scaling>
          <c:orientation val="minMax"/>
          <c:max val="45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140732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Sheet1!$B$1</c:f>
              <c:strCache>
                <c:ptCount val="1"/>
                <c:pt idx="0">
                  <c:v>收入决算结构图</c:v>
                </c:pt>
              </c:strCache>
            </c:strRef>
          </c:tx>
          <c:spPr/>
          <c:explosion val="0"/>
          <c:dPt>
            <c:idx val="0"/>
            <c:bubble3D val="0"/>
            <c:explosion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其他收入</c:v>
                </c:pt>
              </c:strCache>
            </c:strRef>
          </c:cat>
          <c:val>
            <c:numRef>
              <c:f>Sheet1!$B$2:$B$3</c:f>
              <c:numCache>
                <c:formatCode>General</c:formatCode>
                <c:ptCount val="2"/>
                <c:pt idx="0">
                  <c:v>3290.43</c:v>
                </c:pt>
                <c:pt idx="1">
                  <c:v>105.78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0319909672563041"/>
                  <c:y val="-0.1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3476.68</c:v>
                </c:pt>
                <c:pt idx="1">
                  <c:v>275.69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Sheet1!$A$2</c:f>
              <c:strCache>
                <c:ptCount val="1"/>
                <c:pt idx="0">
                  <c:v>2018年 </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Sheet1!$B$1:$C$1</c:f>
              <c:strCache>
                <c:ptCount val="2"/>
                <c:pt idx="0">
                  <c:v>一般公共预算财政拨款收入</c:v>
                </c:pt>
                <c:pt idx="1">
                  <c:v>一般公共预算财政拨款支出</c:v>
                </c:pt>
              </c:strCache>
            </c:strRef>
          </c:cat>
          <c:val>
            <c:numRef>
              <c:f>Sheet1!$B$2:$C$2</c:f>
              <c:numCache>
                <c:formatCode>General</c:formatCode>
                <c:ptCount val="2"/>
                <c:pt idx="0">
                  <c:v>4320.49</c:v>
                </c:pt>
                <c:pt idx="1">
                  <c:v>3842.75</c:v>
                </c:pt>
              </c:numCache>
            </c:numRef>
          </c:val>
        </c:ser>
        <c:ser>
          <c:idx val="1"/>
          <c:order val="1"/>
          <c:tx>
            <c:strRef>
              <c:f>Sheet1!$A$3</c:f>
              <c:strCache>
                <c:ptCount val="1"/>
                <c:pt idx="0">
                  <c:v>2019年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Sheet1!$B$1:$C$1</c:f>
              <c:strCache>
                <c:ptCount val="2"/>
                <c:pt idx="0">
                  <c:v>一般公共预算财政拨款收入</c:v>
                </c:pt>
                <c:pt idx="1">
                  <c:v>一般公共预算财政拨款支出</c:v>
                </c:pt>
              </c:strCache>
            </c:strRef>
          </c:cat>
          <c:val>
            <c:numRef>
              <c:f>Sheet1!$B$3:$C$3</c:f>
              <c:numCache>
                <c:formatCode>General</c:formatCode>
                <c:ptCount val="2"/>
                <c:pt idx="0">
                  <c:v>3184.66</c:v>
                </c:pt>
                <c:pt idx="1">
                  <c:v>3646.6</c:v>
                </c:pt>
              </c:numCache>
            </c:numRef>
          </c:val>
        </c:ser>
        <c:dLbls>
          <c:showLegendKey val="0"/>
          <c:showVal val="0"/>
          <c:showCatName val="0"/>
          <c:showSerName val="0"/>
          <c:showPercent val="0"/>
          <c:showBubbleSize val="0"/>
        </c:dLbls>
        <c:gapWidth val="219"/>
        <c:overlap val="-27"/>
        <c:axId val="627883629"/>
        <c:axId val="176710766"/>
      </c:barChart>
      <c:catAx>
        <c:axId val="62788362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6710766"/>
        <c:crosses val="autoZero"/>
        <c:auto val="1"/>
        <c:lblAlgn val="ctr"/>
        <c:lblOffset val="100"/>
        <c:noMultiLvlLbl val="0"/>
      </c:catAx>
      <c:valAx>
        <c:axId val="176710766"/>
        <c:scaling>
          <c:orientation val="minMax"/>
          <c:max val="45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788362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512867647058824"/>
          <c:y val="0.177797241077294"/>
          <c:w val="0.924290966386555"/>
          <c:h val="0.627633019487629"/>
        </c:manualLayout>
      </c:layout>
      <c:barChart>
        <c:barDir val="col"/>
        <c:grouping val="clustered"/>
        <c:varyColors val="0"/>
        <c:ser>
          <c:idx val="0"/>
          <c:order val="0"/>
          <c:tx>
            <c:strRef>
              <c:f>Sheet1!$B$1</c:f>
              <c:strCache>
                <c:ptCount val="1"/>
                <c:pt idx="0">
                  <c:v>一般公共预算财政拨款支出决算变动情况</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Sheet1!$B$2:$B$3</c:f>
              <c:numCache>
                <c:formatCode>General</c:formatCode>
                <c:ptCount val="2"/>
                <c:pt idx="0">
                  <c:v>3842.75</c:v>
                </c:pt>
                <c:pt idx="1">
                  <c:v>3646.6</c:v>
                </c:pt>
              </c:numCache>
            </c:numRef>
          </c:val>
        </c:ser>
        <c:dLbls>
          <c:showLegendKey val="0"/>
          <c:showVal val="0"/>
          <c:showCatName val="0"/>
          <c:showSerName val="0"/>
          <c:showPercent val="0"/>
          <c:showBubbleSize val="0"/>
        </c:dLbls>
        <c:gapWidth val="219"/>
        <c:overlap val="-27"/>
        <c:axId val="614650427"/>
        <c:axId val="710363603"/>
      </c:barChart>
      <c:catAx>
        <c:axId val="61465042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0363603"/>
        <c:crosses val="autoZero"/>
        <c:auto val="1"/>
        <c:lblAlgn val="ctr"/>
        <c:lblOffset val="100"/>
        <c:noMultiLvlLbl val="0"/>
      </c:catAx>
      <c:valAx>
        <c:axId val="710363603"/>
        <c:scaling>
          <c:orientation val="minMax"/>
          <c:max val="45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465042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1"/>
              <c:layout>
                <c:manualLayout>
                  <c:x val="-0.0209736443574976"/>
                  <c:y val="0.044190824567072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03313939"/>
                  <c:y val="0.0049657079999966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50300872"/>
                  <c:y val="-0.041690332794726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c:v>
                </c:pt>
                <c:pt idx="1">
                  <c:v>社会保障和就业</c:v>
                </c:pt>
                <c:pt idx="2">
                  <c:v>医疗卫生支出</c:v>
                </c:pt>
                <c:pt idx="3">
                  <c:v>住房保障支出</c:v>
                </c:pt>
              </c:strCache>
            </c:strRef>
          </c:cat>
          <c:val>
            <c:numRef>
              <c:f>Sheet1!$B$2:$B$5</c:f>
              <c:numCache>
                <c:formatCode>General</c:formatCode>
                <c:ptCount val="4"/>
                <c:pt idx="0">
                  <c:v>3150.92</c:v>
                </c:pt>
                <c:pt idx="1">
                  <c:v>237.58</c:v>
                </c:pt>
                <c:pt idx="2">
                  <c:v>105.17</c:v>
                </c:pt>
                <c:pt idx="3">
                  <c:v>152.93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explosion val="0"/>
            <c:spPr>
              <a:gradFill>
                <a:gsLst>
                  <a:gs pos="0">
                    <a:srgbClr val="FE4444"/>
                  </a:gs>
                  <a:gs pos="100000">
                    <a:srgbClr val="832B2B"/>
                  </a:gs>
                </a:gsLst>
                <a:lin ang="5400000" scaled="0"/>
              </a:gradFill>
              <a:ln w="19050">
                <a:solidFill>
                  <a:schemeClr val="lt1"/>
                </a:solidFill>
              </a:ln>
              <a:effectLst/>
            </c:spPr>
          </c:dPt>
          <c:dPt>
            <c:idx val="1"/>
            <c:bubble3D val="0"/>
            <c:explosion val="0"/>
            <c:spPr>
              <a:solidFill>
                <a:schemeClr val="accent1"/>
              </a:solidFill>
              <a:ln w="19050">
                <a:solidFill>
                  <a:schemeClr val="lt1"/>
                </a:solidFill>
              </a:ln>
              <a:effectLst/>
            </c:spPr>
          </c:dPt>
          <c:dPt>
            <c:idx val="2"/>
            <c:bubble3D val="0"/>
            <c:explosion val="0"/>
            <c:spPr>
              <a:solidFill>
                <a:schemeClr val="accent3"/>
              </a:solidFill>
              <a:ln w="19050">
                <a:solidFill>
                  <a:schemeClr val="lt1"/>
                </a:solidFill>
              </a:ln>
              <a:effectLst/>
            </c:spPr>
          </c:dPt>
          <c:dLbls>
            <c:dLbl>
              <c:idx val="2"/>
              <c:layout>
                <c:manualLayout>
                  <c:x val="-0.0703521624491327"/>
                  <c:y val="0.0052022662062350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25.1</c:v>
                </c:pt>
                <c:pt idx="1">
                  <c:v>399.67</c:v>
                </c:pt>
                <c:pt idx="2">
                  <c:v>19.8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19061F-9DEB-4A9F-88AA-EE9BD1D1E5F1}">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1451</Words>
  <Characters>8277</Characters>
  <Lines>68</Lines>
  <Paragraphs>19</Paragraphs>
  <TotalTime>0</TotalTime>
  <ScaleCrop>false</ScaleCrop>
  <LinksUpToDate>false</LinksUpToDate>
  <CharactersWithSpaces>9709</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Jayk</cp:lastModifiedBy>
  <cp:lastPrinted>2020-09-29T10:36:00Z</cp:lastPrinted>
  <dcterms:modified xsi:type="dcterms:W3CDTF">2021-06-24T02:30:17Z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7446358C982B43FBBF5486ACE152A102</vt:lpwstr>
  </property>
</Properties>
</file>