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spacing w:line="560" w:lineRule="exact"/>
        <w:textAlignment w:val="auto"/>
        <w:rPr>
          <w:rFonts w:hint="default" w:ascii="Times New Roman" w:hAnsi="Times New Roman" w:cs="Times New Roman"/>
        </w:rPr>
      </w:pPr>
      <w:bookmarkStart w:id="0" w:name="_Toc15378441"/>
      <w:bookmarkStart w:id="1" w:name="_Toc15396475"/>
      <w:bookmarkStart w:id="2" w:name="_Toc15377193"/>
      <w:bookmarkStart w:id="3" w:name="_Toc15396597"/>
      <w:bookmarkStart w:id="4" w:name="_Toc15377425"/>
      <w:bookmarkStart w:id="5" w:name="_Toc15306267"/>
    </w:p>
    <w:p>
      <w:pPr>
        <w:pStyle w:val="5"/>
        <w:pageBreakBefore w:val="0"/>
        <w:kinsoku/>
        <w:wordWrap/>
        <w:overflowPunct/>
        <w:topLinePunct w:val="0"/>
        <w:autoSpaceDE/>
        <w:autoSpaceDN/>
        <w:bidi w:val="0"/>
        <w:spacing w:before="93" w:line="560" w:lineRule="exact"/>
        <w:jc w:val="center"/>
        <w:textAlignment w:val="auto"/>
        <w:rPr>
          <w:rFonts w:hint="default" w:ascii="Times New Roman" w:hAnsi="Times New Roman" w:eastAsia="方正小标宋简体" w:cs="Times New Roman"/>
          <w:kern w:val="2"/>
          <w:sz w:val="44"/>
          <w:szCs w:val="44"/>
        </w:rPr>
      </w:pPr>
    </w:p>
    <w:p>
      <w:pPr>
        <w:pStyle w:val="5"/>
        <w:pageBreakBefore w:val="0"/>
        <w:kinsoku/>
        <w:wordWrap/>
        <w:overflowPunct/>
        <w:topLinePunct w:val="0"/>
        <w:autoSpaceDE/>
        <w:autoSpaceDN/>
        <w:bidi w:val="0"/>
        <w:spacing w:before="93" w:line="560" w:lineRule="exact"/>
        <w:jc w:val="center"/>
        <w:textAlignment w:val="auto"/>
        <w:rPr>
          <w:rFonts w:hint="default" w:ascii="Times New Roman" w:hAnsi="Times New Roman" w:eastAsia="方正小标宋简体" w:cs="Times New Roman"/>
          <w:kern w:val="2"/>
          <w:sz w:val="44"/>
          <w:szCs w:val="44"/>
        </w:rPr>
      </w:pPr>
    </w:p>
    <w:p>
      <w:pPr>
        <w:pStyle w:val="5"/>
        <w:pageBreakBefore w:val="0"/>
        <w:kinsoku/>
        <w:wordWrap/>
        <w:overflowPunct/>
        <w:topLinePunct w:val="0"/>
        <w:autoSpaceDE/>
        <w:autoSpaceDN/>
        <w:bidi w:val="0"/>
        <w:spacing w:before="93" w:line="560" w:lineRule="exact"/>
        <w:jc w:val="center"/>
        <w:textAlignment w:val="auto"/>
        <w:rPr>
          <w:rFonts w:hint="default" w:ascii="Times New Roman" w:hAnsi="Times New Roman" w:eastAsia="方正小标宋简体" w:cs="Times New Roman"/>
          <w:kern w:val="2"/>
          <w:sz w:val="44"/>
          <w:szCs w:val="44"/>
        </w:rPr>
      </w:pPr>
    </w:p>
    <w:p>
      <w:pPr>
        <w:pStyle w:val="5"/>
        <w:pageBreakBefore w:val="0"/>
        <w:kinsoku/>
        <w:wordWrap/>
        <w:overflowPunct/>
        <w:topLinePunct w:val="0"/>
        <w:autoSpaceDE/>
        <w:autoSpaceDN/>
        <w:bidi w:val="0"/>
        <w:spacing w:before="93" w:line="560" w:lineRule="exact"/>
        <w:jc w:val="center"/>
        <w:textAlignment w:val="auto"/>
        <w:rPr>
          <w:rFonts w:hint="default" w:ascii="Times New Roman" w:hAnsi="Times New Roman" w:eastAsia="方正小标宋简体" w:cs="Times New Roman"/>
          <w:kern w:val="2"/>
          <w:sz w:val="44"/>
          <w:szCs w:val="44"/>
        </w:rPr>
      </w:pPr>
    </w:p>
    <w:bookmarkEnd w:id="0"/>
    <w:bookmarkEnd w:id="1"/>
    <w:bookmarkEnd w:id="2"/>
    <w:bookmarkEnd w:id="3"/>
    <w:bookmarkEnd w:id="4"/>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44"/>
          <w:szCs w:val="44"/>
          <w:lang w:val="en-US" w:eastAsia="zh-CN"/>
        </w:rPr>
      </w:pPr>
      <w:bookmarkStart w:id="6" w:name="_Toc15396476"/>
      <w:bookmarkStart w:id="7" w:name="_Toc15377426"/>
      <w:bookmarkStart w:id="8" w:name="_Toc15396598"/>
      <w:bookmarkStart w:id="9" w:name="_Toc15378442"/>
      <w:bookmarkStart w:id="10" w:name="_Toc15377194"/>
      <w:r>
        <w:rPr>
          <w:rFonts w:hint="default" w:ascii="Times New Roman" w:hAnsi="Times New Roman" w:eastAsia="黑体" w:cs="Times New Roman"/>
          <w:sz w:val="44"/>
          <w:szCs w:val="44"/>
          <w:lang w:val="en-US" w:eastAsia="zh-CN"/>
        </w:rPr>
        <w:t>2024年度</w:t>
      </w:r>
      <w:bookmarkEnd w:id="5"/>
      <w:bookmarkStart w:id="11" w:name="_Toc15306268"/>
      <w:r>
        <w:rPr>
          <w:rFonts w:hint="default" w:ascii="Times New Roman" w:hAnsi="Times New Roman" w:eastAsia="黑体" w:cs="Times New Roman"/>
          <w:sz w:val="44"/>
          <w:szCs w:val="44"/>
          <w:lang w:val="en-US" w:eastAsia="zh-CN"/>
        </w:rPr>
        <w:t>中共阿坝州委社会工作部门</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44"/>
          <w:szCs w:val="44"/>
          <w:lang w:val="en-US" w:eastAsia="zh-CN"/>
        </w:rPr>
      </w:pPr>
      <w:r>
        <w:rPr>
          <w:rFonts w:hint="eastAsia" w:eastAsia="黑体" w:cs="Times New Roman"/>
          <w:sz w:val="44"/>
          <w:szCs w:val="44"/>
          <w:lang w:val="en-US" w:eastAsia="zh-CN"/>
        </w:rPr>
        <w:t>（本级）</w:t>
      </w:r>
      <w:r>
        <w:rPr>
          <w:rFonts w:hint="default" w:ascii="Times New Roman" w:hAnsi="Times New Roman" w:eastAsia="黑体" w:cs="Times New Roman"/>
          <w:sz w:val="44"/>
          <w:szCs w:val="44"/>
          <w:lang w:val="en-US" w:eastAsia="zh-CN"/>
        </w:rPr>
        <w:t>决算</w:t>
      </w:r>
      <w:bookmarkEnd w:id="6"/>
      <w:bookmarkEnd w:id="7"/>
      <w:bookmarkEnd w:id="8"/>
      <w:bookmarkEnd w:id="9"/>
      <w:bookmarkEnd w:id="10"/>
      <w:bookmarkEnd w:id="11"/>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Style w:val="2"/>
        <w:pageBreakBefore w:val="0"/>
        <w:kinsoku/>
        <w:wordWrap/>
        <w:overflowPunct/>
        <w:topLinePunct w:val="0"/>
        <w:autoSpaceDE/>
        <w:autoSpaceDN/>
        <w:bidi w:val="0"/>
        <w:spacing w:line="560" w:lineRule="exact"/>
        <w:rPr>
          <w:rFonts w:hint="default"/>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both"/>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r>
        <w:rPr>
          <w:rFonts w:hint="default" w:ascii="Times New Roman" w:hAnsi="Times New Roman" w:eastAsia="黑体" w:cs="Times New Roman"/>
          <w:sz w:val="48"/>
          <w:szCs w:val="48"/>
        </w:rPr>
        <w:t>目录</w:t>
      </w: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28"/>
          <w:szCs w:val="28"/>
        </w:rPr>
      </w:pPr>
    </w:p>
    <w:p>
      <w:pPr>
        <w:pStyle w:val="10"/>
        <w:pageBreakBefore w:val="0"/>
        <w:kinsoku/>
        <w:wordWrap/>
        <w:overflowPunct/>
        <w:topLinePunct w:val="0"/>
        <w:autoSpaceDE/>
        <w:autoSpaceDN/>
        <w:bidi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公开时间：2024年</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 xml:space="preserve"> 日</w:t>
      </w:r>
    </w:p>
    <w:p>
      <w:pPr>
        <w:pageBreakBefore w:val="0"/>
        <w:kinsoku/>
        <w:wordWrap/>
        <w:overflowPunct/>
        <w:topLinePunct w:val="0"/>
        <w:autoSpaceDE/>
        <w:autoSpaceDN/>
        <w:bidi w:val="0"/>
        <w:spacing w:line="560" w:lineRule="exact"/>
        <w:textAlignment w:val="auto"/>
        <w:rPr>
          <w:rFonts w:hint="default" w:ascii="Times New Roman" w:hAnsi="Times New Roman" w:cs="Times New Roman"/>
        </w:rPr>
      </w:pPr>
    </w:p>
    <w:p>
      <w:pPr>
        <w:pStyle w:val="10"/>
        <w:keepNext w:val="0"/>
        <w:keepLines w:val="0"/>
        <w:pageBreakBefore w:val="0"/>
        <w:widowControl w:val="0"/>
        <w:tabs>
          <w:tab w:val="right" w:leader="middleDot" w:pos="7980"/>
        </w:tabs>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第一部分 部门概况</w:t>
      </w:r>
      <w:r>
        <w:rPr>
          <w:rFonts w:hint="eastAsia" w:ascii="Times New Roman" w:hAnsi="Times New Roman" w:eastAsia="黑体" w:cs="Times New Roman"/>
          <w:sz w:val="32"/>
          <w:szCs w:val="32"/>
          <w:lang w:val="en-US" w:eastAsia="zh-CN"/>
        </w:rPr>
        <w:tab/>
      </w:r>
      <w:r>
        <w:rPr>
          <w:rFonts w:hint="eastAsia" w:ascii="Times New Roman" w:hAnsi="Times New Roman" w:eastAsia="黑体" w:cs="Times New Roman"/>
          <w:sz w:val="32"/>
          <w:szCs w:val="32"/>
          <w:lang w:val="en-US" w:eastAsia="zh-CN"/>
        </w:rPr>
        <w:t>4</w:t>
      </w:r>
    </w:p>
    <w:p>
      <w:pPr>
        <w:pStyle w:val="11"/>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一、部门职责</w:t>
      </w:r>
      <w:r>
        <w:rPr>
          <w:rFonts w:hint="eastAsia" w:eastAsia="仿宋_GB2312" w:cs="Times New Roman"/>
          <w:sz w:val="32"/>
          <w:szCs w:val="32"/>
          <w:lang w:val="en-US" w:eastAsia="zh-CN"/>
        </w:rPr>
        <w:tab/>
      </w:r>
      <w:r>
        <w:rPr>
          <w:rFonts w:hint="eastAsia" w:eastAsia="仿宋_GB2312" w:cs="Times New Roman"/>
          <w:sz w:val="32"/>
          <w:szCs w:val="32"/>
          <w:lang w:val="en-US" w:eastAsia="zh-CN"/>
        </w:rPr>
        <w:t>4</w:t>
      </w:r>
    </w:p>
    <w:p>
      <w:pPr>
        <w:pStyle w:val="11"/>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二、机构设置</w:t>
      </w:r>
      <w:r>
        <w:rPr>
          <w:rFonts w:hint="eastAsia" w:eastAsia="仿宋_GB2312" w:cs="Times New Roman"/>
          <w:sz w:val="32"/>
          <w:szCs w:val="32"/>
          <w:lang w:val="en-US" w:eastAsia="zh-CN"/>
        </w:rPr>
        <w:tab/>
      </w:r>
      <w:r>
        <w:rPr>
          <w:rFonts w:hint="eastAsia" w:eastAsia="仿宋_GB2312" w:cs="Times New Roman"/>
          <w:sz w:val="32"/>
          <w:szCs w:val="32"/>
          <w:lang w:val="en-US" w:eastAsia="zh-CN"/>
        </w:rPr>
        <w:t>4</w:t>
      </w:r>
    </w:p>
    <w:p>
      <w:pPr>
        <w:pStyle w:val="10"/>
        <w:keepNext w:val="0"/>
        <w:keepLines w:val="0"/>
        <w:pageBreakBefore w:val="0"/>
        <w:widowControl w:val="0"/>
        <w:tabs>
          <w:tab w:val="right" w:leader="middleDot" w:pos="7980"/>
        </w:tabs>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第二部分 2024年度部门决算情况说明</w:t>
      </w:r>
      <w:r>
        <w:rPr>
          <w:rFonts w:hint="eastAsia" w:ascii="Times New Roman" w:hAnsi="Times New Roman" w:eastAsia="黑体" w:cs="Times New Roman"/>
          <w:sz w:val="32"/>
          <w:szCs w:val="32"/>
          <w:lang w:val="en-US" w:eastAsia="zh-CN"/>
        </w:rPr>
        <w:tab/>
      </w:r>
      <w:r>
        <w:rPr>
          <w:rFonts w:hint="eastAsia" w:ascii="Times New Roman" w:hAnsi="Times New Roman" w:eastAsia="黑体" w:cs="Times New Roman"/>
          <w:sz w:val="32"/>
          <w:szCs w:val="32"/>
          <w:lang w:val="en-US" w:eastAsia="zh-CN"/>
        </w:rPr>
        <w:t>5</w:t>
      </w:r>
    </w:p>
    <w:p>
      <w:pPr>
        <w:pStyle w:val="11"/>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一、收入支出决算总体情况说明</w:t>
      </w:r>
      <w:r>
        <w:rPr>
          <w:rFonts w:hint="eastAsia" w:eastAsia="仿宋_GB2312" w:cs="Times New Roman"/>
          <w:sz w:val="32"/>
          <w:szCs w:val="32"/>
          <w:lang w:val="en-US" w:eastAsia="zh-CN"/>
        </w:rPr>
        <w:tab/>
      </w:r>
      <w:r>
        <w:rPr>
          <w:rFonts w:hint="eastAsia" w:eastAsia="仿宋_GB2312" w:cs="Times New Roman"/>
          <w:sz w:val="32"/>
          <w:szCs w:val="32"/>
          <w:lang w:val="en-US" w:eastAsia="zh-CN"/>
        </w:rPr>
        <w:t>5</w:t>
      </w:r>
    </w:p>
    <w:p>
      <w:pPr>
        <w:pStyle w:val="11"/>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二、收入决算情况说明</w:t>
      </w:r>
      <w:r>
        <w:rPr>
          <w:rFonts w:hint="eastAsia" w:eastAsia="仿宋_GB2312" w:cs="Times New Roman"/>
          <w:sz w:val="32"/>
          <w:szCs w:val="32"/>
          <w:lang w:val="en-US" w:eastAsia="zh-CN"/>
        </w:rPr>
        <w:tab/>
      </w:r>
      <w:r>
        <w:rPr>
          <w:rFonts w:hint="eastAsia" w:eastAsia="仿宋_GB2312" w:cs="Times New Roman"/>
          <w:sz w:val="32"/>
          <w:szCs w:val="32"/>
          <w:lang w:val="en-US" w:eastAsia="zh-CN"/>
        </w:rPr>
        <w:t>5</w:t>
      </w:r>
    </w:p>
    <w:p>
      <w:pPr>
        <w:pStyle w:val="11"/>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三、支出决算情况说明</w:t>
      </w:r>
      <w:r>
        <w:rPr>
          <w:rFonts w:hint="eastAsia" w:eastAsia="仿宋_GB2312" w:cs="Times New Roman"/>
          <w:sz w:val="32"/>
          <w:szCs w:val="32"/>
          <w:lang w:val="en-US" w:eastAsia="zh-CN"/>
        </w:rPr>
        <w:tab/>
      </w:r>
      <w:r>
        <w:rPr>
          <w:rFonts w:hint="eastAsia" w:eastAsia="仿宋_GB2312" w:cs="Times New Roman"/>
          <w:sz w:val="32"/>
          <w:szCs w:val="32"/>
          <w:lang w:val="en-US" w:eastAsia="zh-CN"/>
        </w:rPr>
        <w:t>6</w:t>
      </w:r>
    </w:p>
    <w:p>
      <w:pPr>
        <w:pStyle w:val="11"/>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四、财政拨款收入支出决算总体情况说明</w:t>
      </w:r>
      <w:r>
        <w:rPr>
          <w:rFonts w:hint="eastAsia" w:eastAsia="仿宋_GB2312" w:cs="Times New Roman"/>
          <w:sz w:val="32"/>
          <w:szCs w:val="32"/>
          <w:lang w:val="en-US" w:eastAsia="zh-CN"/>
        </w:rPr>
        <w:tab/>
      </w:r>
      <w:r>
        <w:rPr>
          <w:rFonts w:hint="eastAsia" w:eastAsia="仿宋_GB2312" w:cs="Times New Roman"/>
          <w:sz w:val="32"/>
          <w:szCs w:val="32"/>
          <w:lang w:val="en-US" w:eastAsia="zh-CN"/>
        </w:rPr>
        <w:t>6</w:t>
      </w:r>
    </w:p>
    <w:p>
      <w:pPr>
        <w:pStyle w:val="11"/>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五、一般公共预算财政拨款支出决算情况说明</w:t>
      </w:r>
      <w:r>
        <w:rPr>
          <w:rFonts w:hint="eastAsia" w:eastAsia="仿宋_GB2312" w:cs="Times New Roman"/>
          <w:sz w:val="32"/>
          <w:szCs w:val="32"/>
          <w:lang w:val="en-US" w:eastAsia="zh-CN"/>
        </w:rPr>
        <w:tab/>
      </w:r>
      <w:r>
        <w:rPr>
          <w:rFonts w:hint="eastAsia" w:eastAsia="仿宋_GB2312" w:cs="Times New Roman"/>
          <w:sz w:val="32"/>
          <w:szCs w:val="32"/>
          <w:lang w:val="en-US" w:eastAsia="zh-CN"/>
        </w:rPr>
        <w:t>7</w:t>
      </w:r>
    </w:p>
    <w:p>
      <w:pPr>
        <w:pStyle w:val="11"/>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六、一般公共预算财政拨款基本支出决算情况说明</w:t>
      </w:r>
      <w:r>
        <w:rPr>
          <w:rFonts w:hint="eastAsia" w:eastAsia="仿宋_GB2312" w:cs="Times New Roman"/>
          <w:sz w:val="32"/>
          <w:szCs w:val="32"/>
          <w:lang w:val="en-US" w:eastAsia="zh-CN"/>
        </w:rPr>
        <w:tab/>
      </w:r>
      <w:r>
        <w:rPr>
          <w:rFonts w:hint="eastAsia" w:eastAsia="仿宋_GB2312" w:cs="Times New Roman"/>
          <w:sz w:val="32"/>
          <w:szCs w:val="32"/>
          <w:lang w:val="en-US" w:eastAsia="zh-CN"/>
        </w:rPr>
        <w:t>8</w:t>
      </w:r>
    </w:p>
    <w:p>
      <w:pPr>
        <w:pStyle w:val="11"/>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七、财政拨款“三公”经费支出决算情况说明</w:t>
      </w:r>
      <w:r>
        <w:rPr>
          <w:rFonts w:hint="eastAsia" w:eastAsia="仿宋_GB2312" w:cs="Times New Roman"/>
          <w:sz w:val="32"/>
          <w:szCs w:val="32"/>
          <w:lang w:val="en-US" w:eastAsia="zh-CN"/>
        </w:rPr>
        <w:tab/>
      </w:r>
      <w:r>
        <w:rPr>
          <w:rFonts w:hint="eastAsia" w:eastAsia="仿宋_GB2312" w:cs="Times New Roman"/>
          <w:sz w:val="32"/>
          <w:szCs w:val="32"/>
          <w:lang w:val="en-US" w:eastAsia="zh-CN"/>
        </w:rPr>
        <w:t>8</w:t>
      </w:r>
    </w:p>
    <w:p>
      <w:pPr>
        <w:pStyle w:val="11"/>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八、政府性基金预算支出决算情况说明</w:t>
      </w:r>
      <w:r>
        <w:rPr>
          <w:rFonts w:hint="eastAsia" w:eastAsia="仿宋_GB2312" w:cs="Times New Roman"/>
          <w:sz w:val="32"/>
          <w:szCs w:val="32"/>
          <w:lang w:val="en-US" w:eastAsia="zh-CN"/>
        </w:rPr>
        <w:tab/>
      </w:r>
      <w:r>
        <w:rPr>
          <w:rFonts w:hint="eastAsia" w:eastAsia="仿宋_GB2312" w:cs="Times New Roman"/>
          <w:sz w:val="32"/>
          <w:szCs w:val="32"/>
          <w:lang w:val="en-US" w:eastAsia="zh-CN"/>
        </w:rPr>
        <w:t>9</w:t>
      </w:r>
    </w:p>
    <w:p>
      <w:pPr>
        <w:pStyle w:val="11"/>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九、国有资本经营预算支出决算情况说明</w:t>
      </w:r>
      <w:r>
        <w:rPr>
          <w:rFonts w:hint="eastAsia" w:eastAsia="仿宋_GB2312" w:cs="Times New Roman"/>
          <w:sz w:val="32"/>
          <w:szCs w:val="32"/>
          <w:lang w:val="en-US" w:eastAsia="zh-CN"/>
        </w:rPr>
        <w:tab/>
      </w:r>
      <w:r>
        <w:rPr>
          <w:rFonts w:hint="eastAsia" w:eastAsia="仿宋_GB2312" w:cs="Times New Roman"/>
          <w:sz w:val="32"/>
          <w:szCs w:val="32"/>
          <w:lang w:val="en-US" w:eastAsia="zh-CN"/>
        </w:rPr>
        <w:t>9</w:t>
      </w:r>
    </w:p>
    <w:p>
      <w:pPr>
        <w:pStyle w:val="11"/>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十、其他重要事项的情况说明</w:t>
      </w:r>
      <w:r>
        <w:rPr>
          <w:rFonts w:hint="eastAsia" w:eastAsia="仿宋_GB2312" w:cs="Times New Roman"/>
          <w:sz w:val="32"/>
          <w:szCs w:val="32"/>
          <w:lang w:val="en-US" w:eastAsia="zh-CN"/>
        </w:rPr>
        <w:tab/>
      </w:r>
      <w:r>
        <w:rPr>
          <w:rFonts w:hint="eastAsia" w:eastAsia="仿宋_GB2312" w:cs="Times New Roman"/>
          <w:sz w:val="32"/>
          <w:szCs w:val="32"/>
          <w:lang w:val="en-US" w:eastAsia="zh-CN"/>
        </w:rPr>
        <w:t>9</w:t>
      </w:r>
    </w:p>
    <w:p>
      <w:pPr>
        <w:pStyle w:val="10"/>
        <w:keepNext w:val="0"/>
        <w:keepLines w:val="0"/>
        <w:pageBreakBefore w:val="0"/>
        <w:widowControl w:val="0"/>
        <w:tabs>
          <w:tab w:val="right" w:leader="middleDot" w:pos="7980"/>
        </w:tabs>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第三部分 名词解释</w:t>
      </w:r>
      <w:r>
        <w:rPr>
          <w:rFonts w:hint="eastAsia" w:ascii="Times New Roman" w:hAnsi="Times New Roman" w:eastAsia="黑体" w:cs="Times New Roman"/>
          <w:sz w:val="32"/>
          <w:szCs w:val="32"/>
          <w:lang w:val="en-US" w:eastAsia="zh-CN"/>
        </w:rPr>
        <w:tab/>
      </w:r>
      <w:r>
        <w:rPr>
          <w:rFonts w:hint="eastAsia" w:ascii="Times New Roman" w:hAnsi="Times New Roman" w:eastAsia="黑体" w:cs="Times New Roman"/>
          <w:sz w:val="32"/>
          <w:szCs w:val="32"/>
          <w:lang w:val="en-US" w:eastAsia="zh-CN"/>
        </w:rPr>
        <w:t>11</w:t>
      </w:r>
    </w:p>
    <w:p>
      <w:pPr>
        <w:pStyle w:val="10"/>
        <w:keepNext w:val="0"/>
        <w:keepLines w:val="0"/>
        <w:pageBreakBefore w:val="0"/>
        <w:widowControl w:val="0"/>
        <w:tabs>
          <w:tab w:val="right" w:leader="middleDot" w:pos="7980"/>
        </w:tabs>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第四部分 附件</w:t>
      </w:r>
      <w:r>
        <w:rPr>
          <w:rFonts w:hint="eastAsia" w:ascii="Times New Roman" w:hAnsi="Times New Roman" w:eastAsia="黑体" w:cs="Times New Roman"/>
          <w:sz w:val="32"/>
          <w:szCs w:val="32"/>
          <w:lang w:val="en-US" w:eastAsia="zh-CN"/>
        </w:rPr>
        <w:tab/>
      </w:r>
      <w:r>
        <w:rPr>
          <w:rFonts w:hint="eastAsia" w:ascii="Times New Roman" w:hAnsi="Times New Roman" w:eastAsia="黑体" w:cs="Times New Roman"/>
          <w:sz w:val="32"/>
          <w:szCs w:val="32"/>
          <w:lang w:val="en-US" w:eastAsia="zh-CN"/>
        </w:rPr>
        <w:t>13</w:t>
      </w:r>
    </w:p>
    <w:p>
      <w:pPr>
        <w:pStyle w:val="10"/>
        <w:keepNext w:val="0"/>
        <w:keepLines w:val="0"/>
        <w:pageBreakBefore w:val="0"/>
        <w:widowControl w:val="0"/>
        <w:tabs>
          <w:tab w:val="right" w:leader="dot" w:pos="6405"/>
          <w:tab w:val="right" w:leader="dot" w:pos="7980"/>
        </w:tabs>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第五部分 附</w:t>
      </w:r>
      <w:r>
        <w:rPr>
          <w:rFonts w:hint="eastAsia" w:ascii="Times New Roman" w:hAnsi="Times New Roman" w:eastAsia="黑体" w:cs="Times New Roman"/>
          <w:sz w:val="32"/>
          <w:szCs w:val="32"/>
          <w:lang w:eastAsia="zh-CN"/>
        </w:rPr>
        <w:t>表</w:t>
      </w:r>
      <w:r>
        <w:rPr>
          <w:rFonts w:hint="eastAsia" w:ascii="Times New Roman" w:hAnsi="Times New Roman" w:eastAsia="黑体" w:cs="Times New Roman"/>
          <w:sz w:val="32"/>
          <w:szCs w:val="32"/>
          <w:lang w:val="en-US" w:eastAsia="zh-CN"/>
        </w:rPr>
        <w:tab/>
      </w:r>
      <w:r>
        <w:rPr>
          <w:rFonts w:hint="eastAsia" w:ascii="Times New Roman" w:hAnsi="Times New Roman" w:eastAsia="黑体" w:cs="Times New Roman"/>
          <w:sz w:val="32"/>
          <w:szCs w:val="32"/>
          <w:lang w:val="en-US" w:eastAsia="zh-CN"/>
        </w:rPr>
        <w:tab/>
      </w:r>
      <w:r>
        <w:rPr>
          <w:rFonts w:hint="eastAsia" w:ascii="Times New Roman" w:hAnsi="Times New Roman" w:eastAsia="黑体" w:cs="Times New Roman"/>
          <w:sz w:val="32"/>
          <w:szCs w:val="32"/>
          <w:lang w:val="en-US" w:eastAsia="zh-CN"/>
        </w:rPr>
        <w:t>19</w:t>
      </w:r>
    </w:p>
    <w:p>
      <w:pPr>
        <w:pStyle w:val="11"/>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一、收入支出决算总表</w:t>
      </w:r>
    </w:p>
    <w:p>
      <w:pPr>
        <w:pStyle w:val="11"/>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二、收入决算表</w:t>
      </w:r>
    </w:p>
    <w:p>
      <w:pPr>
        <w:pStyle w:val="11"/>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三、支出决算表</w:t>
      </w:r>
    </w:p>
    <w:p>
      <w:pPr>
        <w:pStyle w:val="11"/>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四、财政拨款收入支出决算总表</w:t>
      </w:r>
    </w:p>
    <w:p>
      <w:pPr>
        <w:pStyle w:val="11"/>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五、财政拨款支出决算明细表</w:t>
      </w:r>
    </w:p>
    <w:p>
      <w:pPr>
        <w:pStyle w:val="11"/>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六、一般公共预算财政拨款支出决算表</w:t>
      </w:r>
    </w:p>
    <w:p>
      <w:pPr>
        <w:pStyle w:val="11"/>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七、一般公共预算财政拨款支出决算明细表</w:t>
      </w:r>
    </w:p>
    <w:p>
      <w:pPr>
        <w:pStyle w:val="11"/>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八、一般公共预算财政拨款基本支出决算明细表</w:t>
      </w:r>
    </w:p>
    <w:p>
      <w:pPr>
        <w:pStyle w:val="11"/>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九、一般公共预算财政拨款项目支出决算表</w:t>
      </w:r>
    </w:p>
    <w:p>
      <w:pPr>
        <w:pStyle w:val="11"/>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十、政府性基金预算财政拨款收入支出决算表</w:t>
      </w:r>
    </w:p>
    <w:p>
      <w:pPr>
        <w:pStyle w:val="11"/>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十一、国有资本经营预算财政拨款收入支出决算表</w:t>
      </w:r>
    </w:p>
    <w:p>
      <w:pPr>
        <w:pStyle w:val="11"/>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十二、国有资本经营预算财政拨款支出决算表</w:t>
      </w:r>
    </w:p>
    <w:p>
      <w:pPr>
        <w:pStyle w:val="11"/>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十三、财政拨款“三公”经费支出决算表</w:t>
      </w:r>
    </w:p>
    <w:p>
      <w:pPr>
        <w:pStyle w:val="11"/>
        <w:pageBreakBefore w:val="0"/>
        <w:kinsoku/>
        <w:wordWrap/>
        <w:overflowPunct/>
        <w:topLinePunct w:val="0"/>
        <w:autoSpaceDE/>
        <w:autoSpaceDN/>
        <w:bidi w:val="0"/>
        <w:adjustRightInd w:val="0"/>
        <w:snapToGrid w:val="0"/>
        <w:spacing w:line="560" w:lineRule="exact"/>
        <w:ind w:left="0" w:leftChars="0" w:firstLine="642" w:firstLineChars="200"/>
        <w:jc w:val="left"/>
        <w:textAlignment w:val="auto"/>
        <w:rPr>
          <w:rFonts w:hint="default" w:ascii="Times New Roman" w:hAnsi="Times New Roman" w:eastAsia="仿宋_GB2312" w:cs="Times New Roman"/>
          <w:b/>
          <w:bCs/>
          <w:sz w:val="32"/>
          <w:szCs w:val="32"/>
        </w:rPr>
      </w:pPr>
    </w:p>
    <w:p>
      <w:pPr>
        <w:pageBreakBefore w:val="0"/>
        <w:widowControl/>
        <w:kinsoku/>
        <w:wordWrap/>
        <w:overflowPunct/>
        <w:topLinePunct w:val="0"/>
        <w:autoSpaceDE/>
        <w:autoSpaceDN/>
        <w:bidi w:val="0"/>
        <w:spacing w:line="560" w:lineRule="exact"/>
        <w:jc w:val="left"/>
        <w:textAlignment w:val="auto"/>
        <w:rPr>
          <w:rFonts w:hint="default" w:ascii="Times New Roman" w:hAnsi="Times New Roman" w:eastAsia="仿宋_GB2312" w:cs="Times New Roman"/>
          <w:bCs/>
          <w:kern w:val="44"/>
          <w:sz w:val="32"/>
          <w:szCs w:val="32"/>
        </w:rPr>
      </w:pPr>
      <w:bookmarkStart w:id="12" w:name="_Toc15396599"/>
      <w:bookmarkStart w:id="13" w:name="_Toc15377196"/>
      <w:r>
        <w:rPr>
          <w:rFonts w:hint="default" w:ascii="Times New Roman" w:hAnsi="Times New Roman" w:eastAsia="仿宋_GB2312" w:cs="Times New Roman"/>
          <w:b/>
          <w:sz w:val="32"/>
          <w:szCs w:val="32"/>
        </w:rPr>
        <w:br w:type="page"/>
      </w:r>
    </w:p>
    <w:p>
      <w:pPr>
        <w:pStyle w:val="14"/>
        <w:keepNext w:val="0"/>
        <w:keepLines w:val="0"/>
        <w:pageBreakBefore w:val="0"/>
        <w:kinsoku/>
        <w:wordWrap/>
        <w:overflowPunct/>
        <w:topLinePunct w:val="0"/>
        <w:autoSpaceDE/>
        <w:autoSpaceDN/>
        <w:bidi w:val="0"/>
        <w:adjustRightInd/>
        <w:snapToGrid/>
        <w:spacing w:line="560" w:lineRule="exact"/>
        <w:ind w:firstLine="20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第一部分  部门概况</w:t>
      </w:r>
      <w:bookmarkEnd w:id="12"/>
      <w:bookmarkEnd w:id="13"/>
    </w:p>
    <w:p>
      <w:pPr>
        <w:pageBreakBefore w:val="0"/>
        <w:widowControl/>
        <w:kinsoku/>
        <w:wordWrap/>
        <w:overflowPunct/>
        <w:topLinePunct w:val="0"/>
        <w:autoSpaceDE/>
        <w:autoSpaceDN/>
        <w:bidi w:val="0"/>
        <w:spacing w:line="560" w:lineRule="exact"/>
        <w:jc w:val="left"/>
        <w:textAlignment w:val="auto"/>
        <w:rPr>
          <w:rFonts w:hint="default" w:ascii="Times New Roman" w:hAnsi="Times New Roman" w:eastAsia="黑体" w:cs="Times New Roman"/>
          <w:sz w:val="32"/>
          <w:szCs w:val="32"/>
        </w:rPr>
      </w:pPr>
    </w:p>
    <w:p>
      <w:pPr>
        <w:pStyle w:val="4"/>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b w:val="0"/>
        </w:rPr>
      </w:pPr>
      <w:r>
        <w:rPr>
          <w:rFonts w:hint="default" w:ascii="Times New Roman" w:hAnsi="Times New Roman" w:eastAsia="黑体" w:cs="Times New Roman"/>
          <w:b w:val="0"/>
          <w:lang w:val="en-US" w:eastAsia="zh-CN"/>
        </w:rPr>
        <w:t>一、</w:t>
      </w:r>
      <w:r>
        <w:rPr>
          <w:rFonts w:hint="default" w:ascii="Times New Roman" w:hAnsi="Times New Roman" w:eastAsia="黑体" w:cs="Times New Roman"/>
          <w:b w:val="0"/>
        </w:rPr>
        <w:t>部门职责</w:t>
      </w:r>
    </w:p>
    <w:p>
      <w:pPr>
        <w:pStyle w:val="4"/>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cs="Times New Roman"/>
        </w:rPr>
      </w:pPr>
      <w:r>
        <w:rPr>
          <w:rFonts w:hint="eastAsia" w:ascii="Times New Roman" w:hAnsi="Times New Roman" w:eastAsia="仿宋_GB2312" w:cs="Times New Roman"/>
          <w:b w:val="0"/>
          <w:bCs w:val="0"/>
          <w:kern w:val="2"/>
          <w:sz w:val="32"/>
          <w:szCs w:val="32"/>
          <w:lang w:val="en-US" w:eastAsia="zh-CN" w:bidi="ar-SA"/>
        </w:rPr>
        <w:t>中共阿坝</w:t>
      </w:r>
      <w:r>
        <w:rPr>
          <w:rFonts w:hint="default" w:ascii="Times New Roman" w:hAnsi="Times New Roman" w:eastAsia="仿宋_GB2312" w:cs="Times New Roman"/>
          <w:b w:val="0"/>
          <w:bCs w:val="0"/>
          <w:kern w:val="2"/>
          <w:sz w:val="32"/>
          <w:szCs w:val="32"/>
          <w:lang w:val="en-US" w:eastAsia="zh-CN" w:bidi="ar-SA"/>
        </w:rPr>
        <w:t>州委社会工作部主要职责是负责统筹指导人民信访工作、人民建议征集工作，统筹推进党建引领基层治理和基层政权建设，健全和落实党建引领基层治理领导体制和工作机制，统一领导全州行业协会商会党的工作，协调推动行业协会商会深化改革和转型发展，指导混合所有制企业、非公有制企业和新经济组织、新社会组织、新就业群体党建工作，指导社会工作人才队伍建设，负责志愿服务等工作。</w:t>
      </w:r>
    </w:p>
    <w:p>
      <w:pPr>
        <w:pStyle w:val="4"/>
        <w:pageBreakBefore w:val="0"/>
        <w:kinsoku/>
        <w:wordWrap/>
        <w:overflowPunct/>
        <w:topLinePunct w:val="0"/>
        <w:autoSpaceDE/>
        <w:autoSpaceDN/>
        <w:bidi w:val="0"/>
        <w:spacing w:line="560" w:lineRule="exact"/>
        <w:ind w:firstLine="640" w:firstLineChars="200"/>
        <w:textAlignment w:val="auto"/>
        <w:rPr>
          <w:rStyle w:val="15"/>
          <w:rFonts w:hint="default" w:ascii="Times New Roman" w:hAnsi="Times New Roman" w:cs="Times New Roman"/>
          <w:b w:val="0"/>
          <w:bCs w:val="0"/>
        </w:rPr>
      </w:pPr>
      <w:bookmarkStart w:id="14" w:name="_Toc15377200"/>
      <w:bookmarkStart w:id="15" w:name="_Toc15396601"/>
      <w:r>
        <w:rPr>
          <w:rFonts w:hint="default" w:ascii="Times New Roman" w:hAnsi="Times New Roman" w:eastAsia="黑体" w:cs="Times New Roman"/>
          <w:b w:val="0"/>
        </w:rPr>
        <w:t>二、机</w:t>
      </w:r>
      <w:r>
        <w:rPr>
          <w:rStyle w:val="15"/>
          <w:rFonts w:hint="default" w:ascii="Times New Roman" w:hAnsi="Times New Roman" w:eastAsia="黑体" w:cs="Times New Roman"/>
          <w:b w:val="0"/>
          <w:bCs w:val="0"/>
        </w:rPr>
        <w:t>构设置</w:t>
      </w:r>
      <w:bookmarkEnd w:id="14"/>
      <w:bookmarkEnd w:id="15"/>
    </w:p>
    <w:p>
      <w:pPr>
        <w:pageBreakBefore w:val="0"/>
        <w:widowControl/>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中共阿坝州委社会工作部部门下属行政单位</w:t>
      </w:r>
      <w:r>
        <w:rPr>
          <w:rFonts w:hint="eastAsia" w:ascii="Times New Roman" w:hAnsi="Times New Roman" w:eastAsia="仿宋_GB2312" w:cs="Times New Roman"/>
          <w:b w:val="0"/>
          <w:bCs w:val="0"/>
          <w:kern w:val="2"/>
          <w:sz w:val="32"/>
          <w:szCs w:val="32"/>
          <w:lang w:val="en-US" w:eastAsia="zh-CN" w:bidi="ar-SA"/>
        </w:rPr>
        <w:t>。</w:t>
      </w:r>
    </w:p>
    <w:p>
      <w:pPr>
        <w:pStyle w:val="14"/>
        <w:keepNext w:val="0"/>
        <w:keepLines w:val="0"/>
        <w:pageBreakBefore w:val="0"/>
        <w:kinsoku/>
        <w:wordWrap/>
        <w:overflowPunct/>
        <w:topLinePunct w:val="0"/>
        <w:autoSpaceDE/>
        <w:autoSpaceDN/>
        <w:bidi w:val="0"/>
        <w:adjustRightInd/>
        <w:snapToGrid/>
        <w:spacing w:line="560" w:lineRule="exact"/>
        <w:ind w:firstLine="200"/>
        <w:jc w:val="center"/>
        <w:textAlignment w:val="auto"/>
        <w:rPr>
          <w:rFonts w:hint="default" w:ascii="Times New Roman" w:hAnsi="Times New Roman" w:eastAsia="黑体" w:cs="Times New Roman"/>
          <w:sz w:val="32"/>
          <w:szCs w:val="32"/>
        </w:rPr>
      </w:pPr>
      <w:bookmarkStart w:id="16" w:name="_Toc15377204"/>
      <w:bookmarkStart w:id="17" w:name="_Toc15396602"/>
    </w:p>
    <w:p>
      <w:pPr>
        <w:pStyle w:val="14"/>
        <w:keepNext w:val="0"/>
        <w:keepLines w:val="0"/>
        <w:pageBreakBefore w:val="0"/>
        <w:kinsoku/>
        <w:wordWrap/>
        <w:overflowPunct/>
        <w:topLinePunct w:val="0"/>
        <w:autoSpaceDE/>
        <w:autoSpaceDN/>
        <w:bidi w:val="0"/>
        <w:adjustRightInd/>
        <w:snapToGrid/>
        <w:spacing w:line="560" w:lineRule="exact"/>
        <w:ind w:firstLine="200"/>
        <w:jc w:val="center"/>
        <w:textAlignment w:val="auto"/>
        <w:rPr>
          <w:rFonts w:hint="default" w:ascii="Times New Roman" w:hAnsi="Times New Roman" w:eastAsia="黑体" w:cs="Times New Roman"/>
          <w:sz w:val="32"/>
          <w:szCs w:val="32"/>
        </w:rPr>
      </w:pPr>
    </w:p>
    <w:p>
      <w:pPr>
        <w:pStyle w:val="14"/>
        <w:keepNext w:val="0"/>
        <w:keepLines w:val="0"/>
        <w:pageBreakBefore w:val="0"/>
        <w:kinsoku/>
        <w:wordWrap/>
        <w:overflowPunct/>
        <w:topLinePunct w:val="0"/>
        <w:autoSpaceDE/>
        <w:autoSpaceDN/>
        <w:bidi w:val="0"/>
        <w:adjustRightInd/>
        <w:snapToGrid/>
        <w:spacing w:line="560" w:lineRule="exact"/>
        <w:ind w:firstLine="200"/>
        <w:jc w:val="center"/>
        <w:textAlignment w:val="auto"/>
        <w:rPr>
          <w:rFonts w:hint="default" w:ascii="Times New Roman" w:hAnsi="Times New Roman" w:eastAsia="黑体" w:cs="Times New Roman"/>
          <w:sz w:val="32"/>
          <w:szCs w:val="32"/>
        </w:rPr>
      </w:pPr>
    </w:p>
    <w:p>
      <w:pPr>
        <w:pStyle w:val="14"/>
        <w:keepNext w:val="0"/>
        <w:keepLines w:val="0"/>
        <w:pageBreakBefore w:val="0"/>
        <w:kinsoku/>
        <w:wordWrap/>
        <w:overflowPunct/>
        <w:topLinePunct w:val="0"/>
        <w:autoSpaceDE/>
        <w:autoSpaceDN/>
        <w:bidi w:val="0"/>
        <w:adjustRightInd/>
        <w:snapToGrid/>
        <w:spacing w:line="560" w:lineRule="exact"/>
        <w:ind w:firstLine="200"/>
        <w:jc w:val="center"/>
        <w:textAlignment w:val="auto"/>
        <w:rPr>
          <w:rFonts w:hint="default" w:ascii="Times New Roman" w:hAnsi="Times New Roman" w:eastAsia="黑体" w:cs="Times New Roman"/>
          <w:sz w:val="32"/>
          <w:szCs w:val="32"/>
        </w:rPr>
      </w:pPr>
    </w:p>
    <w:p>
      <w:pPr>
        <w:pStyle w:val="14"/>
        <w:keepNext w:val="0"/>
        <w:keepLines w:val="0"/>
        <w:pageBreakBefore w:val="0"/>
        <w:kinsoku/>
        <w:wordWrap/>
        <w:overflowPunct/>
        <w:topLinePunct w:val="0"/>
        <w:autoSpaceDE/>
        <w:autoSpaceDN/>
        <w:bidi w:val="0"/>
        <w:adjustRightInd/>
        <w:snapToGrid/>
        <w:spacing w:line="560" w:lineRule="exact"/>
        <w:ind w:firstLine="200"/>
        <w:jc w:val="center"/>
        <w:textAlignment w:val="auto"/>
        <w:rPr>
          <w:rFonts w:hint="default" w:ascii="Times New Roman" w:hAnsi="Times New Roman" w:eastAsia="黑体" w:cs="Times New Roman"/>
          <w:sz w:val="32"/>
          <w:szCs w:val="32"/>
        </w:rPr>
      </w:pPr>
    </w:p>
    <w:p>
      <w:pPr>
        <w:pStyle w:val="14"/>
        <w:keepNext w:val="0"/>
        <w:keepLines w:val="0"/>
        <w:pageBreakBefore w:val="0"/>
        <w:kinsoku/>
        <w:wordWrap/>
        <w:overflowPunct/>
        <w:topLinePunct w:val="0"/>
        <w:autoSpaceDE/>
        <w:autoSpaceDN/>
        <w:bidi w:val="0"/>
        <w:adjustRightInd/>
        <w:snapToGrid/>
        <w:spacing w:line="560" w:lineRule="exact"/>
        <w:ind w:firstLine="200"/>
        <w:jc w:val="center"/>
        <w:textAlignment w:val="auto"/>
        <w:rPr>
          <w:rFonts w:hint="default" w:ascii="Times New Roman" w:hAnsi="Times New Roman" w:eastAsia="黑体" w:cs="Times New Roman"/>
          <w:sz w:val="32"/>
          <w:szCs w:val="32"/>
        </w:rPr>
      </w:pPr>
    </w:p>
    <w:p>
      <w:pPr>
        <w:pStyle w:val="14"/>
        <w:keepNext w:val="0"/>
        <w:keepLines w:val="0"/>
        <w:pageBreakBefore w:val="0"/>
        <w:kinsoku/>
        <w:wordWrap/>
        <w:overflowPunct/>
        <w:topLinePunct w:val="0"/>
        <w:autoSpaceDE/>
        <w:autoSpaceDN/>
        <w:bidi w:val="0"/>
        <w:adjustRightInd/>
        <w:snapToGrid/>
        <w:spacing w:line="560" w:lineRule="exact"/>
        <w:ind w:firstLine="200"/>
        <w:jc w:val="center"/>
        <w:textAlignment w:val="auto"/>
        <w:rPr>
          <w:rFonts w:hint="default" w:ascii="Times New Roman" w:hAnsi="Times New Roman" w:eastAsia="黑体" w:cs="Times New Roman"/>
          <w:sz w:val="32"/>
          <w:szCs w:val="32"/>
        </w:rPr>
      </w:pPr>
    </w:p>
    <w:p>
      <w:pPr>
        <w:pStyle w:val="14"/>
        <w:keepNext w:val="0"/>
        <w:keepLines w:val="0"/>
        <w:pageBreakBefore w:val="0"/>
        <w:kinsoku/>
        <w:wordWrap/>
        <w:overflowPunct/>
        <w:topLinePunct w:val="0"/>
        <w:autoSpaceDE/>
        <w:autoSpaceDN/>
        <w:bidi w:val="0"/>
        <w:adjustRightInd/>
        <w:snapToGrid/>
        <w:spacing w:line="560" w:lineRule="exact"/>
        <w:ind w:firstLine="200"/>
        <w:jc w:val="center"/>
        <w:textAlignment w:val="auto"/>
        <w:rPr>
          <w:rFonts w:hint="default" w:ascii="Times New Roman" w:hAnsi="Times New Roman" w:eastAsia="黑体" w:cs="Times New Roman"/>
          <w:sz w:val="32"/>
          <w:szCs w:val="32"/>
        </w:rPr>
      </w:pPr>
    </w:p>
    <w:p>
      <w:pPr>
        <w:pStyle w:val="14"/>
        <w:keepNext w:val="0"/>
        <w:keepLines w:val="0"/>
        <w:pageBreakBefore w:val="0"/>
        <w:kinsoku/>
        <w:wordWrap/>
        <w:overflowPunct/>
        <w:topLinePunct w:val="0"/>
        <w:autoSpaceDE/>
        <w:autoSpaceDN/>
        <w:bidi w:val="0"/>
        <w:adjustRightInd/>
        <w:snapToGrid/>
        <w:spacing w:line="560" w:lineRule="exact"/>
        <w:ind w:firstLine="200"/>
        <w:jc w:val="center"/>
        <w:textAlignment w:val="auto"/>
        <w:rPr>
          <w:rFonts w:hint="default" w:ascii="Times New Roman" w:hAnsi="Times New Roman" w:eastAsia="黑体" w:cs="Times New Roman"/>
          <w:sz w:val="32"/>
          <w:szCs w:val="32"/>
        </w:rPr>
      </w:pPr>
    </w:p>
    <w:p>
      <w:pPr>
        <w:pStyle w:val="14"/>
        <w:keepNext w:val="0"/>
        <w:keepLines w:val="0"/>
        <w:pageBreakBefore w:val="0"/>
        <w:kinsoku/>
        <w:wordWrap/>
        <w:overflowPunct/>
        <w:topLinePunct w:val="0"/>
        <w:autoSpaceDE/>
        <w:autoSpaceDN/>
        <w:bidi w:val="0"/>
        <w:adjustRightInd/>
        <w:snapToGrid/>
        <w:spacing w:line="560" w:lineRule="exact"/>
        <w:ind w:firstLine="200"/>
        <w:jc w:val="center"/>
        <w:textAlignment w:val="auto"/>
        <w:rPr>
          <w:rFonts w:hint="default" w:ascii="Times New Roman" w:hAnsi="Times New Roman" w:eastAsia="黑体" w:cs="Times New Roman"/>
          <w:sz w:val="32"/>
          <w:szCs w:val="32"/>
        </w:rPr>
      </w:pPr>
    </w:p>
    <w:p>
      <w:pPr>
        <w:pStyle w:val="14"/>
        <w:keepNext w:val="0"/>
        <w:keepLines w:val="0"/>
        <w:pageBreakBefore w:val="0"/>
        <w:kinsoku/>
        <w:wordWrap/>
        <w:overflowPunct/>
        <w:topLinePunct w:val="0"/>
        <w:autoSpaceDE/>
        <w:autoSpaceDN/>
        <w:bidi w:val="0"/>
        <w:adjustRightInd/>
        <w:snapToGrid/>
        <w:spacing w:line="560" w:lineRule="exact"/>
        <w:ind w:firstLine="20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第二部分  2024年度部门决算情况说明</w:t>
      </w:r>
      <w:bookmarkEnd w:id="16"/>
      <w:bookmarkEnd w:id="17"/>
    </w:p>
    <w:p>
      <w:pPr>
        <w:pageBreakBefore w:val="0"/>
        <w:kinsoku/>
        <w:wordWrap/>
        <w:overflowPunct/>
        <w:topLinePunct w:val="0"/>
        <w:autoSpaceDE/>
        <w:autoSpaceDN/>
        <w:bidi w:val="0"/>
        <w:spacing w:line="560" w:lineRule="exact"/>
        <w:textAlignment w:val="auto"/>
        <w:rPr>
          <w:rFonts w:hint="default" w:ascii="Times New Roman" w:hAnsi="Times New Roman" w:cs="Times New Roman"/>
        </w:rPr>
      </w:pPr>
    </w:p>
    <w:p>
      <w:pPr>
        <w:pStyle w:val="14"/>
        <w:pageBreakBefore w:val="0"/>
        <w:kinsoku/>
        <w:wordWrap/>
        <w:overflowPunct/>
        <w:topLinePunct w:val="0"/>
        <w:autoSpaceDE/>
        <w:autoSpaceDN/>
        <w:bidi w:val="0"/>
        <w:spacing w:line="560" w:lineRule="exact"/>
        <w:ind w:firstLine="640"/>
        <w:textAlignment w:val="auto"/>
        <w:outlineLvl w:val="1"/>
        <w:rPr>
          <w:rStyle w:val="15"/>
          <w:rFonts w:hint="default" w:ascii="Times New Roman" w:hAnsi="Times New Roman" w:eastAsia="黑体" w:cs="Times New Roman"/>
          <w:b w:val="0"/>
        </w:rPr>
      </w:pPr>
      <w:bookmarkStart w:id="18" w:name="_Toc15396603"/>
      <w:bookmarkStart w:id="19" w:name="_Toc15377205"/>
      <w:r>
        <w:rPr>
          <w:rFonts w:hint="default" w:ascii="Times New Roman" w:hAnsi="Times New Roman" w:eastAsia="黑体" w:cs="Times New Roman"/>
          <w:sz w:val="32"/>
          <w:szCs w:val="32"/>
        </w:rPr>
        <w:t>一、收</w:t>
      </w:r>
      <w:r>
        <w:rPr>
          <w:rStyle w:val="15"/>
          <w:rFonts w:hint="default" w:ascii="Times New Roman" w:hAnsi="Times New Roman" w:eastAsia="黑体" w:cs="Times New Roman"/>
          <w:b w:val="0"/>
        </w:rPr>
        <w:t>入支出决算总体情况说明</w:t>
      </w:r>
      <w:bookmarkEnd w:id="18"/>
      <w:bookmarkEnd w:id="19"/>
    </w:p>
    <w:p>
      <w:pPr>
        <w:pStyle w:val="14"/>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2024年度支出总计为</w:t>
      </w:r>
      <w:r>
        <w:rPr>
          <w:rFonts w:hint="eastAsia" w:eastAsia="仿宋_GB2312" w:cs="Times New Roman"/>
          <w:sz w:val="32"/>
          <w:szCs w:val="32"/>
          <w:lang w:val="en-US" w:eastAsia="zh-CN"/>
        </w:rPr>
        <w:t>88.21</w:t>
      </w:r>
      <w:r>
        <w:rPr>
          <w:rFonts w:hint="default" w:ascii="Times New Roman" w:hAnsi="Times New Roman" w:eastAsia="仿宋_GB2312" w:cs="Times New Roman"/>
          <w:sz w:val="32"/>
          <w:szCs w:val="32"/>
        </w:rPr>
        <w:t>万元。</w:t>
      </w:r>
      <w:bookmarkStart w:id="20" w:name="_Toc15377206"/>
      <w:bookmarkStart w:id="21" w:name="_Toc15396604"/>
      <w:r>
        <w:rPr>
          <w:rFonts w:hint="default" w:ascii="Times New Roman" w:hAnsi="Times New Roman" w:eastAsia="仿宋_GB2312" w:cs="Times New Roman"/>
          <w:sz w:val="32"/>
          <w:szCs w:val="32"/>
        </w:rPr>
        <w:t>与202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年度相比，收入、支出总计各增加</w:t>
      </w:r>
      <w:r>
        <w:rPr>
          <w:rFonts w:hint="eastAsia" w:eastAsia="仿宋_GB2312" w:cs="Times New Roman"/>
          <w:sz w:val="32"/>
          <w:szCs w:val="32"/>
          <w:lang w:val="en-US" w:eastAsia="zh-CN"/>
        </w:rPr>
        <w:t>88.21</w:t>
      </w:r>
      <w:r>
        <w:rPr>
          <w:rFonts w:hint="default" w:ascii="Times New Roman" w:hAnsi="Times New Roman" w:eastAsia="仿宋_GB2312" w:cs="Times New Roman"/>
          <w:sz w:val="32"/>
          <w:szCs w:val="32"/>
        </w:rPr>
        <w:t>万元。主要变动原因是我部为2024年新组建成立部门，202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年度无收入支出预算。</w:t>
      </w:r>
    </w:p>
    <w:p>
      <w:pPr>
        <w:pStyle w:val="14"/>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r>
        <w:drawing>
          <wp:anchor distT="0" distB="0" distL="114300" distR="114300" simplePos="0" relativeHeight="251663360" behindDoc="1" locked="0" layoutInCell="1" allowOverlap="1">
            <wp:simplePos x="0" y="0"/>
            <wp:positionH relativeFrom="column">
              <wp:posOffset>242570</wp:posOffset>
            </wp:positionH>
            <wp:positionV relativeFrom="paragraph">
              <wp:posOffset>146050</wp:posOffset>
            </wp:positionV>
            <wp:extent cx="4429125" cy="2184400"/>
            <wp:effectExtent l="4445" t="4445" r="62230" b="40005"/>
            <wp:wrapTight wrapText="bothSides">
              <wp:wrapPolygon>
                <wp:start x="-22" y="-44"/>
                <wp:lineTo x="-22" y="21430"/>
                <wp:lineTo x="21532" y="21430"/>
                <wp:lineTo x="21532" y="-44"/>
                <wp:lineTo x="-22" y="-44"/>
              </wp:wrapPolygon>
            </wp:wrapTight>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14"/>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p>
    <w:p>
      <w:pPr>
        <w:pStyle w:val="14"/>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p>
    <w:p>
      <w:pPr>
        <w:pStyle w:val="14"/>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p>
    <w:p>
      <w:pPr>
        <w:pStyle w:val="14"/>
        <w:pageBreakBefore w:val="0"/>
        <w:kinsoku/>
        <w:wordWrap/>
        <w:overflowPunct/>
        <w:topLinePunct w:val="0"/>
        <w:autoSpaceDE/>
        <w:autoSpaceDN/>
        <w:bidi w:val="0"/>
        <w:spacing w:line="560" w:lineRule="exact"/>
        <w:ind w:firstLine="640"/>
        <w:jc w:val="center"/>
        <w:textAlignment w:val="auto"/>
        <w:outlineLvl w:val="1"/>
        <w:rPr>
          <w:rFonts w:hint="default" w:ascii="Times New Roman" w:hAnsi="Times New Roman" w:eastAsia="宋体" w:cs="Times New Roman"/>
          <w:sz w:val="32"/>
          <w:szCs w:val="32"/>
          <w:lang w:eastAsia="zh-CN"/>
        </w:rPr>
      </w:pPr>
      <w:r>
        <w:rPr>
          <w:rFonts w:hint="default" w:ascii="Times New Roman" w:hAnsi="Times New Roman" w:eastAsia="宋体" w:cs="Times New Roman"/>
          <w:sz w:val="24"/>
          <w:szCs w:val="24"/>
        </w:rPr>
        <w:t>（图1：收入、支出决算总计变动情况图</w:t>
      </w:r>
      <w:r>
        <w:rPr>
          <w:rFonts w:hint="default" w:ascii="Times New Roman" w:hAnsi="Times New Roman" w:cs="Times New Roman"/>
          <w:sz w:val="24"/>
          <w:szCs w:val="24"/>
          <w:lang w:eastAsia="zh-CN"/>
        </w:rPr>
        <w:t>）</w:t>
      </w:r>
    </w:p>
    <w:p>
      <w:pPr>
        <w:pStyle w:val="14"/>
        <w:pageBreakBefore w:val="0"/>
        <w:kinsoku/>
        <w:wordWrap/>
        <w:overflowPunct/>
        <w:topLinePunct w:val="0"/>
        <w:autoSpaceDE/>
        <w:autoSpaceDN/>
        <w:bidi w:val="0"/>
        <w:spacing w:line="560" w:lineRule="exact"/>
        <w:ind w:firstLine="64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二、收入决算情况说明</w:t>
      </w:r>
      <w:bookmarkEnd w:id="20"/>
      <w:bookmarkEnd w:id="21"/>
    </w:p>
    <w:p>
      <w:pPr>
        <w:pStyle w:val="14"/>
        <w:pageBreakBefore w:val="0"/>
        <w:kinsoku/>
        <w:wordWrap/>
        <w:overflowPunct/>
        <w:topLinePunct w:val="0"/>
        <w:autoSpaceDE/>
        <w:autoSpaceDN/>
        <w:bidi w:val="0"/>
        <w:spacing w:line="560" w:lineRule="exact"/>
        <w:ind w:firstLine="640"/>
        <w:jc w:val="left"/>
        <w:textAlignment w:val="auto"/>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2024年度本年收入合计</w:t>
      </w:r>
      <w:r>
        <w:rPr>
          <w:rFonts w:hint="eastAsia" w:eastAsia="仿宋_GB2312" w:cs="Times New Roman"/>
          <w:sz w:val="32"/>
          <w:szCs w:val="32"/>
          <w:lang w:val="en-US" w:eastAsia="zh-CN"/>
        </w:rPr>
        <w:t>88.21</w:t>
      </w:r>
      <w:r>
        <w:rPr>
          <w:rFonts w:hint="default" w:ascii="Times New Roman" w:hAnsi="Times New Roman" w:eastAsia="仿宋_GB2312" w:cs="Times New Roman"/>
          <w:sz w:val="32"/>
          <w:szCs w:val="32"/>
        </w:rPr>
        <w:t>万元，其中：一般公共预算财政拨款收入</w:t>
      </w:r>
      <w:r>
        <w:rPr>
          <w:rFonts w:hint="eastAsia" w:eastAsia="仿宋_GB2312" w:cs="Times New Roman"/>
          <w:sz w:val="32"/>
          <w:szCs w:val="32"/>
          <w:lang w:val="en-US" w:eastAsia="zh-CN"/>
        </w:rPr>
        <w:t>88.21</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pageBreakBefore w:val="0"/>
        <w:kinsoku/>
        <w:wordWrap/>
        <w:overflowPunct/>
        <w:topLinePunct w:val="0"/>
        <w:autoSpaceDE/>
        <w:autoSpaceDN/>
        <w:bidi w:val="0"/>
        <w:spacing w:line="560" w:lineRule="exact"/>
        <w:ind w:firstLine="525" w:firstLineChars="250"/>
        <w:textAlignment w:val="auto"/>
        <w:rPr>
          <w:rFonts w:hint="default" w:ascii="Times New Roman" w:hAnsi="Times New Roman" w:eastAsia="仿宋_GB2312" w:cs="Times New Roman"/>
          <w:sz w:val="32"/>
          <w:szCs w:val="32"/>
        </w:rPr>
      </w:pPr>
      <w:r>
        <w:rPr>
          <w:rFonts w:hint="default" w:ascii="Times New Roman" w:hAnsi="Times New Roman" w:cs="Times New Roman"/>
        </w:rPr>
        <w:drawing>
          <wp:anchor distT="0" distB="0" distL="114300" distR="114300" simplePos="0" relativeHeight="251660288" behindDoc="0" locked="0" layoutInCell="1" allowOverlap="1">
            <wp:simplePos x="0" y="0"/>
            <wp:positionH relativeFrom="column">
              <wp:posOffset>3810</wp:posOffset>
            </wp:positionH>
            <wp:positionV relativeFrom="paragraph">
              <wp:posOffset>32385</wp:posOffset>
            </wp:positionV>
            <wp:extent cx="4773295" cy="2046605"/>
            <wp:effectExtent l="4445" t="4445" r="22860" b="6350"/>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ageBreakBefore w:val="0"/>
        <w:kinsoku/>
        <w:wordWrap/>
        <w:overflowPunct/>
        <w:topLinePunct w:val="0"/>
        <w:autoSpaceDE/>
        <w:autoSpaceDN/>
        <w:bidi w:val="0"/>
        <w:spacing w:line="560" w:lineRule="exact"/>
        <w:ind w:firstLine="800" w:firstLineChars="250"/>
        <w:textAlignment w:val="auto"/>
        <w:rPr>
          <w:rFonts w:hint="default" w:ascii="Times New Roman" w:hAnsi="Times New Roman" w:eastAsia="仿宋_GB2312" w:cs="Times New Roman"/>
          <w:sz w:val="32"/>
          <w:szCs w:val="32"/>
        </w:rPr>
      </w:pPr>
    </w:p>
    <w:p>
      <w:pPr>
        <w:pageBreakBefore w:val="0"/>
        <w:kinsoku/>
        <w:wordWrap/>
        <w:overflowPunct/>
        <w:topLinePunct w:val="0"/>
        <w:autoSpaceDE/>
        <w:autoSpaceDN/>
        <w:bidi w:val="0"/>
        <w:spacing w:line="560" w:lineRule="exact"/>
        <w:ind w:firstLine="800" w:firstLineChars="250"/>
        <w:textAlignment w:val="auto"/>
        <w:rPr>
          <w:rFonts w:hint="default" w:ascii="Times New Roman" w:hAnsi="Times New Roman" w:eastAsia="仿宋_GB2312" w:cs="Times New Roman"/>
          <w:sz w:val="32"/>
          <w:szCs w:val="32"/>
        </w:rPr>
      </w:pPr>
    </w:p>
    <w:p>
      <w:pPr>
        <w:pageBreakBefore w:val="0"/>
        <w:kinsoku/>
        <w:wordWrap/>
        <w:overflowPunct/>
        <w:topLinePunct w:val="0"/>
        <w:autoSpaceDE/>
        <w:autoSpaceDN/>
        <w:bidi w:val="0"/>
        <w:spacing w:line="560" w:lineRule="exact"/>
        <w:ind w:firstLine="800" w:firstLineChars="250"/>
        <w:textAlignment w:val="auto"/>
        <w:rPr>
          <w:rFonts w:hint="default" w:ascii="Times New Roman" w:hAnsi="Times New Roman" w:eastAsia="仿宋_GB2312" w:cs="Times New Roman"/>
          <w:sz w:val="32"/>
          <w:szCs w:val="32"/>
        </w:rPr>
      </w:pPr>
    </w:p>
    <w:p>
      <w:pPr>
        <w:pageBreakBefore w:val="0"/>
        <w:kinsoku/>
        <w:wordWrap/>
        <w:overflowPunct/>
        <w:topLinePunct w:val="0"/>
        <w:autoSpaceDE/>
        <w:autoSpaceDN/>
        <w:bidi w:val="0"/>
        <w:spacing w:line="560" w:lineRule="exact"/>
        <w:ind w:firstLine="800" w:firstLineChars="250"/>
        <w:textAlignment w:val="auto"/>
        <w:rPr>
          <w:rFonts w:hint="default" w:ascii="Times New Roman" w:hAnsi="Times New Roman" w:eastAsia="仿宋_GB2312" w:cs="Times New Roman"/>
          <w:sz w:val="32"/>
          <w:szCs w:val="32"/>
        </w:rPr>
      </w:pPr>
    </w:p>
    <w:p>
      <w:pPr>
        <w:pageBreakBefore w:val="0"/>
        <w:kinsoku/>
        <w:wordWrap/>
        <w:overflowPunct/>
        <w:topLinePunct w:val="0"/>
        <w:autoSpaceDE/>
        <w:autoSpaceDN/>
        <w:bidi w:val="0"/>
        <w:spacing w:line="560" w:lineRule="exact"/>
        <w:ind w:firstLine="800" w:firstLineChars="250"/>
        <w:textAlignment w:val="auto"/>
        <w:rPr>
          <w:rFonts w:hint="default" w:ascii="Times New Roman" w:hAnsi="Times New Roman" w:eastAsia="仿宋_GB2312" w:cs="Times New Roman"/>
          <w:sz w:val="32"/>
          <w:szCs w:val="32"/>
        </w:rPr>
      </w:pPr>
    </w:p>
    <w:p>
      <w:pPr>
        <w:pStyle w:val="14"/>
        <w:pageBreakBefore w:val="0"/>
        <w:kinsoku/>
        <w:wordWrap/>
        <w:overflowPunct/>
        <w:topLinePunct w:val="0"/>
        <w:autoSpaceDE/>
        <w:autoSpaceDN/>
        <w:bidi w:val="0"/>
        <w:spacing w:line="560" w:lineRule="exact"/>
        <w:ind w:left="0" w:leftChars="0" w:firstLine="0" w:firstLineChars="0"/>
        <w:jc w:val="center"/>
        <w:textAlignment w:val="auto"/>
        <w:outlineLvl w:val="1"/>
        <w:rPr>
          <w:rFonts w:hint="default" w:ascii="Times New Roman" w:hAnsi="Times New Roman" w:eastAsia="宋体" w:cs="Times New Roman"/>
          <w:sz w:val="32"/>
          <w:szCs w:val="32"/>
          <w:lang w:val="en-US" w:eastAsia="zh-CN"/>
        </w:rPr>
      </w:pPr>
      <w:bookmarkStart w:id="22" w:name="_Toc15377207"/>
      <w:bookmarkStart w:id="23" w:name="_Toc15396605"/>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图2：收入决算结构图</w:t>
      </w:r>
      <w:r>
        <w:rPr>
          <w:rFonts w:hint="default" w:ascii="Times New Roman" w:hAnsi="Times New Roman" w:cs="Times New Roman"/>
          <w:sz w:val="24"/>
          <w:szCs w:val="24"/>
          <w:lang w:eastAsia="zh-CN"/>
        </w:rPr>
        <w:t>）</w:t>
      </w:r>
    </w:p>
    <w:p>
      <w:pPr>
        <w:pStyle w:val="14"/>
        <w:pageBreakBefore w:val="0"/>
        <w:kinsoku/>
        <w:wordWrap/>
        <w:overflowPunct/>
        <w:topLinePunct w:val="0"/>
        <w:autoSpaceDE/>
        <w:autoSpaceDN/>
        <w:bidi w:val="0"/>
        <w:spacing w:line="560" w:lineRule="exact"/>
        <w:ind w:left="638" w:leftChars="304" w:firstLine="0" w:firstLineChars="0"/>
        <w:textAlignment w:val="auto"/>
        <w:outlineLvl w:val="1"/>
        <w:rPr>
          <w:rStyle w:val="15"/>
          <w:rFonts w:hint="default" w:ascii="Times New Roman" w:hAnsi="Times New Roman" w:eastAsia="黑体" w:cs="Times New Roman"/>
          <w:b w:val="0"/>
        </w:rPr>
      </w:pPr>
      <w:r>
        <w:rPr>
          <w:rFonts w:hint="default"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rPr>
        <w:t>支</w:t>
      </w:r>
      <w:r>
        <w:rPr>
          <w:rStyle w:val="15"/>
          <w:rFonts w:hint="default" w:ascii="Times New Roman" w:hAnsi="Times New Roman" w:eastAsia="黑体" w:cs="Times New Roman"/>
          <w:b w:val="0"/>
        </w:rPr>
        <w:t>出决算情况说明</w:t>
      </w:r>
      <w:bookmarkEnd w:id="22"/>
      <w:bookmarkEnd w:id="23"/>
    </w:p>
    <w:p>
      <w:pPr>
        <w:pStyle w:val="14"/>
        <w:pageBreakBefore w:val="0"/>
        <w:kinsoku/>
        <w:wordWrap/>
        <w:overflowPunct/>
        <w:topLinePunct w:val="0"/>
        <w:autoSpaceDE/>
        <w:autoSpaceDN/>
        <w:bidi w:val="0"/>
        <w:spacing w:line="560" w:lineRule="exact"/>
        <w:ind w:firstLine="640"/>
        <w:jc w:val="left"/>
        <w:textAlignment w:val="auto"/>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2024年度本年支出合计</w:t>
      </w:r>
      <w:r>
        <w:rPr>
          <w:rFonts w:hint="eastAsia" w:eastAsia="仿宋_GB2312" w:cs="Times New Roman"/>
          <w:sz w:val="32"/>
          <w:szCs w:val="32"/>
          <w:lang w:val="en-US" w:eastAsia="zh-CN"/>
        </w:rPr>
        <w:t>88.21</w:t>
      </w:r>
      <w:r>
        <w:rPr>
          <w:rFonts w:hint="default" w:ascii="Times New Roman" w:hAnsi="Times New Roman" w:eastAsia="仿宋_GB2312" w:cs="Times New Roman"/>
          <w:sz w:val="32"/>
          <w:szCs w:val="32"/>
        </w:rPr>
        <w:t>万元，其中：基本支出</w:t>
      </w:r>
      <w:r>
        <w:rPr>
          <w:rFonts w:hint="eastAsia" w:eastAsia="仿宋_GB2312" w:cs="Times New Roman"/>
          <w:sz w:val="32"/>
          <w:szCs w:val="32"/>
          <w:lang w:val="en-US" w:eastAsia="zh-CN"/>
        </w:rPr>
        <w:t>88.21</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p>
    <w:p>
      <w:pPr>
        <w:pageBreakBefore w:val="0"/>
        <w:kinsoku/>
        <w:wordWrap/>
        <w:overflowPunct/>
        <w:topLinePunct w:val="0"/>
        <w:autoSpaceDE/>
        <w:autoSpaceDN/>
        <w:bidi w:val="0"/>
        <w:spacing w:line="560" w:lineRule="exact"/>
        <w:ind w:firstLine="525" w:firstLineChars="250"/>
        <w:textAlignment w:val="auto"/>
        <w:rPr>
          <w:rFonts w:hint="default" w:ascii="Times New Roman" w:hAnsi="Times New Roman" w:eastAsia="仿宋_GB2312" w:cs="Times New Roman"/>
          <w:sz w:val="32"/>
          <w:szCs w:val="32"/>
        </w:rPr>
      </w:pPr>
      <w:r>
        <w:rPr>
          <w:rFonts w:hint="default" w:ascii="Times New Roman" w:hAnsi="Times New Roman" w:cs="Times New Roman"/>
        </w:rPr>
        <w:drawing>
          <wp:anchor distT="0" distB="0" distL="114300" distR="114300" simplePos="0" relativeHeight="251661312" behindDoc="0" locked="0" layoutInCell="1" allowOverlap="1">
            <wp:simplePos x="0" y="0"/>
            <wp:positionH relativeFrom="column">
              <wp:posOffset>21590</wp:posOffset>
            </wp:positionH>
            <wp:positionV relativeFrom="paragraph">
              <wp:posOffset>64135</wp:posOffset>
            </wp:positionV>
            <wp:extent cx="4803775" cy="2361565"/>
            <wp:effectExtent l="5080" t="5080" r="6985" b="10795"/>
            <wp:wrapSquare wrapText="bothSides"/>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ageBreakBefore w:val="0"/>
        <w:kinsoku/>
        <w:wordWrap/>
        <w:overflowPunct/>
        <w:topLinePunct w:val="0"/>
        <w:autoSpaceDE/>
        <w:autoSpaceDN/>
        <w:bidi w:val="0"/>
        <w:spacing w:line="560" w:lineRule="exact"/>
        <w:ind w:firstLine="800" w:firstLineChars="250"/>
        <w:textAlignment w:val="auto"/>
        <w:rPr>
          <w:rFonts w:hint="default" w:ascii="Times New Roman" w:hAnsi="Times New Roman" w:eastAsia="仿宋_GB2312" w:cs="Times New Roman"/>
          <w:sz w:val="32"/>
          <w:szCs w:val="32"/>
        </w:rPr>
      </w:pPr>
    </w:p>
    <w:p>
      <w:pPr>
        <w:pageBreakBefore w:val="0"/>
        <w:kinsoku/>
        <w:wordWrap/>
        <w:overflowPunct/>
        <w:topLinePunct w:val="0"/>
        <w:autoSpaceDE/>
        <w:autoSpaceDN/>
        <w:bidi w:val="0"/>
        <w:spacing w:line="560" w:lineRule="exact"/>
        <w:ind w:firstLine="800" w:firstLineChars="250"/>
        <w:textAlignment w:val="auto"/>
        <w:rPr>
          <w:rFonts w:hint="default" w:ascii="Times New Roman" w:hAnsi="Times New Roman" w:eastAsia="仿宋_GB2312" w:cs="Times New Roman"/>
          <w:sz w:val="32"/>
          <w:szCs w:val="32"/>
        </w:rPr>
      </w:pPr>
    </w:p>
    <w:p>
      <w:pPr>
        <w:pageBreakBefore w:val="0"/>
        <w:kinsoku/>
        <w:wordWrap/>
        <w:overflowPunct/>
        <w:topLinePunct w:val="0"/>
        <w:autoSpaceDE/>
        <w:autoSpaceDN/>
        <w:bidi w:val="0"/>
        <w:spacing w:line="560" w:lineRule="exact"/>
        <w:ind w:firstLine="800" w:firstLineChars="250"/>
        <w:textAlignment w:val="auto"/>
        <w:rPr>
          <w:rFonts w:hint="default" w:ascii="Times New Roman" w:hAnsi="Times New Roman" w:eastAsia="仿宋_GB2312" w:cs="Times New Roman"/>
          <w:sz w:val="32"/>
          <w:szCs w:val="32"/>
        </w:rPr>
      </w:pPr>
    </w:p>
    <w:p>
      <w:pPr>
        <w:pageBreakBefore w:val="0"/>
        <w:kinsoku/>
        <w:wordWrap/>
        <w:overflowPunct/>
        <w:topLinePunct w:val="0"/>
        <w:autoSpaceDE/>
        <w:autoSpaceDN/>
        <w:bidi w:val="0"/>
        <w:spacing w:line="560" w:lineRule="exact"/>
        <w:ind w:firstLine="640" w:firstLineChars="200"/>
        <w:textAlignment w:val="auto"/>
        <w:outlineLvl w:val="1"/>
        <w:rPr>
          <w:rFonts w:hint="default" w:ascii="Times New Roman" w:hAnsi="Times New Roman" w:eastAsia="黑体" w:cs="Times New Roman"/>
          <w:sz w:val="32"/>
          <w:szCs w:val="32"/>
        </w:rPr>
      </w:pPr>
      <w:bookmarkStart w:id="24" w:name="_Toc15377208"/>
      <w:bookmarkStart w:id="25" w:name="_Toc15396606"/>
    </w:p>
    <w:p>
      <w:pPr>
        <w:pageBreakBefore w:val="0"/>
        <w:kinsoku/>
        <w:wordWrap/>
        <w:overflowPunct/>
        <w:topLinePunct w:val="0"/>
        <w:autoSpaceDE/>
        <w:autoSpaceDN/>
        <w:bidi w:val="0"/>
        <w:spacing w:line="560" w:lineRule="exact"/>
        <w:ind w:firstLine="640" w:firstLineChars="200"/>
        <w:textAlignment w:val="auto"/>
        <w:outlineLvl w:val="1"/>
        <w:rPr>
          <w:rFonts w:hint="default" w:ascii="Times New Roman" w:hAnsi="Times New Roman" w:eastAsia="黑体" w:cs="Times New Roman"/>
          <w:sz w:val="32"/>
          <w:szCs w:val="32"/>
        </w:rPr>
      </w:pPr>
    </w:p>
    <w:p>
      <w:pPr>
        <w:pageBreakBefore w:val="0"/>
        <w:kinsoku/>
        <w:wordWrap/>
        <w:overflowPunct/>
        <w:topLinePunct w:val="0"/>
        <w:autoSpaceDE/>
        <w:autoSpaceDN/>
        <w:bidi w:val="0"/>
        <w:spacing w:line="560" w:lineRule="exact"/>
        <w:ind w:firstLine="640" w:firstLineChars="200"/>
        <w:textAlignment w:val="auto"/>
        <w:outlineLvl w:val="1"/>
        <w:rPr>
          <w:rFonts w:hint="default" w:ascii="Times New Roman" w:hAnsi="Times New Roman" w:eastAsia="黑体" w:cs="Times New Roman"/>
          <w:sz w:val="32"/>
          <w:szCs w:val="32"/>
        </w:rPr>
      </w:pPr>
    </w:p>
    <w:p>
      <w:pPr>
        <w:pageBreakBefore w:val="0"/>
        <w:kinsoku/>
        <w:wordWrap/>
        <w:overflowPunct/>
        <w:topLinePunct w:val="0"/>
        <w:autoSpaceDE/>
        <w:autoSpaceDN/>
        <w:bidi w:val="0"/>
        <w:spacing w:line="560" w:lineRule="exact"/>
        <w:ind w:firstLine="2160" w:firstLineChars="900"/>
        <w:textAlignment w:val="auto"/>
        <w:outlineLvl w:val="1"/>
        <w:rPr>
          <w:rFonts w:hint="default" w:ascii="Times New Roman" w:hAnsi="Times New Roman" w:eastAsia="黑体" w:cs="Times New Roman"/>
          <w:sz w:val="32"/>
          <w:szCs w:val="32"/>
        </w:rPr>
      </w:pPr>
      <w:r>
        <w:rPr>
          <w:rFonts w:hint="default" w:ascii="Times New Roman" w:hAnsi="Times New Roman" w:eastAsia="宋体" w:cs="Times New Roman"/>
          <w:sz w:val="24"/>
          <w:szCs w:val="24"/>
        </w:rPr>
        <w:t>（图</w:t>
      </w:r>
      <w:r>
        <w:rPr>
          <w:rFonts w:hint="default" w:ascii="Times New Roman" w:hAnsi="Times New Roman" w:cs="Times New Roman"/>
          <w:sz w:val="24"/>
          <w:szCs w:val="24"/>
          <w:lang w:val="en-US" w:eastAsia="zh-CN"/>
        </w:rPr>
        <w:t>3</w:t>
      </w:r>
      <w:r>
        <w:rPr>
          <w:rFonts w:hint="default" w:ascii="Times New Roman" w:hAnsi="Times New Roman" w:eastAsia="宋体" w:cs="Times New Roman"/>
          <w:sz w:val="24"/>
          <w:szCs w:val="24"/>
        </w:rPr>
        <w:t>：支出决算结构图）</w:t>
      </w:r>
    </w:p>
    <w:p>
      <w:pPr>
        <w:pageBreakBefore w:val="0"/>
        <w:kinsoku/>
        <w:wordWrap/>
        <w:overflowPunct/>
        <w:topLinePunct w:val="0"/>
        <w:autoSpaceDE/>
        <w:autoSpaceDN/>
        <w:bidi w:val="0"/>
        <w:spacing w:line="560" w:lineRule="exact"/>
        <w:ind w:firstLine="640" w:firstLineChars="200"/>
        <w:textAlignment w:val="auto"/>
        <w:outlineLvl w:val="1"/>
        <w:rPr>
          <w:rStyle w:val="15"/>
          <w:rFonts w:hint="default" w:ascii="Times New Roman" w:hAnsi="Times New Roman" w:eastAsia="黑体" w:cs="Times New Roman"/>
          <w:b w:val="0"/>
        </w:rPr>
      </w:pPr>
      <w:r>
        <w:rPr>
          <w:rFonts w:hint="default" w:ascii="Times New Roman" w:hAnsi="Times New Roman" w:eastAsia="黑体" w:cs="Times New Roman"/>
          <w:sz w:val="32"/>
          <w:szCs w:val="32"/>
        </w:rPr>
        <w:t>四、财</w:t>
      </w:r>
      <w:r>
        <w:rPr>
          <w:rStyle w:val="15"/>
          <w:rFonts w:hint="default" w:ascii="Times New Roman" w:hAnsi="Times New Roman" w:eastAsia="黑体" w:cs="Times New Roman"/>
          <w:b w:val="0"/>
        </w:rPr>
        <w:t>政拨款收入支出决算总体情况说明</w:t>
      </w:r>
      <w:bookmarkEnd w:id="24"/>
      <w:bookmarkEnd w:id="25"/>
    </w:p>
    <w:p>
      <w:pPr>
        <w:pStyle w:val="14"/>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2024年度财政拨款收入、支出总计均为</w:t>
      </w:r>
      <w:r>
        <w:rPr>
          <w:rFonts w:hint="eastAsia" w:eastAsia="仿宋_GB2312" w:cs="Times New Roman"/>
          <w:sz w:val="32"/>
          <w:szCs w:val="32"/>
          <w:lang w:val="en-US" w:eastAsia="zh-CN"/>
        </w:rPr>
        <w:t>88.21</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与 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年度相比，财政拨款收入总计、支出总计各增加</w:t>
      </w:r>
      <w:r>
        <w:rPr>
          <w:rFonts w:hint="eastAsia" w:eastAsia="仿宋_GB2312" w:cs="Times New Roman"/>
          <w:sz w:val="32"/>
          <w:szCs w:val="32"/>
          <w:lang w:val="en-US" w:eastAsia="zh-CN"/>
        </w:rPr>
        <w:t>88.21</w:t>
      </w:r>
      <w:r>
        <w:rPr>
          <w:rFonts w:hint="default" w:ascii="Times New Roman" w:hAnsi="Times New Roman" w:eastAsia="仿宋_GB2312" w:cs="Times New Roman"/>
          <w:sz w:val="32"/>
          <w:szCs w:val="32"/>
        </w:rPr>
        <w:t>万元。主要变动原因是我部为2024年新组建成立部门，202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年度无财政拨款收入支出</w:t>
      </w:r>
      <w:r>
        <w:rPr>
          <w:rFonts w:hint="default" w:ascii="Times New Roman" w:hAnsi="Times New Roman" w:eastAsia="仿宋_GB2312" w:cs="Times New Roman"/>
          <w:sz w:val="32"/>
          <w:szCs w:val="32"/>
          <w:lang w:eastAsia="zh-CN"/>
        </w:rPr>
        <w:t>。</w:t>
      </w:r>
    </w:p>
    <w:p>
      <w:pPr>
        <w:pStyle w:val="14"/>
        <w:keepNext w:val="0"/>
        <w:keepLines w:val="0"/>
        <w:pageBreakBefore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default" w:ascii="Times New Roman" w:hAnsi="Times New Roman" w:eastAsia="仿宋_GB2312" w:cs="Times New Roman"/>
          <w:sz w:val="32"/>
          <w:szCs w:val="32"/>
          <w:lang w:eastAsia="zh-CN"/>
        </w:rPr>
      </w:pPr>
      <w:r>
        <w:drawing>
          <wp:anchor distT="0" distB="0" distL="114300" distR="114300" simplePos="0" relativeHeight="251664384" behindDoc="1" locked="0" layoutInCell="1" allowOverlap="1">
            <wp:simplePos x="0" y="0"/>
            <wp:positionH relativeFrom="column">
              <wp:posOffset>318770</wp:posOffset>
            </wp:positionH>
            <wp:positionV relativeFrom="paragraph">
              <wp:posOffset>273685</wp:posOffset>
            </wp:positionV>
            <wp:extent cx="4429125" cy="2184400"/>
            <wp:effectExtent l="4445" t="4445" r="5080" b="20955"/>
            <wp:wrapTight wrapText="bothSides">
              <wp:wrapPolygon>
                <wp:start x="-22" y="-44"/>
                <wp:lineTo x="-22" y="21430"/>
                <wp:lineTo x="21532" y="21430"/>
                <wp:lineTo x="21532" y="-44"/>
                <wp:lineTo x="-22" y="-44"/>
              </wp:wrapPolygon>
            </wp:wrapTight>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14"/>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p>
    <w:p>
      <w:pPr>
        <w:pStyle w:val="14"/>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p>
    <w:p>
      <w:pPr>
        <w:pStyle w:val="14"/>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p>
    <w:p>
      <w:pPr>
        <w:pStyle w:val="14"/>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p>
    <w:p>
      <w:pPr>
        <w:pStyle w:val="14"/>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p>
    <w:p>
      <w:pPr>
        <w:pStyle w:val="14"/>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eastAsia="zh-CN"/>
        </w:rPr>
      </w:pPr>
    </w:p>
    <w:p>
      <w:pPr>
        <w:pStyle w:val="14"/>
        <w:keepNext w:val="0"/>
        <w:keepLines w:val="0"/>
        <w:pageBreakBefore w:val="0"/>
        <w:numPr>
          <w:ilvl w:val="0"/>
          <w:numId w:val="0"/>
        </w:numPr>
        <w:kinsoku/>
        <w:wordWrap/>
        <w:overflowPunct/>
        <w:topLinePunct w:val="0"/>
        <w:autoSpaceDE/>
        <w:autoSpaceDN/>
        <w:bidi w:val="0"/>
        <w:adjustRightInd/>
        <w:snapToGrid/>
        <w:spacing w:line="560" w:lineRule="exact"/>
        <w:ind w:firstLine="1200" w:firstLineChars="5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宋体" w:cs="Times New Roman"/>
          <w:sz w:val="24"/>
          <w:szCs w:val="24"/>
        </w:rPr>
        <w:t>（图</w:t>
      </w:r>
      <w:r>
        <w:rPr>
          <w:rFonts w:hint="default" w:ascii="Times New Roman" w:hAnsi="Times New Roman" w:cs="Times New Roman"/>
          <w:sz w:val="24"/>
          <w:szCs w:val="24"/>
          <w:lang w:val="en-US" w:eastAsia="zh-CN"/>
        </w:rPr>
        <w:t>4</w:t>
      </w:r>
      <w:r>
        <w:rPr>
          <w:rFonts w:hint="default" w:ascii="Times New Roman" w:hAnsi="Times New Roman" w:eastAsia="宋体" w:cs="Times New Roman"/>
          <w:sz w:val="24"/>
          <w:szCs w:val="24"/>
        </w:rPr>
        <w:t>：财政拨款</w:t>
      </w:r>
      <w:r>
        <w:rPr>
          <w:rFonts w:hint="eastAsia" w:cs="Times New Roman"/>
          <w:sz w:val="24"/>
          <w:szCs w:val="24"/>
          <w:lang w:eastAsia="zh-CN"/>
        </w:rPr>
        <w:t>收入</w:t>
      </w:r>
      <w:r>
        <w:rPr>
          <w:rFonts w:hint="default" w:ascii="Times New Roman" w:hAnsi="Times New Roman" w:eastAsia="宋体" w:cs="Times New Roman"/>
          <w:sz w:val="24"/>
          <w:szCs w:val="24"/>
        </w:rPr>
        <w:t>支出决算变动情况）</w:t>
      </w:r>
    </w:p>
    <w:p>
      <w:pPr>
        <w:pageBreakBefore w:val="0"/>
        <w:kinsoku/>
        <w:wordWrap/>
        <w:overflowPunct/>
        <w:topLinePunct w:val="0"/>
        <w:autoSpaceDE/>
        <w:autoSpaceDN/>
        <w:bidi w:val="0"/>
        <w:spacing w:line="560" w:lineRule="exact"/>
        <w:ind w:firstLine="640" w:firstLineChars="200"/>
        <w:textAlignment w:val="auto"/>
        <w:outlineLvl w:val="1"/>
        <w:rPr>
          <w:rStyle w:val="15"/>
          <w:rFonts w:hint="default" w:ascii="Times New Roman" w:hAnsi="Times New Roman" w:eastAsia="黑体" w:cs="Times New Roman"/>
          <w:b w:val="0"/>
        </w:rPr>
      </w:pPr>
      <w:bookmarkStart w:id="26" w:name="_Toc15396607"/>
      <w:bookmarkStart w:id="27" w:name="_Toc15377209"/>
      <w:r>
        <w:rPr>
          <w:rFonts w:hint="default" w:ascii="Times New Roman" w:hAnsi="Times New Roman" w:eastAsia="黑体" w:cs="Times New Roman"/>
          <w:sz w:val="32"/>
          <w:szCs w:val="32"/>
        </w:rPr>
        <w:t>五、</w:t>
      </w:r>
      <w:r>
        <w:rPr>
          <w:rStyle w:val="15"/>
          <w:rFonts w:hint="default" w:ascii="Times New Roman" w:hAnsi="Times New Roman" w:eastAsia="黑体" w:cs="Times New Roman"/>
          <w:b w:val="0"/>
        </w:rPr>
        <w:t>一般公共预算财政拨款支出决算情况说明</w:t>
      </w:r>
      <w:bookmarkEnd w:id="26"/>
      <w:bookmarkEnd w:id="27"/>
    </w:p>
    <w:p>
      <w:pPr>
        <w:pageBreakBefore w:val="0"/>
        <w:kinsoku/>
        <w:wordWrap/>
        <w:overflowPunct/>
        <w:topLinePunct w:val="0"/>
        <w:autoSpaceDE/>
        <w:autoSpaceDN/>
        <w:bidi w:val="0"/>
        <w:spacing w:line="560" w:lineRule="exact"/>
        <w:ind w:firstLine="642" w:firstLineChars="200"/>
        <w:textAlignment w:val="auto"/>
        <w:outlineLvl w:val="2"/>
        <w:rPr>
          <w:rFonts w:hint="default" w:ascii="Times New Roman" w:hAnsi="Times New Roman" w:eastAsia="楷体_GB2312" w:cs="Times New Roman"/>
          <w:b/>
          <w:sz w:val="32"/>
          <w:szCs w:val="32"/>
        </w:rPr>
      </w:pPr>
      <w:bookmarkStart w:id="28" w:name="_Toc15377210"/>
      <w:r>
        <w:rPr>
          <w:rFonts w:hint="default" w:ascii="Times New Roman" w:hAnsi="Times New Roman" w:eastAsia="楷体_GB2312" w:cs="Times New Roman"/>
          <w:b/>
          <w:sz w:val="32"/>
          <w:szCs w:val="32"/>
        </w:rPr>
        <w:t>（一）一般公共预算财政拨款支出决算总体情况</w:t>
      </w:r>
      <w:bookmarkEnd w:id="28"/>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楷体_GB2312" w:cs="Times New Roman"/>
          <w:b/>
          <w:sz w:val="32"/>
          <w:szCs w:val="32"/>
        </w:rPr>
      </w:pPr>
      <w:r>
        <w:rPr>
          <w:rFonts w:hint="default" w:ascii="Times New Roman" w:hAnsi="Times New Roman" w:eastAsia="仿宋_GB2312" w:cs="Times New Roman"/>
          <w:sz w:val="32"/>
          <w:szCs w:val="32"/>
        </w:rPr>
        <w:t>2024年度一般公共预算财政拨款支出</w:t>
      </w:r>
      <w:r>
        <w:rPr>
          <w:rFonts w:hint="eastAsia" w:eastAsia="仿宋_GB2312" w:cs="Times New Roman"/>
          <w:sz w:val="32"/>
          <w:szCs w:val="32"/>
          <w:lang w:val="en-US" w:eastAsia="zh-CN"/>
        </w:rPr>
        <w:t>88.21</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%。与202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年度相比，一般公共预算财政拨款支出增加</w:t>
      </w:r>
      <w:r>
        <w:rPr>
          <w:rFonts w:hint="eastAsia" w:eastAsia="仿宋_GB2312" w:cs="Times New Roman"/>
          <w:sz w:val="32"/>
          <w:szCs w:val="32"/>
          <w:lang w:val="en-US" w:eastAsia="zh-CN"/>
        </w:rPr>
        <w:t>88.21</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%。主要变动原因是</w:t>
      </w:r>
      <w:r>
        <w:rPr>
          <w:rFonts w:hint="eastAsia" w:eastAsia="仿宋_GB2312" w:cs="Times New Roman"/>
          <w:sz w:val="32"/>
          <w:szCs w:val="32"/>
          <w:lang w:val="en-US" w:eastAsia="zh-CN"/>
        </w:rPr>
        <w:t>我</w:t>
      </w:r>
      <w:r>
        <w:rPr>
          <w:rFonts w:hint="default" w:ascii="Times New Roman" w:hAnsi="Times New Roman" w:eastAsia="仿宋_GB2312" w:cs="Times New Roman"/>
          <w:sz w:val="32"/>
          <w:szCs w:val="32"/>
          <w:lang w:val="en-US" w:eastAsia="zh-CN"/>
        </w:rPr>
        <w:t>部为2024年新组建成立部门，</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年度无财政拨款收入支出</w:t>
      </w:r>
      <w:r>
        <w:rPr>
          <w:rFonts w:hint="default" w:ascii="Times New Roman" w:hAnsi="Times New Roman" w:eastAsia="仿宋_GB2312" w:cs="Times New Roman"/>
          <w:sz w:val="32"/>
          <w:szCs w:val="32"/>
          <w:lang w:eastAsia="zh-CN"/>
        </w:rPr>
        <w:t>。</w:t>
      </w:r>
      <w:bookmarkStart w:id="29" w:name="_Toc15377211"/>
    </w:p>
    <w:p>
      <w:pPr>
        <w:pageBreakBefore w:val="0"/>
        <w:kinsoku/>
        <w:wordWrap/>
        <w:overflowPunct/>
        <w:topLinePunct w:val="0"/>
        <w:autoSpaceDE/>
        <w:autoSpaceDN/>
        <w:bidi w:val="0"/>
        <w:spacing w:line="560" w:lineRule="exact"/>
        <w:ind w:firstLine="1470" w:firstLineChars="700"/>
        <w:textAlignment w:val="auto"/>
        <w:outlineLvl w:val="2"/>
        <w:rPr>
          <w:rFonts w:hint="default" w:ascii="Times New Roman" w:hAnsi="Times New Roman" w:eastAsia="楷体_GB2312" w:cs="Times New Roman"/>
          <w:b/>
          <w:sz w:val="32"/>
          <w:szCs w:val="32"/>
        </w:rPr>
      </w:pPr>
      <w:r>
        <w:rPr>
          <w:rFonts w:hint="default" w:ascii="Times New Roman" w:hAnsi="Times New Roman" w:cs="Times New Roman"/>
        </w:rPr>
        <w:drawing>
          <wp:anchor distT="0" distB="0" distL="114300" distR="114300" simplePos="0" relativeHeight="251662336" behindDoc="1" locked="0" layoutInCell="1" allowOverlap="1">
            <wp:simplePos x="0" y="0"/>
            <wp:positionH relativeFrom="column">
              <wp:posOffset>332105</wp:posOffset>
            </wp:positionH>
            <wp:positionV relativeFrom="paragraph">
              <wp:posOffset>25400</wp:posOffset>
            </wp:positionV>
            <wp:extent cx="4826000" cy="2573020"/>
            <wp:effectExtent l="4445" t="4445" r="15875" b="13335"/>
            <wp:wrapTight wrapText="bothSides">
              <wp:wrapPolygon>
                <wp:start x="-20" y="-37"/>
                <wp:lineTo x="-20" y="21456"/>
                <wp:lineTo x="21535" y="21456"/>
                <wp:lineTo x="21535" y="-37"/>
                <wp:lineTo x="-20" y="-37"/>
              </wp:wrapPolygon>
            </wp:wrapTight>
            <wp:docPr id="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default" w:ascii="Times New Roman" w:hAnsi="Times New Roman" w:eastAsia="宋体" w:cs="Times New Roman"/>
          <w:sz w:val="24"/>
          <w:szCs w:val="24"/>
        </w:rPr>
        <w:t>（图</w:t>
      </w:r>
      <w:r>
        <w:rPr>
          <w:rFonts w:hint="default" w:ascii="Times New Roman" w:hAnsi="Times New Roman" w:cs="Times New Roman"/>
          <w:sz w:val="24"/>
          <w:szCs w:val="24"/>
          <w:lang w:val="en-US" w:eastAsia="zh-CN"/>
        </w:rPr>
        <w:t>5</w:t>
      </w:r>
      <w:r>
        <w:rPr>
          <w:rFonts w:hint="default" w:ascii="Times New Roman" w:hAnsi="Times New Roman" w:eastAsia="宋体" w:cs="Times New Roman"/>
          <w:sz w:val="24"/>
          <w:szCs w:val="24"/>
        </w:rPr>
        <w:t>：财政拨款收、支决算总计变动情况）</w:t>
      </w:r>
    </w:p>
    <w:p>
      <w:pPr>
        <w:pageBreakBefore w:val="0"/>
        <w:kinsoku/>
        <w:wordWrap/>
        <w:overflowPunct/>
        <w:topLinePunct w:val="0"/>
        <w:autoSpaceDE/>
        <w:autoSpaceDN/>
        <w:bidi w:val="0"/>
        <w:spacing w:line="560" w:lineRule="exact"/>
        <w:ind w:firstLine="642" w:firstLineChars="200"/>
        <w:textAlignment w:val="auto"/>
        <w:outlineLvl w:val="2"/>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（二）一般公共预算财政拨款支出决算结构情况</w:t>
      </w:r>
      <w:bookmarkEnd w:id="29"/>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2024年度一般公共预算财政拨款支出</w:t>
      </w:r>
      <w:r>
        <w:rPr>
          <w:rFonts w:hint="eastAsia" w:eastAsia="仿宋_GB2312" w:cs="Times New Roman"/>
          <w:sz w:val="32"/>
          <w:szCs w:val="32"/>
          <w:lang w:val="en-US" w:eastAsia="zh-CN"/>
        </w:rPr>
        <w:t>88.21</w:t>
      </w:r>
      <w:r>
        <w:rPr>
          <w:rFonts w:hint="default" w:ascii="Times New Roman" w:hAnsi="Times New Roman" w:eastAsia="仿宋_GB2312" w:cs="Times New Roman"/>
          <w:sz w:val="32"/>
          <w:szCs w:val="32"/>
        </w:rPr>
        <w:t>万元，主要用于以下方面：一般公共服务支出</w:t>
      </w:r>
      <w:r>
        <w:rPr>
          <w:rFonts w:hint="eastAsia" w:eastAsia="仿宋_GB2312" w:cs="Times New Roman"/>
          <w:sz w:val="32"/>
          <w:szCs w:val="32"/>
          <w:lang w:val="en-US" w:eastAsia="zh-CN"/>
        </w:rPr>
        <w:t>69.89</w:t>
      </w:r>
      <w:r>
        <w:rPr>
          <w:rFonts w:hint="default" w:ascii="Times New Roman" w:hAnsi="Times New Roman" w:eastAsia="仿宋_GB2312" w:cs="Times New Roman"/>
          <w:sz w:val="32"/>
          <w:szCs w:val="32"/>
        </w:rPr>
        <w:t>万元，占</w:t>
      </w:r>
      <w:r>
        <w:rPr>
          <w:rFonts w:hint="eastAsia" w:eastAsia="仿宋_GB2312" w:cs="Times New Roman"/>
          <w:sz w:val="32"/>
          <w:szCs w:val="32"/>
          <w:lang w:val="en-US" w:eastAsia="zh-CN"/>
        </w:rPr>
        <w:t>79</w:t>
      </w:r>
      <w:r>
        <w:rPr>
          <w:rFonts w:hint="default" w:ascii="Times New Roman" w:hAnsi="Times New Roman" w:eastAsia="仿宋_GB2312" w:cs="Times New Roman"/>
          <w:sz w:val="32"/>
          <w:szCs w:val="32"/>
        </w:rPr>
        <w:t>%；社会保障和就业支出</w:t>
      </w:r>
      <w:r>
        <w:rPr>
          <w:rFonts w:hint="eastAsia" w:eastAsia="仿宋_GB2312" w:cs="Times New Roman"/>
          <w:sz w:val="32"/>
          <w:szCs w:val="32"/>
          <w:lang w:val="en-US" w:eastAsia="zh-CN"/>
        </w:rPr>
        <w:t>9.21</w:t>
      </w:r>
      <w:r>
        <w:rPr>
          <w:rFonts w:hint="default" w:ascii="Times New Roman" w:hAnsi="Times New Roman" w:eastAsia="仿宋_GB2312" w:cs="Times New Roman"/>
          <w:sz w:val="32"/>
          <w:szCs w:val="32"/>
        </w:rPr>
        <w:t>万元，占</w:t>
      </w:r>
      <w:r>
        <w:rPr>
          <w:rFonts w:hint="eastAsia" w:eastAsia="仿宋_GB2312" w:cs="Times New Roman"/>
          <w:sz w:val="32"/>
          <w:szCs w:val="32"/>
          <w:lang w:val="en-US" w:eastAsia="zh-CN"/>
        </w:rPr>
        <w:t>11</w:t>
      </w:r>
      <w:r>
        <w:rPr>
          <w:rFonts w:hint="default" w:ascii="Times New Roman" w:hAnsi="Times New Roman" w:eastAsia="仿宋_GB2312" w:cs="Times New Roman"/>
          <w:sz w:val="32"/>
          <w:szCs w:val="32"/>
        </w:rPr>
        <w:t>%；卫生健康支出</w:t>
      </w:r>
      <w:r>
        <w:rPr>
          <w:rFonts w:hint="eastAsia" w:eastAsia="仿宋_GB2312" w:cs="Times New Roman"/>
          <w:sz w:val="32"/>
          <w:szCs w:val="32"/>
          <w:lang w:val="en-US" w:eastAsia="zh-CN"/>
        </w:rPr>
        <w:t>3.71</w:t>
      </w:r>
      <w:r>
        <w:rPr>
          <w:rFonts w:hint="default" w:ascii="Times New Roman" w:hAnsi="Times New Roman" w:eastAsia="仿宋_GB2312" w:cs="Times New Roman"/>
          <w:sz w:val="32"/>
          <w:szCs w:val="32"/>
        </w:rPr>
        <w:t>万元，占</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rPr>
        <w:t>%；住房保障支出</w:t>
      </w:r>
      <w:r>
        <w:rPr>
          <w:rFonts w:hint="eastAsia" w:eastAsia="仿宋_GB2312" w:cs="Times New Roman"/>
          <w:sz w:val="32"/>
          <w:szCs w:val="32"/>
          <w:lang w:val="en-US" w:eastAsia="zh-CN"/>
        </w:rPr>
        <w:t>5.40</w:t>
      </w:r>
      <w:r>
        <w:rPr>
          <w:rFonts w:hint="default" w:ascii="Times New Roman" w:hAnsi="Times New Roman" w:eastAsia="仿宋_GB2312" w:cs="Times New Roman"/>
          <w:sz w:val="32"/>
          <w:szCs w:val="32"/>
        </w:rPr>
        <w:t>万元</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占</w:t>
      </w:r>
      <w:r>
        <w:rPr>
          <w:rFonts w:hint="eastAsia"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pStyle w:val="2"/>
        <w:pageBreakBefore w:val="0"/>
        <w:kinsoku/>
        <w:wordWrap/>
        <w:overflowPunct/>
        <w:topLinePunct w:val="0"/>
        <w:autoSpaceDE/>
        <w:autoSpaceDN/>
        <w:bidi w:val="0"/>
        <w:spacing w:line="560" w:lineRule="exact"/>
        <w:rPr>
          <w:rFonts w:hint="default" w:ascii="Times New Roman" w:hAnsi="Times New Roman" w:eastAsia="仿宋_GB2312" w:cs="Times New Roman"/>
          <w:sz w:val="32"/>
          <w:szCs w:val="32"/>
          <w:lang w:eastAsia="zh-CN"/>
        </w:rPr>
      </w:pPr>
      <w:r>
        <w:drawing>
          <wp:anchor distT="0" distB="0" distL="114300" distR="114300" simplePos="0" relativeHeight="251665408" behindDoc="1" locked="0" layoutInCell="1" allowOverlap="1">
            <wp:simplePos x="0" y="0"/>
            <wp:positionH relativeFrom="column">
              <wp:posOffset>213995</wp:posOffset>
            </wp:positionH>
            <wp:positionV relativeFrom="paragraph">
              <wp:posOffset>-6878320</wp:posOffset>
            </wp:positionV>
            <wp:extent cx="4761230" cy="2828925"/>
            <wp:effectExtent l="4445" t="5080" r="15875" b="4445"/>
            <wp:wrapTight wrapText="bothSides">
              <wp:wrapPolygon>
                <wp:start x="-20" y="-39"/>
                <wp:lineTo x="-20" y="21488"/>
                <wp:lineTo x="21499" y="21488"/>
                <wp:lineTo x="21499" y="-39"/>
                <wp:lineTo x="-20" y="-39"/>
              </wp:wrapPolygon>
            </wp:wrapTight>
            <wp:docPr id="1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ageBreakBefore w:val="0"/>
        <w:kinsoku/>
        <w:wordWrap/>
        <w:overflowPunct/>
        <w:topLinePunct w:val="0"/>
        <w:autoSpaceDE/>
        <w:autoSpaceDN/>
        <w:bidi w:val="0"/>
        <w:spacing w:line="560" w:lineRule="exact"/>
        <w:ind w:firstLine="1920" w:firstLineChars="800"/>
        <w:textAlignment w:val="auto"/>
        <w:outlineLvl w:val="2"/>
        <w:rPr>
          <w:rFonts w:hint="default" w:ascii="Times New Roman" w:hAnsi="Times New Roman" w:eastAsia="宋体" w:cs="Times New Roman"/>
          <w:sz w:val="24"/>
          <w:szCs w:val="24"/>
        </w:rPr>
      </w:pPr>
      <w:bookmarkStart w:id="30" w:name="_Toc15377212"/>
    </w:p>
    <w:p>
      <w:pPr>
        <w:pageBreakBefore w:val="0"/>
        <w:kinsoku/>
        <w:wordWrap/>
        <w:overflowPunct/>
        <w:topLinePunct w:val="0"/>
        <w:autoSpaceDE/>
        <w:autoSpaceDN/>
        <w:bidi w:val="0"/>
        <w:spacing w:line="560" w:lineRule="exact"/>
        <w:ind w:firstLine="1920" w:firstLineChars="800"/>
        <w:textAlignment w:val="auto"/>
        <w:outlineLvl w:val="2"/>
        <w:rPr>
          <w:rFonts w:hint="default" w:ascii="Times New Roman" w:hAnsi="Times New Roman" w:eastAsia="宋体" w:cs="Times New Roman"/>
          <w:sz w:val="24"/>
          <w:szCs w:val="24"/>
        </w:rPr>
      </w:pPr>
    </w:p>
    <w:p>
      <w:pPr>
        <w:pageBreakBefore w:val="0"/>
        <w:kinsoku/>
        <w:wordWrap/>
        <w:overflowPunct/>
        <w:topLinePunct w:val="0"/>
        <w:autoSpaceDE/>
        <w:autoSpaceDN/>
        <w:bidi w:val="0"/>
        <w:spacing w:line="560" w:lineRule="exact"/>
        <w:ind w:firstLine="1920" w:firstLineChars="800"/>
        <w:textAlignment w:val="auto"/>
        <w:outlineLvl w:val="2"/>
        <w:rPr>
          <w:rFonts w:hint="default" w:ascii="Times New Roman" w:hAnsi="Times New Roman" w:eastAsia="宋体" w:cs="Times New Roman"/>
          <w:sz w:val="24"/>
          <w:szCs w:val="24"/>
        </w:rPr>
      </w:pPr>
    </w:p>
    <w:p>
      <w:pPr>
        <w:pageBreakBefore w:val="0"/>
        <w:kinsoku/>
        <w:wordWrap/>
        <w:overflowPunct/>
        <w:topLinePunct w:val="0"/>
        <w:autoSpaceDE/>
        <w:autoSpaceDN/>
        <w:bidi w:val="0"/>
        <w:spacing w:line="560" w:lineRule="exact"/>
        <w:textAlignment w:val="auto"/>
        <w:outlineLvl w:val="2"/>
        <w:rPr>
          <w:rFonts w:hint="default" w:ascii="Times New Roman" w:hAnsi="Times New Roman" w:eastAsia="宋体" w:cs="Times New Roman"/>
          <w:sz w:val="24"/>
          <w:szCs w:val="24"/>
        </w:rPr>
      </w:pPr>
    </w:p>
    <w:p>
      <w:pPr>
        <w:pageBreakBefore w:val="0"/>
        <w:kinsoku/>
        <w:wordWrap/>
        <w:overflowPunct/>
        <w:topLinePunct w:val="0"/>
        <w:autoSpaceDE/>
        <w:autoSpaceDN/>
        <w:bidi w:val="0"/>
        <w:spacing w:line="560" w:lineRule="exact"/>
        <w:ind w:firstLine="1920" w:firstLineChars="800"/>
        <w:textAlignment w:val="auto"/>
        <w:outlineLvl w:val="2"/>
        <w:rPr>
          <w:rFonts w:hint="default" w:ascii="Times New Roman" w:hAnsi="Times New Roman" w:eastAsia="楷体_GB2312" w:cs="Times New Roman"/>
          <w:b/>
          <w:sz w:val="32"/>
          <w:szCs w:val="32"/>
        </w:rPr>
      </w:pPr>
      <w:r>
        <w:rPr>
          <w:rFonts w:hint="default" w:ascii="Times New Roman" w:hAnsi="Times New Roman" w:eastAsia="宋体" w:cs="Times New Roman"/>
          <w:sz w:val="24"/>
          <w:szCs w:val="24"/>
        </w:rPr>
        <w:t>（图6：一般公共预算财政拨款支出决算结构）</w:t>
      </w:r>
    </w:p>
    <w:p>
      <w:pPr>
        <w:pageBreakBefore w:val="0"/>
        <w:kinsoku/>
        <w:wordWrap/>
        <w:overflowPunct/>
        <w:topLinePunct w:val="0"/>
        <w:autoSpaceDE/>
        <w:autoSpaceDN/>
        <w:bidi w:val="0"/>
        <w:spacing w:line="560" w:lineRule="exact"/>
        <w:ind w:firstLine="642" w:firstLineChars="200"/>
        <w:textAlignment w:val="auto"/>
        <w:outlineLvl w:val="2"/>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（三）一般公共预算财政拨款支出决算具体情况</w:t>
      </w:r>
      <w:bookmarkEnd w:id="30"/>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bookmarkStart w:id="31" w:name="_Toc15378460"/>
      <w:bookmarkStart w:id="32" w:name="_Toc15377213"/>
      <w:bookmarkStart w:id="33" w:name="_Toc15377444"/>
      <w:r>
        <w:rPr>
          <w:rFonts w:hint="default" w:ascii="Times New Roman" w:hAnsi="Times New Roman" w:eastAsia="仿宋_GB2312" w:cs="Times New Roman"/>
          <w:sz w:val="32"/>
          <w:szCs w:val="32"/>
        </w:rPr>
        <w:t>2024年度一般公共预算财政拨款支出决算数为</w:t>
      </w:r>
      <w:r>
        <w:rPr>
          <w:rFonts w:hint="eastAsia" w:eastAsia="仿宋_GB2312" w:cs="Times New Roman"/>
          <w:sz w:val="32"/>
          <w:szCs w:val="32"/>
          <w:lang w:val="en-US" w:eastAsia="zh-CN"/>
        </w:rPr>
        <w:t>88.21</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%。其中：</w:t>
      </w:r>
      <w:bookmarkEnd w:id="31"/>
      <w:bookmarkEnd w:id="32"/>
      <w:bookmarkEnd w:id="33"/>
    </w:p>
    <w:p>
      <w:pPr>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rPr>
        <w:t>一般公共</w:t>
      </w:r>
      <w:r>
        <w:rPr>
          <w:rFonts w:hint="default" w:ascii="Times New Roman" w:hAnsi="Times New Roman" w:eastAsia="仿宋_GB2312" w:cs="Times New Roman"/>
          <w:sz w:val="32"/>
          <w:szCs w:val="32"/>
          <w:lang w:val="en-US" w:eastAsia="zh-CN"/>
        </w:rPr>
        <w:t>服务社会事务</w:t>
      </w:r>
      <w:r>
        <w:rPr>
          <w:rFonts w:hint="default" w:ascii="Times New Roman" w:hAnsi="Times New Roman" w:eastAsia="仿宋_GB2312" w:cs="Times New Roman"/>
          <w:sz w:val="32"/>
          <w:szCs w:val="32"/>
        </w:rPr>
        <w:t>：支出决算为</w:t>
      </w:r>
      <w:r>
        <w:rPr>
          <w:rFonts w:hint="eastAsia" w:eastAsia="仿宋_GB2312" w:cs="Times New Roman"/>
          <w:sz w:val="32"/>
          <w:szCs w:val="32"/>
          <w:lang w:val="en-US" w:eastAsia="zh-CN"/>
        </w:rPr>
        <w:t>69.89</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w:t>
      </w:r>
    </w:p>
    <w:p>
      <w:pPr>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.社会保障和就业</w:t>
      </w:r>
      <w:r>
        <w:rPr>
          <w:rFonts w:hint="default" w:ascii="Times New Roman" w:hAnsi="Times New Roman" w:eastAsia="仿宋_GB2312" w:cs="Times New Roman"/>
          <w:sz w:val="32"/>
          <w:szCs w:val="32"/>
          <w:lang w:val="en-US" w:eastAsia="zh-CN"/>
        </w:rPr>
        <w:t>行政事业单位养老支出</w:t>
      </w:r>
      <w:r>
        <w:rPr>
          <w:rFonts w:hint="default" w:ascii="Times New Roman" w:hAnsi="Times New Roman" w:eastAsia="仿宋_GB2312" w:cs="Times New Roman"/>
          <w:sz w:val="32"/>
          <w:szCs w:val="32"/>
        </w:rPr>
        <w:t>：支出决算为</w:t>
      </w:r>
      <w:r>
        <w:rPr>
          <w:rFonts w:hint="eastAsia" w:eastAsia="仿宋_GB2312" w:cs="Times New Roman"/>
          <w:sz w:val="32"/>
          <w:szCs w:val="32"/>
          <w:lang w:val="en-US" w:eastAsia="zh-CN"/>
        </w:rPr>
        <w:t>9.21</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w:t>
      </w:r>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卫生健康</w:t>
      </w:r>
      <w:r>
        <w:rPr>
          <w:rFonts w:hint="default" w:ascii="Times New Roman" w:hAnsi="Times New Roman" w:eastAsia="仿宋_GB2312" w:cs="Times New Roman"/>
          <w:sz w:val="32"/>
          <w:szCs w:val="32"/>
          <w:lang w:val="en-US" w:eastAsia="zh-CN"/>
        </w:rPr>
        <w:t>行政事业单位医疗支出</w:t>
      </w:r>
      <w:r>
        <w:rPr>
          <w:rFonts w:hint="default" w:ascii="Times New Roman" w:hAnsi="Times New Roman" w:eastAsia="仿宋_GB2312" w:cs="Times New Roman"/>
          <w:sz w:val="32"/>
          <w:szCs w:val="32"/>
        </w:rPr>
        <w:t>：支出决算为</w:t>
      </w:r>
      <w:r>
        <w:rPr>
          <w:rFonts w:hint="eastAsia" w:eastAsia="仿宋_GB2312" w:cs="Times New Roman"/>
          <w:sz w:val="32"/>
          <w:szCs w:val="32"/>
          <w:lang w:val="en-US" w:eastAsia="zh-CN"/>
        </w:rPr>
        <w:t>3.71</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4.住房保障支出</w:t>
      </w:r>
      <w:r>
        <w:rPr>
          <w:rFonts w:hint="default" w:ascii="Times New Roman" w:hAnsi="Times New Roman" w:eastAsia="仿宋_GB2312" w:cs="Times New Roman"/>
          <w:sz w:val="32"/>
          <w:szCs w:val="32"/>
        </w:rPr>
        <w:t>：支出决算为</w:t>
      </w:r>
      <w:r>
        <w:rPr>
          <w:rFonts w:hint="eastAsia" w:eastAsia="仿宋_GB2312" w:cs="Times New Roman"/>
          <w:sz w:val="32"/>
          <w:szCs w:val="32"/>
          <w:lang w:val="en-US" w:eastAsia="zh-CN"/>
        </w:rPr>
        <w:t>5.40</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pageBreakBefore w:val="0"/>
        <w:tabs>
          <w:tab w:val="right" w:pos="8306"/>
        </w:tabs>
        <w:kinsoku/>
        <w:wordWrap/>
        <w:overflowPunct/>
        <w:topLinePunct w:val="0"/>
        <w:autoSpaceDE/>
        <w:autoSpaceDN/>
        <w:bidi w:val="0"/>
        <w:spacing w:line="560" w:lineRule="exact"/>
        <w:ind w:firstLine="640"/>
        <w:textAlignment w:val="auto"/>
        <w:outlineLvl w:val="1"/>
        <w:rPr>
          <w:rStyle w:val="15"/>
          <w:rFonts w:hint="default" w:ascii="Times New Roman" w:hAnsi="Times New Roman" w:cs="Times New Roman"/>
        </w:rPr>
      </w:pPr>
      <w:bookmarkStart w:id="34" w:name="_Toc15396608"/>
      <w:bookmarkStart w:id="35" w:name="_Toc15377214"/>
      <w:r>
        <w:rPr>
          <w:rFonts w:hint="default" w:ascii="Times New Roman" w:hAnsi="Times New Roman" w:eastAsia="黑体" w:cs="Times New Roman"/>
          <w:sz w:val="32"/>
          <w:szCs w:val="32"/>
        </w:rPr>
        <w:t>六</w:t>
      </w:r>
      <w:r>
        <w:rPr>
          <w:rFonts w:hint="default" w:ascii="Times New Roman" w:hAnsi="Times New Roman" w:eastAsia="黑体" w:cs="Times New Roman"/>
          <w:b/>
          <w:sz w:val="32"/>
          <w:szCs w:val="32"/>
        </w:rPr>
        <w:t>、</w:t>
      </w:r>
      <w:r>
        <w:rPr>
          <w:rFonts w:hint="default" w:ascii="Times New Roman" w:hAnsi="Times New Roman" w:eastAsia="黑体" w:cs="Times New Roman"/>
          <w:b w:val="0"/>
          <w:bCs/>
          <w:sz w:val="32"/>
          <w:szCs w:val="32"/>
        </w:rPr>
        <w:t>一</w:t>
      </w:r>
      <w:r>
        <w:rPr>
          <w:rStyle w:val="15"/>
          <w:rFonts w:hint="default" w:ascii="Times New Roman" w:hAnsi="Times New Roman" w:eastAsia="黑体" w:cs="Times New Roman"/>
          <w:b w:val="0"/>
        </w:rPr>
        <w:t>般公共预算财政拨款基本支出决算情况说明</w:t>
      </w:r>
      <w:bookmarkEnd w:id="34"/>
      <w:bookmarkEnd w:id="35"/>
      <w:r>
        <w:rPr>
          <w:rStyle w:val="15"/>
          <w:rFonts w:hint="default" w:ascii="Times New Roman" w:hAnsi="Times New Roman" w:eastAsia="黑体" w:cs="Times New Roman"/>
          <w:b w:val="0"/>
        </w:rPr>
        <w:tab/>
      </w:r>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2024年度一般公共预算财政拨款基本支出</w:t>
      </w:r>
      <w:r>
        <w:rPr>
          <w:rFonts w:hint="eastAsia" w:eastAsia="仿宋_GB2312" w:cs="Times New Roman"/>
          <w:sz w:val="32"/>
          <w:szCs w:val="32"/>
          <w:lang w:val="en-US" w:eastAsia="zh-CN"/>
        </w:rPr>
        <w:t>88.21</w:t>
      </w:r>
      <w:r>
        <w:rPr>
          <w:rFonts w:hint="default" w:ascii="Times New Roman" w:hAnsi="Times New Roman" w:eastAsia="仿宋_GB2312" w:cs="Times New Roman"/>
          <w:sz w:val="32"/>
          <w:szCs w:val="32"/>
        </w:rPr>
        <w:t>万元，其中：</w:t>
      </w:r>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eastAsia" w:eastAsia="仿宋_GB2312" w:cs="Times New Roman"/>
          <w:sz w:val="32"/>
          <w:szCs w:val="32"/>
          <w:lang w:val="en-US" w:eastAsia="zh-CN"/>
        </w:rPr>
        <w:t>61.17</w:t>
      </w:r>
      <w:r>
        <w:rPr>
          <w:rFonts w:hint="default" w:ascii="Times New Roman" w:hAnsi="Times New Roman" w:eastAsia="仿宋_GB2312" w:cs="Times New Roman"/>
          <w:sz w:val="32"/>
          <w:szCs w:val="32"/>
        </w:rPr>
        <w:t>万元，主要包括：基本工资、津贴补贴、奖金、绩效工资、机关事业单位基本养老保险缴费、职业年金缴费、其他社会保障缴费、其他工资福利支出、医疗费补助、奖励金、住房公积金、其他对个人和家庭的补助支出等。</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公用经费</w:t>
      </w:r>
      <w:r>
        <w:rPr>
          <w:rFonts w:hint="eastAsia" w:eastAsia="仿宋_GB2312" w:cs="Times New Roman"/>
          <w:sz w:val="32"/>
          <w:szCs w:val="32"/>
          <w:lang w:val="en-US" w:eastAsia="zh-CN"/>
        </w:rPr>
        <w:t>27.04</w:t>
      </w:r>
      <w:r>
        <w:rPr>
          <w:rFonts w:hint="default" w:ascii="Times New Roman" w:hAnsi="Times New Roman" w:eastAsia="仿宋_GB2312" w:cs="Times New Roman"/>
          <w:sz w:val="32"/>
          <w:szCs w:val="32"/>
        </w:rPr>
        <w:t>万元，主要包括：办公费、差旅费、其他交通费等。</w:t>
      </w:r>
    </w:p>
    <w:p>
      <w:pPr>
        <w:pageBreakBefore w:val="0"/>
        <w:kinsoku/>
        <w:wordWrap/>
        <w:overflowPunct/>
        <w:topLinePunct w:val="0"/>
        <w:autoSpaceDE/>
        <w:autoSpaceDN/>
        <w:bidi w:val="0"/>
        <w:spacing w:line="560" w:lineRule="exact"/>
        <w:ind w:firstLine="640"/>
        <w:textAlignment w:val="auto"/>
        <w:outlineLvl w:val="1"/>
        <w:rPr>
          <w:rStyle w:val="15"/>
          <w:rFonts w:hint="default" w:ascii="Times New Roman" w:hAnsi="Times New Roman" w:eastAsia="黑体" w:cs="Times New Roman"/>
          <w:b w:val="0"/>
        </w:rPr>
      </w:pPr>
      <w:bookmarkStart w:id="36" w:name="_Toc15377215"/>
      <w:bookmarkStart w:id="37" w:name="_Toc15396609"/>
      <w:r>
        <w:rPr>
          <w:rFonts w:hint="default" w:ascii="Times New Roman" w:hAnsi="Times New Roman" w:eastAsia="黑体" w:cs="Times New Roman"/>
          <w:sz w:val="32"/>
          <w:szCs w:val="32"/>
        </w:rPr>
        <w:t>七、</w:t>
      </w:r>
      <w:r>
        <w:rPr>
          <w:rStyle w:val="15"/>
          <w:rFonts w:hint="default" w:ascii="Times New Roman" w:hAnsi="Times New Roman" w:eastAsia="黑体" w:cs="Times New Roman"/>
          <w:b w:val="0"/>
        </w:rPr>
        <w:t>财政拨款</w:t>
      </w:r>
      <w:r>
        <w:rPr>
          <w:rStyle w:val="15"/>
          <w:rFonts w:hint="default" w:ascii="Times New Roman" w:hAnsi="Times New Roman" w:eastAsia="黑体" w:cs="Times New Roman"/>
        </w:rPr>
        <w:t>“</w:t>
      </w:r>
      <w:r>
        <w:rPr>
          <w:rStyle w:val="15"/>
          <w:rFonts w:hint="default" w:ascii="Times New Roman" w:hAnsi="Times New Roman" w:eastAsia="黑体" w:cs="Times New Roman"/>
          <w:b w:val="0"/>
        </w:rPr>
        <w:t>三公”经费支出决算情况说明</w:t>
      </w:r>
      <w:bookmarkEnd w:id="36"/>
      <w:bookmarkEnd w:id="37"/>
    </w:p>
    <w:p>
      <w:pPr>
        <w:pageBreakBefore w:val="0"/>
        <w:kinsoku/>
        <w:wordWrap/>
        <w:overflowPunct/>
        <w:topLinePunct w:val="0"/>
        <w:autoSpaceDE/>
        <w:autoSpaceDN/>
        <w:bidi w:val="0"/>
        <w:spacing w:line="560" w:lineRule="exact"/>
        <w:ind w:firstLine="642" w:firstLineChars="200"/>
        <w:textAlignment w:val="auto"/>
        <w:outlineLvl w:val="2"/>
        <w:rPr>
          <w:rFonts w:hint="default" w:ascii="Times New Roman" w:hAnsi="Times New Roman" w:eastAsia="楷体_GB2312" w:cs="Times New Roman"/>
          <w:b/>
          <w:sz w:val="32"/>
          <w:szCs w:val="32"/>
        </w:rPr>
      </w:pPr>
      <w:bookmarkStart w:id="38" w:name="_Toc15377216"/>
      <w:r>
        <w:rPr>
          <w:rFonts w:hint="default" w:ascii="Times New Roman" w:hAnsi="Times New Roman" w:eastAsia="楷体_GB2312" w:cs="Times New Roman"/>
          <w:b/>
          <w:sz w:val="32"/>
          <w:szCs w:val="32"/>
        </w:rPr>
        <w:t>（一）“三公”经费财政拨款支出决算总体情况说明</w:t>
      </w:r>
      <w:bookmarkEnd w:id="38"/>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楷体_GB2312" w:cs="Times New Roman"/>
          <w:b/>
          <w:sz w:val="32"/>
          <w:szCs w:val="32"/>
        </w:rPr>
      </w:pPr>
      <w:r>
        <w:rPr>
          <w:rFonts w:hint="default" w:ascii="Times New Roman" w:hAnsi="Times New Roman" w:eastAsia="仿宋_GB2312" w:cs="Times New Roman"/>
          <w:sz w:val="32"/>
          <w:szCs w:val="32"/>
        </w:rPr>
        <w:t>2024年度“三公”经费财政拨款支出决算为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中共阿坝州委社会工作部为2024年新组建成立部门，</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年度无财政拨款收入支出</w:t>
      </w:r>
      <w:r>
        <w:rPr>
          <w:rFonts w:hint="default" w:ascii="Times New Roman" w:hAnsi="Times New Roman" w:eastAsia="仿宋_GB2312" w:cs="Times New Roman"/>
          <w:sz w:val="32"/>
          <w:szCs w:val="32"/>
          <w:lang w:eastAsia="zh-CN"/>
        </w:rPr>
        <w:t>。</w:t>
      </w:r>
    </w:p>
    <w:p>
      <w:pPr>
        <w:pageBreakBefore w:val="0"/>
        <w:kinsoku/>
        <w:wordWrap/>
        <w:overflowPunct/>
        <w:topLinePunct w:val="0"/>
        <w:autoSpaceDE/>
        <w:autoSpaceDN/>
        <w:bidi w:val="0"/>
        <w:spacing w:line="560" w:lineRule="exact"/>
        <w:ind w:firstLine="642" w:firstLineChars="200"/>
        <w:textAlignment w:val="auto"/>
        <w:outlineLvl w:val="2"/>
        <w:rPr>
          <w:rFonts w:hint="default" w:ascii="Times New Roman" w:hAnsi="Times New Roman" w:eastAsia="楷体_GB2312" w:cs="Times New Roman"/>
          <w:b/>
          <w:sz w:val="32"/>
          <w:szCs w:val="32"/>
        </w:rPr>
      </w:pPr>
      <w:bookmarkStart w:id="39" w:name="_Toc15377217"/>
      <w:r>
        <w:rPr>
          <w:rFonts w:hint="default" w:ascii="Times New Roman" w:hAnsi="Times New Roman" w:eastAsia="楷体_GB2312" w:cs="Times New Roman"/>
          <w:b/>
          <w:sz w:val="32"/>
          <w:szCs w:val="32"/>
        </w:rPr>
        <w:t>（二）“三公”经费财政拨款支出决算具体情况说明</w:t>
      </w:r>
      <w:bookmarkEnd w:id="39"/>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2024年度“三公”经费财政拨款支出决算中，因公出国（境）费支出决算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%；公务用车购置及运行维护费支出决算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%；公务接待费支出决算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1.因公出国（境）经费支出</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rPr>
        <w:t>全年安排因公出国（境）团组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w:t>
      </w:r>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2.公务用车购置及运行维护费支出</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w:t>
      </w:r>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.公务接待费支出</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w:t>
      </w:r>
      <w:bookmarkStart w:id="40" w:name="_Toc15377218"/>
      <w:bookmarkStart w:id="41" w:name="_Toc15396610"/>
    </w:p>
    <w:p>
      <w:pPr>
        <w:pageBreakBefore w:val="0"/>
        <w:kinsoku/>
        <w:wordWrap/>
        <w:overflowPunct/>
        <w:topLinePunct w:val="0"/>
        <w:autoSpaceDE/>
        <w:autoSpaceDN/>
        <w:bidi w:val="0"/>
        <w:spacing w:line="560" w:lineRule="exact"/>
        <w:ind w:firstLine="640"/>
        <w:textAlignment w:val="auto"/>
        <w:outlineLvl w:val="1"/>
        <w:rPr>
          <w:rStyle w:val="15"/>
          <w:rFonts w:hint="default" w:ascii="Times New Roman" w:hAnsi="Times New Roman" w:eastAsia="黑体" w:cs="Times New Roman"/>
        </w:rPr>
      </w:pPr>
      <w:r>
        <w:rPr>
          <w:rFonts w:hint="default" w:ascii="Times New Roman" w:hAnsi="Times New Roman" w:eastAsia="黑体" w:cs="Times New Roman"/>
          <w:sz w:val="32"/>
          <w:szCs w:val="32"/>
        </w:rPr>
        <w:t>八、</w:t>
      </w:r>
      <w:r>
        <w:rPr>
          <w:rStyle w:val="15"/>
          <w:rFonts w:hint="default" w:ascii="Times New Roman" w:hAnsi="Times New Roman" w:eastAsia="黑体" w:cs="Times New Roman"/>
          <w:b w:val="0"/>
        </w:rPr>
        <w:t>政府性基金预算支出决算情况说明</w:t>
      </w:r>
      <w:bookmarkEnd w:id="40"/>
      <w:bookmarkEnd w:id="41"/>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2024年度政府性基金预算财政拨款支出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pPr>
        <w:pageBreakBefore w:val="0"/>
        <w:kinsoku/>
        <w:wordWrap/>
        <w:overflowPunct/>
        <w:topLinePunct w:val="0"/>
        <w:autoSpaceDE/>
        <w:autoSpaceDN/>
        <w:bidi w:val="0"/>
        <w:spacing w:line="560" w:lineRule="exact"/>
        <w:ind w:left="630"/>
        <w:textAlignment w:val="auto"/>
        <w:outlineLvl w:val="1"/>
        <w:rPr>
          <w:rStyle w:val="15"/>
          <w:rFonts w:hint="default" w:ascii="Times New Roman" w:hAnsi="Times New Roman" w:eastAsia="黑体" w:cs="Times New Roman"/>
          <w:b w:val="0"/>
        </w:rPr>
      </w:pPr>
      <w:bookmarkStart w:id="42" w:name="_Toc15396611"/>
      <w:bookmarkStart w:id="43" w:name="_Toc15377219"/>
      <w:r>
        <w:rPr>
          <w:rStyle w:val="15"/>
          <w:rFonts w:hint="default" w:ascii="Times New Roman" w:hAnsi="Times New Roman" w:eastAsia="黑体" w:cs="Times New Roman"/>
          <w:b w:val="0"/>
        </w:rPr>
        <w:t>九、国有资本经营预算支出决算情况说明</w:t>
      </w:r>
      <w:bookmarkEnd w:id="42"/>
      <w:bookmarkEnd w:id="43"/>
    </w:p>
    <w:p>
      <w:pPr>
        <w:pageBreakBefore w:val="0"/>
        <w:kinsoku/>
        <w:wordWrap/>
        <w:overflowPunct/>
        <w:topLinePunct w:val="0"/>
        <w:autoSpaceDE/>
        <w:autoSpaceDN/>
        <w:bidi w:val="0"/>
        <w:spacing w:line="560" w:lineRule="exact"/>
        <w:ind w:firstLine="640" w:firstLineChars="200"/>
        <w:textAlignment w:val="auto"/>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2024年度国有资本经营预算财政拨款支出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bookmarkStart w:id="44" w:name="_Toc15377221"/>
      <w:bookmarkStart w:id="45" w:name="_Toc15396612"/>
    </w:p>
    <w:p>
      <w:pPr>
        <w:pageBreakBefore w:val="0"/>
        <w:kinsoku/>
        <w:wordWrap/>
        <w:overflowPunct/>
        <w:topLinePunct w:val="0"/>
        <w:autoSpaceDE/>
        <w:autoSpaceDN/>
        <w:bidi w:val="0"/>
        <w:spacing w:line="560" w:lineRule="exact"/>
        <w:ind w:left="630"/>
        <w:textAlignment w:val="auto"/>
        <w:outlineLvl w:val="1"/>
        <w:rPr>
          <w:rStyle w:val="15"/>
          <w:rFonts w:hint="default" w:ascii="Times New Roman" w:hAnsi="Times New Roman" w:eastAsia="黑体" w:cs="Times New Roman"/>
          <w:b w:val="0"/>
        </w:rPr>
      </w:pPr>
      <w:r>
        <w:rPr>
          <w:rStyle w:val="15"/>
          <w:rFonts w:hint="default" w:ascii="Times New Roman" w:hAnsi="Times New Roman" w:eastAsia="黑体" w:cs="Times New Roman"/>
          <w:b w:val="0"/>
        </w:rPr>
        <w:t>十、其他重要事项的情况说明</w:t>
      </w:r>
      <w:bookmarkEnd w:id="44"/>
      <w:bookmarkEnd w:id="45"/>
    </w:p>
    <w:p>
      <w:pPr>
        <w:pageBreakBefore w:val="0"/>
        <w:kinsoku/>
        <w:wordWrap/>
        <w:overflowPunct/>
        <w:topLinePunct w:val="0"/>
        <w:autoSpaceDE/>
        <w:autoSpaceDN/>
        <w:bidi w:val="0"/>
        <w:spacing w:line="560" w:lineRule="exact"/>
        <w:ind w:firstLine="642" w:firstLineChars="200"/>
        <w:textAlignment w:val="auto"/>
        <w:outlineLvl w:val="2"/>
        <w:rPr>
          <w:rFonts w:hint="default" w:ascii="Times New Roman" w:hAnsi="Times New Roman" w:eastAsia="楷体_GB2312" w:cs="Times New Roman"/>
          <w:b/>
          <w:sz w:val="32"/>
          <w:szCs w:val="32"/>
        </w:rPr>
      </w:pPr>
      <w:bookmarkStart w:id="46" w:name="_Toc15377222"/>
      <w:r>
        <w:rPr>
          <w:rFonts w:hint="default" w:ascii="Times New Roman" w:hAnsi="Times New Roman" w:eastAsia="楷体_GB2312" w:cs="Times New Roman"/>
          <w:b/>
          <w:sz w:val="32"/>
          <w:szCs w:val="32"/>
        </w:rPr>
        <w:t>（一）机关运行经费支出情况</w:t>
      </w:r>
      <w:bookmarkEnd w:id="46"/>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2024年度，</w:t>
      </w:r>
      <w:r>
        <w:rPr>
          <w:rFonts w:hint="default" w:ascii="Times New Roman" w:hAnsi="Times New Roman" w:eastAsia="仿宋_GB2312" w:cs="Times New Roman"/>
          <w:sz w:val="32"/>
          <w:szCs w:val="32"/>
          <w:lang w:val="en-US" w:eastAsia="zh-CN"/>
        </w:rPr>
        <w:t>中共阿坝州委社会工作部</w:t>
      </w:r>
      <w:r>
        <w:rPr>
          <w:rFonts w:hint="default" w:ascii="Times New Roman" w:hAnsi="Times New Roman" w:eastAsia="仿宋_GB2312" w:cs="Times New Roman"/>
          <w:sz w:val="32"/>
          <w:szCs w:val="32"/>
        </w:rPr>
        <w:t>机关运行经费支出</w:t>
      </w:r>
      <w:r>
        <w:rPr>
          <w:rFonts w:hint="eastAsia" w:eastAsia="仿宋_GB2312" w:cs="Times New Roman"/>
          <w:sz w:val="32"/>
          <w:szCs w:val="32"/>
          <w:lang w:val="en-US" w:eastAsia="zh-CN"/>
        </w:rPr>
        <w:t>27.04</w:t>
      </w:r>
      <w:r>
        <w:rPr>
          <w:rFonts w:hint="default" w:ascii="Times New Roman" w:hAnsi="Times New Roman" w:eastAsia="仿宋_GB2312" w:cs="Times New Roman"/>
          <w:sz w:val="32"/>
          <w:szCs w:val="32"/>
        </w:rPr>
        <w:t>万元，比202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年度增加</w:t>
      </w:r>
      <w:r>
        <w:rPr>
          <w:rFonts w:hint="eastAsia" w:eastAsia="仿宋_GB2312" w:cs="Times New Roman"/>
          <w:sz w:val="32"/>
          <w:szCs w:val="32"/>
          <w:lang w:val="en-US" w:eastAsia="zh-CN"/>
        </w:rPr>
        <w:t>27.04</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主要变动原因是</w:t>
      </w:r>
      <w:r>
        <w:rPr>
          <w:rFonts w:hint="eastAsia" w:eastAsia="仿宋_GB2312" w:cs="Times New Roman"/>
          <w:sz w:val="32"/>
          <w:szCs w:val="32"/>
          <w:lang w:val="en-US" w:eastAsia="zh-CN"/>
        </w:rPr>
        <w:t>我</w:t>
      </w:r>
      <w:r>
        <w:rPr>
          <w:rFonts w:hint="default" w:ascii="Times New Roman" w:hAnsi="Times New Roman" w:eastAsia="仿宋_GB2312" w:cs="Times New Roman"/>
          <w:sz w:val="32"/>
          <w:szCs w:val="32"/>
          <w:lang w:val="en-US" w:eastAsia="zh-CN"/>
        </w:rPr>
        <w:t>部为2024年新组建成立部门，</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年度无财政拨款收入支出</w:t>
      </w:r>
      <w:r>
        <w:rPr>
          <w:rFonts w:hint="default" w:ascii="Times New Roman" w:hAnsi="Times New Roman" w:eastAsia="仿宋_GB2312" w:cs="Times New Roman"/>
          <w:sz w:val="32"/>
          <w:szCs w:val="32"/>
          <w:lang w:eastAsia="zh-CN"/>
        </w:rPr>
        <w:t>。</w:t>
      </w:r>
    </w:p>
    <w:p>
      <w:pPr>
        <w:pageBreakBefore w:val="0"/>
        <w:kinsoku/>
        <w:wordWrap/>
        <w:overflowPunct/>
        <w:topLinePunct w:val="0"/>
        <w:autoSpaceDE/>
        <w:autoSpaceDN/>
        <w:bidi w:val="0"/>
        <w:spacing w:line="560" w:lineRule="exact"/>
        <w:ind w:firstLine="642" w:firstLineChars="200"/>
        <w:textAlignment w:val="auto"/>
        <w:outlineLvl w:val="2"/>
        <w:rPr>
          <w:rFonts w:hint="default" w:ascii="Times New Roman" w:hAnsi="Times New Roman" w:eastAsia="楷体_GB2312" w:cs="Times New Roman"/>
          <w:b/>
          <w:sz w:val="32"/>
          <w:szCs w:val="32"/>
        </w:rPr>
      </w:pPr>
      <w:bookmarkStart w:id="47" w:name="_Toc15377223"/>
      <w:r>
        <w:rPr>
          <w:rFonts w:hint="default" w:ascii="Times New Roman" w:hAnsi="Times New Roman" w:eastAsia="楷体_GB2312" w:cs="Times New Roman"/>
          <w:b/>
          <w:sz w:val="32"/>
          <w:szCs w:val="32"/>
        </w:rPr>
        <w:t>（二）政府采购支出情况</w:t>
      </w:r>
      <w:bookmarkEnd w:id="47"/>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w:t>
      </w:r>
      <w:r>
        <w:rPr>
          <w:rFonts w:hint="default" w:ascii="Times New Roman" w:hAnsi="Times New Roman" w:eastAsia="仿宋_GB2312" w:cs="Times New Roman"/>
          <w:sz w:val="32"/>
          <w:szCs w:val="32"/>
          <w:lang w:val="en-US" w:eastAsia="zh-CN"/>
        </w:rPr>
        <w:t>中共阿坝州委社会工作部</w:t>
      </w:r>
      <w:r>
        <w:rPr>
          <w:rFonts w:hint="default" w:ascii="Times New Roman" w:hAnsi="Times New Roman" w:eastAsia="仿宋_GB2312" w:cs="Times New Roman"/>
          <w:sz w:val="32"/>
          <w:szCs w:val="32"/>
        </w:rPr>
        <w:t>采购支出总额</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pageBreakBefore w:val="0"/>
        <w:kinsoku/>
        <w:wordWrap/>
        <w:overflowPunct/>
        <w:topLinePunct w:val="0"/>
        <w:autoSpaceDE/>
        <w:autoSpaceDN/>
        <w:bidi w:val="0"/>
        <w:spacing w:line="560" w:lineRule="exact"/>
        <w:ind w:firstLine="642" w:firstLineChars="200"/>
        <w:textAlignment w:val="auto"/>
        <w:outlineLvl w:val="2"/>
        <w:rPr>
          <w:rFonts w:hint="default" w:ascii="Times New Roman" w:hAnsi="Times New Roman" w:eastAsia="楷体_GB2312" w:cs="Times New Roman"/>
          <w:b/>
          <w:sz w:val="32"/>
          <w:szCs w:val="32"/>
        </w:rPr>
      </w:pPr>
      <w:bookmarkStart w:id="48" w:name="_Toc15377224"/>
      <w:r>
        <w:rPr>
          <w:rFonts w:hint="default" w:ascii="Times New Roman" w:hAnsi="Times New Roman" w:eastAsia="楷体_GB2312" w:cs="Times New Roman"/>
          <w:b/>
          <w:sz w:val="32"/>
          <w:szCs w:val="32"/>
        </w:rPr>
        <w:t>（三）国有资产占有使用情况</w:t>
      </w:r>
      <w:bookmarkEnd w:id="48"/>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截至2024年12月</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1日，共有车辆</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w:t>
      </w:r>
      <w:r>
        <w:rPr>
          <w:rFonts w:hint="eastAsia" w:eastAsia="仿宋_GB2312" w:cs="Times New Roman"/>
          <w:sz w:val="32"/>
          <w:szCs w:val="32"/>
          <w:lang w:eastAsia="zh-CN"/>
        </w:rPr>
        <w:t>，无固定资产</w:t>
      </w:r>
      <w:r>
        <w:rPr>
          <w:rFonts w:hint="default" w:ascii="Times New Roman" w:hAnsi="Times New Roman" w:eastAsia="仿宋_GB2312" w:cs="Times New Roman"/>
          <w:sz w:val="32"/>
          <w:szCs w:val="32"/>
          <w:lang w:eastAsia="zh-CN"/>
        </w:rPr>
        <w:t>。</w:t>
      </w:r>
    </w:p>
    <w:p>
      <w:pPr>
        <w:pageBreakBefore w:val="0"/>
        <w:kinsoku/>
        <w:wordWrap/>
        <w:overflowPunct/>
        <w:topLinePunct w:val="0"/>
        <w:autoSpaceDE/>
        <w:autoSpaceDN/>
        <w:bidi w:val="0"/>
        <w:spacing w:line="560" w:lineRule="exact"/>
        <w:ind w:firstLine="642" w:firstLineChars="200"/>
        <w:textAlignment w:val="auto"/>
        <w:outlineLvl w:val="2"/>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（四）预算绩效管理情况</w:t>
      </w:r>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2024年4月，我部组建成立，未编制部门预算及设置整体支出绩效目标，为保障部机关组建完成后各项工作的正常运转，切实有效履行州委州政府赋予的职能职责，结合我部2024年年度重点工作任务，科学编制追加年度预算及项目绩效目标，严格落实预算绩效管理相关规定，提高绩效目标编制质量，推动绩效目标科学合理、规范完整、细化量化，确保绩效目标的产出效果与部门预算安排相匹配。</w:t>
      </w:r>
    </w:p>
    <w:p>
      <w:pPr>
        <w:pageBreakBefore w:val="0"/>
        <w:kinsoku/>
        <w:wordWrap/>
        <w:overflowPunct/>
        <w:topLinePunct w:val="0"/>
        <w:autoSpaceDE/>
        <w:autoSpaceDN/>
        <w:bidi w:val="0"/>
        <w:spacing w:line="560" w:lineRule="exact"/>
        <w:jc w:val="center"/>
        <w:textAlignment w:val="auto"/>
        <w:outlineLvl w:val="0"/>
        <w:rPr>
          <w:rFonts w:hint="default" w:ascii="Times New Roman" w:hAnsi="Times New Roman" w:eastAsia="黑体" w:cs="Times New Roman"/>
          <w:sz w:val="44"/>
          <w:szCs w:val="44"/>
        </w:rPr>
      </w:pPr>
      <w:bookmarkStart w:id="49" w:name="_Toc15396613"/>
      <w:bookmarkStart w:id="50" w:name="_Toc15377225"/>
    </w:p>
    <w:p>
      <w:pPr>
        <w:pageBreakBefore w:val="0"/>
        <w:kinsoku/>
        <w:wordWrap/>
        <w:overflowPunct/>
        <w:topLinePunct w:val="0"/>
        <w:autoSpaceDE/>
        <w:autoSpaceDN/>
        <w:bidi w:val="0"/>
        <w:spacing w:line="560" w:lineRule="exact"/>
        <w:jc w:val="center"/>
        <w:textAlignment w:val="auto"/>
        <w:outlineLvl w:val="0"/>
        <w:rPr>
          <w:rFonts w:hint="default" w:ascii="Times New Roman" w:hAnsi="Times New Roman" w:eastAsia="黑体" w:cs="Times New Roman"/>
          <w:sz w:val="44"/>
          <w:szCs w:val="44"/>
        </w:rPr>
      </w:pPr>
    </w:p>
    <w:p>
      <w:pPr>
        <w:pageBreakBefore w:val="0"/>
        <w:kinsoku/>
        <w:wordWrap/>
        <w:overflowPunct/>
        <w:topLinePunct w:val="0"/>
        <w:autoSpaceDE/>
        <w:autoSpaceDN/>
        <w:bidi w:val="0"/>
        <w:spacing w:line="560" w:lineRule="exact"/>
        <w:jc w:val="center"/>
        <w:textAlignment w:val="auto"/>
        <w:outlineLvl w:val="0"/>
        <w:rPr>
          <w:rFonts w:hint="default" w:ascii="Times New Roman" w:hAnsi="Times New Roman" w:eastAsia="黑体" w:cs="Times New Roman"/>
          <w:sz w:val="44"/>
          <w:szCs w:val="44"/>
        </w:rPr>
      </w:pPr>
    </w:p>
    <w:p>
      <w:pPr>
        <w:pageBreakBefore w:val="0"/>
        <w:kinsoku/>
        <w:wordWrap/>
        <w:overflowPunct/>
        <w:topLinePunct w:val="0"/>
        <w:autoSpaceDE/>
        <w:autoSpaceDN/>
        <w:bidi w:val="0"/>
        <w:spacing w:line="560" w:lineRule="exact"/>
        <w:jc w:val="center"/>
        <w:textAlignment w:val="auto"/>
        <w:outlineLvl w:val="0"/>
        <w:rPr>
          <w:rFonts w:hint="default" w:ascii="Times New Roman" w:hAnsi="Times New Roman" w:eastAsia="黑体" w:cs="Times New Roman"/>
          <w:sz w:val="44"/>
          <w:szCs w:val="44"/>
        </w:rPr>
      </w:pPr>
    </w:p>
    <w:p>
      <w:pPr>
        <w:pageBreakBefore w:val="0"/>
        <w:kinsoku/>
        <w:wordWrap/>
        <w:overflowPunct/>
        <w:topLinePunct w:val="0"/>
        <w:autoSpaceDE/>
        <w:autoSpaceDN/>
        <w:bidi w:val="0"/>
        <w:spacing w:line="560" w:lineRule="exact"/>
        <w:jc w:val="center"/>
        <w:textAlignment w:val="auto"/>
        <w:outlineLvl w:val="0"/>
        <w:rPr>
          <w:rFonts w:hint="default" w:ascii="Times New Roman" w:hAnsi="Times New Roman" w:eastAsia="黑体" w:cs="Times New Roman"/>
          <w:sz w:val="44"/>
          <w:szCs w:val="44"/>
        </w:rPr>
      </w:pPr>
    </w:p>
    <w:p>
      <w:pPr>
        <w:pStyle w:val="2"/>
        <w:pageBreakBefore w:val="0"/>
        <w:widowControl w:val="0"/>
        <w:kinsoku/>
        <w:wordWrap/>
        <w:overflowPunct/>
        <w:topLinePunct w:val="0"/>
        <w:autoSpaceDE/>
        <w:autoSpaceDN/>
        <w:bidi w:val="0"/>
        <w:adjustRightInd/>
        <w:snapToGrid/>
        <w:spacing w:line="560" w:lineRule="exact"/>
        <w:textAlignment w:val="auto"/>
        <w:rPr>
          <w:rFonts w:hint="default"/>
        </w:rPr>
      </w:pPr>
    </w:p>
    <w:p>
      <w:pPr>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黑体" w:cs="Times New Roman"/>
          <w:sz w:val="44"/>
          <w:szCs w:val="44"/>
        </w:rPr>
      </w:pPr>
      <w:r>
        <w:rPr>
          <w:rFonts w:hint="default" w:ascii="Times New Roman" w:hAnsi="Times New Roman" w:eastAsia="黑体" w:cs="Times New Roman"/>
          <w:sz w:val="44"/>
          <w:szCs w:val="44"/>
        </w:rPr>
        <w:t>第三部分  名词解释</w:t>
      </w:r>
      <w:bookmarkEnd w:id="49"/>
      <w:bookmarkEnd w:id="50"/>
    </w:p>
    <w:p>
      <w:pPr>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b/>
          <w:sz w:val="44"/>
          <w:szCs w:val="44"/>
        </w:rPr>
      </w:pPr>
    </w:p>
    <w:p>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1.财政拨款收入：指单位从同级财政部门取得的财政预算资金。</w:t>
      </w:r>
    </w:p>
    <w:p>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.基本支出：指为保障机构正常运转、完成日常工作任务而发生的人员支出和公用支出。</w:t>
      </w:r>
    </w:p>
    <w:p>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 xml:space="preserve">.项目支出：指在基本支出之外为完成特定行政任务和事业发展目标所发生的支出。 </w:t>
      </w:r>
    </w:p>
    <w:p>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.经营支出：指事业单位在专业业务活动及其辅助活动之外开展非独立核算经营活动发生的支出。</w:t>
      </w:r>
    </w:p>
    <w:p>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autoSpaceDE/>
        <w:autoSpaceDN/>
        <w:bidi w:val="0"/>
        <w:spacing w:line="560" w:lineRule="exact"/>
        <w:jc w:val="center"/>
        <w:textAlignment w:val="auto"/>
        <w:rPr>
          <w:rStyle w:val="16"/>
          <w:rFonts w:hint="default" w:ascii="Times New Roman" w:hAnsi="Times New Roman" w:eastAsia="黑体" w:cs="Times New Roman"/>
          <w:b w:val="0"/>
        </w:rPr>
      </w:pPr>
      <w:bookmarkStart w:id="51" w:name="_Toc15377226"/>
      <w:r>
        <w:rPr>
          <w:rFonts w:hint="default" w:ascii="Times New Roman" w:hAnsi="Times New Roman" w:eastAsia="仿宋_GB2312" w:cs="Times New Roman"/>
          <w:sz w:val="32"/>
          <w:szCs w:val="32"/>
        </w:rPr>
        <w:br w:type="page"/>
      </w:r>
      <w:bookmarkStart w:id="52" w:name="_Toc15396614"/>
      <w:r>
        <w:rPr>
          <w:rFonts w:hint="default" w:ascii="Times New Roman" w:hAnsi="Times New Roman" w:eastAsia="黑体" w:cs="Times New Roman"/>
          <w:sz w:val="44"/>
          <w:szCs w:val="44"/>
        </w:rPr>
        <w:t>第四部分  附件</w:t>
      </w:r>
      <w:bookmarkEnd w:id="52"/>
    </w:p>
    <w:p>
      <w:pPr>
        <w:pageBreakBefore w:val="0"/>
        <w:kinsoku/>
        <w:wordWrap/>
        <w:overflowPunct/>
        <w:topLinePunct w:val="0"/>
        <w:autoSpaceDE/>
        <w:autoSpaceDN/>
        <w:bidi w:val="0"/>
        <w:spacing w:line="560" w:lineRule="exact"/>
        <w:jc w:val="left"/>
        <w:textAlignment w:val="auto"/>
        <w:outlineLvl w:val="0"/>
        <w:rPr>
          <w:rFonts w:hint="default" w:ascii="Times New Roman" w:hAnsi="Times New Roman" w:eastAsia="黑体" w:cs="Times New Roman"/>
          <w:color w:val="FF0000"/>
          <w:sz w:val="32"/>
          <w:szCs w:val="32"/>
        </w:rPr>
      </w:pPr>
    </w:p>
    <w:p>
      <w:pPr>
        <w:pageBreakBefore w:val="0"/>
        <w:kinsoku/>
        <w:wordWrap/>
        <w:overflowPunct/>
        <w:topLinePunct w:val="0"/>
        <w:autoSpaceDE/>
        <w:autoSpaceDN/>
        <w:bidi w:val="0"/>
        <w:spacing w:line="560" w:lineRule="exact"/>
        <w:jc w:val="left"/>
        <w:textAlignment w:val="auto"/>
        <w:outlineLvl w:val="0"/>
        <w:rPr>
          <w:rFonts w:hint="default" w:ascii="Times New Roman" w:hAnsi="Times New Roman" w:eastAsia="黑体" w:cs="Times New Roman"/>
          <w:sz w:val="44"/>
          <w:szCs w:val="44"/>
        </w:rPr>
      </w:pPr>
      <w:r>
        <w:rPr>
          <w:rFonts w:hint="default" w:ascii="Times New Roman" w:hAnsi="Times New Roman" w:eastAsia="黑体" w:cs="Times New Roman"/>
          <w:sz w:val="32"/>
          <w:szCs w:val="32"/>
        </w:rPr>
        <w:t>附件1</w:t>
      </w:r>
    </w:p>
    <w:p>
      <w:pPr>
        <w:pStyle w:val="7"/>
        <w:pageBreakBefore w:val="0"/>
        <w:kinsoku/>
        <w:wordWrap/>
        <w:overflowPunct/>
        <w:topLinePunct w:val="0"/>
        <w:autoSpaceDE/>
        <w:autoSpaceDN/>
        <w:bidi w:val="0"/>
        <w:spacing w:line="560" w:lineRule="exact"/>
        <w:ind w:left="0" w:leftChars="0" w:firstLine="640"/>
        <w:jc w:val="center"/>
        <w:textAlignment w:val="auto"/>
        <w:rPr>
          <w:rFonts w:hint="default" w:ascii="Times New Roman" w:hAnsi="Times New Roman" w:eastAsia="宋体" w:cs="Times New Roman"/>
          <w:b/>
          <w:bCs/>
          <w:sz w:val="36"/>
          <w:szCs w:val="36"/>
        </w:rPr>
      </w:pPr>
      <w:r>
        <w:rPr>
          <w:rFonts w:hint="eastAsia" w:ascii="Times New Roman" w:cs="Times New Roman"/>
          <w:b/>
          <w:bCs/>
          <w:sz w:val="36"/>
          <w:szCs w:val="36"/>
          <w:lang w:eastAsia="zh-CN"/>
        </w:rPr>
        <w:t>中共阿坝</w:t>
      </w:r>
      <w:r>
        <w:rPr>
          <w:rFonts w:hint="default" w:ascii="Times New Roman" w:hAnsi="Times New Roman" w:cs="Times New Roman"/>
          <w:b/>
          <w:bCs/>
          <w:sz w:val="36"/>
          <w:szCs w:val="36"/>
          <w:lang w:eastAsia="zh-CN"/>
        </w:rPr>
        <w:t>州</w:t>
      </w:r>
      <w:r>
        <w:rPr>
          <w:rFonts w:hint="default" w:ascii="Times New Roman" w:hAnsi="Times New Roman" w:eastAsia="宋体" w:cs="Times New Roman"/>
          <w:b/>
          <w:bCs/>
          <w:sz w:val="36"/>
          <w:szCs w:val="36"/>
        </w:rPr>
        <w:t>委社会工作部部门预算绩效</w:t>
      </w:r>
    </w:p>
    <w:p>
      <w:pPr>
        <w:pStyle w:val="7"/>
        <w:pageBreakBefore w:val="0"/>
        <w:kinsoku/>
        <w:wordWrap/>
        <w:overflowPunct/>
        <w:topLinePunct w:val="0"/>
        <w:autoSpaceDE/>
        <w:autoSpaceDN/>
        <w:bidi w:val="0"/>
        <w:spacing w:line="560" w:lineRule="exact"/>
        <w:ind w:left="0" w:leftChars="0" w:firstLine="640"/>
        <w:jc w:val="center"/>
        <w:textAlignment w:val="auto"/>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自评报告</w:t>
      </w:r>
    </w:p>
    <w:p>
      <w:pPr>
        <w:pStyle w:val="7"/>
        <w:pageBreakBefore w:val="0"/>
        <w:numPr>
          <w:ilvl w:val="0"/>
          <w:numId w:val="1"/>
        </w:numPr>
        <w:kinsoku/>
        <w:wordWrap/>
        <w:overflowPunct/>
        <w:topLinePunct w:val="0"/>
        <w:autoSpaceDE/>
        <w:autoSpaceDN/>
        <w:bidi w:val="0"/>
        <w:spacing w:line="560" w:lineRule="exact"/>
        <w:ind w:left="600" w:leftChars="0" w:firstLine="0"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部门基本情况 </w:t>
      </w:r>
    </w:p>
    <w:p>
      <w:pPr>
        <w:pStyle w:val="7"/>
        <w:pageBreakBefore w:val="0"/>
        <w:numPr>
          <w:ilvl w:val="0"/>
          <w:numId w:val="0"/>
        </w:numPr>
        <w:kinsoku/>
        <w:wordWrap/>
        <w:overflowPunct/>
        <w:topLinePunct w:val="0"/>
        <w:autoSpaceDE/>
        <w:autoSpaceDN/>
        <w:bidi w:val="0"/>
        <w:spacing w:line="560" w:lineRule="exact"/>
        <w:ind w:firstLine="642" w:firstLineChars="20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lang w:eastAsia="zh-CN"/>
        </w:rPr>
        <w:t>（</w:t>
      </w:r>
      <w:r>
        <w:rPr>
          <w:rFonts w:hint="default" w:ascii="Times New Roman" w:hAnsi="Times New Roman" w:eastAsia="楷体" w:cs="Times New Roman"/>
          <w:b/>
          <w:bCs/>
          <w:sz w:val="32"/>
          <w:szCs w:val="32"/>
          <w:lang w:val="en-US" w:eastAsia="zh-CN"/>
        </w:rPr>
        <w:t>一</w:t>
      </w:r>
      <w:r>
        <w:rPr>
          <w:rFonts w:hint="default" w:ascii="Times New Roman" w:hAnsi="Times New Roman" w:eastAsia="楷体" w:cs="Times New Roman"/>
          <w:b/>
          <w:bCs/>
          <w:sz w:val="32"/>
          <w:szCs w:val="32"/>
          <w:lang w:eastAsia="zh-CN"/>
        </w:rPr>
        <w:t>）</w:t>
      </w:r>
      <w:r>
        <w:rPr>
          <w:rFonts w:hint="default" w:ascii="Times New Roman" w:hAnsi="Times New Roman" w:eastAsia="楷体" w:cs="Times New Roman"/>
          <w:b/>
          <w:bCs/>
          <w:sz w:val="32"/>
          <w:szCs w:val="32"/>
        </w:rPr>
        <w:t>机构组成</w:t>
      </w:r>
      <w:r>
        <w:rPr>
          <w:rFonts w:hint="default" w:ascii="Times New Roman" w:hAnsi="Times New Roman" w:eastAsia="楷体" w:cs="Times New Roman"/>
          <w:b/>
          <w:bCs/>
          <w:sz w:val="24"/>
          <w:szCs w:val="24"/>
        </w:rPr>
        <w:t xml:space="preserve"> </w:t>
      </w:r>
    </w:p>
    <w:p>
      <w:pPr>
        <w:pStyle w:val="7"/>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委社会工作部为</w:t>
      </w: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本级一级预算单位，部机关下设</w:t>
      </w: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个内设机构，分别为办公室、一</w:t>
      </w:r>
      <w:r>
        <w:rPr>
          <w:rFonts w:hint="default" w:ascii="Times New Roman" w:hAnsi="Times New Roman" w:eastAsia="仿宋" w:cs="Times New Roman"/>
          <w:sz w:val="32"/>
          <w:szCs w:val="32"/>
          <w:lang w:eastAsia="zh-CN"/>
        </w:rPr>
        <w:t>科</w:t>
      </w:r>
      <w:r>
        <w:rPr>
          <w:rFonts w:hint="default" w:ascii="Times New Roman" w:hAnsi="Times New Roman" w:eastAsia="仿宋" w:cs="Times New Roman"/>
          <w:sz w:val="32"/>
          <w:szCs w:val="32"/>
        </w:rPr>
        <w:t>、二</w:t>
      </w:r>
      <w:r>
        <w:rPr>
          <w:rFonts w:hint="default" w:ascii="Times New Roman" w:hAnsi="Times New Roman" w:eastAsia="仿宋" w:cs="Times New Roman"/>
          <w:sz w:val="32"/>
          <w:szCs w:val="32"/>
          <w:lang w:eastAsia="zh-CN"/>
        </w:rPr>
        <w:t>科</w:t>
      </w:r>
      <w:r>
        <w:rPr>
          <w:rFonts w:hint="default" w:ascii="Times New Roman" w:hAnsi="Times New Roman" w:eastAsia="仿宋" w:cs="Times New Roman"/>
          <w:sz w:val="32"/>
          <w:szCs w:val="32"/>
        </w:rPr>
        <w:t>、三</w:t>
      </w:r>
      <w:r>
        <w:rPr>
          <w:rFonts w:hint="default" w:ascii="Times New Roman" w:hAnsi="Times New Roman" w:eastAsia="仿宋" w:cs="Times New Roman"/>
          <w:sz w:val="32"/>
          <w:szCs w:val="32"/>
          <w:lang w:eastAsia="zh-CN"/>
        </w:rPr>
        <w:t>科</w:t>
      </w:r>
      <w:r>
        <w:rPr>
          <w:rFonts w:hint="default" w:ascii="Times New Roman" w:hAnsi="Times New Roman" w:eastAsia="仿宋" w:cs="Times New Roman"/>
          <w:sz w:val="32"/>
          <w:szCs w:val="32"/>
        </w:rPr>
        <w:t>、四</w:t>
      </w:r>
      <w:r>
        <w:rPr>
          <w:rFonts w:hint="default" w:ascii="Times New Roman" w:hAnsi="Times New Roman" w:eastAsia="仿宋" w:cs="Times New Roman"/>
          <w:sz w:val="32"/>
          <w:szCs w:val="32"/>
          <w:lang w:eastAsia="zh-CN"/>
        </w:rPr>
        <w:t>科</w:t>
      </w:r>
      <w:r>
        <w:rPr>
          <w:rFonts w:hint="default" w:ascii="Times New Roman" w:hAnsi="Times New Roman" w:eastAsia="仿宋" w:cs="Times New Roman"/>
          <w:sz w:val="32"/>
          <w:szCs w:val="32"/>
        </w:rPr>
        <w:t>、五</w:t>
      </w:r>
      <w:r>
        <w:rPr>
          <w:rFonts w:hint="default" w:ascii="Times New Roman" w:hAnsi="Times New Roman" w:eastAsia="仿宋" w:cs="Times New Roman"/>
          <w:sz w:val="32"/>
          <w:szCs w:val="32"/>
          <w:lang w:eastAsia="zh-CN"/>
        </w:rPr>
        <w:t>科</w:t>
      </w:r>
      <w:r>
        <w:rPr>
          <w:rFonts w:hint="default" w:ascii="Times New Roman" w:hAnsi="Times New Roman" w:eastAsia="仿宋" w:cs="Times New Roman"/>
          <w:sz w:val="32"/>
          <w:szCs w:val="32"/>
        </w:rPr>
        <w:t xml:space="preserve">。 </w:t>
      </w:r>
    </w:p>
    <w:p>
      <w:pPr>
        <w:pStyle w:val="7"/>
        <w:pageBreakBefore w:val="0"/>
        <w:numPr>
          <w:ilvl w:val="0"/>
          <w:numId w:val="0"/>
        </w:numPr>
        <w:kinsoku/>
        <w:wordWrap/>
        <w:overflowPunct/>
        <w:topLinePunct w:val="0"/>
        <w:autoSpaceDE/>
        <w:autoSpaceDN/>
        <w:bidi w:val="0"/>
        <w:spacing w:line="560" w:lineRule="exact"/>
        <w:ind w:firstLine="642" w:firstLineChars="200"/>
        <w:textAlignment w:val="auto"/>
        <w:rPr>
          <w:rFonts w:hint="default" w:ascii="Times New Roman" w:hAnsi="Times New Roman" w:eastAsia="楷体" w:cs="Times New Roman"/>
          <w:b/>
          <w:bCs/>
          <w:sz w:val="32"/>
          <w:szCs w:val="32"/>
          <w:lang w:eastAsia="zh-CN"/>
        </w:rPr>
      </w:pPr>
      <w:r>
        <w:rPr>
          <w:rFonts w:hint="default" w:ascii="Times New Roman" w:hAnsi="Times New Roman" w:eastAsia="楷体" w:cs="Times New Roman"/>
          <w:b/>
          <w:bCs/>
          <w:sz w:val="32"/>
          <w:szCs w:val="32"/>
          <w:lang w:eastAsia="zh-CN"/>
        </w:rPr>
        <w:t>（</w:t>
      </w:r>
      <w:r>
        <w:rPr>
          <w:rFonts w:hint="default" w:ascii="Times New Roman" w:hAnsi="Times New Roman" w:eastAsia="楷体" w:cs="Times New Roman"/>
          <w:b/>
          <w:bCs/>
          <w:sz w:val="32"/>
          <w:szCs w:val="32"/>
          <w:lang w:val="en-US" w:eastAsia="zh-CN"/>
        </w:rPr>
        <w:t>二</w:t>
      </w:r>
      <w:r>
        <w:rPr>
          <w:rFonts w:hint="default" w:ascii="Times New Roman" w:hAnsi="Times New Roman" w:eastAsia="楷体" w:cs="Times New Roman"/>
          <w:b/>
          <w:bCs/>
          <w:sz w:val="32"/>
          <w:szCs w:val="32"/>
          <w:lang w:eastAsia="zh-CN"/>
        </w:rPr>
        <w:t xml:space="preserve">）机构职能 </w:t>
      </w:r>
    </w:p>
    <w:p>
      <w:pPr>
        <w:pStyle w:val="7"/>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委社会工作部主要职责是负责统筹指导人民信访工作， 指导人民建议征集工作，统筹推进党建引领基层治理和基层政权建设，统一领导全</w:t>
      </w: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 xml:space="preserve">行业协会商会党建工作，协调推动行业协会商会深化改革和转型发展，指导混合所有制企业、非公有 制企业和新经济组织、新社会组织、新就业群体党建工作，指导社会工作人才队伍建设，负责志愿服务工作等。 </w:t>
      </w:r>
    </w:p>
    <w:p>
      <w:pPr>
        <w:pStyle w:val="7"/>
        <w:pageBreakBefore w:val="0"/>
        <w:numPr>
          <w:ilvl w:val="0"/>
          <w:numId w:val="0"/>
        </w:numPr>
        <w:kinsoku/>
        <w:wordWrap/>
        <w:overflowPunct/>
        <w:topLinePunct w:val="0"/>
        <w:autoSpaceDE/>
        <w:autoSpaceDN/>
        <w:bidi w:val="0"/>
        <w:spacing w:line="560" w:lineRule="exact"/>
        <w:ind w:firstLine="642" w:firstLineChars="200"/>
        <w:textAlignment w:val="auto"/>
        <w:rPr>
          <w:rFonts w:hint="default" w:ascii="Times New Roman" w:hAnsi="Times New Roman" w:eastAsia="楷体" w:cs="Times New Roman"/>
          <w:b/>
          <w:bCs/>
          <w:sz w:val="32"/>
          <w:szCs w:val="32"/>
          <w:lang w:eastAsia="zh-CN"/>
        </w:rPr>
      </w:pPr>
      <w:r>
        <w:rPr>
          <w:rFonts w:hint="default" w:ascii="Times New Roman" w:hAnsi="Times New Roman" w:eastAsia="楷体" w:cs="Times New Roman"/>
          <w:b/>
          <w:bCs/>
          <w:sz w:val="32"/>
          <w:szCs w:val="32"/>
          <w:lang w:eastAsia="zh-CN"/>
        </w:rPr>
        <w:t>（</w:t>
      </w:r>
      <w:r>
        <w:rPr>
          <w:rFonts w:hint="default" w:ascii="Times New Roman" w:hAnsi="Times New Roman" w:eastAsia="楷体" w:cs="Times New Roman"/>
          <w:b/>
          <w:bCs/>
          <w:sz w:val="32"/>
          <w:szCs w:val="32"/>
          <w:lang w:val="en-US" w:eastAsia="zh-CN"/>
        </w:rPr>
        <w:t>三</w:t>
      </w:r>
      <w:r>
        <w:rPr>
          <w:rFonts w:hint="default" w:ascii="Times New Roman" w:hAnsi="Times New Roman" w:eastAsia="楷体" w:cs="Times New Roman"/>
          <w:b/>
          <w:bCs/>
          <w:sz w:val="32"/>
          <w:szCs w:val="32"/>
          <w:lang w:eastAsia="zh-CN"/>
        </w:rPr>
        <w:t>）人员概况</w:t>
      </w:r>
    </w:p>
    <w:p>
      <w:pPr>
        <w:pStyle w:val="7"/>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截至2024年12月1日，行政编制</w:t>
      </w:r>
      <w:r>
        <w:rPr>
          <w:rFonts w:hint="default" w:ascii="Times New Roman" w:hAnsi="Times New Roman" w:eastAsia="仿宋" w:cs="Times New Roman"/>
          <w:sz w:val="32"/>
          <w:szCs w:val="32"/>
          <w:lang w:val="en-US" w:eastAsia="zh-CN"/>
        </w:rPr>
        <w:t>15</w:t>
      </w:r>
      <w:r>
        <w:rPr>
          <w:rFonts w:hint="default" w:ascii="Times New Roman" w:hAnsi="Times New Roman" w:eastAsia="仿宋" w:cs="Times New Roman"/>
          <w:sz w:val="32"/>
          <w:szCs w:val="32"/>
        </w:rPr>
        <w:t>名，年末行政人员</w:t>
      </w:r>
      <w:r>
        <w:rPr>
          <w:rFonts w:hint="default" w:ascii="Times New Roman" w:hAnsi="Times New Roman" w:eastAsia="仿宋" w:cs="Times New Roman"/>
          <w:sz w:val="32"/>
          <w:szCs w:val="32"/>
          <w:lang w:val="en-US" w:eastAsia="zh-CN"/>
        </w:rPr>
        <w:t>13</w:t>
      </w:r>
      <w:r>
        <w:rPr>
          <w:rFonts w:hint="default" w:ascii="Times New Roman" w:hAnsi="Times New Roman" w:eastAsia="仿宋" w:cs="Times New Roman"/>
          <w:sz w:val="32"/>
          <w:szCs w:val="32"/>
        </w:rPr>
        <w:t>人。</w:t>
      </w:r>
    </w:p>
    <w:p>
      <w:pPr>
        <w:pStyle w:val="7"/>
        <w:pageBreakBefore w:val="0"/>
        <w:numPr>
          <w:ilvl w:val="0"/>
          <w:numId w:val="1"/>
        </w:numPr>
        <w:kinsoku/>
        <w:wordWrap/>
        <w:overflowPunct/>
        <w:topLinePunct w:val="0"/>
        <w:autoSpaceDE/>
        <w:autoSpaceDN/>
        <w:bidi w:val="0"/>
        <w:spacing w:line="560" w:lineRule="exact"/>
        <w:ind w:left="600" w:leftChars="0" w:firstLine="0"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部门资金收支情况 </w:t>
      </w:r>
    </w:p>
    <w:p>
      <w:pPr>
        <w:pStyle w:val="7"/>
        <w:pageBreakBefore w:val="0"/>
        <w:numPr>
          <w:ilvl w:val="0"/>
          <w:numId w:val="0"/>
        </w:numPr>
        <w:kinsoku/>
        <w:wordWrap/>
        <w:overflowPunct/>
        <w:topLinePunct w:val="0"/>
        <w:autoSpaceDE/>
        <w:autoSpaceDN/>
        <w:bidi w:val="0"/>
        <w:spacing w:line="560" w:lineRule="exact"/>
        <w:ind w:firstLine="642" w:firstLineChars="200"/>
        <w:textAlignment w:val="auto"/>
        <w:rPr>
          <w:rFonts w:hint="default" w:ascii="Times New Roman" w:hAnsi="Times New Roman" w:eastAsia="楷体" w:cs="Times New Roman"/>
          <w:b/>
          <w:bCs/>
          <w:sz w:val="32"/>
          <w:szCs w:val="32"/>
          <w:lang w:eastAsia="zh-CN"/>
        </w:rPr>
      </w:pPr>
      <w:r>
        <w:rPr>
          <w:rFonts w:hint="default" w:ascii="Times New Roman" w:hAnsi="Times New Roman" w:eastAsia="楷体" w:cs="Times New Roman"/>
          <w:b/>
          <w:bCs/>
          <w:sz w:val="32"/>
          <w:szCs w:val="32"/>
          <w:lang w:eastAsia="zh-CN"/>
        </w:rPr>
        <w:t>（</w:t>
      </w:r>
      <w:r>
        <w:rPr>
          <w:rFonts w:hint="default" w:ascii="Times New Roman" w:hAnsi="Times New Roman" w:eastAsia="楷体" w:cs="Times New Roman"/>
          <w:b/>
          <w:bCs/>
          <w:sz w:val="32"/>
          <w:szCs w:val="32"/>
          <w:lang w:val="en-US" w:eastAsia="zh-CN"/>
        </w:rPr>
        <w:t>一</w:t>
      </w:r>
      <w:r>
        <w:rPr>
          <w:rFonts w:hint="default" w:ascii="Times New Roman" w:hAnsi="Times New Roman" w:eastAsia="楷体" w:cs="Times New Roman"/>
          <w:b/>
          <w:bCs/>
          <w:sz w:val="32"/>
          <w:szCs w:val="32"/>
          <w:lang w:eastAsia="zh-CN"/>
        </w:rPr>
        <w:t>）收入情况</w:t>
      </w:r>
    </w:p>
    <w:p>
      <w:pPr>
        <w:pStyle w:val="7"/>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lang w:val="zh-CN" w:bidi="ar"/>
        </w:rPr>
      </w:pP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委社会工作部2024年收入总额为</w:t>
      </w:r>
      <w:r>
        <w:rPr>
          <w:rFonts w:hint="eastAsia" w:ascii="Times New Roman" w:eastAsia="仿宋" w:cs="Times New Roman"/>
          <w:sz w:val="32"/>
          <w:szCs w:val="32"/>
          <w:lang w:val="en-US" w:eastAsia="zh-CN"/>
        </w:rPr>
        <w:t>88.21</w:t>
      </w:r>
      <w:r>
        <w:rPr>
          <w:rFonts w:hint="default" w:ascii="Times New Roman" w:hAnsi="Times New Roman" w:eastAsia="仿宋" w:cs="Times New Roman"/>
          <w:sz w:val="32"/>
          <w:szCs w:val="32"/>
        </w:rPr>
        <w:t>万元，均为一般公共预算财政拨款收入</w:t>
      </w:r>
      <w:r>
        <w:rPr>
          <w:rFonts w:hint="eastAsia" w:ascii="Times New Roman" w:eastAsia="仿宋" w:cs="Times New Roman"/>
          <w:sz w:val="32"/>
          <w:szCs w:val="32"/>
          <w:lang w:val="en-US" w:eastAsia="zh-CN"/>
        </w:rPr>
        <w:t>88.21</w:t>
      </w:r>
      <w:r>
        <w:rPr>
          <w:rFonts w:hint="default" w:ascii="Times New Roman" w:hAnsi="Times New Roman" w:eastAsia="仿宋" w:cs="Times New Roman"/>
          <w:sz w:val="32"/>
          <w:szCs w:val="32"/>
        </w:rPr>
        <w:t xml:space="preserve">万元，占收入总额的100%。 </w:t>
      </w:r>
    </w:p>
    <w:p>
      <w:pPr>
        <w:pStyle w:val="7"/>
        <w:pageBreakBefore w:val="0"/>
        <w:numPr>
          <w:ilvl w:val="0"/>
          <w:numId w:val="0"/>
        </w:numPr>
        <w:kinsoku/>
        <w:wordWrap/>
        <w:overflowPunct/>
        <w:topLinePunct w:val="0"/>
        <w:autoSpaceDE/>
        <w:autoSpaceDN/>
        <w:bidi w:val="0"/>
        <w:spacing w:line="560" w:lineRule="exact"/>
        <w:ind w:firstLine="642" w:firstLineChars="200"/>
        <w:textAlignment w:val="auto"/>
        <w:rPr>
          <w:rFonts w:hint="default" w:ascii="Times New Roman" w:hAnsi="Times New Roman" w:eastAsia="楷体" w:cs="Times New Roman"/>
          <w:b/>
          <w:bCs/>
          <w:sz w:val="32"/>
          <w:szCs w:val="32"/>
          <w:lang w:eastAsia="zh-CN"/>
        </w:rPr>
      </w:pPr>
      <w:r>
        <w:rPr>
          <w:rFonts w:hint="default" w:ascii="Times New Roman" w:hAnsi="Times New Roman" w:eastAsia="楷体" w:cs="Times New Roman"/>
          <w:b/>
          <w:bCs/>
          <w:sz w:val="32"/>
          <w:szCs w:val="32"/>
          <w:lang w:eastAsia="zh-CN"/>
        </w:rPr>
        <w:t>（</w:t>
      </w:r>
      <w:r>
        <w:rPr>
          <w:rFonts w:hint="default" w:ascii="Times New Roman" w:hAnsi="Times New Roman" w:eastAsia="楷体" w:cs="Times New Roman"/>
          <w:b/>
          <w:bCs/>
          <w:sz w:val="32"/>
          <w:szCs w:val="32"/>
          <w:lang w:val="en-US" w:eastAsia="zh-CN"/>
        </w:rPr>
        <w:t>二</w:t>
      </w:r>
      <w:r>
        <w:rPr>
          <w:rFonts w:hint="default" w:ascii="Times New Roman" w:hAnsi="Times New Roman" w:eastAsia="楷体" w:cs="Times New Roman"/>
          <w:b/>
          <w:bCs/>
          <w:sz w:val="32"/>
          <w:szCs w:val="32"/>
          <w:lang w:eastAsia="zh-CN"/>
        </w:rPr>
        <w:t xml:space="preserve">）支出情况 </w:t>
      </w:r>
    </w:p>
    <w:p>
      <w:pPr>
        <w:pStyle w:val="7"/>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委社会工作部2024年支出总额为</w:t>
      </w:r>
      <w:r>
        <w:rPr>
          <w:rFonts w:hint="eastAsia" w:ascii="Times New Roman" w:eastAsia="仿宋" w:cs="Times New Roman"/>
          <w:sz w:val="32"/>
          <w:szCs w:val="32"/>
          <w:lang w:val="en-US" w:eastAsia="zh-CN"/>
        </w:rPr>
        <w:t>88.21</w:t>
      </w:r>
      <w:r>
        <w:rPr>
          <w:rFonts w:hint="default" w:ascii="Times New Roman" w:hAnsi="Times New Roman" w:eastAsia="仿宋" w:cs="Times New Roman"/>
          <w:sz w:val="32"/>
          <w:szCs w:val="32"/>
        </w:rPr>
        <w:t>万元，其中： 基本支出</w:t>
      </w:r>
      <w:r>
        <w:rPr>
          <w:rFonts w:hint="eastAsia" w:ascii="Times New Roman" w:eastAsia="仿宋" w:cs="Times New Roman"/>
          <w:sz w:val="32"/>
          <w:szCs w:val="32"/>
          <w:lang w:val="en-US" w:eastAsia="zh-CN"/>
        </w:rPr>
        <w:t>88.21</w:t>
      </w:r>
      <w:r>
        <w:rPr>
          <w:rFonts w:hint="default" w:ascii="Times New Roman" w:hAnsi="Times New Roman" w:eastAsia="仿宋" w:cs="Times New Roman"/>
          <w:sz w:val="32"/>
          <w:szCs w:val="32"/>
        </w:rPr>
        <w:t>万元（人员经费</w:t>
      </w:r>
      <w:r>
        <w:rPr>
          <w:rFonts w:hint="eastAsia" w:ascii="Times New Roman" w:eastAsia="仿宋" w:cs="Times New Roman"/>
          <w:sz w:val="32"/>
          <w:szCs w:val="32"/>
          <w:lang w:val="en-US" w:eastAsia="zh-CN"/>
        </w:rPr>
        <w:t>61.17</w:t>
      </w:r>
      <w:r>
        <w:rPr>
          <w:rFonts w:hint="default" w:ascii="Times New Roman" w:hAnsi="Times New Roman" w:eastAsia="仿宋" w:cs="Times New Roman"/>
          <w:sz w:val="32"/>
          <w:szCs w:val="32"/>
        </w:rPr>
        <w:t>万元，公用经费</w:t>
      </w:r>
      <w:r>
        <w:rPr>
          <w:rFonts w:hint="eastAsia" w:ascii="Times New Roman" w:eastAsia="仿宋" w:cs="Times New Roman"/>
          <w:sz w:val="32"/>
          <w:szCs w:val="32"/>
          <w:lang w:val="en-US" w:eastAsia="zh-CN"/>
        </w:rPr>
        <w:t>27.04</w:t>
      </w:r>
      <w:r>
        <w:rPr>
          <w:rFonts w:hint="default" w:ascii="Times New Roman" w:hAnsi="Times New Roman" w:eastAsia="仿宋" w:cs="Times New Roman"/>
          <w:sz w:val="32"/>
          <w:szCs w:val="32"/>
        </w:rPr>
        <w:t>万元），占支出总额的</w:t>
      </w:r>
      <w:r>
        <w:rPr>
          <w:rFonts w:hint="default" w:ascii="Times New Roman" w:hAnsi="Times New Roman" w:eastAsia="仿宋" w:cs="Times New Roman"/>
          <w:sz w:val="32"/>
          <w:szCs w:val="32"/>
          <w:lang w:val="en-US" w:eastAsia="zh-CN"/>
        </w:rPr>
        <w:t>100</w:t>
      </w:r>
      <w:r>
        <w:rPr>
          <w:rFonts w:hint="default" w:ascii="Times New Roman" w:hAnsi="Times New Roman" w:eastAsia="仿宋" w:cs="Times New Roman"/>
          <w:sz w:val="32"/>
          <w:szCs w:val="32"/>
        </w:rPr>
        <w:t>%</w:t>
      </w:r>
      <w:r>
        <w:rPr>
          <w:rFonts w:hint="eastAsia" w:ascii="Times New Roman" w:eastAsia="仿宋" w:cs="Times New Roman"/>
          <w:sz w:val="32"/>
          <w:szCs w:val="32"/>
          <w:lang w:eastAsia="zh-CN"/>
        </w:rPr>
        <w:t>。</w:t>
      </w:r>
    </w:p>
    <w:p>
      <w:pPr>
        <w:pStyle w:val="7"/>
        <w:pageBreakBefore w:val="0"/>
        <w:numPr>
          <w:ilvl w:val="0"/>
          <w:numId w:val="0"/>
        </w:numPr>
        <w:kinsoku/>
        <w:wordWrap/>
        <w:overflowPunct/>
        <w:topLinePunct w:val="0"/>
        <w:autoSpaceDE/>
        <w:autoSpaceDN/>
        <w:bidi w:val="0"/>
        <w:spacing w:line="560" w:lineRule="exact"/>
        <w:ind w:firstLine="642" w:firstLineChars="200"/>
        <w:textAlignment w:val="auto"/>
        <w:rPr>
          <w:rFonts w:hint="default" w:ascii="Times New Roman" w:hAnsi="Times New Roman" w:eastAsia="楷体" w:cs="Times New Roman"/>
          <w:b/>
          <w:bCs/>
          <w:sz w:val="32"/>
          <w:szCs w:val="32"/>
          <w:lang w:val="en-US" w:eastAsia="zh-CN"/>
        </w:rPr>
      </w:pPr>
      <w:r>
        <w:rPr>
          <w:rFonts w:hint="default" w:ascii="Times New Roman" w:hAnsi="Times New Roman" w:eastAsia="楷体" w:cs="Times New Roman"/>
          <w:b/>
          <w:bCs/>
          <w:sz w:val="32"/>
          <w:szCs w:val="32"/>
          <w:lang w:val="en-US" w:eastAsia="zh-CN"/>
        </w:rPr>
        <w:t>（三）结余分配和结转结余情况</w:t>
      </w:r>
    </w:p>
    <w:p>
      <w:pPr>
        <w:pStyle w:val="7"/>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委社会工作部2024年无结转结余。</w:t>
      </w:r>
    </w:p>
    <w:p>
      <w:pPr>
        <w:pStyle w:val="7"/>
        <w:pageBreakBefore w:val="0"/>
        <w:numPr>
          <w:ilvl w:val="0"/>
          <w:numId w:val="1"/>
        </w:numPr>
        <w:kinsoku/>
        <w:wordWrap/>
        <w:overflowPunct/>
        <w:topLinePunct w:val="0"/>
        <w:autoSpaceDE/>
        <w:autoSpaceDN/>
        <w:bidi w:val="0"/>
        <w:spacing w:line="560" w:lineRule="exact"/>
        <w:ind w:left="600" w:leftChars="0" w:firstLine="0"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部门预算绩效分析 </w:t>
      </w:r>
    </w:p>
    <w:p>
      <w:pPr>
        <w:pStyle w:val="7"/>
        <w:pageBreakBefore w:val="0"/>
        <w:numPr>
          <w:ilvl w:val="0"/>
          <w:numId w:val="0"/>
        </w:numPr>
        <w:kinsoku/>
        <w:wordWrap/>
        <w:overflowPunct/>
        <w:topLinePunct w:val="0"/>
        <w:autoSpaceDE/>
        <w:autoSpaceDN/>
        <w:bidi w:val="0"/>
        <w:spacing w:line="560" w:lineRule="exact"/>
        <w:ind w:firstLine="642" w:firstLineChars="200"/>
        <w:textAlignment w:val="auto"/>
        <w:rPr>
          <w:rFonts w:hint="default" w:ascii="Times New Roman" w:hAnsi="Times New Roman" w:eastAsia="仿宋" w:cs="Times New Roman"/>
          <w:sz w:val="32"/>
          <w:szCs w:val="32"/>
        </w:rPr>
      </w:pPr>
      <w:r>
        <w:rPr>
          <w:rFonts w:hint="default" w:ascii="Times New Roman" w:hAnsi="Times New Roman" w:eastAsia="楷体" w:cs="Times New Roman"/>
          <w:b/>
          <w:bCs/>
          <w:sz w:val="32"/>
          <w:szCs w:val="32"/>
          <w:lang w:val="en-US" w:eastAsia="zh-CN"/>
        </w:rPr>
        <w:t>（一）部门预算总体绩效分析</w:t>
      </w:r>
      <w:r>
        <w:rPr>
          <w:rFonts w:hint="default" w:ascii="Times New Roman" w:hAnsi="Times New Roman" w:eastAsia="仿宋" w:cs="Times New Roman"/>
          <w:sz w:val="32"/>
          <w:szCs w:val="32"/>
        </w:rPr>
        <w:t xml:space="preserve"> </w:t>
      </w:r>
    </w:p>
    <w:p>
      <w:pPr>
        <w:pStyle w:val="7"/>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rPr>
      </w:pPr>
      <w:bookmarkStart w:id="67" w:name="_GoBack"/>
      <w:bookmarkEnd w:id="67"/>
      <w:r>
        <w:rPr>
          <w:rFonts w:hint="default" w:ascii="Times New Roman" w:hAnsi="Times New Roman" w:eastAsia="仿宋" w:cs="Times New Roman"/>
          <w:sz w:val="32"/>
          <w:szCs w:val="32"/>
        </w:rPr>
        <w:t>2024年</w:t>
      </w:r>
      <w:r>
        <w:rPr>
          <w:rFonts w:hint="default"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月，我部组建成立，未编制部门预算及设置整体 支出绩效目标，为保障部机关组建完成后各项工作的正常运转，切实有效履行</w:t>
      </w: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委</w:t>
      </w: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政府赋予的职能职责，结合我部2024年年度重点工作任务，我们科学编制追加年度预算及项目绩效目标</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严格落实预算绩效管理相关规定，提高绩效目标编制质量，推动绩效目标科学合理、规范完整、细化量化，确保绩效目标的产出效果与部门预算安排相匹配。 一是严格部门预算管理。严格按照《中华人民共和国预算法》《国务院关于深化预算管理制度改革的决定》《四川</w:t>
      </w:r>
      <w:r>
        <w:rPr>
          <w:rFonts w:hint="default" w:ascii="Times New Roman" w:hAnsi="Times New Roman" w:eastAsia="仿宋" w:cs="Times New Roman"/>
          <w:sz w:val="32"/>
          <w:szCs w:val="32"/>
          <w:lang w:val="en-US" w:eastAsia="zh-CN"/>
        </w:rPr>
        <w:t>省</w:t>
      </w:r>
      <w:r>
        <w:rPr>
          <w:rFonts w:hint="default" w:ascii="Times New Roman" w:hAnsi="Times New Roman" w:eastAsia="仿宋" w:cs="Times New Roman"/>
          <w:sz w:val="32"/>
          <w:szCs w:val="32"/>
        </w:rPr>
        <w:t>委</w:t>
      </w:r>
      <w:r>
        <w:rPr>
          <w:rFonts w:hint="default" w:ascii="Times New Roman" w:hAnsi="Times New Roman" w:eastAsia="仿宋" w:cs="Times New Roman"/>
          <w:sz w:val="32"/>
          <w:szCs w:val="32"/>
          <w:lang w:val="en-US" w:eastAsia="zh-CN"/>
        </w:rPr>
        <w:t>省</w:t>
      </w:r>
      <w:r>
        <w:rPr>
          <w:rFonts w:hint="default" w:ascii="Times New Roman" w:hAnsi="Times New Roman" w:eastAsia="仿宋" w:cs="Times New Roman"/>
          <w:sz w:val="32"/>
          <w:szCs w:val="32"/>
        </w:rPr>
        <w:t>政府关于全面实施预算绩效管理的实施意见》等有关规定，结合</w:t>
      </w: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委</w:t>
      </w: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政府重点工作及我部年度工作，围绕职能职责、行政效能、服务质量、自身建设和中长期发展规划等方面，科学编制追加2024年部门预算及预算绩效目标。积极统筹年度工作任务，严格按照预算计划推动预算执行，提高执行进度。严格落实厉行节约相关规定，把习惯过紧日子贯穿到预算管理的全过程，严控一般性支出。二是规范部门财务管理。为规范我部日常财务管理，保障资金使用效率及安全，提高经费使用效益，结合各类财经法规政策，我部制定了</w:t>
      </w:r>
      <w:r>
        <w:rPr>
          <w:rFonts w:hint="default" w:ascii="Times New Roman" w:hAnsi="Times New Roman" w:eastAsia="仿宋" w:cs="Times New Roman"/>
          <w:sz w:val="32"/>
          <w:szCs w:val="32"/>
          <w:highlight w:val="none"/>
        </w:rPr>
        <w:t>《</w:t>
      </w:r>
      <w:r>
        <w:rPr>
          <w:rFonts w:hint="eastAsia" w:ascii="Times New Roman" w:eastAsia="仿宋" w:cs="Times New Roman"/>
          <w:sz w:val="32"/>
          <w:szCs w:val="32"/>
          <w:highlight w:val="none"/>
          <w:lang w:eastAsia="zh-CN"/>
        </w:rPr>
        <w:t>中共阿坝</w:t>
      </w:r>
      <w:r>
        <w:rPr>
          <w:rFonts w:hint="default" w:ascii="Times New Roman" w:hAnsi="Times New Roman" w:eastAsia="仿宋" w:cs="Times New Roman"/>
          <w:sz w:val="32"/>
          <w:szCs w:val="32"/>
          <w:highlight w:val="none"/>
          <w:lang w:eastAsia="zh-CN"/>
        </w:rPr>
        <w:t>州</w:t>
      </w:r>
      <w:r>
        <w:rPr>
          <w:rFonts w:hint="default" w:ascii="Times New Roman" w:hAnsi="Times New Roman" w:eastAsia="仿宋" w:cs="Times New Roman"/>
          <w:sz w:val="32"/>
          <w:szCs w:val="32"/>
          <w:highlight w:val="none"/>
        </w:rPr>
        <w:t>委社会工作部</w:t>
      </w:r>
      <w:r>
        <w:rPr>
          <w:rFonts w:hint="eastAsia" w:ascii="Times New Roman" w:eastAsia="仿宋" w:cs="Times New Roman"/>
          <w:sz w:val="32"/>
          <w:szCs w:val="32"/>
          <w:highlight w:val="none"/>
          <w:lang w:eastAsia="zh-CN"/>
        </w:rPr>
        <w:t>部机关</w:t>
      </w:r>
      <w:r>
        <w:rPr>
          <w:rFonts w:hint="default" w:ascii="Times New Roman" w:hAnsi="Times New Roman" w:eastAsia="仿宋" w:cs="Times New Roman"/>
          <w:sz w:val="32"/>
          <w:szCs w:val="32"/>
          <w:highlight w:val="none"/>
        </w:rPr>
        <w:t>财务</w:t>
      </w:r>
      <w:r>
        <w:rPr>
          <w:rFonts w:hint="eastAsia" w:ascii="Times New Roman" w:eastAsia="仿宋" w:cs="Times New Roman"/>
          <w:sz w:val="32"/>
          <w:szCs w:val="32"/>
          <w:highlight w:val="none"/>
          <w:lang w:eastAsia="zh-CN"/>
        </w:rPr>
        <w:t>经费</w:t>
      </w:r>
      <w:r>
        <w:rPr>
          <w:rFonts w:hint="default" w:ascii="Times New Roman" w:hAnsi="Times New Roman" w:eastAsia="仿宋" w:cs="Times New Roman"/>
          <w:sz w:val="32"/>
          <w:szCs w:val="32"/>
          <w:highlight w:val="none"/>
        </w:rPr>
        <w:t>管理</w:t>
      </w:r>
      <w:r>
        <w:rPr>
          <w:rFonts w:hint="eastAsia" w:ascii="Times New Roman" w:eastAsia="仿宋" w:cs="Times New Roman"/>
          <w:sz w:val="32"/>
          <w:szCs w:val="32"/>
          <w:highlight w:val="none"/>
          <w:lang w:eastAsia="zh-CN"/>
        </w:rPr>
        <w:t>细则</w:t>
      </w:r>
      <w:r>
        <w:rPr>
          <w:rFonts w:hint="default" w:ascii="Times New Roman" w:hAnsi="Times New Roman" w:eastAsia="仿宋" w:cs="Times New Roman"/>
          <w:sz w:val="32"/>
          <w:szCs w:val="32"/>
          <w:highlight w:val="none"/>
        </w:rPr>
        <w:t>》</w:t>
      </w:r>
      <w:r>
        <w:rPr>
          <w:rFonts w:hint="default" w:ascii="Times New Roman" w:hAnsi="Times New Roman" w:eastAsia="仿宋" w:cs="Times New Roman"/>
          <w:sz w:val="32"/>
          <w:szCs w:val="32"/>
        </w:rPr>
        <w:t>等内控制度，对部门预算与决算管理、收入管理、费用支出报销</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“三公”经费支出管理等作出了明确详细的规定，确保日常财务管 理合法、合规、完整；根据岗位不相容的相关规定，保障会计、出纳财务岗相互监督、相互督促，办公室分设会计和出纳岗位，明确相关职责，实现了不相容岗位分离。按照中央财经法规、财政</w:t>
      </w:r>
      <w:r>
        <w:rPr>
          <w:rFonts w:hint="default" w:ascii="Times New Roman" w:hAnsi="Times New Roman" w:eastAsia="仿宋" w:cs="Times New Roman"/>
          <w:sz w:val="32"/>
          <w:szCs w:val="32"/>
          <w:lang w:val="en-US" w:eastAsia="zh-CN"/>
        </w:rPr>
        <w:t>局</w:t>
      </w:r>
      <w:r>
        <w:rPr>
          <w:rFonts w:hint="default" w:ascii="Times New Roman" w:hAnsi="Times New Roman" w:eastAsia="仿宋" w:cs="Times New Roman"/>
          <w:sz w:val="32"/>
          <w:szCs w:val="32"/>
        </w:rPr>
        <w:t>预算批复及单位财务管理制度规定使用资金，资金支出方向符合财政</w:t>
      </w:r>
      <w:r>
        <w:rPr>
          <w:rFonts w:hint="default" w:ascii="Times New Roman" w:hAnsi="Times New Roman" w:eastAsia="仿宋" w:cs="Times New Roman"/>
          <w:sz w:val="32"/>
          <w:szCs w:val="32"/>
          <w:lang w:val="en-US" w:eastAsia="zh-CN"/>
        </w:rPr>
        <w:t>局</w:t>
      </w:r>
      <w:r>
        <w:rPr>
          <w:rFonts w:hint="default" w:ascii="Times New Roman" w:hAnsi="Times New Roman" w:eastAsia="仿宋" w:cs="Times New Roman"/>
          <w:sz w:val="32"/>
          <w:szCs w:val="32"/>
        </w:rPr>
        <w:t>批复用途，资金使用合规；大额经费支出严格 履行“三重一大”决策程序，支出报销程序规范、手续完整，报账资料齐全。2024年在预算执行中严格履行相关决策程序。</w:t>
      </w:r>
    </w:p>
    <w:p>
      <w:pPr>
        <w:pStyle w:val="7"/>
        <w:pageBreakBefore w:val="0"/>
        <w:numPr>
          <w:ilvl w:val="0"/>
          <w:numId w:val="0"/>
        </w:numPr>
        <w:kinsoku/>
        <w:wordWrap/>
        <w:overflowPunct/>
        <w:topLinePunct w:val="0"/>
        <w:autoSpaceDE/>
        <w:autoSpaceDN/>
        <w:bidi w:val="0"/>
        <w:spacing w:line="560" w:lineRule="exact"/>
        <w:ind w:firstLine="642" w:firstLineChars="200"/>
        <w:textAlignment w:val="auto"/>
        <w:rPr>
          <w:rFonts w:hint="default" w:ascii="Times New Roman" w:hAnsi="Times New Roman" w:eastAsia="楷体" w:cs="Times New Roman"/>
          <w:b/>
          <w:bCs/>
          <w:sz w:val="32"/>
          <w:szCs w:val="32"/>
          <w:lang w:val="en-US" w:eastAsia="zh-CN"/>
        </w:rPr>
      </w:pPr>
      <w:r>
        <w:rPr>
          <w:rFonts w:hint="default" w:ascii="Times New Roman" w:hAnsi="Times New Roman" w:eastAsia="楷体" w:cs="Times New Roman"/>
          <w:b/>
          <w:bCs/>
          <w:sz w:val="32"/>
          <w:szCs w:val="32"/>
          <w:lang w:val="en-US" w:eastAsia="zh-CN"/>
        </w:rPr>
        <w:t>（二）绩效结果应用情况</w:t>
      </w:r>
    </w:p>
    <w:p>
      <w:pPr>
        <w:pStyle w:val="7"/>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积极推行绩效运行监控管理机制。将预算编制、执行、监督与预算绩效目标管理相结合，定期通报预算执行进度，分析预算执行偏差原因，加大预算执行监督，把每一笔资金都用在明</w:t>
      </w:r>
      <w:r>
        <w:rPr>
          <w:rFonts w:hint="default" w:ascii="Times New Roman" w:hAnsi="Times New Roman" w:eastAsia="仿宋" w:cs="Times New Roman"/>
          <w:sz w:val="32"/>
          <w:szCs w:val="32"/>
          <w:lang w:val="en-US" w:eastAsia="zh-CN"/>
        </w:rPr>
        <w:t>处</w:t>
      </w:r>
      <w:r>
        <w:rPr>
          <w:rFonts w:hint="default" w:ascii="Times New Roman" w:hAnsi="Times New Roman" w:eastAsia="仿宋" w:cs="Times New Roman"/>
          <w:sz w:val="32"/>
          <w:szCs w:val="32"/>
        </w:rPr>
        <w:t>、用到实</w:t>
      </w:r>
      <w:r>
        <w:rPr>
          <w:rFonts w:hint="default" w:ascii="Times New Roman" w:hAnsi="Times New Roman" w:eastAsia="仿宋" w:cs="Times New Roman"/>
          <w:sz w:val="32"/>
          <w:szCs w:val="32"/>
          <w:lang w:val="en-US" w:eastAsia="zh-CN"/>
        </w:rPr>
        <w:t>处</w:t>
      </w:r>
      <w:r>
        <w:rPr>
          <w:rFonts w:hint="default" w:ascii="Times New Roman" w:hAnsi="Times New Roman" w:eastAsia="仿宋" w:cs="Times New Roman"/>
          <w:sz w:val="32"/>
          <w:szCs w:val="32"/>
        </w:rPr>
        <w:t>、用出效益，确保项目经费开支按时、保质、按规定使用，确实提高资金使用效率。2024年在预算执行等方面未受到财政</w:t>
      </w:r>
      <w:r>
        <w:rPr>
          <w:rFonts w:hint="default" w:ascii="Times New Roman" w:hAnsi="Times New Roman" w:eastAsia="仿宋" w:cs="Times New Roman"/>
          <w:sz w:val="32"/>
          <w:szCs w:val="32"/>
          <w:lang w:val="en-US" w:eastAsia="zh-CN"/>
        </w:rPr>
        <w:t>局</w:t>
      </w:r>
      <w:r>
        <w:rPr>
          <w:rFonts w:hint="default" w:ascii="Times New Roman" w:hAnsi="Times New Roman" w:eastAsia="仿宋" w:cs="Times New Roman"/>
          <w:sz w:val="32"/>
          <w:szCs w:val="32"/>
        </w:rPr>
        <w:t>、审计</w:t>
      </w:r>
      <w:r>
        <w:rPr>
          <w:rFonts w:hint="default" w:ascii="Times New Roman" w:hAnsi="Times New Roman" w:eastAsia="仿宋" w:cs="Times New Roman"/>
          <w:sz w:val="32"/>
          <w:szCs w:val="32"/>
          <w:lang w:val="en-US" w:eastAsia="zh-CN"/>
        </w:rPr>
        <w:t>局</w:t>
      </w:r>
      <w:r>
        <w:rPr>
          <w:rFonts w:hint="default" w:ascii="Times New Roman" w:hAnsi="Times New Roman" w:eastAsia="仿宋" w:cs="Times New Roman"/>
          <w:sz w:val="32"/>
          <w:szCs w:val="32"/>
        </w:rPr>
        <w:t>提出有关预算执行和预算绩效管理方面的问题。</w:t>
      </w:r>
    </w:p>
    <w:p>
      <w:pPr>
        <w:pStyle w:val="7"/>
        <w:pageBreakBefore w:val="0"/>
        <w:numPr>
          <w:ilvl w:val="0"/>
          <w:numId w:val="1"/>
        </w:numPr>
        <w:kinsoku/>
        <w:wordWrap/>
        <w:overflowPunct/>
        <w:topLinePunct w:val="0"/>
        <w:autoSpaceDE/>
        <w:autoSpaceDN/>
        <w:bidi w:val="0"/>
        <w:spacing w:line="560" w:lineRule="exact"/>
        <w:ind w:left="600" w:leftChars="0" w:firstLine="0"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评价结论及建议 </w:t>
      </w:r>
    </w:p>
    <w:p>
      <w:pPr>
        <w:pStyle w:val="7"/>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lang w:val="zh-CN" w:bidi="ar"/>
        </w:rPr>
      </w:pPr>
      <w:r>
        <w:rPr>
          <w:rFonts w:hint="default" w:ascii="Times New Roman" w:hAnsi="Times New Roman" w:eastAsia="仿宋" w:cs="Times New Roman"/>
          <w:sz w:val="32"/>
          <w:szCs w:val="32"/>
        </w:rPr>
        <w:t>按照部门预算绩效评价指标体系评价，我</w:t>
      </w:r>
      <w:r>
        <w:rPr>
          <w:rFonts w:hint="eastAsia" w:ascii="Times New Roman" w:eastAsia="仿宋" w:cs="Times New Roman"/>
          <w:sz w:val="32"/>
          <w:szCs w:val="32"/>
          <w:lang w:val="en-US" w:eastAsia="zh-CN"/>
        </w:rPr>
        <w:t>部门</w:t>
      </w:r>
      <w:r>
        <w:rPr>
          <w:rFonts w:hint="default" w:ascii="Times New Roman" w:hAnsi="Times New Roman" w:eastAsia="仿宋" w:cs="Times New Roman"/>
          <w:sz w:val="32"/>
          <w:szCs w:val="32"/>
        </w:rPr>
        <w:t>2024年度部门预算具有明确的用途和目标，制定了比较详细的执行计划，资金到位及时并严格按照财政有关规定使用。预算决策、管理、执行等工作日益规范，能较好地满足我部各项运转工作需要，取得了良好经济效益和社会效益。</w:t>
      </w:r>
    </w:p>
    <w:p>
      <w:pPr>
        <w:pStyle w:val="7"/>
        <w:pageBreakBefore w:val="0"/>
        <w:kinsoku/>
        <w:wordWrap/>
        <w:overflowPunct/>
        <w:topLinePunct w:val="0"/>
        <w:autoSpaceDE/>
        <w:autoSpaceDN/>
        <w:bidi w:val="0"/>
        <w:spacing w:line="560" w:lineRule="exact"/>
        <w:ind w:left="0" w:leftChars="0" w:firstLine="640"/>
        <w:textAlignment w:val="auto"/>
        <w:rPr>
          <w:rFonts w:hint="default" w:ascii="Times New Roman" w:hAnsi="Times New Roman" w:eastAsia="仿宋" w:cs="Times New Roman"/>
          <w:sz w:val="32"/>
          <w:szCs w:val="32"/>
          <w:lang w:val="zh-CN" w:bidi="ar"/>
        </w:rPr>
      </w:pPr>
      <w:r>
        <w:rPr>
          <w:rFonts w:hint="default" w:ascii="Times New Roman" w:hAnsi="Times New Roman" w:eastAsia="仿宋" w:cs="Times New Roman"/>
          <w:sz w:val="32"/>
          <w:szCs w:val="32"/>
          <w:lang w:val="zh-CN" w:bidi="ar"/>
        </w:rPr>
        <w:t>附表：</w:t>
      </w:r>
      <w:r>
        <w:rPr>
          <w:rFonts w:hint="default" w:ascii="Times New Roman" w:hAnsi="Times New Roman" w:eastAsia="仿宋" w:cs="Times New Roman"/>
          <w:sz w:val="32"/>
          <w:szCs w:val="32"/>
          <w:lang w:bidi="ar"/>
        </w:rPr>
        <w:t>部门预算项目支出绩效自评表（2024年度）</w:t>
      </w:r>
    </w:p>
    <w:p>
      <w:pPr>
        <w:pStyle w:val="5"/>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5"/>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5"/>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5"/>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5"/>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5"/>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5"/>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5"/>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5"/>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5"/>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5"/>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黑体" w:cs="Times New Roman"/>
          <w:kern w:val="2"/>
          <w:sz w:val="32"/>
          <w:szCs w:val="24"/>
          <w:highlight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p>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outlineLvl w:val="9"/>
        <w:rPr>
          <w:rFonts w:hint="eastAsia" w:ascii="Times New Roman" w:hAnsi="Times New Roman" w:eastAsia="黑体"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t>部门预算绩效自评打分表</w:t>
      </w:r>
    </w:p>
    <w:tbl>
      <w:tblPr>
        <w:tblStyle w:val="12"/>
        <w:tblW w:w="1129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6"/>
        <w:gridCol w:w="1275"/>
        <w:gridCol w:w="1770"/>
        <w:gridCol w:w="705"/>
        <w:gridCol w:w="4485"/>
        <w:gridCol w:w="885"/>
        <w:gridCol w:w="12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6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绩效评价指标指标分值</w:t>
            </w:r>
          </w:p>
        </w:tc>
        <w:tc>
          <w:tcPr>
            <w:tcW w:w="4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88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129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87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分值</w:t>
            </w:r>
          </w:p>
        </w:tc>
        <w:tc>
          <w:tcPr>
            <w:tcW w:w="4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黑体" w:hAnsi="宋体" w:eastAsia="黑体" w:cs="黑体"/>
                <w:i w:val="0"/>
                <w:color w:val="000000"/>
                <w:sz w:val="24"/>
                <w:szCs w:val="24"/>
                <w:u w:val="none"/>
              </w:rPr>
            </w:pPr>
          </w:p>
        </w:tc>
        <w:tc>
          <w:tcPr>
            <w:tcW w:w="885"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黑体" w:hAnsi="宋体" w:eastAsia="黑体" w:cs="黑体"/>
                <w:i w:val="0"/>
                <w:color w:val="000000"/>
                <w:sz w:val="24"/>
                <w:szCs w:val="24"/>
                <w:u w:val="none"/>
              </w:rPr>
            </w:pPr>
          </w:p>
        </w:tc>
        <w:tc>
          <w:tcPr>
            <w:tcW w:w="129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履职效能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（15分）</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履职效果</w:t>
            </w:r>
          </w:p>
        </w:tc>
        <w:tc>
          <w:tcPr>
            <w:tcW w:w="70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部门整体绩效目标中选定3-5个核心职能目标，反映该项职能目标完成效果情况</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15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（25分）</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预算编制质量</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部门是否严格按要求编制年初部门预算，年初预算编制的科学性和准确性</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无年初预算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单位收入统筹</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部门统筹自有收入程度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无年初预算，10月下达资金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支出执行进度</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部门1至6月、1至10月预算执行情况</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无年初预算，10月下达资金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预算年终结余</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部门整体年终预算结余情况</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无结余结转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jc w:val="center"/>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严控一般性支出</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部门严控“三公”经费、会议、培训、差旅、办节办展、办公设备购置、信息网络及软件购置更新、课题经费等8项一般性支出情况</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财务管理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财务管理制度</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部门财务管理制度建立情况</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财务岗位设置</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部门财务岗位设置是否符合相关财务管理制度要求</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资金使用规范</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部门资金使用是否符合相关财务管理制度规定</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人均资产变化率</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部门人均资产变化情况</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2024年无资产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资产利用率</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部门资产超最低使用年限情况</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资产盘活率</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部门闲置一年以上的资产盘活情况</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采购管理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（6分）</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支持中小企业发展</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部门是否严格执行政府采购促进中小企业发展相关管理办法</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采购执行率</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部门政府采购项目资金支付比例情况</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（35分）</w:t>
            </w:r>
          </w:p>
        </w:tc>
        <w:tc>
          <w:tcPr>
            <w:tcW w:w="1275"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项目决策</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部门预算项目设立是否按规定履行评估论证、申报程序</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275"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目标设置</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部门预算项目绩效目标与计划期内的任务量、预算安排的资金量匹配情况，绩效目标设置是否科学合理、规范完整、量化细化、预算匹配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275"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项目入库</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部门预算项目是否在规定时间完成项目入库</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275"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项目执行</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执行同向</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部门预算项目实际列支内容是否与绩效目标设置方向相符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275"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77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项目调整</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部门预算项目是否采取对应调整措施</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275"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执行结果</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部门预算项目预算执行情况</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目标实现</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（11分）</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部门预算项目绩效目标数量指标完成情况</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目标偏离</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部门预算项目绩效目标数量指标实现程度与预期目标的偏离情况</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i w:val="0"/>
                <w:color w:val="000000"/>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实现效果</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部门预算项目绩效目标效益指标实施效果</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扣分项</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3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被评价部门配合度</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000000"/>
                <w:kern w:val="0"/>
                <w:sz w:val="24"/>
                <w:szCs w:val="24"/>
                <w:u w:val="none"/>
                <w:lang w:val="en-US" w:eastAsia="zh-CN" w:bidi="ar"/>
              </w:rPr>
            </w:pPr>
          </w:p>
        </w:tc>
      </w:tr>
    </w:tbl>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sz w:val="44"/>
          <w:szCs w:val="44"/>
        </w:rPr>
      </w:pPr>
      <w:bookmarkStart w:id="53" w:name="_Toc15396618"/>
    </w:p>
    <w:p>
      <w:pPr>
        <w:pStyle w:val="2"/>
        <w:pageBreakBefore w:val="0"/>
        <w:kinsoku/>
        <w:wordWrap/>
        <w:overflowPunct/>
        <w:topLinePunct w:val="0"/>
        <w:autoSpaceDE/>
        <w:autoSpaceDN/>
        <w:bidi w:val="0"/>
        <w:adjustRightInd/>
        <w:snapToGrid/>
        <w:spacing w:line="560" w:lineRule="exact"/>
        <w:rPr>
          <w:rFonts w:hint="default" w:ascii="Times New Roman" w:hAnsi="Times New Roman" w:eastAsia="黑体" w:cs="Times New Roman"/>
          <w:sz w:val="44"/>
          <w:szCs w:val="44"/>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仿宋" w:cs="Times New Roman"/>
        </w:rPr>
      </w:pPr>
      <w:r>
        <w:rPr>
          <w:rFonts w:hint="default" w:ascii="Times New Roman" w:hAnsi="Times New Roman" w:eastAsia="黑体" w:cs="Times New Roman"/>
          <w:sz w:val="44"/>
          <w:szCs w:val="44"/>
        </w:rPr>
        <w:t>第</w:t>
      </w:r>
      <w:r>
        <w:rPr>
          <w:rStyle w:val="16"/>
          <w:rFonts w:hint="default" w:ascii="Times New Roman" w:hAnsi="Times New Roman" w:eastAsia="黑体" w:cs="Times New Roman"/>
          <w:b w:val="0"/>
        </w:rPr>
        <w:t>五部分 附表</w:t>
      </w:r>
      <w:bookmarkEnd w:id="51"/>
      <w:bookmarkEnd w:id="53"/>
      <w:bookmarkStart w:id="54" w:name="_Toc15396619"/>
    </w:p>
    <w:p>
      <w:pPr>
        <w:pStyle w:val="11"/>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p>
    <w:p>
      <w:pPr>
        <w:pStyle w:val="11"/>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一、收入支出决算总表</w:t>
      </w:r>
      <w:bookmarkEnd w:id="54"/>
    </w:p>
    <w:p>
      <w:pPr>
        <w:pStyle w:val="11"/>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bookmarkStart w:id="55" w:name="_Toc15396620"/>
      <w:r>
        <w:rPr>
          <w:rFonts w:hint="default" w:ascii="Times New Roman" w:hAnsi="Times New Roman" w:eastAsia="仿宋_GB2312" w:cs="Times New Roman"/>
          <w:sz w:val="32"/>
          <w:szCs w:val="32"/>
        </w:rPr>
        <w:t>二、收入决算表</w:t>
      </w:r>
      <w:bookmarkEnd w:id="55"/>
    </w:p>
    <w:p>
      <w:pPr>
        <w:pStyle w:val="11"/>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bookmarkStart w:id="56" w:name="_Toc15396621"/>
      <w:r>
        <w:rPr>
          <w:rFonts w:hint="default" w:ascii="Times New Roman" w:hAnsi="Times New Roman" w:eastAsia="仿宋_GB2312" w:cs="Times New Roman"/>
          <w:sz w:val="32"/>
          <w:szCs w:val="32"/>
        </w:rPr>
        <w:t>三、支出决算表</w:t>
      </w:r>
      <w:bookmarkEnd w:id="56"/>
    </w:p>
    <w:p>
      <w:pPr>
        <w:pStyle w:val="11"/>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bookmarkStart w:id="57" w:name="_Toc15396622"/>
      <w:r>
        <w:rPr>
          <w:rFonts w:hint="default" w:ascii="Times New Roman" w:hAnsi="Times New Roman" w:eastAsia="仿宋_GB2312" w:cs="Times New Roman"/>
          <w:sz w:val="32"/>
          <w:szCs w:val="32"/>
        </w:rPr>
        <w:t>四、财政拨款收入支出决算总表</w:t>
      </w:r>
      <w:bookmarkEnd w:id="57"/>
    </w:p>
    <w:p>
      <w:pPr>
        <w:pStyle w:val="11"/>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bookmarkStart w:id="58" w:name="_Toc15396623"/>
      <w:r>
        <w:rPr>
          <w:rFonts w:hint="default" w:ascii="Times New Roman" w:hAnsi="Times New Roman" w:eastAsia="仿宋_GB2312" w:cs="Times New Roman"/>
          <w:sz w:val="32"/>
          <w:szCs w:val="32"/>
        </w:rPr>
        <w:t>五、财政拨款支出决算明细表</w:t>
      </w:r>
      <w:bookmarkEnd w:id="58"/>
      <w:bookmarkStart w:id="59" w:name="_Toc15396624"/>
    </w:p>
    <w:p>
      <w:pPr>
        <w:pStyle w:val="11"/>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六、一般公共预算财政拨款支出决算表</w:t>
      </w:r>
      <w:bookmarkEnd w:id="59"/>
    </w:p>
    <w:p>
      <w:pPr>
        <w:pStyle w:val="11"/>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bookmarkStart w:id="60" w:name="_Toc15396625"/>
      <w:r>
        <w:rPr>
          <w:rFonts w:hint="default" w:ascii="Times New Roman" w:hAnsi="Times New Roman" w:eastAsia="仿宋_GB2312" w:cs="Times New Roman"/>
          <w:sz w:val="32"/>
          <w:szCs w:val="32"/>
        </w:rPr>
        <w:t>七、一般公共预算财政拨款支出决算明细表</w:t>
      </w:r>
      <w:bookmarkEnd w:id="60"/>
    </w:p>
    <w:p>
      <w:pPr>
        <w:pStyle w:val="11"/>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bookmarkStart w:id="61" w:name="_Toc15396626"/>
      <w:r>
        <w:rPr>
          <w:rFonts w:hint="default" w:ascii="Times New Roman" w:hAnsi="Times New Roman" w:eastAsia="仿宋_GB2312" w:cs="Times New Roman"/>
          <w:sz w:val="32"/>
          <w:szCs w:val="32"/>
        </w:rPr>
        <w:t>八、一般公共预算财政拨款基本支出决算表</w:t>
      </w:r>
      <w:bookmarkEnd w:id="61"/>
    </w:p>
    <w:p>
      <w:pPr>
        <w:pStyle w:val="11"/>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bookmarkStart w:id="62" w:name="_Toc15396627"/>
      <w:r>
        <w:rPr>
          <w:rFonts w:hint="default" w:ascii="Times New Roman" w:hAnsi="Times New Roman" w:eastAsia="仿宋_GB2312" w:cs="Times New Roman"/>
          <w:sz w:val="32"/>
          <w:szCs w:val="32"/>
        </w:rPr>
        <w:t>九、一般公共预算财政拨款项目支出决算表</w:t>
      </w:r>
      <w:bookmarkEnd w:id="62"/>
    </w:p>
    <w:p>
      <w:pPr>
        <w:pStyle w:val="11"/>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bookmarkStart w:id="63" w:name="_Toc15396628"/>
      <w:r>
        <w:rPr>
          <w:rFonts w:hint="default" w:ascii="Times New Roman" w:hAnsi="Times New Roman" w:eastAsia="仿宋_GB2312" w:cs="Times New Roman"/>
          <w:sz w:val="32"/>
          <w:szCs w:val="32"/>
        </w:rPr>
        <w:t>十、</w:t>
      </w:r>
      <w:bookmarkEnd w:id="63"/>
      <w:r>
        <w:rPr>
          <w:rFonts w:hint="default" w:ascii="Times New Roman" w:hAnsi="Times New Roman" w:eastAsia="仿宋_GB2312" w:cs="Times New Roman"/>
          <w:sz w:val="32"/>
          <w:szCs w:val="32"/>
        </w:rPr>
        <w:t>政府性基金预算财政拨款收入支出决算表</w:t>
      </w:r>
    </w:p>
    <w:p>
      <w:pPr>
        <w:pStyle w:val="11"/>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bookmarkStart w:id="64" w:name="_Toc15396629"/>
      <w:r>
        <w:rPr>
          <w:rFonts w:hint="default" w:ascii="Times New Roman" w:hAnsi="Times New Roman" w:eastAsia="仿宋_GB2312" w:cs="Times New Roman"/>
          <w:sz w:val="32"/>
          <w:szCs w:val="32"/>
        </w:rPr>
        <w:t>十一、</w:t>
      </w:r>
      <w:bookmarkEnd w:id="64"/>
      <w:r>
        <w:rPr>
          <w:rFonts w:hint="default" w:ascii="Times New Roman" w:hAnsi="Times New Roman" w:eastAsia="仿宋_GB2312" w:cs="Times New Roman"/>
          <w:sz w:val="32"/>
          <w:szCs w:val="32"/>
        </w:rPr>
        <w:t>国有资本经营预算财政拨款收入支出决算表</w:t>
      </w:r>
    </w:p>
    <w:p>
      <w:pPr>
        <w:pStyle w:val="11"/>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bookmarkStart w:id="65" w:name="_Toc15396630"/>
      <w:r>
        <w:rPr>
          <w:rFonts w:hint="default" w:ascii="Times New Roman" w:hAnsi="Times New Roman" w:eastAsia="仿宋_GB2312" w:cs="Times New Roman"/>
          <w:sz w:val="32"/>
          <w:szCs w:val="32"/>
        </w:rPr>
        <w:t>十二、</w:t>
      </w:r>
      <w:bookmarkEnd w:id="65"/>
      <w:r>
        <w:rPr>
          <w:rFonts w:hint="default" w:ascii="Times New Roman" w:hAnsi="Times New Roman" w:eastAsia="仿宋_GB2312" w:cs="Times New Roman"/>
          <w:sz w:val="32"/>
          <w:szCs w:val="32"/>
        </w:rPr>
        <w:t>国有资本经营预算财政拨款支出决算表</w:t>
      </w:r>
    </w:p>
    <w:p>
      <w:pPr>
        <w:pStyle w:val="11"/>
        <w:pageBreakBefore w:val="0"/>
        <w:kinsoku/>
        <w:wordWrap/>
        <w:overflowPunct/>
        <w:topLinePunct w:val="0"/>
        <w:autoSpaceDE/>
        <w:autoSpaceDN/>
        <w:bidi w:val="0"/>
        <w:adjustRightInd w:val="0"/>
        <w:snapToGrid w:val="0"/>
        <w:spacing w:line="560" w:lineRule="exact"/>
        <w:jc w:val="left"/>
        <w:textAlignment w:val="auto"/>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bookmarkStart w:id="66" w:name="_Toc15396631"/>
      <w:r>
        <w:rPr>
          <w:rFonts w:hint="default" w:ascii="Times New Roman" w:hAnsi="Times New Roman" w:eastAsia="仿宋_GB2312" w:cs="Times New Roman"/>
          <w:sz w:val="32"/>
          <w:szCs w:val="32"/>
        </w:rPr>
        <w:t>十三、</w:t>
      </w:r>
      <w:bookmarkEnd w:id="66"/>
      <w:r>
        <w:rPr>
          <w:rFonts w:hint="default" w:ascii="Times New Roman" w:hAnsi="Times New Roman" w:eastAsia="仿宋_GB2312" w:cs="Times New Roman"/>
          <w:sz w:val="32"/>
          <w:szCs w:val="32"/>
        </w:rPr>
        <w:t>财政拨款“三公”经费支出决算表</w:t>
      </w:r>
    </w:p>
    <w:p>
      <w:pPr>
        <w:pageBreakBefore w:val="0"/>
        <w:kinsoku/>
        <w:wordWrap/>
        <w:overflowPunct/>
        <w:topLinePunct w:val="0"/>
        <w:autoSpaceDE/>
        <w:autoSpaceDN/>
        <w:bidi w:val="0"/>
        <w:spacing w:line="560" w:lineRule="exact"/>
      </w:pPr>
    </w:p>
    <w:sectPr>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0"/>
    <w:family w:val="auto"/>
    <w:pitch w:val="default"/>
    <w:sig w:usb0="00000003" w:usb1="288F0000" w:usb2="00000006" w:usb3="00000000" w:csb0="00040001" w:csb1="00000000"/>
  </w:font>
  <w:font w:name="Wingdings">
    <w:altName w:val="文鼎霹雳体"/>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文鼎霹雳体"/>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alibri Light">
    <w:altName w:val="Arial"/>
    <w:panose1 w:val="020F0302020204030204"/>
    <w:charset w:val="00"/>
    <w:family w:val="auto"/>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文鼎霹雳体">
    <w:panose1 w:val="020B0602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- 2 -</w:t>
                    </w:r>
                    <w:r>
                      <w:fldChar w:fldCharType="end"/>
                    </w:r>
                  </w:p>
                </w:txbxContent>
              </v:textbox>
            </v:shape>
          </w:pict>
        </mc:Fallback>
      </mc:AlternateContent>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04521F"/>
    <w:multiLevelType w:val="singleLevel"/>
    <w:tmpl w:val="C104521F"/>
    <w:lvl w:ilvl="0" w:tentative="0">
      <w:start w:val="1"/>
      <w:numFmt w:val="chineseCounting"/>
      <w:suff w:val="nothing"/>
      <w:lvlText w:val="%1、"/>
      <w:lvlJc w:val="left"/>
      <w:pPr>
        <w:ind w:left="60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1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6C5EE2"/>
    <w:rsid w:val="0CDD9D4A"/>
    <w:rsid w:val="1D5BCE43"/>
    <w:rsid w:val="1DCF9E8B"/>
    <w:rsid w:val="1DFBC05C"/>
    <w:rsid w:val="1F6D65FC"/>
    <w:rsid w:val="1FFF0FC0"/>
    <w:rsid w:val="236C5EE2"/>
    <w:rsid w:val="2EFF7754"/>
    <w:rsid w:val="2FF78627"/>
    <w:rsid w:val="2FFF6E14"/>
    <w:rsid w:val="35392A75"/>
    <w:rsid w:val="353D5474"/>
    <w:rsid w:val="3C7CD785"/>
    <w:rsid w:val="3E9F306C"/>
    <w:rsid w:val="3F7D7F3C"/>
    <w:rsid w:val="3FF80D50"/>
    <w:rsid w:val="3FFD1A93"/>
    <w:rsid w:val="4EDF73FA"/>
    <w:rsid w:val="4FBF6DCE"/>
    <w:rsid w:val="4FDAB55C"/>
    <w:rsid w:val="4FF3E49E"/>
    <w:rsid w:val="53F57FD6"/>
    <w:rsid w:val="53FF864D"/>
    <w:rsid w:val="57D74EDC"/>
    <w:rsid w:val="5DBFF158"/>
    <w:rsid w:val="5DF35A6A"/>
    <w:rsid w:val="5FD755F7"/>
    <w:rsid w:val="6DC78487"/>
    <w:rsid w:val="6EFFC85B"/>
    <w:rsid w:val="6FED7122"/>
    <w:rsid w:val="723F6898"/>
    <w:rsid w:val="73158FF3"/>
    <w:rsid w:val="74AC0F0A"/>
    <w:rsid w:val="75FD76E5"/>
    <w:rsid w:val="77A4FD29"/>
    <w:rsid w:val="77AF6386"/>
    <w:rsid w:val="77BFAC2E"/>
    <w:rsid w:val="77EFE0B0"/>
    <w:rsid w:val="798DB02F"/>
    <w:rsid w:val="7AFF5686"/>
    <w:rsid w:val="7BEF9053"/>
    <w:rsid w:val="7BEFC836"/>
    <w:rsid w:val="7BF63229"/>
    <w:rsid w:val="7BFE46AC"/>
    <w:rsid w:val="7D7B795D"/>
    <w:rsid w:val="7DF685F6"/>
    <w:rsid w:val="7E5E5A84"/>
    <w:rsid w:val="7EB9E644"/>
    <w:rsid w:val="7EFF0F5C"/>
    <w:rsid w:val="7F396EA2"/>
    <w:rsid w:val="7F7FEC7D"/>
    <w:rsid w:val="7FB92B7A"/>
    <w:rsid w:val="7FBF19C4"/>
    <w:rsid w:val="7FC18915"/>
    <w:rsid w:val="7FCB69DE"/>
    <w:rsid w:val="7FEF4991"/>
    <w:rsid w:val="7FEF8668"/>
    <w:rsid w:val="9FFAB908"/>
    <w:rsid w:val="9FFF2342"/>
    <w:rsid w:val="BD67B4E3"/>
    <w:rsid w:val="BF7980A3"/>
    <w:rsid w:val="BFF39341"/>
    <w:rsid w:val="BFFE9374"/>
    <w:rsid w:val="CADD5940"/>
    <w:rsid w:val="CF3B247F"/>
    <w:rsid w:val="CF77CB4E"/>
    <w:rsid w:val="D2FDE5A6"/>
    <w:rsid w:val="DA63ACC4"/>
    <w:rsid w:val="DDDA19BD"/>
    <w:rsid w:val="DE7F5DE5"/>
    <w:rsid w:val="DEBFFFEA"/>
    <w:rsid w:val="DFFFB810"/>
    <w:rsid w:val="EADE85AF"/>
    <w:rsid w:val="EB5D7816"/>
    <w:rsid w:val="ED2FD56B"/>
    <w:rsid w:val="EEEB740B"/>
    <w:rsid w:val="EF9D57FC"/>
    <w:rsid w:val="EFF7C9EC"/>
    <w:rsid w:val="EFFFB53C"/>
    <w:rsid w:val="F0FBF233"/>
    <w:rsid w:val="F5D7D12E"/>
    <w:rsid w:val="F6BEC02F"/>
    <w:rsid w:val="F6CF5642"/>
    <w:rsid w:val="F7792270"/>
    <w:rsid w:val="F7DF2654"/>
    <w:rsid w:val="F7FF06CF"/>
    <w:rsid w:val="F863CD81"/>
    <w:rsid w:val="F96F0B46"/>
    <w:rsid w:val="F9E29012"/>
    <w:rsid w:val="FABF2763"/>
    <w:rsid w:val="FBFBA60B"/>
    <w:rsid w:val="FD5AB06E"/>
    <w:rsid w:val="FDEFE6EA"/>
    <w:rsid w:val="FF3F5DAC"/>
    <w:rsid w:val="FFAEDB3B"/>
    <w:rsid w:val="FFB71C09"/>
    <w:rsid w:val="FFCD53D7"/>
    <w:rsid w:val="FFF5E509"/>
    <w:rsid w:val="FFFFE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5">
    <w:name w:val="Body Text"/>
    <w:basedOn w:val="1"/>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footer"/>
    <w:basedOn w:val="1"/>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4">
    <w:name w:val="List Paragraph"/>
    <w:basedOn w:val="1"/>
    <w:qFormat/>
    <w:uiPriority w:val="34"/>
    <w:pPr>
      <w:ind w:firstLine="420" w:firstLineChars="200"/>
    </w:pPr>
  </w:style>
  <w:style w:type="character" w:customStyle="1" w:styleId="15">
    <w:name w:val="标题 2 字符"/>
    <w:basedOn w:val="13"/>
    <w:link w:val="4"/>
    <w:qFormat/>
    <w:uiPriority w:val="9"/>
    <w:rPr>
      <w:rFonts w:asciiTheme="majorHAnsi" w:hAnsiTheme="majorHAnsi" w:eastAsiaTheme="majorEastAsia" w:cstheme="majorBidi"/>
      <w:b/>
      <w:bCs/>
      <w:sz w:val="32"/>
      <w:szCs w:val="32"/>
    </w:rPr>
  </w:style>
  <w:style w:type="character" w:customStyle="1" w:styleId="16">
    <w:name w:val="标题 1 字符"/>
    <w:basedOn w:val="13"/>
    <w:link w:val="3"/>
    <w:qFormat/>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收入支出决算总体情况</a:t>
            </a:r>
            <a:endParaRPr b="1"/>
          </a:p>
        </c:rich>
      </c:tx>
      <c:layout>
        <c:manualLayout>
          <c:xMode val="edge"/>
          <c:yMode val="edge"/>
          <c:x val="0.345627240143369"/>
          <c:y val="0.0428655892786756"/>
        </c:manualLayout>
      </c:layout>
      <c:overlay val="0"/>
      <c:spPr>
        <a:noFill/>
        <a:ln>
          <a:noFill/>
        </a:ln>
        <a:effectLst/>
      </c:spPr>
    </c:title>
    <c:autoTitleDeleted val="0"/>
    <c:plotArea>
      <c:layout>
        <c:manualLayout>
          <c:layoutTarget val="inner"/>
          <c:xMode val="edge"/>
          <c:yMode val="edge"/>
          <c:x val="0.0901218637992832"/>
          <c:y val="0.234593023255814"/>
          <c:w val="0.88478853046595"/>
          <c:h val="0.537325581395349"/>
        </c:manualLayout>
      </c:layout>
      <c:barChart>
        <c:barDir val="col"/>
        <c:grouping val="clustered"/>
        <c:varyColors val="0"/>
        <c:ser>
          <c:idx val="0"/>
          <c:order val="0"/>
          <c:spPr>
            <a:solidFill>
              <a:schemeClr val="accent1"/>
            </a:solidFill>
            <a:ln>
              <a:noFill/>
            </a:ln>
            <a:effectLst/>
          </c:spPr>
          <c:invertIfNegative val="0"/>
          <c:dLbls>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88.2</a:t>
                    </a:r>
                    <a:r>
                      <a:rPr lang="en-US" altLang="zh-CN"/>
                      <a:t>1</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[工作簿1]Sheet1!$F$8:$G$9</c:f>
              <c:multiLvlStrCache>
                <c:ptCount val="2"/>
                <c:lvl>
                  <c:pt idx="0">
                    <c:v>2023年</c:v>
                  </c:pt>
                  <c:pt idx="1">
                    <c:v>2024年</c:v>
                  </c:pt>
                </c:lvl>
                <c:lvl>
                  <c:pt idx="0">
                    <c:v>收入支出决算总体情况</c:v>
                  </c:pt>
                </c:lvl>
              </c:multiLvlStrCache>
            </c:multiLvlStrRef>
          </c:cat>
          <c:val>
            <c:numRef>
              <c:f>[工作簿1]Sheet1!$F$10:$G$10</c:f>
              <c:numCache>
                <c:formatCode>General</c:formatCode>
                <c:ptCount val="2"/>
                <c:pt idx="1">
                  <c:v>88.2</c:v>
                </c:pt>
              </c:numCache>
            </c:numRef>
          </c:val>
        </c:ser>
        <c:dLbls>
          <c:showLegendKey val="0"/>
          <c:showVal val="1"/>
          <c:showCatName val="0"/>
          <c:showSerName val="0"/>
          <c:showPercent val="0"/>
          <c:showBubbleSize val="0"/>
        </c:dLbls>
        <c:gapWidth val="219"/>
        <c:overlap val="-27"/>
        <c:axId val="919316296"/>
        <c:axId val="678698637"/>
      </c:barChart>
      <c:catAx>
        <c:axId val="9193162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8698637"/>
        <c:crosses val="autoZero"/>
        <c:auto val="1"/>
        <c:lblAlgn val="ctr"/>
        <c:lblOffset val="100"/>
        <c:noMultiLvlLbl val="0"/>
      </c:catAx>
      <c:valAx>
        <c:axId val="67869863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9316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一般公共预算财政拨款收入</a:t>
            </a:r>
          </a:p>
        </c:rich>
      </c:tx>
      <c:layout/>
      <c:overlay val="0"/>
      <c:spPr>
        <a:noFill/>
        <a:ln>
          <a:noFill/>
        </a:ln>
        <a:effectLst/>
      </c:spPr>
    </c:title>
    <c:autoTitleDeleted val="0"/>
    <c:plotArea>
      <c:layout>
        <c:manualLayout>
          <c:layoutTarget val="inner"/>
          <c:xMode val="edge"/>
          <c:yMode val="edge"/>
          <c:x val="0.302713833157339"/>
          <c:y val="0.432261072261072"/>
          <c:w val="0.231383315733897"/>
          <c:h val="0.510769230769231"/>
        </c:manualLayout>
      </c:layout>
      <c:pieChart>
        <c:varyColors val="1"/>
        <c:ser>
          <c:idx val="0"/>
          <c:order val="0"/>
          <c:tx>
            <c:strRef>
              <c:f>[工作簿1]Sheet1!$E$3</c:f>
              <c:strCache>
                <c:ptCount val="1"/>
                <c:pt idx="0">
                  <c:v>一般公共预算财政拨款收入1</c:v>
                </c:pt>
              </c:strCache>
            </c:strRef>
          </c:tx>
          <c:spPr/>
          <c:explosion val="0"/>
          <c:dPt>
            <c:idx val="0"/>
            <c:bubble3D val="0"/>
            <c:explosion val="0"/>
            <c:spPr>
              <a:solidFill>
                <a:schemeClr val="accent1"/>
              </a:solidFill>
              <a:ln>
                <a:solidFill>
                  <a:schemeClr val="bg1"/>
                </a:solidFill>
              </a:ln>
              <a:effectLst/>
            </c:spPr>
          </c:dPt>
          <c:dLbls>
            <c:dLbl>
              <c:idx val="0"/>
              <c:layout>
                <c:manualLayout>
                  <c:x val="-0.00199608760582623"/>
                  <c:y val="-0.140930482772238"/>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88.21</a:t>
                    </a:r>
                    <a:r>
                      <a:t> 100%</a:t>
                    </a:r>
                  </a:p>
                </c:rich>
              </c:tx>
              <c:dLblPos val="bestFit"/>
              <c:showLegendKey val="0"/>
              <c:showVal val="1"/>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[工作簿1]Sheet1!$E$4</c:f>
              <c:numCache>
                <c:formatCode>General</c:formatCode>
                <c:ptCount val="1"/>
                <c:pt idx="0">
                  <c:v>110.73</c:v>
                </c:pt>
              </c:numCache>
            </c:numRef>
          </c:val>
        </c:ser>
        <c:dLbls>
          <c:showLegendKey val="0"/>
          <c:showVal val="1"/>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基本支出</a:t>
            </a:r>
          </a:p>
        </c:rich>
      </c:tx>
      <c:layout>
        <c:manualLayout>
          <c:xMode val="edge"/>
          <c:yMode val="edge"/>
          <c:x val="0.403907074973601"/>
          <c:y val="0.00874125874125874"/>
        </c:manualLayout>
      </c:layout>
      <c:overlay val="0"/>
      <c:spPr>
        <a:noFill/>
        <a:ln>
          <a:noFill/>
        </a:ln>
        <a:effectLst/>
      </c:spPr>
    </c:title>
    <c:autoTitleDeleted val="0"/>
    <c:plotArea>
      <c:layout/>
      <c:pieChart>
        <c:varyColors val="1"/>
        <c:ser>
          <c:idx val="0"/>
          <c:order val="0"/>
          <c:tx>
            <c:strRef>
              <c:f>[工作簿1]Sheet1!$E$3</c:f>
              <c:strCache>
                <c:ptCount val="1"/>
                <c:pt idx="0">
                  <c:v>一般公共预算财政拨款收入1</c:v>
                </c:pt>
              </c:strCache>
            </c:strRef>
          </c:tx>
          <c:spPr/>
          <c:explosion val="0"/>
          <c:dPt>
            <c:idx val="0"/>
            <c:bubble3D val="0"/>
            <c:spPr>
              <a:solidFill>
                <a:schemeClr val="accent1"/>
              </a:solidFill>
              <a:ln>
                <a:solidFill>
                  <a:schemeClr val="bg1"/>
                </a:solidFill>
              </a:ln>
              <a:effectLst/>
            </c:spPr>
          </c:dPt>
          <c:dLbls>
            <c:dLbl>
              <c:idx val="0"/>
              <c:layout>
                <c:manualLayout>
                  <c:x val="-0.00198351968947821"/>
                  <c:y val="-0.163293473403921"/>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88.21</a:t>
                    </a:r>
                    <a:r>
                      <a:t>, 100%</a:t>
                    </a:r>
                  </a:p>
                </c:rich>
              </c:tx>
              <c:dLblPos val="bestFit"/>
              <c:showLegendKey val="0"/>
              <c:showVal val="1"/>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[工作簿1]Sheet1!$E$4</c:f>
              <c:numCache>
                <c:formatCode>General</c:formatCode>
                <c:ptCount val="1"/>
                <c:pt idx="0">
                  <c:v>110.73</c:v>
                </c:pt>
              </c:numCache>
            </c:numRef>
          </c:val>
        </c:ser>
        <c:dLbls>
          <c:showLegendKey val="0"/>
          <c:showVal val="1"/>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财政拨款收入支出决算总体情况</a:t>
            </a:r>
            <a:r>
              <a:rPr lang="en-US" altLang="zh-CN" b="1"/>
              <a:t> </a:t>
            </a:r>
            <a:endParaRPr lang="en-US" altLang="zh-CN" b="1"/>
          </a:p>
        </c:rich>
      </c:tx>
      <c:layout>
        <c:manualLayout>
          <c:xMode val="edge"/>
          <c:yMode val="edge"/>
          <c:x val="0.188243727598566"/>
          <c:y val="0.0523255813953488"/>
        </c:manualLayout>
      </c:layout>
      <c:overlay val="0"/>
      <c:spPr>
        <a:noFill/>
        <a:ln>
          <a:noFill/>
        </a:ln>
        <a:effectLst/>
      </c:spPr>
    </c:title>
    <c:autoTitleDeleted val="0"/>
    <c:plotArea>
      <c:layout>
        <c:manualLayout>
          <c:layoutTarget val="inner"/>
          <c:xMode val="edge"/>
          <c:yMode val="edge"/>
          <c:x val="0.0901218637992832"/>
          <c:y val="0.234593023255814"/>
          <c:w val="0.88478853046595"/>
          <c:h val="0.537325581395349"/>
        </c:manualLayout>
      </c:layout>
      <c:barChart>
        <c:barDir val="col"/>
        <c:grouping val="clustered"/>
        <c:varyColors val="0"/>
        <c:ser>
          <c:idx val="0"/>
          <c:order val="0"/>
          <c:spPr>
            <a:solidFill>
              <a:schemeClr val="accent1"/>
            </a:solidFill>
            <a:ln>
              <a:noFill/>
            </a:ln>
            <a:effectLst/>
          </c:spPr>
          <c:invertIfNegative val="0"/>
          <c:dLbls>
            <c:dLbl>
              <c:idx val="1"/>
              <c:layout>
                <c:manualLayout>
                  <c:x val="0"/>
                  <c:y val="-0.0043604651162790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88.2</a:t>
                    </a:r>
                    <a:r>
                      <a:rPr lang="en-US" altLang="zh-CN"/>
                      <a:t>1</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[工作簿1]Sheet1!$F$8:$G$9</c:f>
              <c:multiLvlStrCache>
                <c:ptCount val="2"/>
                <c:lvl>
                  <c:pt idx="0">
                    <c:v>2023年</c:v>
                  </c:pt>
                  <c:pt idx="1">
                    <c:v>2024年</c:v>
                  </c:pt>
                </c:lvl>
                <c:lvl>
                  <c:pt idx="0">
                    <c:v>收入支出决算总体情况</c:v>
                  </c:pt>
                </c:lvl>
              </c:multiLvlStrCache>
            </c:multiLvlStrRef>
          </c:cat>
          <c:val>
            <c:numRef>
              <c:f>[工作簿1]Sheet1!$F$10:$G$10</c:f>
              <c:numCache>
                <c:formatCode>General</c:formatCode>
                <c:ptCount val="2"/>
                <c:pt idx="1">
                  <c:v>88.2</c:v>
                </c:pt>
              </c:numCache>
            </c:numRef>
          </c:val>
        </c:ser>
        <c:dLbls>
          <c:showLegendKey val="0"/>
          <c:showVal val="1"/>
          <c:showCatName val="0"/>
          <c:showSerName val="0"/>
          <c:showPercent val="0"/>
          <c:showBubbleSize val="0"/>
        </c:dLbls>
        <c:gapWidth val="219"/>
        <c:overlap val="-27"/>
        <c:axId val="919316296"/>
        <c:axId val="678698637"/>
      </c:barChart>
      <c:catAx>
        <c:axId val="9193162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8698637"/>
        <c:crosses val="autoZero"/>
        <c:auto val="1"/>
        <c:lblAlgn val="ctr"/>
        <c:lblOffset val="100"/>
        <c:noMultiLvlLbl val="0"/>
      </c:catAx>
      <c:valAx>
        <c:axId val="67869863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9316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a:t>
            </a:r>
          </a:p>
        </c:rich>
      </c:tx>
      <c:layout>
        <c:manualLayout>
          <c:xMode val="edge"/>
          <c:yMode val="edge"/>
          <c:x val="0.214342105263158"/>
          <c:y val="0.0259131293188549"/>
        </c:manualLayout>
      </c:layout>
      <c:overlay val="0"/>
      <c:spPr>
        <a:noFill/>
        <a:ln>
          <a:noFill/>
        </a:ln>
        <a:effectLst/>
      </c:spPr>
    </c:title>
    <c:autoTitleDeleted val="0"/>
    <c:plotArea>
      <c:layout>
        <c:manualLayout>
          <c:layoutTarget val="inner"/>
          <c:xMode val="edge"/>
          <c:yMode val="edge"/>
          <c:x val="0.0767894736842105"/>
          <c:y val="0.191757156959526"/>
          <c:w val="0.894263157894737"/>
          <c:h val="0.60720631786772"/>
        </c:manualLayout>
      </c:layout>
      <c:barChart>
        <c:barDir val="col"/>
        <c:grouping val="clustered"/>
        <c:varyColors val="0"/>
        <c:ser>
          <c:idx val="0"/>
          <c:order val="0"/>
          <c:spPr>
            <a:solidFill>
              <a:schemeClr val="accent1"/>
            </a:solidFill>
            <a:ln>
              <a:noFill/>
            </a:ln>
            <a:effectLst/>
          </c:spPr>
          <c:invertIfNegative val="0"/>
          <c:dLbls>
            <c:dLbl>
              <c:idx val="1"/>
              <c:layout>
                <c:manualLayout>
                  <c:x val="-0.00592105263157895"/>
                  <c:y val="0.00740375123395854"/>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88</a:t>
                    </a:r>
                    <a:r>
                      <a:t>.</a:t>
                    </a:r>
                    <a:r>
                      <a:rPr lang="en-US" altLang="zh-CN"/>
                      <a:t>21</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[工作簿1]Sheet2!$A$25:$B$26</c:f>
              <c:multiLvlStrCache>
                <c:ptCount val="2"/>
                <c:lvl>
                  <c:pt idx="0">
                    <c:v>2023年</c:v>
                  </c:pt>
                  <c:pt idx="1">
                    <c:v>2024年</c:v>
                  </c:pt>
                </c:lvl>
                <c:lvl>
                  <c:pt idx="0">
                    <c:v>财政拨款收、支决算总计变动情况</c:v>
                  </c:pt>
                </c:lvl>
              </c:multiLvlStrCache>
            </c:multiLvlStrRef>
          </c:cat>
          <c:val>
            <c:numRef>
              <c:f>[工作簿1]Sheet2!$A$27:$B$27</c:f>
              <c:numCache>
                <c:formatCode>General</c:formatCode>
                <c:ptCount val="2"/>
                <c:pt idx="0">
                  <c:v>0</c:v>
                </c:pt>
                <c:pt idx="1">
                  <c:v>110.73</c:v>
                </c:pt>
              </c:numCache>
            </c:numRef>
          </c:val>
        </c:ser>
        <c:dLbls>
          <c:showLegendKey val="0"/>
          <c:showVal val="1"/>
          <c:showCatName val="0"/>
          <c:showSerName val="0"/>
          <c:showPercent val="0"/>
          <c:showBubbleSize val="0"/>
        </c:dLbls>
        <c:gapWidth val="246"/>
        <c:overlap val="-28"/>
        <c:axId val="844818185"/>
        <c:axId val="157046466"/>
      </c:barChart>
      <c:catAx>
        <c:axId val="844818185"/>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7046466"/>
        <c:crosses val="autoZero"/>
        <c:auto val="1"/>
        <c:lblAlgn val="ctr"/>
        <c:lblOffset val="100"/>
        <c:noMultiLvlLbl val="0"/>
      </c:catAx>
      <c:valAx>
        <c:axId val="15704646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481818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一般公共预算财政拨款支出结构情况</a:t>
            </a:r>
          </a:p>
        </c:rich>
      </c:tx>
      <c:layout>
        <c:manualLayout>
          <c:xMode val="edge"/>
          <c:yMode val="edge"/>
          <c:x val="0.206111111111111"/>
          <c:y val="0.00694444444444444"/>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[工作簿1]Sheet1!$I$26:$L$27</c:f>
              <c:multiLvlStrCache>
                <c:ptCount val="4"/>
                <c:lvl>
                  <c:pt idx="0">
                    <c:v>一般公共服务支出</c:v>
                  </c:pt>
                  <c:pt idx="1">
                    <c:v>社会保障和就业支出</c:v>
                  </c:pt>
                  <c:pt idx="2">
                    <c:v>卫生健康支出</c:v>
                  </c:pt>
                  <c:pt idx="3">
                    <c:v>住房保障支出</c:v>
                  </c:pt>
                </c:lvl>
                <c:lvl>
                  <c:pt idx="0">
                    <c:v>一般公共预算财政拨款支出决算结构情况</c:v>
                  </c:pt>
                </c:lvl>
              </c:multiLvlStrCache>
            </c:multiLvlStrRef>
          </c:cat>
          <c:val>
            <c:numRef>
              <c:f>[工作簿1]Sheet1!$I$28:$L$28</c:f>
              <c:numCache>
                <c:formatCode>General</c:formatCode>
                <c:ptCount val="4"/>
                <c:pt idx="0">
                  <c:v>69.89</c:v>
                </c:pt>
                <c:pt idx="1">
                  <c:v>9.21</c:v>
                </c:pt>
                <c:pt idx="2">
                  <c:v>3.71</c:v>
                </c:pt>
                <c:pt idx="3">
                  <c:v>5.4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88783675646839"/>
          <c:y val="0.6398268398268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10</TotalTime>
  <ScaleCrop>false</ScaleCrop>
  <LinksUpToDate>false</LinksUpToDate>
  <CharactersWithSpaces>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2025-09-10T08:34:00Z</dcterms:created>
  <dc:creator>WPS_1504838290</dc:creator>
  <cp:lastModifiedBy>huawei</cp:lastModifiedBy>
  <cp:lastPrinted>2025-09-11T08:49:00Z</cp:lastPrinted>
  <dcterms:modified xsi:type="dcterms:W3CDTF">2025-09-11T17:26:39Z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5ECBAFF9A5E74A7CA3E091CF4AE6084C_11</vt:lpwstr>
  </property>
  <property fmtid="{D5CDD505-2E9C-101B-9397-08002B2CF9AE}" pid="4" name="KSOTemplateDocerSaveRecord">
    <vt:lpwstr>eyJoZGlkIjoiY2JkMTJjNjEzOTk3MDNhM2EyZjVlM2M5NDM4MGQzMDAiLCJ1c2VySWQiOiIzMDA5Njk0NTEifQ==</vt:lpwstr>
  </property>
</Properties>
</file>