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8500A1">
      <w:pPr>
        <w:pStyle w:val="30"/>
        <w:rPr>
          <w:rFonts w:hint="eastAsia" w:ascii="仿宋_GB2312" w:eastAsia="仿宋_GB2312"/>
          <w:kern w:val="2"/>
          <w:sz w:val="30"/>
          <w:szCs w:val="30"/>
        </w:rPr>
      </w:pPr>
    </w:p>
    <w:p w14:paraId="63CDA6F1">
      <w:pPr>
        <w:pStyle w:val="17"/>
        <w:ind w:left="0" w:firstLine="0"/>
      </w:pPr>
    </w:p>
    <w:p w14:paraId="6E2CB975">
      <w:pPr>
        <w:jc w:val="center"/>
        <w:rPr>
          <w:b/>
          <w:sz w:val="40"/>
          <w:szCs w:val="40"/>
        </w:rPr>
      </w:pPr>
      <w:r>
        <w:rPr>
          <w:rFonts w:hint="eastAsia" w:ascii="宋体"/>
          <w:b/>
          <w:sz w:val="40"/>
          <w:szCs w:val="40"/>
        </w:rPr>
        <w:t>阿坝州“十五五”基础测绘规划编制项目</w:t>
      </w:r>
    </w:p>
    <w:p w14:paraId="77CB2577">
      <w:pPr>
        <w:rPr>
          <w:b/>
          <w:sz w:val="52"/>
          <w:szCs w:val="52"/>
        </w:rPr>
      </w:pPr>
    </w:p>
    <w:p w14:paraId="2ABF14BB">
      <w:pPr>
        <w:pStyle w:val="21"/>
        <w:ind w:firstLine="0" w:firstLineChars="0"/>
      </w:pPr>
    </w:p>
    <w:p w14:paraId="585943C1">
      <w:pPr>
        <w:rPr>
          <w:b/>
          <w:sz w:val="52"/>
          <w:szCs w:val="52"/>
        </w:rPr>
      </w:pPr>
    </w:p>
    <w:p w14:paraId="0ACB30F7">
      <w:pPr>
        <w:pStyle w:val="8"/>
      </w:pPr>
    </w:p>
    <w:p w14:paraId="3634C0E2">
      <w:pPr>
        <w:pStyle w:val="8"/>
      </w:pPr>
    </w:p>
    <w:p w14:paraId="195E5BD6">
      <w:pPr>
        <w:jc w:val="center"/>
        <w:rPr>
          <w:b/>
          <w:sz w:val="52"/>
          <w:szCs w:val="52"/>
        </w:rPr>
      </w:pPr>
      <w:r>
        <w:rPr>
          <w:rFonts w:hint="eastAsia" w:ascii="宋体"/>
          <w:b/>
          <w:spacing w:val="78"/>
          <w:sz w:val="96"/>
          <w:szCs w:val="96"/>
        </w:rPr>
        <w:t>竞争性磋商文件</w:t>
      </w:r>
    </w:p>
    <w:p w14:paraId="6F6EDA32">
      <w:pPr>
        <w:jc w:val="center"/>
        <w:rPr>
          <w:b/>
          <w:sz w:val="52"/>
          <w:szCs w:val="52"/>
        </w:rPr>
      </w:pPr>
    </w:p>
    <w:p w14:paraId="69C53966">
      <w:pPr>
        <w:pStyle w:val="8"/>
      </w:pPr>
    </w:p>
    <w:p w14:paraId="4DFFF2FB">
      <w:pPr>
        <w:pStyle w:val="8"/>
        <w:rPr>
          <w:b/>
          <w:sz w:val="52"/>
          <w:szCs w:val="52"/>
        </w:rPr>
      </w:pPr>
    </w:p>
    <w:p w14:paraId="1A962A8A">
      <w:pPr>
        <w:pStyle w:val="21"/>
      </w:pPr>
    </w:p>
    <w:p w14:paraId="4D0EB699">
      <w:pPr>
        <w:pStyle w:val="22"/>
        <w:rPr>
          <w:rFonts w:ascii="Times New Roman" w:hAnsi="Times New Roman"/>
        </w:rPr>
      </w:pPr>
    </w:p>
    <w:p w14:paraId="7DE5FE7A">
      <w:pPr>
        <w:pStyle w:val="11"/>
        <w:rPr>
          <w:rFonts w:ascii="Times New Roman" w:hAnsi="Times New Roman"/>
        </w:rPr>
      </w:pPr>
    </w:p>
    <w:p w14:paraId="370377EF">
      <w:pPr>
        <w:pStyle w:val="17"/>
      </w:pPr>
    </w:p>
    <w:p w14:paraId="396DB184">
      <w:pPr>
        <w:pStyle w:val="8"/>
      </w:pPr>
    </w:p>
    <w:p w14:paraId="1612D156">
      <w:pPr>
        <w:jc w:val="center"/>
        <w:rPr>
          <w:b/>
          <w:sz w:val="36"/>
          <w:szCs w:val="36"/>
        </w:rPr>
      </w:pPr>
      <w:r>
        <w:rPr>
          <w:rFonts w:hint="eastAsia" w:ascii="宋体"/>
          <w:b/>
          <w:sz w:val="36"/>
          <w:szCs w:val="36"/>
        </w:rPr>
        <w:t>阿坝州自然资源局</w:t>
      </w:r>
    </w:p>
    <w:p w14:paraId="45DAC230">
      <w:pPr>
        <w:jc w:val="center"/>
        <w:rPr>
          <w:b/>
          <w:sz w:val="36"/>
          <w:szCs w:val="36"/>
        </w:rPr>
      </w:pPr>
      <w:r>
        <w:rPr>
          <w:b/>
          <w:sz w:val="36"/>
          <w:szCs w:val="36"/>
        </w:rPr>
        <w:t>202</w:t>
      </w:r>
      <w:r>
        <w:rPr>
          <w:rFonts w:hint="eastAsia"/>
          <w:b/>
          <w:sz w:val="36"/>
          <w:szCs w:val="36"/>
        </w:rPr>
        <w:t>6</w:t>
      </w:r>
      <w:r>
        <w:rPr>
          <w:rFonts w:hint="eastAsia" w:ascii="宋体"/>
          <w:b/>
          <w:sz w:val="36"/>
          <w:szCs w:val="36"/>
        </w:rPr>
        <w:t>年</w:t>
      </w:r>
      <w:r>
        <w:rPr>
          <w:b/>
          <w:sz w:val="36"/>
          <w:szCs w:val="36"/>
        </w:rPr>
        <w:t>6</w:t>
      </w:r>
      <w:r>
        <w:rPr>
          <w:rFonts w:hint="eastAsia" w:ascii="宋体"/>
          <w:b/>
          <w:sz w:val="36"/>
          <w:szCs w:val="36"/>
        </w:rPr>
        <w:t>月</w:t>
      </w:r>
    </w:p>
    <w:p w14:paraId="61DEE9B7">
      <w:pPr>
        <w:pStyle w:val="15"/>
        <w:rPr>
          <w:rFonts w:ascii="Times New Roman" w:hAnsi="Times New Roman" w:cs="Calibri"/>
          <w:color w:val="000000"/>
        </w:rPr>
      </w:pPr>
    </w:p>
    <w:p w14:paraId="6BD5E164">
      <w:pPr>
        <w:jc w:val="center"/>
        <w:rPr>
          <w:rFonts w:ascii="宋体" w:hAnsi="宋体"/>
        </w:rPr>
        <w:sectPr>
          <w:pgSz w:w="11906" w:h="16838"/>
          <w:pgMar w:top="1440" w:right="1800" w:bottom="1440" w:left="1800" w:header="851" w:footer="992" w:gutter="0"/>
          <w:cols w:space="720" w:num="1"/>
          <w:docGrid w:type="lines" w:linePitch="312" w:charSpace="0"/>
        </w:sectPr>
      </w:pPr>
    </w:p>
    <w:p w14:paraId="62B87AFD">
      <w:pPr>
        <w:jc w:val="center"/>
        <w:rPr>
          <w:sz w:val="44"/>
          <w:szCs w:val="44"/>
        </w:rPr>
      </w:pPr>
      <w:r>
        <w:rPr>
          <w:rFonts w:ascii="宋体" w:hAnsi="宋体"/>
          <w:sz w:val="44"/>
          <w:szCs w:val="44"/>
        </w:rPr>
        <w:t>目</w:t>
      </w:r>
      <w:r>
        <w:rPr>
          <w:rFonts w:hint="eastAsia" w:ascii="宋体" w:hAnsi="宋体"/>
          <w:sz w:val="44"/>
          <w:szCs w:val="44"/>
        </w:rPr>
        <w:t xml:space="preserve">    </w:t>
      </w:r>
      <w:r>
        <w:rPr>
          <w:rFonts w:ascii="宋体" w:hAnsi="宋体"/>
          <w:sz w:val="44"/>
          <w:szCs w:val="44"/>
        </w:rPr>
        <w:t>录</w:t>
      </w:r>
    </w:p>
    <w:p w14:paraId="7AD67BEF">
      <w:pPr>
        <w:pStyle w:val="15"/>
        <w:tabs>
          <w:tab w:val="right" w:leader="dot" w:pos="8296"/>
        </w:tabs>
        <w:rPr>
          <w:b w:val="0"/>
          <w:bCs w:val="0"/>
          <w:caps w:val="0"/>
          <w:smallCaps w:val="0"/>
          <w:sz w:val="21"/>
          <w:szCs w:val="22"/>
        </w:rPr>
      </w:pPr>
      <w:r>
        <w:rPr>
          <w:rFonts w:ascii="Times New Roman" w:hAnsi="Times New Roman"/>
          <w:sz w:val="21"/>
          <w:szCs w:val="21"/>
        </w:rPr>
        <w:fldChar w:fldCharType="begin"/>
      </w:r>
      <w:r>
        <w:rPr>
          <w:rFonts w:ascii="Times New Roman" w:hAnsi="Times New Roman"/>
          <w:sz w:val="21"/>
          <w:szCs w:val="21"/>
        </w:rPr>
        <w:instrText xml:space="preserve">TOC \o "1-2" \h \u </w:instrText>
      </w:r>
      <w:r>
        <w:rPr>
          <w:rFonts w:ascii="Times New Roman" w:hAnsi="Times New Roman"/>
          <w:sz w:val="21"/>
          <w:szCs w:val="21"/>
        </w:rPr>
        <w:fldChar w:fldCharType="separate"/>
      </w:r>
      <w:r>
        <w:fldChar w:fldCharType="begin"/>
      </w:r>
      <w:r>
        <w:rPr>
          <w:rStyle w:val="25"/>
        </w:rPr>
        <w:instrText xml:space="preserve"> </w:instrText>
      </w:r>
      <w:r>
        <w:instrText xml:space="preserve">HYPERLINK \l "_Toc227836502"</w:instrText>
      </w:r>
      <w:r>
        <w:rPr>
          <w:rStyle w:val="25"/>
        </w:rPr>
        <w:instrText xml:space="preserve"> </w:instrText>
      </w:r>
      <w:r>
        <w:rPr>
          <w:rStyle w:val="25"/>
        </w:rPr>
        <w:fldChar w:fldCharType="separate"/>
      </w:r>
      <w:r>
        <w:rPr>
          <w:rFonts w:hint="eastAsia" w:ascii="宋体"/>
        </w:rPr>
        <w:t>第一章</w:t>
      </w:r>
      <w:r>
        <w:t xml:space="preserve">  </w:t>
      </w:r>
      <w:r>
        <w:rPr>
          <w:rFonts w:hint="eastAsia" w:ascii="宋体"/>
        </w:rPr>
        <w:t>磋商邀请</w:t>
      </w:r>
      <w:r>
        <w:tab/>
      </w:r>
      <w:r>
        <w:fldChar w:fldCharType="begin"/>
      </w:r>
      <w:r>
        <w:instrText xml:space="preserve"> PAGEREF _Toc227836502 \h </w:instrText>
      </w:r>
      <w:r>
        <w:fldChar w:fldCharType="separate"/>
      </w:r>
      <w:r>
        <w:t>1</w:t>
      </w:r>
      <w:r>
        <w:fldChar w:fldCharType="end"/>
      </w:r>
      <w:r>
        <w:rPr>
          <w:rStyle w:val="25"/>
        </w:rPr>
        <w:fldChar w:fldCharType="end"/>
      </w:r>
    </w:p>
    <w:p w14:paraId="5D58343B">
      <w:pPr>
        <w:pStyle w:val="15"/>
        <w:tabs>
          <w:tab w:val="right" w:leader="dot" w:pos="8296"/>
        </w:tabs>
        <w:rPr>
          <w:b w:val="0"/>
          <w:bCs w:val="0"/>
          <w:caps w:val="0"/>
          <w:smallCaps w:val="0"/>
          <w:sz w:val="21"/>
          <w:szCs w:val="22"/>
        </w:rPr>
      </w:pPr>
      <w:r>
        <w:fldChar w:fldCharType="begin"/>
      </w:r>
      <w:r>
        <w:rPr>
          <w:rStyle w:val="25"/>
        </w:rPr>
        <w:instrText xml:space="preserve"> </w:instrText>
      </w:r>
      <w:r>
        <w:instrText xml:space="preserve">HYPERLINK \l "_Toc227836503"</w:instrText>
      </w:r>
      <w:r>
        <w:rPr>
          <w:rStyle w:val="25"/>
        </w:rPr>
        <w:instrText xml:space="preserve"> </w:instrText>
      </w:r>
      <w:r>
        <w:rPr>
          <w:rStyle w:val="25"/>
        </w:rPr>
        <w:fldChar w:fldCharType="separate"/>
      </w:r>
      <w:r>
        <w:rPr>
          <w:rFonts w:hint="eastAsia" w:ascii="宋体"/>
        </w:rPr>
        <w:t>第二章</w:t>
      </w:r>
      <w:r>
        <w:rPr>
          <w:rFonts w:ascii="宋体"/>
        </w:rPr>
        <w:t xml:space="preserve">  </w:t>
      </w:r>
      <w:r>
        <w:rPr>
          <w:rFonts w:hint="eastAsia" w:ascii="宋体"/>
        </w:rPr>
        <w:t>磋商须知</w:t>
      </w:r>
      <w:r>
        <w:tab/>
      </w:r>
      <w:r>
        <w:fldChar w:fldCharType="begin"/>
      </w:r>
      <w:r>
        <w:instrText xml:space="preserve"> PAGEREF _Toc227836503 \h </w:instrText>
      </w:r>
      <w:r>
        <w:fldChar w:fldCharType="separate"/>
      </w:r>
      <w:r>
        <w:t>3</w:t>
      </w:r>
      <w:r>
        <w:fldChar w:fldCharType="end"/>
      </w:r>
      <w:r>
        <w:rPr>
          <w:rStyle w:val="25"/>
        </w:rPr>
        <w:fldChar w:fldCharType="end"/>
      </w:r>
    </w:p>
    <w:p w14:paraId="58817CA1">
      <w:pPr>
        <w:pStyle w:val="19"/>
        <w:tabs>
          <w:tab w:val="right" w:leader="dot" w:pos="8296"/>
        </w:tabs>
        <w:rPr>
          <w:rFonts w:ascii="Calibri" w:hAnsi="Calibri"/>
          <w:szCs w:val="22"/>
        </w:rPr>
      </w:pPr>
      <w:r>
        <w:fldChar w:fldCharType="begin"/>
      </w:r>
      <w:r>
        <w:rPr>
          <w:rStyle w:val="25"/>
        </w:rPr>
        <w:instrText xml:space="preserve"> </w:instrText>
      </w:r>
      <w:r>
        <w:instrText xml:space="preserve">HYPERLINK \l "_Toc227836504"</w:instrText>
      </w:r>
      <w:r>
        <w:rPr>
          <w:rStyle w:val="25"/>
        </w:rPr>
        <w:instrText xml:space="preserve"> </w:instrText>
      </w:r>
      <w:r>
        <w:rPr>
          <w:rStyle w:val="25"/>
        </w:rPr>
        <w:fldChar w:fldCharType="separate"/>
      </w:r>
      <w:r>
        <w:rPr>
          <w:rFonts w:hint="eastAsia" w:ascii="宋体"/>
        </w:rPr>
        <w:t>一、供应商须知附表</w:t>
      </w:r>
      <w:r>
        <w:tab/>
      </w:r>
      <w:r>
        <w:fldChar w:fldCharType="begin"/>
      </w:r>
      <w:r>
        <w:instrText xml:space="preserve"> PAGEREF _Toc227836504 \h </w:instrText>
      </w:r>
      <w:r>
        <w:fldChar w:fldCharType="separate"/>
      </w:r>
      <w:r>
        <w:t>3</w:t>
      </w:r>
      <w:r>
        <w:fldChar w:fldCharType="end"/>
      </w:r>
      <w:r>
        <w:rPr>
          <w:rStyle w:val="25"/>
        </w:rPr>
        <w:fldChar w:fldCharType="end"/>
      </w:r>
    </w:p>
    <w:p w14:paraId="44B27754">
      <w:pPr>
        <w:pStyle w:val="19"/>
        <w:tabs>
          <w:tab w:val="right" w:leader="dot" w:pos="8296"/>
        </w:tabs>
        <w:rPr>
          <w:rFonts w:ascii="Calibri" w:hAnsi="Calibri"/>
          <w:szCs w:val="22"/>
        </w:rPr>
      </w:pPr>
      <w:r>
        <w:fldChar w:fldCharType="begin"/>
      </w:r>
      <w:r>
        <w:rPr>
          <w:rStyle w:val="25"/>
        </w:rPr>
        <w:instrText xml:space="preserve"> </w:instrText>
      </w:r>
      <w:r>
        <w:instrText xml:space="preserve">HYPERLINK \l "_Toc227836505"</w:instrText>
      </w:r>
      <w:r>
        <w:rPr>
          <w:rStyle w:val="25"/>
        </w:rPr>
        <w:instrText xml:space="preserve"> </w:instrText>
      </w:r>
      <w:r>
        <w:rPr>
          <w:rStyle w:val="25"/>
        </w:rPr>
        <w:fldChar w:fldCharType="separate"/>
      </w:r>
      <w:r>
        <w:rPr>
          <w:rFonts w:hint="eastAsia" w:ascii="宋体"/>
        </w:rPr>
        <w:t>二、总</w:t>
      </w:r>
      <w:r>
        <w:rPr>
          <w:rFonts w:ascii="宋体"/>
        </w:rPr>
        <w:t xml:space="preserve">  </w:t>
      </w:r>
      <w:r>
        <w:rPr>
          <w:rFonts w:hint="eastAsia" w:ascii="宋体"/>
        </w:rPr>
        <w:t>则</w:t>
      </w:r>
      <w:r>
        <w:tab/>
      </w:r>
      <w:r>
        <w:fldChar w:fldCharType="begin"/>
      </w:r>
      <w:r>
        <w:instrText xml:space="preserve"> PAGEREF _Toc227836505 \h </w:instrText>
      </w:r>
      <w:r>
        <w:fldChar w:fldCharType="separate"/>
      </w:r>
      <w:r>
        <w:t>6</w:t>
      </w:r>
      <w:r>
        <w:fldChar w:fldCharType="end"/>
      </w:r>
      <w:r>
        <w:rPr>
          <w:rStyle w:val="25"/>
        </w:rPr>
        <w:fldChar w:fldCharType="end"/>
      </w:r>
    </w:p>
    <w:p w14:paraId="1AFDE0B7">
      <w:pPr>
        <w:pStyle w:val="19"/>
        <w:tabs>
          <w:tab w:val="right" w:leader="dot" w:pos="8296"/>
        </w:tabs>
        <w:rPr>
          <w:rFonts w:ascii="Calibri" w:hAnsi="Calibri"/>
          <w:szCs w:val="22"/>
        </w:rPr>
      </w:pPr>
      <w:r>
        <w:fldChar w:fldCharType="begin"/>
      </w:r>
      <w:r>
        <w:rPr>
          <w:rStyle w:val="25"/>
        </w:rPr>
        <w:instrText xml:space="preserve"> </w:instrText>
      </w:r>
      <w:r>
        <w:instrText xml:space="preserve">HYPERLINK \l "_Toc227836506"</w:instrText>
      </w:r>
      <w:r>
        <w:rPr>
          <w:rStyle w:val="25"/>
        </w:rPr>
        <w:instrText xml:space="preserve"> </w:instrText>
      </w:r>
      <w:r>
        <w:rPr>
          <w:rStyle w:val="25"/>
        </w:rPr>
        <w:fldChar w:fldCharType="separate"/>
      </w:r>
      <w:r>
        <w:rPr>
          <w:rFonts w:hint="eastAsia" w:ascii="宋体"/>
        </w:rPr>
        <w:t>三、磋商文件</w:t>
      </w:r>
      <w:r>
        <w:tab/>
      </w:r>
      <w:r>
        <w:fldChar w:fldCharType="begin"/>
      </w:r>
      <w:r>
        <w:instrText xml:space="preserve"> PAGEREF _Toc227836506 \h </w:instrText>
      </w:r>
      <w:r>
        <w:fldChar w:fldCharType="separate"/>
      </w:r>
      <w:r>
        <w:t>8</w:t>
      </w:r>
      <w:r>
        <w:fldChar w:fldCharType="end"/>
      </w:r>
      <w:r>
        <w:rPr>
          <w:rStyle w:val="25"/>
        </w:rPr>
        <w:fldChar w:fldCharType="end"/>
      </w:r>
    </w:p>
    <w:p w14:paraId="2F018D25">
      <w:pPr>
        <w:pStyle w:val="19"/>
        <w:tabs>
          <w:tab w:val="right" w:leader="dot" w:pos="8296"/>
        </w:tabs>
        <w:rPr>
          <w:rFonts w:ascii="Calibri" w:hAnsi="Calibri"/>
          <w:szCs w:val="22"/>
        </w:rPr>
      </w:pPr>
      <w:r>
        <w:fldChar w:fldCharType="begin"/>
      </w:r>
      <w:r>
        <w:rPr>
          <w:rStyle w:val="25"/>
        </w:rPr>
        <w:instrText xml:space="preserve"> </w:instrText>
      </w:r>
      <w:r>
        <w:instrText xml:space="preserve">HYPERLINK \l "_Toc227836507"</w:instrText>
      </w:r>
      <w:r>
        <w:rPr>
          <w:rStyle w:val="25"/>
        </w:rPr>
        <w:instrText xml:space="preserve"> </w:instrText>
      </w:r>
      <w:r>
        <w:rPr>
          <w:rStyle w:val="25"/>
        </w:rPr>
        <w:fldChar w:fldCharType="separate"/>
      </w:r>
      <w:r>
        <w:rPr>
          <w:rFonts w:hint="eastAsia" w:ascii="宋体"/>
        </w:rPr>
        <w:t>四、响应文件</w:t>
      </w:r>
      <w:r>
        <w:tab/>
      </w:r>
      <w:r>
        <w:fldChar w:fldCharType="begin"/>
      </w:r>
      <w:r>
        <w:instrText xml:space="preserve"> PAGEREF _Toc227836507 \h </w:instrText>
      </w:r>
      <w:r>
        <w:fldChar w:fldCharType="separate"/>
      </w:r>
      <w:r>
        <w:t>9</w:t>
      </w:r>
      <w:r>
        <w:fldChar w:fldCharType="end"/>
      </w:r>
      <w:r>
        <w:rPr>
          <w:rStyle w:val="25"/>
        </w:rPr>
        <w:fldChar w:fldCharType="end"/>
      </w:r>
    </w:p>
    <w:p w14:paraId="09606FBE">
      <w:pPr>
        <w:pStyle w:val="19"/>
        <w:tabs>
          <w:tab w:val="right" w:leader="dot" w:pos="8296"/>
        </w:tabs>
        <w:rPr>
          <w:rFonts w:ascii="Calibri" w:hAnsi="Calibri"/>
          <w:szCs w:val="22"/>
        </w:rPr>
      </w:pPr>
      <w:r>
        <w:fldChar w:fldCharType="begin"/>
      </w:r>
      <w:r>
        <w:rPr>
          <w:rStyle w:val="25"/>
        </w:rPr>
        <w:instrText xml:space="preserve"> </w:instrText>
      </w:r>
      <w:r>
        <w:instrText xml:space="preserve">HYPERLINK \l "_Toc227836508"</w:instrText>
      </w:r>
      <w:r>
        <w:rPr>
          <w:rStyle w:val="25"/>
        </w:rPr>
        <w:instrText xml:space="preserve"> </w:instrText>
      </w:r>
      <w:r>
        <w:rPr>
          <w:rStyle w:val="25"/>
        </w:rPr>
        <w:fldChar w:fldCharType="separate"/>
      </w:r>
      <w:r>
        <w:rPr>
          <w:rFonts w:hint="eastAsia" w:ascii="宋体"/>
        </w:rPr>
        <w:t>五、评审</w:t>
      </w:r>
      <w:r>
        <w:tab/>
      </w:r>
      <w:r>
        <w:fldChar w:fldCharType="begin"/>
      </w:r>
      <w:r>
        <w:instrText xml:space="preserve"> PAGEREF _Toc227836508 \h </w:instrText>
      </w:r>
      <w:r>
        <w:fldChar w:fldCharType="separate"/>
      </w:r>
      <w:r>
        <w:t>11</w:t>
      </w:r>
      <w:r>
        <w:fldChar w:fldCharType="end"/>
      </w:r>
      <w:r>
        <w:rPr>
          <w:rStyle w:val="25"/>
        </w:rPr>
        <w:fldChar w:fldCharType="end"/>
      </w:r>
    </w:p>
    <w:p w14:paraId="4BE6DB91">
      <w:pPr>
        <w:pStyle w:val="19"/>
        <w:tabs>
          <w:tab w:val="right" w:leader="dot" w:pos="8296"/>
        </w:tabs>
        <w:rPr>
          <w:rFonts w:ascii="Calibri" w:hAnsi="Calibri"/>
          <w:szCs w:val="22"/>
        </w:rPr>
      </w:pPr>
      <w:r>
        <w:fldChar w:fldCharType="begin"/>
      </w:r>
      <w:r>
        <w:rPr>
          <w:rStyle w:val="25"/>
        </w:rPr>
        <w:instrText xml:space="preserve"> </w:instrText>
      </w:r>
      <w:r>
        <w:instrText xml:space="preserve">HYPERLINK \l "_Toc227836509"</w:instrText>
      </w:r>
      <w:r>
        <w:rPr>
          <w:rStyle w:val="25"/>
        </w:rPr>
        <w:instrText xml:space="preserve"> </w:instrText>
      </w:r>
      <w:r>
        <w:rPr>
          <w:rStyle w:val="25"/>
        </w:rPr>
        <w:fldChar w:fldCharType="separate"/>
      </w:r>
      <w:r>
        <w:rPr>
          <w:rFonts w:hint="eastAsia" w:ascii="宋体"/>
        </w:rPr>
        <w:t>六、成交事项</w:t>
      </w:r>
      <w:r>
        <w:tab/>
      </w:r>
      <w:r>
        <w:fldChar w:fldCharType="begin"/>
      </w:r>
      <w:r>
        <w:instrText xml:space="preserve"> PAGEREF _Toc227836509 \h </w:instrText>
      </w:r>
      <w:r>
        <w:fldChar w:fldCharType="separate"/>
      </w:r>
      <w:r>
        <w:t>11</w:t>
      </w:r>
      <w:r>
        <w:fldChar w:fldCharType="end"/>
      </w:r>
      <w:r>
        <w:rPr>
          <w:rStyle w:val="25"/>
        </w:rPr>
        <w:fldChar w:fldCharType="end"/>
      </w:r>
    </w:p>
    <w:p w14:paraId="2EEC0EAA">
      <w:pPr>
        <w:pStyle w:val="19"/>
        <w:tabs>
          <w:tab w:val="right" w:leader="dot" w:pos="8296"/>
        </w:tabs>
        <w:rPr>
          <w:rFonts w:ascii="Calibri" w:hAnsi="Calibri"/>
          <w:szCs w:val="22"/>
        </w:rPr>
      </w:pPr>
      <w:r>
        <w:fldChar w:fldCharType="begin"/>
      </w:r>
      <w:r>
        <w:rPr>
          <w:rStyle w:val="25"/>
        </w:rPr>
        <w:instrText xml:space="preserve"> </w:instrText>
      </w:r>
      <w:r>
        <w:instrText xml:space="preserve">HYPERLINK \l "_Toc227836510"</w:instrText>
      </w:r>
      <w:r>
        <w:rPr>
          <w:rStyle w:val="25"/>
        </w:rPr>
        <w:instrText xml:space="preserve"> </w:instrText>
      </w:r>
      <w:r>
        <w:rPr>
          <w:rStyle w:val="25"/>
        </w:rPr>
        <w:fldChar w:fldCharType="separate"/>
      </w:r>
      <w:r>
        <w:rPr>
          <w:rFonts w:hint="eastAsia" w:ascii="宋体"/>
        </w:rPr>
        <w:t>七、合同事项</w:t>
      </w:r>
      <w:r>
        <w:tab/>
      </w:r>
      <w:r>
        <w:fldChar w:fldCharType="begin"/>
      </w:r>
      <w:r>
        <w:instrText xml:space="preserve"> PAGEREF _Toc227836510 \h </w:instrText>
      </w:r>
      <w:r>
        <w:fldChar w:fldCharType="separate"/>
      </w:r>
      <w:r>
        <w:t>13</w:t>
      </w:r>
      <w:r>
        <w:fldChar w:fldCharType="end"/>
      </w:r>
      <w:r>
        <w:rPr>
          <w:rStyle w:val="25"/>
        </w:rPr>
        <w:fldChar w:fldCharType="end"/>
      </w:r>
    </w:p>
    <w:p w14:paraId="32875F63">
      <w:pPr>
        <w:pStyle w:val="19"/>
        <w:tabs>
          <w:tab w:val="right" w:leader="dot" w:pos="8296"/>
        </w:tabs>
        <w:rPr>
          <w:rFonts w:ascii="Calibri" w:hAnsi="Calibri"/>
          <w:szCs w:val="22"/>
        </w:rPr>
      </w:pPr>
      <w:r>
        <w:fldChar w:fldCharType="begin"/>
      </w:r>
      <w:r>
        <w:rPr>
          <w:rStyle w:val="25"/>
        </w:rPr>
        <w:instrText xml:space="preserve"> </w:instrText>
      </w:r>
      <w:r>
        <w:instrText xml:space="preserve">HYPERLINK \l "_Toc227836511"</w:instrText>
      </w:r>
      <w:r>
        <w:rPr>
          <w:rStyle w:val="25"/>
        </w:rPr>
        <w:instrText xml:space="preserve"> </w:instrText>
      </w:r>
      <w:r>
        <w:rPr>
          <w:rStyle w:val="25"/>
        </w:rPr>
        <w:fldChar w:fldCharType="separate"/>
      </w:r>
      <w:r>
        <w:rPr>
          <w:rFonts w:hint="eastAsia" w:ascii="宋体"/>
        </w:rPr>
        <w:t>八、磋商纪律要求</w:t>
      </w:r>
      <w:r>
        <w:tab/>
      </w:r>
      <w:r>
        <w:fldChar w:fldCharType="begin"/>
      </w:r>
      <w:r>
        <w:instrText xml:space="preserve"> PAGEREF _Toc227836511 \h </w:instrText>
      </w:r>
      <w:r>
        <w:fldChar w:fldCharType="separate"/>
      </w:r>
      <w:r>
        <w:t>14</w:t>
      </w:r>
      <w:r>
        <w:fldChar w:fldCharType="end"/>
      </w:r>
      <w:r>
        <w:rPr>
          <w:rStyle w:val="25"/>
        </w:rPr>
        <w:fldChar w:fldCharType="end"/>
      </w:r>
    </w:p>
    <w:p w14:paraId="69F2BFA1">
      <w:pPr>
        <w:pStyle w:val="19"/>
        <w:tabs>
          <w:tab w:val="right" w:leader="dot" w:pos="8296"/>
        </w:tabs>
        <w:rPr>
          <w:rFonts w:ascii="Calibri" w:hAnsi="Calibri"/>
          <w:szCs w:val="22"/>
        </w:rPr>
      </w:pPr>
      <w:r>
        <w:fldChar w:fldCharType="begin"/>
      </w:r>
      <w:r>
        <w:rPr>
          <w:rStyle w:val="25"/>
        </w:rPr>
        <w:instrText xml:space="preserve"> </w:instrText>
      </w:r>
      <w:r>
        <w:instrText xml:space="preserve">HYPERLINK \l "_Toc227836512"</w:instrText>
      </w:r>
      <w:r>
        <w:rPr>
          <w:rStyle w:val="25"/>
        </w:rPr>
        <w:instrText xml:space="preserve"> </w:instrText>
      </w:r>
      <w:r>
        <w:rPr>
          <w:rStyle w:val="25"/>
        </w:rPr>
        <w:fldChar w:fldCharType="separate"/>
      </w:r>
      <w:r>
        <w:rPr>
          <w:rFonts w:hint="eastAsia" w:ascii="宋体"/>
        </w:rPr>
        <w:t>九、询问、质疑和投诉</w:t>
      </w:r>
      <w:r>
        <w:tab/>
      </w:r>
      <w:r>
        <w:fldChar w:fldCharType="begin"/>
      </w:r>
      <w:r>
        <w:instrText xml:space="preserve"> PAGEREF _Toc227836512 \h </w:instrText>
      </w:r>
      <w:r>
        <w:fldChar w:fldCharType="separate"/>
      </w:r>
      <w:r>
        <w:t>15</w:t>
      </w:r>
      <w:r>
        <w:fldChar w:fldCharType="end"/>
      </w:r>
      <w:r>
        <w:rPr>
          <w:rStyle w:val="25"/>
        </w:rPr>
        <w:fldChar w:fldCharType="end"/>
      </w:r>
    </w:p>
    <w:p w14:paraId="6BC7A3D1">
      <w:pPr>
        <w:pStyle w:val="19"/>
        <w:tabs>
          <w:tab w:val="right" w:leader="dot" w:pos="8296"/>
        </w:tabs>
        <w:rPr>
          <w:rFonts w:ascii="Calibri" w:hAnsi="Calibri"/>
          <w:szCs w:val="22"/>
        </w:rPr>
      </w:pPr>
      <w:r>
        <w:fldChar w:fldCharType="begin"/>
      </w:r>
      <w:r>
        <w:rPr>
          <w:rStyle w:val="25"/>
        </w:rPr>
        <w:instrText xml:space="preserve"> </w:instrText>
      </w:r>
      <w:r>
        <w:instrText xml:space="preserve">HYPERLINK \l "_Toc227836513"</w:instrText>
      </w:r>
      <w:r>
        <w:rPr>
          <w:rStyle w:val="25"/>
        </w:rPr>
        <w:instrText xml:space="preserve"> </w:instrText>
      </w:r>
      <w:r>
        <w:rPr>
          <w:rStyle w:val="25"/>
        </w:rPr>
        <w:fldChar w:fldCharType="separate"/>
      </w:r>
      <w:r>
        <w:rPr>
          <w:rFonts w:hint="eastAsia" w:ascii="宋体"/>
        </w:rPr>
        <w:t>十、其</w:t>
      </w:r>
      <w:r>
        <w:rPr>
          <w:rFonts w:ascii="宋体"/>
        </w:rPr>
        <w:t xml:space="preserve">  </w:t>
      </w:r>
      <w:r>
        <w:rPr>
          <w:rFonts w:hint="eastAsia" w:ascii="宋体"/>
        </w:rPr>
        <w:t>他</w:t>
      </w:r>
      <w:r>
        <w:tab/>
      </w:r>
      <w:r>
        <w:fldChar w:fldCharType="begin"/>
      </w:r>
      <w:r>
        <w:instrText xml:space="preserve"> PAGEREF _Toc227836513 \h </w:instrText>
      </w:r>
      <w:r>
        <w:fldChar w:fldCharType="separate"/>
      </w:r>
      <w:r>
        <w:t>15</w:t>
      </w:r>
      <w:r>
        <w:fldChar w:fldCharType="end"/>
      </w:r>
      <w:r>
        <w:rPr>
          <w:rStyle w:val="25"/>
        </w:rPr>
        <w:fldChar w:fldCharType="end"/>
      </w:r>
    </w:p>
    <w:p w14:paraId="56A297EA">
      <w:pPr>
        <w:pStyle w:val="15"/>
        <w:tabs>
          <w:tab w:val="right" w:leader="dot" w:pos="8296"/>
        </w:tabs>
        <w:rPr>
          <w:b w:val="0"/>
          <w:bCs w:val="0"/>
          <w:caps w:val="0"/>
          <w:smallCaps w:val="0"/>
          <w:sz w:val="21"/>
          <w:szCs w:val="22"/>
        </w:rPr>
      </w:pPr>
      <w:r>
        <w:fldChar w:fldCharType="begin"/>
      </w:r>
      <w:r>
        <w:rPr>
          <w:rStyle w:val="25"/>
        </w:rPr>
        <w:instrText xml:space="preserve"> </w:instrText>
      </w:r>
      <w:r>
        <w:instrText xml:space="preserve">HYPERLINK \l "_Toc227836514"</w:instrText>
      </w:r>
      <w:r>
        <w:rPr>
          <w:rStyle w:val="25"/>
        </w:rPr>
        <w:instrText xml:space="preserve"> </w:instrText>
      </w:r>
      <w:r>
        <w:rPr>
          <w:rStyle w:val="25"/>
        </w:rPr>
        <w:fldChar w:fldCharType="separate"/>
      </w:r>
      <w:r>
        <w:rPr>
          <w:rFonts w:hint="eastAsia" w:ascii="宋体"/>
        </w:rPr>
        <w:t>第三章</w:t>
      </w:r>
      <w:r>
        <w:rPr>
          <w:rFonts w:ascii="宋体"/>
        </w:rPr>
        <w:t xml:space="preserve">  </w:t>
      </w:r>
      <w:r>
        <w:rPr>
          <w:rFonts w:hint="eastAsia" w:ascii="宋体"/>
        </w:rPr>
        <w:t>供应商资格证明材料</w:t>
      </w:r>
      <w:r>
        <w:tab/>
      </w:r>
      <w:r>
        <w:fldChar w:fldCharType="begin"/>
      </w:r>
      <w:r>
        <w:instrText xml:space="preserve"> PAGEREF _Toc227836514 \h </w:instrText>
      </w:r>
      <w:r>
        <w:fldChar w:fldCharType="separate"/>
      </w:r>
      <w:r>
        <w:t>16</w:t>
      </w:r>
      <w:r>
        <w:fldChar w:fldCharType="end"/>
      </w:r>
      <w:r>
        <w:rPr>
          <w:rStyle w:val="25"/>
        </w:rPr>
        <w:fldChar w:fldCharType="end"/>
      </w:r>
    </w:p>
    <w:p w14:paraId="68485089">
      <w:pPr>
        <w:pStyle w:val="15"/>
        <w:tabs>
          <w:tab w:val="right" w:leader="dot" w:pos="8296"/>
        </w:tabs>
        <w:rPr>
          <w:b w:val="0"/>
          <w:bCs w:val="0"/>
          <w:caps w:val="0"/>
          <w:smallCaps w:val="0"/>
          <w:sz w:val="21"/>
          <w:szCs w:val="22"/>
        </w:rPr>
      </w:pPr>
      <w:r>
        <w:fldChar w:fldCharType="begin"/>
      </w:r>
      <w:r>
        <w:rPr>
          <w:rStyle w:val="25"/>
        </w:rPr>
        <w:instrText xml:space="preserve"> </w:instrText>
      </w:r>
      <w:r>
        <w:instrText xml:space="preserve">HYPERLINK \l "_Toc227836515"</w:instrText>
      </w:r>
      <w:r>
        <w:rPr>
          <w:rStyle w:val="25"/>
        </w:rPr>
        <w:instrText xml:space="preserve"> </w:instrText>
      </w:r>
      <w:r>
        <w:rPr>
          <w:rStyle w:val="25"/>
        </w:rPr>
        <w:fldChar w:fldCharType="separate"/>
      </w:r>
      <w:r>
        <w:rPr>
          <w:rFonts w:hint="eastAsia" w:ascii="宋体"/>
        </w:rPr>
        <w:t>第四章</w:t>
      </w:r>
      <w:r>
        <w:t xml:space="preserve">  </w:t>
      </w:r>
      <w:r>
        <w:rPr>
          <w:rFonts w:hint="eastAsia" w:ascii="宋体"/>
        </w:rPr>
        <w:t>采购项目技术、服务及其他商务要求</w:t>
      </w:r>
      <w:r>
        <w:tab/>
      </w:r>
      <w:r>
        <w:fldChar w:fldCharType="begin"/>
      </w:r>
      <w:r>
        <w:instrText xml:space="preserve"> PAGEREF _Toc227836515 \h </w:instrText>
      </w:r>
      <w:r>
        <w:fldChar w:fldCharType="separate"/>
      </w:r>
      <w:r>
        <w:t>17</w:t>
      </w:r>
      <w:r>
        <w:fldChar w:fldCharType="end"/>
      </w:r>
      <w:r>
        <w:rPr>
          <w:rStyle w:val="25"/>
        </w:rPr>
        <w:fldChar w:fldCharType="end"/>
      </w:r>
    </w:p>
    <w:p w14:paraId="491ECB0E">
      <w:pPr>
        <w:pStyle w:val="19"/>
        <w:tabs>
          <w:tab w:val="right" w:leader="dot" w:pos="8296"/>
        </w:tabs>
        <w:rPr>
          <w:rFonts w:ascii="Calibri" w:hAnsi="Calibri"/>
          <w:szCs w:val="22"/>
        </w:rPr>
      </w:pPr>
      <w:r>
        <w:fldChar w:fldCharType="begin"/>
      </w:r>
      <w:r>
        <w:rPr>
          <w:rStyle w:val="25"/>
        </w:rPr>
        <w:instrText xml:space="preserve"> </w:instrText>
      </w:r>
      <w:r>
        <w:instrText xml:space="preserve">HYPERLINK \l "_Toc227836516"</w:instrText>
      </w:r>
      <w:r>
        <w:rPr>
          <w:rStyle w:val="25"/>
        </w:rPr>
        <w:instrText xml:space="preserve"> </w:instrText>
      </w:r>
      <w:r>
        <w:rPr>
          <w:rStyle w:val="25"/>
        </w:rPr>
        <w:fldChar w:fldCharType="separate"/>
      </w:r>
      <w:r>
        <w:rPr>
          <w:rFonts w:hint="eastAsia" w:ascii="宋体" w:cs="Tahoma"/>
          <w:b/>
        </w:rPr>
        <w:t>一、采购需求</w:t>
      </w:r>
      <w:r>
        <w:tab/>
      </w:r>
      <w:r>
        <w:fldChar w:fldCharType="begin"/>
      </w:r>
      <w:r>
        <w:instrText xml:space="preserve"> PAGEREF _Toc227836516 \h </w:instrText>
      </w:r>
      <w:r>
        <w:fldChar w:fldCharType="separate"/>
      </w:r>
      <w:r>
        <w:t>17</w:t>
      </w:r>
      <w:r>
        <w:fldChar w:fldCharType="end"/>
      </w:r>
      <w:r>
        <w:rPr>
          <w:rStyle w:val="25"/>
        </w:rPr>
        <w:fldChar w:fldCharType="end"/>
      </w:r>
    </w:p>
    <w:p w14:paraId="0A122FD5">
      <w:pPr>
        <w:pStyle w:val="19"/>
        <w:tabs>
          <w:tab w:val="right" w:leader="dot" w:pos="8296"/>
        </w:tabs>
        <w:rPr>
          <w:rFonts w:ascii="Calibri" w:hAnsi="Calibri"/>
          <w:szCs w:val="22"/>
        </w:rPr>
      </w:pPr>
      <w:r>
        <w:fldChar w:fldCharType="begin"/>
      </w:r>
      <w:r>
        <w:rPr>
          <w:rStyle w:val="25"/>
        </w:rPr>
        <w:instrText xml:space="preserve"> </w:instrText>
      </w:r>
      <w:r>
        <w:instrText xml:space="preserve">HYPERLINK \l "_Toc227836517"</w:instrText>
      </w:r>
      <w:r>
        <w:rPr>
          <w:rStyle w:val="25"/>
        </w:rPr>
        <w:instrText xml:space="preserve"> </w:instrText>
      </w:r>
      <w:r>
        <w:rPr>
          <w:rStyle w:val="25"/>
        </w:rPr>
        <w:fldChar w:fldCharType="separate"/>
      </w:r>
      <w:r>
        <w:rPr>
          <w:rFonts w:hint="eastAsia" w:ascii="宋体" w:cs="Tahoma"/>
          <w:b/>
        </w:rPr>
        <w:t>二、提交成果要求</w:t>
      </w:r>
      <w:r>
        <w:tab/>
      </w:r>
      <w:r>
        <w:fldChar w:fldCharType="begin"/>
      </w:r>
      <w:r>
        <w:instrText xml:space="preserve"> PAGEREF _Toc227836517 \h </w:instrText>
      </w:r>
      <w:r>
        <w:fldChar w:fldCharType="separate"/>
      </w:r>
      <w:r>
        <w:t>17</w:t>
      </w:r>
      <w:r>
        <w:fldChar w:fldCharType="end"/>
      </w:r>
      <w:r>
        <w:rPr>
          <w:rStyle w:val="25"/>
        </w:rPr>
        <w:fldChar w:fldCharType="end"/>
      </w:r>
    </w:p>
    <w:p w14:paraId="32B174E3">
      <w:pPr>
        <w:pStyle w:val="19"/>
        <w:tabs>
          <w:tab w:val="right" w:leader="dot" w:pos="8296"/>
        </w:tabs>
        <w:rPr>
          <w:rFonts w:ascii="Calibri" w:hAnsi="Calibri"/>
          <w:szCs w:val="22"/>
        </w:rPr>
      </w:pPr>
      <w:r>
        <w:fldChar w:fldCharType="begin"/>
      </w:r>
      <w:r>
        <w:rPr>
          <w:rStyle w:val="25"/>
        </w:rPr>
        <w:instrText xml:space="preserve"> </w:instrText>
      </w:r>
      <w:r>
        <w:instrText xml:space="preserve">HYPERLINK \l "_Toc227836518"</w:instrText>
      </w:r>
      <w:r>
        <w:rPr>
          <w:rStyle w:val="25"/>
        </w:rPr>
        <w:instrText xml:space="preserve"> </w:instrText>
      </w:r>
      <w:r>
        <w:rPr>
          <w:rStyle w:val="25"/>
        </w:rPr>
        <w:fldChar w:fldCharType="separate"/>
      </w:r>
      <w:r>
        <w:rPr>
          <w:rFonts w:hint="eastAsia"/>
          <w:b/>
          <w:bCs/>
        </w:rPr>
        <w:t>三、商务要求</w:t>
      </w:r>
      <w:r>
        <w:tab/>
      </w:r>
      <w:r>
        <w:fldChar w:fldCharType="begin"/>
      </w:r>
      <w:r>
        <w:instrText xml:space="preserve"> PAGEREF _Toc227836518 \h </w:instrText>
      </w:r>
      <w:r>
        <w:fldChar w:fldCharType="separate"/>
      </w:r>
      <w:r>
        <w:t>17</w:t>
      </w:r>
      <w:r>
        <w:fldChar w:fldCharType="end"/>
      </w:r>
      <w:r>
        <w:rPr>
          <w:rStyle w:val="25"/>
        </w:rPr>
        <w:fldChar w:fldCharType="end"/>
      </w:r>
    </w:p>
    <w:p w14:paraId="4634BE94">
      <w:pPr>
        <w:pStyle w:val="15"/>
        <w:tabs>
          <w:tab w:val="right" w:leader="dot" w:pos="8296"/>
        </w:tabs>
        <w:rPr>
          <w:b w:val="0"/>
          <w:bCs w:val="0"/>
          <w:caps w:val="0"/>
          <w:smallCaps w:val="0"/>
          <w:sz w:val="21"/>
          <w:szCs w:val="22"/>
        </w:rPr>
      </w:pPr>
      <w:r>
        <w:fldChar w:fldCharType="begin"/>
      </w:r>
      <w:r>
        <w:rPr>
          <w:rStyle w:val="25"/>
        </w:rPr>
        <w:instrText xml:space="preserve"> </w:instrText>
      </w:r>
      <w:r>
        <w:instrText xml:space="preserve">HYPERLINK \l "_Toc227836519"</w:instrText>
      </w:r>
      <w:r>
        <w:rPr>
          <w:rStyle w:val="25"/>
        </w:rPr>
        <w:instrText xml:space="preserve"> </w:instrText>
      </w:r>
      <w:r>
        <w:rPr>
          <w:rStyle w:val="25"/>
        </w:rPr>
        <w:fldChar w:fldCharType="separate"/>
      </w:r>
      <w:r>
        <w:rPr>
          <w:rFonts w:hint="eastAsia" w:ascii="宋体"/>
        </w:rPr>
        <w:t>第五章</w:t>
      </w:r>
      <w:r>
        <w:t xml:space="preserve">  </w:t>
      </w:r>
      <w:r>
        <w:rPr>
          <w:rFonts w:hint="eastAsia" w:ascii="宋体"/>
        </w:rPr>
        <w:t>响应文件格式</w:t>
      </w:r>
      <w:r>
        <w:tab/>
      </w:r>
      <w:r>
        <w:fldChar w:fldCharType="begin"/>
      </w:r>
      <w:r>
        <w:instrText xml:space="preserve"> PAGEREF _Toc227836519 \h </w:instrText>
      </w:r>
      <w:r>
        <w:fldChar w:fldCharType="separate"/>
      </w:r>
      <w:r>
        <w:t>18</w:t>
      </w:r>
      <w:r>
        <w:fldChar w:fldCharType="end"/>
      </w:r>
      <w:r>
        <w:rPr>
          <w:rStyle w:val="25"/>
        </w:rPr>
        <w:fldChar w:fldCharType="end"/>
      </w:r>
    </w:p>
    <w:p w14:paraId="2540E128">
      <w:pPr>
        <w:pStyle w:val="19"/>
        <w:tabs>
          <w:tab w:val="right" w:leader="dot" w:pos="8296"/>
        </w:tabs>
        <w:rPr>
          <w:rFonts w:ascii="Calibri" w:hAnsi="Calibri"/>
          <w:szCs w:val="22"/>
        </w:rPr>
      </w:pPr>
      <w:r>
        <w:fldChar w:fldCharType="begin"/>
      </w:r>
      <w:r>
        <w:rPr>
          <w:rStyle w:val="25"/>
        </w:rPr>
        <w:instrText xml:space="preserve"> </w:instrText>
      </w:r>
      <w:r>
        <w:instrText xml:space="preserve">HYPERLINK \l "_Toc227836520"</w:instrText>
      </w:r>
      <w:r>
        <w:rPr>
          <w:rStyle w:val="25"/>
        </w:rPr>
        <w:instrText xml:space="preserve"> </w:instrText>
      </w:r>
      <w:r>
        <w:rPr>
          <w:rStyle w:val="25"/>
        </w:rPr>
        <w:fldChar w:fldCharType="separate"/>
      </w:r>
      <w:r>
        <w:rPr>
          <w:rFonts w:hint="eastAsia" w:ascii="宋体"/>
          <w:spacing w:val="3"/>
          <w:position w:val="-2"/>
        </w:rPr>
        <w:t>第一部</w:t>
      </w:r>
      <w:r>
        <w:rPr>
          <w:rFonts w:hint="eastAsia" w:ascii="宋体"/>
          <w:position w:val="-2"/>
        </w:rPr>
        <w:t>分</w:t>
      </w:r>
      <w:r>
        <w:rPr>
          <w:position w:val="-2"/>
        </w:rPr>
        <w:t xml:space="preserve">  </w:t>
      </w:r>
      <w:r>
        <w:rPr>
          <w:rFonts w:hint="eastAsia" w:ascii="宋体"/>
          <w:spacing w:val="3"/>
          <w:position w:val="-2"/>
        </w:rPr>
        <w:t>资格性响应文件（格式）</w:t>
      </w:r>
      <w:r>
        <w:tab/>
      </w:r>
      <w:r>
        <w:fldChar w:fldCharType="begin"/>
      </w:r>
      <w:r>
        <w:instrText xml:space="preserve"> PAGEREF _Toc227836520 \h </w:instrText>
      </w:r>
      <w:r>
        <w:fldChar w:fldCharType="separate"/>
      </w:r>
      <w:r>
        <w:t>19</w:t>
      </w:r>
      <w:r>
        <w:fldChar w:fldCharType="end"/>
      </w:r>
      <w:r>
        <w:rPr>
          <w:rStyle w:val="25"/>
        </w:rPr>
        <w:fldChar w:fldCharType="end"/>
      </w:r>
    </w:p>
    <w:p w14:paraId="3AC6FCE2">
      <w:pPr>
        <w:pStyle w:val="19"/>
        <w:tabs>
          <w:tab w:val="right" w:leader="dot" w:pos="8296"/>
        </w:tabs>
        <w:rPr>
          <w:rFonts w:ascii="Calibri" w:hAnsi="Calibri"/>
          <w:szCs w:val="22"/>
        </w:rPr>
      </w:pPr>
      <w:r>
        <w:fldChar w:fldCharType="begin"/>
      </w:r>
      <w:r>
        <w:rPr>
          <w:rStyle w:val="25"/>
        </w:rPr>
        <w:instrText xml:space="preserve"> </w:instrText>
      </w:r>
      <w:r>
        <w:instrText xml:space="preserve">HYPERLINK \l "_Toc227836521"</w:instrText>
      </w:r>
      <w:r>
        <w:rPr>
          <w:rStyle w:val="25"/>
        </w:rPr>
        <w:instrText xml:space="preserve"> </w:instrText>
      </w:r>
      <w:r>
        <w:rPr>
          <w:rStyle w:val="25"/>
        </w:rPr>
        <w:fldChar w:fldCharType="separate"/>
      </w:r>
      <w:r>
        <w:rPr>
          <w:rFonts w:hint="eastAsia" w:ascii="宋体"/>
          <w:spacing w:val="3"/>
          <w:position w:val="-2"/>
        </w:rPr>
        <w:t>第二部分</w:t>
      </w:r>
      <w:r>
        <w:rPr>
          <w:rFonts w:ascii="宋体"/>
          <w:spacing w:val="3"/>
          <w:position w:val="-2"/>
        </w:rPr>
        <w:t xml:space="preserve">  </w:t>
      </w:r>
      <w:r>
        <w:rPr>
          <w:rFonts w:hint="eastAsia" w:ascii="宋体"/>
          <w:spacing w:val="3"/>
          <w:position w:val="-2"/>
        </w:rPr>
        <w:t>其他响应文件（格式）</w:t>
      </w:r>
      <w:r>
        <w:tab/>
      </w:r>
      <w:r>
        <w:fldChar w:fldCharType="begin"/>
      </w:r>
      <w:r>
        <w:instrText xml:space="preserve"> PAGEREF _Toc227836521 \h </w:instrText>
      </w:r>
      <w:r>
        <w:fldChar w:fldCharType="separate"/>
      </w:r>
      <w:r>
        <w:t>22</w:t>
      </w:r>
      <w:r>
        <w:fldChar w:fldCharType="end"/>
      </w:r>
      <w:r>
        <w:rPr>
          <w:rStyle w:val="25"/>
        </w:rPr>
        <w:fldChar w:fldCharType="end"/>
      </w:r>
    </w:p>
    <w:p w14:paraId="41C12A2E">
      <w:pPr>
        <w:pStyle w:val="15"/>
        <w:tabs>
          <w:tab w:val="right" w:leader="dot" w:pos="8296"/>
        </w:tabs>
        <w:rPr>
          <w:b w:val="0"/>
          <w:bCs w:val="0"/>
          <w:caps w:val="0"/>
          <w:smallCaps w:val="0"/>
          <w:sz w:val="21"/>
          <w:szCs w:val="22"/>
        </w:rPr>
      </w:pPr>
      <w:r>
        <w:fldChar w:fldCharType="begin"/>
      </w:r>
      <w:r>
        <w:rPr>
          <w:rStyle w:val="25"/>
        </w:rPr>
        <w:instrText xml:space="preserve"> </w:instrText>
      </w:r>
      <w:r>
        <w:instrText xml:space="preserve">HYPERLINK \l "_Toc227836522"</w:instrText>
      </w:r>
      <w:r>
        <w:rPr>
          <w:rStyle w:val="25"/>
        </w:rPr>
        <w:instrText xml:space="preserve"> </w:instrText>
      </w:r>
      <w:r>
        <w:rPr>
          <w:rStyle w:val="25"/>
        </w:rPr>
        <w:fldChar w:fldCharType="separate"/>
      </w:r>
      <w:r>
        <w:rPr>
          <w:rFonts w:hint="eastAsia" w:ascii="宋体"/>
        </w:rPr>
        <w:t>第六章</w:t>
      </w:r>
      <w:r>
        <w:t xml:space="preserve">  </w:t>
      </w:r>
      <w:r>
        <w:rPr>
          <w:rFonts w:hint="eastAsia" w:ascii="宋体"/>
        </w:rPr>
        <w:t>评审方法</w:t>
      </w:r>
      <w:r>
        <w:tab/>
      </w:r>
      <w:r>
        <w:fldChar w:fldCharType="begin"/>
      </w:r>
      <w:r>
        <w:instrText xml:space="preserve"> PAGEREF _Toc227836522 \h </w:instrText>
      </w:r>
      <w:r>
        <w:fldChar w:fldCharType="separate"/>
      </w:r>
      <w:r>
        <w:t>29</w:t>
      </w:r>
      <w:r>
        <w:fldChar w:fldCharType="end"/>
      </w:r>
      <w:r>
        <w:rPr>
          <w:rStyle w:val="25"/>
        </w:rPr>
        <w:fldChar w:fldCharType="end"/>
      </w:r>
    </w:p>
    <w:p w14:paraId="360ACA2E">
      <w:pPr>
        <w:pStyle w:val="19"/>
        <w:tabs>
          <w:tab w:val="right" w:leader="dot" w:pos="8296"/>
        </w:tabs>
        <w:rPr>
          <w:rFonts w:ascii="Calibri" w:hAnsi="Calibri"/>
          <w:szCs w:val="22"/>
        </w:rPr>
      </w:pPr>
      <w:r>
        <w:fldChar w:fldCharType="begin"/>
      </w:r>
      <w:r>
        <w:rPr>
          <w:rStyle w:val="25"/>
        </w:rPr>
        <w:instrText xml:space="preserve"> </w:instrText>
      </w:r>
      <w:r>
        <w:instrText xml:space="preserve">HYPERLINK \l "_Toc227836523"</w:instrText>
      </w:r>
      <w:r>
        <w:rPr>
          <w:rStyle w:val="25"/>
        </w:rPr>
        <w:instrText xml:space="preserve"> </w:instrText>
      </w:r>
      <w:r>
        <w:rPr>
          <w:rStyle w:val="25"/>
        </w:rPr>
        <w:fldChar w:fldCharType="separate"/>
      </w:r>
      <w:r>
        <w:rPr>
          <w:rFonts w:hint="eastAsia"/>
        </w:rPr>
        <w:t>一、</w:t>
      </w:r>
      <w:r>
        <w:rPr>
          <w:rFonts w:hint="eastAsia" w:ascii="宋体"/>
        </w:rPr>
        <w:t>总则</w:t>
      </w:r>
      <w:r>
        <w:tab/>
      </w:r>
      <w:r>
        <w:fldChar w:fldCharType="begin"/>
      </w:r>
      <w:r>
        <w:instrText xml:space="preserve"> PAGEREF _Toc227836523 \h </w:instrText>
      </w:r>
      <w:r>
        <w:fldChar w:fldCharType="separate"/>
      </w:r>
      <w:r>
        <w:t>29</w:t>
      </w:r>
      <w:r>
        <w:fldChar w:fldCharType="end"/>
      </w:r>
      <w:r>
        <w:rPr>
          <w:rStyle w:val="25"/>
        </w:rPr>
        <w:fldChar w:fldCharType="end"/>
      </w:r>
    </w:p>
    <w:p w14:paraId="3F2C87A1">
      <w:pPr>
        <w:pStyle w:val="19"/>
        <w:tabs>
          <w:tab w:val="right" w:leader="dot" w:pos="8296"/>
        </w:tabs>
        <w:rPr>
          <w:rFonts w:ascii="Calibri" w:hAnsi="Calibri"/>
          <w:szCs w:val="22"/>
        </w:rPr>
      </w:pPr>
      <w:r>
        <w:fldChar w:fldCharType="begin"/>
      </w:r>
      <w:r>
        <w:rPr>
          <w:rStyle w:val="25"/>
        </w:rPr>
        <w:instrText xml:space="preserve"> </w:instrText>
      </w:r>
      <w:r>
        <w:instrText xml:space="preserve">HYPERLINK \l "_Toc227836524"</w:instrText>
      </w:r>
      <w:r>
        <w:rPr>
          <w:rStyle w:val="25"/>
        </w:rPr>
        <w:instrText xml:space="preserve"> </w:instrText>
      </w:r>
      <w:r>
        <w:rPr>
          <w:rStyle w:val="25"/>
        </w:rPr>
        <w:fldChar w:fldCharType="separate"/>
      </w:r>
      <w:r>
        <w:rPr>
          <w:rFonts w:hint="eastAsia"/>
        </w:rPr>
        <w:t>二、</w:t>
      </w:r>
      <w:r>
        <w:rPr>
          <w:rFonts w:hint="eastAsia" w:ascii="宋体"/>
        </w:rPr>
        <w:t>磋商程序</w:t>
      </w:r>
      <w:r>
        <w:tab/>
      </w:r>
      <w:r>
        <w:fldChar w:fldCharType="begin"/>
      </w:r>
      <w:r>
        <w:instrText xml:space="preserve"> PAGEREF _Toc227836524 \h </w:instrText>
      </w:r>
      <w:r>
        <w:fldChar w:fldCharType="separate"/>
      </w:r>
      <w:r>
        <w:t>29</w:t>
      </w:r>
      <w:r>
        <w:fldChar w:fldCharType="end"/>
      </w:r>
      <w:r>
        <w:rPr>
          <w:rStyle w:val="25"/>
        </w:rPr>
        <w:fldChar w:fldCharType="end"/>
      </w:r>
    </w:p>
    <w:p w14:paraId="76F9AF76">
      <w:pPr>
        <w:pStyle w:val="19"/>
        <w:tabs>
          <w:tab w:val="right" w:leader="dot" w:pos="8296"/>
        </w:tabs>
        <w:rPr>
          <w:rFonts w:ascii="Calibri" w:hAnsi="Calibri"/>
          <w:szCs w:val="22"/>
        </w:rPr>
      </w:pPr>
      <w:r>
        <w:fldChar w:fldCharType="begin"/>
      </w:r>
      <w:r>
        <w:rPr>
          <w:rStyle w:val="25"/>
        </w:rPr>
        <w:instrText xml:space="preserve"> </w:instrText>
      </w:r>
      <w:r>
        <w:instrText xml:space="preserve">HYPERLINK \l "_Toc227836525"</w:instrText>
      </w:r>
      <w:r>
        <w:rPr>
          <w:rStyle w:val="25"/>
        </w:rPr>
        <w:instrText xml:space="preserve"> </w:instrText>
      </w:r>
      <w:r>
        <w:rPr>
          <w:rStyle w:val="25"/>
        </w:rPr>
        <w:fldChar w:fldCharType="separate"/>
      </w:r>
      <w:r>
        <w:rPr>
          <w:rFonts w:hint="eastAsia"/>
          <w:b/>
        </w:rPr>
        <w:t>三、</w:t>
      </w:r>
      <w:r>
        <w:rPr>
          <w:rFonts w:hint="eastAsia" w:ascii="宋体"/>
          <w:b/>
        </w:rPr>
        <w:t>综合评分</w:t>
      </w:r>
      <w:r>
        <w:tab/>
      </w:r>
      <w:r>
        <w:fldChar w:fldCharType="begin"/>
      </w:r>
      <w:r>
        <w:instrText xml:space="preserve"> PAGEREF _Toc227836525 \h </w:instrText>
      </w:r>
      <w:r>
        <w:fldChar w:fldCharType="separate"/>
      </w:r>
      <w:r>
        <w:t>33</w:t>
      </w:r>
      <w:r>
        <w:fldChar w:fldCharType="end"/>
      </w:r>
      <w:r>
        <w:rPr>
          <w:rStyle w:val="25"/>
        </w:rPr>
        <w:fldChar w:fldCharType="end"/>
      </w:r>
    </w:p>
    <w:p w14:paraId="5ABD0A13">
      <w:pPr>
        <w:pStyle w:val="19"/>
        <w:tabs>
          <w:tab w:val="right" w:leader="dot" w:pos="8296"/>
        </w:tabs>
        <w:rPr>
          <w:rFonts w:ascii="Calibri" w:hAnsi="Calibri"/>
          <w:szCs w:val="22"/>
        </w:rPr>
      </w:pPr>
      <w:r>
        <w:fldChar w:fldCharType="begin"/>
      </w:r>
      <w:r>
        <w:rPr>
          <w:rStyle w:val="25"/>
        </w:rPr>
        <w:instrText xml:space="preserve"> </w:instrText>
      </w:r>
      <w:r>
        <w:instrText xml:space="preserve">HYPERLINK \l "_Toc227836526"</w:instrText>
      </w:r>
      <w:r>
        <w:rPr>
          <w:rStyle w:val="25"/>
        </w:rPr>
        <w:instrText xml:space="preserve"> </w:instrText>
      </w:r>
      <w:r>
        <w:rPr>
          <w:rStyle w:val="25"/>
        </w:rPr>
        <w:fldChar w:fldCharType="separate"/>
      </w:r>
      <w:r>
        <w:rPr>
          <w:rFonts w:hint="eastAsia"/>
          <w:b/>
        </w:rPr>
        <w:t>四、</w:t>
      </w:r>
      <w:r>
        <w:rPr>
          <w:rFonts w:hint="eastAsia" w:ascii="宋体"/>
          <w:b/>
        </w:rPr>
        <w:t>磋商纪律及注意事项</w:t>
      </w:r>
      <w:r>
        <w:tab/>
      </w:r>
      <w:r>
        <w:fldChar w:fldCharType="begin"/>
      </w:r>
      <w:r>
        <w:instrText xml:space="preserve"> PAGEREF _Toc227836526 \h </w:instrText>
      </w:r>
      <w:r>
        <w:fldChar w:fldCharType="separate"/>
      </w:r>
      <w:r>
        <w:t>35</w:t>
      </w:r>
      <w:r>
        <w:fldChar w:fldCharType="end"/>
      </w:r>
      <w:r>
        <w:rPr>
          <w:rStyle w:val="25"/>
        </w:rPr>
        <w:fldChar w:fldCharType="end"/>
      </w:r>
    </w:p>
    <w:p w14:paraId="10EC0342">
      <w:pPr>
        <w:pStyle w:val="19"/>
        <w:tabs>
          <w:tab w:val="right" w:leader="dot" w:pos="8296"/>
        </w:tabs>
        <w:rPr>
          <w:rFonts w:ascii="Calibri" w:hAnsi="Calibri"/>
          <w:szCs w:val="22"/>
        </w:rPr>
      </w:pPr>
      <w:r>
        <w:fldChar w:fldCharType="begin"/>
      </w:r>
      <w:r>
        <w:rPr>
          <w:rStyle w:val="25"/>
        </w:rPr>
        <w:instrText xml:space="preserve"> </w:instrText>
      </w:r>
      <w:r>
        <w:instrText xml:space="preserve">HYPERLINK \l "_Toc227836527"</w:instrText>
      </w:r>
      <w:r>
        <w:rPr>
          <w:rStyle w:val="25"/>
        </w:rPr>
        <w:instrText xml:space="preserve"> </w:instrText>
      </w:r>
      <w:r>
        <w:rPr>
          <w:rStyle w:val="25"/>
        </w:rPr>
        <w:fldChar w:fldCharType="separate"/>
      </w:r>
      <w:r>
        <w:rPr>
          <w:rFonts w:hint="eastAsia"/>
          <w:b/>
          <w:bCs/>
        </w:rPr>
        <w:t>五、</w:t>
      </w:r>
      <w:r>
        <w:rPr>
          <w:rFonts w:hint="eastAsia" w:ascii="宋体"/>
          <w:b/>
          <w:bCs/>
        </w:rPr>
        <w:t>磋</w:t>
      </w:r>
      <w:r>
        <w:rPr>
          <w:rFonts w:hint="eastAsia" w:ascii="宋体"/>
          <w:b/>
        </w:rPr>
        <w:t>商小组在政府采购活动中承担以下义务：</w:t>
      </w:r>
      <w:r>
        <w:tab/>
      </w:r>
      <w:r>
        <w:fldChar w:fldCharType="begin"/>
      </w:r>
      <w:r>
        <w:instrText xml:space="preserve"> PAGEREF _Toc227836527 \h </w:instrText>
      </w:r>
      <w:r>
        <w:fldChar w:fldCharType="separate"/>
      </w:r>
      <w:r>
        <w:t>35</w:t>
      </w:r>
      <w:r>
        <w:fldChar w:fldCharType="end"/>
      </w:r>
      <w:r>
        <w:rPr>
          <w:rStyle w:val="25"/>
        </w:rPr>
        <w:fldChar w:fldCharType="end"/>
      </w:r>
    </w:p>
    <w:p w14:paraId="20F92F5C">
      <w:pPr>
        <w:pStyle w:val="19"/>
        <w:tabs>
          <w:tab w:val="right" w:leader="dot" w:pos="8296"/>
        </w:tabs>
        <w:rPr>
          <w:rFonts w:ascii="Calibri" w:hAnsi="Calibri"/>
          <w:szCs w:val="22"/>
        </w:rPr>
      </w:pPr>
      <w:r>
        <w:fldChar w:fldCharType="begin"/>
      </w:r>
      <w:r>
        <w:rPr>
          <w:rStyle w:val="25"/>
        </w:rPr>
        <w:instrText xml:space="preserve"> </w:instrText>
      </w:r>
      <w:r>
        <w:instrText xml:space="preserve">HYPERLINK \l "_Toc227836528"</w:instrText>
      </w:r>
      <w:r>
        <w:rPr>
          <w:rStyle w:val="25"/>
        </w:rPr>
        <w:instrText xml:space="preserve"> </w:instrText>
      </w:r>
      <w:r>
        <w:rPr>
          <w:rStyle w:val="25"/>
        </w:rPr>
        <w:fldChar w:fldCharType="separate"/>
      </w:r>
      <w:r>
        <w:rPr>
          <w:rFonts w:hint="eastAsia"/>
          <w:b/>
        </w:rPr>
        <w:t>六、</w:t>
      </w:r>
      <w:r>
        <w:rPr>
          <w:rFonts w:hint="eastAsia" w:ascii="宋体"/>
          <w:b/>
        </w:rPr>
        <w:t>评审专家在政府采购活动中应当遵守以下工作纪律：</w:t>
      </w:r>
      <w:r>
        <w:tab/>
      </w:r>
      <w:r>
        <w:fldChar w:fldCharType="begin"/>
      </w:r>
      <w:r>
        <w:instrText xml:space="preserve"> PAGEREF _Toc227836528 \h </w:instrText>
      </w:r>
      <w:r>
        <w:fldChar w:fldCharType="separate"/>
      </w:r>
      <w:r>
        <w:t>35</w:t>
      </w:r>
      <w:r>
        <w:fldChar w:fldCharType="end"/>
      </w:r>
      <w:r>
        <w:rPr>
          <w:rStyle w:val="25"/>
        </w:rPr>
        <w:fldChar w:fldCharType="end"/>
      </w:r>
    </w:p>
    <w:p w14:paraId="278B0A6E">
      <w:pPr>
        <w:pStyle w:val="15"/>
        <w:tabs>
          <w:tab w:val="right" w:leader="dot" w:pos="8296"/>
        </w:tabs>
        <w:rPr>
          <w:b w:val="0"/>
          <w:bCs w:val="0"/>
          <w:caps w:val="0"/>
          <w:smallCaps w:val="0"/>
          <w:sz w:val="21"/>
          <w:szCs w:val="22"/>
        </w:rPr>
      </w:pPr>
      <w:r>
        <w:fldChar w:fldCharType="begin"/>
      </w:r>
      <w:r>
        <w:rPr>
          <w:rStyle w:val="25"/>
        </w:rPr>
        <w:instrText xml:space="preserve"> </w:instrText>
      </w:r>
      <w:r>
        <w:instrText xml:space="preserve">HYPERLINK \l "_Toc227836529"</w:instrText>
      </w:r>
      <w:r>
        <w:rPr>
          <w:rStyle w:val="25"/>
        </w:rPr>
        <w:instrText xml:space="preserve"> </w:instrText>
      </w:r>
      <w:r>
        <w:rPr>
          <w:rStyle w:val="25"/>
        </w:rPr>
        <w:fldChar w:fldCharType="separate"/>
      </w:r>
      <w:r>
        <w:rPr>
          <w:rFonts w:hint="eastAsia" w:ascii="宋体"/>
        </w:rPr>
        <w:t>第七章</w:t>
      </w:r>
      <w:r>
        <w:t xml:space="preserve">  </w:t>
      </w:r>
      <w:r>
        <w:rPr>
          <w:rFonts w:hint="eastAsia" w:ascii="宋体"/>
        </w:rPr>
        <w:t>政府采购合同（草案）</w:t>
      </w:r>
      <w:r>
        <w:tab/>
      </w:r>
      <w:r>
        <w:fldChar w:fldCharType="begin"/>
      </w:r>
      <w:r>
        <w:instrText xml:space="preserve"> PAGEREF _Toc227836529 \h </w:instrText>
      </w:r>
      <w:r>
        <w:fldChar w:fldCharType="separate"/>
      </w:r>
      <w:r>
        <w:t>37</w:t>
      </w:r>
      <w:r>
        <w:fldChar w:fldCharType="end"/>
      </w:r>
      <w:r>
        <w:rPr>
          <w:rStyle w:val="25"/>
        </w:rPr>
        <w:fldChar w:fldCharType="end"/>
      </w:r>
    </w:p>
    <w:p w14:paraId="602C53EB">
      <w:pPr>
        <w:pStyle w:val="8"/>
        <w:spacing w:line="360" w:lineRule="auto"/>
        <w:sectPr>
          <w:footerReference r:id="rId5" w:type="default"/>
          <w:pgSz w:w="11906" w:h="16838"/>
          <w:pgMar w:top="1440" w:right="1800" w:bottom="1440" w:left="1800" w:header="851" w:footer="992" w:gutter="0"/>
          <w:pgNumType w:start="1"/>
          <w:cols w:space="720" w:num="1"/>
          <w:docGrid w:type="lines" w:linePitch="312" w:charSpace="0"/>
        </w:sectPr>
      </w:pPr>
      <w:r>
        <w:fldChar w:fldCharType="end"/>
      </w:r>
    </w:p>
    <w:p w14:paraId="25B774C6">
      <w:pPr>
        <w:pStyle w:val="2"/>
        <w:keepNext/>
        <w:keepLines w:val="0"/>
        <w:pageBreakBefore w:val="0"/>
        <w:widowControl w:val="0"/>
        <w:suppressLineNumbers w:val="0"/>
        <w:suppressAutoHyphens w:val="0"/>
        <w:spacing w:before="0" w:after="0" w:line="240" w:lineRule="atLeast"/>
        <w:jc w:val="center"/>
        <w:rPr>
          <w:sz w:val="28"/>
          <w:szCs w:val="28"/>
        </w:rPr>
      </w:pPr>
      <w:bookmarkStart w:id="0" w:name="_Toc227836502"/>
      <w:r>
        <w:rPr>
          <w:rFonts w:hint="eastAsia" w:ascii="宋体"/>
          <w:sz w:val="28"/>
          <w:szCs w:val="28"/>
        </w:rPr>
        <w:t>第一章</w:t>
      </w:r>
      <w:r>
        <w:rPr>
          <w:sz w:val="28"/>
          <w:szCs w:val="28"/>
        </w:rPr>
        <w:t xml:space="preserve">  </w:t>
      </w:r>
      <w:r>
        <w:rPr>
          <w:rFonts w:hint="eastAsia" w:ascii="宋体"/>
          <w:sz w:val="28"/>
          <w:szCs w:val="28"/>
        </w:rPr>
        <w:t>磋商邀请</w:t>
      </w:r>
      <w:bookmarkEnd w:id="0"/>
    </w:p>
    <w:p w14:paraId="111440F3">
      <w:pPr>
        <w:spacing w:line="440" w:lineRule="exact"/>
        <w:ind w:firstLine="480" w:firstLineChars="200"/>
        <w:rPr>
          <w:sz w:val="24"/>
          <w:szCs w:val="24"/>
        </w:rPr>
      </w:pPr>
      <w:r>
        <w:rPr>
          <w:rFonts w:hint="eastAsia" w:ascii="宋体"/>
          <w:sz w:val="24"/>
          <w:szCs w:val="24"/>
          <w:u w:val="single"/>
        </w:rPr>
        <w:t>阿坝州自然资源局</w:t>
      </w:r>
      <w:r>
        <w:rPr>
          <w:rFonts w:hint="eastAsia"/>
          <w:sz w:val="24"/>
          <w:szCs w:val="24"/>
          <w:u w:val="single"/>
        </w:rPr>
        <w:t xml:space="preserve"> </w:t>
      </w:r>
      <w:r>
        <w:rPr>
          <w:rFonts w:hint="eastAsia" w:ascii="宋体"/>
          <w:sz w:val="24"/>
          <w:szCs w:val="24"/>
        </w:rPr>
        <w:t>拟对</w:t>
      </w:r>
      <w:r>
        <w:rPr>
          <w:rFonts w:hint="eastAsia"/>
          <w:bCs/>
          <w:sz w:val="24"/>
          <w:szCs w:val="24"/>
          <w:u w:val="single"/>
        </w:rPr>
        <w:t xml:space="preserve"> </w:t>
      </w:r>
      <w:r>
        <w:rPr>
          <w:rFonts w:hint="eastAsia" w:ascii="宋体"/>
          <w:bCs/>
          <w:sz w:val="24"/>
          <w:szCs w:val="24"/>
          <w:u w:val="single"/>
        </w:rPr>
        <w:t>阿坝州“十五五”基础测绘规划编制项目</w:t>
      </w:r>
      <w:r>
        <w:rPr>
          <w:rFonts w:hint="eastAsia"/>
          <w:bCs/>
          <w:sz w:val="24"/>
          <w:szCs w:val="24"/>
          <w:u w:val="single"/>
        </w:rPr>
        <w:t xml:space="preserve"> </w:t>
      </w:r>
      <w:r>
        <w:rPr>
          <w:rFonts w:hint="eastAsia" w:ascii="宋体"/>
          <w:sz w:val="24"/>
          <w:szCs w:val="24"/>
        </w:rPr>
        <w:t>采用竞争性磋商方式进行采购，特邀请符合本次采购要求的供应商参加本项目的竞争性磋商。</w:t>
      </w:r>
    </w:p>
    <w:p w14:paraId="0E7D960E">
      <w:pPr>
        <w:spacing w:line="440" w:lineRule="exact"/>
        <w:ind w:firstLine="480" w:firstLineChars="200"/>
        <w:rPr>
          <w:sz w:val="24"/>
          <w:szCs w:val="24"/>
        </w:rPr>
      </w:pPr>
      <w:r>
        <w:rPr>
          <w:rFonts w:hint="eastAsia" w:ascii="宋体"/>
          <w:sz w:val="24"/>
          <w:szCs w:val="24"/>
        </w:rPr>
        <w:t>一、采购项目基本情况</w:t>
      </w:r>
    </w:p>
    <w:p w14:paraId="281CDAA3">
      <w:pPr>
        <w:spacing w:line="440" w:lineRule="exact"/>
        <w:ind w:firstLine="480" w:firstLineChars="200"/>
        <w:rPr>
          <w:sz w:val="24"/>
          <w:szCs w:val="24"/>
        </w:rPr>
      </w:pPr>
      <w:r>
        <w:rPr>
          <w:sz w:val="24"/>
          <w:szCs w:val="24"/>
        </w:rPr>
        <w:t>1.</w:t>
      </w:r>
      <w:r>
        <w:rPr>
          <w:rFonts w:hint="eastAsia" w:ascii="宋体"/>
          <w:sz w:val="24"/>
          <w:szCs w:val="24"/>
        </w:rPr>
        <w:t>采购项目名称：</w:t>
      </w:r>
      <w:r>
        <w:rPr>
          <w:rFonts w:hint="eastAsia" w:ascii="宋体"/>
          <w:bCs/>
          <w:sz w:val="24"/>
          <w:szCs w:val="24"/>
          <w:u w:val="single"/>
        </w:rPr>
        <w:t>阿坝州“十五五”基础测绘规划编制项目</w:t>
      </w:r>
      <w:r>
        <w:rPr>
          <w:rFonts w:hint="eastAsia" w:ascii="宋体"/>
          <w:sz w:val="24"/>
          <w:szCs w:val="24"/>
        </w:rPr>
        <w:t>。</w:t>
      </w:r>
    </w:p>
    <w:p w14:paraId="45682810">
      <w:pPr>
        <w:spacing w:line="440" w:lineRule="exact"/>
        <w:ind w:firstLine="480" w:firstLineChars="200"/>
        <w:rPr>
          <w:sz w:val="24"/>
          <w:szCs w:val="24"/>
        </w:rPr>
      </w:pPr>
      <w:r>
        <w:rPr>
          <w:sz w:val="24"/>
          <w:szCs w:val="24"/>
        </w:rPr>
        <w:t>2.</w:t>
      </w:r>
      <w:r>
        <w:rPr>
          <w:rFonts w:hint="eastAsia" w:ascii="宋体"/>
          <w:sz w:val="24"/>
          <w:szCs w:val="24"/>
        </w:rPr>
        <w:t>采购人：</w:t>
      </w:r>
      <w:r>
        <w:rPr>
          <w:rFonts w:hint="eastAsia" w:ascii="宋体"/>
          <w:sz w:val="24"/>
          <w:szCs w:val="24"/>
          <w:u w:val="single"/>
        </w:rPr>
        <w:t>阿坝州自然资源局</w:t>
      </w:r>
      <w:r>
        <w:rPr>
          <w:rFonts w:hint="eastAsia" w:ascii="宋体"/>
          <w:sz w:val="24"/>
          <w:szCs w:val="24"/>
        </w:rPr>
        <w:t>。</w:t>
      </w:r>
    </w:p>
    <w:p w14:paraId="75AA9E99">
      <w:pPr>
        <w:spacing w:line="440" w:lineRule="exact"/>
        <w:ind w:firstLine="480" w:firstLineChars="200"/>
        <w:rPr>
          <w:sz w:val="24"/>
          <w:szCs w:val="24"/>
        </w:rPr>
      </w:pPr>
      <w:r>
        <w:rPr>
          <w:rFonts w:hint="eastAsia" w:ascii="宋体"/>
          <w:sz w:val="24"/>
          <w:szCs w:val="24"/>
        </w:rPr>
        <w:t>二、资金情况</w:t>
      </w:r>
    </w:p>
    <w:p w14:paraId="3BDEA155">
      <w:pPr>
        <w:spacing w:line="440" w:lineRule="exact"/>
        <w:ind w:right="31" w:rightChars="15" w:firstLine="480" w:firstLineChars="200"/>
        <w:rPr>
          <w:sz w:val="24"/>
          <w:szCs w:val="24"/>
        </w:rPr>
      </w:pPr>
      <w:r>
        <w:rPr>
          <w:rFonts w:hint="eastAsia" w:ascii="宋体"/>
          <w:sz w:val="24"/>
          <w:szCs w:val="24"/>
        </w:rPr>
        <w:t>金额：</w:t>
      </w:r>
      <w:r>
        <w:rPr>
          <w:rFonts w:hint="eastAsia" w:ascii="宋体"/>
          <w:sz w:val="24"/>
          <w:szCs w:val="24"/>
          <w:u w:val="single"/>
        </w:rPr>
        <w:t>人民币</w:t>
      </w:r>
      <w:r>
        <w:rPr>
          <w:sz w:val="24"/>
          <w:szCs w:val="24"/>
          <w:u w:val="single"/>
        </w:rPr>
        <w:t>2</w:t>
      </w:r>
      <w:r>
        <w:rPr>
          <w:rFonts w:hint="eastAsia"/>
          <w:sz w:val="24"/>
          <w:szCs w:val="24"/>
          <w:u w:val="single"/>
        </w:rPr>
        <w:t>5</w:t>
      </w:r>
      <w:r>
        <w:rPr>
          <w:sz w:val="24"/>
          <w:szCs w:val="24"/>
          <w:u w:val="single"/>
        </w:rPr>
        <w:t>0000.00</w:t>
      </w:r>
      <w:r>
        <w:rPr>
          <w:rFonts w:hint="eastAsia" w:ascii="宋体"/>
          <w:sz w:val="24"/>
          <w:szCs w:val="24"/>
          <w:u w:val="single"/>
        </w:rPr>
        <w:t>元</w:t>
      </w:r>
      <w:r>
        <w:rPr>
          <w:rFonts w:hint="eastAsia" w:ascii="宋体"/>
          <w:spacing w:val="3"/>
          <w:u w:val="single"/>
        </w:rPr>
        <w:t>（贰拾伍万元整</w:t>
      </w:r>
      <w:r>
        <w:rPr>
          <w:rFonts w:hint="eastAsia" w:ascii="宋体"/>
          <w:spacing w:val="-15"/>
          <w:u w:val="single"/>
        </w:rPr>
        <w:t>）</w:t>
      </w:r>
      <w:r>
        <w:rPr>
          <w:rFonts w:hint="eastAsia" w:ascii="宋体"/>
          <w:sz w:val="24"/>
          <w:szCs w:val="24"/>
        </w:rPr>
        <w:t>。</w:t>
      </w:r>
    </w:p>
    <w:p w14:paraId="55DA8E7D">
      <w:pPr>
        <w:spacing w:line="440" w:lineRule="exact"/>
        <w:ind w:firstLine="482" w:firstLineChars="200"/>
        <w:rPr>
          <w:sz w:val="24"/>
          <w:szCs w:val="24"/>
        </w:rPr>
      </w:pPr>
      <w:r>
        <w:rPr>
          <w:rFonts w:hint="eastAsia" w:ascii="宋体"/>
          <w:b/>
          <w:sz w:val="24"/>
          <w:szCs w:val="24"/>
        </w:rPr>
        <w:t>三</w:t>
      </w:r>
      <w:r>
        <w:rPr>
          <w:rFonts w:hint="eastAsia" w:ascii="宋体"/>
          <w:b/>
          <w:bCs/>
          <w:sz w:val="24"/>
          <w:szCs w:val="24"/>
        </w:rPr>
        <w:t>、</w:t>
      </w:r>
      <w:r>
        <w:rPr>
          <w:rFonts w:hint="eastAsia" w:ascii="宋体"/>
          <w:b/>
          <w:sz w:val="24"/>
          <w:szCs w:val="24"/>
        </w:rPr>
        <w:t>采购项目简介：</w:t>
      </w:r>
    </w:p>
    <w:p w14:paraId="2840C69E">
      <w:pPr>
        <w:spacing w:line="440" w:lineRule="exact"/>
        <w:ind w:right="31" w:rightChars="15" w:firstLine="480" w:firstLineChars="200"/>
        <w:rPr>
          <w:sz w:val="24"/>
          <w:szCs w:val="24"/>
        </w:rPr>
      </w:pPr>
      <w:r>
        <w:rPr>
          <w:rFonts w:hint="eastAsia" w:ascii="宋体"/>
          <w:sz w:val="24"/>
          <w:szCs w:val="24"/>
        </w:rPr>
        <w:t>阿坝州“十五五”基础测绘规划编制项目（具体技术、服务等要求详见竞争性磋商文件第四章）。</w:t>
      </w:r>
    </w:p>
    <w:p w14:paraId="7A1CD3DC">
      <w:pPr>
        <w:spacing w:line="440" w:lineRule="exact"/>
        <w:ind w:firstLine="482" w:firstLineChars="200"/>
        <w:rPr>
          <w:b/>
          <w:bCs/>
          <w:sz w:val="24"/>
          <w:szCs w:val="24"/>
        </w:rPr>
      </w:pPr>
      <w:r>
        <w:rPr>
          <w:rFonts w:hint="eastAsia" w:ascii="宋体"/>
          <w:b/>
          <w:bCs/>
          <w:sz w:val="24"/>
          <w:szCs w:val="24"/>
        </w:rPr>
        <w:t>四、供应商邀请方式</w:t>
      </w:r>
    </w:p>
    <w:p w14:paraId="66D7AF0B">
      <w:pPr>
        <w:spacing w:line="440" w:lineRule="exact"/>
        <w:ind w:firstLine="480" w:firstLineChars="200"/>
        <w:rPr>
          <w:bCs/>
          <w:sz w:val="24"/>
          <w:szCs w:val="24"/>
        </w:rPr>
      </w:pPr>
      <w:r>
        <w:rPr>
          <w:rFonts w:hint="eastAsia" w:ascii="宋体" w:cs="新宋体"/>
          <w:bCs/>
          <w:sz w:val="24"/>
          <w:szCs w:val="24"/>
          <w:u w:val="single"/>
        </w:rPr>
        <w:t>公告方式：本次竞争性磋商邀请在阿坝州自然资源局网上以公告形式发布。</w:t>
      </w:r>
    </w:p>
    <w:p w14:paraId="52035123">
      <w:pPr>
        <w:spacing w:line="440" w:lineRule="exact"/>
        <w:ind w:firstLine="482" w:firstLineChars="200"/>
        <w:rPr>
          <w:b/>
          <w:bCs/>
          <w:sz w:val="24"/>
          <w:szCs w:val="24"/>
        </w:rPr>
      </w:pPr>
      <w:r>
        <w:rPr>
          <w:rFonts w:hint="eastAsia" w:ascii="宋体"/>
          <w:b/>
          <w:bCs/>
          <w:sz w:val="24"/>
          <w:szCs w:val="24"/>
        </w:rPr>
        <w:t>五、供应商参加本次政府采购活动应具备下列条件</w:t>
      </w:r>
    </w:p>
    <w:p w14:paraId="0EE31396">
      <w:pPr>
        <w:spacing w:line="440" w:lineRule="exact"/>
        <w:ind w:firstLine="480" w:firstLineChars="200"/>
        <w:rPr>
          <w:sz w:val="24"/>
          <w:szCs w:val="24"/>
        </w:rPr>
      </w:pPr>
      <w:r>
        <w:rPr>
          <w:sz w:val="24"/>
          <w:szCs w:val="24"/>
        </w:rPr>
        <w:t>1.</w:t>
      </w:r>
      <w:r>
        <w:rPr>
          <w:rFonts w:hint="eastAsia" w:ascii="宋体"/>
          <w:sz w:val="24"/>
          <w:szCs w:val="24"/>
        </w:rPr>
        <w:t>满足《中华人民共和国政府采购法》第二十二条规定：</w:t>
      </w:r>
    </w:p>
    <w:p w14:paraId="6A1905EE">
      <w:pPr>
        <w:spacing w:line="440" w:lineRule="exact"/>
        <w:ind w:firstLine="480" w:firstLineChars="200"/>
        <w:rPr>
          <w:sz w:val="24"/>
          <w:szCs w:val="24"/>
        </w:rPr>
      </w:pPr>
      <w:r>
        <w:rPr>
          <w:rFonts w:hint="eastAsia" w:ascii="宋体"/>
          <w:sz w:val="24"/>
          <w:szCs w:val="24"/>
        </w:rPr>
        <w:t>（</w:t>
      </w:r>
      <w:r>
        <w:rPr>
          <w:sz w:val="24"/>
          <w:szCs w:val="24"/>
        </w:rPr>
        <w:t>1</w:t>
      </w:r>
      <w:r>
        <w:rPr>
          <w:rFonts w:hint="eastAsia" w:ascii="宋体"/>
          <w:sz w:val="24"/>
          <w:szCs w:val="24"/>
        </w:rPr>
        <w:t>）具有独立承担民事责任的能力</w:t>
      </w:r>
    </w:p>
    <w:p w14:paraId="5171464B">
      <w:pPr>
        <w:spacing w:line="440" w:lineRule="exact"/>
        <w:ind w:firstLine="480" w:firstLineChars="200"/>
        <w:rPr>
          <w:sz w:val="24"/>
          <w:szCs w:val="24"/>
        </w:rPr>
      </w:pPr>
      <w:r>
        <w:rPr>
          <w:rFonts w:hint="eastAsia" w:ascii="宋体"/>
          <w:sz w:val="24"/>
          <w:szCs w:val="24"/>
        </w:rPr>
        <w:t>（</w:t>
      </w:r>
      <w:r>
        <w:rPr>
          <w:sz w:val="24"/>
          <w:szCs w:val="24"/>
        </w:rPr>
        <w:t>2</w:t>
      </w:r>
      <w:r>
        <w:rPr>
          <w:rFonts w:hint="eastAsia" w:ascii="宋体"/>
          <w:sz w:val="24"/>
          <w:szCs w:val="24"/>
        </w:rPr>
        <w:t>）具有良好的商业信誉和健全的财务会计制度</w:t>
      </w:r>
    </w:p>
    <w:p w14:paraId="1EBB0C27">
      <w:pPr>
        <w:spacing w:line="440" w:lineRule="exact"/>
        <w:ind w:firstLine="480" w:firstLineChars="200"/>
        <w:rPr>
          <w:sz w:val="24"/>
          <w:szCs w:val="24"/>
        </w:rPr>
      </w:pPr>
      <w:r>
        <w:rPr>
          <w:rFonts w:hint="eastAsia" w:ascii="宋体"/>
          <w:sz w:val="24"/>
          <w:szCs w:val="24"/>
        </w:rPr>
        <w:t>（</w:t>
      </w:r>
      <w:r>
        <w:rPr>
          <w:sz w:val="24"/>
          <w:szCs w:val="24"/>
        </w:rPr>
        <w:t>3</w:t>
      </w:r>
      <w:r>
        <w:rPr>
          <w:rFonts w:hint="eastAsia" w:ascii="宋体"/>
          <w:sz w:val="24"/>
          <w:szCs w:val="24"/>
        </w:rPr>
        <w:t>）具有履行合同所必需的设备和专业技术能力</w:t>
      </w:r>
    </w:p>
    <w:p w14:paraId="2E739F31">
      <w:pPr>
        <w:spacing w:line="440" w:lineRule="exact"/>
        <w:ind w:firstLine="480" w:firstLineChars="200"/>
        <w:rPr>
          <w:sz w:val="24"/>
          <w:szCs w:val="24"/>
        </w:rPr>
      </w:pPr>
      <w:r>
        <w:rPr>
          <w:rFonts w:hint="eastAsia" w:ascii="宋体"/>
          <w:sz w:val="24"/>
          <w:szCs w:val="24"/>
        </w:rPr>
        <w:t>（</w:t>
      </w:r>
      <w:r>
        <w:rPr>
          <w:sz w:val="24"/>
          <w:szCs w:val="24"/>
        </w:rPr>
        <w:t>4</w:t>
      </w:r>
      <w:r>
        <w:rPr>
          <w:rFonts w:hint="eastAsia" w:ascii="宋体"/>
          <w:sz w:val="24"/>
          <w:szCs w:val="24"/>
        </w:rPr>
        <w:t>）有依法缴纳税收和社会保障资金的良好记录</w:t>
      </w:r>
    </w:p>
    <w:p w14:paraId="0D0E3F23">
      <w:pPr>
        <w:spacing w:line="440" w:lineRule="exact"/>
        <w:ind w:firstLine="480" w:firstLineChars="200"/>
        <w:rPr>
          <w:sz w:val="24"/>
          <w:szCs w:val="24"/>
        </w:rPr>
      </w:pPr>
      <w:r>
        <w:rPr>
          <w:rFonts w:hint="eastAsia" w:ascii="宋体"/>
          <w:sz w:val="24"/>
          <w:szCs w:val="24"/>
        </w:rPr>
        <w:t>（</w:t>
      </w:r>
      <w:r>
        <w:rPr>
          <w:sz w:val="24"/>
          <w:szCs w:val="24"/>
        </w:rPr>
        <w:t>5</w:t>
      </w:r>
      <w:r>
        <w:rPr>
          <w:rFonts w:hint="eastAsia" w:ascii="宋体"/>
          <w:sz w:val="24"/>
          <w:szCs w:val="24"/>
        </w:rPr>
        <w:t>）参加本次采购活动前三年内，在经营活动中没有重大违法记录</w:t>
      </w:r>
    </w:p>
    <w:p w14:paraId="304A012B">
      <w:pPr>
        <w:spacing w:line="440" w:lineRule="exact"/>
        <w:ind w:firstLine="480" w:firstLineChars="200"/>
        <w:rPr>
          <w:sz w:val="24"/>
          <w:szCs w:val="24"/>
        </w:rPr>
      </w:pPr>
      <w:r>
        <w:rPr>
          <w:rFonts w:hint="eastAsia" w:ascii="宋体"/>
          <w:sz w:val="24"/>
          <w:szCs w:val="24"/>
        </w:rPr>
        <w:t>（</w:t>
      </w:r>
      <w:r>
        <w:rPr>
          <w:sz w:val="24"/>
          <w:szCs w:val="24"/>
        </w:rPr>
        <w:t>6</w:t>
      </w:r>
      <w:r>
        <w:rPr>
          <w:rFonts w:hint="eastAsia" w:ascii="宋体"/>
          <w:sz w:val="24"/>
          <w:szCs w:val="24"/>
        </w:rPr>
        <w:t>）法律、行政法规规定的其他条件</w:t>
      </w:r>
    </w:p>
    <w:p w14:paraId="49158602">
      <w:pPr>
        <w:spacing w:line="440" w:lineRule="exact"/>
        <w:ind w:firstLine="480" w:firstLineChars="200"/>
        <w:rPr>
          <w:rFonts w:hint="eastAsia" w:ascii="宋体"/>
          <w:iCs/>
          <w:sz w:val="24"/>
          <w:szCs w:val="24"/>
        </w:rPr>
      </w:pPr>
      <w:r>
        <w:rPr>
          <w:rFonts w:hint="eastAsia" w:ascii="宋体"/>
          <w:sz w:val="24"/>
          <w:szCs w:val="24"/>
        </w:rPr>
        <w:t>2.本项目的特定资格要求：</w:t>
      </w:r>
    </w:p>
    <w:p w14:paraId="6452B03C">
      <w:pPr>
        <w:spacing w:line="440" w:lineRule="exact"/>
        <w:ind w:firstLine="480" w:firstLineChars="200"/>
        <w:rPr>
          <w:rFonts w:hint="eastAsia" w:ascii="宋体"/>
          <w:sz w:val="24"/>
          <w:szCs w:val="24"/>
        </w:rPr>
      </w:pPr>
      <w:r>
        <w:rPr>
          <w:rFonts w:hint="eastAsia" w:ascii="宋体"/>
          <w:sz w:val="24"/>
          <w:szCs w:val="24"/>
        </w:rPr>
        <w:t>供应商须具备国家测绘行政主管部门颁发的测绘甲级资质证书（专业类别须包含地理信息系统工程）。</w:t>
      </w:r>
    </w:p>
    <w:p w14:paraId="55DAA5FE">
      <w:pPr>
        <w:spacing w:line="440" w:lineRule="exact"/>
        <w:ind w:firstLine="482" w:firstLineChars="200"/>
        <w:rPr>
          <w:b/>
          <w:sz w:val="24"/>
          <w:szCs w:val="24"/>
        </w:rPr>
      </w:pPr>
      <w:r>
        <w:rPr>
          <w:rFonts w:hint="eastAsia" w:ascii="宋体"/>
          <w:b/>
          <w:sz w:val="24"/>
          <w:szCs w:val="24"/>
        </w:rPr>
        <w:t>六、禁止参加本次采购活动的供应商</w:t>
      </w:r>
    </w:p>
    <w:p w14:paraId="4294D42E">
      <w:pPr>
        <w:spacing w:line="440" w:lineRule="exact"/>
        <w:ind w:firstLine="470" w:firstLineChars="196"/>
        <w:rPr>
          <w:sz w:val="24"/>
          <w:szCs w:val="24"/>
        </w:rPr>
      </w:pPr>
      <w:r>
        <w:rPr>
          <w:sz w:val="24"/>
          <w:szCs w:val="24"/>
        </w:rPr>
        <w:t>1.</w:t>
      </w:r>
      <w:r>
        <w:rPr>
          <w:rFonts w:hint="eastAsia" w:ascii="宋体"/>
          <w:sz w:val="24"/>
          <w:szCs w:val="24"/>
        </w:rPr>
        <w:t>根据《关于在政府采购活动中查询及使用信用记录有关问题的通知》（财库〔</w:t>
      </w:r>
      <w:r>
        <w:rPr>
          <w:sz w:val="24"/>
          <w:szCs w:val="24"/>
        </w:rPr>
        <w:t>2016</w:t>
      </w:r>
      <w:r>
        <w:rPr>
          <w:rFonts w:hint="eastAsia" w:ascii="宋体"/>
          <w:sz w:val="24"/>
          <w:szCs w:val="24"/>
        </w:rPr>
        <w:t>〕</w:t>
      </w:r>
      <w:r>
        <w:rPr>
          <w:sz w:val="24"/>
          <w:szCs w:val="24"/>
        </w:rPr>
        <w:t>125</w:t>
      </w:r>
      <w:r>
        <w:rPr>
          <w:rFonts w:hint="eastAsia" w:ascii="宋体"/>
          <w:sz w:val="24"/>
          <w:szCs w:val="24"/>
        </w:rPr>
        <w:t>号）的要求，采购人将通过“信用中国”网站（www.creditchina.gov.cn）、“中国政府采购网”网站（www.ccgp.gov.cn）等渠道查询投标人在投标截止时间前的信用记录，拒绝列入失信被执行人名单、重大税收违法案件当事人名单、政府采购严重违法失信行为记录名单中的投标人参加本项目的采购活动。</w:t>
      </w:r>
    </w:p>
    <w:p w14:paraId="0EEB59B1">
      <w:pPr>
        <w:spacing w:line="440" w:lineRule="exact"/>
        <w:ind w:right="31" w:rightChars="15" w:firstLine="480" w:firstLineChars="200"/>
        <w:rPr>
          <w:sz w:val="24"/>
          <w:szCs w:val="24"/>
        </w:rPr>
      </w:pPr>
      <w:r>
        <w:rPr>
          <w:sz w:val="24"/>
          <w:szCs w:val="24"/>
        </w:rPr>
        <w:t>2.</w:t>
      </w:r>
      <w:r>
        <w:rPr>
          <w:rFonts w:hint="eastAsia" w:ascii="宋体"/>
          <w:sz w:val="24"/>
          <w:szCs w:val="24"/>
        </w:rPr>
        <w:t>为采购项目提供整体设计、规范编制或者项目管理、监理、检测等服务的供应商，不得参加本采购项目。供应商为采购人在确定采购需求、编制询价通知书过程中提供咨询论证，其提供的咨询论证意见成为询价通知书中规定的供应商资格条件、技术服务商务要求、评审因素和标准、政府采购合同等实质性内容条款的，视同为采购项目提供规范编制。</w:t>
      </w:r>
    </w:p>
    <w:p w14:paraId="5B7940B4">
      <w:pPr>
        <w:spacing w:line="440" w:lineRule="exact"/>
        <w:ind w:right="31" w:rightChars="15" w:firstLine="480" w:firstLineChars="200"/>
        <w:rPr>
          <w:sz w:val="24"/>
          <w:szCs w:val="24"/>
        </w:rPr>
      </w:pPr>
      <w:r>
        <w:rPr>
          <w:sz w:val="24"/>
          <w:szCs w:val="24"/>
        </w:rPr>
        <w:t>3.</w:t>
      </w:r>
      <w:r>
        <w:rPr>
          <w:rFonts w:hint="eastAsia" w:ascii="宋体"/>
          <w:sz w:val="24"/>
          <w:szCs w:val="24"/>
        </w:rPr>
        <w:t>单位负责人为同一人或者存在直接控股、管理关系的不同供应商，不得参加同一合同项下的政府采购活动。</w:t>
      </w:r>
    </w:p>
    <w:p w14:paraId="2FAC81E9">
      <w:pPr>
        <w:spacing w:line="440" w:lineRule="exact"/>
        <w:ind w:firstLine="480" w:firstLineChars="200"/>
        <w:rPr>
          <w:rFonts w:hint="eastAsia" w:ascii="宋体"/>
          <w:sz w:val="24"/>
          <w:szCs w:val="24"/>
        </w:rPr>
      </w:pPr>
      <w:r>
        <w:rPr>
          <w:sz w:val="24"/>
          <w:szCs w:val="24"/>
        </w:rPr>
        <w:t>4.</w:t>
      </w:r>
      <w:r>
        <w:rPr>
          <w:rFonts w:hint="eastAsia" w:ascii="宋体"/>
          <w:sz w:val="24"/>
          <w:szCs w:val="24"/>
        </w:rPr>
        <w:t>外资企业及合资企业无投标资格。</w:t>
      </w:r>
    </w:p>
    <w:p w14:paraId="0A6038D2">
      <w:pPr>
        <w:spacing w:line="440" w:lineRule="exact"/>
        <w:ind w:firstLine="480" w:firstLineChars="200"/>
        <w:rPr>
          <w:sz w:val="24"/>
          <w:szCs w:val="24"/>
        </w:rPr>
      </w:pPr>
      <w:r>
        <w:rPr>
          <w:sz w:val="24"/>
          <w:szCs w:val="24"/>
        </w:rPr>
        <w:t>5.</w:t>
      </w:r>
      <w:r>
        <w:rPr>
          <w:rFonts w:hint="eastAsia" w:ascii="宋体"/>
          <w:sz w:val="24"/>
          <w:szCs w:val="24"/>
        </w:rPr>
        <w:t>本次采购活动不接受联合体报价</w:t>
      </w:r>
    </w:p>
    <w:p w14:paraId="6A33F264">
      <w:pPr>
        <w:spacing w:line="440" w:lineRule="exact"/>
        <w:ind w:firstLine="482" w:firstLineChars="200"/>
        <w:rPr>
          <w:b/>
          <w:sz w:val="24"/>
          <w:szCs w:val="24"/>
        </w:rPr>
      </w:pPr>
      <w:r>
        <w:rPr>
          <w:rFonts w:hint="eastAsia" w:ascii="宋体"/>
          <w:b/>
          <w:sz w:val="24"/>
          <w:szCs w:val="24"/>
        </w:rPr>
        <w:t>七、磋商文件获取方式、时间、地点：</w:t>
      </w:r>
    </w:p>
    <w:p w14:paraId="5CB8CE2E">
      <w:pPr>
        <w:spacing w:line="440" w:lineRule="exact"/>
        <w:ind w:right="31" w:rightChars="15" w:firstLine="480" w:firstLineChars="200"/>
        <w:rPr>
          <w:sz w:val="24"/>
          <w:szCs w:val="24"/>
        </w:rPr>
      </w:pPr>
      <w:r>
        <w:rPr>
          <w:rFonts w:hint="eastAsia" w:ascii="宋体" w:cs="新宋体"/>
          <w:sz w:val="24"/>
          <w:szCs w:val="24"/>
          <w:u w:val="single"/>
        </w:rPr>
        <w:t>磋商文件</w:t>
      </w:r>
      <w:r>
        <w:rPr>
          <w:rFonts w:hint="eastAsia" w:ascii="宋体"/>
          <w:sz w:val="24"/>
          <w:szCs w:val="24"/>
        </w:rPr>
        <w:t>自</w:t>
      </w:r>
      <w:r>
        <w:rPr>
          <w:sz w:val="24"/>
          <w:szCs w:val="24"/>
        </w:rPr>
        <w:t>202</w:t>
      </w:r>
      <w:r>
        <w:rPr>
          <w:rFonts w:hint="eastAsia"/>
          <w:sz w:val="24"/>
          <w:szCs w:val="24"/>
        </w:rPr>
        <w:t>6</w:t>
      </w:r>
      <w:r>
        <w:rPr>
          <w:rFonts w:hint="eastAsia" w:ascii="宋体"/>
          <w:sz w:val="24"/>
          <w:szCs w:val="24"/>
        </w:rPr>
        <w:t>年</w:t>
      </w:r>
      <w:r>
        <w:rPr>
          <w:sz w:val="24"/>
          <w:szCs w:val="24"/>
        </w:rPr>
        <w:t>6</w:t>
      </w:r>
      <w:r>
        <w:rPr>
          <w:rFonts w:hint="eastAsia" w:ascii="宋体"/>
          <w:sz w:val="24"/>
          <w:szCs w:val="24"/>
        </w:rPr>
        <w:t>月</w:t>
      </w:r>
      <w:r>
        <w:rPr>
          <w:sz w:val="24"/>
          <w:szCs w:val="24"/>
        </w:rPr>
        <w:t>15</w:t>
      </w:r>
      <w:r>
        <w:rPr>
          <w:rFonts w:hint="eastAsia" w:ascii="宋体"/>
          <w:sz w:val="24"/>
          <w:szCs w:val="24"/>
        </w:rPr>
        <w:t>日至</w:t>
      </w:r>
      <w:r>
        <w:rPr>
          <w:sz w:val="24"/>
          <w:szCs w:val="24"/>
        </w:rPr>
        <w:t>202</w:t>
      </w:r>
      <w:r>
        <w:rPr>
          <w:rFonts w:hint="eastAsia"/>
          <w:sz w:val="24"/>
          <w:szCs w:val="24"/>
        </w:rPr>
        <w:t>6</w:t>
      </w:r>
      <w:r>
        <w:rPr>
          <w:rFonts w:hint="eastAsia" w:ascii="宋体"/>
          <w:sz w:val="24"/>
          <w:szCs w:val="24"/>
        </w:rPr>
        <w:t>年</w:t>
      </w:r>
      <w:r>
        <w:rPr>
          <w:sz w:val="24"/>
          <w:szCs w:val="24"/>
        </w:rPr>
        <w:t>6</w:t>
      </w:r>
      <w:r>
        <w:rPr>
          <w:rFonts w:hint="eastAsia" w:ascii="宋体"/>
          <w:sz w:val="24"/>
          <w:szCs w:val="24"/>
        </w:rPr>
        <w:t>月</w:t>
      </w:r>
      <w:r>
        <w:rPr>
          <w:rFonts w:ascii="宋体"/>
          <w:sz w:val="24"/>
          <w:szCs w:val="24"/>
        </w:rPr>
        <w:t>22</w:t>
      </w:r>
      <w:r>
        <w:rPr>
          <w:rFonts w:hint="eastAsia" w:ascii="宋体"/>
          <w:sz w:val="24"/>
          <w:szCs w:val="24"/>
        </w:rPr>
        <w:t>日在阿坝州自然资源局网站获取（线上获取无需现场报名）。</w:t>
      </w:r>
    </w:p>
    <w:p w14:paraId="53E53B52">
      <w:pPr>
        <w:spacing w:line="440" w:lineRule="exact"/>
        <w:ind w:right="31" w:rightChars="15" w:firstLine="480" w:firstLineChars="200"/>
        <w:rPr>
          <w:sz w:val="24"/>
          <w:szCs w:val="24"/>
        </w:rPr>
      </w:pPr>
      <w:r>
        <w:rPr>
          <w:rFonts w:hint="eastAsia" w:ascii="宋体"/>
          <w:sz w:val="24"/>
          <w:szCs w:val="24"/>
        </w:rPr>
        <w:t>八、递交响应文件截止时间：</w:t>
      </w:r>
      <w:r>
        <w:rPr>
          <w:sz w:val="24"/>
          <w:szCs w:val="24"/>
        </w:rPr>
        <w:t>202</w:t>
      </w:r>
      <w:r>
        <w:rPr>
          <w:rFonts w:hint="eastAsia"/>
          <w:sz w:val="24"/>
          <w:szCs w:val="24"/>
        </w:rPr>
        <w:t>6</w:t>
      </w:r>
      <w:r>
        <w:rPr>
          <w:rFonts w:hint="eastAsia" w:ascii="宋体"/>
          <w:sz w:val="24"/>
          <w:szCs w:val="24"/>
        </w:rPr>
        <w:t>年</w:t>
      </w:r>
      <w:r>
        <w:rPr>
          <w:sz w:val="24"/>
          <w:szCs w:val="24"/>
        </w:rPr>
        <w:t>6</w:t>
      </w:r>
      <w:r>
        <w:rPr>
          <w:rFonts w:hint="eastAsia" w:ascii="宋体"/>
          <w:sz w:val="24"/>
          <w:szCs w:val="24"/>
        </w:rPr>
        <w:t>月</w:t>
      </w:r>
      <w:r>
        <w:rPr>
          <w:sz w:val="24"/>
          <w:szCs w:val="24"/>
        </w:rPr>
        <w:t>23</w:t>
      </w:r>
      <w:r>
        <w:rPr>
          <w:rFonts w:hint="eastAsia" w:ascii="宋体"/>
          <w:sz w:val="24"/>
          <w:szCs w:val="24"/>
        </w:rPr>
        <w:t>日</w:t>
      </w:r>
      <w:r>
        <w:rPr>
          <w:sz w:val="24"/>
          <w:szCs w:val="24"/>
        </w:rPr>
        <w:t>9:00时</w:t>
      </w:r>
      <w:r>
        <w:rPr>
          <w:rFonts w:hint="eastAsia" w:ascii="宋体"/>
          <w:sz w:val="24"/>
          <w:szCs w:val="24"/>
        </w:rPr>
        <w:t>（北京时间）前。</w:t>
      </w:r>
    </w:p>
    <w:p w14:paraId="4EEF29D1">
      <w:pPr>
        <w:spacing w:line="440" w:lineRule="exact"/>
        <w:ind w:right="31" w:rightChars="15" w:firstLine="480" w:firstLineChars="200"/>
        <w:rPr>
          <w:sz w:val="24"/>
          <w:szCs w:val="24"/>
        </w:rPr>
      </w:pPr>
      <w:r>
        <w:rPr>
          <w:rFonts w:hint="eastAsia" w:ascii="宋体"/>
          <w:sz w:val="24"/>
          <w:szCs w:val="24"/>
        </w:rPr>
        <w:t>九、递交响应文件地点：响应文件必须在递交响应文件截止时间前送达磋商地点。逾期送达、密封和标注错误的响应文件，阿坝州自然资源局恕不接收。本次采购不接收邮寄的响应文件。</w:t>
      </w:r>
    </w:p>
    <w:p w14:paraId="5929602D">
      <w:pPr>
        <w:spacing w:line="440" w:lineRule="exact"/>
        <w:ind w:right="31" w:rightChars="15" w:firstLine="480" w:firstLineChars="200"/>
        <w:rPr>
          <w:sz w:val="24"/>
          <w:szCs w:val="24"/>
        </w:rPr>
      </w:pPr>
      <w:r>
        <w:rPr>
          <w:rFonts w:hint="eastAsia" w:ascii="宋体"/>
          <w:sz w:val="24"/>
          <w:szCs w:val="24"/>
        </w:rPr>
        <w:t>十、响应文件开启时间：</w:t>
      </w:r>
      <w:r>
        <w:rPr>
          <w:sz w:val="24"/>
          <w:szCs w:val="24"/>
        </w:rPr>
        <w:t>202</w:t>
      </w:r>
      <w:r>
        <w:rPr>
          <w:rFonts w:hint="eastAsia"/>
          <w:sz w:val="24"/>
          <w:szCs w:val="24"/>
        </w:rPr>
        <w:t>6</w:t>
      </w:r>
      <w:r>
        <w:rPr>
          <w:rFonts w:hint="eastAsia" w:ascii="宋体"/>
          <w:sz w:val="24"/>
          <w:szCs w:val="24"/>
        </w:rPr>
        <w:t>年</w:t>
      </w:r>
      <w:r>
        <w:rPr>
          <w:sz w:val="24"/>
          <w:szCs w:val="24"/>
        </w:rPr>
        <w:t>6</w:t>
      </w:r>
      <w:r>
        <w:rPr>
          <w:rFonts w:hint="eastAsia" w:ascii="宋体"/>
          <w:sz w:val="24"/>
          <w:szCs w:val="24"/>
        </w:rPr>
        <w:t>月</w:t>
      </w:r>
      <w:r>
        <w:rPr>
          <w:sz w:val="24"/>
          <w:szCs w:val="24"/>
        </w:rPr>
        <w:t>23</w:t>
      </w:r>
      <w:r>
        <w:rPr>
          <w:rFonts w:hint="eastAsia" w:ascii="宋体"/>
          <w:sz w:val="24"/>
          <w:szCs w:val="24"/>
        </w:rPr>
        <w:t>日</w:t>
      </w:r>
      <w:r>
        <w:rPr>
          <w:sz w:val="24"/>
          <w:szCs w:val="24"/>
        </w:rPr>
        <w:t>9:00时</w:t>
      </w:r>
      <w:r>
        <w:rPr>
          <w:rFonts w:hint="eastAsia" w:ascii="宋体"/>
          <w:sz w:val="24"/>
          <w:szCs w:val="24"/>
        </w:rPr>
        <w:t>（北京时间）在磋商地点开启。</w:t>
      </w:r>
    </w:p>
    <w:p w14:paraId="7FC18FBC">
      <w:pPr>
        <w:pStyle w:val="7"/>
        <w:spacing w:line="440" w:lineRule="exact"/>
        <w:rPr>
          <w:b/>
          <w:sz w:val="24"/>
          <w:szCs w:val="24"/>
        </w:rPr>
      </w:pPr>
      <w:r>
        <w:rPr>
          <w:rFonts w:hint="eastAsia" w:ascii="宋体"/>
          <w:b/>
          <w:sz w:val="24"/>
          <w:szCs w:val="24"/>
        </w:rPr>
        <w:t>十一、磋商地点：</w:t>
      </w:r>
      <w:r>
        <w:rPr>
          <w:rFonts w:hint="eastAsia" w:ascii="宋体"/>
          <w:bCs/>
          <w:sz w:val="24"/>
          <w:szCs w:val="24"/>
        </w:rPr>
        <w:t>阿坝州自然资源局会议室（阿坝州马尔康市团结街57号民族团结广场1号楼20楼会议室）。</w:t>
      </w:r>
    </w:p>
    <w:p w14:paraId="7A334BC9">
      <w:pPr>
        <w:pStyle w:val="7"/>
        <w:spacing w:line="440" w:lineRule="exact"/>
        <w:rPr>
          <w:b/>
          <w:sz w:val="24"/>
          <w:szCs w:val="24"/>
        </w:rPr>
      </w:pPr>
      <w:r>
        <w:rPr>
          <w:rFonts w:hint="eastAsia" w:ascii="宋体"/>
          <w:b/>
          <w:sz w:val="24"/>
          <w:szCs w:val="24"/>
        </w:rPr>
        <w:t>十二、联系方式</w:t>
      </w:r>
    </w:p>
    <w:p w14:paraId="097257DE">
      <w:pPr>
        <w:pStyle w:val="7"/>
        <w:spacing w:line="440" w:lineRule="exact"/>
        <w:rPr>
          <w:b/>
          <w:bCs/>
          <w:sz w:val="24"/>
          <w:szCs w:val="24"/>
        </w:rPr>
      </w:pPr>
      <w:r>
        <w:rPr>
          <w:rFonts w:hint="eastAsia" w:ascii="宋体"/>
          <w:b/>
          <w:sz w:val="24"/>
          <w:szCs w:val="24"/>
        </w:rPr>
        <w:t>采购人：</w:t>
      </w:r>
      <w:r>
        <w:rPr>
          <w:rFonts w:hint="eastAsia"/>
          <w:b/>
          <w:bCs/>
          <w:sz w:val="24"/>
          <w:szCs w:val="24"/>
        </w:rPr>
        <w:t xml:space="preserve"> </w:t>
      </w:r>
      <w:r>
        <w:rPr>
          <w:rFonts w:hint="eastAsia" w:ascii="宋体"/>
          <w:b/>
          <w:bCs/>
          <w:sz w:val="24"/>
          <w:szCs w:val="24"/>
        </w:rPr>
        <w:t>阿坝州自然资源局</w:t>
      </w:r>
    </w:p>
    <w:p w14:paraId="58563A58">
      <w:pPr>
        <w:spacing w:line="440" w:lineRule="exact"/>
        <w:ind w:right="31" w:rightChars="15" w:firstLine="480" w:firstLineChars="200"/>
        <w:rPr>
          <w:rFonts w:hint="eastAsia"/>
          <w:sz w:val="24"/>
          <w:szCs w:val="24"/>
        </w:rPr>
      </w:pPr>
      <w:r>
        <w:rPr>
          <w:rFonts w:hint="eastAsia" w:ascii="宋体"/>
          <w:sz w:val="24"/>
          <w:szCs w:val="24"/>
        </w:rPr>
        <w:t>地</w:t>
      </w:r>
      <w:r>
        <w:rPr>
          <w:rFonts w:hint="eastAsia"/>
          <w:sz w:val="24"/>
          <w:szCs w:val="24"/>
        </w:rPr>
        <w:t xml:space="preserve">    </w:t>
      </w:r>
      <w:r>
        <w:rPr>
          <w:rFonts w:hint="eastAsia" w:ascii="宋体"/>
          <w:sz w:val="24"/>
          <w:szCs w:val="24"/>
        </w:rPr>
        <w:t>址：马尔康市民族团结广场</w:t>
      </w:r>
      <w:r>
        <w:rPr>
          <w:sz w:val="24"/>
          <w:szCs w:val="24"/>
        </w:rPr>
        <w:t>1</w:t>
      </w:r>
      <w:r>
        <w:rPr>
          <w:rFonts w:hint="eastAsia" w:ascii="宋体"/>
          <w:sz w:val="24"/>
          <w:szCs w:val="24"/>
        </w:rPr>
        <w:t>号楼</w:t>
      </w:r>
      <w:r>
        <w:rPr>
          <w:sz w:val="24"/>
          <w:szCs w:val="24"/>
        </w:rPr>
        <w:t>20</w:t>
      </w:r>
      <w:r>
        <w:rPr>
          <w:rFonts w:hint="eastAsia" w:ascii="宋体"/>
          <w:sz w:val="24"/>
          <w:szCs w:val="24"/>
        </w:rPr>
        <w:t>层</w:t>
      </w:r>
    </w:p>
    <w:p w14:paraId="34536EBA">
      <w:pPr>
        <w:spacing w:line="440" w:lineRule="exact"/>
        <w:ind w:right="31" w:rightChars="15" w:firstLine="480" w:firstLineChars="200"/>
        <w:rPr>
          <w:rFonts w:hint="eastAsia"/>
          <w:sz w:val="24"/>
          <w:szCs w:val="24"/>
        </w:rPr>
      </w:pPr>
      <w:r>
        <w:rPr>
          <w:rFonts w:hint="eastAsia" w:ascii="宋体"/>
          <w:sz w:val="24"/>
          <w:szCs w:val="24"/>
        </w:rPr>
        <w:t>联</w:t>
      </w:r>
      <w:r>
        <w:rPr>
          <w:rFonts w:hint="eastAsia"/>
          <w:sz w:val="24"/>
          <w:szCs w:val="24"/>
        </w:rPr>
        <w:t xml:space="preserve"> </w:t>
      </w:r>
      <w:r>
        <w:rPr>
          <w:rFonts w:hint="eastAsia" w:ascii="宋体"/>
          <w:sz w:val="24"/>
          <w:szCs w:val="24"/>
        </w:rPr>
        <w:t>系</w:t>
      </w:r>
      <w:r>
        <w:rPr>
          <w:rFonts w:hint="eastAsia"/>
          <w:sz w:val="24"/>
          <w:szCs w:val="24"/>
        </w:rPr>
        <w:t xml:space="preserve"> </w:t>
      </w:r>
      <w:r>
        <w:rPr>
          <w:rFonts w:hint="eastAsia" w:ascii="宋体"/>
          <w:sz w:val="24"/>
          <w:szCs w:val="24"/>
        </w:rPr>
        <w:t>人：德老师</w:t>
      </w:r>
    </w:p>
    <w:p w14:paraId="0EBD5D42">
      <w:pPr>
        <w:spacing w:line="440" w:lineRule="exact"/>
        <w:ind w:right="31" w:rightChars="15" w:firstLine="480" w:firstLineChars="200"/>
        <w:rPr>
          <w:rFonts w:hint="eastAsia"/>
          <w:sz w:val="24"/>
          <w:szCs w:val="24"/>
        </w:rPr>
      </w:pPr>
      <w:r>
        <w:rPr>
          <w:rFonts w:hint="eastAsia" w:ascii="宋体"/>
          <w:sz w:val="24"/>
          <w:szCs w:val="24"/>
        </w:rPr>
        <w:t>联系电话：</w:t>
      </w:r>
      <w:r>
        <w:rPr>
          <w:sz w:val="24"/>
          <w:szCs w:val="24"/>
        </w:rPr>
        <w:t xml:space="preserve">0837-2822313 </w:t>
      </w:r>
    </w:p>
    <w:p w14:paraId="1FD19082">
      <w:pPr>
        <w:spacing w:line="440" w:lineRule="exact"/>
        <w:ind w:right="31" w:rightChars="15" w:firstLine="5280" w:firstLineChars="2200"/>
        <w:rPr>
          <w:rFonts w:hint="eastAsia"/>
          <w:sz w:val="24"/>
          <w:szCs w:val="24"/>
        </w:rPr>
      </w:pPr>
      <w:r>
        <w:rPr>
          <w:sz w:val="24"/>
          <w:szCs w:val="24"/>
        </w:rPr>
        <w:t>202</w:t>
      </w:r>
      <w:r>
        <w:rPr>
          <w:rFonts w:hint="eastAsia"/>
          <w:sz w:val="24"/>
          <w:szCs w:val="24"/>
        </w:rPr>
        <w:t>6</w:t>
      </w:r>
      <w:r>
        <w:rPr>
          <w:rFonts w:hint="eastAsia" w:ascii="宋体"/>
          <w:sz w:val="24"/>
          <w:szCs w:val="24"/>
        </w:rPr>
        <w:t>年</w:t>
      </w:r>
      <w:r>
        <w:rPr>
          <w:sz w:val="24"/>
          <w:szCs w:val="24"/>
        </w:rPr>
        <w:t>6</w:t>
      </w:r>
      <w:r>
        <w:rPr>
          <w:rFonts w:hint="eastAsia" w:ascii="宋体"/>
          <w:sz w:val="24"/>
          <w:szCs w:val="24"/>
        </w:rPr>
        <w:t>月</w:t>
      </w:r>
      <w:r>
        <w:rPr>
          <w:sz w:val="24"/>
          <w:szCs w:val="24"/>
        </w:rPr>
        <w:t>12</w:t>
      </w:r>
      <w:r>
        <w:rPr>
          <w:rFonts w:hint="eastAsia" w:ascii="宋体"/>
          <w:sz w:val="24"/>
          <w:szCs w:val="24"/>
        </w:rPr>
        <w:t>日</w:t>
      </w:r>
    </w:p>
    <w:p w14:paraId="2A4AD89E">
      <w:pPr>
        <w:spacing w:line="440" w:lineRule="exact"/>
        <w:ind w:right="31" w:rightChars="15" w:firstLine="480" w:firstLineChars="200"/>
        <w:rPr>
          <w:rFonts w:cs="新宋体"/>
          <w:sz w:val="24"/>
          <w:szCs w:val="24"/>
          <w:u w:val="single"/>
        </w:rPr>
      </w:pPr>
    </w:p>
    <w:p w14:paraId="2162798C">
      <w:pPr>
        <w:pStyle w:val="8"/>
      </w:pPr>
    </w:p>
    <w:p w14:paraId="6E1AD373">
      <w:pPr>
        <w:pStyle w:val="2"/>
        <w:keepNext/>
        <w:keepLines w:val="0"/>
        <w:pageBreakBefore w:val="0"/>
        <w:widowControl w:val="0"/>
        <w:suppressLineNumbers w:val="0"/>
        <w:suppressAutoHyphens w:val="0"/>
        <w:spacing w:before="0" w:after="0" w:line="240" w:lineRule="atLeast"/>
        <w:jc w:val="center"/>
        <w:rPr>
          <w:rFonts w:ascii="宋体"/>
          <w:sz w:val="28"/>
          <w:szCs w:val="28"/>
        </w:rPr>
      </w:pPr>
      <w:r>
        <w:rPr>
          <w:kern w:val="2"/>
          <w:sz w:val="28"/>
          <w:szCs w:val="28"/>
        </w:rPr>
        <w:br w:type="page"/>
      </w:r>
      <w:bookmarkStart w:id="1" w:name="_Toc227836503"/>
      <w:r>
        <w:rPr>
          <w:rFonts w:hint="eastAsia" w:ascii="宋体"/>
          <w:sz w:val="28"/>
          <w:szCs w:val="28"/>
        </w:rPr>
        <w:t>第二章  磋商须知</w:t>
      </w:r>
      <w:bookmarkEnd w:id="1"/>
    </w:p>
    <w:p w14:paraId="1EA4EAD5">
      <w:pPr>
        <w:pStyle w:val="3"/>
        <w:keepNext/>
        <w:keepLines w:val="0"/>
        <w:pageBreakBefore w:val="0"/>
        <w:widowControl w:val="0"/>
        <w:suppressLineNumbers w:val="0"/>
        <w:suppressAutoHyphens w:val="0"/>
        <w:spacing w:before="0" w:after="0" w:line="240" w:lineRule="atLeast"/>
        <w:jc w:val="center"/>
        <w:rPr>
          <w:rFonts w:ascii="Times New Roman" w:hAnsi="Times New Roman" w:eastAsia="宋体"/>
          <w:sz w:val="28"/>
          <w:szCs w:val="28"/>
        </w:rPr>
      </w:pPr>
      <w:bookmarkStart w:id="2" w:name="_Toc227836504"/>
      <w:r>
        <w:rPr>
          <w:rFonts w:hint="eastAsia" w:ascii="宋体" w:eastAsia="宋体"/>
          <w:sz w:val="28"/>
          <w:szCs w:val="28"/>
        </w:rPr>
        <w:t>一、供应商须知附表</w:t>
      </w:r>
      <w:bookmarkEnd w:id="2"/>
    </w:p>
    <w:tbl>
      <w:tblPr>
        <w:tblStyle w:val="23"/>
        <w:tblW w:w="5000" w:type="pct"/>
        <w:jc w:val="center"/>
        <w:tblBorders>
          <w:top w:val="single" w:color="auto" w:sz="18" w:space="0"/>
          <w:left w:val="single" w:color="auto" w:sz="18" w:space="0"/>
          <w:bottom w:val="single" w:color="auto" w:sz="18" w:space="0"/>
          <w:right w:val="single" w:color="auto" w:sz="18" w:space="0"/>
          <w:insideH w:val="outset" w:color="auto" w:sz="6" w:space="0"/>
          <w:insideV w:val="outset" w:color="auto" w:sz="6" w:space="0"/>
        </w:tblBorders>
        <w:tblLayout w:type="autofit"/>
        <w:tblCellMar>
          <w:top w:w="0" w:type="dxa"/>
          <w:left w:w="0" w:type="dxa"/>
          <w:bottom w:w="0" w:type="dxa"/>
          <w:right w:w="0" w:type="dxa"/>
        </w:tblCellMar>
      </w:tblPr>
      <w:tblGrid>
        <w:gridCol w:w="618"/>
        <w:gridCol w:w="2257"/>
        <w:gridCol w:w="5478"/>
      </w:tblGrid>
      <w:tr w14:paraId="537765B3">
        <w:tblPrEx>
          <w:tblBorders>
            <w:top w:val="single" w:color="auto" w:sz="18" w:space="0"/>
            <w:left w:val="single" w:color="auto" w:sz="18" w:space="0"/>
            <w:bottom w:val="single" w:color="auto" w:sz="18" w:space="0"/>
            <w:right w:val="single" w:color="auto" w:sz="18" w:space="0"/>
            <w:insideH w:val="outset" w:color="auto" w:sz="6" w:space="0"/>
            <w:insideV w:val="outset" w:color="auto" w:sz="6" w:space="0"/>
          </w:tblBorders>
          <w:tblCellMar>
            <w:top w:w="0" w:type="dxa"/>
            <w:left w:w="0" w:type="dxa"/>
            <w:bottom w:w="0" w:type="dxa"/>
            <w:right w:w="0" w:type="dxa"/>
          </w:tblCellMar>
        </w:tblPrEx>
        <w:trPr>
          <w:jc w:val="center"/>
        </w:trPr>
        <w:tc>
          <w:tcPr>
            <w:tcW w:w="618" w:type="dxa"/>
            <w:tcBorders>
              <w:top w:val="single" w:color="auto" w:sz="18" w:space="0"/>
              <w:left w:val="single" w:color="auto" w:sz="18" w:space="0"/>
              <w:bottom w:val="single" w:color="auto" w:sz="8" w:space="0"/>
              <w:right w:val="single" w:color="auto" w:sz="8" w:space="0"/>
            </w:tcBorders>
            <w:vAlign w:val="center"/>
          </w:tcPr>
          <w:p w14:paraId="74C6ACE3">
            <w:pPr>
              <w:pStyle w:val="32"/>
              <w:keepNext w:val="0"/>
              <w:keepLines w:val="0"/>
              <w:pageBreakBefore w:val="0"/>
              <w:widowControl/>
              <w:suppressLineNumbers w:val="0"/>
              <w:suppressAutoHyphens w:val="0"/>
              <w:ind w:left="9"/>
              <w:jc w:val="center"/>
              <w:rPr>
                <w:rFonts w:ascii="Times New Roman" w:hAnsi="Times New Roman" w:cs="宋体"/>
                <w:sz w:val="21"/>
                <w:szCs w:val="21"/>
              </w:rPr>
            </w:pPr>
            <w:r>
              <w:rPr>
                <w:rFonts w:hint="eastAsia"/>
                <w:sz w:val="21"/>
                <w:szCs w:val="21"/>
              </w:rPr>
              <w:t>序号</w:t>
            </w:r>
            <w:r>
              <w:rPr>
                <w:rFonts w:ascii="Times New Roman" w:hAnsi="Times New Roman" w:cs="宋体"/>
                <w:sz w:val="21"/>
                <w:szCs w:val="21"/>
              </w:rPr>
              <w:t xml:space="preserve"> </w:t>
            </w:r>
          </w:p>
        </w:tc>
        <w:tc>
          <w:tcPr>
            <w:tcW w:w="2257" w:type="dxa"/>
            <w:tcBorders>
              <w:top w:val="single" w:color="auto" w:sz="18" w:space="0"/>
              <w:left w:val="single" w:color="auto" w:sz="8" w:space="0"/>
              <w:bottom w:val="single" w:color="auto" w:sz="8" w:space="0"/>
              <w:right w:val="single" w:color="auto" w:sz="8" w:space="0"/>
            </w:tcBorders>
            <w:vAlign w:val="center"/>
          </w:tcPr>
          <w:p w14:paraId="109C7CDB">
            <w:pPr>
              <w:pStyle w:val="32"/>
              <w:keepNext w:val="0"/>
              <w:keepLines w:val="0"/>
              <w:pageBreakBefore w:val="0"/>
              <w:widowControl/>
              <w:suppressLineNumbers w:val="0"/>
              <w:suppressAutoHyphens w:val="0"/>
              <w:ind w:left="38"/>
              <w:jc w:val="center"/>
              <w:rPr>
                <w:rFonts w:ascii="Times New Roman" w:hAnsi="Times New Roman" w:cs="宋体"/>
                <w:sz w:val="21"/>
                <w:szCs w:val="21"/>
              </w:rPr>
            </w:pPr>
            <w:r>
              <w:rPr>
                <w:rFonts w:hint="eastAsia"/>
                <w:sz w:val="21"/>
                <w:szCs w:val="21"/>
              </w:rPr>
              <w:t>应知事项</w:t>
            </w:r>
            <w:r>
              <w:rPr>
                <w:rFonts w:ascii="Times New Roman" w:hAnsi="Times New Roman" w:cs="宋体"/>
                <w:sz w:val="21"/>
                <w:szCs w:val="21"/>
              </w:rPr>
              <w:t xml:space="preserve"> </w:t>
            </w:r>
          </w:p>
        </w:tc>
        <w:tc>
          <w:tcPr>
            <w:tcW w:w="5478" w:type="dxa"/>
            <w:tcBorders>
              <w:top w:val="single" w:color="auto" w:sz="18" w:space="0"/>
              <w:left w:val="single" w:color="auto" w:sz="8" w:space="0"/>
              <w:bottom w:val="single" w:color="auto" w:sz="8" w:space="0"/>
              <w:right w:val="single" w:color="auto" w:sz="18" w:space="0"/>
            </w:tcBorders>
            <w:vAlign w:val="center"/>
          </w:tcPr>
          <w:p w14:paraId="6B69D437">
            <w:pPr>
              <w:pStyle w:val="32"/>
              <w:keepNext w:val="0"/>
              <w:keepLines w:val="0"/>
              <w:pageBreakBefore w:val="0"/>
              <w:widowControl/>
              <w:suppressLineNumbers w:val="0"/>
              <w:suppressAutoHyphens w:val="0"/>
              <w:jc w:val="center"/>
              <w:rPr>
                <w:rFonts w:ascii="Times New Roman" w:hAnsi="Times New Roman" w:cs="宋体"/>
                <w:sz w:val="21"/>
                <w:szCs w:val="21"/>
              </w:rPr>
            </w:pPr>
            <w:r>
              <w:rPr>
                <w:rFonts w:hint="eastAsia"/>
                <w:sz w:val="21"/>
                <w:szCs w:val="21"/>
              </w:rPr>
              <w:t>说明和要求</w:t>
            </w:r>
          </w:p>
        </w:tc>
      </w:tr>
      <w:tr w14:paraId="0C14AA79">
        <w:tblPrEx>
          <w:tblBorders>
            <w:top w:val="single" w:color="auto" w:sz="18" w:space="0"/>
            <w:left w:val="single" w:color="auto" w:sz="18" w:space="0"/>
            <w:bottom w:val="single" w:color="auto" w:sz="18" w:space="0"/>
            <w:right w:val="single" w:color="auto" w:sz="18" w:space="0"/>
            <w:insideH w:val="outset" w:color="auto" w:sz="6" w:space="0"/>
            <w:insideV w:val="outset" w:color="auto" w:sz="6" w:space="0"/>
          </w:tblBorders>
          <w:tblCellMar>
            <w:top w:w="0" w:type="dxa"/>
            <w:left w:w="0" w:type="dxa"/>
            <w:bottom w:w="0" w:type="dxa"/>
            <w:right w:w="0" w:type="dxa"/>
          </w:tblCellMar>
        </w:tblPrEx>
        <w:trPr>
          <w:jc w:val="center"/>
        </w:trPr>
        <w:tc>
          <w:tcPr>
            <w:tcW w:w="618" w:type="dxa"/>
            <w:tcBorders>
              <w:top w:val="single" w:color="auto" w:sz="8" w:space="0"/>
              <w:left w:val="single" w:color="auto" w:sz="18" w:space="0"/>
              <w:bottom w:val="single" w:color="auto" w:sz="8" w:space="0"/>
              <w:right w:val="single" w:color="auto" w:sz="8" w:space="0"/>
            </w:tcBorders>
            <w:vAlign w:val="center"/>
          </w:tcPr>
          <w:p w14:paraId="797907B5">
            <w:pPr>
              <w:pStyle w:val="32"/>
              <w:keepNext w:val="0"/>
              <w:keepLines w:val="0"/>
              <w:pageBreakBefore w:val="0"/>
              <w:widowControl/>
              <w:suppressLineNumbers w:val="0"/>
              <w:suppressAutoHyphens w:val="0"/>
              <w:jc w:val="center"/>
              <w:rPr>
                <w:rFonts w:ascii="Times New Roman" w:hAnsi="Times New Roman"/>
                <w:kern w:val="2"/>
              </w:rPr>
            </w:pPr>
            <w:r>
              <w:rPr>
                <w:rFonts w:ascii="Times New Roman" w:hAnsi="Times New Roman"/>
                <w:kern w:val="2"/>
              </w:rPr>
              <w:t>1</w:t>
            </w:r>
          </w:p>
        </w:tc>
        <w:tc>
          <w:tcPr>
            <w:tcW w:w="2257" w:type="dxa"/>
            <w:tcBorders>
              <w:top w:val="single" w:color="auto" w:sz="8" w:space="0"/>
              <w:left w:val="single" w:color="auto" w:sz="8" w:space="0"/>
              <w:bottom w:val="single" w:color="auto" w:sz="8" w:space="0"/>
              <w:right w:val="single" w:color="auto" w:sz="8" w:space="0"/>
            </w:tcBorders>
            <w:vAlign w:val="center"/>
          </w:tcPr>
          <w:p w14:paraId="7E0B3EE7">
            <w:pPr>
              <w:pStyle w:val="32"/>
              <w:keepNext w:val="0"/>
              <w:keepLines w:val="0"/>
              <w:pageBreakBefore w:val="0"/>
              <w:widowControl/>
              <w:suppressLineNumbers w:val="0"/>
              <w:suppressAutoHyphens w:val="0"/>
              <w:ind w:left="38"/>
              <w:jc w:val="center"/>
              <w:rPr>
                <w:rFonts w:ascii="Times New Roman" w:hAnsi="Times New Roman" w:cs="宋体"/>
              </w:rPr>
            </w:pPr>
            <w:r>
              <w:rPr>
                <w:rFonts w:hint="eastAsia"/>
              </w:rPr>
              <w:t>确定邀请磋商的供应商数量和方式</w:t>
            </w:r>
          </w:p>
        </w:tc>
        <w:tc>
          <w:tcPr>
            <w:tcW w:w="5478" w:type="dxa"/>
            <w:tcBorders>
              <w:top w:val="single" w:color="auto" w:sz="8" w:space="0"/>
              <w:left w:val="single" w:color="auto" w:sz="8" w:space="0"/>
              <w:bottom w:val="single" w:color="auto" w:sz="8" w:space="0"/>
              <w:right w:val="single" w:color="auto" w:sz="18" w:space="0"/>
            </w:tcBorders>
            <w:vAlign w:val="center"/>
          </w:tcPr>
          <w:p w14:paraId="51282079">
            <w:pPr>
              <w:keepNext w:val="0"/>
              <w:keepLines w:val="0"/>
              <w:pageBreakBefore w:val="0"/>
              <w:widowControl/>
              <w:suppressLineNumbers w:val="0"/>
              <w:suppressAutoHyphens w:val="0"/>
              <w:ind w:firstLine="240" w:firstLineChars="100"/>
              <w:rPr>
                <w:sz w:val="24"/>
                <w:szCs w:val="24"/>
              </w:rPr>
            </w:pPr>
            <w:r>
              <w:rPr>
                <w:rFonts w:hint="eastAsia" w:ascii="宋体"/>
                <w:sz w:val="24"/>
                <w:szCs w:val="24"/>
              </w:rPr>
              <w:t>本次磋商邀请的供应商数量：</w:t>
            </w:r>
            <w:r>
              <w:rPr>
                <w:sz w:val="24"/>
                <w:szCs w:val="24"/>
              </w:rPr>
              <w:t>3</w:t>
            </w:r>
            <w:r>
              <w:rPr>
                <w:rFonts w:hint="eastAsia" w:ascii="宋体"/>
                <w:sz w:val="24"/>
                <w:szCs w:val="24"/>
              </w:rPr>
              <w:t>家及以上。</w:t>
            </w:r>
          </w:p>
          <w:p w14:paraId="6C36D658">
            <w:pPr>
              <w:keepNext w:val="0"/>
              <w:keepLines w:val="0"/>
              <w:pageBreakBefore w:val="0"/>
              <w:widowControl/>
              <w:suppressLineNumbers w:val="0"/>
              <w:suppressAutoHyphens w:val="0"/>
              <w:ind w:firstLine="240" w:firstLineChars="100"/>
              <w:rPr>
                <w:sz w:val="24"/>
                <w:szCs w:val="24"/>
              </w:rPr>
            </w:pPr>
            <w:r>
              <w:rPr>
                <w:rFonts w:hint="eastAsia" w:ascii="宋体"/>
                <w:sz w:val="24"/>
                <w:szCs w:val="24"/>
              </w:rPr>
              <w:t>本次采购采取在阿坝州自然资源局网上以公告形式邀请参加磋商的供应商。</w:t>
            </w:r>
          </w:p>
        </w:tc>
      </w:tr>
      <w:tr w14:paraId="5D8BDC16">
        <w:tblPrEx>
          <w:tblBorders>
            <w:top w:val="single" w:color="auto" w:sz="18" w:space="0"/>
            <w:left w:val="single" w:color="auto" w:sz="18" w:space="0"/>
            <w:bottom w:val="single" w:color="auto" w:sz="18" w:space="0"/>
            <w:right w:val="single" w:color="auto" w:sz="18" w:space="0"/>
            <w:insideH w:val="outset" w:color="auto" w:sz="6" w:space="0"/>
            <w:insideV w:val="outset" w:color="auto" w:sz="6" w:space="0"/>
          </w:tblBorders>
          <w:tblCellMar>
            <w:top w:w="0" w:type="dxa"/>
            <w:left w:w="0" w:type="dxa"/>
            <w:bottom w:w="0" w:type="dxa"/>
            <w:right w:w="0" w:type="dxa"/>
          </w:tblCellMar>
        </w:tblPrEx>
        <w:trPr>
          <w:jc w:val="center"/>
        </w:trPr>
        <w:tc>
          <w:tcPr>
            <w:tcW w:w="618" w:type="dxa"/>
            <w:tcBorders>
              <w:top w:val="single" w:color="auto" w:sz="8" w:space="0"/>
              <w:left w:val="single" w:color="auto" w:sz="18" w:space="0"/>
              <w:bottom w:val="single" w:color="auto" w:sz="8" w:space="0"/>
              <w:right w:val="single" w:color="auto" w:sz="8" w:space="0"/>
            </w:tcBorders>
            <w:vAlign w:val="center"/>
          </w:tcPr>
          <w:p w14:paraId="5D322D32">
            <w:pPr>
              <w:pStyle w:val="32"/>
              <w:keepNext w:val="0"/>
              <w:keepLines w:val="0"/>
              <w:pageBreakBefore w:val="0"/>
              <w:widowControl/>
              <w:suppressLineNumbers w:val="0"/>
              <w:suppressAutoHyphens w:val="0"/>
              <w:jc w:val="center"/>
              <w:rPr>
                <w:rFonts w:ascii="Times New Roman" w:hAnsi="Times New Roman"/>
                <w:kern w:val="2"/>
              </w:rPr>
            </w:pPr>
            <w:r>
              <w:rPr>
                <w:rFonts w:ascii="Times New Roman" w:hAnsi="Times New Roman"/>
                <w:kern w:val="2"/>
              </w:rPr>
              <w:t>2</w:t>
            </w:r>
          </w:p>
        </w:tc>
        <w:tc>
          <w:tcPr>
            <w:tcW w:w="2257" w:type="dxa"/>
            <w:tcBorders>
              <w:top w:val="single" w:color="auto" w:sz="8" w:space="0"/>
              <w:left w:val="single" w:color="auto" w:sz="8" w:space="0"/>
              <w:bottom w:val="single" w:color="auto" w:sz="8" w:space="0"/>
              <w:right w:val="single" w:color="auto" w:sz="8" w:space="0"/>
            </w:tcBorders>
            <w:vAlign w:val="center"/>
          </w:tcPr>
          <w:p w14:paraId="5C7A86C3">
            <w:pPr>
              <w:pStyle w:val="32"/>
              <w:keepNext w:val="0"/>
              <w:keepLines w:val="0"/>
              <w:pageBreakBefore w:val="0"/>
              <w:widowControl/>
              <w:suppressLineNumbers w:val="0"/>
              <w:suppressAutoHyphens w:val="0"/>
              <w:ind w:left="38"/>
              <w:jc w:val="center"/>
              <w:rPr>
                <w:rFonts w:ascii="Times New Roman" w:hAnsi="Times New Roman" w:cs="宋体"/>
              </w:rPr>
            </w:pPr>
            <w:r>
              <w:rPr>
                <w:rFonts w:hint="eastAsia"/>
              </w:rPr>
              <w:t>采购预算</w:t>
            </w:r>
          </w:p>
          <w:p w14:paraId="1D5152C7">
            <w:pPr>
              <w:pStyle w:val="32"/>
              <w:keepNext w:val="0"/>
              <w:keepLines w:val="0"/>
              <w:pageBreakBefore w:val="0"/>
              <w:widowControl/>
              <w:suppressLineNumbers w:val="0"/>
              <w:suppressAutoHyphens w:val="0"/>
              <w:ind w:left="38"/>
              <w:jc w:val="center"/>
              <w:rPr>
                <w:rFonts w:ascii="Times New Roman" w:hAnsi="Times New Roman" w:cs="宋体"/>
              </w:rPr>
            </w:pPr>
            <w:r>
              <w:rPr>
                <w:rFonts w:hint="eastAsia"/>
              </w:rPr>
              <w:t>（实质性要求）</w:t>
            </w:r>
          </w:p>
        </w:tc>
        <w:tc>
          <w:tcPr>
            <w:tcW w:w="5478" w:type="dxa"/>
            <w:tcBorders>
              <w:top w:val="single" w:color="auto" w:sz="8" w:space="0"/>
              <w:left w:val="single" w:color="auto" w:sz="8" w:space="0"/>
              <w:bottom w:val="single" w:color="auto" w:sz="8" w:space="0"/>
              <w:right w:val="single" w:color="auto" w:sz="18" w:space="0"/>
            </w:tcBorders>
            <w:vAlign w:val="center"/>
          </w:tcPr>
          <w:p w14:paraId="1CEA36E3">
            <w:pPr>
              <w:pStyle w:val="32"/>
              <w:keepNext w:val="0"/>
              <w:keepLines w:val="0"/>
              <w:pageBreakBefore w:val="0"/>
              <w:widowControl/>
              <w:suppressLineNumbers w:val="0"/>
              <w:suppressAutoHyphens w:val="0"/>
              <w:ind w:firstLine="240" w:firstLineChars="100"/>
              <w:jc w:val="both"/>
              <w:rPr>
                <w:rFonts w:ascii="Times New Roman" w:hAnsi="Times New Roman" w:cs="宋体"/>
              </w:rPr>
            </w:pPr>
            <w:r>
              <w:rPr>
                <w:rFonts w:hint="eastAsia"/>
              </w:rPr>
              <w:t>采购预算：￥</w:t>
            </w:r>
            <w:r>
              <w:rPr>
                <w:rFonts w:ascii="Times New Roman" w:hAnsi="Times New Roman"/>
              </w:rPr>
              <w:t>2</w:t>
            </w:r>
            <w:r>
              <w:rPr>
                <w:rFonts w:hint="eastAsia" w:ascii="Times New Roman" w:hAnsi="Times New Roman" w:cs="宋体"/>
              </w:rPr>
              <w:t>5</w:t>
            </w:r>
            <w:r>
              <w:rPr>
                <w:rFonts w:ascii="Times New Roman" w:hAnsi="Times New Roman"/>
              </w:rPr>
              <w:t>0000.00</w:t>
            </w:r>
            <w:r>
              <w:rPr>
                <w:rFonts w:hint="eastAsia"/>
              </w:rPr>
              <w:t>元。</w:t>
            </w:r>
          </w:p>
          <w:p w14:paraId="45E285AF">
            <w:pPr>
              <w:pStyle w:val="32"/>
              <w:keepNext w:val="0"/>
              <w:keepLines w:val="0"/>
              <w:pageBreakBefore w:val="0"/>
              <w:widowControl/>
              <w:suppressLineNumbers w:val="0"/>
              <w:suppressAutoHyphens w:val="0"/>
              <w:ind w:firstLine="240" w:firstLineChars="100"/>
              <w:jc w:val="both"/>
              <w:rPr>
                <w:rFonts w:ascii="Times New Roman" w:hAnsi="Times New Roman" w:cs="宋体"/>
              </w:rPr>
            </w:pPr>
            <w:r>
              <w:rPr>
                <w:rFonts w:hint="eastAsia"/>
              </w:rPr>
              <w:t>超过采购预算的报价无效。</w:t>
            </w:r>
          </w:p>
        </w:tc>
      </w:tr>
      <w:tr w14:paraId="7CBC7405">
        <w:tblPrEx>
          <w:tblBorders>
            <w:top w:val="single" w:color="auto" w:sz="18" w:space="0"/>
            <w:left w:val="single" w:color="auto" w:sz="18" w:space="0"/>
            <w:bottom w:val="single" w:color="auto" w:sz="18" w:space="0"/>
            <w:right w:val="single" w:color="auto" w:sz="18" w:space="0"/>
            <w:insideH w:val="outset" w:color="auto" w:sz="6" w:space="0"/>
            <w:insideV w:val="outset" w:color="auto" w:sz="6" w:space="0"/>
          </w:tblBorders>
          <w:tblCellMar>
            <w:top w:w="0" w:type="dxa"/>
            <w:left w:w="0" w:type="dxa"/>
            <w:bottom w:w="0" w:type="dxa"/>
            <w:right w:w="0" w:type="dxa"/>
          </w:tblCellMar>
        </w:tblPrEx>
        <w:trPr>
          <w:jc w:val="center"/>
        </w:trPr>
        <w:tc>
          <w:tcPr>
            <w:tcW w:w="618" w:type="dxa"/>
            <w:tcBorders>
              <w:top w:val="single" w:color="auto" w:sz="8" w:space="0"/>
              <w:left w:val="single" w:color="auto" w:sz="18" w:space="0"/>
              <w:bottom w:val="single" w:color="auto" w:sz="8" w:space="0"/>
              <w:right w:val="single" w:color="auto" w:sz="8" w:space="0"/>
            </w:tcBorders>
            <w:vAlign w:val="center"/>
          </w:tcPr>
          <w:p w14:paraId="38C2D313">
            <w:pPr>
              <w:pStyle w:val="32"/>
              <w:keepNext w:val="0"/>
              <w:keepLines w:val="0"/>
              <w:pageBreakBefore w:val="0"/>
              <w:widowControl/>
              <w:suppressLineNumbers w:val="0"/>
              <w:suppressAutoHyphens w:val="0"/>
              <w:jc w:val="center"/>
              <w:rPr>
                <w:rFonts w:ascii="Times New Roman" w:hAnsi="Times New Roman"/>
                <w:kern w:val="2"/>
              </w:rPr>
            </w:pPr>
            <w:r>
              <w:rPr>
                <w:rFonts w:ascii="Times New Roman" w:hAnsi="Times New Roman"/>
                <w:kern w:val="2"/>
              </w:rPr>
              <w:t>3</w:t>
            </w:r>
          </w:p>
        </w:tc>
        <w:tc>
          <w:tcPr>
            <w:tcW w:w="2257" w:type="dxa"/>
            <w:tcBorders>
              <w:top w:val="single" w:color="auto" w:sz="8" w:space="0"/>
              <w:left w:val="single" w:color="auto" w:sz="8" w:space="0"/>
              <w:bottom w:val="single" w:color="auto" w:sz="8" w:space="0"/>
              <w:right w:val="single" w:color="auto" w:sz="8" w:space="0"/>
            </w:tcBorders>
            <w:vAlign w:val="center"/>
          </w:tcPr>
          <w:p w14:paraId="7F716DC1">
            <w:pPr>
              <w:pStyle w:val="32"/>
              <w:keepNext w:val="0"/>
              <w:keepLines w:val="0"/>
              <w:pageBreakBefore w:val="0"/>
              <w:widowControl/>
              <w:suppressLineNumbers w:val="0"/>
              <w:suppressAutoHyphens w:val="0"/>
              <w:ind w:left="38"/>
              <w:jc w:val="center"/>
              <w:rPr>
                <w:rFonts w:ascii="Times New Roman" w:hAnsi="Times New Roman" w:cs="宋体"/>
              </w:rPr>
            </w:pPr>
            <w:r>
              <w:rPr>
                <w:rFonts w:hint="eastAsia"/>
              </w:rPr>
              <w:t>最高限价</w:t>
            </w:r>
          </w:p>
          <w:p w14:paraId="16BFECAA">
            <w:pPr>
              <w:pStyle w:val="32"/>
              <w:keepNext w:val="0"/>
              <w:keepLines w:val="0"/>
              <w:pageBreakBefore w:val="0"/>
              <w:widowControl/>
              <w:suppressLineNumbers w:val="0"/>
              <w:suppressAutoHyphens w:val="0"/>
              <w:ind w:left="38"/>
              <w:jc w:val="center"/>
              <w:rPr>
                <w:rFonts w:ascii="Times New Roman" w:hAnsi="Times New Roman" w:cs="宋体"/>
              </w:rPr>
            </w:pPr>
            <w:r>
              <w:rPr>
                <w:rFonts w:hint="eastAsia"/>
              </w:rPr>
              <w:t>（实质性要求）</w:t>
            </w:r>
          </w:p>
        </w:tc>
        <w:tc>
          <w:tcPr>
            <w:tcW w:w="5478" w:type="dxa"/>
            <w:tcBorders>
              <w:top w:val="single" w:color="auto" w:sz="8" w:space="0"/>
              <w:left w:val="single" w:color="auto" w:sz="8" w:space="0"/>
              <w:bottom w:val="single" w:color="auto" w:sz="8" w:space="0"/>
              <w:right w:val="single" w:color="auto" w:sz="18" w:space="0"/>
            </w:tcBorders>
            <w:vAlign w:val="center"/>
          </w:tcPr>
          <w:p w14:paraId="33210640">
            <w:pPr>
              <w:keepNext w:val="0"/>
              <w:keepLines w:val="0"/>
              <w:pageBreakBefore w:val="0"/>
              <w:widowControl/>
              <w:suppressLineNumbers w:val="0"/>
              <w:suppressAutoHyphens w:val="0"/>
              <w:ind w:firstLine="240" w:firstLineChars="100"/>
              <w:jc w:val="left"/>
              <w:rPr>
                <w:sz w:val="24"/>
                <w:szCs w:val="24"/>
              </w:rPr>
            </w:pPr>
            <w:r>
              <w:rPr>
                <w:rFonts w:hint="eastAsia" w:ascii="宋体"/>
                <w:sz w:val="24"/>
                <w:szCs w:val="24"/>
              </w:rPr>
              <w:t>最高限价：￥</w:t>
            </w:r>
            <w:r>
              <w:rPr>
                <w:sz w:val="24"/>
                <w:szCs w:val="24"/>
              </w:rPr>
              <w:t>2</w:t>
            </w:r>
            <w:r>
              <w:rPr>
                <w:rFonts w:hint="eastAsia"/>
                <w:sz w:val="24"/>
                <w:szCs w:val="24"/>
              </w:rPr>
              <w:t>5</w:t>
            </w:r>
            <w:r>
              <w:rPr>
                <w:sz w:val="24"/>
                <w:szCs w:val="24"/>
              </w:rPr>
              <w:t>0000.00</w:t>
            </w:r>
            <w:r>
              <w:rPr>
                <w:rFonts w:hint="eastAsia" w:ascii="宋体"/>
                <w:sz w:val="24"/>
                <w:szCs w:val="24"/>
              </w:rPr>
              <w:t>元</w:t>
            </w:r>
          </w:p>
          <w:p w14:paraId="28ACF563">
            <w:pPr>
              <w:pStyle w:val="32"/>
              <w:keepNext w:val="0"/>
              <w:keepLines w:val="0"/>
              <w:pageBreakBefore w:val="0"/>
              <w:widowControl/>
              <w:suppressLineNumbers w:val="0"/>
              <w:suppressAutoHyphens w:val="0"/>
              <w:ind w:firstLine="240" w:firstLineChars="100"/>
              <w:jc w:val="both"/>
              <w:rPr>
                <w:rFonts w:ascii="Times New Roman" w:hAnsi="Times New Roman" w:cs="宋体"/>
              </w:rPr>
            </w:pPr>
            <w:r>
              <w:rPr>
                <w:rFonts w:hint="eastAsia"/>
              </w:rPr>
              <w:t>超过最高限价的报价无效。</w:t>
            </w:r>
          </w:p>
        </w:tc>
      </w:tr>
      <w:tr w14:paraId="65500C80">
        <w:tblPrEx>
          <w:tblBorders>
            <w:top w:val="single" w:color="auto" w:sz="18" w:space="0"/>
            <w:left w:val="single" w:color="auto" w:sz="18" w:space="0"/>
            <w:bottom w:val="single" w:color="auto" w:sz="18" w:space="0"/>
            <w:right w:val="single" w:color="auto" w:sz="18" w:space="0"/>
            <w:insideH w:val="outset" w:color="auto" w:sz="6" w:space="0"/>
            <w:insideV w:val="outset" w:color="auto" w:sz="6" w:space="0"/>
          </w:tblBorders>
          <w:tblCellMar>
            <w:top w:w="0" w:type="dxa"/>
            <w:left w:w="0" w:type="dxa"/>
            <w:bottom w:w="0" w:type="dxa"/>
            <w:right w:w="0" w:type="dxa"/>
          </w:tblCellMar>
        </w:tblPrEx>
        <w:trPr>
          <w:jc w:val="center"/>
        </w:trPr>
        <w:tc>
          <w:tcPr>
            <w:tcW w:w="618" w:type="dxa"/>
            <w:tcBorders>
              <w:top w:val="single" w:color="auto" w:sz="8" w:space="0"/>
              <w:left w:val="single" w:color="auto" w:sz="18" w:space="0"/>
              <w:bottom w:val="single" w:color="auto" w:sz="8" w:space="0"/>
              <w:right w:val="single" w:color="auto" w:sz="8" w:space="0"/>
            </w:tcBorders>
            <w:vAlign w:val="center"/>
          </w:tcPr>
          <w:p w14:paraId="3291914C">
            <w:pPr>
              <w:pStyle w:val="32"/>
              <w:keepNext w:val="0"/>
              <w:keepLines w:val="0"/>
              <w:pageBreakBefore w:val="0"/>
              <w:widowControl/>
              <w:suppressLineNumbers w:val="0"/>
              <w:suppressAutoHyphens w:val="0"/>
              <w:jc w:val="center"/>
              <w:rPr>
                <w:rFonts w:ascii="Times New Roman" w:hAnsi="Times New Roman"/>
                <w:kern w:val="2"/>
              </w:rPr>
            </w:pPr>
            <w:r>
              <w:rPr>
                <w:rFonts w:ascii="Times New Roman" w:hAnsi="Times New Roman"/>
                <w:kern w:val="2"/>
              </w:rPr>
              <w:t>4</w:t>
            </w:r>
          </w:p>
        </w:tc>
        <w:tc>
          <w:tcPr>
            <w:tcW w:w="2257" w:type="dxa"/>
            <w:tcBorders>
              <w:top w:val="single" w:color="auto" w:sz="8" w:space="0"/>
              <w:left w:val="single" w:color="auto" w:sz="8" w:space="0"/>
              <w:bottom w:val="single" w:color="auto" w:sz="8" w:space="0"/>
              <w:right w:val="single" w:color="auto" w:sz="8" w:space="0"/>
            </w:tcBorders>
            <w:vAlign w:val="center"/>
          </w:tcPr>
          <w:p w14:paraId="1DBDBD84">
            <w:pPr>
              <w:pStyle w:val="32"/>
              <w:keepNext w:val="0"/>
              <w:keepLines w:val="0"/>
              <w:pageBreakBefore w:val="0"/>
              <w:widowControl/>
              <w:suppressLineNumbers w:val="0"/>
              <w:suppressAutoHyphens w:val="0"/>
              <w:ind w:left="38"/>
              <w:jc w:val="center"/>
              <w:rPr>
                <w:rFonts w:ascii="Times New Roman" w:hAnsi="Times New Roman" w:cs="宋体"/>
              </w:rPr>
            </w:pPr>
            <w:r>
              <w:rPr>
                <w:rFonts w:hint="eastAsia"/>
              </w:rPr>
              <w:t>本国服务</w:t>
            </w:r>
          </w:p>
          <w:p w14:paraId="75BCF802">
            <w:pPr>
              <w:pStyle w:val="32"/>
              <w:keepNext w:val="0"/>
              <w:keepLines w:val="0"/>
              <w:pageBreakBefore w:val="0"/>
              <w:widowControl/>
              <w:suppressLineNumbers w:val="0"/>
              <w:suppressAutoHyphens w:val="0"/>
              <w:ind w:left="38"/>
              <w:jc w:val="center"/>
              <w:rPr>
                <w:rFonts w:ascii="Times New Roman" w:hAnsi="Times New Roman" w:cs="宋体"/>
              </w:rPr>
            </w:pPr>
            <w:r>
              <w:rPr>
                <w:rFonts w:hint="eastAsia"/>
              </w:rPr>
              <w:t>（实质性要求）</w:t>
            </w:r>
          </w:p>
        </w:tc>
        <w:tc>
          <w:tcPr>
            <w:tcW w:w="5478" w:type="dxa"/>
            <w:tcBorders>
              <w:top w:val="single" w:color="auto" w:sz="8" w:space="0"/>
              <w:left w:val="single" w:color="auto" w:sz="8" w:space="0"/>
              <w:bottom w:val="single" w:color="auto" w:sz="8" w:space="0"/>
              <w:right w:val="single" w:color="auto" w:sz="18" w:space="0"/>
            </w:tcBorders>
            <w:vAlign w:val="center"/>
          </w:tcPr>
          <w:p w14:paraId="14F7C20F">
            <w:pPr>
              <w:pStyle w:val="32"/>
              <w:keepNext w:val="0"/>
              <w:keepLines w:val="0"/>
              <w:pageBreakBefore w:val="0"/>
              <w:widowControl/>
              <w:suppressLineNumbers w:val="0"/>
              <w:suppressAutoHyphens w:val="0"/>
              <w:ind w:firstLine="240" w:firstLineChars="100"/>
              <w:jc w:val="both"/>
              <w:rPr>
                <w:rFonts w:ascii="Times New Roman" w:hAnsi="Times New Roman" w:cs="宋体"/>
              </w:rPr>
            </w:pPr>
            <w:r>
              <w:rPr>
                <w:rFonts w:hint="eastAsia"/>
              </w:rPr>
              <w:t>根据《中华人民共和国政府采购法》第十条的规定，本项目采购本国服务。</w:t>
            </w:r>
          </w:p>
        </w:tc>
      </w:tr>
      <w:tr w14:paraId="738FA042">
        <w:tblPrEx>
          <w:tblBorders>
            <w:top w:val="single" w:color="auto" w:sz="18" w:space="0"/>
            <w:left w:val="single" w:color="auto" w:sz="18" w:space="0"/>
            <w:bottom w:val="single" w:color="auto" w:sz="18" w:space="0"/>
            <w:right w:val="single" w:color="auto" w:sz="18" w:space="0"/>
            <w:insideH w:val="outset" w:color="auto" w:sz="6" w:space="0"/>
            <w:insideV w:val="outset" w:color="auto" w:sz="6" w:space="0"/>
          </w:tblBorders>
          <w:tblCellMar>
            <w:top w:w="0" w:type="dxa"/>
            <w:left w:w="0" w:type="dxa"/>
            <w:bottom w:w="0" w:type="dxa"/>
            <w:right w:w="0" w:type="dxa"/>
          </w:tblCellMar>
        </w:tblPrEx>
        <w:trPr>
          <w:jc w:val="center"/>
        </w:trPr>
        <w:tc>
          <w:tcPr>
            <w:tcW w:w="618" w:type="dxa"/>
            <w:tcBorders>
              <w:top w:val="single" w:color="auto" w:sz="8" w:space="0"/>
              <w:left w:val="single" w:color="auto" w:sz="18" w:space="0"/>
              <w:bottom w:val="single" w:color="auto" w:sz="8" w:space="0"/>
              <w:right w:val="single" w:color="auto" w:sz="8" w:space="0"/>
            </w:tcBorders>
            <w:vAlign w:val="center"/>
          </w:tcPr>
          <w:p w14:paraId="613DF2BF">
            <w:pPr>
              <w:pStyle w:val="32"/>
              <w:keepNext w:val="0"/>
              <w:keepLines w:val="0"/>
              <w:pageBreakBefore w:val="0"/>
              <w:widowControl/>
              <w:suppressLineNumbers w:val="0"/>
              <w:suppressAutoHyphens w:val="0"/>
              <w:spacing w:line="440" w:lineRule="exact"/>
              <w:jc w:val="center"/>
              <w:rPr>
                <w:rFonts w:ascii="Times New Roman" w:hAnsi="Times New Roman"/>
                <w:kern w:val="2"/>
              </w:rPr>
            </w:pPr>
            <w:r>
              <w:rPr>
                <w:rFonts w:ascii="Times New Roman" w:hAnsi="Times New Roman"/>
                <w:kern w:val="2"/>
              </w:rPr>
              <w:t>5</w:t>
            </w:r>
          </w:p>
        </w:tc>
        <w:tc>
          <w:tcPr>
            <w:tcW w:w="2257" w:type="dxa"/>
            <w:tcBorders>
              <w:top w:val="single" w:color="auto" w:sz="8" w:space="0"/>
              <w:left w:val="single" w:color="auto" w:sz="8" w:space="0"/>
              <w:bottom w:val="single" w:color="auto" w:sz="8" w:space="0"/>
              <w:right w:val="single" w:color="auto" w:sz="8" w:space="0"/>
            </w:tcBorders>
            <w:vAlign w:val="center"/>
          </w:tcPr>
          <w:p w14:paraId="36C9F730">
            <w:pPr>
              <w:pStyle w:val="32"/>
              <w:keepNext w:val="0"/>
              <w:keepLines w:val="0"/>
              <w:pageBreakBefore w:val="0"/>
              <w:widowControl/>
              <w:suppressLineNumbers w:val="0"/>
              <w:suppressAutoHyphens w:val="0"/>
              <w:spacing w:line="440" w:lineRule="exact"/>
              <w:ind w:left="38"/>
              <w:jc w:val="center"/>
              <w:rPr>
                <w:rFonts w:ascii="Times New Roman" w:hAnsi="Times New Roman" w:cs="宋体"/>
              </w:rPr>
            </w:pPr>
            <w:r>
              <w:rPr>
                <w:rFonts w:hint="eastAsia"/>
              </w:rPr>
              <w:t>低于成本价</w:t>
            </w:r>
          </w:p>
          <w:p w14:paraId="59AC909B">
            <w:pPr>
              <w:pStyle w:val="32"/>
              <w:keepNext w:val="0"/>
              <w:keepLines w:val="0"/>
              <w:pageBreakBefore w:val="0"/>
              <w:widowControl/>
              <w:suppressLineNumbers w:val="0"/>
              <w:suppressAutoHyphens w:val="0"/>
              <w:spacing w:line="440" w:lineRule="exact"/>
              <w:ind w:left="38"/>
              <w:jc w:val="center"/>
              <w:rPr>
                <w:rFonts w:ascii="Times New Roman" w:hAnsi="Times New Roman" w:cs="宋体"/>
              </w:rPr>
            </w:pPr>
            <w:r>
              <w:rPr>
                <w:rFonts w:hint="eastAsia"/>
              </w:rPr>
              <w:t>不正当竞争预防措施</w:t>
            </w:r>
          </w:p>
          <w:p w14:paraId="4165ECE8">
            <w:pPr>
              <w:pStyle w:val="32"/>
              <w:keepNext w:val="0"/>
              <w:keepLines w:val="0"/>
              <w:pageBreakBefore w:val="0"/>
              <w:widowControl/>
              <w:suppressLineNumbers w:val="0"/>
              <w:suppressAutoHyphens w:val="0"/>
              <w:spacing w:line="440" w:lineRule="exact"/>
              <w:ind w:left="38"/>
              <w:jc w:val="center"/>
              <w:rPr>
                <w:rFonts w:ascii="Times New Roman" w:hAnsi="Times New Roman" w:cs="宋体"/>
                <w:b/>
                <w:bCs/>
              </w:rPr>
            </w:pPr>
            <w:r>
              <w:rPr>
                <w:rFonts w:hint="eastAsia"/>
              </w:rPr>
              <w:t>（实质性要求）</w:t>
            </w:r>
          </w:p>
        </w:tc>
        <w:tc>
          <w:tcPr>
            <w:tcW w:w="5478" w:type="dxa"/>
            <w:tcBorders>
              <w:top w:val="single" w:color="auto" w:sz="8" w:space="0"/>
              <w:left w:val="single" w:color="auto" w:sz="8" w:space="0"/>
              <w:bottom w:val="single" w:color="auto" w:sz="8" w:space="0"/>
              <w:right w:val="single" w:color="auto" w:sz="18" w:space="0"/>
            </w:tcBorders>
            <w:vAlign w:val="center"/>
          </w:tcPr>
          <w:p w14:paraId="5E6B96EB">
            <w:pPr>
              <w:keepNext w:val="0"/>
              <w:keepLines w:val="0"/>
              <w:pageBreakBefore w:val="0"/>
              <w:widowControl/>
              <w:suppressLineNumbers w:val="0"/>
              <w:suppressAutoHyphens w:val="0"/>
              <w:spacing w:line="400" w:lineRule="exact"/>
              <w:ind w:left="105" w:leftChars="50" w:right="105" w:rightChars="50" w:firstLine="240" w:firstLineChars="100"/>
              <w:rPr>
                <w:rFonts w:cs="宋体"/>
                <w:kern w:val="0"/>
                <w:sz w:val="24"/>
                <w:szCs w:val="24"/>
              </w:rPr>
            </w:pPr>
            <w:r>
              <w:rPr>
                <w:kern w:val="0"/>
                <w:sz w:val="24"/>
                <w:szCs w:val="24"/>
              </w:rPr>
              <w:t>1.</w:t>
            </w:r>
            <w:r>
              <w:rPr>
                <w:rFonts w:hint="eastAsia" w:ascii="宋体"/>
                <w:kern w:val="0"/>
                <w:sz w:val="24"/>
                <w:szCs w:val="24"/>
              </w:rPr>
              <w:t>在磋商过程中，磋商小组认为竞磋人的最后报价明显低于其他供应商的最后报价，有可能影响产品质量或者不能诚信履约的，磋商小组应当要求其在磋商现场合理的时间内提供书面说明，并提交相关证明材料，供应商不能证明其报价合理性的，磋商小组应当将其作为无效处理。</w:t>
            </w:r>
          </w:p>
          <w:p w14:paraId="388A0D4B">
            <w:pPr>
              <w:keepNext w:val="0"/>
              <w:keepLines w:val="0"/>
              <w:pageBreakBefore w:val="0"/>
              <w:widowControl/>
              <w:suppressLineNumbers w:val="0"/>
              <w:suppressAutoHyphens w:val="0"/>
              <w:spacing w:line="400" w:lineRule="exact"/>
              <w:ind w:left="105" w:leftChars="50" w:right="105" w:rightChars="50" w:firstLine="240" w:firstLineChars="100"/>
              <w:rPr>
                <w:rFonts w:cs="宋体"/>
                <w:kern w:val="0"/>
                <w:sz w:val="24"/>
                <w:szCs w:val="24"/>
              </w:rPr>
            </w:pPr>
            <w:r>
              <w:rPr>
                <w:rFonts w:hint="eastAsia" w:ascii="宋体"/>
                <w:kern w:val="0"/>
                <w:sz w:val="24"/>
                <w:szCs w:val="24"/>
              </w:rPr>
              <w:t>供应商的书面说明材料应当按照国家财务会计制度的规定要求，逐项就供应商提供的货物、工程和服务的主营业务成本、税金及附加、销售费用、管理费用、财务费用等成本构成事项详细陈述）。</w:t>
            </w:r>
          </w:p>
          <w:p w14:paraId="116BF0A2">
            <w:pPr>
              <w:keepNext w:val="0"/>
              <w:keepLines w:val="0"/>
              <w:pageBreakBefore w:val="0"/>
              <w:widowControl/>
              <w:suppressLineNumbers w:val="0"/>
              <w:suppressAutoHyphens w:val="0"/>
              <w:spacing w:line="400" w:lineRule="exact"/>
              <w:ind w:left="105" w:leftChars="50" w:right="105" w:rightChars="50" w:firstLine="240" w:firstLineChars="100"/>
              <w:rPr>
                <w:rFonts w:cs="宋体"/>
                <w:sz w:val="24"/>
                <w:szCs w:val="24"/>
              </w:rPr>
            </w:pPr>
            <w:r>
              <w:rPr>
                <w:sz w:val="24"/>
                <w:szCs w:val="24"/>
              </w:rPr>
              <w:t>2.</w:t>
            </w:r>
            <w:r>
              <w:rPr>
                <w:rFonts w:hint="eastAsia" w:ascii="宋体"/>
                <w:sz w:val="24"/>
                <w:szCs w:val="24"/>
              </w:rPr>
              <w:t>供应商书面说明应当签字确认或者加盖公章，否则无效。书面说明应由其法定代表人</w:t>
            </w:r>
            <w:r>
              <w:rPr>
                <w:sz w:val="24"/>
                <w:szCs w:val="24"/>
              </w:rPr>
              <w:t>/</w:t>
            </w:r>
            <w:r>
              <w:rPr>
                <w:rFonts w:hint="eastAsia" w:ascii="宋体"/>
                <w:sz w:val="24"/>
                <w:szCs w:val="24"/>
              </w:rPr>
              <w:t>主要负责人或者其授权代表签字确认。</w:t>
            </w:r>
          </w:p>
          <w:p w14:paraId="70A0497D">
            <w:pPr>
              <w:keepNext w:val="0"/>
              <w:keepLines w:val="0"/>
              <w:pageBreakBefore w:val="0"/>
              <w:widowControl/>
              <w:suppressLineNumbers w:val="0"/>
              <w:suppressAutoHyphens w:val="0"/>
              <w:spacing w:line="400" w:lineRule="exact"/>
              <w:ind w:left="105" w:leftChars="50" w:right="105" w:rightChars="50" w:firstLine="240" w:firstLineChars="100"/>
              <w:rPr>
                <w:rFonts w:hint="eastAsia"/>
              </w:rPr>
            </w:pPr>
            <w:r>
              <w:rPr>
                <w:sz w:val="24"/>
                <w:szCs w:val="24"/>
              </w:rPr>
              <w:t>3.</w:t>
            </w:r>
            <w:r>
              <w:rPr>
                <w:rFonts w:hint="eastAsia" w:ascii="宋体"/>
                <w:sz w:val="24"/>
                <w:szCs w:val="24"/>
              </w:rPr>
              <w:t>供应商提供书面说明后，磋商小组应当结合采购项目采购需求、专业实际情况、供应商财务状况报告、与其他供应商比较情况等就供应商书面说明进行审查评价。供应商拒绝或者变相拒绝提供有效书面说明或者书面说明不能证明其报价合理性的或未在规定时间内递交有效书面说明书的，磋商小组应当将其响应文件作为无效处理。</w:t>
            </w:r>
          </w:p>
        </w:tc>
      </w:tr>
      <w:tr w14:paraId="03187C71">
        <w:tblPrEx>
          <w:tblBorders>
            <w:top w:val="single" w:color="auto" w:sz="18" w:space="0"/>
            <w:left w:val="single" w:color="auto" w:sz="18" w:space="0"/>
            <w:bottom w:val="single" w:color="auto" w:sz="18" w:space="0"/>
            <w:right w:val="single" w:color="auto" w:sz="18" w:space="0"/>
            <w:insideH w:val="outset" w:color="auto" w:sz="6" w:space="0"/>
            <w:insideV w:val="outset" w:color="auto" w:sz="6" w:space="0"/>
          </w:tblBorders>
          <w:tblCellMar>
            <w:top w:w="0" w:type="dxa"/>
            <w:left w:w="0" w:type="dxa"/>
            <w:bottom w:w="0" w:type="dxa"/>
            <w:right w:w="0" w:type="dxa"/>
          </w:tblCellMar>
        </w:tblPrEx>
        <w:trPr>
          <w:jc w:val="center"/>
        </w:trPr>
        <w:tc>
          <w:tcPr>
            <w:tcW w:w="618" w:type="dxa"/>
            <w:tcBorders>
              <w:top w:val="single" w:color="auto" w:sz="8" w:space="0"/>
              <w:left w:val="single" w:color="auto" w:sz="18" w:space="0"/>
              <w:bottom w:val="single" w:color="auto" w:sz="8" w:space="0"/>
              <w:right w:val="single" w:color="auto" w:sz="8" w:space="0"/>
            </w:tcBorders>
            <w:vAlign w:val="center"/>
          </w:tcPr>
          <w:p w14:paraId="321F3A6F">
            <w:pPr>
              <w:pStyle w:val="32"/>
              <w:keepNext w:val="0"/>
              <w:keepLines w:val="0"/>
              <w:pageBreakBefore w:val="0"/>
              <w:widowControl/>
              <w:suppressLineNumbers w:val="0"/>
              <w:suppressAutoHyphens w:val="0"/>
              <w:spacing w:line="440" w:lineRule="exact"/>
              <w:jc w:val="center"/>
              <w:rPr>
                <w:rFonts w:ascii="Times New Roman" w:hAnsi="Times New Roman"/>
                <w:kern w:val="2"/>
              </w:rPr>
            </w:pPr>
            <w:r>
              <w:rPr>
                <w:rFonts w:ascii="Times New Roman" w:hAnsi="Times New Roman"/>
                <w:kern w:val="2"/>
              </w:rPr>
              <w:t>6</w:t>
            </w:r>
          </w:p>
        </w:tc>
        <w:tc>
          <w:tcPr>
            <w:tcW w:w="2257" w:type="dxa"/>
            <w:tcBorders>
              <w:top w:val="single" w:color="auto" w:sz="8" w:space="0"/>
              <w:left w:val="single" w:color="auto" w:sz="8" w:space="0"/>
              <w:bottom w:val="single" w:color="auto" w:sz="8" w:space="0"/>
              <w:right w:val="single" w:color="auto" w:sz="8" w:space="0"/>
            </w:tcBorders>
            <w:vAlign w:val="center"/>
          </w:tcPr>
          <w:p w14:paraId="78155053">
            <w:pPr>
              <w:pStyle w:val="32"/>
              <w:keepNext w:val="0"/>
              <w:keepLines w:val="0"/>
              <w:pageBreakBefore w:val="0"/>
              <w:widowControl/>
              <w:suppressLineNumbers w:val="0"/>
              <w:suppressAutoHyphens w:val="0"/>
              <w:spacing w:line="440" w:lineRule="exact"/>
              <w:jc w:val="center"/>
              <w:rPr>
                <w:rFonts w:ascii="Times New Roman" w:hAnsi="Times New Roman" w:cs="宋体"/>
              </w:rPr>
            </w:pPr>
            <w:r>
              <w:rPr>
                <w:rFonts w:hint="eastAsia"/>
                <w:kern w:val="2"/>
              </w:rPr>
              <w:t>小微企业（残疾人福利企业、监狱企业视同小微企业）、失信企业报价加成或者扣分（实质性要求）</w:t>
            </w:r>
          </w:p>
        </w:tc>
        <w:tc>
          <w:tcPr>
            <w:tcW w:w="5478" w:type="dxa"/>
            <w:tcBorders>
              <w:top w:val="single" w:color="auto" w:sz="8" w:space="0"/>
              <w:left w:val="single" w:color="auto" w:sz="8" w:space="0"/>
              <w:bottom w:val="single" w:color="auto" w:sz="8" w:space="0"/>
              <w:right w:val="single" w:color="auto" w:sz="18" w:space="0"/>
            </w:tcBorders>
            <w:vAlign w:val="center"/>
          </w:tcPr>
          <w:p w14:paraId="3EA509D8">
            <w:pPr>
              <w:keepNext w:val="0"/>
              <w:keepLines w:val="0"/>
              <w:pageBreakBefore w:val="0"/>
              <w:widowControl/>
              <w:suppressLineNumbers w:val="0"/>
              <w:suppressAutoHyphens w:val="0"/>
              <w:spacing w:before="156" w:beforeLines="50" w:line="420" w:lineRule="exact"/>
              <w:ind w:firstLine="241" w:firstLineChars="100"/>
              <w:rPr>
                <w:b/>
                <w:kern w:val="0"/>
                <w:sz w:val="24"/>
                <w:szCs w:val="24"/>
              </w:rPr>
            </w:pPr>
            <w:r>
              <w:rPr>
                <w:rFonts w:hint="eastAsia" w:ascii="宋体"/>
                <w:b/>
                <w:kern w:val="0"/>
                <w:sz w:val="24"/>
                <w:szCs w:val="24"/>
              </w:rPr>
              <w:t>一、小微企业（监狱企业、残疾人福利性单位视同小微企业）价格扣除</w:t>
            </w:r>
          </w:p>
          <w:p w14:paraId="03C64072">
            <w:pPr>
              <w:keepNext w:val="0"/>
              <w:keepLines w:val="0"/>
              <w:pageBreakBefore w:val="0"/>
              <w:widowControl/>
              <w:suppressLineNumbers w:val="0"/>
              <w:suppressAutoHyphens w:val="0"/>
              <w:spacing w:line="420" w:lineRule="exact"/>
              <w:ind w:firstLine="240" w:firstLineChars="100"/>
              <w:rPr>
                <w:kern w:val="0"/>
                <w:sz w:val="24"/>
                <w:szCs w:val="24"/>
              </w:rPr>
            </w:pPr>
            <w:r>
              <w:rPr>
                <w:kern w:val="0"/>
                <w:sz w:val="24"/>
                <w:szCs w:val="24"/>
              </w:rPr>
              <w:t>1.</w:t>
            </w:r>
            <w:r>
              <w:rPr>
                <w:rFonts w:hint="eastAsia" w:ascii="宋体"/>
                <w:kern w:val="0"/>
                <w:sz w:val="24"/>
                <w:szCs w:val="24"/>
              </w:rPr>
              <w:t>根据财政部、工业和信息化部《政府采购促进中小企业发展管理办法》（财库〔</w:t>
            </w:r>
            <w:r>
              <w:rPr>
                <w:kern w:val="0"/>
                <w:sz w:val="24"/>
                <w:szCs w:val="24"/>
              </w:rPr>
              <w:t>2020</w:t>
            </w:r>
            <w:r>
              <w:rPr>
                <w:rFonts w:hint="eastAsia" w:ascii="宋体"/>
                <w:kern w:val="0"/>
                <w:sz w:val="24"/>
                <w:szCs w:val="24"/>
              </w:rPr>
              <w:t>〕</w:t>
            </w:r>
            <w:r>
              <w:rPr>
                <w:kern w:val="0"/>
                <w:sz w:val="24"/>
                <w:szCs w:val="24"/>
              </w:rPr>
              <w:t>46</w:t>
            </w:r>
            <w:r>
              <w:rPr>
                <w:rFonts w:hint="eastAsia" w:ascii="宋体"/>
                <w:kern w:val="0"/>
                <w:sz w:val="24"/>
                <w:szCs w:val="24"/>
              </w:rPr>
              <w:t>号）的规定，对符合规定的小微企业报价给予</w:t>
            </w:r>
            <w:r>
              <w:rPr>
                <w:kern w:val="0"/>
                <w:sz w:val="24"/>
                <w:szCs w:val="24"/>
              </w:rPr>
              <w:t>10%</w:t>
            </w:r>
            <w:r>
              <w:rPr>
                <w:rFonts w:hint="eastAsia" w:ascii="宋体"/>
                <w:kern w:val="0"/>
                <w:sz w:val="24"/>
                <w:szCs w:val="24"/>
              </w:rPr>
              <w:t>（工程项目为</w:t>
            </w:r>
            <w:r>
              <w:rPr>
                <w:kern w:val="0"/>
                <w:sz w:val="24"/>
                <w:szCs w:val="24"/>
              </w:rPr>
              <w:t>5%</w:t>
            </w:r>
            <w:r>
              <w:rPr>
                <w:rFonts w:hint="eastAsia" w:ascii="宋体"/>
                <w:kern w:val="0"/>
                <w:sz w:val="24"/>
                <w:szCs w:val="24"/>
              </w:rPr>
              <w:t>）的扣除，用扣除后的价格参加评审。</w:t>
            </w:r>
          </w:p>
          <w:p w14:paraId="67CF0F06">
            <w:pPr>
              <w:keepNext w:val="0"/>
              <w:keepLines w:val="0"/>
              <w:pageBreakBefore w:val="0"/>
              <w:widowControl/>
              <w:suppressLineNumbers w:val="0"/>
              <w:suppressAutoHyphens w:val="0"/>
              <w:spacing w:line="420" w:lineRule="exact"/>
              <w:ind w:firstLine="240" w:firstLineChars="100"/>
              <w:rPr>
                <w:kern w:val="0"/>
                <w:sz w:val="24"/>
                <w:szCs w:val="24"/>
              </w:rPr>
            </w:pPr>
            <w:r>
              <w:rPr>
                <w:kern w:val="0"/>
                <w:sz w:val="24"/>
                <w:szCs w:val="24"/>
              </w:rPr>
              <w:t>2.</w:t>
            </w:r>
            <w:r>
              <w:rPr>
                <w:rFonts w:hint="eastAsia" w:ascii="宋体"/>
                <w:kern w:val="0"/>
                <w:sz w:val="24"/>
                <w:szCs w:val="24"/>
              </w:rPr>
              <w:t>参加政府采购活动的中小企业应当提供《中小企业声明函》。</w:t>
            </w:r>
          </w:p>
          <w:p w14:paraId="1D29DB2A">
            <w:pPr>
              <w:keepNext w:val="0"/>
              <w:keepLines w:val="0"/>
              <w:pageBreakBefore w:val="0"/>
              <w:widowControl/>
              <w:suppressLineNumbers w:val="0"/>
              <w:suppressAutoHyphens w:val="0"/>
              <w:spacing w:line="420" w:lineRule="exact"/>
              <w:ind w:firstLine="240" w:firstLineChars="100"/>
              <w:rPr>
                <w:kern w:val="0"/>
                <w:sz w:val="24"/>
                <w:szCs w:val="24"/>
              </w:rPr>
            </w:pPr>
            <w:r>
              <w:rPr>
                <w:kern w:val="0"/>
                <w:sz w:val="24"/>
                <w:szCs w:val="24"/>
              </w:rPr>
              <w:t>3.</w:t>
            </w:r>
            <w:r>
              <w:rPr>
                <w:rFonts w:hint="eastAsia" w:ascii="宋体"/>
                <w:kern w:val="0"/>
                <w:sz w:val="24"/>
                <w:szCs w:val="24"/>
              </w:rPr>
              <w:t>提供由省级以上监狱管理局、戒毒管理局（含新疆生产建设兵团）出具的属于监狱企业证明文件的，视同为小型和微型企业。</w:t>
            </w:r>
          </w:p>
          <w:p w14:paraId="732A0AC7">
            <w:pPr>
              <w:keepNext w:val="0"/>
              <w:keepLines w:val="0"/>
              <w:pageBreakBefore w:val="0"/>
              <w:widowControl/>
              <w:suppressLineNumbers w:val="0"/>
              <w:suppressAutoHyphens w:val="0"/>
              <w:spacing w:line="420" w:lineRule="exact"/>
              <w:ind w:firstLine="240" w:firstLineChars="100"/>
              <w:rPr>
                <w:kern w:val="0"/>
                <w:sz w:val="24"/>
                <w:szCs w:val="24"/>
              </w:rPr>
            </w:pPr>
            <w:r>
              <w:rPr>
                <w:kern w:val="0"/>
                <w:sz w:val="24"/>
                <w:szCs w:val="24"/>
              </w:rPr>
              <w:t>4.</w:t>
            </w:r>
            <w:r>
              <w:rPr>
                <w:rFonts w:hint="eastAsia" w:ascii="宋体"/>
                <w:kern w:val="0"/>
                <w:sz w:val="24"/>
                <w:szCs w:val="24"/>
              </w:rPr>
              <w:t>符合享受政府采购支持政策的残疾人福利性单位条件且提供《残疾人福利性单位声明函》的，视同为小型和微型企业。</w:t>
            </w:r>
          </w:p>
          <w:p w14:paraId="24E568CC">
            <w:pPr>
              <w:keepNext w:val="0"/>
              <w:keepLines w:val="0"/>
              <w:pageBreakBefore w:val="0"/>
              <w:widowControl/>
              <w:suppressLineNumbers w:val="0"/>
              <w:suppressAutoHyphens w:val="0"/>
              <w:spacing w:line="420" w:lineRule="exact"/>
              <w:ind w:firstLine="240" w:firstLineChars="100"/>
              <w:rPr>
                <w:kern w:val="0"/>
                <w:sz w:val="24"/>
                <w:szCs w:val="24"/>
              </w:rPr>
            </w:pPr>
            <w:r>
              <w:rPr>
                <w:kern w:val="0"/>
                <w:sz w:val="24"/>
                <w:szCs w:val="24"/>
              </w:rPr>
              <w:t>5.</w:t>
            </w:r>
            <w:r>
              <w:rPr>
                <w:rFonts w:hint="eastAsia" w:ascii="宋体"/>
                <w:kern w:val="0"/>
                <w:sz w:val="24"/>
                <w:szCs w:val="24"/>
              </w:rPr>
              <w:t>以联合体形式参加政府采购活动，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w:t>
            </w:r>
            <w:r>
              <w:rPr>
                <w:kern w:val="0"/>
                <w:sz w:val="24"/>
                <w:szCs w:val="24"/>
              </w:rPr>
              <w:t>30%</w:t>
            </w:r>
            <w:r>
              <w:rPr>
                <w:rFonts w:hint="eastAsia" w:ascii="宋体"/>
                <w:kern w:val="0"/>
                <w:sz w:val="24"/>
                <w:szCs w:val="24"/>
              </w:rPr>
              <w:t>以上的应当对联合体或者大中型企业的报价给予</w:t>
            </w:r>
            <w:r>
              <w:rPr>
                <w:kern w:val="0"/>
                <w:sz w:val="24"/>
                <w:szCs w:val="24"/>
              </w:rPr>
              <w:t>3%</w:t>
            </w:r>
            <w:r>
              <w:rPr>
                <w:rFonts w:hint="eastAsia" w:ascii="宋体"/>
                <w:kern w:val="0"/>
                <w:sz w:val="24"/>
                <w:szCs w:val="24"/>
              </w:rPr>
              <w:t>的扣除，用扣除后的价格参加评审。</w:t>
            </w:r>
          </w:p>
          <w:p w14:paraId="74BC0912">
            <w:pPr>
              <w:keepNext w:val="0"/>
              <w:keepLines w:val="0"/>
              <w:pageBreakBefore w:val="0"/>
              <w:widowControl/>
              <w:suppressLineNumbers w:val="0"/>
              <w:suppressAutoHyphens w:val="0"/>
              <w:kinsoku/>
              <w:wordWrap/>
              <w:overflowPunct/>
              <w:topLinePunct w:val="0"/>
              <w:autoSpaceDE w:val="0"/>
              <w:autoSpaceDN w:val="0"/>
              <w:adjustRightInd w:val="0"/>
              <w:snapToGrid/>
              <w:spacing w:line="420" w:lineRule="exact"/>
              <w:ind w:firstLine="241" w:firstLineChars="100"/>
              <w:rPr>
                <w:rFonts w:cs="宋体"/>
                <w:b/>
                <w:kern w:val="0"/>
                <w:sz w:val="24"/>
                <w:szCs w:val="24"/>
              </w:rPr>
            </w:pPr>
            <w:r>
              <w:rPr>
                <w:rFonts w:hint="eastAsia" w:ascii="宋体"/>
                <w:b/>
                <w:kern w:val="0"/>
                <w:sz w:val="24"/>
                <w:szCs w:val="24"/>
              </w:rPr>
              <w:t>二、失信企业报价加成或者扣分</w:t>
            </w:r>
          </w:p>
          <w:p w14:paraId="1A482008">
            <w:pPr>
              <w:keepNext w:val="0"/>
              <w:keepLines w:val="0"/>
              <w:pageBreakBefore w:val="0"/>
              <w:widowControl/>
              <w:suppressLineNumbers w:val="0"/>
              <w:suppressAutoHyphens w:val="0"/>
              <w:kinsoku/>
              <w:wordWrap/>
              <w:overflowPunct/>
              <w:topLinePunct w:val="0"/>
              <w:autoSpaceDE w:val="0"/>
              <w:autoSpaceDN w:val="0"/>
              <w:adjustRightInd w:val="0"/>
              <w:snapToGrid/>
              <w:spacing w:line="420" w:lineRule="exact"/>
              <w:ind w:firstLine="240" w:firstLineChars="100"/>
              <w:rPr>
                <w:rFonts w:cs="宋体"/>
                <w:kern w:val="0"/>
                <w:sz w:val="24"/>
                <w:szCs w:val="24"/>
              </w:rPr>
            </w:pPr>
            <w:r>
              <w:rPr>
                <w:kern w:val="0"/>
                <w:sz w:val="24"/>
                <w:szCs w:val="24"/>
              </w:rPr>
              <w:t>1.</w:t>
            </w:r>
            <w:r>
              <w:rPr>
                <w:rFonts w:hint="eastAsia" w:ascii="宋体"/>
                <w:kern w:val="0"/>
                <w:sz w:val="24"/>
                <w:szCs w:val="24"/>
              </w:rPr>
              <w:t>对按照《四川省政府采购当事人诚信管理办法》（川财采</w:t>
            </w:r>
            <w:r>
              <w:rPr>
                <w:kern w:val="0"/>
                <w:sz w:val="24"/>
                <w:szCs w:val="24"/>
              </w:rPr>
              <w:t>[2015]33</w:t>
            </w:r>
            <w:r>
              <w:rPr>
                <w:rFonts w:hint="eastAsia" w:ascii="宋体"/>
                <w:kern w:val="0"/>
                <w:sz w:val="24"/>
                <w:szCs w:val="24"/>
              </w:rPr>
              <w:t>号）记入诚信档案的且在有效期内的失信供应商，在参加政府采购活动中实行直接从总分中扣除</w:t>
            </w:r>
            <w:r>
              <w:rPr>
                <w:kern w:val="0"/>
                <w:sz w:val="24"/>
                <w:szCs w:val="24"/>
              </w:rPr>
              <w:t>3</w:t>
            </w:r>
            <w:r>
              <w:rPr>
                <w:rFonts w:hint="eastAsia" w:ascii="宋体"/>
                <w:kern w:val="0"/>
                <w:sz w:val="24"/>
                <w:szCs w:val="24"/>
              </w:rPr>
              <w:t>分，且供应商失信行为惩戒实行无限制累加制，直至总分扣完为止。</w:t>
            </w:r>
          </w:p>
          <w:p w14:paraId="4FC90B32">
            <w:pPr>
              <w:keepNext w:val="0"/>
              <w:keepLines w:val="0"/>
              <w:pageBreakBefore w:val="0"/>
              <w:widowControl/>
              <w:suppressLineNumbers w:val="0"/>
              <w:suppressAutoHyphens w:val="0"/>
              <w:kinsoku/>
              <w:wordWrap/>
              <w:overflowPunct/>
              <w:topLinePunct w:val="0"/>
              <w:autoSpaceDE w:val="0"/>
              <w:autoSpaceDN w:val="0"/>
              <w:adjustRightInd w:val="0"/>
              <w:snapToGrid/>
              <w:spacing w:after="156" w:afterLines="50" w:line="420" w:lineRule="exact"/>
              <w:ind w:firstLine="240" w:firstLineChars="100"/>
              <w:rPr>
                <w:rFonts w:hint="eastAsia"/>
                <w:sz w:val="24"/>
                <w:szCs w:val="24"/>
              </w:rPr>
            </w:pPr>
            <w:r>
              <w:rPr>
                <w:rFonts w:cs="宋体"/>
                <w:kern w:val="0"/>
                <w:sz w:val="24"/>
                <w:szCs w:val="24"/>
              </w:rPr>
              <w:t>2</w:t>
            </w:r>
            <w:r>
              <w:rPr>
                <w:kern w:val="0"/>
                <w:sz w:val="24"/>
                <w:szCs w:val="24"/>
              </w:rPr>
              <w:t>.</w:t>
            </w:r>
            <w:r>
              <w:rPr>
                <w:rFonts w:hint="eastAsia" w:ascii="宋体" w:cs="宋体"/>
                <w:kern w:val="0"/>
                <w:sz w:val="24"/>
                <w:szCs w:val="24"/>
              </w:rPr>
              <w:t>供应商参加政府采购活动时，应当就自己的诚信情况在响应文件中进行承诺。</w:t>
            </w:r>
          </w:p>
        </w:tc>
      </w:tr>
      <w:tr w14:paraId="1B565E9C">
        <w:tblPrEx>
          <w:tblBorders>
            <w:top w:val="single" w:color="auto" w:sz="18" w:space="0"/>
            <w:left w:val="single" w:color="auto" w:sz="18" w:space="0"/>
            <w:bottom w:val="single" w:color="auto" w:sz="18" w:space="0"/>
            <w:right w:val="single" w:color="auto" w:sz="18" w:space="0"/>
            <w:insideH w:val="outset" w:color="auto" w:sz="6" w:space="0"/>
            <w:insideV w:val="outset" w:color="auto" w:sz="6" w:space="0"/>
          </w:tblBorders>
          <w:tblCellMar>
            <w:top w:w="0" w:type="dxa"/>
            <w:left w:w="0" w:type="dxa"/>
            <w:bottom w:w="0" w:type="dxa"/>
            <w:right w:w="0" w:type="dxa"/>
          </w:tblCellMar>
        </w:tblPrEx>
        <w:trPr>
          <w:jc w:val="center"/>
        </w:trPr>
        <w:tc>
          <w:tcPr>
            <w:tcW w:w="618" w:type="dxa"/>
            <w:tcBorders>
              <w:top w:val="single" w:color="auto" w:sz="8" w:space="0"/>
              <w:left w:val="single" w:color="auto" w:sz="18" w:space="0"/>
              <w:bottom w:val="single" w:color="auto" w:sz="8" w:space="0"/>
              <w:right w:val="single" w:color="auto" w:sz="8" w:space="0"/>
            </w:tcBorders>
            <w:vAlign w:val="center"/>
          </w:tcPr>
          <w:p w14:paraId="41C99DCF">
            <w:pPr>
              <w:pStyle w:val="32"/>
              <w:keepNext w:val="0"/>
              <w:keepLines w:val="0"/>
              <w:pageBreakBefore w:val="0"/>
              <w:widowControl/>
              <w:suppressLineNumbers w:val="0"/>
              <w:suppressAutoHyphens w:val="0"/>
              <w:spacing w:line="440" w:lineRule="exact"/>
              <w:jc w:val="center"/>
              <w:rPr>
                <w:rFonts w:ascii="Times New Roman" w:hAnsi="Times New Roman"/>
                <w:kern w:val="2"/>
              </w:rPr>
            </w:pPr>
            <w:r>
              <w:rPr>
                <w:rFonts w:ascii="Times New Roman" w:hAnsi="Times New Roman"/>
                <w:kern w:val="2"/>
              </w:rPr>
              <w:t>7</w:t>
            </w:r>
          </w:p>
        </w:tc>
        <w:tc>
          <w:tcPr>
            <w:tcW w:w="2257" w:type="dxa"/>
            <w:tcBorders>
              <w:top w:val="single" w:color="auto" w:sz="8" w:space="0"/>
              <w:left w:val="single" w:color="auto" w:sz="8" w:space="0"/>
              <w:bottom w:val="single" w:color="auto" w:sz="8" w:space="0"/>
              <w:right w:val="single" w:color="auto" w:sz="8" w:space="0"/>
            </w:tcBorders>
            <w:vAlign w:val="center"/>
          </w:tcPr>
          <w:p w14:paraId="376D50FD">
            <w:pPr>
              <w:pStyle w:val="32"/>
              <w:keepNext w:val="0"/>
              <w:keepLines w:val="0"/>
              <w:pageBreakBefore w:val="0"/>
              <w:widowControl/>
              <w:suppressLineNumbers w:val="0"/>
              <w:suppressAutoHyphens w:val="0"/>
              <w:spacing w:line="440" w:lineRule="exact"/>
              <w:rPr>
                <w:rFonts w:ascii="Times New Roman" w:hAnsi="Times New Roman"/>
                <w:kern w:val="2"/>
              </w:rPr>
            </w:pPr>
            <w:r>
              <w:rPr>
                <w:rFonts w:hint="eastAsia"/>
                <w:kern w:val="2"/>
              </w:rPr>
              <w:t>评标方法</w:t>
            </w:r>
          </w:p>
        </w:tc>
        <w:tc>
          <w:tcPr>
            <w:tcW w:w="5478" w:type="dxa"/>
            <w:tcBorders>
              <w:top w:val="single" w:color="auto" w:sz="8" w:space="0"/>
              <w:left w:val="single" w:color="auto" w:sz="8" w:space="0"/>
              <w:bottom w:val="single" w:color="auto" w:sz="8" w:space="0"/>
              <w:right w:val="single" w:color="auto" w:sz="18" w:space="0"/>
            </w:tcBorders>
            <w:vAlign w:val="center"/>
          </w:tcPr>
          <w:p w14:paraId="2E90197E">
            <w:pPr>
              <w:pStyle w:val="32"/>
              <w:keepNext w:val="0"/>
              <w:keepLines w:val="0"/>
              <w:pageBreakBefore w:val="0"/>
              <w:widowControl/>
              <w:suppressLineNumbers w:val="0"/>
              <w:suppressAutoHyphens w:val="0"/>
              <w:spacing w:line="420" w:lineRule="exact"/>
              <w:ind w:firstLine="240" w:firstLineChars="100"/>
              <w:rPr>
                <w:rFonts w:ascii="Times New Roman" w:hAnsi="Times New Roman"/>
                <w:kern w:val="2"/>
              </w:rPr>
            </w:pPr>
            <w:r>
              <w:rPr>
                <w:rFonts w:hint="eastAsia"/>
                <w:kern w:val="2"/>
              </w:rPr>
              <w:t>综合评分法</w:t>
            </w:r>
          </w:p>
        </w:tc>
      </w:tr>
      <w:tr w14:paraId="50D8683F">
        <w:tblPrEx>
          <w:tblBorders>
            <w:top w:val="single" w:color="auto" w:sz="18" w:space="0"/>
            <w:left w:val="single" w:color="auto" w:sz="18" w:space="0"/>
            <w:bottom w:val="single" w:color="auto" w:sz="18" w:space="0"/>
            <w:right w:val="single" w:color="auto" w:sz="18" w:space="0"/>
            <w:insideH w:val="outset" w:color="auto" w:sz="6" w:space="0"/>
            <w:insideV w:val="outset" w:color="auto" w:sz="6" w:space="0"/>
          </w:tblBorders>
          <w:tblCellMar>
            <w:top w:w="0" w:type="dxa"/>
            <w:left w:w="0" w:type="dxa"/>
            <w:bottom w:w="0" w:type="dxa"/>
            <w:right w:w="0" w:type="dxa"/>
          </w:tblCellMar>
        </w:tblPrEx>
        <w:trPr>
          <w:jc w:val="center"/>
        </w:trPr>
        <w:tc>
          <w:tcPr>
            <w:tcW w:w="618" w:type="dxa"/>
            <w:tcBorders>
              <w:top w:val="single" w:color="auto" w:sz="8" w:space="0"/>
              <w:left w:val="single" w:color="auto" w:sz="18" w:space="0"/>
              <w:bottom w:val="single" w:color="auto" w:sz="8" w:space="0"/>
              <w:right w:val="single" w:color="auto" w:sz="8" w:space="0"/>
            </w:tcBorders>
            <w:vAlign w:val="center"/>
          </w:tcPr>
          <w:p w14:paraId="3C961039">
            <w:pPr>
              <w:pStyle w:val="32"/>
              <w:keepNext w:val="0"/>
              <w:keepLines w:val="0"/>
              <w:pageBreakBefore w:val="0"/>
              <w:widowControl/>
              <w:suppressLineNumbers w:val="0"/>
              <w:suppressAutoHyphens w:val="0"/>
              <w:kinsoku/>
              <w:wordWrap w:val="0"/>
              <w:overflowPunct/>
              <w:topLinePunct w:val="0"/>
              <w:autoSpaceDE w:val="0"/>
              <w:autoSpaceDN w:val="0"/>
              <w:spacing w:line="440" w:lineRule="exact"/>
              <w:jc w:val="center"/>
              <w:rPr>
                <w:rFonts w:ascii="Times New Roman" w:hAnsi="Times New Roman"/>
                <w:kern w:val="2"/>
              </w:rPr>
            </w:pPr>
            <w:r>
              <w:rPr>
                <w:rFonts w:ascii="Times New Roman" w:hAnsi="Times New Roman"/>
                <w:kern w:val="2"/>
              </w:rPr>
              <w:t>8</w:t>
            </w:r>
          </w:p>
        </w:tc>
        <w:tc>
          <w:tcPr>
            <w:tcW w:w="2257" w:type="dxa"/>
            <w:tcBorders>
              <w:top w:val="single" w:color="auto" w:sz="8" w:space="0"/>
              <w:left w:val="single" w:color="auto" w:sz="8" w:space="0"/>
              <w:bottom w:val="single" w:color="auto" w:sz="8" w:space="0"/>
              <w:right w:val="single" w:color="auto" w:sz="8" w:space="0"/>
            </w:tcBorders>
            <w:vAlign w:val="center"/>
          </w:tcPr>
          <w:p w14:paraId="2F8CE75E">
            <w:pPr>
              <w:pStyle w:val="32"/>
              <w:keepNext w:val="0"/>
              <w:keepLines w:val="0"/>
              <w:pageBreakBefore w:val="0"/>
              <w:widowControl/>
              <w:suppressLineNumbers w:val="0"/>
              <w:suppressAutoHyphens w:val="0"/>
              <w:spacing w:line="440" w:lineRule="exact"/>
              <w:rPr>
                <w:rFonts w:ascii="Times New Roman" w:hAnsi="Times New Roman"/>
                <w:kern w:val="2"/>
              </w:rPr>
            </w:pPr>
            <w:r>
              <w:rPr>
                <w:rFonts w:hint="eastAsia"/>
                <w:kern w:val="2"/>
              </w:rPr>
              <w:t>是否接受联合体投标</w:t>
            </w:r>
          </w:p>
        </w:tc>
        <w:tc>
          <w:tcPr>
            <w:tcW w:w="5478" w:type="dxa"/>
            <w:tcBorders>
              <w:top w:val="single" w:color="auto" w:sz="8" w:space="0"/>
              <w:left w:val="single" w:color="auto" w:sz="8" w:space="0"/>
              <w:bottom w:val="single" w:color="auto" w:sz="8" w:space="0"/>
              <w:right w:val="single" w:color="auto" w:sz="18" w:space="0"/>
            </w:tcBorders>
            <w:vAlign w:val="center"/>
          </w:tcPr>
          <w:p w14:paraId="3F273675">
            <w:pPr>
              <w:pStyle w:val="32"/>
              <w:keepNext w:val="0"/>
              <w:keepLines w:val="0"/>
              <w:pageBreakBefore w:val="0"/>
              <w:widowControl/>
              <w:suppressLineNumbers w:val="0"/>
              <w:suppressAutoHyphens w:val="0"/>
              <w:spacing w:line="420" w:lineRule="exact"/>
              <w:ind w:firstLine="240" w:firstLineChars="100"/>
              <w:rPr>
                <w:rFonts w:ascii="Times New Roman" w:hAnsi="Times New Roman"/>
                <w:kern w:val="2"/>
              </w:rPr>
            </w:pPr>
            <w:r>
              <w:rPr>
                <w:rFonts w:hint="eastAsia"/>
                <w:kern w:val="2"/>
              </w:rPr>
              <w:t>不接受</w:t>
            </w:r>
            <w:r>
              <w:rPr>
                <w:rFonts w:hint="eastAsia" w:ascii="Times New Roman" w:hAnsi="Times New Roman"/>
                <w:kern w:val="2"/>
              </w:rPr>
              <w:t xml:space="preserve"> </w:t>
            </w:r>
          </w:p>
        </w:tc>
      </w:tr>
      <w:tr w14:paraId="7EA5A38D">
        <w:tblPrEx>
          <w:tblBorders>
            <w:top w:val="single" w:color="auto" w:sz="18" w:space="0"/>
            <w:left w:val="single" w:color="auto" w:sz="18" w:space="0"/>
            <w:bottom w:val="single" w:color="auto" w:sz="18" w:space="0"/>
            <w:right w:val="single" w:color="auto" w:sz="18" w:space="0"/>
            <w:insideH w:val="outset" w:color="auto" w:sz="6" w:space="0"/>
            <w:insideV w:val="outset" w:color="auto" w:sz="6" w:space="0"/>
          </w:tblBorders>
          <w:tblCellMar>
            <w:top w:w="0" w:type="dxa"/>
            <w:left w:w="0" w:type="dxa"/>
            <w:bottom w:w="0" w:type="dxa"/>
            <w:right w:w="0" w:type="dxa"/>
          </w:tblCellMar>
        </w:tblPrEx>
        <w:trPr>
          <w:jc w:val="center"/>
        </w:trPr>
        <w:tc>
          <w:tcPr>
            <w:tcW w:w="618" w:type="dxa"/>
            <w:tcBorders>
              <w:top w:val="single" w:color="auto" w:sz="8" w:space="0"/>
              <w:left w:val="single" w:color="auto" w:sz="18" w:space="0"/>
              <w:bottom w:val="single" w:color="auto" w:sz="8" w:space="0"/>
              <w:right w:val="single" w:color="auto" w:sz="8" w:space="0"/>
            </w:tcBorders>
            <w:vAlign w:val="center"/>
          </w:tcPr>
          <w:p w14:paraId="509BFC2D">
            <w:pPr>
              <w:pStyle w:val="32"/>
              <w:keepNext w:val="0"/>
              <w:keepLines w:val="0"/>
              <w:pageBreakBefore w:val="0"/>
              <w:widowControl/>
              <w:suppressLineNumbers w:val="0"/>
              <w:suppressAutoHyphens w:val="0"/>
              <w:kinsoku/>
              <w:wordWrap w:val="0"/>
              <w:overflowPunct/>
              <w:topLinePunct w:val="0"/>
              <w:autoSpaceDE w:val="0"/>
              <w:autoSpaceDN w:val="0"/>
              <w:spacing w:line="440" w:lineRule="exact"/>
              <w:jc w:val="center"/>
              <w:rPr>
                <w:rFonts w:ascii="Times New Roman" w:hAnsi="Times New Roman"/>
                <w:kern w:val="2"/>
              </w:rPr>
            </w:pPr>
            <w:r>
              <w:rPr>
                <w:rFonts w:ascii="Times New Roman" w:hAnsi="Times New Roman"/>
                <w:kern w:val="2"/>
              </w:rPr>
              <w:t>9</w:t>
            </w:r>
          </w:p>
        </w:tc>
        <w:tc>
          <w:tcPr>
            <w:tcW w:w="2257" w:type="dxa"/>
            <w:tcBorders>
              <w:top w:val="single" w:color="auto" w:sz="8" w:space="0"/>
              <w:left w:val="single" w:color="auto" w:sz="8" w:space="0"/>
              <w:bottom w:val="single" w:color="auto" w:sz="8" w:space="0"/>
              <w:right w:val="single" w:color="auto" w:sz="8" w:space="0"/>
            </w:tcBorders>
            <w:vAlign w:val="center"/>
          </w:tcPr>
          <w:p w14:paraId="5636D696">
            <w:pPr>
              <w:pStyle w:val="32"/>
              <w:keepNext w:val="0"/>
              <w:keepLines w:val="0"/>
              <w:pageBreakBefore w:val="0"/>
              <w:widowControl/>
              <w:suppressLineNumbers w:val="0"/>
              <w:suppressAutoHyphens w:val="0"/>
              <w:spacing w:line="440" w:lineRule="exact"/>
              <w:rPr>
                <w:rFonts w:ascii="Times New Roman" w:hAnsi="Times New Roman"/>
                <w:kern w:val="2"/>
              </w:rPr>
            </w:pPr>
            <w:r>
              <w:rPr>
                <w:rFonts w:hint="eastAsia"/>
                <w:kern w:val="2"/>
              </w:rPr>
              <w:t>考察现场、标前答疑会</w:t>
            </w:r>
          </w:p>
        </w:tc>
        <w:tc>
          <w:tcPr>
            <w:tcW w:w="5478" w:type="dxa"/>
            <w:tcBorders>
              <w:top w:val="single" w:color="auto" w:sz="8" w:space="0"/>
              <w:left w:val="single" w:color="auto" w:sz="8" w:space="0"/>
              <w:bottom w:val="single" w:color="auto" w:sz="8" w:space="0"/>
              <w:right w:val="single" w:color="auto" w:sz="18" w:space="0"/>
            </w:tcBorders>
            <w:vAlign w:val="center"/>
          </w:tcPr>
          <w:p w14:paraId="453B093F">
            <w:pPr>
              <w:pStyle w:val="32"/>
              <w:keepNext w:val="0"/>
              <w:keepLines w:val="0"/>
              <w:pageBreakBefore w:val="0"/>
              <w:widowControl/>
              <w:suppressLineNumbers w:val="0"/>
              <w:suppressAutoHyphens w:val="0"/>
              <w:spacing w:line="420" w:lineRule="exact"/>
              <w:ind w:firstLine="240" w:firstLineChars="100"/>
              <w:rPr>
                <w:rFonts w:ascii="Times New Roman" w:hAnsi="Times New Roman"/>
                <w:kern w:val="2"/>
              </w:rPr>
            </w:pPr>
            <w:r>
              <w:rPr>
                <w:rFonts w:hint="eastAsia"/>
                <w:kern w:val="2"/>
              </w:rPr>
              <w:t>招标采购单位认为有必要，另行书面通知。</w:t>
            </w:r>
          </w:p>
        </w:tc>
      </w:tr>
      <w:tr w14:paraId="1E71DCE0">
        <w:tblPrEx>
          <w:tblBorders>
            <w:top w:val="single" w:color="auto" w:sz="18" w:space="0"/>
            <w:left w:val="single" w:color="auto" w:sz="18" w:space="0"/>
            <w:bottom w:val="single" w:color="auto" w:sz="18" w:space="0"/>
            <w:right w:val="single" w:color="auto" w:sz="18" w:space="0"/>
            <w:insideH w:val="outset" w:color="auto" w:sz="6" w:space="0"/>
            <w:insideV w:val="outset" w:color="auto" w:sz="6" w:space="0"/>
          </w:tblBorders>
          <w:tblCellMar>
            <w:top w:w="0" w:type="dxa"/>
            <w:left w:w="0" w:type="dxa"/>
            <w:bottom w:w="0" w:type="dxa"/>
            <w:right w:w="0" w:type="dxa"/>
          </w:tblCellMar>
        </w:tblPrEx>
        <w:trPr>
          <w:jc w:val="center"/>
        </w:trPr>
        <w:tc>
          <w:tcPr>
            <w:tcW w:w="618" w:type="dxa"/>
            <w:tcBorders>
              <w:top w:val="single" w:color="auto" w:sz="8" w:space="0"/>
              <w:left w:val="single" w:color="auto" w:sz="18" w:space="0"/>
              <w:bottom w:val="single" w:color="auto" w:sz="8" w:space="0"/>
              <w:right w:val="single" w:color="auto" w:sz="8" w:space="0"/>
            </w:tcBorders>
            <w:vAlign w:val="center"/>
          </w:tcPr>
          <w:p w14:paraId="53264BAA">
            <w:pPr>
              <w:pStyle w:val="32"/>
              <w:keepNext w:val="0"/>
              <w:keepLines w:val="0"/>
              <w:pageBreakBefore w:val="0"/>
              <w:widowControl/>
              <w:suppressLineNumbers w:val="0"/>
              <w:suppressAutoHyphens w:val="0"/>
              <w:kinsoku/>
              <w:wordWrap w:val="0"/>
              <w:overflowPunct/>
              <w:topLinePunct w:val="0"/>
              <w:autoSpaceDE w:val="0"/>
              <w:autoSpaceDN w:val="0"/>
              <w:spacing w:line="440" w:lineRule="exact"/>
              <w:ind w:left="38" w:leftChars="18"/>
              <w:jc w:val="center"/>
              <w:rPr>
                <w:rFonts w:ascii="Times New Roman" w:hAnsi="Times New Roman"/>
                <w:kern w:val="2"/>
              </w:rPr>
            </w:pPr>
            <w:r>
              <w:rPr>
                <w:rFonts w:ascii="Times New Roman" w:hAnsi="Times New Roman"/>
                <w:kern w:val="2"/>
              </w:rPr>
              <w:t>10</w:t>
            </w:r>
          </w:p>
        </w:tc>
        <w:tc>
          <w:tcPr>
            <w:tcW w:w="2257" w:type="dxa"/>
            <w:tcBorders>
              <w:top w:val="single" w:color="auto" w:sz="8" w:space="0"/>
              <w:left w:val="single" w:color="auto" w:sz="8" w:space="0"/>
              <w:bottom w:val="single" w:color="auto" w:sz="8" w:space="0"/>
              <w:right w:val="single" w:color="auto" w:sz="8" w:space="0"/>
            </w:tcBorders>
            <w:vAlign w:val="center"/>
          </w:tcPr>
          <w:p w14:paraId="2B06D5E8">
            <w:pPr>
              <w:pStyle w:val="32"/>
              <w:keepNext w:val="0"/>
              <w:keepLines w:val="0"/>
              <w:pageBreakBefore w:val="0"/>
              <w:widowControl/>
              <w:suppressLineNumbers w:val="0"/>
              <w:suppressAutoHyphens w:val="0"/>
              <w:spacing w:line="440" w:lineRule="exact"/>
              <w:rPr>
                <w:rFonts w:ascii="Times New Roman" w:hAnsi="Times New Roman"/>
                <w:kern w:val="2"/>
              </w:rPr>
            </w:pPr>
            <w:r>
              <w:rPr>
                <w:rFonts w:hint="eastAsia"/>
                <w:kern w:val="2"/>
              </w:rPr>
              <w:t>现场演示</w:t>
            </w:r>
          </w:p>
        </w:tc>
        <w:tc>
          <w:tcPr>
            <w:tcW w:w="5478" w:type="dxa"/>
            <w:tcBorders>
              <w:top w:val="single" w:color="auto" w:sz="8" w:space="0"/>
              <w:left w:val="single" w:color="auto" w:sz="8" w:space="0"/>
              <w:bottom w:val="single" w:color="auto" w:sz="8" w:space="0"/>
              <w:right w:val="single" w:color="auto" w:sz="18" w:space="0"/>
            </w:tcBorders>
            <w:vAlign w:val="center"/>
          </w:tcPr>
          <w:p w14:paraId="5F61CDE4">
            <w:pPr>
              <w:pStyle w:val="32"/>
              <w:keepNext w:val="0"/>
              <w:keepLines w:val="0"/>
              <w:pageBreakBefore w:val="0"/>
              <w:widowControl/>
              <w:suppressLineNumbers w:val="0"/>
              <w:suppressAutoHyphens w:val="0"/>
              <w:spacing w:line="420" w:lineRule="exact"/>
              <w:ind w:firstLine="240" w:firstLineChars="100"/>
              <w:rPr>
                <w:rFonts w:ascii="Times New Roman" w:hAnsi="Times New Roman"/>
                <w:kern w:val="2"/>
              </w:rPr>
            </w:pPr>
            <w:r>
              <w:rPr>
                <w:rFonts w:hint="eastAsia"/>
                <w:kern w:val="2"/>
              </w:rPr>
              <w:t>无</w:t>
            </w:r>
          </w:p>
        </w:tc>
      </w:tr>
      <w:tr w14:paraId="69E3A5C9">
        <w:tblPrEx>
          <w:tblBorders>
            <w:top w:val="single" w:color="auto" w:sz="18" w:space="0"/>
            <w:left w:val="single" w:color="auto" w:sz="18" w:space="0"/>
            <w:bottom w:val="single" w:color="auto" w:sz="18" w:space="0"/>
            <w:right w:val="single" w:color="auto" w:sz="18" w:space="0"/>
            <w:insideH w:val="outset" w:color="auto" w:sz="6" w:space="0"/>
            <w:insideV w:val="outset" w:color="auto" w:sz="6" w:space="0"/>
          </w:tblBorders>
          <w:tblCellMar>
            <w:top w:w="0" w:type="dxa"/>
            <w:left w:w="0" w:type="dxa"/>
            <w:bottom w:w="0" w:type="dxa"/>
            <w:right w:w="0" w:type="dxa"/>
          </w:tblCellMar>
        </w:tblPrEx>
        <w:trPr>
          <w:jc w:val="center"/>
        </w:trPr>
        <w:tc>
          <w:tcPr>
            <w:tcW w:w="618" w:type="dxa"/>
            <w:tcBorders>
              <w:top w:val="single" w:color="auto" w:sz="8" w:space="0"/>
              <w:left w:val="single" w:color="auto" w:sz="18" w:space="0"/>
              <w:bottom w:val="single" w:color="auto" w:sz="8" w:space="0"/>
              <w:right w:val="single" w:color="auto" w:sz="8" w:space="0"/>
            </w:tcBorders>
            <w:vAlign w:val="center"/>
          </w:tcPr>
          <w:p w14:paraId="5BA0D1F0">
            <w:pPr>
              <w:pStyle w:val="32"/>
              <w:keepNext w:val="0"/>
              <w:keepLines w:val="0"/>
              <w:pageBreakBefore w:val="0"/>
              <w:widowControl/>
              <w:suppressLineNumbers w:val="0"/>
              <w:suppressAutoHyphens w:val="0"/>
              <w:kinsoku/>
              <w:wordWrap w:val="0"/>
              <w:overflowPunct/>
              <w:topLinePunct w:val="0"/>
              <w:autoSpaceDE w:val="0"/>
              <w:autoSpaceDN w:val="0"/>
              <w:spacing w:line="440" w:lineRule="exact"/>
              <w:ind w:left="38" w:leftChars="18"/>
              <w:jc w:val="center"/>
              <w:rPr>
                <w:rFonts w:ascii="Times New Roman" w:hAnsi="Times New Roman"/>
                <w:kern w:val="2"/>
              </w:rPr>
            </w:pPr>
            <w:r>
              <w:rPr>
                <w:rFonts w:ascii="Times New Roman" w:hAnsi="Times New Roman"/>
                <w:kern w:val="2"/>
              </w:rPr>
              <w:t>11</w:t>
            </w:r>
          </w:p>
        </w:tc>
        <w:tc>
          <w:tcPr>
            <w:tcW w:w="2257" w:type="dxa"/>
            <w:tcBorders>
              <w:top w:val="single" w:color="auto" w:sz="8" w:space="0"/>
              <w:left w:val="single" w:color="auto" w:sz="8" w:space="0"/>
              <w:bottom w:val="single" w:color="auto" w:sz="8" w:space="0"/>
              <w:right w:val="single" w:color="auto" w:sz="8" w:space="0"/>
            </w:tcBorders>
            <w:vAlign w:val="center"/>
          </w:tcPr>
          <w:p w14:paraId="103428A3">
            <w:pPr>
              <w:pStyle w:val="32"/>
              <w:keepNext w:val="0"/>
              <w:keepLines w:val="0"/>
              <w:pageBreakBefore w:val="0"/>
              <w:widowControl/>
              <w:suppressLineNumbers w:val="0"/>
              <w:suppressAutoHyphens w:val="0"/>
              <w:spacing w:line="440" w:lineRule="exact"/>
              <w:rPr>
                <w:rFonts w:ascii="Times New Roman" w:hAnsi="Times New Roman"/>
                <w:kern w:val="2"/>
              </w:rPr>
            </w:pPr>
            <w:r>
              <w:rPr>
                <w:rFonts w:hint="eastAsia"/>
                <w:kern w:val="2"/>
              </w:rPr>
              <w:t>供应商对磋商文件提出质疑的时间</w:t>
            </w:r>
          </w:p>
        </w:tc>
        <w:tc>
          <w:tcPr>
            <w:tcW w:w="5478" w:type="dxa"/>
            <w:tcBorders>
              <w:top w:val="single" w:color="auto" w:sz="8" w:space="0"/>
              <w:left w:val="single" w:color="auto" w:sz="8" w:space="0"/>
              <w:bottom w:val="single" w:color="auto" w:sz="8" w:space="0"/>
              <w:right w:val="single" w:color="auto" w:sz="18" w:space="0"/>
            </w:tcBorders>
            <w:vAlign w:val="center"/>
          </w:tcPr>
          <w:p w14:paraId="1A0C4E49">
            <w:pPr>
              <w:pStyle w:val="32"/>
              <w:keepNext w:val="0"/>
              <w:keepLines w:val="0"/>
              <w:pageBreakBefore w:val="0"/>
              <w:widowControl/>
              <w:suppressLineNumbers w:val="0"/>
              <w:suppressAutoHyphens w:val="0"/>
              <w:spacing w:line="420" w:lineRule="exact"/>
              <w:ind w:firstLine="240" w:firstLineChars="100"/>
              <w:rPr>
                <w:rFonts w:ascii="Times New Roman" w:hAnsi="Times New Roman"/>
                <w:kern w:val="2"/>
              </w:rPr>
            </w:pPr>
            <w:r>
              <w:rPr>
                <w:rFonts w:hint="eastAsia"/>
                <w:kern w:val="2"/>
              </w:rPr>
              <w:t>自磋商文件获取时间起七个工作日内。</w:t>
            </w:r>
          </w:p>
        </w:tc>
      </w:tr>
      <w:tr w14:paraId="5BEE263F">
        <w:tblPrEx>
          <w:tblBorders>
            <w:top w:val="single" w:color="auto" w:sz="18" w:space="0"/>
            <w:left w:val="single" w:color="auto" w:sz="18" w:space="0"/>
            <w:bottom w:val="single" w:color="auto" w:sz="18" w:space="0"/>
            <w:right w:val="single" w:color="auto" w:sz="18" w:space="0"/>
            <w:insideH w:val="outset" w:color="auto" w:sz="6" w:space="0"/>
            <w:insideV w:val="outset" w:color="auto" w:sz="6" w:space="0"/>
          </w:tblBorders>
          <w:tblCellMar>
            <w:top w:w="0" w:type="dxa"/>
            <w:left w:w="0" w:type="dxa"/>
            <w:bottom w:w="0" w:type="dxa"/>
            <w:right w:w="0" w:type="dxa"/>
          </w:tblCellMar>
        </w:tblPrEx>
        <w:trPr>
          <w:jc w:val="center"/>
        </w:trPr>
        <w:tc>
          <w:tcPr>
            <w:tcW w:w="618" w:type="dxa"/>
            <w:tcBorders>
              <w:top w:val="single" w:color="auto" w:sz="8" w:space="0"/>
              <w:left w:val="single" w:color="auto" w:sz="18" w:space="0"/>
              <w:bottom w:val="single" w:color="auto" w:sz="8" w:space="0"/>
              <w:right w:val="single" w:color="auto" w:sz="8" w:space="0"/>
            </w:tcBorders>
            <w:vAlign w:val="center"/>
          </w:tcPr>
          <w:p w14:paraId="39EF2516">
            <w:pPr>
              <w:pStyle w:val="32"/>
              <w:keepNext w:val="0"/>
              <w:keepLines w:val="0"/>
              <w:pageBreakBefore w:val="0"/>
              <w:widowControl/>
              <w:suppressLineNumbers w:val="0"/>
              <w:suppressAutoHyphens w:val="0"/>
              <w:kinsoku/>
              <w:wordWrap w:val="0"/>
              <w:overflowPunct/>
              <w:topLinePunct w:val="0"/>
              <w:autoSpaceDE w:val="0"/>
              <w:autoSpaceDN w:val="0"/>
              <w:spacing w:line="440" w:lineRule="exact"/>
              <w:ind w:left="38" w:leftChars="18"/>
              <w:jc w:val="center"/>
              <w:rPr>
                <w:rFonts w:ascii="Times New Roman" w:hAnsi="Times New Roman"/>
                <w:kern w:val="2"/>
              </w:rPr>
            </w:pPr>
            <w:r>
              <w:rPr>
                <w:rFonts w:ascii="Times New Roman" w:hAnsi="Times New Roman"/>
                <w:kern w:val="2"/>
              </w:rPr>
              <w:t>12</w:t>
            </w:r>
          </w:p>
        </w:tc>
        <w:tc>
          <w:tcPr>
            <w:tcW w:w="2257" w:type="dxa"/>
            <w:tcBorders>
              <w:top w:val="single" w:color="auto" w:sz="8" w:space="0"/>
              <w:left w:val="single" w:color="auto" w:sz="8" w:space="0"/>
              <w:bottom w:val="single" w:color="auto" w:sz="8" w:space="0"/>
              <w:right w:val="single" w:color="auto" w:sz="8" w:space="0"/>
            </w:tcBorders>
            <w:vAlign w:val="center"/>
          </w:tcPr>
          <w:p w14:paraId="1ABEF907">
            <w:pPr>
              <w:pStyle w:val="32"/>
              <w:keepNext w:val="0"/>
              <w:keepLines w:val="0"/>
              <w:pageBreakBefore w:val="0"/>
              <w:widowControl/>
              <w:suppressLineNumbers w:val="0"/>
              <w:suppressAutoHyphens w:val="0"/>
              <w:spacing w:line="440" w:lineRule="exact"/>
              <w:rPr>
                <w:rFonts w:ascii="Times New Roman" w:hAnsi="Times New Roman"/>
                <w:kern w:val="2"/>
              </w:rPr>
            </w:pPr>
            <w:r>
              <w:rPr>
                <w:rFonts w:hint="eastAsia"/>
                <w:kern w:val="2"/>
              </w:rPr>
              <w:t>构成磋商文件的其他文件</w:t>
            </w:r>
          </w:p>
        </w:tc>
        <w:tc>
          <w:tcPr>
            <w:tcW w:w="5478" w:type="dxa"/>
            <w:tcBorders>
              <w:top w:val="single" w:color="auto" w:sz="8" w:space="0"/>
              <w:left w:val="single" w:color="auto" w:sz="8" w:space="0"/>
              <w:bottom w:val="single" w:color="auto" w:sz="8" w:space="0"/>
              <w:right w:val="single" w:color="auto" w:sz="18" w:space="0"/>
            </w:tcBorders>
            <w:vAlign w:val="center"/>
          </w:tcPr>
          <w:p w14:paraId="2E174A7F">
            <w:pPr>
              <w:pStyle w:val="32"/>
              <w:keepNext w:val="0"/>
              <w:keepLines w:val="0"/>
              <w:pageBreakBefore w:val="0"/>
              <w:widowControl/>
              <w:suppressLineNumbers w:val="0"/>
              <w:suppressAutoHyphens w:val="0"/>
              <w:spacing w:line="420" w:lineRule="exact"/>
              <w:ind w:firstLine="240" w:firstLineChars="100"/>
              <w:rPr>
                <w:rFonts w:ascii="Times New Roman" w:hAnsi="Times New Roman"/>
                <w:kern w:val="2"/>
              </w:rPr>
            </w:pPr>
            <w:r>
              <w:rPr>
                <w:rFonts w:hint="eastAsia"/>
                <w:kern w:val="2"/>
              </w:rPr>
              <w:t>磋商文件的澄清、修改书及有关补充通知为磋商文件的有效组成部分。</w:t>
            </w:r>
          </w:p>
        </w:tc>
      </w:tr>
      <w:tr w14:paraId="67B368E1">
        <w:tblPrEx>
          <w:tblBorders>
            <w:top w:val="single" w:color="auto" w:sz="18" w:space="0"/>
            <w:left w:val="single" w:color="auto" w:sz="18" w:space="0"/>
            <w:bottom w:val="single" w:color="auto" w:sz="18" w:space="0"/>
            <w:right w:val="single" w:color="auto" w:sz="18" w:space="0"/>
            <w:insideH w:val="outset" w:color="auto" w:sz="6" w:space="0"/>
            <w:insideV w:val="outset" w:color="auto" w:sz="6" w:space="0"/>
          </w:tblBorders>
          <w:tblCellMar>
            <w:top w:w="0" w:type="dxa"/>
            <w:left w:w="0" w:type="dxa"/>
            <w:bottom w:w="0" w:type="dxa"/>
            <w:right w:w="0" w:type="dxa"/>
          </w:tblCellMar>
        </w:tblPrEx>
        <w:trPr>
          <w:jc w:val="center"/>
        </w:trPr>
        <w:tc>
          <w:tcPr>
            <w:tcW w:w="618" w:type="dxa"/>
            <w:tcBorders>
              <w:top w:val="single" w:color="auto" w:sz="8" w:space="0"/>
              <w:left w:val="single" w:color="auto" w:sz="18" w:space="0"/>
              <w:bottom w:val="single" w:color="auto" w:sz="8" w:space="0"/>
              <w:right w:val="single" w:color="auto" w:sz="8" w:space="0"/>
            </w:tcBorders>
            <w:vAlign w:val="center"/>
          </w:tcPr>
          <w:p w14:paraId="6539EBE3">
            <w:pPr>
              <w:pStyle w:val="32"/>
              <w:keepNext w:val="0"/>
              <w:keepLines w:val="0"/>
              <w:pageBreakBefore w:val="0"/>
              <w:widowControl/>
              <w:suppressLineNumbers w:val="0"/>
              <w:suppressAutoHyphens w:val="0"/>
              <w:kinsoku/>
              <w:wordWrap w:val="0"/>
              <w:overflowPunct/>
              <w:topLinePunct w:val="0"/>
              <w:autoSpaceDE w:val="0"/>
              <w:autoSpaceDN w:val="0"/>
              <w:spacing w:line="440" w:lineRule="exact"/>
              <w:ind w:left="38" w:leftChars="18"/>
              <w:jc w:val="center"/>
              <w:rPr>
                <w:rFonts w:ascii="Times New Roman" w:hAnsi="Times New Roman"/>
                <w:kern w:val="2"/>
              </w:rPr>
            </w:pPr>
            <w:r>
              <w:rPr>
                <w:rFonts w:ascii="Times New Roman" w:hAnsi="Times New Roman"/>
                <w:kern w:val="2"/>
              </w:rPr>
              <w:t>13</w:t>
            </w:r>
          </w:p>
        </w:tc>
        <w:tc>
          <w:tcPr>
            <w:tcW w:w="2257" w:type="dxa"/>
            <w:tcBorders>
              <w:top w:val="single" w:color="auto" w:sz="8" w:space="0"/>
              <w:left w:val="single" w:color="auto" w:sz="8" w:space="0"/>
              <w:bottom w:val="single" w:color="auto" w:sz="8" w:space="0"/>
              <w:right w:val="single" w:color="auto" w:sz="8" w:space="0"/>
            </w:tcBorders>
            <w:vAlign w:val="center"/>
          </w:tcPr>
          <w:p w14:paraId="0D44C731">
            <w:pPr>
              <w:pStyle w:val="32"/>
              <w:keepNext w:val="0"/>
              <w:keepLines w:val="0"/>
              <w:pageBreakBefore w:val="0"/>
              <w:widowControl/>
              <w:suppressLineNumbers w:val="0"/>
              <w:suppressAutoHyphens w:val="0"/>
              <w:spacing w:line="440" w:lineRule="exact"/>
              <w:rPr>
                <w:rFonts w:ascii="Times New Roman" w:hAnsi="Times New Roman" w:cs="宋体"/>
              </w:rPr>
            </w:pPr>
            <w:r>
              <w:rPr>
                <w:rFonts w:hint="eastAsia"/>
              </w:rPr>
              <w:t>履约保证金</w:t>
            </w:r>
          </w:p>
        </w:tc>
        <w:tc>
          <w:tcPr>
            <w:tcW w:w="5478" w:type="dxa"/>
            <w:tcBorders>
              <w:top w:val="single" w:color="auto" w:sz="8" w:space="0"/>
              <w:left w:val="single" w:color="auto" w:sz="8" w:space="0"/>
              <w:bottom w:val="single" w:color="auto" w:sz="8" w:space="0"/>
              <w:right w:val="single" w:color="auto" w:sz="18" w:space="0"/>
            </w:tcBorders>
            <w:vAlign w:val="center"/>
          </w:tcPr>
          <w:p w14:paraId="69EEE5D0">
            <w:pPr>
              <w:pStyle w:val="32"/>
              <w:keepNext w:val="0"/>
              <w:keepLines w:val="0"/>
              <w:pageBreakBefore w:val="0"/>
              <w:widowControl/>
              <w:suppressLineNumbers w:val="0"/>
              <w:suppressAutoHyphens w:val="0"/>
              <w:spacing w:line="420" w:lineRule="exact"/>
              <w:ind w:firstLine="240" w:firstLineChars="100"/>
              <w:jc w:val="both"/>
              <w:rPr>
                <w:rFonts w:ascii="Times New Roman" w:hAnsi="Times New Roman" w:cs="宋体"/>
              </w:rPr>
            </w:pPr>
            <w:r>
              <w:rPr>
                <w:rFonts w:hint="eastAsia"/>
                <w:kern w:val="2"/>
              </w:rPr>
              <w:t>无</w:t>
            </w:r>
          </w:p>
        </w:tc>
      </w:tr>
      <w:tr w14:paraId="6AF47DFE">
        <w:tblPrEx>
          <w:tblBorders>
            <w:top w:val="single" w:color="auto" w:sz="18" w:space="0"/>
            <w:left w:val="single" w:color="auto" w:sz="18" w:space="0"/>
            <w:bottom w:val="single" w:color="auto" w:sz="18" w:space="0"/>
            <w:right w:val="single" w:color="auto" w:sz="18" w:space="0"/>
            <w:insideH w:val="outset" w:color="auto" w:sz="6" w:space="0"/>
            <w:insideV w:val="outset" w:color="auto" w:sz="6" w:space="0"/>
          </w:tblBorders>
          <w:tblCellMar>
            <w:top w:w="0" w:type="dxa"/>
            <w:left w:w="0" w:type="dxa"/>
            <w:bottom w:w="0" w:type="dxa"/>
            <w:right w:w="0" w:type="dxa"/>
          </w:tblCellMar>
        </w:tblPrEx>
        <w:trPr>
          <w:jc w:val="center"/>
        </w:trPr>
        <w:tc>
          <w:tcPr>
            <w:tcW w:w="618" w:type="dxa"/>
            <w:tcBorders>
              <w:top w:val="single" w:color="auto" w:sz="8" w:space="0"/>
              <w:left w:val="single" w:color="auto" w:sz="18" w:space="0"/>
              <w:bottom w:val="single" w:color="auto" w:sz="8" w:space="0"/>
              <w:right w:val="single" w:color="auto" w:sz="8" w:space="0"/>
            </w:tcBorders>
            <w:vAlign w:val="center"/>
          </w:tcPr>
          <w:p w14:paraId="115F5F25">
            <w:pPr>
              <w:pStyle w:val="32"/>
              <w:keepNext w:val="0"/>
              <w:keepLines w:val="0"/>
              <w:pageBreakBefore w:val="0"/>
              <w:widowControl/>
              <w:suppressLineNumbers w:val="0"/>
              <w:suppressAutoHyphens w:val="0"/>
              <w:kinsoku/>
              <w:wordWrap w:val="0"/>
              <w:overflowPunct/>
              <w:topLinePunct w:val="0"/>
              <w:autoSpaceDE w:val="0"/>
              <w:autoSpaceDN w:val="0"/>
              <w:spacing w:line="440" w:lineRule="exact"/>
              <w:ind w:left="38" w:leftChars="18"/>
              <w:jc w:val="center"/>
              <w:rPr>
                <w:rFonts w:ascii="Times New Roman" w:hAnsi="Times New Roman"/>
                <w:kern w:val="2"/>
              </w:rPr>
            </w:pPr>
            <w:r>
              <w:rPr>
                <w:rFonts w:ascii="Times New Roman" w:hAnsi="Times New Roman"/>
                <w:kern w:val="2"/>
              </w:rPr>
              <w:t>14</w:t>
            </w:r>
          </w:p>
        </w:tc>
        <w:tc>
          <w:tcPr>
            <w:tcW w:w="2257" w:type="dxa"/>
            <w:tcBorders>
              <w:top w:val="single" w:color="auto" w:sz="8" w:space="0"/>
              <w:left w:val="single" w:color="auto" w:sz="8" w:space="0"/>
              <w:bottom w:val="single" w:color="auto" w:sz="8" w:space="0"/>
              <w:right w:val="single" w:color="auto" w:sz="8" w:space="0"/>
            </w:tcBorders>
            <w:vAlign w:val="center"/>
          </w:tcPr>
          <w:p w14:paraId="25538603">
            <w:pPr>
              <w:pStyle w:val="32"/>
              <w:keepNext w:val="0"/>
              <w:keepLines w:val="0"/>
              <w:pageBreakBefore w:val="0"/>
              <w:widowControl/>
              <w:suppressLineNumbers w:val="0"/>
              <w:suppressAutoHyphens w:val="0"/>
              <w:spacing w:line="440" w:lineRule="exact"/>
              <w:rPr>
                <w:rFonts w:ascii="Times New Roman" w:hAnsi="Times New Roman" w:cs="宋体"/>
              </w:rPr>
            </w:pPr>
            <w:r>
              <w:rPr>
                <w:rFonts w:hint="eastAsia"/>
                <w:bCs/>
              </w:rPr>
              <w:t>磋商</w:t>
            </w:r>
            <w:r>
              <w:rPr>
                <w:rFonts w:hint="eastAsia"/>
              </w:rPr>
              <w:t>文件咨询</w:t>
            </w:r>
          </w:p>
        </w:tc>
        <w:tc>
          <w:tcPr>
            <w:tcW w:w="5478" w:type="dxa"/>
            <w:tcBorders>
              <w:top w:val="single" w:color="auto" w:sz="8" w:space="0"/>
              <w:left w:val="single" w:color="auto" w:sz="8" w:space="0"/>
              <w:bottom w:val="single" w:color="auto" w:sz="8" w:space="0"/>
              <w:right w:val="single" w:color="auto" w:sz="18" w:space="0"/>
            </w:tcBorders>
            <w:vAlign w:val="center"/>
          </w:tcPr>
          <w:p w14:paraId="5ED73276">
            <w:pPr>
              <w:pStyle w:val="32"/>
              <w:keepNext w:val="0"/>
              <w:keepLines w:val="0"/>
              <w:pageBreakBefore w:val="0"/>
              <w:widowControl/>
              <w:suppressLineNumbers w:val="0"/>
              <w:suppressAutoHyphens w:val="0"/>
              <w:spacing w:line="420" w:lineRule="exact"/>
              <w:ind w:firstLine="240" w:firstLineChars="100"/>
              <w:jc w:val="both"/>
              <w:rPr>
                <w:rFonts w:ascii="Times New Roman" w:hAnsi="Times New Roman" w:cs="宋体"/>
                <w:color w:val="FF0000"/>
                <w:highlight w:val="yellow"/>
              </w:rPr>
            </w:pPr>
            <w:r>
              <w:rPr>
                <w:rFonts w:hint="eastAsia"/>
              </w:rPr>
              <w:t>联系人：</w:t>
            </w:r>
            <w:r>
              <w:t>郭</w:t>
            </w:r>
            <w:r>
              <w:rPr>
                <w:rFonts w:hint="eastAsia"/>
              </w:rPr>
              <w:t>老师</w:t>
            </w:r>
            <w:r>
              <w:rPr>
                <w:rFonts w:ascii="Times New Roman" w:hAnsi="Times New Roman"/>
              </w:rPr>
              <w:t xml:space="preserve"> </w:t>
            </w:r>
            <w:r>
              <w:rPr>
                <w:rFonts w:hint="eastAsia"/>
              </w:rPr>
              <w:t>；联系电话：</w:t>
            </w:r>
            <w:r>
              <w:rPr>
                <w:rFonts w:ascii="Times New Roman" w:hAnsi="Times New Roman"/>
              </w:rPr>
              <w:t>0837-2823421</w:t>
            </w:r>
            <w:r>
              <w:rPr>
                <w:rFonts w:hint="eastAsia"/>
              </w:rPr>
              <w:t>。</w:t>
            </w:r>
            <w:r>
              <w:rPr>
                <w:rFonts w:ascii="Times New Roman" w:hAnsi="Times New Roman"/>
              </w:rPr>
              <w:t xml:space="preserve">    </w:t>
            </w:r>
            <w:r>
              <w:rPr>
                <w:rFonts w:ascii="Times New Roman" w:hAnsi="Times New Roman"/>
                <w:color w:val="FF0000"/>
              </w:rPr>
              <w:t xml:space="preserve">      </w:t>
            </w:r>
          </w:p>
        </w:tc>
      </w:tr>
      <w:tr w14:paraId="61AA9270">
        <w:tblPrEx>
          <w:tblBorders>
            <w:top w:val="single" w:color="auto" w:sz="18" w:space="0"/>
            <w:left w:val="single" w:color="auto" w:sz="18" w:space="0"/>
            <w:bottom w:val="single" w:color="auto" w:sz="18" w:space="0"/>
            <w:right w:val="single" w:color="auto" w:sz="18" w:space="0"/>
            <w:insideH w:val="outset" w:color="auto" w:sz="6" w:space="0"/>
            <w:insideV w:val="outset" w:color="auto" w:sz="6" w:space="0"/>
          </w:tblBorders>
          <w:tblCellMar>
            <w:top w:w="0" w:type="dxa"/>
            <w:left w:w="0" w:type="dxa"/>
            <w:bottom w:w="0" w:type="dxa"/>
            <w:right w:w="0" w:type="dxa"/>
          </w:tblCellMar>
        </w:tblPrEx>
        <w:trPr>
          <w:jc w:val="center"/>
        </w:trPr>
        <w:tc>
          <w:tcPr>
            <w:tcW w:w="618" w:type="dxa"/>
            <w:tcBorders>
              <w:top w:val="single" w:color="auto" w:sz="8" w:space="0"/>
              <w:left w:val="single" w:color="auto" w:sz="18" w:space="0"/>
              <w:bottom w:val="single" w:color="auto" w:sz="8" w:space="0"/>
              <w:right w:val="single" w:color="auto" w:sz="8" w:space="0"/>
            </w:tcBorders>
            <w:vAlign w:val="center"/>
          </w:tcPr>
          <w:p w14:paraId="48258459">
            <w:pPr>
              <w:pStyle w:val="32"/>
              <w:keepNext w:val="0"/>
              <w:keepLines w:val="0"/>
              <w:pageBreakBefore w:val="0"/>
              <w:widowControl/>
              <w:suppressLineNumbers w:val="0"/>
              <w:suppressAutoHyphens w:val="0"/>
              <w:kinsoku/>
              <w:wordWrap w:val="0"/>
              <w:overflowPunct/>
              <w:topLinePunct w:val="0"/>
              <w:autoSpaceDE w:val="0"/>
              <w:autoSpaceDN w:val="0"/>
              <w:spacing w:line="440" w:lineRule="exact"/>
              <w:ind w:left="38" w:leftChars="18"/>
              <w:jc w:val="center"/>
              <w:rPr>
                <w:rFonts w:ascii="Times New Roman" w:hAnsi="Times New Roman"/>
                <w:kern w:val="2"/>
              </w:rPr>
            </w:pPr>
            <w:r>
              <w:rPr>
                <w:rFonts w:ascii="Times New Roman" w:hAnsi="Times New Roman"/>
                <w:kern w:val="2"/>
              </w:rPr>
              <w:t>15</w:t>
            </w:r>
          </w:p>
        </w:tc>
        <w:tc>
          <w:tcPr>
            <w:tcW w:w="2257" w:type="dxa"/>
            <w:tcBorders>
              <w:top w:val="single" w:color="auto" w:sz="8" w:space="0"/>
              <w:left w:val="single" w:color="auto" w:sz="8" w:space="0"/>
              <w:bottom w:val="single" w:color="auto" w:sz="8" w:space="0"/>
              <w:right w:val="single" w:color="auto" w:sz="8" w:space="0"/>
            </w:tcBorders>
            <w:vAlign w:val="center"/>
          </w:tcPr>
          <w:p w14:paraId="4046ABA7">
            <w:pPr>
              <w:pStyle w:val="32"/>
              <w:keepNext w:val="0"/>
              <w:keepLines w:val="0"/>
              <w:pageBreakBefore w:val="0"/>
              <w:widowControl/>
              <w:suppressLineNumbers w:val="0"/>
              <w:suppressAutoHyphens w:val="0"/>
              <w:spacing w:line="440" w:lineRule="exact"/>
              <w:rPr>
                <w:rFonts w:ascii="Times New Roman" w:hAnsi="Times New Roman" w:cs="宋体"/>
              </w:rPr>
            </w:pPr>
            <w:r>
              <w:rPr>
                <w:rFonts w:hint="eastAsia"/>
              </w:rPr>
              <w:t>磋商过程、结果工作咨询</w:t>
            </w:r>
          </w:p>
        </w:tc>
        <w:tc>
          <w:tcPr>
            <w:tcW w:w="5478" w:type="dxa"/>
            <w:tcBorders>
              <w:top w:val="single" w:color="auto" w:sz="8" w:space="0"/>
              <w:left w:val="single" w:color="auto" w:sz="8" w:space="0"/>
              <w:bottom w:val="single" w:color="auto" w:sz="8" w:space="0"/>
              <w:right w:val="single" w:color="auto" w:sz="18" w:space="0"/>
            </w:tcBorders>
            <w:vAlign w:val="center"/>
          </w:tcPr>
          <w:p w14:paraId="694A55DC">
            <w:pPr>
              <w:pStyle w:val="32"/>
              <w:keepNext w:val="0"/>
              <w:keepLines w:val="0"/>
              <w:pageBreakBefore w:val="0"/>
              <w:widowControl/>
              <w:suppressLineNumbers w:val="0"/>
              <w:suppressAutoHyphens w:val="0"/>
              <w:spacing w:line="420" w:lineRule="exact"/>
              <w:ind w:firstLine="240" w:firstLineChars="100"/>
              <w:jc w:val="both"/>
              <w:rPr>
                <w:rFonts w:ascii="Times New Roman" w:hAnsi="Times New Roman" w:cs="宋体"/>
                <w:color w:val="FF0000"/>
                <w:highlight w:val="yellow"/>
              </w:rPr>
            </w:pPr>
            <w:r>
              <w:rPr>
                <w:rFonts w:hint="eastAsia"/>
              </w:rPr>
              <w:t>联系人：德老师</w:t>
            </w:r>
            <w:r>
              <w:rPr>
                <w:rFonts w:ascii="Times New Roman" w:hAnsi="Times New Roman"/>
              </w:rPr>
              <w:t xml:space="preserve"> </w:t>
            </w:r>
            <w:r>
              <w:rPr>
                <w:rFonts w:hint="eastAsia"/>
              </w:rPr>
              <w:t>；联系电话：</w:t>
            </w:r>
            <w:r>
              <w:rPr>
                <w:rFonts w:ascii="Times New Roman" w:hAnsi="Times New Roman"/>
              </w:rPr>
              <w:t>0837-2822313</w:t>
            </w:r>
            <w:r>
              <w:rPr>
                <w:rFonts w:hint="eastAsia"/>
              </w:rPr>
              <w:t>。</w:t>
            </w:r>
            <w:r>
              <w:rPr>
                <w:rFonts w:ascii="Times New Roman" w:hAnsi="Times New Roman"/>
              </w:rPr>
              <w:t xml:space="preserve">    </w:t>
            </w:r>
            <w:r>
              <w:rPr>
                <w:rFonts w:ascii="Times New Roman" w:hAnsi="Times New Roman"/>
                <w:color w:val="FF0000"/>
              </w:rPr>
              <w:t xml:space="preserve">     </w:t>
            </w:r>
          </w:p>
        </w:tc>
      </w:tr>
      <w:tr w14:paraId="1887E403">
        <w:tblPrEx>
          <w:tblBorders>
            <w:top w:val="single" w:color="auto" w:sz="18" w:space="0"/>
            <w:left w:val="single" w:color="auto" w:sz="18" w:space="0"/>
            <w:bottom w:val="single" w:color="auto" w:sz="18" w:space="0"/>
            <w:right w:val="single" w:color="auto" w:sz="18" w:space="0"/>
            <w:insideH w:val="outset" w:color="auto" w:sz="6" w:space="0"/>
            <w:insideV w:val="outset" w:color="auto" w:sz="6" w:space="0"/>
          </w:tblBorders>
          <w:tblCellMar>
            <w:top w:w="0" w:type="dxa"/>
            <w:left w:w="0" w:type="dxa"/>
            <w:bottom w:w="0" w:type="dxa"/>
            <w:right w:w="0" w:type="dxa"/>
          </w:tblCellMar>
        </w:tblPrEx>
        <w:trPr>
          <w:jc w:val="center"/>
        </w:trPr>
        <w:tc>
          <w:tcPr>
            <w:tcW w:w="618" w:type="dxa"/>
            <w:tcBorders>
              <w:top w:val="single" w:color="auto" w:sz="8" w:space="0"/>
              <w:left w:val="single" w:color="auto" w:sz="18" w:space="0"/>
              <w:bottom w:val="single" w:color="auto" w:sz="8" w:space="0"/>
              <w:right w:val="single" w:color="auto" w:sz="8" w:space="0"/>
            </w:tcBorders>
            <w:vAlign w:val="center"/>
          </w:tcPr>
          <w:p w14:paraId="5DC4662E">
            <w:pPr>
              <w:pStyle w:val="32"/>
              <w:keepNext w:val="0"/>
              <w:keepLines w:val="0"/>
              <w:pageBreakBefore w:val="0"/>
              <w:widowControl/>
              <w:suppressLineNumbers w:val="0"/>
              <w:suppressAutoHyphens w:val="0"/>
              <w:kinsoku/>
              <w:wordWrap w:val="0"/>
              <w:overflowPunct/>
              <w:topLinePunct w:val="0"/>
              <w:autoSpaceDE w:val="0"/>
              <w:autoSpaceDN w:val="0"/>
              <w:spacing w:line="440" w:lineRule="exact"/>
              <w:ind w:left="38" w:leftChars="18"/>
              <w:jc w:val="center"/>
              <w:rPr>
                <w:rFonts w:ascii="Times New Roman" w:hAnsi="Times New Roman"/>
                <w:kern w:val="2"/>
              </w:rPr>
            </w:pPr>
            <w:r>
              <w:rPr>
                <w:rFonts w:ascii="Times New Roman" w:hAnsi="Times New Roman"/>
                <w:kern w:val="2"/>
              </w:rPr>
              <w:t>16</w:t>
            </w:r>
          </w:p>
        </w:tc>
        <w:tc>
          <w:tcPr>
            <w:tcW w:w="2257" w:type="dxa"/>
            <w:tcBorders>
              <w:top w:val="single" w:color="auto" w:sz="8" w:space="0"/>
              <w:left w:val="single" w:color="auto" w:sz="8" w:space="0"/>
              <w:bottom w:val="single" w:color="auto" w:sz="8" w:space="0"/>
              <w:right w:val="single" w:color="auto" w:sz="8" w:space="0"/>
            </w:tcBorders>
            <w:vAlign w:val="center"/>
          </w:tcPr>
          <w:p w14:paraId="02950A43">
            <w:pPr>
              <w:pStyle w:val="32"/>
              <w:keepNext w:val="0"/>
              <w:keepLines w:val="0"/>
              <w:pageBreakBefore w:val="0"/>
              <w:widowControl/>
              <w:suppressLineNumbers w:val="0"/>
              <w:suppressAutoHyphens w:val="0"/>
              <w:spacing w:line="440" w:lineRule="exact"/>
              <w:rPr>
                <w:rFonts w:ascii="Times New Roman" w:hAnsi="Times New Roman" w:cs="宋体"/>
              </w:rPr>
            </w:pPr>
            <w:r>
              <w:rPr>
                <w:rFonts w:hint="eastAsia"/>
              </w:rPr>
              <w:t>成交通知书领取</w:t>
            </w:r>
          </w:p>
        </w:tc>
        <w:tc>
          <w:tcPr>
            <w:tcW w:w="5478" w:type="dxa"/>
            <w:tcBorders>
              <w:top w:val="single" w:color="auto" w:sz="8" w:space="0"/>
              <w:left w:val="single" w:color="auto" w:sz="8" w:space="0"/>
              <w:bottom w:val="single" w:color="auto" w:sz="8" w:space="0"/>
              <w:right w:val="single" w:color="auto" w:sz="18" w:space="0"/>
            </w:tcBorders>
            <w:vAlign w:val="center"/>
          </w:tcPr>
          <w:p w14:paraId="582F4EA6">
            <w:pPr>
              <w:pStyle w:val="32"/>
              <w:keepNext w:val="0"/>
              <w:keepLines w:val="0"/>
              <w:pageBreakBefore w:val="0"/>
              <w:widowControl/>
              <w:suppressLineNumbers w:val="0"/>
              <w:suppressAutoHyphens w:val="0"/>
              <w:spacing w:line="420" w:lineRule="exact"/>
              <w:ind w:firstLine="240" w:firstLineChars="100"/>
              <w:jc w:val="both"/>
              <w:rPr>
                <w:rFonts w:ascii="Times New Roman" w:hAnsi="Times New Roman" w:cs="宋体"/>
              </w:rPr>
            </w:pPr>
            <w:r>
              <w:rPr>
                <w:rFonts w:hint="eastAsia"/>
              </w:rPr>
              <w:t>采购结果公告在阿坝州自然资源局网上发布后，请成交供应商凭有效身份证明证件到</w:t>
            </w:r>
            <w:r>
              <w:rPr>
                <w:rFonts w:hint="eastAsia"/>
                <w:b/>
              </w:rPr>
              <w:t>阿坝州自然资源局</w:t>
            </w:r>
            <w:r>
              <w:rPr>
                <w:rFonts w:hint="eastAsia"/>
              </w:rPr>
              <w:t>领取成交通知书。</w:t>
            </w:r>
          </w:p>
          <w:p w14:paraId="677BC5FC">
            <w:pPr>
              <w:pStyle w:val="32"/>
              <w:keepNext w:val="0"/>
              <w:keepLines w:val="0"/>
              <w:pageBreakBefore w:val="0"/>
              <w:widowControl/>
              <w:suppressLineNumbers w:val="0"/>
              <w:suppressAutoHyphens w:val="0"/>
              <w:spacing w:line="420" w:lineRule="exact"/>
              <w:ind w:firstLine="240" w:firstLineChars="100"/>
              <w:jc w:val="both"/>
              <w:rPr>
                <w:rFonts w:ascii="Times New Roman" w:hAnsi="Times New Roman" w:cs="宋体"/>
              </w:rPr>
            </w:pPr>
            <w:r>
              <w:rPr>
                <w:rFonts w:hint="eastAsia"/>
              </w:rPr>
              <w:t>联系电话：</w:t>
            </w:r>
            <w:r>
              <w:rPr>
                <w:rFonts w:ascii="Times New Roman" w:hAnsi="Times New Roman"/>
              </w:rPr>
              <w:t>0837-2822313</w:t>
            </w:r>
          </w:p>
        </w:tc>
      </w:tr>
      <w:tr w14:paraId="380BA1BC">
        <w:tblPrEx>
          <w:tblBorders>
            <w:top w:val="single" w:color="auto" w:sz="18" w:space="0"/>
            <w:left w:val="single" w:color="auto" w:sz="18" w:space="0"/>
            <w:bottom w:val="single" w:color="auto" w:sz="18" w:space="0"/>
            <w:right w:val="single" w:color="auto" w:sz="18" w:space="0"/>
            <w:insideH w:val="outset" w:color="auto" w:sz="6" w:space="0"/>
            <w:insideV w:val="outset" w:color="auto" w:sz="6" w:space="0"/>
          </w:tblBorders>
          <w:tblCellMar>
            <w:top w:w="0" w:type="dxa"/>
            <w:left w:w="0" w:type="dxa"/>
            <w:bottom w:w="0" w:type="dxa"/>
            <w:right w:w="0" w:type="dxa"/>
          </w:tblCellMar>
        </w:tblPrEx>
        <w:trPr>
          <w:jc w:val="center"/>
        </w:trPr>
        <w:tc>
          <w:tcPr>
            <w:tcW w:w="618" w:type="dxa"/>
            <w:tcBorders>
              <w:top w:val="single" w:color="auto" w:sz="8" w:space="0"/>
              <w:left w:val="single" w:color="auto" w:sz="18" w:space="0"/>
              <w:bottom w:val="single" w:color="auto" w:sz="8" w:space="0"/>
              <w:right w:val="single" w:color="auto" w:sz="8" w:space="0"/>
            </w:tcBorders>
            <w:vAlign w:val="center"/>
          </w:tcPr>
          <w:p w14:paraId="33978807">
            <w:pPr>
              <w:pStyle w:val="32"/>
              <w:keepNext w:val="0"/>
              <w:keepLines w:val="0"/>
              <w:pageBreakBefore w:val="0"/>
              <w:widowControl/>
              <w:suppressLineNumbers w:val="0"/>
              <w:suppressAutoHyphens w:val="0"/>
              <w:kinsoku/>
              <w:wordWrap w:val="0"/>
              <w:overflowPunct/>
              <w:topLinePunct w:val="0"/>
              <w:autoSpaceDE w:val="0"/>
              <w:autoSpaceDN w:val="0"/>
              <w:spacing w:line="440" w:lineRule="exact"/>
              <w:ind w:left="38" w:leftChars="18"/>
              <w:jc w:val="center"/>
              <w:rPr>
                <w:rFonts w:ascii="Times New Roman" w:hAnsi="Times New Roman"/>
                <w:kern w:val="2"/>
              </w:rPr>
            </w:pPr>
            <w:r>
              <w:rPr>
                <w:rFonts w:ascii="Times New Roman" w:hAnsi="Times New Roman"/>
                <w:kern w:val="2"/>
              </w:rPr>
              <w:t>17</w:t>
            </w:r>
          </w:p>
        </w:tc>
        <w:tc>
          <w:tcPr>
            <w:tcW w:w="2257" w:type="dxa"/>
            <w:tcBorders>
              <w:top w:val="single" w:color="auto" w:sz="8" w:space="0"/>
              <w:left w:val="single" w:color="auto" w:sz="8" w:space="0"/>
              <w:bottom w:val="single" w:color="auto" w:sz="8" w:space="0"/>
              <w:right w:val="single" w:color="auto" w:sz="8" w:space="0"/>
            </w:tcBorders>
            <w:vAlign w:val="center"/>
          </w:tcPr>
          <w:p w14:paraId="36FF355C">
            <w:pPr>
              <w:pStyle w:val="32"/>
              <w:keepNext w:val="0"/>
              <w:keepLines w:val="0"/>
              <w:pageBreakBefore w:val="0"/>
              <w:widowControl/>
              <w:suppressLineNumbers w:val="0"/>
              <w:suppressAutoHyphens w:val="0"/>
              <w:spacing w:line="440" w:lineRule="exact"/>
              <w:rPr>
                <w:rFonts w:ascii="Times New Roman" w:hAnsi="Times New Roman"/>
                <w:kern w:val="2"/>
              </w:rPr>
            </w:pPr>
            <w:r>
              <w:rPr>
                <w:rFonts w:hint="eastAsia"/>
                <w:kern w:val="2"/>
              </w:rPr>
              <w:t>合同分包</w:t>
            </w:r>
          </w:p>
        </w:tc>
        <w:tc>
          <w:tcPr>
            <w:tcW w:w="5478" w:type="dxa"/>
            <w:tcBorders>
              <w:top w:val="single" w:color="auto" w:sz="8" w:space="0"/>
              <w:left w:val="single" w:color="auto" w:sz="8" w:space="0"/>
              <w:bottom w:val="single" w:color="auto" w:sz="8" w:space="0"/>
              <w:right w:val="single" w:color="auto" w:sz="18" w:space="0"/>
            </w:tcBorders>
            <w:vAlign w:val="center"/>
          </w:tcPr>
          <w:p w14:paraId="63115620">
            <w:pPr>
              <w:pStyle w:val="32"/>
              <w:keepNext w:val="0"/>
              <w:keepLines w:val="0"/>
              <w:pageBreakBefore w:val="0"/>
              <w:widowControl/>
              <w:suppressLineNumbers w:val="0"/>
              <w:suppressAutoHyphens w:val="0"/>
              <w:spacing w:line="420" w:lineRule="exact"/>
              <w:ind w:firstLine="240" w:firstLineChars="100"/>
              <w:rPr>
                <w:rFonts w:ascii="Times New Roman" w:hAnsi="Times New Roman"/>
                <w:kern w:val="2"/>
              </w:rPr>
            </w:pPr>
            <w:r>
              <w:rPr>
                <w:rFonts w:hint="eastAsia"/>
                <w:kern w:val="2"/>
              </w:rPr>
              <w:t>否</w:t>
            </w:r>
            <w:r>
              <w:rPr>
                <w:rFonts w:hint="eastAsia"/>
              </w:rPr>
              <w:t>。</w:t>
            </w:r>
          </w:p>
        </w:tc>
      </w:tr>
      <w:tr w14:paraId="200A062F">
        <w:tblPrEx>
          <w:tblBorders>
            <w:top w:val="single" w:color="auto" w:sz="18" w:space="0"/>
            <w:left w:val="single" w:color="auto" w:sz="18" w:space="0"/>
            <w:bottom w:val="single" w:color="auto" w:sz="18" w:space="0"/>
            <w:right w:val="single" w:color="auto" w:sz="18" w:space="0"/>
            <w:insideH w:val="outset" w:color="auto" w:sz="6" w:space="0"/>
            <w:insideV w:val="outset" w:color="auto" w:sz="6" w:space="0"/>
          </w:tblBorders>
          <w:tblCellMar>
            <w:top w:w="0" w:type="dxa"/>
            <w:left w:w="0" w:type="dxa"/>
            <w:bottom w:w="0" w:type="dxa"/>
            <w:right w:w="0" w:type="dxa"/>
          </w:tblCellMar>
        </w:tblPrEx>
        <w:trPr>
          <w:jc w:val="center"/>
        </w:trPr>
        <w:tc>
          <w:tcPr>
            <w:tcW w:w="618" w:type="dxa"/>
            <w:tcBorders>
              <w:top w:val="single" w:color="auto" w:sz="8" w:space="0"/>
              <w:left w:val="single" w:color="auto" w:sz="18" w:space="0"/>
              <w:bottom w:val="single" w:color="auto" w:sz="8" w:space="0"/>
              <w:right w:val="single" w:color="auto" w:sz="8" w:space="0"/>
            </w:tcBorders>
            <w:vAlign w:val="center"/>
          </w:tcPr>
          <w:p w14:paraId="216F7A07">
            <w:pPr>
              <w:pStyle w:val="32"/>
              <w:keepNext w:val="0"/>
              <w:keepLines w:val="0"/>
              <w:pageBreakBefore w:val="0"/>
              <w:widowControl/>
              <w:suppressLineNumbers w:val="0"/>
              <w:suppressAutoHyphens w:val="0"/>
              <w:kinsoku/>
              <w:wordWrap w:val="0"/>
              <w:overflowPunct/>
              <w:topLinePunct w:val="0"/>
              <w:autoSpaceDE w:val="0"/>
              <w:autoSpaceDN w:val="0"/>
              <w:spacing w:line="440" w:lineRule="exact"/>
              <w:ind w:left="38" w:leftChars="18"/>
              <w:jc w:val="center"/>
              <w:rPr>
                <w:rFonts w:ascii="Times New Roman" w:hAnsi="Times New Roman"/>
                <w:kern w:val="2"/>
              </w:rPr>
            </w:pPr>
            <w:r>
              <w:rPr>
                <w:rFonts w:ascii="Times New Roman" w:hAnsi="Times New Roman"/>
                <w:kern w:val="2"/>
              </w:rPr>
              <w:t>18</w:t>
            </w:r>
          </w:p>
        </w:tc>
        <w:tc>
          <w:tcPr>
            <w:tcW w:w="2257" w:type="dxa"/>
            <w:tcBorders>
              <w:top w:val="single" w:color="auto" w:sz="8" w:space="0"/>
              <w:left w:val="single" w:color="auto" w:sz="8" w:space="0"/>
              <w:bottom w:val="single" w:color="auto" w:sz="8" w:space="0"/>
              <w:right w:val="single" w:color="auto" w:sz="8" w:space="0"/>
            </w:tcBorders>
            <w:vAlign w:val="center"/>
          </w:tcPr>
          <w:p w14:paraId="23859B1F">
            <w:pPr>
              <w:pStyle w:val="32"/>
              <w:keepNext w:val="0"/>
              <w:keepLines w:val="0"/>
              <w:pageBreakBefore w:val="0"/>
              <w:widowControl/>
              <w:suppressLineNumbers w:val="0"/>
              <w:suppressAutoHyphens w:val="0"/>
              <w:spacing w:line="440" w:lineRule="exact"/>
              <w:rPr>
                <w:rFonts w:ascii="Times New Roman" w:hAnsi="Times New Roman"/>
                <w:kern w:val="2"/>
              </w:rPr>
            </w:pPr>
            <w:r>
              <w:rPr>
                <w:rFonts w:hint="eastAsia"/>
                <w:kern w:val="2"/>
              </w:rPr>
              <w:t>磋商文件的解释</w:t>
            </w:r>
          </w:p>
        </w:tc>
        <w:tc>
          <w:tcPr>
            <w:tcW w:w="5478" w:type="dxa"/>
            <w:tcBorders>
              <w:top w:val="single" w:color="auto" w:sz="8" w:space="0"/>
              <w:left w:val="single" w:color="auto" w:sz="8" w:space="0"/>
              <w:bottom w:val="single" w:color="auto" w:sz="8" w:space="0"/>
              <w:right w:val="single" w:color="auto" w:sz="18" w:space="0"/>
            </w:tcBorders>
            <w:vAlign w:val="center"/>
          </w:tcPr>
          <w:p w14:paraId="098C8B08">
            <w:pPr>
              <w:pStyle w:val="32"/>
              <w:keepNext w:val="0"/>
              <w:keepLines w:val="0"/>
              <w:pageBreakBefore w:val="0"/>
              <w:widowControl/>
              <w:suppressLineNumbers w:val="0"/>
              <w:suppressAutoHyphens w:val="0"/>
              <w:spacing w:line="420" w:lineRule="exact"/>
              <w:ind w:firstLine="240" w:firstLineChars="100"/>
              <w:jc w:val="both"/>
              <w:rPr>
                <w:rFonts w:ascii="Times New Roman" w:hAnsi="Times New Roman"/>
                <w:kern w:val="2"/>
              </w:rPr>
            </w:pPr>
            <w:r>
              <w:rPr>
                <w:rFonts w:hint="eastAsia"/>
                <w:kern w:val="2"/>
              </w:rPr>
              <w:t>本磋商文件的最终解释权由阿坝州自然资源局享有。磋商文件中供应商参加本次政府采购活动应当具备的条件和采购项目技术、服务及其他要求等所有要求均由采购人负责解释。</w:t>
            </w:r>
          </w:p>
        </w:tc>
      </w:tr>
      <w:tr w14:paraId="0246D10F">
        <w:tblPrEx>
          <w:tblBorders>
            <w:top w:val="single" w:color="auto" w:sz="18" w:space="0"/>
            <w:left w:val="single" w:color="auto" w:sz="18" w:space="0"/>
            <w:bottom w:val="single" w:color="auto" w:sz="18" w:space="0"/>
            <w:right w:val="single" w:color="auto" w:sz="18" w:space="0"/>
            <w:insideH w:val="outset" w:color="auto" w:sz="6" w:space="0"/>
            <w:insideV w:val="outset" w:color="auto" w:sz="6" w:space="0"/>
          </w:tblBorders>
          <w:tblCellMar>
            <w:top w:w="0" w:type="dxa"/>
            <w:left w:w="0" w:type="dxa"/>
            <w:bottom w:w="0" w:type="dxa"/>
            <w:right w:w="0" w:type="dxa"/>
          </w:tblCellMar>
        </w:tblPrEx>
        <w:trPr>
          <w:jc w:val="center"/>
        </w:trPr>
        <w:tc>
          <w:tcPr>
            <w:tcW w:w="618" w:type="dxa"/>
            <w:tcBorders>
              <w:top w:val="single" w:color="auto" w:sz="8" w:space="0"/>
              <w:left w:val="single" w:color="auto" w:sz="18" w:space="0"/>
              <w:bottom w:val="single" w:color="auto" w:sz="8" w:space="0"/>
              <w:right w:val="single" w:color="auto" w:sz="8" w:space="0"/>
            </w:tcBorders>
            <w:vAlign w:val="center"/>
          </w:tcPr>
          <w:p w14:paraId="15251E7D">
            <w:pPr>
              <w:keepNext w:val="0"/>
              <w:keepLines w:val="0"/>
              <w:pageBreakBefore w:val="0"/>
              <w:widowControl/>
              <w:suppressLineNumbers w:val="0"/>
              <w:suppressAutoHyphens w:val="0"/>
              <w:spacing w:line="440" w:lineRule="exact"/>
              <w:ind w:right="264"/>
              <w:jc w:val="center"/>
              <w:rPr>
                <w:sz w:val="24"/>
                <w:szCs w:val="24"/>
              </w:rPr>
            </w:pPr>
            <w:r>
              <w:rPr>
                <w:sz w:val="24"/>
                <w:szCs w:val="24"/>
              </w:rPr>
              <w:t>19</w:t>
            </w:r>
          </w:p>
        </w:tc>
        <w:tc>
          <w:tcPr>
            <w:tcW w:w="2257" w:type="dxa"/>
            <w:tcBorders>
              <w:top w:val="single" w:color="auto" w:sz="8" w:space="0"/>
              <w:left w:val="single" w:color="auto" w:sz="8" w:space="0"/>
              <w:bottom w:val="single" w:color="auto" w:sz="8" w:space="0"/>
              <w:right w:val="single" w:color="auto" w:sz="8" w:space="0"/>
            </w:tcBorders>
            <w:vAlign w:val="center"/>
          </w:tcPr>
          <w:p w14:paraId="1E3FD5EE">
            <w:pPr>
              <w:pStyle w:val="32"/>
              <w:keepNext w:val="0"/>
              <w:keepLines w:val="0"/>
              <w:pageBreakBefore w:val="0"/>
              <w:widowControl/>
              <w:suppressLineNumbers w:val="0"/>
              <w:suppressAutoHyphens w:val="0"/>
              <w:spacing w:line="440" w:lineRule="exact"/>
              <w:rPr>
                <w:rFonts w:ascii="Times New Roman" w:hAnsi="Times New Roman" w:cs="宋体"/>
              </w:rPr>
            </w:pPr>
            <w:r>
              <w:rPr>
                <w:rFonts w:hint="eastAsia"/>
              </w:rPr>
              <w:t>供应商询问</w:t>
            </w:r>
          </w:p>
        </w:tc>
        <w:tc>
          <w:tcPr>
            <w:tcW w:w="5478" w:type="dxa"/>
            <w:tcBorders>
              <w:top w:val="single" w:color="auto" w:sz="8" w:space="0"/>
              <w:left w:val="single" w:color="auto" w:sz="8" w:space="0"/>
              <w:bottom w:val="single" w:color="auto" w:sz="8" w:space="0"/>
              <w:right w:val="single" w:color="auto" w:sz="18" w:space="0"/>
            </w:tcBorders>
            <w:vAlign w:val="center"/>
          </w:tcPr>
          <w:p w14:paraId="3B8FED7A">
            <w:pPr>
              <w:pStyle w:val="32"/>
              <w:keepNext w:val="0"/>
              <w:keepLines w:val="0"/>
              <w:pageBreakBefore w:val="0"/>
              <w:widowControl/>
              <w:suppressLineNumbers w:val="0"/>
              <w:suppressAutoHyphens w:val="0"/>
              <w:spacing w:line="420" w:lineRule="exact"/>
              <w:ind w:firstLine="240" w:firstLineChars="100"/>
              <w:rPr>
                <w:rFonts w:hint="eastAsia" w:ascii="Times New Roman" w:hAnsi="Times New Roman"/>
              </w:rPr>
            </w:pPr>
            <w:r>
              <w:rPr>
                <w:rFonts w:hint="eastAsia"/>
              </w:rPr>
              <w:t>根据委托代理协议约定，供应商询问由阿坝州自然资源局负责答复。</w:t>
            </w:r>
          </w:p>
          <w:p w14:paraId="1F3ABD02">
            <w:pPr>
              <w:pStyle w:val="32"/>
              <w:keepNext w:val="0"/>
              <w:keepLines w:val="0"/>
              <w:pageBreakBefore w:val="0"/>
              <w:widowControl/>
              <w:suppressLineNumbers w:val="0"/>
              <w:suppressAutoHyphens w:val="0"/>
              <w:spacing w:line="420" w:lineRule="exact"/>
              <w:ind w:firstLine="240" w:firstLineChars="100"/>
              <w:rPr>
                <w:rFonts w:hint="eastAsia" w:ascii="Times New Roman" w:hAnsi="Times New Roman"/>
              </w:rPr>
            </w:pPr>
            <w:r>
              <w:rPr>
                <w:rFonts w:hint="eastAsia"/>
              </w:rPr>
              <w:t>联系人：德老师。</w:t>
            </w:r>
          </w:p>
          <w:p w14:paraId="75941EE0">
            <w:pPr>
              <w:pStyle w:val="32"/>
              <w:keepNext w:val="0"/>
              <w:keepLines w:val="0"/>
              <w:pageBreakBefore w:val="0"/>
              <w:widowControl/>
              <w:suppressLineNumbers w:val="0"/>
              <w:suppressAutoHyphens w:val="0"/>
              <w:spacing w:line="420" w:lineRule="exact"/>
              <w:ind w:firstLine="240" w:firstLineChars="100"/>
              <w:rPr>
                <w:rFonts w:hint="eastAsia"/>
              </w:rPr>
            </w:pPr>
            <w:r>
              <w:rPr>
                <w:rFonts w:hint="eastAsia"/>
              </w:rPr>
              <w:t>联系电话：</w:t>
            </w:r>
            <w:r>
              <w:rPr>
                <w:rFonts w:ascii="Times New Roman" w:hAnsi="Times New Roman"/>
              </w:rPr>
              <w:t>0837-2822313</w:t>
            </w:r>
            <w:r>
              <w:rPr>
                <w:rFonts w:hint="eastAsia"/>
              </w:rPr>
              <w:t>。</w:t>
            </w:r>
          </w:p>
        </w:tc>
      </w:tr>
      <w:tr w14:paraId="065813DF">
        <w:tblPrEx>
          <w:tblBorders>
            <w:top w:val="single" w:color="auto" w:sz="18" w:space="0"/>
            <w:left w:val="single" w:color="auto" w:sz="18" w:space="0"/>
            <w:bottom w:val="single" w:color="auto" w:sz="18" w:space="0"/>
            <w:right w:val="single" w:color="auto" w:sz="18" w:space="0"/>
            <w:insideH w:val="outset" w:color="auto" w:sz="6" w:space="0"/>
            <w:insideV w:val="outset" w:color="auto" w:sz="6" w:space="0"/>
          </w:tblBorders>
          <w:tblCellMar>
            <w:top w:w="0" w:type="dxa"/>
            <w:left w:w="0" w:type="dxa"/>
            <w:bottom w:w="0" w:type="dxa"/>
            <w:right w:w="0" w:type="dxa"/>
          </w:tblCellMar>
        </w:tblPrEx>
        <w:trPr>
          <w:jc w:val="center"/>
        </w:trPr>
        <w:tc>
          <w:tcPr>
            <w:tcW w:w="618" w:type="dxa"/>
            <w:tcBorders>
              <w:top w:val="single" w:color="auto" w:sz="8" w:space="0"/>
              <w:left w:val="single" w:color="auto" w:sz="18" w:space="0"/>
              <w:bottom w:val="single" w:color="auto" w:sz="8" w:space="0"/>
              <w:right w:val="single" w:color="auto" w:sz="8" w:space="0"/>
            </w:tcBorders>
            <w:vAlign w:val="center"/>
          </w:tcPr>
          <w:p w14:paraId="20B91546">
            <w:pPr>
              <w:keepNext w:val="0"/>
              <w:keepLines w:val="0"/>
              <w:pageBreakBefore w:val="0"/>
              <w:widowControl/>
              <w:suppressLineNumbers w:val="0"/>
              <w:suppressAutoHyphens w:val="0"/>
              <w:spacing w:line="440" w:lineRule="exact"/>
              <w:ind w:right="264"/>
              <w:jc w:val="center"/>
              <w:rPr>
                <w:sz w:val="24"/>
                <w:szCs w:val="24"/>
              </w:rPr>
            </w:pPr>
            <w:r>
              <w:rPr>
                <w:sz w:val="24"/>
                <w:szCs w:val="24"/>
              </w:rPr>
              <w:t>20</w:t>
            </w:r>
          </w:p>
        </w:tc>
        <w:tc>
          <w:tcPr>
            <w:tcW w:w="2257" w:type="dxa"/>
            <w:tcBorders>
              <w:top w:val="single" w:color="auto" w:sz="8" w:space="0"/>
              <w:left w:val="nil"/>
              <w:bottom w:val="single" w:color="auto" w:sz="8" w:space="0"/>
              <w:right w:val="single" w:color="auto" w:sz="8" w:space="0"/>
            </w:tcBorders>
            <w:vAlign w:val="center"/>
          </w:tcPr>
          <w:p w14:paraId="24362B91">
            <w:pPr>
              <w:pStyle w:val="32"/>
              <w:keepNext w:val="0"/>
              <w:keepLines w:val="0"/>
              <w:pageBreakBefore w:val="0"/>
              <w:widowControl/>
              <w:suppressLineNumbers w:val="0"/>
              <w:suppressAutoHyphens w:val="0"/>
              <w:spacing w:line="440" w:lineRule="exact"/>
              <w:rPr>
                <w:rFonts w:ascii="Times New Roman" w:hAnsi="Times New Roman" w:cs="宋体"/>
              </w:rPr>
            </w:pPr>
            <w:r>
              <w:rPr>
                <w:rFonts w:hint="eastAsia"/>
                <w:lang w:eastAsia="zh-CN"/>
              </w:rPr>
              <w:t>供</w:t>
            </w:r>
            <w:r>
              <w:rPr>
                <w:rFonts w:hint="eastAsia"/>
              </w:rPr>
              <w:t>应商质疑</w:t>
            </w:r>
          </w:p>
        </w:tc>
        <w:tc>
          <w:tcPr>
            <w:tcW w:w="5478" w:type="dxa"/>
            <w:tcBorders>
              <w:top w:val="single" w:color="auto" w:sz="8" w:space="0"/>
              <w:left w:val="nil"/>
              <w:bottom w:val="single" w:color="auto" w:sz="8" w:space="0"/>
              <w:right w:val="single" w:color="auto" w:sz="18" w:space="0"/>
            </w:tcBorders>
            <w:vAlign w:val="center"/>
          </w:tcPr>
          <w:p w14:paraId="4397B06A">
            <w:pPr>
              <w:keepNext w:val="0"/>
              <w:keepLines w:val="0"/>
              <w:pageBreakBefore w:val="0"/>
              <w:widowControl/>
              <w:suppressLineNumbers w:val="0"/>
              <w:suppressAutoHyphens w:val="0"/>
              <w:spacing w:line="420" w:lineRule="exact"/>
              <w:ind w:firstLine="240" w:firstLineChars="100"/>
              <w:rPr>
                <w:sz w:val="24"/>
                <w:szCs w:val="24"/>
              </w:rPr>
            </w:pPr>
            <w:r>
              <w:rPr>
                <w:rFonts w:hint="eastAsia" w:ascii="宋体"/>
                <w:sz w:val="24"/>
                <w:szCs w:val="24"/>
              </w:rPr>
              <w:t>对磋商文件所有要求的质疑由采购人负责答复。</w:t>
            </w:r>
          </w:p>
          <w:p w14:paraId="7D66D7D4">
            <w:pPr>
              <w:keepNext w:val="0"/>
              <w:keepLines w:val="0"/>
              <w:pageBreakBefore w:val="0"/>
              <w:widowControl/>
              <w:suppressLineNumbers w:val="0"/>
              <w:suppressAutoHyphens w:val="0"/>
              <w:spacing w:line="420" w:lineRule="exact"/>
              <w:ind w:firstLine="240" w:firstLineChars="100"/>
              <w:rPr>
                <w:sz w:val="24"/>
                <w:szCs w:val="24"/>
              </w:rPr>
            </w:pPr>
            <w:r>
              <w:rPr>
                <w:rFonts w:hint="eastAsia" w:ascii="宋体"/>
                <w:sz w:val="24"/>
                <w:szCs w:val="24"/>
              </w:rPr>
              <w:t>采购人：阿坝州自然资源局</w:t>
            </w:r>
          </w:p>
          <w:p w14:paraId="015BEAB7">
            <w:pPr>
              <w:pStyle w:val="32"/>
              <w:keepNext w:val="0"/>
              <w:keepLines w:val="0"/>
              <w:pageBreakBefore w:val="0"/>
              <w:widowControl/>
              <w:suppressLineNumbers w:val="0"/>
              <w:suppressAutoHyphens w:val="0"/>
              <w:spacing w:line="420" w:lineRule="exact"/>
              <w:ind w:firstLine="240" w:firstLineChars="100"/>
              <w:rPr>
                <w:rFonts w:hint="eastAsia" w:ascii="Times New Roman" w:hAnsi="Times New Roman"/>
              </w:rPr>
            </w:pPr>
            <w:r>
              <w:rPr>
                <w:rFonts w:hint="eastAsia"/>
              </w:rPr>
              <w:t>联系人：德老师。</w:t>
            </w:r>
          </w:p>
          <w:p w14:paraId="3C880D10">
            <w:pPr>
              <w:keepNext w:val="0"/>
              <w:keepLines w:val="0"/>
              <w:pageBreakBefore w:val="0"/>
              <w:widowControl/>
              <w:suppressLineNumbers w:val="0"/>
              <w:suppressAutoHyphens w:val="0"/>
              <w:spacing w:line="420" w:lineRule="exact"/>
              <w:ind w:firstLine="210" w:firstLineChars="100"/>
              <w:rPr>
                <w:rFonts w:hint="eastAsia"/>
              </w:rPr>
            </w:pPr>
            <w:r>
              <w:rPr>
                <w:rFonts w:hint="eastAsia" w:ascii="宋体"/>
              </w:rPr>
              <w:t>联系电话：</w:t>
            </w:r>
            <w:r>
              <w:t>08</w:t>
            </w:r>
            <w:bookmarkStart w:id="27" w:name="_GoBack"/>
            <w:bookmarkEnd w:id="27"/>
            <w:r>
              <w:t>37-2822313</w:t>
            </w:r>
          </w:p>
          <w:p w14:paraId="1288E4FF">
            <w:pPr>
              <w:keepNext w:val="0"/>
              <w:keepLines w:val="0"/>
              <w:pageBreakBefore w:val="0"/>
              <w:widowControl/>
              <w:suppressLineNumbers w:val="0"/>
              <w:suppressAutoHyphens w:val="0"/>
              <w:spacing w:line="420" w:lineRule="exact"/>
              <w:ind w:firstLine="240" w:firstLineChars="100"/>
              <w:rPr>
                <w:sz w:val="24"/>
                <w:szCs w:val="24"/>
              </w:rPr>
            </w:pPr>
            <w:r>
              <w:rPr>
                <w:rFonts w:hint="eastAsia" w:ascii="宋体"/>
                <w:sz w:val="24"/>
                <w:szCs w:val="24"/>
              </w:rPr>
              <w:t>注：根据《中华人民共和国政府采购法》的规定，供应商质疑不得超出磋商文件、磋商过程、磋商结果的范围。</w:t>
            </w:r>
          </w:p>
        </w:tc>
      </w:tr>
    </w:tbl>
    <w:p w14:paraId="3112E8A4"/>
    <w:p w14:paraId="6798C5A3">
      <w:pPr>
        <w:pStyle w:val="3"/>
        <w:keepNext/>
        <w:keepLines w:val="0"/>
        <w:pageBreakBefore w:val="0"/>
        <w:widowControl w:val="0"/>
        <w:suppressLineNumbers w:val="0"/>
        <w:suppressAutoHyphens w:val="0"/>
        <w:spacing w:before="0" w:after="0" w:line="240" w:lineRule="atLeast"/>
        <w:jc w:val="center"/>
        <w:rPr>
          <w:rFonts w:ascii="宋体" w:eastAsia="宋体"/>
          <w:sz w:val="28"/>
          <w:szCs w:val="28"/>
        </w:rPr>
      </w:pPr>
      <w:r>
        <w:br w:type="page"/>
      </w:r>
      <w:bookmarkStart w:id="3" w:name="_Toc227836505"/>
      <w:r>
        <w:rPr>
          <w:rFonts w:hint="eastAsia" w:ascii="宋体" w:eastAsia="宋体"/>
          <w:sz w:val="28"/>
          <w:szCs w:val="28"/>
        </w:rPr>
        <w:t>二、总  则</w:t>
      </w:r>
      <w:bookmarkEnd w:id="3"/>
    </w:p>
    <w:p w14:paraId="12DF4BC2">
      <w:pPr>
        <w:pStyle w:val="4"/>
        <w:keepNext/>
        <w:keepLines w:val="0"/>
        <w:pageBreakBefore w:val="0"/>
        <w:widowControl w:val="0"/>
        <w:suppressLineNumbers w:val="0"/>
        <w:suppressAutoHyphens w:val="0"/>
        <w:spacing w:before="156" w:beforeLines="50" w:after="156" w:afterLines="50" w:line="400" w:lineRule="exact"/>
        <w:ind w:firstLine="482" w:firstLineChars="200"/>
        <w:rPr>
          <w:sz w:val="24"/>
          <w:szCs w:val="24"/>
        </w:rPr>
      </w:pPr>
      <w:r>
        <w:rPr>
          <w:sz w:val="24"/>
          <w:szCs w:val="24"/>
        </w:rPr>
        <w:t>1.</w:t>
      </w:r>
      <w:r>
        <w:rPr>
          <w:rFonts w:hint="eastAsia"/>
          <w:sz w:val="24"/>
          <w:szCs w:val="24"/>
        </w:rPr>
        <w:t>适用范围</w:t>
      </w:r>
    </w:p>
    <w:p w14:paraId="4B140309">
      <w:pPr>
        <w:spacing w:line="400" w:lineRule="exact"/>
        <w:ind w:firstLine="480" w:firstLineChars="200"/>
        <w:rPr>
          <w:sz w:val="24"/>
          <w:szCs w:val="24"/>
        </w:rPr>
      </w:pPr>
      <w:r>
        <w:rPr>
          <w:sz w:val="24"/>
          <w:szCs w:val="24"/>
        </w:rPr>
        <w:t xml:space="preserve">1.1 </w:t>
      </w:r>
      <w:r>
        <w:rPr>
          <w:rFonts w:hint="eastAsia" w:ascii="宋体"/>
          <w:sz w:val="24"/>
          <w:szCs w:val="24"/>
        </w:rPr>
        <w:t>本磋商文件仅适用于本次磋商所叙述的</w:t>
      </w:r>
      <w:r>
        <w:rPr>
          <w:rFonts w:hint="eastAsia" w:ascii="宋体"/>
          <w:b/>
          <w:bCs/>
          <w:sz w:val="24"/>
          <w:szCs w:val="24"/>
        </w:rPr>
        <w:t>阿坝州“十五五”基础测绘规划编制项目的竞争性磋商采购</w:t>
      </w:r>
      <w:r>
        <w:rPr>
          <w:rFonts w:hint="eastAsia" w:ascii="宋体"/>
          <w:sz w:val="24"/>
          <w:szCs w:val="24"/>
        </w:rPr>
        <w:t>。</w:t>
      </w:r>
    </w:p>
    <w:p w14:paraId="182837F8">
      <w:pPr>
        <w:spacing w:line="400" w:lineRule="exact"/>
        <w:ind w:firstLine="480" w:firstLineChars="200"/>
        <w:rPr>
          <w:sz w:val="24"/>
          <w:szCs w:val="24"/>
        </w:rPr>
      </w:pPr>
      <w:r>
        <w:rPr>
          <w:sz w:val="24"/>
          <w:szCs w:val="24"/>
        </w:rPr>
        <w:t xml:space="preserve">1.2 </w:t>
      </w:r>
      <w:r>
        <w:rPr>
          <w:rFonts w:hint="eastAsia" w:ascii="宋体"/>
          <w:sz w:val="24"/>
          <w:szCs w:val="24"/>
        </w:rPr>
        <w:t>本磋商文件的解释权归采购人所有。</w:t>
      </w:r>
    </w:p>
    <w:p w14:paraId="09E2B760">
      <w:pPr>
        <w:pStyle w:val="4"/>
        <w:keepNext/>
        <w:keepLines w:val="0"/>
        <w:pageBreakBefore w:val="0"/>
        <w:widowControl w:val="0"/>
        <w:suppressLineNumbers w:val="0"/>
        <w:suppressAutoHyphens w:val="0"/>
        <w:spacing w:before="156" w:beforeLines="50" w:after="156" w:afterLines="50" w:line="400" w:lineRule="exact"/>
        <w:ind w:firstLine="482" w:firstLineChars="200"/>
        <w:rPr>
          <w:sz w:val="24"/>
          <w:szCs w:val="24"/>
        </w:rPr>
      </w:pPr>
      <w:r>
        <w:rPr>
          <w:sz w:val="24"/>
          <w:szCs w:val="24"/>
        </w:rPr>
        <w:t>2.</w:t>
      </w:r>
      <w:r>
        <w:rPr>
          <w:rFonts w:hint="eastAsia"/>
          <w:sz w:val="24"/>
          <w:szCs w:val="24"/>
        </w:rPr>
        <w:t>采购主体</w:t>
      </w:r>
    </w:p>
    <w:p w14:paraId="4489542A">
      <w:pPr>
        <w:spacing w:line="400" w:lineRule="exact"/>
        <w:ind w:firstLine="480" w:firstLineChars="200"/>
        <w:rPr>
          <w:sz w:val="24"/>
          <w:szCs w:val="24"/>
        </w:rPr>
      </w:pPr>
      <w:r>
        <w:rPr>
          <w:sz w:val="24"/>
          <w:szCs w:val="24"/>
        </w:rPr>
        <w:t>2.1</w:t>
      </w:r>
      <w:r>
        <w:rPr>
          <w:rFonts w:hint="eastAsia" w:ascii="宋体"/>
          <w:sz w:val="24"/>
          <w:szCs w:val="24"/>
        </w:rPr>
        <w:t>本次磋商的采购人是</w:t>
      </w:r>
      <w:r>
        <w:rPr>
          <w:rFonts w:hint="eastAsia"/>
          <w:sz w:val="24"/>
          <w:szCs w:val="24"/>
          <w:u w:val="single"/>
        </w:rPr>
        <w:t xml:space="preserve">  </w:t>
      </w:r>
      <w:r>
        <w:rPr>
          <w:rFonts w:hint="eastAsia" w:ascii="宋体"/>
          <w:sz w:val="24"/>
          <w:szCs w:val="24"/>
          <w:u w:val="single"/>
        </w:rPr>
        <w:t>阿坝州自然资源局</w:t>
      </w:r>
      <w:r>
        <w:rPr>
          <w:rFonts w:hint="eastAsia"/>
          <w:sz w:val="24"/>
          <w:szCs w:val="24"/>
          <w:u w:val="single"/>
        </w:rPr>
        <w:t xml:space="preserve"> </w:t>
      </w:r>
      <w:r>
        <w:rPr>
          <w:rFonts w:hint="eastAsia" w:ascii="宋体"/>
          <w:sz w:val="24"/>
          <w:szCs w:val="24"/>
        </w:rPr>
        <w:t>。</w:t>
      </w:r>
    </w:p>
    <w:p w14:paraId="1D76D2BC">
      <w:pPr>
        <w:pStyle w:val="4"/>
        <w:keepNext/>
        <w:keepLines w:val="0"/>
        <w:pageBreakBefore w:val="0"/>
        <w:widowControl w:val="0"/>
        <w:suppressLineNumbers w:val="0"/>
        <w:suppressAutoHyphens w:val="0"/>
        <w:spacing w:before="156" w:beforeLines="50" w:after="156" w:afterLines="50" w:line="400" w:lineRule="exact"/>
        <w:ind w:firstLine="482" w:firstLineChars="200"/>
        <w:rPr>
          <w:sz w:val="24"/>
          <w:szCs w:val="24"/>
        </w:rPr>
      </w:pPr>
      <w:r>
        <w:rPr>
          <w:sz w:val="24"/>
          <w:szCs w:val="24"/>
        </w:rPr>
        <w:t>3.</w:t>
      </w:r>
      <w:r>
        <w:rPr>
          <w:rFonts w:hint="eastAsia"/>
          <w:sz w:val="24"/>
          <w:szCs w:val="24"/>
        </w:rPr>
        <w:t xml:space="preserve"> 合格供应商（实质性要求）</w:t>
      </w:r>
    </w:p>
    <w:p w14:paraId="4A959EB9">
      <w:pPr>
        <w:spacing w:line="400" w:lineRule="exact"/>
        <w:rPr>
          <w:sz w:val="24"/>
          <w:szCs w:val="24"/>
        </w:rPr>
      </w:pPr>
      <w:r>
        <w:rPr>
          <w:rFonts w:hint="eastAsia"/>
          <w:b/>
          <w:sz w:val="24"/>
          <w:szCs w:val="24"/>
        </w:rPr>
        <w:t xml:space="preserve">    </w:t>
      </w:r>
      <w:r>
        <w:rPr>
          <w:rFonts w:hint="eastAsia" w:ascii="宋体"/>
          <w:sz w:val="24"/>
          <w:szCs w:val="24"/>
        </w:rPr>
        <w:t>合格供应商应具备以下条件：</w:t>
      </w:r>
    </w:p>
    <w:p w14:paraId="5EAA0A12">
      <w:pPr>
        <w:spacing w:line="400" w:lineRule="exact"/>
        <w:ind w:firstLine="480" w:firstLineChars="200"/>
        <w:rPr>
          <w:spacing w:val="-4"/>
          <w:sz w:val="24"/>
          <w:szCs w:val="24"/>
        </w:rPr>
      </w:pPr>
      <w:r>
        <w:rPr>
          <w:sz w:val="24"/>
          <w:szCs w:val="24"/>
        </w:rPr>
        <w:t xml:space="preserve">3.1 </w:t>
      </w:r>
      <w:r>
        <w:rPr>
          <w:rFonts w:hint="eastAsia" w:ascii="宋体"/>
          <w:sz w:val="24"/>
          <w:szCs w:val="24"/>
        </w:rPr>
        <w:t>具备法律法规和本采购文件规定的资格条件</w:t>
      </w:r>
      <w:r>
        <w:rPr>
          <w:rFonts w:hint="eastAsia" w:ascii="宋体"/>
          <w:spacing w:val="-4"/>
          <w:sz w:val="24"/>
          <w:szCs w:val="24"/>
        </w:rPr>
        <w:t>；</w:t>
      </w:r>
    </w:p>
    <w:p w14:paraId="067846C4">
      <w:pPr>
        <w:spacing w:line="400" w:lineRule="exact"/>
        <w:ind w:firstLine="464" w:firstLineChars="200"/>
        <w:rPr>
          <w:spacing w:val="-4"/>
          <w:sz w:val="24"/>
          <w:szCs w:val="24"/>
        </w:rPr>
      </w:pPr>
      <w:r>
        <w:rPr>
          <w:spacing w:val="-4"/>
          <w:sz w:val="24"/>
          <w:szCs w:val="24"/>
        </w:rPr>
        <w:t xml:space="preserve">3.2 </w:t>
      </w:r>
      <w:r>
        <w:rPr>
          <w:rFonts w:hint="eastAsia" w:ascii="宋体"/>
          <w:spacing w:val="-4"/>
          <w:sz w:val="24"/>
          <w:szCs w:val="24"/>
        </w:rPr>
        <w:t>不属于禁止参加本项目采购活动的供应商；</w:t>
      </w:r>
    </w:p>
    <w:p w14:paraId="26B3B98B">
      <w:pPr>
        <w:spacing w:line="400" w:lineRule="exact"/>
        <w:ind w:firstLine="464" w:firstLineChars="200"/>
        <w:rPr>
          <w:sz w:val="24"/>
          <w:szCs w:val="24"/>
        </w:rPr>
      </w:pPr>
      <w:r>
        <w:rPr>
          <w:spacing w:val="-4"/>
          <w:sz w:val="24"/>
          <w:szCs w:val="24"/>
        </w:rPr>
        <w:t xml:space="preserve">3.3 </w:t>
      </w:r>
      <w:r>
        <w:rPr>
          <w:rFonts w:hint="eastAsia" w:ascii="宋体"/>
          <w:spacing w:val="-4"/>
          <w:sz w:val="24"/>
          <w:szCs w:val="24"/>
        </w:rPr>
        <w:t>按照规定</w:t>
      </w:r>
      <w:r>
        <w:rPr>
          <w:rFonts w:hint="eastAsia" w:ascii="宋体"/>
          <w:sz w:val="24"/>
          <w:szCs w:val="24"/>
        </w:rPr>
        <w:t>获取了磋商文件，属于实质性参加政府采购活动的供应商。</w:t>
      </w:r>
    </w:p>
    <w:p w14:paraId="7D586AB0">
      <w:pPr>
        <w:pStyle w:val="4"/>
        <w:keepNext/>
        <w:keepLines w:val="0"/>
        <w:pageBreakBefore w:val="0"/>
        <w:widowControl w:val="0"/>
        <w:suppressLineNumbers w:val="0"/>
        <w:suppressAutoHyphens w:val="0"/>
        <w:spacing w:before="156" w:beforeLines="50" w:after="156" w:afterLines="50" w:line="400" w:lineRule="exact"/>
        <w:ind w:firstLine="482" w:firstLineChars="200"/>
        <w:rPr>
          <w:sz w:val="24"/>
          <w:szCs w:val="24"/>
        </w:rPr>
      </w:pPr>
      <w:r>
        <w:rPr>
          <w:sz w:val="24"/>
          <w:szCs w:val="24"/>
        </w:rPr>
        <w:t xml:space="preserve">4. </w:t>
      </w:r>
      <w:r>
        <w:rPr>
          <w:rFonts w:hint="eastAsia"/>
          <w:sz w:val="24"/>
          <w:szCs w:val="24"/>
        </w:rPr>
        <w:t>磋商费用</w:t>
      </w:r>
    </w:p>
    <w:p w14:paraId="63CBF07C">
      <w:pPr>
        <w:spacing w:line="400" w:lineRule="exact"/>
        <w:ind w:firstLine="480"/>
        <w:rPr>
          <w:bCs/>
        </w:rPr>
      </w:pPr>
      <w:r>
        <w:rPr>
          <w:rFonts w:hint="eastAsia" w:ascii="宋体"/>
          <w:sz w:val="24"/>
          <w:szCs w:val="24"/>
        </w:rPr>
        <w:t>供应商应自行承担参加磋商活动的全部费用</w:t>
      </w:r>
      <w:r>
        <w:rPr>
          <w:rFonts w:hint="eastAsia" w:ascii="宋体"/>
          <w:bCs/>
          <w:sz w:val="24"/>
          <w:szCs w:val="24"/>
        </w:rPr>
        <w:t>。</w:t>
      </w:r>
    </w:p>
    <w:p w14:paraId="4A818BBF">
      <w:pPr>
        <w:pStyle w:val="4"/>
        <w:keepNext/>
        <w:keepLines w:val="0"/>
        <w:pageBreakBefore w:val="0"/>
        <w:widowControl w:val="0"/>
        <w:suppressLineNumbers w:val="0"/>
        <w:suppressAutoHyphens w:val="0"/>
        <w:spacing w:before="156" w:beforeLines="50" w:after="156" w:afterLines="50" w:line="400" w:lineRule="exact"/>
        <w:ind w:firstLine="482" w:firstLineChars="200"/>
        <w:rPr>
          <w:sz w:val="24"/>
          <w:szCs w:val="24"/>
        </w:rPr>
      </w:pPr>
      <w:r>
        <w:rPr>
          <w:sz w:val="24"/>
          <w:szCs w:val="24"/>
        </w:rPr>
        <w:t>5.</w:t>
      </w:r>
      <w:r>
        <w:rPr>
          <w:rFonts w:hint="eastAsia"/>
          <w:sz w:val="24"/>
          <w:szCs w:val="24"/>
        </w:rPr>
        <w:t>充分、公平竞争保障措施（实质性要求）</w:t>
      </w:r>
    </w:p>
    <w:p w14:paraId="548313CD">
      <w:pPr>
        <w:pStyle w:val="33"/>
        <w:spacing w:line="400" w:lineRule="exact"/>
        <w:ind w:left="1" w:firstLine="480" w:firstLineChars="200"/>
        <w:rPr>
          <w:rFonts w:ascii="Times New Roman" w:hAnsi="Times New Roman"/>
          <w:color w:val="FF0000"/>
          <w:sz w:val="28"/>
          <w:szCs w:val="28"/>
        </w:rPr>
      </w:pPr>
      <w:r>
        <w:rPr>
          <w:rFonts w:ascii="Times New Roman" w:hAnsi="Times New Roman"/>
          <w:sz w:val="24"/>
          <w:szCs w:val="24"/>
        </w:rPr>
        <w:t>5.1</w:t>
      </w:r>
      <w:r>
        <w:rPr>
          <w:rFonts w:hint="eastAsia"/>
          <w:sz w:val="24"/>
          <w:szCs w:val="24"/>
        </w:rPr>
        <w:t>利害关系供应商处理。单位负责人为同一人或者存在直接控股、管理关系的不同供应商不得参加同一合同项下的政府采购活动。采购项目实行资格预审的，单位负责人为同一人或者存在直接控股、管理关系的不同供应商可以参加资格预审，但只能由供应商确定其中一家符合条件的供应商参加后续的政府采购活动，否则，其响应文件作为无效处理。</w:t>
      </w:r>
    </w:p>
    <w:p w14:paraId="587EA7BE">
      <w:pPr>
        <w:pStyle w:val="33"/>
        <w:spacing w:line="400" w:lineRule="exact"/>
        <w:ind w:left="1" w:firstLine="480" w:firstLineChars="200"/>
        <w:rPr>
          <w:rFonts w:ascii="Times New Roman" w:hAnsi="Times New Roman"/>
          <w:sz w:val="24"/>
          <w:szCs w:val="24"/>
        </w:rPr>
      </w:pPr>
      <w:r>
        <w:rPr>
          <w:rFonts w:ascii="Times New Roman" w:hAnsi="Times New Roman"/>
          <w:sz w:val="24"/>
          <w:szCs w:val="24"/>
        </w:rPr>
        <w:t>5.2</w:t>
      </w:r>
      <w:r>
        <w:rPr>
          <w:rFonts w:hint="eastAsia"/>
          <w:sz w:val="24"/>
          <w:szCs w:val="24"/>
        </w:rPr>
        <w:t>利害关系授权代表处理。两家以上的供应商不得在同一合同项下的采购项目中，委托同一个自然人、同一家庭的人员、同一单位的人员作为其授权代表，否则，其响应文件作为无效处理。</w:t>
      </w:r>
    </w:p>
    <w:p w14:paraId="48FFE7EE">
      <w:pPr>
        <w:pStyle w:val="33"/>
        <w:spacing w:line="400" w:lineRule="exact"/>
        <w:ind w:left="1" w:firstLine="480" w:firstLineChars="200"/>
        <w:rPr>
          <w:rFonts w:ascii="Times New Roman" w:hAnsi="Times New Roman"/>
          <w:sz w:val="24"/>
          <w:szCs w:val="24"/>
        </w:rPr>
      </w:pPr>
      <w:r>
        <w:rPr>
          <w:rFonts w:ascii="Times New Roman" w:hAnsi="Times New Roman"/>
          <w:sz w:val="24"/>
          <w:szCs w:val="24"/>
        </w:rPr>
        <w:t>5.3</w:t>
      </w:r>
      <w:r>
        <w:rPr>
          <w:rFonts w:hint="eastAsia"/>
          <w:sz w:val="24"/>
          <w:szCs w:val="24"/>
        </w:rPr>
        <w:t>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政府采购合同等实质性内容条款的，视同为采购项目提供规范编制。</w:t>
      </w:r>
    </w:p>
    <w:p w14:paraId="19B20B1F">
      <w:pPr>
        <w:spacing w:line="400" w:lineRule="exact"/>
        <w:ind w:firstLine="480" w:firstLineChars="200"/>
        <w:rPr>
          <w:sz w:val="24"/>
          <w:szCs w:val="24"/>
        </w:rPr>
      </w:pPr>
      <w:r>
        <w:rPr>
          <w:sz w:val="24"/>
          <w:szCs w:val="24"/>
        </w:rPr>
        <w:t>5.4</w:t>
      </w:r>
      <w:r>
        <w:rPr>
          <w:rFonts w:hint="eastAsia" w:ascii="宋体"/>
          <w:sz w:val="24"/>
          <w:szCs w:val="24"/>
        </w:rPr>
        <w:t>同一母公司的两家以上的子公司只能组成联合体参加本项目同一合同项下的采购活动，不得以不同供应商身份同时参加本项目同一合同项下的采购活动。</w:t>
      </w:r>
    </w:p>
    <w:p w14:paraId="2A3D4BE9">
      <w:pPr>
        <w:pStyle w:val="33"/>
        <w:spacing w:line="400" w:lineRule="exact"/>
        <w:ind w:left="1" w:firstLine="480" w:firstLineChars="200"/>
        <w:rPr>
          <w:rFonts w:ascii="Times New Roman" w:hAnsi="Times New Roman"/>
          <w:sz w:val="24"/>
          <w:szCs w:val="24"/>
        </w:rPr>
      </w:pPr>
      <w:r>
        <w:rPr>
          <w:rFonts w:ascii="Times New Roman" w:hAnsi="Times New Roman"/>
          <w:sz w:val="24"/>
          <w:szCs w:val="24"/>
        </w:rPr>
        <w:t>5.5</w:t>
      </w:r>
      <w:r>
        <w:rPr>
          <w:rFonts w:hint="eastAsia"/>
          <w:sz w:val="24"/>
          <w:szCs w:val="24"/>
        </w:rPr>
        <w:t>回避。政府采购活动中，采购人员及相关人员与供应商有下列利害关系之一的，应当回避：</w:t>
      </w:r>
    </w:p>
    <w:p w14:paraId="69BC0B97">
      <w:pPr>
        <w:pStyle w:val="33"/>
        <w:spacing w:line="400" w:lineRule="exact"/>
        <w:ind w:left="1" w:firstLine="480" w:firstLineChars="200"/>
        <w:rPr>
          <w:rFonts w:ascii="Times New Roman" w:hAnsi="Times New Roman"/>
          <w:sz w:val="24"/>
          <w:szCs w:val="24"/>
        </w:rPr>
      </w:pPr>
      <w:r>
        <w:rPr>
          <w:rFonts w:hint="eastAsia"/>
          <w:sz w:val="24"/>
          <w:szCs w:val="24"/>
        </w:rPr>
        <w:t>（</w:t>
      </w:r>
      <w:r>
        <w:rPr>
          <w:rFonts w:ascii="Times New Roman" w:hAnsi="Times New Roman"/>
          <w:sz w:val="24"/>
          <w:szCs w:val="24"/>
        </w:rPr>
        <w:t>1</w:t>
      </w:r>
      <w:r>
        <w:rPr>
          <w:rFonts w:hint="eastAsia"/>
          <w:sz w:val="24"/>
          <w:szCs w:val="24"/>
        </w:rPr>
        <w:t>）参加采购活动前</w:t>
      </w:r>
      <w:r>
        <w:rPr>
          <w:rFonts w:ascii="Times New Roman" w:hAnsi="Times New Roman"/>
          <w:sz w:val="24"/>
          <w:szCs w:val="24"/>
        </w:rPr>
        <w:t>3</w:t>
      </w:r>
      <w:r>
        <w:rPr>
          <w:rFonts w:hint="eastAsia"/>
          <w:sz w:val="24"/>
          <w:szCs w:val="24"/>
        </w:rPr>
        <w:t>年内与供应商存在劳动关系；</w:t>
      </w:r>
    </w:p>
    <w:p w14:paraId="2FA29C61">
      <w:pPr>
        <w:pStyle w:val="33"/>
        <w:spacing w:line="400" w:lineRule="exact"/>
        <w:ind w:left="1" w:firstLine="480" w:firstLineChars="200"/>
        <w:rPr>
          <w:rFonts w:ascii="Times New Roman" w:hAnsi="Times New Roman"/>
          <w:sz w:val="24"/>
          <w:szCs w:val="24"/>
        </w:rPr>
      </w:pPr>
      <w:r>
        <w:rPr>
          <w:rFonts w:hint="eastAsia"/>
          <w:sz w:val="24"/>
          <w:szCs w:val="24"/>
        </w:rPr>
        <w:t>（</w:t>
      </w:r>
      <w:r>
        <w:rPr>
          <w:rFonts w:ascii="Times New Roman" w:hAnsi="Times New Roman"/>
          <w:sz w:val="24"/>
          <w:szCs w:val="24"/>
        </w:rPr>
        <w:t>2</w:t>
      </w:r>
      <w:r>
        <w:rPr>
          <w:rFonts w:hint="eastAsia"/>
          <w:sz w:val="24"/>
          <w:szCs w:val="24"/>
        </w:rPr>
        <w:t>）参加采购活动前</w:t>
      </w:r>
      <w:r>
        <w:rPr>
          <w:rFonts w:ascii="Times New Roman" w:hAnsi="Times New Roman"/>
          <w:sz w:val="24"/>
          <w:szCs w:val="24"/>
        </w:rPr>
        <w:t>3</w:t>
      </w:r>
      <w:r>
        <w:rPr>
          <w:rFonts w:hint="eastAsia"/>
          <w:sz w:val="24"/>
          <w:szCs w:val="24"/>
        </w:rPr>
        <w:t>年内担任供应商的董事、监事；</w:t>
      </w:r>
    </w:p>
    <w:p w14:paraId="1E79E69E">
      <w:pPr>
        <w:pStyle w:val="33"/>
        <w:spacing w:line="400" w:lineRule="exact"/>
        <w:ind w:left="1" w:firstLine="480" w:firstLineChars="200"/>
        <w:rPr>
          <w:rFonts w:ascii="Times New Roman" w:hAnsi="Times New Roman"/>
          <w:sz w:val="24"/>
          <w:szCs w:val="24"/>
        </w:rPr>
      </w:pPr>
      <w:r>
        <w:rPr>
          <w:rFonts w:hint="eastAsia"/>
          <w:sz w:val="24"/>
          <w:szCs w:val="24"/>
        </w:rPr>
        <w:t>（</w:t>
      </w:r>
      <w:r>
        <w:rPr>
          <w:rFonts w:ascii="Times New Roman" w:hAnsi="Times New Roman"/>
          <w:sz w:val="24"/>
          <w:szCs w:val="24"/>
        </w:rPr>
        <w:t>3</w:t>
      </w:r>
      <w:r>
        <w:rPr>
          <w:rFonts w:hint="eastAsia"/>
          <w:sz w:val="24"/>
          <w:szCs w:val="24"/>
        </w:rPr>
        <w:t>）参加采购活动前</w:t>
      </w:r>
      <w:r>
        <w:rPr>
          <w:rFonts w:ascii="Times New Roman" w:hAnsi="Times New Roman"/>
          <w:sz w:val="24"/>
          <w:szCs w:val="24"/>
        </w:rPr>
        <w:t>3</w:t>
      </w:r>
      <w:r>
        <w:rPr>
          <w:rFonts w:hint="eastAsia"/>
          <w:sz w:val="24"/>
          <w:szCs w:val="24"/>
        </w:rPr>
        <w:t>年内是供应商的控股股东或者实际控制人；</w:t>
      </w:r>
    </w:p>
    <w:p w14:paraId="5D219671">
      <w:pPr>
        <w:pStyle w:val="33"/>
        <w:spacing w:line="400" w:lineRule="exact"/>
        <w:ind w:left="1" w:firstLine="480" w:firstLineChars="200"/>
        <w:rPr>
          <w:rFonts w:ascii="Times New Roman" w:hAnsi="Times New Roman"/>
          <w:sz w:val="24"/>
          <w:szCs w:val="24"/>
        </w:rPr>
      </w:pPr>
      <w:r>
        <w:rPr>
          <w:rFonts w:hint="eastAsia"/>
          <w:sz w:val="24"/>
          <w:szCs w:val="24"/>
        </w:rPr>
        <w:t>（</w:t>
      </w:r>
      <w:r>
        <w:rPr>
          <w:rFonts w:ascii="Times New Roman" w:hAnsi="Times New Roman"/>
          <w:sz w:val="24"/>
          <w:szCs w:val="24"/>
        </w:rPr>
        <w:t>4</w:t>
      </w:r>
      <w:r>
        <w:rPr>
          <w:rFonts w:hint="eastAsia"/>
          <w:sz w:val="24"/>
          <w:szCs w:val="24"/>
        </w:rPr>
        <w:t>）与供应商的法定代表人或者负责人有夫妻、直系血亲、三代以内旁系血亲或者近姻亲关系；</w:t>
      </w:r>
    </w:p>
    <w:p w14:paraId="0D29A3DA">
      <w:pPr>
        <w:pStyle w:val="33"/>
        <w:spacing w:line="400" w:lineRule="exact"/>
        <w:ind w:left="1" w:firstLine="480" w:firstLineChars="200"/>
        <w:rPr>
          <w:rFonts w:ascii="Times New Roman" w:hAnsi="Times New Roman"/>
          <w:sz w:val="24"/>
          <w:szCs w:val="24"/>
        </w:rPr>
      </w:pPr>
      <w:r>
        <w:rPr>
          <w:rFonts w:hint="eastAsia"/>
          <w:sz w:val="24"/>
          <w:szCs w:val="24"/>
        </w:rPr>
        <w:t>（</w:t>
      </w:r>
      <w:r>
        <w:rPr>
          <w:rFonts w:ascii="Times New Roman" w:hAnsi="Times New Roman"/>
          <w:sz w:val="24"/>
          <w:szCs w:val="24"/>
        </w:rPr>
        <w:t>5</w:t>
      </w:r>
      <w:r>
        <w:rPr>
          <w:rFonts w:hint="eastAsia"/>
          <w:sz w:val="24"/>
          <w:szCs w:val="24"/>
        </w:rPr>
        <w:t>）与供应商有其他可能影响政府采购活动公平、公正进行的关系。</w:t>
      </w:r>
    </w:p>
    <w:p w14:paraId="768D7BE8">
      <w:pPr>
        <w:pStyle w:val="33"/>
        <w:spacing w:line="400" w:lineRule="exact"/>
        <w:ind w:left="1" w:firstLine="480" w:firstLineChars="200"/>
        <w:rPr>
          <w:rFonts w:ascii="Times New Roman" w:hAnsi="Times New Roman"/>
          <w:sz w:val="24"/>
          <w:szCs w:val="24"/>
        </w:rPr>
      </w:pPr>
      <w:r>
        <w:rPr>
          <w:rFonts w:hint="eastAsia"/>
          <w:sz w:val="24"/>
          <w:szCs w:val="24"/>
        </w:rPr>
        <w:t>本项目政府采购活动中需要依法回避的采购人员是指采购人内部负责采购项目的具体经办工作人员和直接分管采购项目的负责人。本项目政府采购活动中需要依法回避的相关人员是指磋商小组成员。</w:t>
      </w:r>
    </w:p>
    <w:p w14:paraId="5DFDD97B">
      <w:pPr>
        <w:pStyle w:val="33"/>
        <w:spacing w:line="400" w:lineRule="exact"/>
        <w:ind w:left="1" w:firstLine="480" w:firstLineChars="200"/>
        <w:rPr>
          <w:rFonts w:ascii="Times New Roman" w:hAnsi="Times New Roman"/>
          <w:sz w:val="24"/>
          <w:szCs w:val="24"/>
        </w:rPr>
      </w:pPr>
      <w:r>
        <w:rPr>
          <w:rFonts w:hint="eastAsia"/>
          <w:sz w:val="24"/>
          <w:szCs w:val="24"/>
        </w:rPr>
        <w:t>供应商认为采购人员及相关人员与其他供应商有利害关系的，可以向采购人书面提出回避申请，并说明理由。采购人将及时询问被申请回避人员，有利害关系的被申请回避人员应当回避。</w:t>
      </w:r>
    </w:p>
    <w:p w14:paraId="2F871AE9">
      <w:pPr>
        <w:pStyle w:val="4"/>
        <w:keepNext/>
        <w:keepLines w:val="0"/>
        <w:pageBreakBefore w:val="0"/>
        <w:widowControl w:val="0"/>
        <w:suppressLineNumbers w:val="0"/>
        <w:suppressAutoHyphens w:val="0"/>
        <w:spacing w:before="156" w:beforeLines="50" w:after="156" w:afterLines="50" w:line="400" w:lineRule="exact"/>
        <w:ind w:firstLine="482" w:firstLineChars="200"/>
        <w:rPr>
          <w:sz w:val="24"/>
          <w:szCs w:val="24"/>
        </w:rPr>
      </w:pPr>
      <w:r>
        <w:rPr>
          <w:sz w:val="24"/>
          <w:szCs w:val="24"/>
        </w:rPr>
        <w:t>6.</w:t>
      </w:r>
      <w:r>
        <w:rPr>
          <w:rFonts w:hint="eastAsia"/>
          <w:sz w:val="24"/>
          <w:szCs w:val="24"/>
        </w:rPr>
        <w:t>联合体竞争性磋商（实质性要求）</w:t>
      </w:r>
    </w:p>
    <w:p w14:paraId="24A4387E">
      <w:pPr>
        <w:pStyle w:val="33"/>
        <w:spacing w:line="400" w:lineRule="exact"/>
        <w:ind w:left="1" w:firstLine="480" w:firstLineChars="200"/>
        <w:rPr>
          <w:rFonts w:ascii="Times New Roman" w:hAnsi="Times New Roman"/>
          <w:sz w:val="24"/>
          <w:szCs w:val="24"/>
        </w:rPr>
      </w:pPr>
      <w:r>
        <w:rPr>
          <w:rFonts w:hint="eastAsia"/>
          <w:sz w:val="24"/>
          <w:szCs w:val="24"/>
        </w:rPr>
        <w:t>本项目不接受联合体参与采购活动。</w:t>
      </w:r>
    </w:p>
    <w:p w14:paraId="0B412BDF">
      <w:pPr>
        <w:pStyle w:val="4"/>
        <w:keepNext/>
        <w:keepLines w:val="0"/>
        <w:pageBreakBefore w:val="0"/>
        <w:widowControl w:val="0"/>
        <w:suppressLineNumbers w:val="0"/>
        <w:suppressAutoHyphens w:val="0"/>
        <w:spacing w:before="156" w:beforeLines="50" w:after="156" w:afterLines="50" w:line="400" w:lineRule="exact"/>
        <w:ind w:firstLine="482" w:firstLineChars="200"/>
        <w:rPr>
          <w:sz w:val="24"/>
          <w:szCs w:val="24"/>
        </w:rPr>
      </w:pPr>
      <w:r>
        <w:rPr>
          <w:sz w:val="24"/>
          <w:szCs w:val="24"/>
        </w:rPr>
        <w:t>7.</w:t>
      </w:r>
      <w:r>
        <w:rPr>
          <w:rFonts w:hint="eastAsia"/>
          <w:sz w:val="24"/>
          <w:szCs w:val="24"/>
        </w:rPr>
        <w:t>磋商保证金（实质性要求）</w:t>
      </w:r>
    </w:p>
    <w:p w14:paraId="40F7A5D8">
      <w:pPr>
        <w:spacing w:line="400" w:lineRule="exact"/>
        <w:ind w:firstLine="470" w:firstLineChars="196"/>
        <w:rPr>
          <w:sz w:val="24"/>
          <w:szCs w:val="24"/>
        </w:rPr>
      </w:pPr>
      <w:r>
        <w:rPr>
          <w:rFonts w:hint="eastAsia" w:ascii="宋体"/>
          <w:sz w:val="24"/>
          <w:szCs w:val="24"/>
        </w:rPr>
        <w:t>不缴纳。</w:t>
      </w:r>
    </w:p>
    <w:p w14:paraId="2BC6B124">
      <w:pPr>
        <w:pStyle w:val="4"/>
        <w:keepNext/>
        <w:keepLines w:val="0"/>
        <w:pageBreakBefore w:val="0"/>
        <w:widowControl w:val="0"/>
        <w:suppressLineNumbers w:val="0"/>
        <w:suppressAutoHyphens w:val="0"/>
        <w:spacing w:before="156" w:beforeLines="50" w:after="156" w:afterLines="50" w:line="400" w:lineRule="exact"/>
        <w:ind w:firstLine="482" w:firstLineChars="200"/>
        <w:rPr>
          <w:sz w:val="24"/>
          <w:szCs w:val="24"/>
        </w:rPr>
      </w:pPr>
      <w:r>
        <w:rPr>
          <w:sz w:val="24"/>
          <w:szCs w:val="24"/>
        </w:rPr>
        <w:t>8.</w:t>
      </w:r>
      <w:r>
        <w:rPr>
          <w:rFonts w:hint="eastAsia"/>
          <w:sz w:val="24"/>
          <w:szCs w:val="24"/>
        </w:rPr>
        <w:t>响应文件有效期（实质性要求）</w:t>
      </w:r>
    </w:p>
    <w:p w14:paraId="51002766">
      <w:pPr>
        <w:spacing w:line="400" w:lineRule="exact"/>
        <w:ind w:firstLine="470" w:firstLineChars="196"/>
        <w:rPr>
          <w:sz w:val="24"/>
          <w:szCs w:val="24"/>
        </w:rPr>
      </w:pPr>
      <w:r>
        <w:rPr>
          <w:rFonts w:hint="eastAsia" w:ascii="宋体"/>
          <w:sz w:val="24"/>
          <w:szCs w:val="24"/>
        </w:rPr>
        <w:t>本项目响应文件有效期为递交磋商响应文件截止之日起</w:t>
      </w:r>
      <w:r>
        <w:rPr>
          <w:sz w:val="24"/>
          <w:szCs w:val="24"/>
        </w:rPr>
        <w:t>90</w:t>
      </w:r>
      <w:r>
        <w:rPr>
          <w:rFonts w:hint="eastAsia" w:ascii="宋体"/>
          <w:sz w:val="24"/>
          <w:szCs w:val="24"/>
        </w:rPr>
        <w:t>天。供应商响应文件中必须载明响应文件有效期，响应文件中载明的响应文件有效期可以长于磋商文件规定的期限，但不得短于磋商文件规定的期限。否则，其响应文件将作为无效处理。</w:t>
      </w:r>
    </w:p>
    <w:p w14:paraId="5845AC2A">
      <w:pPr>
        <w:pStyle w:val="4"/>
        <w:keepNext/>
        <w:keepLines w:val="0"/>
        <w:pageBreakBefore w:val="0"/>
        <w:widowControl w:val="0"/>
        <w:suppressLineNumbers w:val="0"/>
        <w:suppressAutoHyphens w:val="0"/>
        <w:spacing w:before="156" w:beforeLines="50" w:after="156" w:afterLines="50" w:line="400" w:lineRule="exact"/>
        <w:ind w:firstLine="482" w:firstLineChars="200"/>
        <w:rPr>
          <w:sz w:val="24"/>
          <w:szCs w:val="24"/>
        </w:rPr>
      </w:pPr>
      <w:r>
        <w:rPr>
          <w:sz w:val="24"/>
          <w:szCs w:val="24"/>
        </w:rPr>
        <w:t>9.</w:t>
      </w:r>
      <w:r>
        <w:rPr>
          <w:rFonts w:hint="eastAsia"/>
          <w:sz w:val="24"/>
          <w:szCs w:val="24"/>
        </w:rPr>
        <w:t>知识产权（实质性要求）</w:t>
      </w:r>
    </w:p>
    <w:p w14:paraId="58B6BFDC">
      <w:pPr>
        <w:pStyle w:val="9"/>
        <w:spacing w:line="400" w:lineRule="exact"/>
        <w:ind w:firstLine="480" w:firstLineChars="200"/>
        <w:rPr>
          <w:sz w:val="24"/>
          <w:szCs w:val="24"/>
        </w:rPr>
      </w:pPr>
      <w:r>
        <w:rPr>
          <w:sz w:val="24"/>
          <w:szCs w:val="24"/>
        </w:rPr>
        <w:t>9.1</w:t>
      </w:r>
      <w:r>
        <w:rPr>
          <w:rFonts w:hint="eastAsia"/>
          <w:sz w:val="24"/>
          <w:szCs w:val="24"/>
        </w:rPr>
        <w:t xml:space="preserve"> </w:t>
      </w:r>
      <w:r>
        <w:rPr>
          <w:rFonts w:hint="eastAsia" w:ascii="宋体"/>
          <w:sz w:val="24"/>
          <w:szCs w:val="24"/>
        </w:rPr>
        <w:t>供应商应保证在本项目中使用的任何产品和服务（包括部分使用），不会产生因第三方提出侵犯其专利权、商标权或其它知识产权而引起的法律和经济纠纷，如因专利权、商标权或其它知识产权而引起法律和经济纠纷，由供应商承担所有相关责任。</w:t>
      </w:r>
    </w:p>
    <w:p w14:paraId="4E791647">
      <w:pPr>
        <w:pStyle w:val="9"/>
        <w:spacing w:line="400" w:lineRule="exact"/>
        <w:ind w:firstLine="480" w:firstLineChars="200"/>
        <w:rPr>
          <w:sz w:val="24"/>
          <w:szCs w:val="24"/>
        </w:rPr>
      </w:pPr>
      <w:r>
        <w:rPr>
          <w:sz w:val="24"/>
          <w:szCs w:val="24"/>
        </w:rPr>
        <w:t>9.2</w:t>
      </w:r>
      <w:r>
        <w:rPr>
          <w:rFonts w:hint="eastAsia"/>
          <w:sz w:val="24"/>
          <w:szCs w:val="24"/>
        </w:rPr>
        <w:t xml:space="preserve"> </w:t>
      </w:r>
      <w:r>
        <w:rPr>
          <w:rFonts w:hint="eastAsia" w:ascii="宋体"/>
          <w:sz w:val="24"/>
          <w:szCs w:val="24"/>
        </w:rPr>
        <w:t>除非磋商文件特别规定，采购人享有本项目实施过程中产生的知识成果及知识产权。</w:t>
      </w:r>
    </w:p>
    <w:p w14:paraId="68ED4474">
      <w:pPr>
        <w:spacing w:line="400" w:lineRule="exact"/>
        <w:ind w:firstLine="480" w:firstLineChars="200"/>
        <w:rPr>
          <w:sz w:val="32"/>
          <w:szCs w:val="32"/>
        </w:rPr>
      </w:pPr>
      <w:r>
        <w:rPr>
          <w:sz w:val="24"/>
          <w:szCs w:val="24"/>
        </w:rPr>
        <w:t>9.3</w:t>
      </w:r>
      <w:r>
        <w:rPr>
          <w:rFonts w:hint="eastAsia" w:ascii="宋体"/>
          <w:sz w:val="24"/>
          <w:szCs w:val="24"/>
        </w:rPr>
        <w:t>供应商将在采购项目实施过程中采用自有或者第三方知识成果的，应当在响应文件中载明，并提供相关知识产权证明文件。使用该知识成果后，供应商需提供开发接口和开发手册等技术资料，并承诺提供无限期支持，采购人享有使用权（含采购人委托第三方在该项目后续开发的使用权）。</w:t>
      </w:r>
    </w:p>
    <w:p w14:paraId="6C917CC5">
      <w:pPr>
        <w:spacing w:line="400" w:lineRule="exact"/>
        <w:ind w:firstLine="460" w:firstLineChars="192"/>
        <w:rPr>
          <w:sz w:val="24"/>
          <w:szCs w:val="24"/>
        </w:rPr>
      </w:pPr>
      <w:r>
        <w:rPr>
          <w:sz w:val="24"/>
          <w:szCs w:val="24"/>
        </w:rPr>
        <w:t>9.4</w:t>
      </w:r>
      <w:r>
        <w:rPr>
          <w:rFonts w:hint="eastAsia"/>
          <w:sz w:val="24"/>
          <w:szCs w:val="24"/>
        </w:rPr>
        <w:t xml:space="preserve"> </w:t>
      </w:r>
      <w:r>
        <w:rPr>
          <w:rFonts w:hint="eastAsia" w:ascii="宋体"/>
          <w:sz w:val="24"/>
          <w:szCs w:val="24"/>
        </w:rPr>
        <w:t>如采用供应商所不拥有的知识产权，则在报价中必须包括合法获取该知识产权的相关费用。</w:t>
      </w:r>
      <w:r>
        <w:rPr>
          <w:rFonts w:hint="eastAsia"/>
          <w:sz w:val="24"/>
          <w:szCs w:val="24"/>
        </w:rPr>
        <w:t xml:space="preserve"> </w:t>
      </w:r>
    </w:p>
    <w:p w14:paraId="576AB90F">
      <w:pPr>
        <w:pStyle w:val="3"/>
        <w:keepNext/>
        <w:keepLines w:val="0"/>
        <w:pageBreakBefore w:val="0"/>
        <w:widowControl w:val="0"/>
        <w:suppressLineNumbers w:val="0"/>
        <w:suppressAutoHyphens w:val="0"/>
        <w:spacing w:before="0" w:after="0" w:line="400" w:lineRule="exact"/>
        <w:jc w:val="center"/>
        <w:rPr>
          <w:rFonts w:ascii="Times New Roman" w:hAnsi="Times New Roman" w:eastAsia="宋体"/>
          <w:bCs w:val="0"/>
        </w:rPr>
      </w:pPr>
      <w:bookmarkStart w:id="4" w:name="_Toc227836506"/>
      <w:r>
        <w:rPr>
          <w:rFonts w:hint="eastAsia" w:ascii="宋体" w:eastAsia="宋体"/>
          <w:bCs w:val="0"/>
        </w:rPr>
        <w:t>三、磋商文件</w:t>
      </w:r>
      <w:bookmarkEnd w:id="4"/>
    </w:p>
    <w:p w14:paraId="0278E219">
      <w:pPr>
        <w:pStyle w:val="4"/>
        <w:keepNext/>
        <w:keepLines w:val="0"/>
        <w:pageBreakBefore w:val="0"/>
        <w:widowControl w:val="0"/>
        <w:suppressLineNumbers w:val="0"/>
        <w:suppressAutoHyphens w:val="0"/>
        <w:spacing w:before="156" w:beforeLines="50" w:after="156" w:afterLines="50" w:line="400" w:lineRule="exact"/>
        <w:ind w:firstLine="482" w:firstLineChars="200"/>
        <w:rPr>
          <w:sz w:val="24"/>
          <w:szCs w:val="24"/>
        </w:rPr>
      </w:pPr>
      <w:r>
        <w:rPr>
          <w:sz w:val="24"/>
          <w:szCs w:val="24"/>
        </w:rPr>
        <w:t>10</w:t>
      </w:r>
      <w:r>
        <w:rPr>
          <w:rFonts w:hint="eastAsia"/>
          <w:sz w:val="24"/>
          <w:szCs w:val="24"/>
        </w:rPr>
        <w:t>．磋商文件的构成（实质性要求）</w:t>
      </w:r>
    </w:p>
    <w:p w14:paraId="5BE4985E">
      <w:pPr>
        <w:spacing w:line="400" w:lineRule="exact"/>
        <w:ind w:firstLine="480" w:firstLineChars="200"/>
        <w:rPr>
          <w:color w:val="FF0000"/>
          <w:sz w:val="24"/>
          <w:szCs w:val="24"/>
        </w:rPr>
      </w:pPr>
      <w:r>
        <w:rPr>
          <w:sz w:val="24"/>
          <w:szCs w:val="24"/>
        </w:rPr>
        <w:t>10</w:t>
      </w:r>
      <w:r>
        <w:rPr>
          <w:b/>
          <w:bCs/>
          <w:sz w:val="24"/>
          <w:szCs w:val="24"/>
        </w:rPr>
        <w:t>.</w:t>
      </w:r>
      <w:r>
        <w:rPr>
          <w:sz w:val="24"/>
          <w:szCs w:val="24"/>
        </w:rPr>
        <w:t xml:space="preserve">1 </w:t>
      </w:r>
      <w:r>
        <w:rPr>
          <w:rFonts w:hint="eastAsia" w:ascii="宋体"/>
          <w:sz w:val="24"/>
          <w:szCs w:val="24"/>
        </w:rPr>
        <w:t>磋商文件是供应商准备响应文件和参加磋商的依据，同时也是磋商的重要依据。磋商文件用以阐明磋商项目所需的资质、技术、服务及报价等要求、磋商程序、有关规定和注意事项以及合同主要条款等。</w:t>
      </w:r>
    </w:p>
    <w:p w14:paraId="6C82EF40">
      <w:pPr>
        <w:spacing w:line="400" w:lineRule="exact"/>
        <w:ind w:firstLine="480" w:firstLineChars="200"/>
        <w:rPr>
          <w:sz w:val="24"/>
          <w:szCs w:val="24"/>
        </w:rPr>
      </w:pPr>
      <w:r>
        <w:rPr>
          <w:sz w:val="24"/>
          <w:szCs w:val="24"/>
        </w:rPr>
        <w:t>10</w:t>
      </w:r>
      <w:r>
        <w:rPr>
          <w:b/>
          <w:bCs/>
          <w:sz w:val="24"/>
          <w:szCs w:val="24"/>
        </w:rPr>
        <w:t>.</w:t>
      </w:r>
      <w:r>
        <w:rPr>
          <w:sz w:val="24"/>
          <w:szCs w:val="24"/>
        </w:rPr>
        <w:t xml:space="preserve">2 </w:t>
      </w:r>
      <w:r>
        <w:rPr>
          <w:rFonts w:hint="eastAsia" w:ascii="宋体"/>
          <w:sz w:val="24"/>
          <w:szCs w:val="24"/>
        </w:rPr>
        <w:t>供应商应认真阅读和充分理解磋商文件中所有的事项、格式条款和规范要求。供应商应详细阅读磋商文件的全部内容，按照磋商文件的要求提供响应文件，并保证所提供的全部资料的真实性和有效性，一经发现有虚假行为的，将取消其参加磋商或成交资格，并承担相应的法律责任。</w:t>
      </w:r>
    </w:p>
    <w:p w14:paraId="60416CFC">
      <w:pPr>
        <w:pStyle w:val="4"/>
        <w:keepNext/>
        <w:keepLines w:val="0"/>
        <w:pageBreakBefore w:val="0"/>
        <w:widowControl w:val="0"/>
        <w:suppressLineNumbers w:val="0"/>
        <w:suppressAutoHyphens w:val="0"/>
        <w:spacing w:before="156" w:beforeLines="50" w:after="156" w:afterLines="50" w:line="400" w:lineRule="exact"/>
        <w:ind w:firstLine="482" w:firstLineChars="200"/>
        <w:rPr>
          <w:sz w:val="24"/>
          <w:szCs w:val="24"/>
        </w:rPr>
      </w:pPr>
      <w:r>
        <w:rPr>
          <w:sz w:val="24"/>
          <w:szCs w:val="24"/>
        </w:rPr>
        <w:t xml:space="preserve">11. </w:t>
      </w:r>
      <w:r>
        <w:rPr>
          <w:rFonts w:hint="eastAsia"/>
          <w:sz w:val="24"/>
          <w:szCs w:val="24"/>
        </w:rPr>
        <w:t>磋商文件的澄清和修改</w:t>
      </w:r>
    </w:p>
    <w:p w14:paraId="01E26AA1">
      <w:pPr>
        <w:spacing w:line="400" w:lineRule="exact"/>
        <w:ind w:firstLine="480" w:firstLineChars="200"/>
        <w:rPr>
          <w:sz w:val="24"/>
          <w:szCs w:val="24"/>
        </w:rPr>
      </w:pPr>
      <w:r>
        <w:rPr>
          <w:sz w:val="24"/>
          <w:szCs w:val="24"/>
        </w:rPr>
        <w:t xml:space="preserve">11.1 </w:t>
      </w:r>
      <w:r>
        <w:rPr>
          <w:rFonts w:hint="eastAsia" w:ascii="宋体"/>
          <w:sz w:val="24"/>
          <w:szCs w:val="24"/>
        </w:rPr>
        <w:t>在递交响应文件截止时间前，采购人、采购代理机构可以对磋商文件进行澄清或者修改。</w:t>
      </w:r>
    </w:p>
    <w:p w14:paraId="4921525C">
      <w:pPr>
        <w:spacing w:line="400" w:lineRule="exact"/>
        <w:ind w:firstLine="480" w:firstLineChars="200"/>
        <w:rPr>
          <w:sz w:val="24"/>
          <w:szCs w:val="24"/>
        </w:rPr>
      </w:pPr>
      <w:r>
        <w:rPr>
          <w:sz w:val="24"/>
          <w:szCs w:val="24"/>
        </w:rPr>
        <w:t xml:space="preserve">11.2 </w:t>
      </w:r>
      <w:r>
        <w:rPr>
          <w:rFonts w:hint="eastAsia" w:ascii="宋体"/>
          <w:sz w:val="24"/>
          <w:szCs w:val="24"/>
        </w:rPr>
        <w:t>采购代理机构对已发出的磋商文件进行澄清或者修改，应当以书面形式将澄清或者修改的内容通知所有购买了磋商文件的供应商，同时在阿坝州自然资源局网上发布更正公告。该澄清或者修改的内容为磋商文件的组成部分，澄清或者修改的内容可能影响响应文件编制的，采购人或者采购代理机构发布公告并书面通知供应商的时间，应当在提交首次响应文件截止之日起</w:t>
      </w:r>
      <w:r>
        <w:rPr>
          <w:sz w:val="24"/>
          <w:szCs w:val="24"/>
        </w:rPr>
        <w:t>3</w:t>
      </w:r>
      <w:r>
        <w:rPr>
          <w:rFonts w:hint="eastAsia" w:ascii="宋体"/>
          <w:sz w:val="24"/>
          <w:szCs w:val="24"/>
        </w:rPr>
        <w:t>个工作日前；不足上述时间的，应当顺延递交响应文件的截止时间。</w:t>
      </w:r>
    </w:p>
    <w:p w14:paraId="47832036">
      <w:pPr>
        <w:spacing w:line="400" w:lineRule="exact"/>
        <w:ind w:firstLine="480" w:firstLineChars="200"/>
        <w:rPr>
          <w:sz w:val="24"/>
          <w:szCs w:val="24"/>
        </w:rPr>
      </w:pPr>
      <w:r>
        <w:rPr>
          <w:sz w:val="24"/>
          <w:szCs w:val="24"/>
        </w:rPr>
        <w:t>11.3</w:t>
      </w:r>
      <w:r>
        <w:rPr>
          <w:rFonts w:hint="eastAsia" w:ascii="宋体"/>
          <w:sz w:val="24"/>
          <w:szCs w:val="24"/>
        </w:rPr>
        <w:t>供应商认为采购人</w:t>
      </w:r>
      <w:r>
        <w:rPr>
          <w:sz w:val="24"/>
          <w:szCs w:val="24"/>
        </w:rPr>
        <w:t>/</w:t>
      </w:r>
      <w:r>
        <w:rPr>
          <w:rFonts w:hint="eastAsia" w:ascii="宋体"/>
          <w:sz w:val="24"/>
          <w:szCs w:val="24"/>
        </w:rPr>
        <w:t>采购代理机构需要对磋商文件进行澄清或者修改的，可以在开标</w:t>
      </w:r>
      <w:r>
        <w:rPr>
          <w:sz w:val="24"/>
          <w:szCs w:val="24"/>
        </w:rPr>
        <w:t>3</w:t>
      </w:r>
      <w:r>
        <w:rPr>
          <w:rFonts w:hint="eastAsia" w:ascii="宋体"/>
          <w:sz w:val="24"/>
          <w:szCs w:val="24"/>
        </w:rPr>
        <w:t>个工作日前以书面形式向采购人</w:t>
      </w:r>
      <w:r>
        <w:rPr>
          <w:sz w:val="24"/>
          <w:szCs w:val="24"/>
        </w:rPr>
        <w:t>/</w:t>
      </w:r>
      <w:r>
        <w:rPr>
          <w:rFonts w:hint="eastAsia" w:ascii="宋体"/>
          <w:sz w:val="24"/>
          <w:szCs w:val="24"/>
        </w:rPr>
        <w:t>采购代理机构提出申请，由采购人</w:t>
      </w:r>
      <w:r>
        <w:rPr>
          <w:sz w:val="24"/>
          <w:szCs w:val="24"/>
        </w:rPr>
        <w:t>/</w:t>
      </w:r>
      <w:r>
        <w:rPr>
          <w:rFonts w:hint="eastAsia" w:ascii="宋体"/>
          <w:sz w:val="24"/>
          <w:szCs w:val="24"/>
        </w:rPr>
        <w:t>采购代理机构决定是否采纳供应商的申请事项。</w:t>
      </w:r>
    </w:p>
    <w:p w14:paraId="46153685">
      <w:pPr>
        <w:pStyle w:val="4"/>
        <w:keepNext/>
        <w:keepLines w:val="0"/>
        <w:pageBreakBefore w:val="0"/>
        <w:widowControl w:val="0"/>
        <w:suppressLineNumbers w:val="0"/>
        <w:suppressAutoHyphens w:val="0"/>
        <w:spacing w:before="156" w:beforeLines="50" w:after="156" w:afterLines="50" w:line="400" w:lineRule="exact"/>
        <w:ind w:firstLine="482" w:firstLineChars="200"/>
        <w:rPr>
          <w:sz w:val="24"/>
          <w:szCs w:val="24"/>
        </w:rPr>
      </w:pPr>
      <w:r>
        <w:rPr>
          <w:sz w:val="24"/>
          <w:szCs w:val="24"/>
        </w:rPr>
        <w:t xml:space="preserve">12. </w:t>
      </w:r>
      <w:r>
        <w:rPr>
          <w:rFonts w:hint="eastAsia"/>
          <w:sz w:val="24"/>
          <w:szCs w:val="24"/>
        </w:rPr>
        <w:t>答疑会和现场考察</w:t>
      </w:r>
    </w:p>
    <w:p w14:paraId="448BA1E1">
      <w:pPr>
        <w:spacing w:line="400" w:lineRule="exact"/>
        <w:ind w:firstLine="480" w:firstLineChars="200"/>
        <w:rPr>
          <w:sz w:val="24"/>
          <w:szCs w:val="24"/>
        </w:rPr>
      </w:pPr>
      <w:r>
        <w:rPr>
          <w:sz w:val="24"/>
          <w:szCs w:val="24"/>
        </w:rPr>
        <w:t xml:space="preserve">12.1 </w:t>
      </w:r>
      <w:r>
        <w:rPr>
          <w:rFonts w:hint="eastAsia" w:ascii="宋体"/>
          <w:sz w:val="24"/>
          <w:szCs w:val="24"/>
        </w:rPr>
        <w:t>根据采购项目和具体情况，采购人、采购代理机构认为有必要，可以在磋商文件提供期限截止后响应文件提交截止前，组织已获取磋商文件的潜在供应商现场考察或者召开答疑会。</w:t>
      </w:r>
    </w:p>
    <w:p w14:paraId="56EA2FC3">
      <w:pPr>
        <w:spacing w:line="400" w:lineRule="exact"/>
        <w:ind w:firstLine="480" w:firstLineChars="200"/>
        <w:rPr>
          <w:sz w:val="24"/>
          <w:szCs w:val="24"/>
        </w:rPr>
      </w:pPr>
      <w:r>
        <w:rPr>
          <w:sz w:val="24"/>
          <w:szCs w:val="24"/>
        </w:rPr>
        <w:t>12.2</w:t>
      </w:r>
      <w:r>
        <w:rPr>
          <w:rFonts w:hint="eastAsia" w:ascii="宋体"/>
          <w:sz w:val="24"/>
          <w:szCs w:val="24"/>
        </w:rPr>
        <w:t>采购人、采购代理机构组织现场考察或者召开答疑会的，将以书面形式通知所有获取磋商文件的潜在供应商。供应商接到通知后，不按照要求参加现场考察或者答疑会的，视同放弃参加现场考察或者答疑的权利，采购人、采购代理机构不再对该供应商重新组织，但也不会以此限制供应商提交响应文件或者以此将供应商响应文件直接作为无效处理。</w:t>
      </w:r>
    </w:p>
    <w:p w14:paraId="255489A2">
      <w:pPr>
        <w:adjustRightInd w:val="0"/>
        <w:snapToGrid w:val="0"/>
        <w:spacing w:line="400" w:lineRule="exact"/>
        <w:ind w:firstLine="420" w:firstLineChars="175"/>
        <w:rPr>
          <w:sz w:val="24"/>
          <w:szCs w:val="24"/>
        </w:rPr>
      </w:pPr>
      <w:r>
        <w:rPr>
          <w:sz w:val="24"/>
          <w:szCs w:val="24"/>
        </w:rPr>
        <w:t xml:space="preserve">12.3 </w:t>
      </w:r>
      <w:r>
        <w:rPr>
          <w:rFonts w:hint="eastAsia" w:ascii="宋体"/>
          <w:sz w:val="24"/>
          <w:szCs w:val="24"/>
        </w:rPr>
        <w:t>供应商考察现场或者参加答疑会所发生的一切费用由供应商自己承担。</w:t>
      </w:r>
    </w:p>
    <w:p w14:paraId="7FC94E58">
      <w:pPr>
        <w:spacing w:line="400" w:lineRule="exact"/>
        <w:ind w:firstLine="480" w:firstLineChars="200"/>
        <w:rPr>
          <w:sz w:val="24"/>
          <w:szCs w:val="24"/>
        </w:rPr>
      </w:pPr>
    </w:p>
    <w:p w14:paraId="4F3B6F32">
      <w:pPr>
        <w:pStyle w:val="3"/>
        <w:keepNext/>
        <w:keepLines w:val="0"/>
        <w:pageBreakBefore w:val="0"/>
        <w:widowControl w:val="0"/>
        <w:suppressLineNumbers w:val="0"/>
        <w:suppressAutoHyphens w:val="0"/>
        <w:spacing w:before="0" w:after="0" w:line="400" w:lineRule="exact"/>
        <w:jc w:val="center"/>
        <w:rPr>
          <w:rFonts w:ascii="Times New Roman" w:hAnsi="Times New Roman" w:eastAsia="宋体"/>
          <w:bCs w:val="0"/>
        </w:rPr>
      </w:pPr>
      <w:bookmarkStart w:id="5" w:name="_Toc227836507"/>
      <w:r>
        <w:rPr>
          <w:rFonts w:hint="eastAsia" w:ascii="宋体" w:eastAsia="宋体"/>
          <w:bCs w:val="0"/>
        </w:rPr>
        <w:t>四、响应文件</w:t>
      </w:r>
      <w:bookmarkEnd w:id="5"/>
    </w:p>
    <w:p w14:paraId="5583827F"/>
    <w:p w14:paraId="395B8216">
      <w:pPr>
        <w:pStyle w:val="4"/>
        <w:keepNext/>
        <w:keepLines w:val="0"/>
        <w:pageBreakBefore w:val="0"/>
        <w:widowControl w:val="0"/>
        <w:suppressLineNumbers w:val="0"/>
        <w:suppressAutoHyphens w:val="0"/>
        <w:spacing w:before="156" w:beforeLines="50" w:after="156" w:afterLines="50" w:line="400" w:lineRule="exact"/>
        <w:ind w:firstLine="482" w:firstLineChars="200"/>
        <w:rPr>
          <w:sz w:val="24"/>
          <w:szCs w:val="24"/>
        </w:rPr>
      </w:pPr>
      <w:r>
        <w:rPr>
          <w:sz w:val="24"/>
          <w:szCs w:val="24"/>
        </w:rPr>
        <w:t>13.</w:t>
      </w:r>
      <w:r>
        <w:rPr>
          <w:rFonts w:hint="eastAsia"/>
          <w:sz w:val="24"/>
          <w:szCs w:val="24"/>
        </w:rPr>
        <w:t>响应文件的组成（实质性要求）</w:t>
      </w:r>
    </w:p>
    <w:p w14:paraId="144F0275">
      <w:pPr>
        <w:spacing w:line="400" w:lineRule="exact"/>
        <w:ind w:left="2" w:leftChars="1" w:firstLine="480" w:firstLineChars="200"/>
        <w:rPr>
          <w:sz w:val="24"/>
          <w:szCs w:val="24"/>
        </w:rPr>
      </w:pPr>
      <w:r>
        <w:rPr>
          <w:rFonts w:hint="eastAsia" w:ascii="宋体"/>
          <w:sz w:val="24"/>
          <w:szCs w:val="24"/>
        </w:rPr>
        <w:t>供应商应按照磋商文件的规定和要求编制响应文件。供应商在成交后将成交项目的非主体、非关键性工作分包他人完成的，应当在响应文件中载明或磋商过程中澄清。供应商编写的响应文件应包括资格性响应文件和其他响应文件两部分，分册装订。</w:t>
      </w:r>
    </w:p>
    <w:p w14:paraId="2CBFA0B8">
      <w:pPr>
        <w:pStyle w:val="4"/>
        <w:keepNext/>
        <w:keepLines w:val="0"/>
        <w:pageBreakBefore w:val="0"/>
        <w:widowControl w:val="0"/>
        <w:suppressLineNumbers w:val="0"/>
        <w:suppressAutoHyphens w:val="0"/>
        <w:spacing w:before="156" w:beforeLines="50" w:after="156" w:afterLines="50" w:line="400" w:lineRule="exact"/>
        <w:ind w:firstLine="482" w:firstLineChars="200"/>
        <w:rPr>
          <w:sz w:val="24"/>
          <w:szCs w:val="24"/>
        </w:rPr>
      </w:pPr>
      <w:r>
        <w:rPr>
          <w:sz w:val="24"/>
          <w:szCs w:val="24"/>
        </w:rPr>
        <w:t>14.</w:t>
      </w:r>
      <w:r>
        <w:rPr>
          <w:rFonts w:hint="eastAsia"/>
          <w:sz w:val="24"/>
          <w:szCs w:val="24"/>
        </w:rPr>
        <w:t>响应文件的语言（实质性要求）</w:t>
      </w:r>
    </w:p>
    <w:p w14:paraId="71E2B51A">
      <w:pPr>
        <w:spacing w:line="400" w:lineRule="exact"/>
        <w:ind w:firstLine="480" w:firstLineChars="200"/>
        <w:rPr>
          <w:sz w:val="24"/>
          <w:szCs w:val="24"/>
        </w:rPr>
      </w:pPr>
      <w:r>
        <w:rPr>
          <w:sz w:val="24"/>
          <w:szCs w:val="24"/>
        </w:rPr>
        <w:t xml:space="preserve">14.1 </w:t>
      </w:r>
      <w:r>
        <w:rPr>
          <w:rFonts w:hint="eastAsia" w:ascii="宋体"/>
          <w:sz w:val="24"/>
          <w:szCs w:val="24"/>
        </w:rPr>
        <w:t>供应商提交的响应文件以及供应商与采购人、采购代理机构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73CA522B">
      <w:pPr>
        <w:spacing w:line="400" w:lineRule="exact"/>
        <w:ind w:firstLine="480" w:firstLineChars="200"/>
        <w:rPr>
          <w:sz w:val="24"/>
          <w:szCs w:val="24"/>
        </w:rPr>
      </w:pPr>
      <w:r>
        <w:rPr>
          <w:sz w:val="24"/>
          <w:szCs w:val="24"/>
        </w:rPr>
        <w:t xml:space="preserve">14.2 </w:t>
      </w:r>
      <w:r>
        <w:rPr>
          <w:rFonts w:hint="eastAsia" w:ascii="宋体"/>
          <w:sz w:val="24"/>
          <w:szCs w:val="24"/>
        </w:rPr>
        <w:t>翻译的中文资料与外文资料如果出现差异和矛盾，以中文为准。但不能故意错误翻译，否则，供应商的响应文件将作为无效处理。</w:t>
      </w:r>
    </w:p>
    <w:p w14:paraId="447F7F39">
      <w:pPr>
        <w:pStyle w:val="4"/>
        <w:keepNext/>
        <w:keepLines w:val="0"/>
        <w:pageBreakBefore w:val="0"/>
        <w:widowControl w:val="0"/>
        <w:suppressLineNumbers w:val="0"/>
        <w:suppressAutoHyphens w:val="0"/>
        <w:spacing w:before="156" w:beforeLines="50" w:after="156" w:afterLines="50" w:line="400" w:lineRule="exact"/>
        <w:ind w:firstLine="482" w:firstLineChars="200"/>
        <w:rPr>
          <w:sz w:val="24"/>
          <w:szCs w:val="24"/>
        </w:rPr>
      </w:pPr>
      <w:r>
        <w:rPr>
          <w:sz w:val="24"/>
          <w:szCs w:val="24"/>
        </w:rPr>
        <w:t>15.</w:t>
      </w:r>
      <w:r>
        <w:rPr>
          <w:rFonts w:hint="eastAsia"/>
          <w:sz w:val="24"/>
          <w:szCs w:val="24"/>
        </w:rPr>
        <w:t>计量单位（实质性要求）</w:t>
      </w:r>
    </w:p>
    <w:p w14:paraId="7E6E9385">
      <w:pPr>
        <w:spacing w:line="400" w:lineRule="exact"/>
        <w:ind w:firstLine="470" w:firstLineChars="196"/>
        <w:rPr>
          <w:sz w:val="24"/>
          <w:szCs w:val="24"/>
        </w:rPr>
      </w:pPr>
      <w:r>
        <w:rPr>
          <w:rFonts w:hint="eastAsia" w:ascii="宋体"/>
          <w:sz w:val="24"/>
          <w:szCs w:val="24"/>
        </w:rPr>
        <w:t>除磋商文件中另有规定外，本次采购项目所有合同项下的报价均采用国家法定的计量单位。</w:t>
      </w:r>
      <w:r>
        <w:rPr>
          <w:rFonts w:hint="eastAsia"/>
          <w:sz w:val="24"/>
          <w:szCs w:val="24"/>
        </w:rPr>
        <w:t xml:space="preserve">  </w:t>
      </w:r>
    </w:p>
    <w:p w14:paraId="2B452476">
      <w:pPr>
        <w:pStyle w:val="4"/>
        <w:keepNext/>
        <w:keepLines w:val="0"/>
        <w:pageBreakBefore w:val="0"/>
        <w:widowControl w:val="0"/>
        <w:suppressLineNumbers w:val="0"/>
        <w:suppressAutoHyphens w:val="0"/>
        <w:spacing w:before="156" w:beforeLines="50" w:after="156" w:afterLines="50" w:line="400" w:lineRule="exact"/>
        <w:ind w:firstLine="482" w:firstLineChars="200"/>
        <w:rPr>
          <w:sz w:val="24"/>
          <w:szCs w:val="24"/>
        </w:rPr>
      </w:pPr>
      <w:r>
        <w:rPr>
          <w:sz w:val="24"/>
          <w:szCs w:val="24"/>
        </w:rPr>
        <w:t xml:space="preserve">16. </w:t>
      </w:r>
      <w:r>
        <w:rPr>
          <w:rFonts w:hint="eastAsia"/>
          <w:sz w:val="24"/>
          <w:szCs w:val="24"/>
        </w:rPr>
        <w:t>报价货币（实质性要求）</w:t>
      </w:r>
    </w:p>
    <w:p w14:paraId="2263F0D4">
      <w:pPr>
        <w:spacing w:line="400" w:lineRule="exact"/>
        <w:ind w:firstLine="468" w:firstLineChars="195"/>
        <w:rPr>
          <w:bCs/>
          <w:sz w:val="24"/>
          <w:szCs w:val="24"/>
        </w:rPr>
      </w:pPr>
      <w:r>
        <w:rPr>
          <w:rFonts w:hint="eastAsia" w:ascii="宋体"/>
          <w:bCs/>
          <w:sz w:val="24"/>
          <w:szCs w:val="24"/>
        </w:rPr>
        <w:t>本次磋商项目的</w:t>
      </w:r>
      <w:r>
        <w:rPr>
          <w:rFonts w:hint="eastAsia" w:ascii="宋体"/>
          <w:sz w:val="24"/>
          <w:szCs w:val="24"/>
        </w:rPr>
        <w:t>报价货币为</w:t>
      </w:r>
      <w:r>
        <w:rPr>
          <w:rFonts w:hint="eastAsia" w:ascii="宋体"/>
          <w:bCs/>
          <w:sz w:val="24"/>
          <w:szCs w:val="24"/>
        </w:rPr>
        <w:t>人民币，报价以磋商文件规定为准。</w:t>
      </w:r>
    </w:p>
    <w:p w14:paraId="3D8BC577">
      <w:pPr>
        <w:pStyle w:val="4"/>
        <w:keepNext/>
        <w:keepLines w:val="0"/>
        <w:pageBreakBefore w:val="0"/>
        <w:widowControl w:val="0"/>
        <w:suppressLineNumbers w:val="0"/>
        <w:suppressAutoHyphens w:val="0"/>
        <w:spacing w:before="156" w:beforeLines="50" w:after="156" w:afterLines="50" w:line="400" w:lineRule="exact"/>
        <w:ind w:firstLine="482" w:firstLineChars="200"/>
        <w:rPr>
          <w:sz w:val="24"/>
          <w:szCs w:val="24"/>
        </w:rPr>
      </w:pPr>
      <w:r>
        <w:rPr>
          <w:sz w:val="24"/>
          <w:szCs w:val="24"/>
        </w:rPr>
        <w:t>17.</w:t>
      </w:r>
      <w:r>
        <w:rPr>
          <w:rFonts w:hint="eastAsia"/>
          <w:sz w:val="24"/>
          <w:szCs w:val="24"/>
        </w:rPr>
        <w:t>响应文件格式</w:t>
      </w:r>
    </w:p>
    <w:p w14:paraId="5D7ACBBE">
      <w:pPr>
        <w:spacing w:line="400" w:lineRule="exact"/>
        <w:ind w:left="2" w:leftChars="1" w:firstLine="480" w:firstLineChars="200"/>
        <w:rPr>
          <w:bCs/>
          <w:sz w:val="24"/>
          <w:szCs w:val="24"/>
        </w:rPr>
      </w:pPr>
      <w:r>
        <w:rPr>
          <w:bCs/>
          <w:sz w:val="24"/>
          <w:szCs w:val="24"/>
        </w:rPr>
        <w:t xml:space="preserve">17.1 </w:t>
      </w:r>
      <w:r>
        <w:rPr>
          <w:rFonts w:hint="eastAsia" w:ascii="宋体"/>
          <w:bCs/>
          <w:sz w:val="24"/>
          <w:szCs w:val="24"/>
        </w:rPr>
        <w:t>供应商应执行磋商文件第五章的规定要求。</w:t>
      </w:r>
    </w:p>
    <w:p w14:paraId="38B29780">
      <w:pPr>
        <w:spacing w:line="400" w:lineRule="exact"/>
        <w:ind w:left="2" w:leftChars="1" w:firstLine="480" w:firstLineChars="200"/>
        <w:rPr>
          <w:sz w:val="24"/>
          <w:szCs w:val="24"/>
        </w:rPr>
      </w:pPr>
      <w:r>
        <w:rPr>
          <w:sz w:val="24"/>
          <w:szCs w:val="24"/>
        </w:rPr>
        <w:t xml:space="preserve">17.2 </w:t>
      </w:r>
      <w:r>
        <w:rPr>
          <w:rFonts w:hint="eastAsia" w:ascii="宋体"/>
          <w:sz w:val="24"/>
          <w:szCs w:val="24"/>
        </w:rPr>
        <w:t>对于没有格式要求的磋商文件由供应商自行编写。</w:t>
      </w:r>
    </w:p>
    <w:p w14:paraId="73E37B84">
      <w:pPr>
        <w:pStyle w:val="4"/>
        <w:keepNext/>
        <w:keepLines w:val="0"/>
        <w:pageBreakBefore w:val="0"/>
        <w:widowControl w:val="0"/>
        <w:suppressLineNumbers w:val="0"/>
        <w:suppressAutoHyphens w:val="0"/>
        <w:spacing w:before="156" w:beforeLines="50" w:after="156" w:afterLines="50" w:line="400" w:lineRule="exact"/>
        <w:ind w:firstLine="482" w:firstLineChars="200"/>
        <w:rPr>
          <w:sz w:val="24"/>
          <w:szCs w:val="24"/>
        </w:rPr>
      </w:pPr>
      <w:r>
        <w:rPr>
          <w:sz w:val="24"/>
          <w:szCs w:val="24"/>
        </w:rPr>
        <w:t>18.</w:t>
      </w:r>
      <w:r>
        <w:rPr>
          <w:rFonts w:hint="eastAsia"/>
          <w:sz w:val="24"/>
          <w:szCs w:val="24"/>
        </w:rPr>
        <w:t>响应文件的编制和签署</w:t>
      </w:r>
    </w:p>
    <w:p w14:paraId="405512FF">
      <w:pPr>
        <w:spacing w:line="400" w:lineRule="exact"/>
        <w:ind w:firstLine="468" w:firstLineChars="195"/>
        <w:rPr>
          <w:bCs/>
          <w:sz w:val="24"/>
          <w:szCs w:val="24"/>
        </w:rPr>
      </w:pPr>
      <w:r>
        <w:rPr>
          <w:sz w:val="24"/>
          <w:szCs w:val="24"/>
        </w:rPr>
        <w:t xml:space="preserve">18.1 </w:t>
      </w:r>
      <w:r>
        <w:rPr>
          <w:rFonts w:hint="eastAsia" w:ascii="宋体"/>
          <w:b/>
          <w:bCs/>
          <w:sz w:val="24"/>
          <w:szCs w:val="24"/>
        </w:rPr>
        <w:t>资格性响应文件正本</w:t>
      </w:r>
      <w:r>
        <w:rPr>
          <w:b/>
          <w:bCs/>
          <w:sz w:val="24"/>
          <w:szCs w:val="24"/>
        </w:rPr>
        <w:t>1</w:t>
      </w:r>
      <w:r>
        <w:rPr>
          <w:rFonts w:hint="eastAsia" w:ascii="宋体"/>
          <w:b/>
          <w:bCs/>
          <w:sz w:val="24"/>
          <w:szCs w:val="24"/>
        </w:rPr>
        <w:t>份副本</w:t>
      </w:r>
      <w:r>
        <w:rPr>
          <w:b/>
          <w:bCs/>
          <w:sz w:val="24"/>
          <w:szCs w:val="24"/>
        </w:rPr>
        <w:t>2</w:t>
      </w:r>
      <w:r>
        <w:rPr>
          <w:rFonts w:hint="eastAsia" w:ascii="宋体"/>
          <w:b/>
          <w:bCs/>
          <w:sz w:val="24"/>
          <w:szCs w:val="24"/>
        </w:rPr>
        <w:t>份</w:t>
      </w:r>
      <w:r>
        <w:rPr>
          <w:rFonts w:hint="eastAsia" w:ascii="宋体"/>
          <w:bCs/>
          <w:sz w:val="24"/>
          <w:szCs w:val="24"/>
        </w:rPr>
        <w:t>，并在其封面上清楚地标明资格性响应文件、采购项目名称、供应商名称以及“正本”或“副本”字样。若正本和副本有不一致的内容，以正本书面响应文件为准。</w:t>
      </w:r>
    </w:p>
    <w:p w14:paraId="27E0DBAF">
      <w:pPr>
        <w:spacing w:line="400" w:lineRule="exact"/>
        <w:ind w:firstLine="468" w:firstLineChars="195"/>
        <w:rPr>
          <w:bCs/>
          <w:sz w:val="24"/>
          <w:szCs w:val="24"/>
        </w:rPr>
      </w:pPr>
      <w:r>
        <w:rPr>
          <w:bCs/>
          <w:sz w:val="24"/>
          <w:szCs w:val="24"/>
        </w:rPr>
        <w:t xml:space="preserve">18.2 </w:t>
      </w:r>
      <w:r>
        <w:rPr>
          <w:rFonts w:hint="eastAsia" w:ascii="宋体"/>
          <w:b/>
          <w:sz w:val="24"/>
          <w:szCs w:val="24"/>
        </w:rPr>
        <w:t>其他响应文件正本</w:t>
      </w:r>
      <w:r>
        <w:rPr>
          <w:b/>
          <w:sz w:val="24"/>
          <w:szCs w:val="24"/>
        </w:rPr>
        <w:t>1</w:t>
      </w:r>
      <w:r>
        <w:rPr>
          <w:rFonts w:hint="eastAsia" w:ascii="宋体"/>
          <w:b/>
          <w:sz w:val="24"/>
          <w:szCs w:val="24"/>
        </w:rPr>
        <w:t>份副本</w:t>
      </w:r>
      <w:r>
        <w:rPr>
          <w:b/>
          <w:sz w:val="24"/>
          <w:szCs w:val="24"/>
        </w:rPr>
        <w:t>2</w:t>
      </w:r>
      <w:r>
        <w:rPr>
          <w:rFonts w:hint="eastAsia" w:ascii="宋体"/>
          <w:b/>
          <w:sz w:val="24"/>
          <w:szCs w:val="24"/>
        </w:rPr>
        <w:t>份</w:t>
      </w:r>
      <w:r>
        <w:rPr>
          <w:rFonts w:hint="eastAsia" w:ascii="宋体"/>
          <w:bCs/>
          <w:sz w:val="24"/>
          <w:szCs w:val="24"/>
        </w:rPr>
        <w:t>，并在其封面上清楚地标明其他响应文件、采购项目名称、供应商名称以及“正本”或“副本”字样。若正本和副本有不一致的内容，以正本书面响应文件为准。</w:t>
      </w:r>
    </w:p>
    <w:p w14:paraId="588EDB94">
      <w:pPr>
        <w:spacing w:line="400" w:lineRule="exact"/>
        <w:ind w:firstLine="468" w:firstLineChars="195"/>
        <w:rPr>
          <w:bCs/>
          <w:sz w:val="24"/>
          <w:szCs w:val="24"/>
        </w:rPr>
      </w:pPr>
      <w:r>
        <w:rPr>
          <w:bCs/>
          <w:sz w:val="24"/>
          <w:szCs w:val="24"/>
        </w:rPr>
        <w:t xml:space="preserve">18.3 </w:t>
      </w:r>
      <w:r>
        <w:rPr>
          <w:rFonts w:hint="eastAsia" w:ascii="宋体"/>
          <w:b/>
          <w:sz w:val="24"/>
          <w:szCs w:val="24"/>
        </w:rPr>
        <w:t>电子文档一份</w:t>
      </w:r>
      <w:r>
        <w:rPr>
          <w:rFonts w:hint="eastAsia" w:ascii="宋体"/>
          <w:bCs/>
          <w:sz w:val="24"/>
          <w:szCs w:val="24"/>
        </w:rPr>
        <w:t>：资格性响应文件和其他响应文件的正本的扫描件。</w:t>
      </w:r>
    </w:p>
    <w:p w14:paraId="25EB0745">
      <w:pPr>
        <w:spacing w:line="400" w:lineRule="exact"/>
        <w:ind w:firstLine="468" w:firstLineChars="195"/>
        <w:rPr>
          <w:bCs/>
          <w:sz w:val="24"/>
          <w:szCs w:val="24"/>
        </w:rPr>
      </w:pPr>
      <w:r>
        <w:rPr>
          <w:bCs/>
          <w:sz w:val="24"/>
          <w:szCs w:val="24"/>
        </w:rPr>
        <w:t>18.4</w:t>
      </w:r>
      <w:r>
        <w:rPr>
          <w:rFonts w:hint="eastAsia" w:ascii="宋体"/>
          <w:bCs/>
          <w:sz w:val="24"/>
          <w:szCs w:val="24"/>
        </w:rPr>
        <w:t>响应文件正本和副本均需在规定签章处签字和盖章。响应文件副本可采用正本的复印件。</w:t>
      </w:r>
    </w:p>
    <w:p w14:paraId="6692B18A">
      <w:pPr>
        <w:spacing w:line="400" w:lineRule="exact"/>
        <w:ind w:firstLine="468" w:firstLineChars="195"/>
        <w:rPr>
          <w:bCs/>
          <w:sz w:val="24"/>
          <w:szCs w:val="24"/>
        </w:rPr>
      </w:pPr>
      <w:r>
        <w:rPr>
          <w:bCs/>
          <w:sz w:val="24"/>
          <w:szCs w:val="24"/>
        </w:rPr>
        <w:t>18.5</w:t>
      </w:r>
      <w:r>
        <w:rPr>
          <w:rFonts w:hint="eastAsia" w:ascii="宋体"/>
          <w:bCs/>
          <w:sz w:val="24"/>
          <w:szCs w:val="24"/>
        </w:rPr>
        <w:t>响应文件的打印和书写应清楚工整，任何行间插字、涂改或增删，必须由供应商的法定代表人或其授权代表签字并盖供应商公章。</w:t>
      </w:r>
    </w:p>
    <w:p w14:paraId="0081E67B">
      <w:pPr>
        <w:spacing w:line="400" w:lineRule="exact"/>
        <w:ind w:firstLine="468" w:firstLineChars="195"/>
        <w:rPr>
          <w:bCs/>
          <w:sz w:val="24"/>
          <w:szCs w:val="24"/>
        </w:rPr>
      </w:pPr>
      <w:r>
        <w:rPr>
          <w:bCs/>
          <w:sz w:val="24"/>
          <w:szCs w:val="24"/>
        </w:rPr>
        <w:t>18.6</w:t>
      </w:r>
      <w:r>
        <w:rPr>
          <w:rFonts w:hint="eastAsia" w:ascii="宋体"/>
          <w:b/>
          <w:sz w:val="24"/>
          <w:szCs w:val="24"/>
        </w:rPr>
        <w:t>（实质性要求）</w:t>
      </w:r>
      <w:r>
        <w:rPr>
          <w:rFonts w:hint="eastAsia" w:ascii="宋体"/>
          <w:bCs/>
          <w:sz w:val="24"/>
          <w:szCs w:val="24"/>
        </w:rPr>
        <w:t>响应文件应由供应商法定代表人</w:t>
      </w:r>
      <w:r>
        <w:rPr>
          <w:bCs/>
          <w:sz w:val="24"/>
          <w:szCs w:val="24"/>
        </w:rPr>
        <w:t>/</w:t>
      </w:r>
      <w:r>
        <w:rPr>
          <w:rFonts w:hint="eastAsia" w:ascii="宋体"/>
          <w:bCs/>
          <w:sz w:val="24"/>
          <w:szCs w:val="24"/>
        </w:rPr>
        <w:t>主要负责人</w:t>
      </w:r>
      <w:r>
        <w:rPr>
          <w:bCs/>
          <w:sz w:val="24"/>
          <w:szCs w:val="24"/>
        </w:rPr>
        <w:t>/</w:t>
      </w:r>
      <w:r>
        <w:rPr>
          <w:rFonts w:hint="eastAsia" w:ascii="宋体"/>
          <w:bCs/>
          <w:sz w:val="24"/>
          <w:szCs w:val="24"/>
        </w:rPr>
        <w:t>本人或其授权代表在响应文件要求的地方签字（或加盖私人印章），要求加盖公章的地方加盖单位公章，不得使用专用章（如经济合同章、投标专用章等）或下属单位印章代替。</w:t>
      </w:r>
    </w:p>
    <w:p w14:paraId="6F2E4720">
      <w:pPr>
        <w:spacing w:line="400" w:lineRule="exact"/>
        <w:ind w:firstLine="468" w:firstLineChars="195"/>
        <w:rPr>
          <w:bCs/>
          <w:sz w:val="24"/>
          <w:szCs w:val="24"/>
        </w:rPr>
      </w:pPr>
      <w:r>
        <w:rPr>
          <w:bCs/>
          <w:sz w:val="24"/>
          <w:szCs w:val="24"/>
        </w:rPr>
        <w:t>18.7</w:t>
      </w:r>
      <w:r>
        <w:rPr>
          <w:rFonts w:hint="eastAsia" w:ascii="宋体"/>
          <w:bCs/>
          <w:sz w:val="24"/>
          <w:szCs w:val="24"/>
        </w:rPr>
        <w:t>响应文件正本和副本需要逐页编目编码。</w:t>
      </w:r>
    </w:p>
    <w:p w14:paraId="6B24F3CE">
      <w:pPr>
        <w:spacing w:line="400" w:lineRule="exact"/>
        <w:ind w:firstLine="460" w:firstLineChars="192"/>
        <w:rPr>
          <w:sz w:val="24"/>
          <w:szCs w:val="24"/>
        </w:rPr>
      </w:pPr>
      <w:r>
        <w:rPr>
          <w:sz w:val="24"/>
          <w:szCs w:val="24"/>
        </w:rPr>
        <w:t>18.8</w:t>
      </w:r>
      <w:r>
        <w:rPr>
          <w:rFonts w:hint="eastAsia" w:ascii="宋体"/>
          <w:b/>
          <w:sz w:val="24"/>
          <w:szCs w:val="24"/>
        </w:rPr>
        <w:t>（实质性要求）</w:t>
      </w:r>
      <w:r>
        <w:rPr>
          <w:rFonts w:hint="eastAsia" w:ascii="宋体"/>
          <w:sz w:val="24"/>
          <w:szCs w:val="24"/>
        </w:rPr>
        <w:t>响应文件正本和副本应当采用胶装方式装订成册，不得散装或者合页装订。</w:t>
      </w:r>
    </w:p>
    <w:p w14:paraId="4FFCD69D">
      <w:pPr>
        <w:spacing w:line="400" w:lineRule="exact"/>
        <w:ind w:firstLine="460" w:firstLineChars="192"/>
        <w:rPr>
          <w:sz w:val="24"/>
          <w:szCs w:val="24"/>
        </w:rPr>
      </w:pPr>
      <w:r>
        <w:rPr>
          <w:sz w:val="24"/>
          <w:szCs w:val="24"/>
        </w:rPr>
        <w:t>18.9</w:t>
      </w:r>
      <w:r>
        <w:rPr>
          <w:rFonts w:hint="eastAsia" w:ascii="宋体"/>
          <w:b/>
          <w:sz w:val="24"/>
          <w:szCs w:val="24"/>
        </w:rPr>
        <w:t>（实质性要求）</w:t>
      </w:r>
      <w:r>
        <w:rPr>
          <w:rFonts w:hint="eastAsia" w:ascii="宋体"/>
          <w:sz w:val="24"/>
          <w:szCs w:val="24"/>
        </w:rPr>
        <w:t>响应文件应根据磋商文件的要求制作，签署、盖章。（按照《四川省政府采购评审工作规程（修订）》规范）</w:t>
      </w:r>
    </w:p>
    <w:p w14:paraId="2BBCC0A8">
      <w:pPr>
        <w:spacing w:line="400" w:lineRule="exact"/>
        <w:ind w:firstLine="460" w:firstLineChars="192"/>
        <w:rPr>
          <w:sz w:val="24"/>
          <w:szCs w:val="24"/>
        </w:rPr>
      </w:pPr>
      <w:r>
        <w:rPr>
          <w:sz w:val="24"/>
          <w:szCs w:val="24"/>
        </w:rPr>
        <w:t>18.10</w:t>
      </w:r>
      <w:r>
        <w:rPr>
          <w:rFonts w:hint="eastAsia" w:ascii="宋体"/>
          <w:sz w:val="24"/>
          <w:szCs w:val="24"/>
        </w:rPr>
        <w:t>响应文件统一用</w:t>
      </w:r>
      <w:r>
        <w:rPr>
          <w:sz w:val="24"/>
          <w:szCs w:val="24"/>
        </w:rPr>
        <w:t>A4</w:t>
      </w:r>
      <w:r>
        <w:rPr>
          <w:rFonts w:hint="eastAsia" w:ascii="宋体"/>
          <w:sz w:val="24"/>
          <w:szCs w:val="24"/>
        </w:rPr>
        <w:t>幅面纸印制，除另有规定外。</w:t>
      </w:r>
    </w:p>
    <w:p w14:paraId="201E60A6">
      <w:pPr>
        <w:pStyle w:val="4"/>
        <w:keepNext/>
        <w:keepLines w:val="0"/>
        <w:pageBreakBefore w:val="0"/>
        <w:widowControl w:val="0"/>
        <w:suppressLineNumbers w:val="0"/>
        <w:suppressAutoHyphens w:val="0"/>
        <w:spacing w:before="156" w:beforeLines="50" w:after="156" w:afterLines="50" w:line="400" w:lineRule="exact"/>
        <w:ind w:firstLine="482" w:firstLineChars="200"/>
        <w:rPr>
          <w:sz w:val="24"/>
          <w:szCs w:val="24"/>
        </w:rPr>
      </w:pPr>
      <w:r>
        <w:rPr>
          <w:sz w:val="24"/>
          <w:szCs w:val="24"/>
        </w:rPr>
        <w:t>19.</w:t>
      </w:r>
      <w:r>
        <w:rPr>
          <w:rFonts w:hint="eastAsia"/>
          <w:sz w:val="24"/>
          <w:szCs w:val="24"/>
        </w:rPr>
        <w:t>响应文件的密封和标注</w:t>
      </w:r>
    </w:p>
    <w:p w14:paraId="70DA1F02">
      <w:pPr>
        <w:spacing w:line="400" w:lineRule="exact"/>
        <w:ind w:firstLine="460" w:firstLineChars="192"/>
        <w:rPr>
          <w:sz w:val="24"/>
          <w:szCs w:val="24"/>
        </w:rPr>
      </w:pPr>
      <w:r>
        <w:rPr>
          <w:sz w:val="24"/>
          <w:szCs w:val="24"/>
        </w:rPr>
        <w:t xml:space="preserve">19.1 </w:t>
      </w:r>
      <w:r>
        <w:rPr>
          <w:rFonts w:hint="eastAsia" w:ascii="宋体"/>
          <w:sz w:val="24"/>
          <w:szCs w:val="24"/>
        </w:rPr>
        <w:t>响应文件可以单独密封包装，也可以所有响应文件密封包装在一个密封袋内。</w:t>
      </w:r>
    </w:p>
    <w:p w14:paraId="3E28E85B">
      <w:pPr>
        <w:spacing w:line="400" w:lineRule="exact"/>
        <w:ind w:firstLine="460" w:firstLineChars="192"/>
        <w:rPr>
          <w:sz w:val="24"/>
          <w:szCs w:val="24"/>
        </w:rPr>
      </w:pPr>
      <w:r>
        <w:rPr>
          <w:sz w:val="24"/>
          <w:szCs w:val="24"/>
        </w:rPr>
        <w:t xml:space="preserve">19.2 </w:t>
      </w:r>
      <w:r>
        <w:rPr>
          <w:rFonts w:hint="eastAsia" w:ascii="宋体"/>
          <w:sz w:val="24"/>
          <w:szCs w:val="24"/>
        </w:rPr>
        <w:t>响应文件密封袋的最外层应清楚地标明采购项目名称、供应商名称。</w:t>
      </w:r>
    </w:p>
    <w:p w14:paraId="12769024">
      <w:pPr>
        <w:spacing w:line="400" w:lineRule="exact"/>
        <w:ind w:firstLine="460" w:firstLineChars="192"/>
        <w:rPr>
          <w:sz w:val="24"/>
          <w:szCs w:val="24"/>
        </w:rPr>
      </w:pPr>
      <w:r>
        <w:rPr>
          <w:sz w:val="24"/>
          <w:szCs w:val="24"/>
        </w:rPr>
        <w:t xml:space="preserve">19.3 </w:t>
      </w:r>
      <w:r>
        <w:rPr>
          <w:rFonts w:hint="eastAsia" w:ascii="宋体"/>
          <w:sz w:val="24"/>
          <w:szCs w:val="24"/>
        </w:rPr>
        <w:t>所有外层密封袋的封口处应粘贴牢固。</w:t>
      </w:r>
    </w:p>
    <w:p w14:paraId="6046AC07">
      <w:pPr>
        <w:spacing w:line="400" w:lineRule="exact"/>
        <w:ind w:firstLine="460" w:firstLineChars="192"/>
        <w:rPr>
          <w:sz w:val="24"/>
          <w:szCs w:val="24"/>
        </w:rPr>
      </w:pPr>
      <w:r>
        <w:rPr>
          <w:sz w:val="24"/>
          <w:szCs w:val="24"/>
        </w:rPr>
        <w:t xml:space="preserve">19.4 </w:t>
      </w:r>
      <w:r>
        <w:rPr>
          <w:rFonts w:hint="eastAsia" w:ascii="宋体"/>
          <w:sz w:val="24"/>
          <w:szCs w:val="24"/>
        </w:rPr>
        <w:t>未按以上要求进行密封和标注的响应文件，采购人将拒收或者在时间允许的范围内，要求修改完善后接收。</w:t>
      </w:r>
    </w:p>
    <w:p w14:paraId="53A77697">
      <w:pPr>
        <w:pStyle w:val="4"/>
        <w:keepNext/>
        <w:keepLines w:val="0"/>
        <w:pageBreakBefore w:val="0"/>
        <w:widowControl w:val="0"/>
        <w:suppressLineNumbers w:val="0"/>
        <w:suppressAutoHyphens w:val="0"/>
        <w:spacing w:before="156" w:beforeLines="50" w:after="156" w:afterLines="50" w:line="400" w:lineRule="exact"/>
        <w:ind w:firstLine="482" w:firstLineChars="200"/>
        <w:rPr>
          <w:sz w:val="24"/>
          <w:szCs w:val="24"/>
        </w:rPr>
      </w:pPr>
      <w:r>
        <w:rPr>
          <w:sz w:val="24"/>
          <w:szCs w:val="24"/>
        </w:rPr>
        <w:t>20.</w:t>
      </w:r>
      <w:r>
        <w:rPr>
          <w:rFonts w:hint="eastAsia"/>
          <w:sz w:val="24"/>
          <w:szCs w:val="24"/>
        </w:rPr>
        <w:t>响应文件的递交</w:t>
      </w:r>
    </w:p>
    <w:p w14:paraId="30C0F379">
      <w:pPr>
        <w:spacing w:line="400" w:lineRule="exact"/>
        <w:ind w:firstLine="460" w:firstLineChars="192"/>
        <w:rPr>
          <w:sz w:val="24"/>
          <w:szCs w:val="24"/>
        </w:rPr>
      </w:pPr>
      <w:r>
        <w:rPr>
          <w:sz w:val="24"/>
          <w:szCs w:val="24"/>
        </w:rPr>
        <w:t xml:space="preserve">20.1 </w:t>
      </w:r>
      <w:r>
        <w:rPr>
          <w:rFonts w:hint="eastAsia" w:ascii="宋体"/>
          <w:sz w:val="24"/>
          <w:szCs w:val="24"/>
        </w:rPr>
        <w:t>资格性响应文件和其他响应文件应于递交响应文件截止时间前送达指定地点，采购人拒绝接收截止时间后送达的响应文件。</w:t>
      </w:r>
    </w:p>
    <w:p w14:paraId="051BA11D">
      <w:pPr>
        <w:spacing w:line="400" w:lineRule="exact"/>
        <w:ind w:firstLine="460" w:firstLineChars="192"/>
        <w:rPr>
          <w:sz w:val="24"/>
          <w:szCs w:val="24"/>
        </w:rPr>
      </w:pPr>
      <w:r>
        <w:rPr>
          <w:sz w:val="24"/>
          <w:szCs w:val="24"/>
        </w:rPr>
        <w:t xml:space="preserve">20.2 </w:t>
      </w:r>
      <w:r>
        <w:rPr>
          <w:rFonts w:hint="eastAsia" w:ascii="宋体"/>
          <w:sz w:val="24"/>
          <w:szCs w:val="24"/>
        </w:rPr>
        <w:t>采购人将向通过资格审查的供应商发出磋商邀请；告知未通过资格审查的供应商未通过的原因。</w:t>
      </w:r>
    </w:p>
    <w:p w14:paraId="4EA5BDCF">
      <w:pPr>
        <w:spacing w:line="400" w:lineRule="exact"/>
        <w:ind w:firstLine="460" w:firstLineChars="192"/>
        <w:rPr>
          <w:sz w:val="24"/>
          <w:szCs w:val="24"/>
        </w:rPr>
      </w:pPr>
      <w:r>
        <w:rPr>
          <w:sz w:val="24"/>
          <w:szCs w:val="24"/>
        </w:rPr>
        <w:t xml:space="preserve">20.3 </w:t>
      </w:r>
      <w:r>
        <w:rPr>
          <w:rFonts w:hint="eastAsia" w:ascii="宋体"/>
          <w:sz w:val="24"/>
          <w:szCs w:val="24"/>
        </w:rPr>
        <w:t>报价表在磋商后，磋商小组要求供应商进行最后报价时递交。</w:t>
      </w:r>
    </w:p>
    <w:p w14:paraId="50162C7E">
      <w:pPr>
        <w:spacing w:line="400" w:lineRule="exact"/>
        <w:ind w:firstLine="460" w:firstLineChars="192"/>
        <w:rPr>
          <w:sz w:val="24"/>
          <w:szCs w:val="24"/>
        </w:rPr>
      </w:pPr>
      <w:r>
        <w:rPr>
          <w:sz w:val="24"/>
          <w:szCs w:val="24"/>
        </w:rPr>
        <w:t>20.4</w:t>
      </w:r>
      <w:r>
        <w:rPr>
          <w:rFonts w:hint="eastAsia" w:ascii="宋体"/>
          <w:sz w:val="24"/>
          <w:szCs w:val="24"/>
        </w:rPr>
        <w:t>本次采购不接收邮寄的响应文件。</w:t>
      </w:r>
    </w:p>
    <w:p w14:paraId="60B620B5">
      <w:pPr>
        <w:pStyle w:val="4"/>
        <w:keepNext/>
        <w:keepLines w:val="0"/>
        <w:pageBreakBefore w:val="0"/>
        <w:widowControl w:val="0"/>
        <w:suppressLineNumbers w:val="0"/>
        <w:suppressAutoHyphens w:val="0"/>
        <w:spacing w:before="156" w:beforeLines="50" w:after="156" w:afterLines="50" w:line="400" w:lineRule="exact"/>
        <w:ind w:firstLine="482" w:firstLineChars="200"/>
        <w:rPr>
          <w:sz w:val="24"/>
          <w:szCs w:val="24"/>
        </w:rPr>
      </w:pPr>
      <w:r>
        <w:rPr>
          <w:sz w:val="24"/>
          <w:szCs w:val="24"/>
        </w:rPr>
        <w:t>21.</w:t>
      </w:r>
      <w:r>
        <w:rPr>
          <w:rFonts w:hint="eastAsia"/>
          <w:sz w:val="24"/>
          <w:szCs w:val="24"/>
        </w:rPr>
        <w:t>响应文件的修改和撤回（补充、修改响应文件的密封和标注按照本章“</w:t>
      </w:r>
      <w:r>
        <w:rPr>
          <w:sz w:val="24"/>
          <w:szCs w:val="24"/>
        </w:rPr>
        <w:t>19.</w:t>
      </w:r>
      <w:r>
        <w:rPr>
          <w:rFonts w:hint="eastAsia"/>
          <w:sz w:val="24"/>
          <w:szCs w:val="24"/>
        </w:rPr>
        <w:t>响应文件的密封和标注”规定处理）</w:t>
      </w:r>
    </w:p>
    <w:p w14:paraId="247AA994">
      <w:pPr>
        <w:pStyle w:val="6"/>
        <w:spacing w:line="400" w:lineRule="exact"/>
        <w:rPr>
          <w:sz w:val="24"/>
          <w:szCs w:val="24"/>
        </w:rPr>
      </w:pPr>
      <w:r>
        <w:rPr>
          <w:sz w:val="24"/>
          <w:szCs w:val="24"/>
        </w:rPr>
        <w:t>21.1</w:t>
      </w:r>
      <w:r>
        <w:rPr>
          <w:rFonts w:hint="eastAsia" w:ascii="宋体"/>
          <w:sz w:val="24"/>
          <w:szCs w:val="24"/>
        </w:rPr>
        <w:t>供应商在提交响应文件后可对其响应文件进行修改或撤回，但该修改或撤回的书面通知须在递交截止时间之前送达采购人，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660CD1D6">
      <w:pPr>
        <w:adjustRightInd w:val="0"/>
        <w:snapToGrid w:val="0"/>
        <w:spacing w:line="400" w:lineRule="exact"/>
        <w:ind w:firstLine="480" w:firstLineChars="200"/>
        <w:rPr>
          <w:sz w:val="24"/>
          <w:szCs w:val="24"/>
        </w:rPr>
      </w:pPr>
      <w:r>
        <w:rPr>
          <w:sz w:val="24"/>
          <w:szCs w:val="24"/>
        </w:rPr>
        <w:t>21.2</w:t>
      </w:r>
      <w:r>
        <w:rPr>
          <w:rFonts w:hint="eastAsia" w:ascii="宋体"/>
          <w:sz w:val="24"/>
          <w:szCs w:val="24"/>
        </w:rPr>
        <w:t>供应商对响应文件修改的书面材料或撤回的通知应该按规定进行编写、密封、标注和递送，并注明“修改响应文件”字样。</w:t>
      </w:r>
    </w:p>
    <w:p w14:paraId="36CFFBC5">
      <w:pPr>
        <w:adjustRightInd w:val="0"/>
        <w:snapToGrid w:val="0"/>
        <w:spacing w:line="400" w:lineRule="exact"/>
        <w:ind w:firstLine="480" w:firstLineChars="200"/>
        <w:rPr>
          <w:sz w:val="24"/>
          <w:szCs w:val="24"/>
        </w:rPr>
      </w:pPr>
      <w:r>
        <w:rPr>
          <w:sz w:val="24"/>
          <w:szCs w:val="24"/>
        </w:rPr>
        <w:t>21.3</w:t>
      </w:r>
      <w:r>
        <w:rPr>
          <w:rFonts w:hint="eastAsia" w:ascii="宋体"/>
          <w:sz w:val="24"/>
          <w:szCs w:val="24"/>
        </w:rPr>
        <w:t>供应商不得在递交截止时间起至响应文件有效期期满前撤销其响应文件。</w:t>
      </w:r>
    </w:p>
    <w:p w14:paraId="2147AA36">
      <w:pPr>
        <w:spacing w:line="400" w:lineRule="exact"/>
        <w:ind w:firstLine="480"/>
        <w:rPr>
          <w:sz w:val="24"/>
          <w:szCs w:val="24"/>
        </w:rPr>
      </w:pPr>
      <w:r>
        <w:rPr>
          <w:sz w:val="24"/>
          <w:szCs w:val="24"/>
        </w:rPr>
        <w:t xml:space="preserve">21.4 </w:t>
      </w:r>
      <w:r>
        <w:rPr>
          <w:rFonts w:hint="eastAsia" w:ascii="宋体"/>
          <w:sz w:val="24"/>
          <w:szCs w:val="24"/>
        </w:rPr>
        <w:t>响应文件中报价如果出现下列不一致的，可按以下原则进行修改：</w:t>
      </w:r>
    </w:p>
    <w:p w14:paraId="5F691343">
      <w:pPr>
        <w:spacing w:line="400" w:lineRule="exact"/>
        <w:ind w:firstLine="480"/>
        <w:rPr>
          <w:sz w:val="24"/>
          <w:szCs w:val="24"/>
        </w:rPr>
      </w:pPr>
      <w:r>
        <w:rPr>
          <w:rFonts w:hint="eastAsia" w:ascii="宋体"/>
          <w:sz w:val="24"/>
          <w:szCs w:val="24"/>
        </w:rPr>
        <w:t>（一）</w:t>
      </w:r>
      <w:r>
        <w:rPr>
          <w:rFonts w:hint="eastAsia" w:ascii="宋体"/>
          <w:kern w:val="0"/>
          <w:sz w:val="24"/>
          <w:szCs w:val="24"/>
        </w:rPr>
        <w:t>大写金额和小写金额不一致的，以大写金额为准</w:t>
      </w:r>
      <w:r>
        <w:rPr>
          <w:rFonts w:hint="eastAsia" w:ascii="宋体"/>
          <w:sz w:val="24"/>
          <w:szCs w:val="24"/>
        </w:rPr>
        <w:t>，但大写金额文字存在错误的，应当先对大写金额的文字错误进行澄清、说明或者更正，再行修正。</w:t>
      </w:r>
    </w:p>
    <w:p w14:paraId="374BA537">
      <w:pPr>
        <w:spacing w:line="400" w:lineRule="exact"/>
        <w:ind w:firstLine="480"/>
        <w:rPr>
          <w:sz w:val="24"/>
          <w:szCs w:val="24"/>
        </w:rPr>
      </w:pPr>
      <w:r>
        <w:rPr>
          <w:rFonts w:hint="eastAsia" w:ascii="宋体"/>
          <w:sz w:val="24"/>
          <w:szCs w:val="24"/>
        </w:rPr>
        <w:t>（二）</w:t>
      </w:r>
      <w:r>
        <w:rPr>
          <w:rFonts w:hint="eastAsia" w:ascii="宋体"/>
          <w:kern w:val="0"/>
          <w:sz w:val="24"/>
          <w:szCs w:val="24"/>
        </w:rPr>
        <w:t>总价金额与按单价汇总金额不一致的，以单价金额计算结果为准，</w:t>
      </w:r>
      <w:r>
        <w:rPr>
          <w:rFonts w:hint="eastAsia" w:ascii="宋体"/>
          <w:sz w:val="24"/>
          <w:szCs w:val="24"/>
        </w:rPr>
        <w:t>但</w:t>
      </w:r>
      <w:r>
        <w:rPr>
          <w:rFonts w:hint="eastAsia" w:ascii="宋体"/>
          <w:kern w:val="0"/>
          <w:sz w:val="24"/>
          <w:szCs w:val="24"/>
        </w:rPr>
        <w:t>单价或者单价汇总金额存在数字或者</w:t>
      </w:r>
      <w:r>
        <w:rPr>
          <w:rFonts w:hint="eastAsia" w:ascii="宋体"/>
          <w:sz w:val="24"/>
          <w:szCs w:val="24"/>
        </w:rPr>
        <w:t>文字错误的，应当先对</w:t>
      </w:r>
      <w:r>
        <w:rPr>
          <w:rFonts w:hint="eastAsia" w:ascii="宋体"/>
          <w:kern w:val="0"/>
          <w:sz w:val="24"/>
          <w:szCs w:val="24"/>
        </w:rPr>
        <w:t>数字或者</w:t>
      </w:r>
      <w:r>
        <w:rPr>
          <w:rFonts w:hint="eastAsia" w:ascii="宋体"/>
          <w:sz w:val="24"/>
          <w:szCs w:val="24"/>
        </w:rPr>
        <w:t>文字错误进行澄清、说明或者更正，再行修正。</w:t>
      </w:r>
    </w:p>
    <w:p w14:paraId="771F62BA">
      <w:pPr>
        <w:spacing w:line="400" w:lineRule="exact"/>
        <w:ind w:firstLine="480"/>
        <w:rPr>
          <w:sz w:val="24"/>
          <w:szCs w:val="24"/>
        </w:rPr>
      </w:pPr>
      <w:r>
        <w:rPr>
          <w:rFonts w:hint="eastAsia" w:ascii="宋体"/>
          <w:sz w:val="24"/>
          <w:szCs w:val="24"/>
        </w:rPr>
        <w:t>（三）单价金额小数点或者百分比有明显错位的，以总价为准，修正单价。</w:t>
      </w:r>
    </w:p>
    <w:p w14:paraId="5AE76317">
      <w:pPr>
        <w:spacing w:line="400" w:lineRule="exact"/>
        <w:ind w:firstLine="480"/>
        <w:rPr>
          <w:sz w:val="24"/>
          <w:szCs w:val="24"/>
        </w:rPr>
      </w:pPr>
      <w:r>
        <w:rPr>
          <w:rFonts w:hint="eastAsia" w:ascii="宋体"/>
          <w:sz w:val="24"/>
          <w:szCs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59453F51">
      <w:pPr>
        <w:spacing w:line="400" w:lineRule="exact"/>
        <w:ind w:firstLine="480"/>
        <w:rPr>
          <w:sz w:val="24"/>
          <w:szCs w:val="24"/>
        </w:rPr>
      </w:pPr>
      <w:r>
        <w:rPr>
          <w:sz w:val="24"/>
          <w:szCs w:val="24"/>
        </w:rPr>
        <w:t>21.5</w:t>
      </w:r>
      <w:r>
        <w:rPr>
          <w:rFonts w:hint="eastAsia" w:ascii="宋体"/>
          <w:sz w:val="24"/>
          <w:szCs w:val="24"/>
        </w:rPr>
        <w:t>供应商对其提交的响应文件的真实性、合法性承担法律责任。</w:t>
      </w:r>
    </w:p>
    <w:p w14:paraId="4B90C216">
      <w:pPr>
        <w:pStyle w:val="8"/>
      </w:pPr>
    </w:p>
    <w:p w14:paraId="0537BBE6">
      <w:pPr>
        <w:pStyle w:val="3"/>
        <w:keepNext/>
        <w:keepLines w:val="0"/>
        <w:pageBreakBefore w:val="0"/>
        <w:widowControl w:val="0"/>
        <w:suppressLineNumbers w:val="0"/>
        <w:suppressAutoHyphens w:val="0"/>
        <w:spacing w:line="400" w:lineRule="exact"/>
        <w:jc w:val="center"/>
        <w:rPr>
          <w:rFonts w:ascii="Times New Roman" w:hAnsi="Times New Roman" w:eastAsia="宋体"/>
        </w:rPr>
      </w:pPr>
      <w:bookmarkStart w:id="6" w:name="_Toc227836508"/>
      <w:r>
        <w:rPr>
          <w:rFonts w:hint="eastAsia" w:ascii="宋体" w:eastAsia="宋体"/>
        </w:rPr>
        <w:t>五、评审</w:t>
      </w:r>
      <w:bookmarkEnd w:id="6"/>
    </w:p>
    <w:p w14:paraId="690E7676">
      <w:pPr>
        <w:pStyle w:val="4"/>
        <w:keepNext/>
        <w:keepLines w:val="0"/>
        <w:pageBreakBefore w:val="0"/>
        <w:widowControl w:val="0"/>
        <w:suppressLineNumbers w:val="0"/>
        <w:suppressAutoHyphens w:val="0"/>
        <w:spacing w:before="0" w:after="0" w:line="400" w:lineRule="exact"/>
        <w:ind w:firstLine="482" w:firstLineChars="200"/>
        <w:rPr>
          <w:sz w:val="24"/>
          <w:szCs w:val="24"/>
        </w:rPr>
      </w:pPr>
      <w:r>
        <w:rPr>
          <w:sz w:val="24"/>
          <w:szCs w:val="24"/>
        </w:rPr>
        <w:t>22.</w:t>
      </w:r>
      <w:r>
        <w:rPr>
          <w:rFonts w:hint="eastAsia"/>
          <w:sz w:val="24"/>
          <w:szCs w:val="24"/>
        </w:rPr>
        <w:t>磋商小组的组建及其评审工作按照有关法律制度和本磋商文件相关的规定进行。</w:t>
      </w:r>
    </w:p>
    <w:p w14:paraId="68D31AB4">
      <w:pPr>
        <w:pStyle w:val="3"/>
        <w:keepNext/>
        <w:keepLines w:val="0"/>
        <w:pageBreakBefore w:val="0"/>
        <w:widowControl w:val="0"/>
        <w:suppressLineNumbers w:val="0"/>
        <w:suppressAutoHyphens w:val="0"/>
        <w:spacing w:line="400" w:lineRule="exact"/>
        <w:jc w:val="center"/>
        <w:rPr>
          <w:rFonts w:ascii="Times New Roman" w:hAnsi="Times New Roman" w:eastAsia="宋体"/>
        </w:rPr>
      </w:pPr>
      <w:bookmarkStart w:id="7" w:name="_Toc227836509"/>
      <w:r>
        <w:rPr>
          <w:rFonts w:hint="eastAsia" w:ascii="宋体" w:eastAsia="宋体"/>
        </w:rPr>
        <w:t>六、成交事项</w:t>
      </w:r>
      <w:bookmarkEnd w:id="7"/>
    </w:p>
    <w:p w14:paraId="3E75C1C0">
      <w:pPr>
        <w:pStyle w:val="4"/>
        <w:keepNext/>
        <w:keepLines w:val="0"/>
        <w:pageBreakBefore w:val="0"/>
        <w:widowControl w:val="0"/>
        <w:suppressLineNumbers w:val="0"/>
        <w:suppressAutoHyphens w:val="0"/>
        <w:spacing w:before="156" w:beforeLines="50" w:after="156" w:afterLines="50" w:line="400" w:lineRule="exact"/>
        <w:ind w:firstLine="482" w:firstLineChars="200"/>
        <w:rPr>
          <w:sz w:val="24"/>
          <w:szCs w:val="24"/>
        </w:rPr>
      </w:pPr>
      <w:r>
        <w:rPr>
          <w:sz w:val="24"/>
          <w:szCs w:val="24"/>
        </w:rPr>
        <w:t>23.</w:t>
      </w:r>
      <w:r>
        <w:rPr>
          <w:rFonts w:hint="eastAsia"/>
          <w:sz w:val="24"/>
          <w:szCs w:val="24"/>
        </w:rPr>
        <w:t>确定成交供应商</w:t>
      </w:r>
    </w:p>
    <w:p w14:paraId="38553393">
      <w:pPr>
        <w:spacing w:line="400" w:lineRule="exact"/>
        <w:ind w:firstLine="480"/>
        <w:rPr>
          <w:rFonts w:ascii="宋体"/>
          <w:sz w:val="24"/>
          <w:szCs w:val="24"/>
        </w:rPr>
      </w:pPr>
      <w:r>
        <w:rPr>
          <w:rFonts w:hint="eastAsia" w:ascii="宋体"/>
          <w:sz w:val="24"/>
          <w:szCs w:val="24"/>
        </w:rPr>
        <w:t>采购人将按磋商小组推荐的成交候选供应商顺序确定成交供应商。</w:t>
      </w:r>
    </w:p>
    <w:p w14:paraId="1185CCE0">
      <w:pPr>
        <w:spacing w:line="400" w:lineRule="exact"/>
        <w:ind w:firstLine="480"/>
        <w:rPr>
          <w:rFonts w:ascii="宋体"/>
          <w:sz w:val="24"/>
          <w:szCs w:val="24"/>
        </w:rPr>
      </w:pPr>
      <w:r>
        <w:rPr>
          <w:rFonts w:ascii="宋体"/>
          <w:sz w:val="24"/>
          <w:szCs w:val="24"/>
        </w:rPr>
        <w:t>23.1</w:t>
      </w:r>
      <w:r>
        <w:rPr>
          <w:rFonts w:hint="eastAsia" w:ascii="宋体"/>
          <w:sz w:val="24"/>
          <w:szCs w:val="24"/>
        </w:rPr>
        <w:t>采购人自评审结束后</w:t>
      </w:r>
      <w:r>
        <w:rPr>
          <w:rFonts w:ascii="宋体"/>
          <w:sz w:val="24"/>
          <w:szCs w:val="24"/>
        </w:rPr>
        <w:t>2</w:t>
      </w:r>
      <w:r>
        <w:rPr>
          <w:rFonts w:hint="eastAsia" w:ascii="宋体"/>
          <w:sz w:val="24"/>
          <w:szCs w:val="24"/>
        </w:rPr>
        <w:t>个工作日内确定成交供应商。</w:t>
      </w:r>
    </w:p>
    <w:p w14:paraId="1A32CBB2">
      <w:pPr>
        <w:spacing w:line="400" w:lineRule="exact"/>
        <w:ind w:firstLine="480"/>
        <w:rPr>
          <w:rFonts w:ascii="宋体"/>
          <w:sz w:val="24"/>
          <w:szCs w:val="24"/>
        </w:rPr>
      </w:pPr>
      <w:r>
        <w:rPr>
          <w:rFonts w:ascii="宋体"/>
          <w:sz w:val="24"/>
          <w:szCs w:val="24"/>
        </w:rPr>
        <w:t>23.2</w:t>
      </w:r>
      <w:r>
        <w:rPr>
          <w:rFonts w:hint="eastAsia" w:ascii="宋体"/>
          <w:sz w:val="24"/>
          <w:szCs w:val="24"/>
        </w:rPr>
        <w:t>采购人确定成交供应商过程中，发现成交候选供应商有下列情形之一的，应当不予确定其为成交供应商：</w:t>
      </w:r>
    </w:p>
    <w:p w14:paraId="4B9F0D48">
      <w:pPr>
        <w:spacing w:line="400" w:lineRule="exact"/>
        <w:ind w:firstLine="480"/>
        <w:rPr>
          <w:rFonts w:ascii="宋体"/>
          <w:sz w:val="24"/>
          <w:szCs w:val="24"/>
        </w:rPr>
      </w:pPr>
      <w:r>
        <w:rPr>
          <w:rFonts w:hint="eastAsia" w:ascii="宋体"/>
          <w:sz w:val="24"/>
          <w:szCs w:val="24"/>
        </w:rPr>
        <w:t>（</w:t>
      </w:r>
      <w:r>
        <w:rPr>
          <w:rFonts w:ascii="宋体"/>
          <w:sz w:val="24"/>
          <w:szCs w:val="24"/>
        </w:rPr>
        <w:t>1</w:t>
      </w:r>
      <w:r>
        <w:rPr>
          <w:rFonts w:hint="eastAsia" w:ascii="宋体"/>
          <w:sz w:val="24"/>
          <w:szCs w:val="24"/>
        </w:rPr>
        <w:t>）发现成交候选供应商存在禁止参加本项目采购活动的违法行为的；</w:t>
      </w:r>
    </w:p>
    <w:p w14:paraId="3D124FA9">
      <w:pPr>
        <w:spacing w:line="400" w:lineRule="exact"/>
        <w:ind w:firstLine="480"/>
        <w:rPr>
          <w:rFonts w:ascii="宋体"/>
          <w:sz w:val="24"/>
          <w:szCs w:val="24"/>
        </w:rPr>
      </w:pPr>
      <w:r>
        <w:rPr>
          <w:rFonts w:hint="eastAsia" w:ascii="宋体"/>
          <w:sz w:val="24"/>
          <w:szCs w:val="24"/>
        </w:rPr>
        <w:t>（</w:t>
      </w:r>
      <w:r>
        <w:rPr>
          <w:rFonts w:ascii="宋体"/>
          <w:sz w:val="24"/>
          <w:szCs w:val="24"/>
        </w:rPr>
        <w:t>2</w:t>
      </w:r>
      <w:r>
        <w:rPr>
          <w:rFonts w:hint="eastAsia" w:ascii="宋体"/>
          <w:sz w:val="24"/>
          <w:szCs w:val="24"/>
        </w:rPr>
        <w:t>）成交候选供应商因不可抗力，不能继续参加政府采购活动；</w:t>
      </w:r>
    </w:p>
    <w:p w14:paraId="0AB918ED">
      <w:pPr>
        <w:spacing w:line="400" w:lineRule="exact"/>
        <w:ind w:firstLine="480"/>
        <w:rPr>
          <w:rFonts w:ascii="宋体"/>
          <w:sz w:val="24"/>
          <w:szCs w:val="24"/>
        </w:rPr>
      </w:pPr>
      <w:r>
        <w:rPr>
          <w:rFonts w:hint="eastAsia" w:ascii="宋体"/>
          <w:sz w:val="24"/>
          <w:szCs w:val="24"/>
        </w:rPr>
        <w:t>（</w:t>
      </w:r>
      <w:r>
        <w:rPr>
          <w:rFonts w:ascii="宋体"/>
          <w:sz w:val="24"/>
          <w:szCs w:val="24"/>
        </w:rPr>
        <w:t>3</w:t>
      </w:r>
      <w:r>
        <w:rPr>
          <w:rFonts w:hint="eastAsia" w:ascii="宋体"/>
          <w:sz w:val="24"/>
          <w:szCs w:val="24"/>
        </w:rPr>
        <w:t>）成交候选供应商无偿赠与或者低于成本价竞争；</w:t>
      </w:r>
    </w:p>
    <w:p w14:paraId="20ED832D">
      <w:pPr>
        <w:spacing w:line="400" w:lineRule="exact"/>
        <w:ind w:firstLine="480"/>
        <w:rPr>
          <w:rFonts w:ascii="宋体"/>
          <w:sz w:val="24"/>
          <w:szCs w:val="24"/>
        </w:rPr>
      </w:pPr>
      <w:r>
        <w:rPr>
          <w:rFonts w:hint="eastAsia" w:ascii="宋体"/>
          <w:sz w:val="24"/>
          <w:szCs w:val="24"/>
        </w:rPr>
        <w:t>（</w:t>
      </w:r>
      <w:r>
        <w:rPr>
          <w:rFonts w:ascii="宋体"/>
          <w:sz w:val="24"/>
          <w:szCs w:val="24"/>
        </w:rPr>
        <w:t>4</w:t>
      </w:r>
      <w:r>
        <w:rPr>
          <w:rFonts w:hint="eastAsia" w:ascii="宋体"/>
          <w:sz w:val="24"/>
          <w:szCs w:val="24"/>
        </w:rPr>
        <w:t>）成交候选供应商提供虚假材料；</w:t>
      </w:r>
    </w:p>
    <w:p w14:paraId="022F27DE">
      <w:pPr>
        <w:spacing w:line="400" w:lineRule="exact"/>
        <w:ind w:firstLine="480"/>
        <w:rPr>
          <w:rFonts w:ascii="宋体"/>
          <w:sz w:val="24"/>
          <w:szCs w:val="24"/>
        </w:rPr>
      </w:pPr>
      <w:r>
        <w:rPr>
          <w:rFonts w:hint="eastAsia" w:ascii="宋体"/>
          <w:sz w:val="24"/>
          <w:szCs w:val="24"/>
        </w:rPr>
        <w:t>（</w:t>
      </w:r>
      <w:r>
        <w:rPr>
          <w:rFonts w:ascii="宋体"/>
          <w:sz w:val="24"/>
          <w:szCs w:val="24"/>
        </w:rPr>
        <w:t>5</w:t>
      </w:r>
      <w:r>
        <w:rPr>
          <w:rFonts w:hint="eastAsia" w:ascii="宋体"/>
          <w:sz w:val="24"/>
          <w:szCs w:val="24"/>
        </w:rPr>
        <w:t>）成交候选供应商恶意串通。</w:t>
      </w:r>
    </w:p>
    <w:p w14:paraId="30DFC846">
      <w:pPr>
        <w:spacing w:line="400" w:lineRule="exact"/>
        <w:ind w:firstLine="480"/>
        <w:rPr>
          <w:rFonts w:ascii="宋体"/>
          <w:sz w:val="24"/>
          <w:szCs w:val="24"/>
        </w:rPr>
      </w:pPr>
      <w:r>
        <w:rPr>
          <w:rFonts w:hint="eastAsia" w:ascii="宋体"/>
          <w:sz w:val="24"/>
          <w:szCs w:val="24"/>
        </w:rPr>
        <w:t>成交候选供应商有本条情形之一的，采购人可以确定后一位成交候选供应商为成交供应商，依次类推。无法确定成交供应商的，应当重新组织采购。</w:t>
      </w:r>
    </w:p>
    <w:p w14:paraId="0BF6959C">
      <w:pPr>
        <w:pStyle w:val="4"/>
        <w:keepNext/>
        <w:keepLines w:val="0"/>
        <w:pageBreakBefore w:val="0"/>
        <w:widowControl w:val="0"/>
        <w:suppressLineNumbers w:val="0"/>
        <w:suppressAutoHyphens w:val="0"/>
        <w:spacing w:before="156" w:beforeLines="50" w:after="156" w:afterLines="50" w:line="400" w:lineRule="exact"/>
        <w:ind w:firstLine="482" w:firstLineChars="200"/>
        <w:rPr>
          <w:sz w:val="24"/>
          <w:szCs w:val="24"/>
        </w:rPr>
      </w:pPr>
      <w:r>
        <w:rPr>
          <w:sz w:val="24"/>
          <w:szCs w:val="24"/>
        </w:rPr>
        <w:t>24.</w:t>
      </w:r>
      <w:r>
        <w:rPr>
          <w:rFonts w:hint="eastAsia"/>
          <w:sz w:val="24"/>
          <w:szCs w:val="24"/>
        </w:rPr>
        <w:t>信用记录查询</w:t>
      </w:r>
    </w:p>
    <w:p w14:paraId="0C3C79AC">
      <w:pPr>
        <w:spacing w:line="400" w:lineRule="exact"/>
        <w:ind w:firstLine="480"/>
        <w:rPr>
          <w:rFonts w:ascii="宋体"/>
          <w:sz w:val="24"/>
          <w:szCs w:val="24"/>
        </w:rPr>
      </w:pPr>
      <w:r>
        <w:rPr>
          <w:rFonts w:hint="eastAsia" w:ascii="宋体"/>
          <w:sz w:val="24"/>
          <w:szCs w:val="24"/>
        </w:rPr>
        <w:t>采购人确定成交供应商期间，采购人将通过“信用中国”网站（www.creditchina.gov.cn）、“中国政府采购网”网站（www.ccgp.gov.cn）等渠道查询投标人在投标截止时间前的信用记录，拒绝列入失信被执行人名单、重大税收违法案件当事人名单、政府采购严重违法失信行为记录名单中的投标人参加本项目的采购活动。</w:t>
      </w:r>
    </w:p>
    <w:p w14:paraId="746FC841">
      <w:pPr>
        <w:pStyle w:val="4"/>
        <w:keepNext/>
        <w:keepLines w:val="0"/>
        <w:pageBreakBefore w:val="0"/>
        <w:widowControl w:val="0"/>
        <w:suppressLineNumbers w:val="0"/>
        <w:suppressAutoHyphens w:val="0"/>
        <w:spacing w:before="156" w:beforeLines="50" w:after="156" w:afterLines="50" w:line="400" w:lineRule="exact"/>
        <w:ind w:firstLine="482" w:firstLineChars="200"/>
        <w:rPr>
          <w:sz w:val="24"/>
          <w:szCs w:val="24"/>
        </w:rPr>
      </w:pPr>
      <w:r>
        <w:rPr>
          <w:sz w:val="24"/>
          <w:szCs w:val="24"/>
        </w:rPr>
        <w:t>25.</w:t>
      </w:r>
      <w:r>
        <w:rPr>
          <w:rFonts w:hint="eastAsia"/>
          <w:sz w:val="24"/>
          <w:szCs w:val="24"/>
        </w:rPr>
        <w:t>成交结果</w:t>
      </w:r>
    </w:p>
    <w:p w14:paraId="1AE24D2A">
      <w:pPr>
        <w:spacing w:line="400" w:lineRule="exact"/>
        <w:ind w:firstLine="480"/>
        <w:rPr>
          <w:rFonts w:ascii="宋体"/>
          <w:sz w:val="24"/>
          <w:szCs w:val="24"/>
        </w:rPr>
      </w:pPr>
      <w:r>
        <w:rPr>
          <w:rFonts w:ascii="宋体"/>
          <w:sz w:val="24"/>
          <w:szCs w:val="24"/>
        </w:rPr>
        <w:t>25.1</w:t>
      </w:r>
      <w:r>
        <w:rPr>
          <w:rFonts w:hint="eastAsia" w:ascii="宋体"/>
          <w:sz w:val="24"/>
          <w:szCs w:val="24"/>
        </w:rPr>
        <w:t>采购人确定成交供应商后，将及时发出成交通知书并发布成交结果公告。</w:t>
      </w:r>
    </w:p>
    <w:p w14:paraId="64416A4E">
      <w:pPr>
        <w:spacing w:line="400" w:lineRule="exact"/>
        <w:ind w:firstLine="480"/>
        <w:rPr>
          <w:rFonts w:ascii="宋体"/>
          <w:sz w:val="24"/>
          <w:szCs w:val="24"/>
        </w:rPr>
      </w:pPr>
      <w:r>
        <w:rPr>
          <w:rFonts w:ascii="宋体"/>
          <w:sz w:val="24"/>
          <w:szCs w:val="24"/>
        </w:rPr>
        <w:t>25.2</w:t>
      </w:r>
      <w:r>
        <w:rPr>
          <w:rFonts w:hint="eastAsia" w:ascii="宋体"/>
          <w:sz w:val="24"/>
          <w:szCs w:val="24"/>
        </w:rPr>
        <w:t>成交供应商应当及时领取成交通知书。</w:t>
      </w:r>
    </w:p>
    <w:p w14:paraId="05B728F2">
      <w:pPr>
        <w:spacing w:line="400" w:lineRule="exact"/>
        <w:ind w:firstLine="480"/>
        <w:rPr>
          <w:rFonts w:hint="eastAsia" w:ascii="宋体"/>
          <w:sz w:val="24"/>
          <w:szCs w:val="24"/>
        </w:rPr>
      </w:pPr>
      <w:r>
        <w:rPr>
          <w:rFonts w:ascii="宋体"/>
          <w:sz w:val="24"/>
          <w:szCs w:val="24"/>
        </w:rPr>
        <w:t>25.3</w:t>
      </w:r>
      <w:r>
        <w:rPr>
          <w:rFonts w:hint="eastAsia" w:ascii="宋体"/>
          <w:sz w:val="24"/>
          <w:szCs w:val="24"/>
        </w:rPr>
        <w:t>成交供应商不能及时领取成交通知书，采购人应当通过邮寄、快递等方式将项目成交通知书送达成交供应商。</w:t>
      </w:r>
    </w:p>
    <w:p w14:paraId="6A1C96FB">
      <w:pPr>
        <w:pStyle w:val="4"/>
        <w:keepNext/>
        <w:keepLines w:val="0"/>
        <w:pageBreakBefore w:val="0"/>
        <w:widowControl w:val="0"/>
        <w:suppressLineNumbers w:val="0"/>
        <w:suppressAutoHyphens w:val="0"/>
        <w:spacing w:before="156" w:beforeLines="50" w:after="156" w:afterLines="50" w:line="400" w:lineRule="exact"/>
        <w:ind w:firstLine="482" w:firstLineChars="200"/>
        <w:rPr>
          <w:sz w:val="24"/>
          <w:szCs w:val="24"/>
        </w:rPr>
      </w:pPr>
      <w:r>
        <w:rPr>
          <w:sz w:val="24"/>
          <w:szCs w:val="24"/>
        </w:rPr>
        <w:t>26.</w:t>
      </w:r>
      <w:r>
        <w:rPr>
          <w:rFonts w:hint="eastAsia"/>
          <w:sz w:val="24"/>
          <w:szCs w:val="24"/>
        </w:rPr>
        <w:t>成交通知书</w:t>
      </w:r>
    </w:p>
    <w:p w14:paraId="0B79B798">
      <w:pPr>
        <w:spacing w:line="400" w:lineRule="exact"/>
        <w:ind w:firstLine="480"/>
        <w:rPr>
          <w:rFonts w:ascii="宋体"/>
          <w:sz w:val="24"/>
          <w:szCs w:val="24"/>
        </w:rPr>
      </w:pPr>
      <w:r>
        <w:rPr>
          <w:rFonts w:ascii="宋体"/>
          <w:sz w:val="24"/>
          <w:szCs w:val="24"/>
        </w:rPr>
        <w:t>26.1</w:t>
      </w:r>
      <w:r>
        <w:rPr>
          <w:rFonts w:hint="eastAsia" w:ascii="宋体"/>
          <w:sz w:val="24"/>
          <w:szCs w:val="24"/>
        </w:rPr>
        <w:t>成交通知书为签订政府采购合同的依据之一，是合同的有效组成部分。</w:t>
      </w:r>
    </w:p>
    <w:p w14:paraId="0262F309">
      <w:pPr>
        <w:spacing w:line="400" w:lineRule="exact"/>
        <w:ind w:firstLine="480"/>
        <w:rPr>
          <w:rFonts w:ascii="宋体"/>
          <w:sz w:val="24"/>
          <w:szCs w:val="24"/>
        </w:rPr>
      </w:pPr>
      <w:r>
        <w:rPr>
          <w:rFonts w:ascii="宋体"/>
          <w:sz w:val="24"/>
          <w:szCs w:val="24"/>
        </w:rPr>
        <w:t>26.2</w:t>
      </w:r>
      <w:r>
        <w:rPr>
          <w:rFonts w:hint="eastAsia" w:ascii="宋体"/>
          <w:sz w:val="24"/>
          <w:szCs w:val="24"/>
        </w:rPr>
        <w:t>成交通知书对采购人和成交供应商均具有法律效力。成交通知书发出后，采购人无正当理由改变成交结果，或者成交供应商无正当理由放弃成交的，将承担相应的法律责任。</w:t>
      </w:r>
    </w:p>
    <w:p w14:paraId="26AB17D9">
      <w:pPr>
        <w:spacing w:line="400" w:lineRule="exact"/>
        <w:ind w:firstLine="480"/>
        <w:rPr>
          <w:rFonts w:ascii="宋体"/>
          <w:sz w:val="24"/>
          <w:szCs w:val="24"/>
        </w:rPr>
      </w:pPr>
      <w:r>
        <w:rPr>
          <w:rFonts w:ascii="宋体"/>
          <w:sz w:val="24"/>
          <w:szCs w:val="24"/>
        </w:rPr>
        <w:t>26.3</w:t>
      </w:r>
      <w:r>
        <w:rPr>
          <w:rFonts w:hint="eastAsia" w:ascii="宋体"/>
          <w:sz w:val="24"/>
          <w:szCs w:val="24"/>
        </w:rPr>
        <w:t>成交供应商的响应文件作为无效响应文件处理或者有政府采购法律法规规章制度规定的成交无效情形的，采购人在取得有权主体的认定以后，有权宣布发出的成交通知书无效，并收回发出的成交通知书，依法重新确定成交供应商或者重新开展采购活动。</w:t>
      </w:r>
    </w:p>
    <w:p w14:paraId="3C83A680">
      <w:pPr>
        <w:pStyle w:val="3"/>
        <w:keepNext/>
        <w:keepLines w:val="0"/>
        <w:pageBreakBefore w:val="0"/>
        <w:widowControl w:val="0"/>
        <w:suppressLineNumbers w:val="0"/>
        <w:suppressAutoHyphens w:val="0"/>
        <w:spacing w:line="400" w:lineRule="exact"/>
        <w:jc w:val="center"/>
        <w:rPr>
          <w:rFonts w:ascii="Times New Roman" w:hAnsi="Times New Roman" w:eastAsia="宋体"/>
        </w:rPr>
      </w:pPr>
      <w:bookmarkStart w:id="8" w:name="_Toc227836510"/>
      <w:r>
        <w:rPr>
          <w:rFonts w:hint="eastAsia" w:ascii="宋体" w:eastAsia="宋体"/>
        </w:rPr>
        <w:t>七、合同事项</w:t>
      </w:r>
      <w:bookmarkEnd w:id="8"/>
    </w:p>
    <w:p w14:paraId="3F80DF0D">
      <w:pPr>
        <w:pStyle w:val="4"/>
        <w:keepNext/>
        <w:keepLines w:val="0"/>
        <w:pageBreakBefore w:val="0"/>
        <w:widowControl w:val="0"/>
        <w:suppressLineNumbers w:val="0"/>
        <w:suppressAutoHyphens w:val="0"/>
        <w:spacing w:before="156" w:beforeLines="50" w:after="156" w:afterLines="50" w:line="400" w:lineRule="exact"/>
        <w:ind w:firstLine="482" w:firstLineChars="200"/>
        <w:rPr>
          <w:sz w:val="24"/>
          <w:szCs w:val="24"/>
        </w:rPr>
      </w:pPr>
      <w:r>
        <w:rPr>
          <w:sz w:val="24"/>
          <w:szCs w:val="24"/>
        </w:rPr>
        <w:t>27.</w:t>
      </w:r>
      <w:r>
        <w:rPr>
          <w:rFonts w:hint="eastAsia"/>
          <w:sz w:val="24"/>
          <w:szCs w:val="24"/>
        </w:rPr>
        <w:t>签订合同</w:t>
      </w:r>
    </w:p>
    <w:p w14:paraId="776E0EE6">
      <w:pPr>
        <w:spacing w:line="400" w:lineRule="exact"/>
        <w:ind w:firstLine="480" w:firstLineChars="200"/>
        <w:rPr>
          <w:sz w:val="24"/>
          <w:szCs w:val="24"/>
        </w:rPr>
      </w:pPr>
      <w:r>
        <w:rPr>
          <w:sz w:val="24"/>
          <w:szCs w:val="24"/>
        </w:rPr>
        <w:t xml:space="preserve">27.1 </w:t>
      </w:r>
      <w:r>
        <w:rPr>
          <w:rFonts w:hint="eastAsia" w:ascii="宋体"/>
          <w:sz w:val="24"/>
          <w:szCs w:val="24"/>
        </w:rPr>
        <w:t>成交供应商应在成交通知书发出之日起三十日内与采购人签订采购合同。由于成交供应商的原因逾期未与采购人签订采购合同的，将视为放弃成交，取消其成交资格并将按相关规定进行处理。</w:t>
      </w:r>
    </w:p>
    <w:p w14:paraId="56B0391F">
      <w:pPr>
        <w:spacing w:line="400" w:lineRule="exact"/>
        <w:ind w:firstLine="480" w:firstLineChars="200"/>
        <w:rPr>
          <w:sz w:val="24"/>
          <w:szCs w:val="24"/>
        </w:rPr>
      </w:pPr>
      <w:r>
        <w:rPr>
          <w:sz w:val="24"/>
          <w:szCs w:val="24"/>
        </w:rPr>
        <w:t xml:space="preserve">27.2 </w:t>
      </w:r>
      <w:r>
        <w:rPr>
          <w:rFonts w:hint="eastAsia" w:ascii="宋体"/>
          <w:sz w:val="24"/>
          <w:szCs w:val="24"/>
        </w:rPr>
        <w:t>磋商文件、成交供应商的响应文件及双方确认的澄清文件等，均为有法律约束力的合同组成部分。</w:t>
      </w:r>
    </w:p>
    <w:p w14:paraId="0532D180">
      <w:pPr>
        <w:spacing w:line="400" w:lineRule="exact"/>
        <w:ind w:firstLine="480" w:firstLineChars="200"/>
        <w:rPr>
          <w:sz w:val="24"/>
          <w:szCs w:val="24"/>
        </w:rPr>
      </w:pPr>
      <w:r>
        <w:rPr>
          <w:sz w:val="24"/>
          <w:szCs w:val="24"/>
        </w:rPr>
        <w:t xml:space="preserve">27.3 </w:t>
      </w:r>
      <w:r>
        <w:rPr>
          <w:rFonts w:hint="eastAsia" w:ascii="宋体"/>
          <w:sz w:val="24"/>
          <w:szCs w:val="24"/>
        </w:rPr>
        <w:t>采购人不得向成交供应商提出任何不合理的要求，作为签订合同的条件，不得与成交供应商私下订立背离合同实质性内容的任何协议，所签订的合同不得对磋商文件和成交供应商响应文件确定的事项进行修改。</w:t>
      </w:r>
    </w:p>
    <w:p w14:paraId="216095D0">
      <w:pPr>
        <w:spacing w:line="400" w:lineRule="exact"/>
        <w:ind w:firstLine="480" w:firstLineChars="200"/>
        <w:rPr>
          <w:sz w:val="24"/>
          <w:szCs w:val="24"/>
        </w:rPr>
      </w:pPr>
      <w:r>
        <w:rPr>
          <w:sz w:val="24"/>
          <w:szCs w:val="24"/>
        </w:rPr>
        <w:t xml:space="preserve">27.4 </w:t>
      </w:r>
      <w:r>
        <w:rPr>
          <w:rFonts w:hint="eastAsia" w:ascii="宋体"/>
          <w:sz w:val="24"/>
          <w:szCs w:val="24"/>
        </w:rPr>
        <w:t>成交供应商因不可抗力原因不能履行采购合同或放弃成交的，采购人可以与排在成交供应商之后第一位的成交候选人签订采购合同，以此类推。</w:t>
      </w:r>
    </w:p>
    <w:p w14:paraId="742B1D76">
      <w:pPr>
        <w:spacing w:line="400" w:lineRule="exact"/>
        <w:ind w:firstLine="480" w:firstLineChars="200"/>
        <w:rPr>
          <w:sz w:val="24"/>
          <w:szCs w:val="24"/>
        </w:rPr>
      </w:pPr>
      <w:r>
        <w:rPr>
          <w:sz w:val="24"/>
          <w:szCs w:val="24"/>
        </w:rPr>
        <w:t>27.5</w:t>
      </w:r>
      <w:r>
        <w:rPr>
          <w:rFonts w:hint="eastAsia" w:ascii="宋体"/>
          <w:sz w:val="24"/>
          <w:szCs w:val="24"/>
        </w:rPr>
        <w:t>竞争性磋商文件、成交供应商提交的响应文件、磋商中的最后报价、成交供应商承诺书、成交通知书等均称为有法律约束力的合同组成内容。</w:t>
      </w:r>
    </w:p>
    <w:p w14:paraId="34DE31DB">
      <w:pPr>
        <w:pStyle w:val="4"/>
        <w:keepNext/>
        <w:keepLines w:val="0"/>
        <w:pageBreakBefore w:val="0"/>
        <w:widowControl w:val="0"/>
        <w:suppressLineNumbers w:val="0"/>
        <w:suppressAutoHyphens w:val="0"/>
        <w:spacing w:before="156" w:beforeLines="50" w:after="156" w:afterLines="50" w:line="400" w:lineRule="exact"/>
        <w:ind w:firstLine="482" w:firstLineChars="200"/>
        <w:rPr>
          <w:sz w:val="24"/>
          <w:szCs w:val="24"/>
        </w:rPr>
      </w:pPr>
      <w:r>
        <w:rPr>
          <w:sz w:val="24"/>
          <w:szCs w:val="24"/>
        </w:rPr>
        <w:t>28.</w:t>
      </w:r>
      <w:r>
        <w:rPr>
          <w:rFonts w:hint="eastAsia"/>
          <w:sz w:val="24"/>
          <w:szCs w:val="24"/>
        </w:rPr>
        <w:t>合同分包（实质性要求）</w:t>
      </w:r>
    </w:p>
    <w:p w14:paraId="23BB384F">
      <w:pPr>
        <w:spacing w:line="400" w:lineRule="exact"/>
        <w:ind w:firstLine="480" w:firstLineChars="200"/>
        <w:rPr>
          <w:sz w:val="24"/>
          <w:szCs w:val="24"/>
        </w:rPr>
      </w:pPr>
      <w:r>
        <w:rPr>
          <w:sz w:val="24"/>
          <w:szCs w:val="24"/>
        </w:rPr>
        <w:t xml:space="preserve">28.1 </w:t>
      </w:r>
      <w:r>
        <w:rPr>
          <w:rFonts w:hint="eastAsia" w:ascii="宋体"/>
          <w:sz w:val="24"/>
          <w:szCs w:val="24"/>
        </w:rPr>
        <w:t>经采购人同意，成交供应商可以依法采取分包方式履行合同，但必须在响应文件中事前载明。这种要求应当在合同签订之前征得采购人同意，并且分包供应商履行的分包项目的品牌、规格型号及技术要求等，必须与成交的一致。</w:t>
      </w:r>
    </w:p>
    <w:p w14:paraId="2007B79B">
      <w:pPr>
        <w:spacing w:line="400" w:lineRule="exact"/>
        <w:ind w:firstLine="480" w:firstLineChars="200"/>
        <w:rPr>
          <w:sz w:val="24"/>
          <w:szCs w:val="24"/>
        </w:rPr>
      </w:pPr>
      <w:r>
        <w:rPr>
          <w:rFonts w:hint="eastAsia" w:ascii="宋体"/>
          <w:sz w:val="24"/>
          <w:szCs w:val="24"/>
        </w:rPr>
        <w:t>分包履行合同的部分应当为采购项目的非主体、非关键性工作，不属于成交供应商的主要合同义务。</w:t>
      </w:r>
    </w:p>
    <w:p w14:paraId="72FB3F2C">
      <w:pPr>
        <w:spacing w:line="400" w:lineRule="exact"/>
        <w:ind w:firstLine="480" w:firstLineChars="200"/>
        <w:rPr>
          <w:sz w:val="24"/>
          <w:szCs w:val="24"/>
        </w:rPr>
      </w:pPr>
      <w:r>
        <w:rPr>
          <w:sz w:val="24"/>
          <w:szCs w:val="24"/>
        </w:rPr>
        <w:t xml:space="preserve">28.2 </w:t>
      </w:r>
      <w:r>
        <w:rPr>
          <w:rFonts w:hint="eastAsia" w:ascii="宋体"/>
          <w:sz w:val="24"/>
          <w:szCs w:val="24"/>
        </w:rPr>
        <w:t>采购合同实行分包履行的，成交供应商就采购项目和分包项目向采购人负责，分包供应商就分包项目承担责任。</w:t>
      </w:r>
    </w:p>
    <w:p w14:paraId="07AF90C3">
      <w:pPr>
        <w:spacing w:line="400" w:lineRule="exact"/>
        <w:ind w:firstLine="480" w:firstLineChars="200"/>
        <w:rPr>
          <w:sz w:val="24"/>
          <w:szCs w:val="24"/>
        </w:rPr>
      </w:pPr>
      <w:r>
        <w:rPr>
          <w:sz w:val="24"/>
          <w:szCs w:val="24"/>
        </w:rPr>
        <w:t xml:space="preserve">28.3 </w:t>
      </w:r>
      <w:r>
        <w:rPr>
          <w:rFonts w:hint="eastAsia" w:ascii="宋体"/>
          <w:sz w:val="24"/>
          <w:szCs w:val="24"/>
        </w:rPr>
        <w:t>中小企业依据《政府采购促进中小企业发展管理办法》（财库</w:t>
      </w:r>
      <w:r>
        <w:rPr>
          <w:sz w:val="24"/>
          <w:szCs w:val="24"/>
        </w:rPr>
        <w:t>[2020]46</w:t>
      </w:r>
      <w:r>
        <w:rPr>
          <w:rFonts w:hint="eastAsia" w:ascii="宋体"/>
          <w:sz w:val="24"/>
          <w:szCs w:val="24"/>
        </w:rPr>
        <w:t>号）规定的政策获取政府采购合同后，小型、微型企业不得分包或转包给大型、中型企业，中型企业不得分包或转包给大型企业。</w:t>
      </w:r>
    </w:p>
    <w:p w14:paraId="42C1AFED">
      <w:pPr>
        <w:pStyle w:val="4"/>
        <w:keepNext/>
        <w:keepLines w:val="0"/>
        <w:pageBreakBefore w:val="0"/>
        <w:widowControl w:val="0"/>
        <w:suppressLineNumbers w:val="0"/>
        <w:suppressAutoHyphens w:val="0"/>
        <w:spacing w:before="156" w:beforeLines="50" w:after="156" w:afterLines="50" w:line="400" w:lineRule="exact"/>
        <w:ind w:firstLine="482" w:firstLineChars="200"/>
        <w:rPr>
          <w:sz w:val="24"/>
          <w:szCs w:val="24"/>
        </w:rPr>
      </w:pPr>
      <w:r>
        <w:rPr>
          <w:sz w:val="24"/>
          <w:szCs w:val="24"/>
        </w:rPr>
        <w:t>29.</w:t>
      </w:r>
      <w:r>
        <w:rPr>
          <w:rFonts w:hint="eastAsia"/>
          <w:sz w:val="24"/>
          <w:szCs w:val="24"/>
        </w:rPr>
        <w:t>合同转包（实质性要求）</w:t>
      </w:r>
    </w:p>
    <w:p w14:paraId="025FCDC1">
      <w:pPr>
        <w:spacing w:line="400" w:lineRule="exact"/>
        <w:ind w:firstLine="480" w:firstLineChars="200"/>
        <w:rPr>
          <w:sz w:val="24"/>
          <w:szCs w:val="24"/>
        </w:rPr>
      </w:pPr>
      <w:r>
        <w:rPr>
          <w:rFonts w:hint="eastAsia" w:ascii="宋体"/>
          <w:sz w:val="24"/>
          <w:szCs w:val="24"/>
        </w:rPr>
        <w:t>本采购项目严禁成交供应商将任何政府采购合同义务转包。本项目所称转包，是指成交供应商将政府采购合同义务转让给第三人，并退出现有政府采购合同当事人双方的权利义务关系，受让人（即第三人）成为政府采购合同的另一方当事人的行为。</w:t>
      </w:r>
    </w:p>
    <w:p w14:paraId="251F74F3">
      <w:pPr>
        <w:spacing w:line="400" w:lineRule="exact"/>
        <w:ind w:firstLine="480" w:firstLineChars="200"/>
        <w:rPr>
          <w:sz w:val="24"/>
          <w:szCs w:val="24"/>
        </w:rPr>
      </w:pPr>
      <w:r>
        <w:rPr>
          <w:rFonts w:hint="eastAsia" w:ascii="宋体"/>
          <w:sz w:val="24"/>
          <w:szCs w:val="24"/>
        </w:rPr>
        <w:t>成交供应商转包的，视同拒绝履行政府采购合同义务，将依法追究法律责任。</w:t>
      </w:r>
    </w:p>
    <w:p w14:paraId="4B1C0C9D">
      <w:pPr>
        <w:pStyle w:val="4"/>
        <w:keepNext/>
        <w:keepLines w:val="0"/>
        <w:pageBreakBefore w:val="0"/>
        <w:widowControl w:val="0"/>
        <w:suppressLineNumbers w:val="0"/>
        <w:suppressAutoHyphens w:val="0"/>
        <w:spacing w:before="156" w:beforeLines="50" w:after="156" w:afterLines="50" w:line="400" w:lineRule="exact"/>
        <w:ind w:firstLine="482" w:firstLineChars="200"/>
        <w:rPr>
          <w:sz w:val="24"/>
          <w:szCs w:val="24"/>
        </w:rPr>
      </w:pPr>
      <w:r>
        <w:rPr>
          <w:sz w:val="24"/>
          <w:szCs w:val="24"/>
        </w:rPr>
        <w:t>30.</w:t>
      </w:r>
      <w:r>
        <w:rPr>
          <w:rFonts w:hint="eastAsia"/>
          <w:sz w:val="24"/>
          <w:szCs w:val="24"/>
        </w:rPr>
        <w:t>补充合同</w:t>
      </w:r>
    </w:p>
    <w:p w14:paraId="10457F5B">
      <w:pPr>
        <w:spacing w:line="400" w:lineRule="exact"/>
        <w:ind w:firstLine="480" w:firstLineChars="200"/>
        <w:rPr>
          <w:sz w:val="24"/>
          <w:szCs w:val="24"/>
        </w:rPr>
      </w:pPr>
      <w:r>
        <w:rPr>
          <w:rFonts w:hint="eastAsia" w:ascii="宋体"/>
          <w:sz w:val="24"/>
          <w:szCs w:val="24"/>
        </w:rPr>
        <w:t>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政府采购合同履行过程中，不得在原政府采购合同履行结束后，且采购货物、工程和服务的名称、价格、履约方式、验收标准等必须与原政府采购合同一致。</w:t>
      </w:r>
      <w:r>
        <w:rPr>
          <w:rFonts w:hint="eastAsia"/>
          <w:sz w:val="24"/>
          <w:szCs w:val="24"/>
        </w:rPr>
        <w:t xml:space="preserve"> </w:t>
      </w:r>
    </w:p>
    <w:p w14:paraId="00B37DCA">
      <w:pPr>
        <w:pStyle w:val="4"/>
        <w:keepNext/>
        <w:keepLines w:val="0"/>
        <w:pageBreakBefore w:val="0"/>
        <w:widowControl w:val="0"/>
        <w:suppressLineNumbers w:val="0"/>
        <w:suppressAutoHyphens w:val="0"/>
        <w:spacing w:before="156" w:beforeLines="50" w:after="156" w:afterLines="50" w:line="400" w:lineRule="exact"/>
        <w:ind w:firstLine="482" w:firstLineChars="200"/>
        <w:rPr>
          <w:sz w:val="24"/>
          <w:szCs w:val="24"/>
        </w:rPr>
      </w:pPr>
      <w:r>
        <w:rPr>
          <w:sz w:val="24"/>
          <w:szCs w:val="24"/>
        </w:rPr>
        <w:t>31.</w:t>
      </w:r>
      <w:r>
        <w:rPr>
          <w:rFonts w:hint="eastAsia"/>
          <w:sz w:val="24"/>
          <w:szCs w:val="24"/>
        </w:rPr>
        <w:t>履约保证金（实质性要求）</w:t>
      </w:r>
    </w:p>
    <w:p w14:paraId="50515EFB">
      <w:pPr>
        <w:spacing w:line="400" w:lineRule="exact"/>
        <w:ind w:firstLine="480" w:firstLineChars="200"/>
        <w:rPr>
          <w:sz w:val="24"/>
          <w:szCs w:val="24"/>
        </w:rPr>
      </w:pPr>
      <w:r>
        <w:rPr>
          <w:sz w:val="24"/>
          <w:szCs w:val="24"/>
        </w:rPr>
        <w:t xml:space="preserve">31.1 </w:t>
      </w:r>
      <w:r>
        <w:rPr>
          <w:rFonts w:hint="eastAsia" w:ascii="宋体"/>
          <w:sz w:val="24"/>
          <w:szCs w:val="24"/>
        </w:rPr>
        <w:t>成交供应商应在合同签订之前交纳采购文件规定数额的履约保证金。</w:t>
      </w:r>
    </w:p>
    <w:p w14:paraId="4597EE62">
      <w:pPr>
        <w:spacing w:line="400" w:lineRule="exact"/>
        <w:ind w:firstLine="480" w:firstLineChars="200"/>
        <w:rPr>
          <w:sz w:val="24"/>
          <w:szCs w:val="24"/>
        </w:rPr>
      </w:pPr>
      <w:r>
        <w:rPr>
          <w:sz w:val="24"/>
          <w:szCs w:val="24"/>
        </w:rPr>
        <w:t xml:space="preserve">31.2 </w:t>
      </w:r>
      <w:r>
        <w:rPr>
          <w:rFonts w:hint="eastAsia" w:ascii="宋体"/>
          <w:sz w:val="24"/>
          <w:szCs w:val="24"/>
        </w:rPr>
        <w:t>如果成交供应商在规定的合同签订时间内，没有按照采购文件的规定交纳履约保证金，且又无正当理由的，将视为放弃成交。</w:t>
      </w:r>
    </w:p>
    <w:p w14:paraId="2C6C0486">
      <w:pPr>
        <w:pStyle w:val="4"/>
        <w:keepNext/>
        <w:keepLines w:val="0"/>
        <w:pageBreakBefore w:val="0"/>
        <w:widowControl w:val="0"/>
        <w:suppressLineNumbers w:val="0"/>
        <w:suppressAutoHyphens w:val="0"/>
        <w:spacing w:before="156" w:beforeLines="50" w:after="156" w:afterLines="50" w:line="400" w:lineRule="exact"/>
        <w:ind w:firstLine="482" w:firstLineChars="200"/>
        <w:rPr>
          <w:sz w:val="24"/>
          <w:szCs w:val="24"/>
        </w:rPr>
      </w:pPr>
      <w:r>
        <w:rPr>
          <w:sz w:val="24"/>
          <w:szCs w:val="24"/>
        </w:rPr>
        <w:t>32.</w:t>
      </w:r>
      <w:r>
        <w:rPr>
          <w:rFonts w:hint="eastAsia"/>
          <w:sz w:val="24"/>
          <w:szCs w:val="24"/>
        </w:rPr>
        <w:t>履行合同</w:t>
      </w:r>
    </w:p>
    <w:p w14:paraId="428806BE">
      <w:pPr>
        <w:spacing w:line="400" w:lineRule="exact"/>
        <w:ind w:firstLine="480" w:firstLineChars="200"/>
        <w:rPr>
          <w:sz w:val="24"/>
          <w:szCs w:val="24"/>
        </w:rPr>
      </w:pPr>
      <w:r>
        <w:rPr>
          <w:sz w:val="24"/>
          <w:szCs w:val="24"/>
        </w:rPr>
        <w:t xml:space="preserve">32.1 </w:t>
      </w:r>
      <w:r>
        <w:rPr>
          <w:rFonts w:hint="eastAsia" w:ascii="宋体"/>
          <w:sz w:val="24"/>
          <w:szCs w:val="24"/>
        </w:rPr>
        <w:t>成交供应商与采购人签订合同后，合同双方应严格执行合同条款，履行合同规定的义务，保证合同的顺利完成。</w:t>
      </w:r>
    </w:p>
    <w:p w14:paraId="68B594A6">
      <w:pPr>
        <w:spacing w:line="400" w:lineRule="exact"/>
        <w:ind w:firstLine="480" w:firstLineChars="200"/>
        <w:rPr>
          <w:sz w:val="24"/>
          <w:szCs w:val="24"/>
        </w:rPr>
      </w:pPr>
      <w:r>
        <w:rPr>
          <w:sz w:val="24"/>
          <w:szCs w:val="24"/>
        </w:rPr>
        <w:t xml:space="preserve">32.2 </w:t>
      </w:r>
      <w:r>
        <w:rPr>
          <w:rFonts w:hint="eastAsia" w:ascii="宋体"/>
          <w:sz w:val="24"/>
          <w:szCs w:val="24"/>
        </w:rPr>
        <w:t>在合同履行过程中，如发生合同纠纷，合同双方应按照《合同法》的有关规定进行处理。</w:t>
      </w:r>
    </w:p>
    <w:p w14:paraId="13CB3748">
      <w:pPr>
        <w:pStyle w:val="4"/>
        <w:keepNext/>
        <w:keepLines w:val="0"/>
        <w:pageBreakBefore w:val="0"/>
        <w:widowControl w:val="0"/>
        <w:suppressLineNumbers w:val="0"/>
        <w:suppressAutoHyphens w:val="0"/>
        <w:spacing w:before="156" w:beforeLines="50" w:after="156" w:afterLines="50" w:line="400" w:lineRule="exact"/>
        <w:ind w:firstLine="482" w:firstLineChars="200"/>
        <w:rPr>
          <w:sz w:val="24"/>
          <w:szCs w:val="24"/>
        </w:rPr>
      </w:pPr>
      <w:r>
        <w:rPr>
          <w:sz w:val="24"/>
          <w:szCs w:val="24"/>
        </w:rPr>
        <w:t>33.</w:t>
      </w:r>
      <w:r>
        <w:rPr>
          <w:rFonts w:hint="eastAsia"/>
          <w:sz w:val="24"/>
          <w:szCs w:val="24"/>
        </w:rPr>
        <w:t>验收</w:t>
      </w:r>
    </w:p>
    <w:p w14:paraId="022F09CC">
      <w:pPr>
        <w:spacing w:line="400" w:lineRule="exact"/>
        <w:ind w:firstLine="480" w:firstLineChars="200"/>
        <w:rPr>
          <w:sz w:val="24"/>
          <w:szCs w:val="24"/>
        </w:rPr>
      </w:pPr>
      <w:r>
        <w:rPr>
          <w:sz w:val="24"/>
          <w:szCs w:val="24"/>
        </w:rPr>
        <w:t>33.1</w:t>
      </w:r>
      <w:r>
        <w:rPr>
          <w:rFonts w:hint="eastAsia" w:ascii="宋体"/>
          <w:sz w:val="24"/>
          <w:szCs w:val="24"/>
        </w:rPr>
        <w:t>本项目采购人将严格按照政府采购相关法律法规的要求进行验收。</w:t>
      </w:r>
    </w:p>
    <w:p w14:paraId="63380AFB">
      <w:pPr>
        <w:pStyle w:val="4"/>
        <w:keepNext/>
        <w:keepLines w:val="0"/>
        <w:pageBreakBefore w:val="0"/>
        <w:widowControl w:val="0"/>
        <w:suppressLineNumbers w:val="0"/>
        <w:suppressAutoHyphens w:val="0"/>
        <w:spacing w:before="156" w:beforeLines="50" w:after="156" w:afterLines="50" w:line="400" w:lineRule="exact"/>
        <w:ind w:firstLine="482" w:firstLineChars="200"/>
        <w:rPr>
          <w:sz w:val="24"/>
          <w:szCs w:val="24"/>
        </w:rPr>
      </w:pPr>
      <w:r>
        <w:rPr>
          <w:sz w:val="24"/>
          <w:szCs w:val="24"/>
        </w:rPr>
        <w:t>34.</w:t>
      </w:r>
      <w:r>
        <w:rPr>
          <w:rFonts w:hint="eastAsia"/>
          <w:sz w:val="24"/>
          <w:szCs w:val="24"/>
        </w:rPr>
        <w:t>资金支付</w:t>
      </w:r>
    </w:p>
    <w:p w14:paraId="0C8F8F60">
      <w:pPr>
        <w:spacing w:line="400" w:lineRule="exact"/>
        <w:ind w:firstLine="480" w:firstLineChars="200"/>
        <w:rPr>
          <w:sz w:val="24"/>
          <w:szCs w:val="24"/>
        </w:rPr>
      </w:pPr>
      <w:r>
        <w:rPr>
          <w:rFonts w:hint="eastAsia"/>
          <w:sz w:val="24"/>
          <w:szCs w:val="24"/>
        </w:rPr>
        <w:t>采购人按照合同约定支付。</w:t>
      </w:r>
    </w:p>
    <w:p w14:paraId="6B0CAFB6">
      <w:pPr>
        <w:spacing w:line="400" w:lineRule="exact"/>
        <w:ind w:firstLine="480" w:firstLineChars="200"/>
        <w:rPr>
          <w:sz w:val="24"/>
          <w:szCs w:val="24"/>
        </w:rPr>
      </w:pPr>
    </w:p>
    <w:p w14:paraId="12FC9F64">
      <w:pPr>
        <w:pStyle w:val="3"/>
        <w:keepNext/>
        <w:keepLines w:val="0"/>
        <w:pageBreakBefore w:val="0"/>
        <w:widowControl w:val="0"/>
        <w:suppressLineNumbers w:val="0"/>
        <w:suppressAutoHyphens w:val="0"/>
        <w:spacing w:before="0" w:after="0" w:line="400" w:lineRule="exact"/>
        <w:jc w:val="center"/>
        <w:rPr>
          <w:rFonts w:ascii="Times New Roman" w:hAnsi="Times New Roman" w:eastAsia="宋体"/>
        </w:rPr>
      </w:pPr>
      <w:bookmarkStart w:id="9" w:name="_Toc227836511"/>
      <w:r>
        <w:rPr>
          <w:rFonts w:hint="eastAsia" w:ascii="宋体" w:eastAsia="宋体"/>
        </w:rPr>
        <w:t>八、磋商纪律要求</w:t>
      </w:r>
      <w:bookmarkEnd w:id="9"/>
    </w:p>
    <w:p w14:paraId="39364107">
      <w:pPr>
        <w:spacing w:line="360" w:lineRule="auto"/>
        <w:jc w:val="center"/>
        <w:rPr>
          <w:sz w:val="24"/>
          <w:szCs w:val="24"/>
        </w:rPr>
      </w:pPr>
    </w:p>
    <w:p w14:paraId="753C6991">
      <w:pPr>
        <w:pStyle w:val="4"/>
        <w:keepNext/>
        <w:keepLines w:val="0"/>
        <w:pageBreakBefore w:val="0"/>
        <w:widowControl w:val="0"/>
        <w:suppressLineNumbers w:val="0"/>
        <w:suppressAutoHyphens w:val="0"/>
        <w:spacing w:before="156" w:beforeLines="50" w:after="156" w:afterLines="50" w:line="400" w:lineRule="exact"/>
        <w:ind w:firstLine="482" w:firstLineChars="200"/>
        <w:rPr>
          <w:sz w:val="24"/>
          <w:szCs w:val="24"/>
        </w:rPr>
      </w:pPr>
      <w:r>
        <w:rPr>
          <w:sz w:val="24"/>
          <w:szCs w:val="24"/>
        </w:rPr>
        <w:t>35.</w:t>
      </w:r>
      <w:r>
        <w:rPr>
          <w:rFonts w:hint="eastAsia"/>
          <w:sz w:val="24"/>
          <w:szCs w:val="24"/>
        </w:rPr>
        <w:t>供应商不得具有的情形</w:t>
      </w:r>
    </w:p>
    <w:p w14:paraId="2F8D7832">
      <w:pPr>
        <w:spacing w:line="360" w:lineRule="auto"/>
        <w:ind w:firstLine="480" w:firstLineChars="200"/>
        <w:rPr>
          <w:sz w:val="24"/>
          <w:szCs w:val="24"/>
        </w:rPr>
      </w:pPr>
      <w:r>
        <w:rPr>
          <w:rFonts w:hint="eastAsia" w:ascii="宋体"/>
          <w:sz w:val="24"/>
          <w:szCs w:val="24"/>
        </w:rPr>
        <w:t>供应商参加本项目磋商不得有下列情形：</w:t>
      </w:r>
    </w:p>
    <w:p w14:paraId="7123C771">
      <w:pPr>
        <w:spacing w:line="360" w:lineRule="auto"/>
        <w:ind w:firstLine="480" w:firstLineChars="200"/>
        <w:rPr>
          <w:sz w:val="24"/>
          <w:szCs w:val="24"/>
        </w:rPr>
      </w:pPr>
      <w:r>
        <w:rPr>
          <w:rFonts w:hint="eastAsia" w:ascii="宋体"/>
          <w:sz w:val="24"/>
          <w:szCs w:val="24"/>
        </w:rPr>
        <w:t>（</w:t>
      </w:r>
      <w:r>
        <w:rPr>
          <w:sz w:val="24"/>
          <w:szCs w:val="24"/>
        </w:rPr>
        <w:t>1</w:t>
      </w:r>
      <w:r>
        <w:rPr>
          <w:rFonts w:hint="eastAsia" w:ascii="宋体"/>
          <w:sz w:val="24"/>
          <w:szCs w:val="24"/>
        </w:rPr>
        <w:t>）提供虚假材料谋取成交；</w:t>
      </w:r>
    </w:p>
    <w:p w14:paraId="60D31A00">
      <w:pPr>
        <w:spacing w:line="360" w:lineRule="auto"/>
        <w:ind w:firstLine="480" w:firstLineChars="200"/>
        <w:rPr>
          <w:sz w:val="24"/>
          <w:szCs w:val="24"/>
        </w:rPr>
      </w:pPr>
      <w:r>
        <w:rPr>
          <w:rFonts w:hint="eastAsia" w:ascii="宋体"/>
          <w:sz w:val="24"/>
          <w:szCs w:val="24"/>
        </w:rPr>
        <w:t>（</w:t>
      </w:r>
      <w:r>
        <w:rPr>
          <w:sz w:val="24"/>
          <w:szCs w:val="24"/>
        </w:rPr>
        <w:t>2</w:t>
      </w:r>
      <w:r>
        <w:rPr>
          <w:rFonts w:hint="eastAsia" w:ascii="宋体"/>
          <w:sz w:val="24"/>
          <w:szCs w:val="24"/>
        </w:rPr>
        <w:t>）采取不正当手段诋毁、排挤其他供应商；</w:t>
      </w:r>
    </w:p>
    <w:p w14:paraId="28A22793">
      <w:pPr>
        <w:spacing w:line="360" w:lineRule="auto"/>
        <w:ind w:firstLine="480" w:firstLineChars="200"/>
        <w:rPr>
          <w:sz w:val="24"/>
          <w:szCs w:val="24"/>
        </w:rPr>
      </w:pPr>
      <w:r>
        <w:rPr>
          <w:rFonts w:hint="eastAsia" w:ascii="宋体"/>
          <w:sz w:val="24"/>
          <w:szCs w:val="24"/>
        </w:rPr>
        <w:t>（</w:t>
      </w:r>
      <w:r>
        <w:rPr>
          <w:sz w:val="24"/>
          <w:szCs w:val="24"/>
        </w:rPr>
        <w:t>3</w:t>
      </w:r>
      <w:r>
        <w:rPr>
          <w:rFonts w:hint="eastAsia" w:ascii="宋体"/>
          <w:sz w:val="24"/>
          <w:szCs w:val="24"/>
        </w:rPr>
        <w:t>）与采购人、或其他供应商恶意串通；</w:t>
      </w:r>
    </w:p>
    <w:p w14:paraId="1DBBA194">
      <w:pPr>
        <w:spacing w:line="360" w:lineRule="auto"/>
        <w:ind w:firstLine="480" w:firstLineChars="200"/>
        <w:rPr>
          <w:sz w:val="24"/>
          <w:szCs w:val="24"/>
        </w:rPr>
      </w:pPr>
      <w:r>
        <w:rPr>
          <w:rFonts w:hint="eastAsia" w:ascii="宋体"/>
          <w:sz w:val="24"/>
          <w:szCs w:val="24"/>
        </w:rPr>
        <w:t>（</w:t>
      </w:r>
      <w:r>
        <w:rPr>
          <w:sz w:val="24"/>
          <w:szCs w:val="24"/>
        </w:rPr>
        <w:t>4</w:t>
      </w:r>
      <w:r>
        <w:rPr>
          <w:rFonts w:hint="eastAsia" w:ascii="宋体"/>
          <w:sz w:val="24"/>
          <w:szCs w:val="24"/>
        </w:rPr>
        <w:t>）向采购人、磋商小组成员行贿或者提供其他不正当利益；</w:t>
      </w:r>
    </w:p>
    <w:p w14:paraId="3B278478">
      <w:pPr>
        <w:spacing w:line="360" w:lineRule="auto"/>
        <w:ind w:firstLine="480" w:firstLineChars="200"/>
        <w:rPr>
          <w:sz w:val="24"/>
          <w:szCs w:val="24"/>
        </w:rPr>
      </w:pPr>
      <w:r>
        <w:rPr>
          <w:rFonts w:hint="eastAsia" w:ascii="宋体"/>
          <w:sz w:val="24"/>
          <w:szCs w:val="24"/>
        </w:rPr>
        <w:t>（</w:t>
      </w:r>
      <w:r>
        <w:rPr>
          <w:sz w:val="24"/>
          <w:szCs w:val="24"/>
        </w:rPr>
        <w:t>5</w:t>
      </w:r>
      <w:r>
        <w:rPr>
          <w:rFonts w:hint="eastAsia" w:ascii="宋体"/>
          <w:sz w:val="24"/>
          <w:szCs w:val="24"/>
        </w:rPr>
        <w:t>）在磋商过程中与采购人进行协商；</w:t>
      </w:r>
    </w:p>
    <w:p w14:paraId="16F3C81D">
      <w:pPr>
        <w:spacing w:line="360" w:lineRule="auto"/>
        <w:ind w:firstLine="480" w:firstLineChars="200"/>
        <w:rPr>
          <w:sz w:val="24"/>
          <w:szCs w:val="24"/>
        </w:rPr>
      </w:pPr>
      <w:r>
        <w:rPr>
          <w:rFonts w:hint="eastAsia" w:ascii="宋体"/>
          <w:sz w:val="24"/>
          <w:szCs w:val="24"/>
        </w:rPr>
        <w:t>（</w:t>
      </w:r>
      <w:r>
        <w:rPr>
          <w:sz w:val="24"/>
          <w:szCs w:val="24"/>
        </w:rPr>
        <w:t>6</w:t>
      </w:r>
      <w:r>
        <w:rPr>
          <w:rFonts w:hint="eastAsia" w:ascii="宋体"/>
          <w:sz w:val="24"/>
          <w:szCs w:val="24"/>
        </w:rPr>
        <w:t>）成交后无正当理由拒不与采购人签订政府采购合同；</w:t>
      </w:r>
    </w:p>
    <w:p w14:paraId="1CCB5E58">
      <w:pPr>
        <w:spacing w:line="360" w:lineRule="auto"/>
        <w:ind w:firstLine="480" w:firstLineChars="200"/>
        <w:rPr>
          <w:sz w:val="24"/>
          <w:szCs w:val="24"/>
        </w:rPr>
      </w:pPr>
      <w:r>
        <w:rPr>
          <w:rFonts w:hint="eastAsia" w:ascii="宋体"/>
          <w:sz w:val="24"/>
          <w:szCs w:val="24"/>
        </w:rPr>
        <w:t>（</w:t>
      </w:r>
      <w:r>
        <w:rPr>
          <w:sz w:val="24"/>
          <w:szCs w:val="24"/>
        </w:rPr>
        <w:t>7</w:t>
      </w:r>
      <w:r>
        <w:rPr>
          <w:rFonts w:hint="eastAsia" w:ascii="宋体"/>
          <w:sz w:val="24"/>
          <w:szCs w:val="24"/>
        </w:rPr>
        <w:t>）未按照磋商文件确定的事项签订政府采购合同；</w:t>
      </w:r>
    </w:p>
    <w:p w14:paraId="097950CB">
      <w:pPr>
        <w:spacing w:line="360" w:lineRule="auto"/>
        <w:ind w:firstLine="480" w:firstLineChars="200"/>
        <w:rPr>
          <w:sz w:val="24"/>
          <w:szCs w:val="24"/>
        </w:rPr>
      </w:pPr>
      <w:r>
        <w:rPr>
          <w:rFonts w:hint="eastAsia" w:ascii="宋体"/>
          <w:sz w:val="24"/>
          <w:szCs w:val="24"/>
        </w:rPr>
        <w:t>（</w:t>
      </w:r>
      <w:r>
        <w:rPr>
          <w:sz w:val="24"/>
          <w:szCs w:val="24"/>
        </w:rPr>
        <w:t>8</w:t>
      </w:r>
      <w:r>
        <w:rPr>
          <w:rFonts w:hint="eastAsia" w:ascii="宋体"/>
          <w:sz w:val="24"/>
          <w:szCs w:val="24"/>
        </w:rPr>
        <w:t>）将政府采购合同转包或者违规分包；</w:t>
      </w:r>
    </w:p>
    <w:p w14:paraId="3FCBB256">
      <w:pPr>
        <w:spacing w:line="360" w:lineRule="auto"/>
        <w:ind w:firstLine="480" w:firstLineChars="200"/>
        <w:rPr>
          <w:sz w:val="24"/>
          <w:szCs w:val="24"/>
        </w:rPr>
      </w:pPr>
      <w:r>
        <w:rPr>
          <w:rFonts w:hint="eastAsia" w:ascii="宋体"/>
          <w:sz w:val="24"/>
          <w:szCs w:val="24"/>
        </w:rPr>
        <w:t>（</w:t>
      </w:r>
      <w:r>
        <w:rPr>
          <w:sz w:val="24"/>
          <w:szCs w:val="24"/>
        </w:rPr>
        <w:t>9</w:t>
      </w:r>
      <w:r>
        <w:rPr>
          <w:rFonts w:hint="eastAsia" w:ascii="宋体"/>
          <w:sz w:val="24"/>
          <w:szCs w:val="24"/>
        </w:rPr>
        <w:t>）提供假冒伪劣产品；</w:t>
      </w:r>
    </w:p>
    <w:p w14:paraId="6D5BC6DF">
      <w:pPr>
        <w:spacing w:line="360" w:lineRule="auto"/>
        <w:ind w:firstLine="480" w:firstLineChars="200"/>
        <w:rPr>
          <w:sz w:val="24"/>
          <w:szCs w:val="24"/>
        </w:rPr>
      </w:pPr>
      <w:r>
        <w:rPr>
          <w:rFonts w:hint="eastAsia" w:ascii="宋体"/>
          <w:sz w:val="24"/>
          <w:szCs w:val="24"/>
        </w:rPr>
        <w:t>（</w:t>
      </w:r>
      <w:r>
        <w:rPr>
          <w:sz w:val="24"/>
          <w:szCs w:val="24"/>
        </w:rPr>
        <w:t>10</w:t>
      </w:r>
      <w:r>
        <w:rPr>
          <w:rFonts w:hint="eastAsia" w:ascii="宋体"/>
          <w:sz w:val="24"/>
          <w:szCs w:val="24"/>
        </w:rPr>
        <w:t>）擅自变更、中止或者终止政府采购合同；</w:t>
      </w:r>
    </w:p>
    <w:p w14:paraId="428453C7">
      <w:pPr>
        <w:spacing w:line="360" w:lineRule="auto"/>
        <w:ind w:firstLine="480" w:firstLineChars="200"/>
        <w:rPr>
          <w:sz w:val="24"/>
          <w:szCs w:val="24"/>
        </w:rPr>
      </w:pPr>
      <w:r>
        <w:rPr>
          <w:rFonts w:hint="eastAsia" w:ascii="宋体"/>
          <w:sz w:val="24"/>
          <w:szCs w:val="24"/>
        </w:rPr>
        <w:t>（</w:t>
      </w:r>
      <w:r>
        <w:rPr>
          <w:sz w:val="24"/>
          <w:szCs w:val="24"/>
        </w:rPr>
        <w:t>11</w:t>
      </w:r>
      <w:r>
        <w:rPr>
          <w:rFonts w:hint="eastAsia" w:ascii="宋体"/>
          <w:sz w:val="24"/>
          <w:szCs w:val="24"/>
        </w:rPr>
        <w:t>）拒绝有关部门的监督检查或者向监督检查部门提供虚假情况；</w:t>
      </w:r>
    </w:p>
    <w:p w14:paraId="6737BBB2">
      <w:pPr>
        <w:spacing w:line="360" w:lineRule="auto"/>
        <w:ind w:firstLine="480" w:firstLineChars="200"/>
        <w:rPr>
          <w:sz w:val="24"/>
          <w:szCs w:val="24"/>
        </w:rPr>
      </w:pPr>
      <w:r>
        <w:rPr>
          <w:rFonts w:hint="eastAsia" w:ascii="宋体"/>
          <w:sz w:val="24"/>
          <w:szCs w:val="24"/>
        </w:rPr>
        <w:t>（</w:t>
      </w:r>
      <w:r>
        <w:rPr>
          <w:sz w:val="24"/>
          <w:szCs w:val="24"/>
        </w:rPr>
        <w:t>12</w:t>
      </w:r>
      <w:r>
        <w:rPr>
          <w:rFonts w:hint="eastAsia" w:ascii="宋体"/>
          <w:sz w:val="24"/>
          <w:szCs w:val="24"/>
        </w:rPr>
        <w:t>）法律法规规定的其他情形。</w:t>
      </w:r>
    </w:p>
    <w:p w14:paraId="1EE1AABA">
      <w:pPr>
        <w:spacing w:line="360" w:lineRule="auto"/>
        <w:ind w:firstLine="480" w:firstLineChars="200"/>
        <w:rPr>
          <w:sz w:val="24"/>
          <w:szCs w:val="24"/>
        </w:rPr>
      </w:pPr>
      <w:r>
        <w:rPr>
          <w:rFonts w:hint="eastAsia" w:ascii="宋体"/>
          <w:sz w:val="24"/>
          <w:szCs w:val="24"/>
        </w:rPr>
        <w:t>供应商有上述情形的，按照规定追究法律责任，具备（</w:t>
      </w:r>
      <w:r>
        <w:rPr>
          <w:sz w:val="24"/>
          <w:szCs w:val="24"/>
        </w:rPr>
        <w:t>1</w:t>
      </w:r>
      <w:r>
        <w:rPr>
          <w:rFonts w:hint="eastAsia" w:ascii="宋体"/>
          <w:sz w:val="24"/>
          <w:szCs w:val="24"/>
        </w:rPr>
        <w:t>）</w:t>
      </w:r>
      <w:r>
        <w:rPr>
          <w:sz w:val="24"/>
          <w:szCs w:val="24"/>
        </w:rPr>
        <w:t>-</w:t>
      </w:r>
      <w:r>
        <w:rPr>
          <w:rFonts w:hint="eastAsia" w:ascii="宋体"/>
          <w:sz w:val="24"/>
          <w:szCs w:val="24"/>
        </w:rPr>
        <w:t>（</w:t>
      </w:r>
      <w:r>
        <w:rPr>
          <w:sz w:val="24"/>
          <w:szCs w:val="24"/>
        </w:rPr>
        <w:t>10</w:t>
      </w:r>
      <w:r>
        <w:rPr>
          <w:rFonts w:hint="eastAsia" w:ascii="宋体"/>
          <w:sz w:val="24"/>
          <w:szCs w:val="24"/>
        </w:rPr>
        <w:t>）条情形之一的，同时将取消被确认为成交供应商的资格或者认定成交无效。</w:t>
      </w:r>
    </w:p>
    <w:p w14:paraId="65E7403A">
      <w:pPr>
        <w:pStyle w:val="3"/>
        <w:keepNext/>
        <w:keepLines w:val="0"/>
        <w:pageBreakBefore w:val="0"/>
        <w:widowControl w:val="0"/>
        <w:suppressLineNumbers w:val="0"/>
        <w:suppressAutoHyphens w:val="0"/>
        <w:spacing w:before="0" w:after="0" w:line="400" w:lineRule="exact"/>
        <w:jc w:val="center"/>
        <w:rPr>
          <w:rFonts w:ascii="宋体" w:eastAsia="宋体"/>
        </w:rPr>
      </w:pPr>
      <w:bookmarkStart w:id="10" w:name="_Toc227836512"/>
      <w:r>
        <w:rPr>
          <w:rFonts w:hint="eastAsia" w:ascii="宋体" w:eastAsia="宋体"/>
        </w:rPr>
        <w:t>九、询问、质疑和投诉</w:t>
      </w:r>
      <w:bookmarkEnd w:id="10"/>
    </w:p>
    <w:p w14:paraId="1973FE01">
      <w:pPr>
        <w:pStyle w:val="4"/>
        <w:keepNext/>
        <w:keepLines w:val="0"/>
        <w:pageBreakBefore w:val="0"/>
        <w:widowControl w:val="0"/>
        <w:suppressLineNumbers w:val="0"/>
        <w:suppressAutoHyphens w:val="0"/>
        <w:spacing w:before="0" w:after="0" w:line="400" w:lineRule="exact"/>
        <w:ind w:firstLine="480" w:firstLineChars="200"/>
        <w:rPr>
          <w:b w:val="0"/>
          <w:bCs w:val="0"/>
          <w:sz w:val="24"/>
          <w:szCs w:val="24"/>
        </w:rPr>
      </w:pPr>
      <w:r>
        <w:rPr>
          <w:b w:val="0"/>
          <w:bCs w:val="0"/>
          <w:sz w:val="24"/>
          <w:szCs w:val="24"/>
        </w:rPr>
        <w:t>36.</w:t>
      </w:r>
      <w:r>
        <w:rPr>
          <w:rFonts w:hint="eastAsia"/>
          <w:b w:val="0"/>
          <w:bCs w:val="0"/>
          <w:sz w:val="24"/>
          <w:szCs w:val="24"/>
        </w:rPr>
        <w:t>询问、质疑、投诉的接收和处理严格按照《中华人民共和国政府采购法》、《中华人民共和国政府采购法实施条例》、《财政部关于加强政府采购供应商投诉受理审查工作的通知》和四川省的有关规定办理（详细规定请在四川政府采购网政策法规模块查询）。</w:t>
      </w:r>
    </w:p>
    <w:p w14:paraId="0B4A16A7">
      <w:pPr>
        <w:pStyle w:val="3"/>
        <w:keepNext/>
        <w:keepLines w:val="0"/>
        <w:pageBreakBefore w:val="0"/>
        <w:widowControl w:val="0"/>
        <w:suppressLineNumbers w:val="0"/>
        <w:suppressAutoHyphens w:val="0"/>
        <w:spacing w:before="0" w:after="0" w:line="400" w:lineRule="exact"/>
        <w:jc w:val="center"/>
        <w:rPr>
          <w:rFonts w:ascii="宋体" w:eastAsia="宋体"/>
        </w:rPr>
      </w:pPr>
      <w:bookmarkStart w:id="11" w:name="_Toc227836513"/>
      <w:r>
        <w:rPr>
          <w:rFonts w:hint="eastAsia" w:ascii="宋体" w:eastAsia="宋体"/>
        </w:rPr>
        <w:t>十、其  他</w:t>
      </w:r>
      <w:bookmarkEnd w:id="11"/>
    </w:p>
    <w:p w14:paraId="3148BC6D">
      <w:pPr>
        <w:pStyle w:val="4"/>
        <w:keepNext/>
        <w:keepLines w:val="0"/>
        <w:pageBreakBefore w:val="0"/>
        <w:widowControl w:val="0"/>
        <w:suppressLineNumbers w:val="0"/>
        <w:suppressAutoHyphens w:val="0"/>
        <w:spacing w:before="0" w:after="0" w:line="400" w:lineRule="exact"/>
        <w:ind w:firstLine="480" w:firstLineChars="200"/>
        <w:rPr>
          <w:b w:val="0"/>
          <w:bCs w:val="0"/>
          <w:sz w:val="24"/>
          <w:szCs w:val="24"/>
        </w:rPr>
      </w:pPr>
      <w:r>
        <w:rPr>
          <w:b w:val="0"/>
          <w:bCs w:val="0"/>
          <w:sz w:val="24"/>
          <w:szCs w:val="24"/>
        </w:rPr>
        <w:t>37.</w:t>
      </w:r>
      <w:r>
        <w:rPr>
          <w:rFonts w:hint="eastAsia"/>
          <w:b w:val="0"/>
          <w:bCs w:val="0"/>
          <w:sz w:val="24"/>
          <w:szCs w:val="24"/>
        </w:rPr>
        <w:t>本磋商文件中所引相关法律制度规定，在政府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磋商文件不再做调整。</w:t>
      </w:r>
    </w:p>
    <w:p w14:paraId="4F0E4F5C">
      <w:pPr>
        <w:pStyle w:val="4"/>
        <w:keepNext/>
        <w:keepLines w:val="0"/>
        <w:pageBreakBefore w:val="0"/>
        <w:widowControl w:val="0"/>
        <w:suppressLineNumbers w:val="0"/>
        <w:suppressAutoHyphens w:val="0"/>
        <w:spacing w:before="0" w:after="0" w:line="400" w:lineRule="exact"/>
        <w:ind w:firstLine="480" w:firstLineChars="200"/>
        <w:rPr>
          <w:b w:val="0"/>
          <w:bCs w:val="0"/>
          <w:sz w:val="24"/>
          <w:szCs w:val="24"/>
        </w:rPr>
      </w:pPr>
      <w:r>
        <w:rPr>
          <w:b w:val="0"/>
          <w:bCs w:val="0"/>
          <w:sz w:val="24"/>
          <w:szCs w:val="24"/>
        </w:rPr>
        <w:t>38.</w:t>
      </w:r>
      <w:r>
        <w:rPr>
          <w:rFonts w:hint="eastAsia"/>
          <w:sz w:val="24"/>
          <w:szCs w:val="24"/>
        </w:rPr>
        <w:t>（实质性要求）</w:t>
      </w:r>
      <w:r>
        <w:rPr>
          <w:rFonts w:hint="eastAsia"/>
          <w:b w:val="0"/>
          <w:bCs w:val="0"/>
          <w:sz w:val="24"/>
          <w:szCs w:val="24"/>
        </w:rPr>
        <w:t>国家或行业主管部门对供应商和采购产品的技术标准、质量标准和资格资质条件等有强制性规定的，必须符合其要求。</w:t>
      </w:r>
    </w:p>
    <w:p w14:paraId="4B159082">
      <w:pPr>
        <w:jc w:val="center"/>
        <w:rPr>
          <w:b/>
          <w:sz w:val="32"/>
          <w:szCs w:val="32"/>
        </w:rPr>
      </w:pPr>
    </w:p>
    <w:p w14:paraId="5E3D753B">
      <w:pPr>
        <w:pStyle w:val="2"/>
        <w:keepNext/>
        <w:keepLines w:val="0"/>
        <w:pageBreakBefore w:val="0"/>
        <w:widowControl w:val="0"/>
        <w:suppressLineNumbers w:val="0"/>
        <w:suppressAutoHyphens w:val="0"/>
        <w:spacing w:before="0" w:after="0" w:line="240" w:lineRule="atLeast"/>
        <w:jc w:val="center"/>
        <w:rPr>
          <w:rFonts w:ascii="宋体"/>
          <w:sz w:val="28"/>
          <w:szCs w:val="28"/>
        </w:rPr>
      </w:pPr>
      <w:r>
        <w:rPr>
          <w:b w:val="0"/>
          <w:kern w:val="2"/>
          <w:sz w:val="32"/>
          <w:szCs w:val="32"/>
        </w:rPr>
        <w:br w:type="page"/>
      </w:r>
      <w:bookmarkStart w:id="12" w:name="_Toc227836514"/>
      <w:r>
        <w:rPr>
          <w:rFonts w:hint="eastAsia" w:ascii="宋体"/>
          <w:sz w:val="28"/>
          <w:szCs w:val="28"/>
        </w:rPr>
        <w:t>第三章  供应商资格证明材料</w:t>
      </w:r>
      <w:bookmarkEnd w:id="12"/>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2634"/>
        <w:gridCol w:w="5153"/>
      </w:tblGrid>
      <w:tr w14:paraId="584D2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432" w:type="pct"/>
            <w:vAlign w:val="center"/>
          </w:tcPr>
          <w:p w14:paraId="396E9E58">
            <w:pPr>
              <w:keepNext w:val="0"/>
              <w:keepLines w:val="0"/>
              <w:pageBreakBefore w:val="0"/>
              <w:widowControl/>
              <w:suppressLineNumbers w:val="0"/>
              <w:suppressAutoHyphens w:val="0"/>
              <w:jc w:val="center"/>
              <w:rPr>
                <w:rFonts w:cs="宋体"/>
                <w:b/>
                <w:bCs/>
                <w:kern w:val="0"/>
                <w:sz w:val="24"/>
                <w:szCs w:val="24"/>
              </w:rPr>
            </w:pPr>
            <w:r>
              <w:rPr>
                <w:rFonts w:hint="eastAsia" w:ascii="宋体"/>
                <w:b/>
                <w:bCs/>
                <w:kern w:val="0"/>
                <w:sz w:val="24"/>
                <w:szCs w:val="24"/>
              </w:rPr>
              <w:t>序号</w:t>
            </w:r>
          </w:p>
        </w:tc>
        <w:tc>
          <w:tcPr>
            <w:tcW w:w="1545" w:type="pct"/>
            <w:vAlign w:val="center"/>
          </w:tcPr>
          <w:p w14:paraId="36EC921F">
            <w:pPr>
              <w:keepNext w:val="0"/>
              <w:keepLines w:val="0"/>
              <w:pageBreakBefore w:val="0"/>
              <w:widowControl/>
              <w:suppressLineNumbers w:val="0"/>
              <w:suppressAutoHyphens w:val="0"/>
              <w:jc w:val="center"/>
              <w:rPr>
                <w:rFonts w:cs="宋体"/>
                <w:b/>
                <w:bCs/>
                <w:kern w:val="0"/>
                <w:sz w:val="24"/>
                <w:szCs w:val="24"/>
              </w:rPr>
            </w:pPr>
            <w:r>
              <w:rPr>
                <w:rFonts w:hint="eastAsia" w:ascii="宋体"/>
                <w:b/>
                <w:bCs/>
                <w:kern w:val="0"/>
                <w:sz w:val="24"/>
                <w:szCs w:val="24"/>
              </w:rPr>
              <w:t>供应商</w:t>
            </w:r>
            <w:r>
              <w:rPr>
                <w:rFonts w:hint="eastAsia" w:ascii="宋体" w:cs="宋体"/>
                <w:b/>
                <w:bCs/>
                <w:kern w:val="0"/>
                <w:sz w:val="24"/>
                <w:szCs w:val="24"/>
              </w:rPr>
              <w:t>资格要求</w:t>
            </w:r>
          </w:p>
        </w:tc>
        <w:tc>
          <w:tcPr>
            <w:tcW w:w="3023" w:type="pct"/>
            <w:vAlign w:val="center"/>
          </w:tcPr>
          <w:p w14:paraId="55857EBB">
            <w:pPr>
              <w:keepNext w:val="0"/>
              <w:keepLines w:val="0"/>
              <w:pageBreakBefore w:val="0"/>
              <w:widowControl/>
              <w:suppressLineNumbers w:val="0"/>
              <w:suppressAutoHyphens w:val="0"/>
              <w:jc w:val="center"/>
              <w:rPr>
                <w:rFonts w:cs="宋体"/>
                <w:b/>
                <w:bCs/>
                <w:kern w:val="0"/>
                <w:sz w:val="24"/>
                <w:szCs w:val="24"/>
              </w:rPr>
            </w:pPr>
            <w:r>
              <w:rPr>
                <w:rFonts w:hint="eastAsia" w:ascii="宋体"/>
                <w:b/>
                <w:bCs/>
                <w:kern w:val="0"/>
                <w:sz w:val="24"/>
                <w:szCs w:val="24"/>
              </w:rPr>
              <w:t>要求提供的相关证明材料</w:t>
            </w:r>
          </w:p>
        </w:tc>
      </w:tr>
      <w:tr w14:paraId="3A61A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432" w:type="pct"/>
            <w:vAlign w:val="center"/>
          </w:tcPr>
          <w:p w14:paraId="7842535E">
            <w:pPr>
              <w:keepNext w:val="0"/>
              <w:keepLines w:val="0"/>
              <w:pageBreakBefore w:val="0"/>
              <w:widowControl/>
              <w:suppressLineNumbers w:val="0"/>
              <w:suppressAutoHyphens w:val="0"/>
              <w:jc w:val="center"/>
              <w:rPr>
                <w:rFonts w:cs="宋体"/>
                <w:b/>
                <w:bCs/>
                <w:kern w:val="0"/>
              </w:rPr>
            </w:pPr>
            <w:r>
              <w:rPr>
                <w:rFonts w:hint="eastAsia" w:ascii="宋体"/>
                <w:b/>
                <w:bCs/>
                <w:kern w:val="0"/>
              </w:rPr>
              <w:t>1</w:t>
            </w:r>
          </w:p>
        </w:tc>
        <w:tc>
          <w:tcPr>
            <w:tcW w:w="1545" w:type="pct"/>
            <w:tcBorders>
              <w:left w:val="single" w:color="auto" w:sz="4" w:space="0"/>
            </w:tcBorders>
            <w:vAlign w:val="center"/>
          </w:tcPr>
          <w:p w14:paraId="77CD1DBA">
            <w:pPr>
              <w:keepNext w:val="0"/>
              <w:keepLines w:val="0"/>
              <w:pageBreakBefore w:val="0"/>
              <w:widowControl/>
              <w:suppressLineNumbers w:val="0"/>
              <w:suppressAutoHyphens w:val="0"/>
              <w:spacing w:beforeAutospacing="0" w:afterAutospacing="0" w:line="520" w:lineRule="exact"/>
              <w:rPr>
                <w:rFonts w:cs="宋体"/>
                <w:bCs/>
                <w:kern w:val="0"/>
              </w:rPr>
            </w:pPr>
            <w:r>
              <w:rPr>
                <w:rFonts w:hint="eastAsia" w:ascii="宋体"/>
                <w:bCs/>
                <w:kern w:val="0"/>
              </w:rPr>
              <w:t>具有独立承担民事责任的能力</w:t>
            </w:r>
          </w:p>
        </w:tc>
        <w:tc>
          <w:tcPr>
            <w:tcW w:w="3023" w:type="pct"/>
            <w:tcBorders>
              <w:left w:val="single" w:color="auto" w:sz="4" w:space="0"/>
            </w:tcBorders>
            <w:vAlign w:val="center"/>
          </w:tcPr>
          <w:p w14:paraId="5BA04BD8">
            <w:pPr>
              <w:keepNext w:val="0"/>
              <w:keepLines w:val="0"/>
              <w:pageBreakBefore w:val="0"/>
              <w:widowControl/>
              <w:suppressLineNumbers w:val="0"/>
              <w:suppressAutoHyphens w:val="0"/>
              <w:spacing w:beforeAutospacing="0" w:afterAutospacing="0" w:line="520" w:lineRule="exact"/>
              <w:rPr>
                <w:rFonts w:cs="宋体"/>
                <w:bCs/>
                <w:kern w:val="0"/>
              </w:rPr>
            </w:pPr>
            <w:r>
              <w:rPr>
                <w:rFonts w:hint="eastAsia" w:cs="宋体"/>
                <w:bCs/>
                <w:kern w:val="0"/>
              </w:rPr>
              <w:t>在中华人民共和国境内注册的法人或其他组织或自然人，投标时提交有效的营业执照（或事业单位法人证书或身份证等相关证明）复印件。</w:t>
            </w:r>
          </w:p>
        </w:tc>
      </w:tr>
      <w:tr w14:paraId="762AD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432" w:type="pct"/>
            <w:vAlign w:val="center"/>
          </w:tcPr>
          <w:p w14:paraId="11AB56BC">
            <w:pPr>
              <w:jc w:val="center"/>
            </w:pPr>
            <w:r>
              <w:rPr>
                <w:rFonts w:hint="eastAsia"/>
              </w:rPr>
              <w:t>2</w:t>
            </w:r>
          </w:p>
        </w:tc>
        <w:tc>
          <w:tcPr>
            <w:tcW w:w="1545" w:type="pct"/>
            <w:tcBorders>
              <w:left w:val="single" w:color="auto" w:sz="4" w:space="0"/>
            </w:tcBorders>
            <w:vAlign w:val="center"/>
          </w:tcPr>
          <w:p w14:paraId="484E9FAA">
            <w:pPr>
              <w:keepNext w:val="0"/>
              <w:keepLines w:val="0"/>
              <w:pageBreakBefore w:val="0"/>
              <w:widowControl/>
              <w:suppressLineNumbers w:val="0"/>
              <w:suppressAutoHyphens w:val="0"/>
              <w:spacing w:beforeAutospacing="0" w:afterAutospacing="0" w:line="520" w:lineRule="exact"/>
              <w:rPr>
                <w:rFonts w:cs="宋体"/>
                <w:bCs/>
                <w:kern w:val="0"/>
              </w:rPr>
            </w:pPr>
            <w:r>
              <w:rPr>
                <w:rFonts w:hint="eastAsia" w:ascii="宋体"/>
                <w:bCs/>
                <w:kern w:val="0"/>
              </w:rPr>
              <w:t>具有良好的商业信誉和健全的财务会计制度</w:t>
            </w:r>
          </w:p>
        </w:tc>
        <w:tc>
          <w:tcPr>
            <w:tcW w:w="3023" w:type="pct"/>
            <w:tcBorders>
              <w:left w:val="single" w:color="auto" w:sz="4" w:space="0"/>
            </w:tcBorders>
            <w:vAlign w:val="center"/>
          </w:tcPr>
          <w:p w14:paraId="18A107E6">
            <w:pPr>
              <w:keepNext w:val="0"/>
              <w:keepLines w:val="0"/>
              <w:pageBreakBefore w:val="0"/>
              <w:widowControl/>
              <w:suppressLineNumbers w:val="0"/>
              <w:suppressAutoHyphens w:val="0"/>
              <w:spacing w:beforeAutospacing="0" w:afterAutospacing="0" w:line="520" w:lineRule="exact"/>
              <w:rPr>
                <w:rFonts w:cs="宋体"/>
                <w:bCs/>
                <w:kern w:val="0"/>
              </w:rPr>
            </w:pPr>
            <w:r>
              <w:rPr>
                <w:rFonts w:hint="eastAsia" w:cs="宋体"/>
                <w:bCs/>
                <w:kern w:val="0"/>
              </w:rPr>
              <w:t>提供具有良好的商业信誉和健全的财务会计制度的承诺函（格式自拟）</w:t>
            </w:r>
          </w:p>
        </w:tc>
      </w:tr>
      <w:tr w14:paraId="37C9D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432" w:type="pct"/>
            <w:vAlign w:val="center"/>
          </w:tcPr>
          <w:p w14:paraId="0B7A08AE">
            <w:pPr>
              <w:jc w:val="center"/>
            </w:pPr>
            <w:r>
              <w:rPr>
                <w:rFonts w:hint="eastAsia"/>
              </w:rPr>
              <w:t>3</w:t>
            </w:r>
          </w:p>
        </w:tc>
        <w:tc>
          <w:tcPr>
            <w:tcW w:w="1545" w:type="pct"/>
            <w:tcBorders>
              <w:left w:val="single" w:color="auto" w:sz="4" w:space="0"/>
            </w:tcBorders>
            <w:vAlign w:val="center"/>
          </w:tcPr>
          <w:p w14:paraId="5350E081">
            <w:pPr>
              <w:keepNext w:val="0"/>
              <w:keepLines w:val="0"/>
              <w:pageBreakBefore w:val="0"/>
              <w:widowControl/>
              <w:suppressLineNumbers w:val="0"/>
              <w:suppressAutoHyphens w:val="0"/>
              <w:spacing w:beforeAutospacing="0" w:afterAutospacing="0" w:line="520" w:lineRule="exact"/>
              <w:rPr>
                <w:rFonts w:cs="宋体"/>
                <w:bCs/>
                <w:kern w:val="0"/>
              </w:rPr>
            </w:pPr>
            <w:r>
              <w:rPr>
                <w:rFonts w:hint="eastAsia" w:ascii="宋体"/>
                <w:bCs/>
                <w:kern w:val="0"/>
              </w:rPr>
              <w:t>具有履行合同所必需的设备和专业技术能力</w:t>
            </w:r>
          </w:p>
        </w:tc>
        <w:tc>
          <w:tcPr>
            <w:tcW w:w="3023" w:type="pct"/>
            <w:tcBorders>
              <w:left w:val="single" w:color="auto" w:sz="4" w:space="0"/>
            </w:tcBorders>
            <w:vAlign w:val="center"/>
          </w:tcPr>
          <w:p w14:paraId="3F370D92">
            <w:pPr>
              <w:keepNext w:val="0"/>
              <w:keepLines w:val="0"/>
              <w:pageBreakBefore w:val="0"/>
              <w:widowControl/>
              <w:suppressLineNumbers w:val="0"/>
              <w:suppressAutoHyphens w:val="0"/>
              <w:spacing w:beforeAutospacing="0" w:afterAutospacing="0" w:line="520" w:lineRule="exact"/>
              <w:rPr>
                <w:rFonts w:cs="宋体"/>
                <w:bCs/>
                <w:kern w:val="0"/>
              </w:rPr>
            </w:pPr>
            <w:r>
              <w:rPr>
                <w:rFonts w:hint="eastAsia" w:ascii="宋体"/>
                <w:bCs/>
                <w:kern w:val="0"/>
              </w:rPr>
              <w:t>提供具有履行合同所必需的设备和专业技术能力的</w:t>
            </w:r>
            <w:r>
              <w:rPr>
                <w:rFonts w:hint="eastAsia" w:cs="宋体"/>
                <w:bCs/>
                <w:kern w:val="0"/>
              </w:rPr>
              <w:t>承诺函（格式自拟）</w:t>
            </w:r>
          </w:p>
        </w:tc>
      </w:tr>
      <w:tr w14:paraId="20955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7" w:hRule="atLeast"/>
          <w:jc w:val="center"/>
        </w:trPr>
        <w:tc>
          <w:tcPr>
            <w:tcW w:w="432" w:type="pct"/>
            <w:vAlign w:val="center"/>
          </w:tcPr>
          <w:p w14:paraId="4C747C97">
            <w:pPr>
              <w:jc w:val="center"/>
            </w:pPr>
            <w:r>
              <w:rPr>
                <w:rFonts w:hint="eastAsia"/>
              </w:rPr>
              <w:t>4</w:t>
            </w:r>
          </w:p>
        </w:tc>
        <w:tc>
          <w:tcPr>
            <w:tcW w:w="1545" w:type="pct"/>
            <w:tcBorders>
              <w:left w:val="single" w:color="auto" w:sz="4" w:space="0"/>
            </w:tcBorders>
            <w:vAlign w:val="center"/>
          </w:tcPr>
          <w:p w14:paraId="0A3C92FB">
            <w:pPr>
              <w:keepNext w:val="0"/>
              <w:keepLines w:val="0"/>
              <w:pageBreakBefore w:val="0"/>
              <w:widowControl/>
              <w:suppressLineNumbers w:val="0"/>
              <w:suppressAutoHyphens w:val="0"/>
              <w:spacing w:beforeAutospacing="0" w:afterAutospacing="0" w:line="520" w:lineRule="exact"/>
              <w:rPr>
                <w:rFonts w:cs="宋体"/>
                <w:bCs/>
                <w:kern w:val="0"/>
              </w:rPr>
            </w:pPr>
            <w:r>
              <w:rPr>
                <w:rFonts w:hint="eastAsia" w:ascii="宋体"/>
                <w:bCs/>
                <w:kern w:val="0"/>
              </w:rPr>
              <w:t>有依法缴纳税收和社会保障资金的良好记录</w:t>
            </w:r>
          </w:p>
        </w:tc>
        <w:tc>
          <w:tcPr>
            <w:tcW w:w="3023" w:type="pct"/>
            <w:tcBorders>
              <w:left w:val="single" w:color="auto" w:sz="4" w:space="0"/>
            </w:tcBorders>
            <w:vAlign w:val="center"/>
          </w:tcPr>
          <w:p w14:paraId="5895B81F">
            <w:pPr>
              <w:keepNext w:val="0"/>
              <w:keepLines w:val="0"/>
              <w:pageBreakBefore w:val="0"/>
              <w:widowControl/>
              <w:suppressLineNumbers w:val="0"/>
              <w:suppressAutoHyphens w:val="0"/>
              <w:spacing w:beforeAutospacing="0" w:afterAutospacing="0" w:line="520" w:lineRule="exact"/>
              <w:rPr>
                <w:rFonts w:cs="宋体"/>
                <w:bCs/>
                <w:kern w:val="0"/>
              </w:rPr>
            </w:pPr>
            <w:r>
              <w:rPr>
                <w:rFonts w:hint="eastAsia" w:ascii="宋体"/>
                <w:bCs/>
                <w:kern w:val="0"/>
              </w:rPr>
              <w:t>提供投标截止日前6个月内任意1个月依法缴纳税收和社会保障资金的相关材料或提供具有依法缴纳税收和社会保障资金的良好记录的承诺函</w:t>
            </w:r>
            <w:r>
              <w:rPr>
                <w:rFonts w:hint="eastAsia" w:cs="宋体"/>
                <w:bCs/>
                <w:kern w:val="0"/>
              </w:rPr>
              <w:t>（格式自拟）</w:t>
            </w:r>
            <w:r>
              <w:rPr>
                <w:rFonts w:hint="eastAsia" w:ascii="宋体"/>
                <w:bCs/>
                <w:kern w:val="0"/>
              </w:rPr>
              <w:t>。</w:t>
            </w:r>
          </w:p>
        </w:tc>
      </w:tr>
      <w:tr w14:paraId="39F82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5" w:hRule="atLeast"/>
          <w:jc w:val="center"/>
        </w:trPr>
        <w:tc>
          <w:tcPr>
            <w:tcW w:w="432" w:type="pct"/>
            <w:vAlign w:val="center"/>
          </w:tcPr>
          <w:p w14:paraId="3C2F559A">
            <w:pPr>
              <w:jc w:val="center"/>
            </w:pPr>
            <w:r>
              <w:rPr>
                <w:rFonts w:hint="eastAsia"/>
              </w:rPr>
              <w:t>5</w:t>
            </w:r>
          </w:p>
        </w:tc>
        <w:tc>
          <w:tcPr>
            <w:tcW w:w="1545" w:type="pct"/>
            <w:tcBorders>
              <w:left w:val="single" w:color="auto" w:sz="4" w:space="0"/>
            </w:tcBorders>
            <w:vAlign w:val="center"/>
          </w:tcPr>
          <w:p w14:paraId="205EF937">
            <w:pPr>
              <w:keepNext w:val="0"/>
              <w:keepLines w:val="0"/>
              <w:pageBreakBefore w:val="0"/>
              <w:widowControl/>
              <w:suppressLineNumbers w:val="0"/>
              <w:suppressAutoHyphens w:val="0"/>
              <w:spacing w:beforeAutospacing="0" w:afterAutospacing="0" w:line="520" w:lineRule="exact"/>
              <w:rPr>
                <w:rFonts w:cs="宋体"/>
                <w:bCs/>
                <w:kern w:val="0"/>
              </w:rPr>
            </w:pPr>
            <w:r>
              <w:rPr>
                <w:rFonts w:hint="eastAsia" w:ascii="宋体"/>
                <w:bCs/>
                <w:kern w:val="0"/>
              </w:rPr>
              <w:t>参加本次政府采购活动前三年内，在经营活动中没有重大违法记录</w:t>
            </w:r>
          </w:p>
        </w:tc>
        <w:tc>
          <w:tcPr>
            <w:tcW w:w="3023" w:type="pct"/>
            <w:tcBorders>
              <w:left w:val="single" w:color="auto" w:sz="4" w:space="0"/>
            </w:tcBorders>
            <w:vAlign w:val="center"/>
          </w:tcPr>
          <w:p w14:paraId="32517D12">
            <w:pPr>
              <w:keepNext w:val="0"/>
              <w:keepLines w:val="0"/>
              <w:pageBreakBefore w:val="0"/>
              <w:widowControl/>
              <w:suppressLineNumbers w:val="0"/>
              <w:suppressAutoHyphens w:val="0"/>
              <w:spacing w:beforeAutospacing="0" w:afterAutospacing="0" w:line="520" w:lineRule="exact"/>
              <w:rPr>
                <w:rFonts w:cs="宋体"/>
                <w:bCs/>
                <w:kern w:val="0"/>
              </w:rPr>
            </w:pPr>
            <w:r>
              <w:rPr>
                <w:rFonts w:hint="eastAsia" w:cs="宋体"/>
                <w:bCs/>
                <w:kern w:val="0"/>
              </w:rPr>
              <w:t>提供</w:t>
            </w:r>
            <w:r>
              <w:rPr>
                <w:rFonts w:hint="eastAsia" w:ascii="宋体"/>
                <w:bCs/>
                <w:kern w:val="0"/>
              </w:rPr>
              <w:t>参加本次政府采购活动前三年内，在经营活动中没有重大违法记录的声明函</w:t>
            </w:r>
            <w:r>
              <w:rPr>
                <w:rFonts w:hint="eastAsia" w:cs="宋体"/>
                <w:bCs/>
                <w:kern w:val="0"/>
              </w:rPr>
              <w:t>（格式自拟）</w:t>
            </w:r>
          </w:p>
        </w:tc>
      </w:tr>
      <w:tr w14:paraId="7FAD8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7" w:hRule="atLeast"/>
          <w:jc w:val="center"/>
        </w:trPr>
        <w:tc>
          <w:tcPr>
            <w:tcW w:w="432" w:type="pct"/>
            <w:vAlign w:val="center"/>
          </w:tcPr>
          <w:p w14:paraId="09A60BFF">
            <w:pPr>
              <w:jc w:val="center"/>
            </w:pPr>
            <w:r>
              <w:rPr>
                <w:rFonts w:hint="eastAsia"/>
              </w:rPr>
              <w:t>6</w:t>
            </w:r>
          </w:p>
        </w:tc>
        <w:tc>
          <w:tcPr>
            <w:tcW w:w="1545" w:type="pct"/>
            <w:tcBorders>
              <w:left w:val="single" w:color="auto" w:sz="4" w:space="0"/>
            </w:tcBorders>
            <w:vAlign w:val="center"/>
          </w:tcPr>
          <w:p w14:paraId="3E4C6DC6">
            <w:pPr>
              <w:keepNext w:val="0"/>
              <w:keepLines w:val="0"/>
              <w:pageBreakBefore w:val="0"/>
              <w:widowControl/>
              <w:suppressLineNumbers w:val="0"/>
              <w:suppressAutoHyphens w:val="0"/>
              <w:spacing w:beforeAutospacing="0" w:afterAutospacing="0" w:line="520" w:lineRule="exact"/>
              <w:rPr>
                <w:rFonts w:cs="宋体"/>
                <w:bCs/>
                <w:kern w:val="0"/>
              </w:rPr>
            </w:pPr>
            <w:r>
              <w:rPr>
                <w:rFonts w:hint="eastAsia" w:ascii="宋体"/>
                <w:bCs/>
                <w:kern w:val="0"/>
              </w:rPr>
              <w:t>满足法律、行政法规规定的其他条件</w:t>
            </w:r>
          </w:p>
        </w:tc>
        <w:tc>
          <w:tcPr>
            <w:tcW w:w="3023" w:type="pct"/>
            <w:tcBorders>
              <w:left w:val="single" w:color="auto" w:sz="4" w:space="0"/>
            </w:tcBorders>
            <w:vAlign w:val="center"/>
          </w:tcPr>
          <w:p w14:paraId="73E15B7B">
            <w:pPr>
              <w:keepNext w:val="0"/>
              <w:keepLines w:val="0"/>
              <w:pageBreakBefore w:val="0"/>
              <w:widowControl/>
              <w:suppressLineNumbers w:val="0"/>
              <w:suppressAutoHyphens w:val="0"/>
              <w:spacing w:beforeAutospacing="0" w:afterAutospacing="0" w:line="520" w:lineRule="exact"/>
              <w:rPr>
                <w:rFonts w:cs="宋体"/>
                <w:bCs/>
                <w:kern w:val="0"/>
              </w:rPr>
            </w:pPr>
            <w:r>
              <w:rPr>
                <w:rFonts w:hint="eastAsia" w:cs="宋体"/>
                <w:bCs/>
                <w:kern w:val="0"/>
              </w:rPr>
              <w:t>提供</w:t>
            </w:r>
            <w:r>
              <w:rPr>
                <w:rFonts w:hint="eastAsia" w:ascii="宋体"/>
                <w:bCs/>
                <w:kern w:val="0"/>
              </w:rPr>
              <w:t>满足法律、行政法规规定的其他条件的承诺函</w:t>
            </w:r>
            <w:r>
              <w:rPr>
                <w:rFonts w:hint="eastAsia" w:cs="宋体"/>
                <w:bCs/>
                <w:kern w:val="0"/>
              </w:rPr>
              <w:t>（格式自拟）</w:t>
            </w:r>
          </w:p>
        </w:tc>
      </w:tr>
      <w:tr w14:paraId="3660B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8" w:hRule="atLeast"/>
          <w:jc w:val="center"/>
        </w:trPr>
        <w:tc>
          <w:tcPr>
            <w:tcW w:w="432" w:type="pct"/>
            <w:vAlign w:val="center"/>
          </w:tcPr>
          <w:p w14:paraId="48DB3930">
            <w:pPr>
              <w:jc w:val="center"/>
            </w:pPr>
            <w:r>
              <w:rPr>
                <w:rFonts w:hint="eastAsia"/>
              </w:rPr>
              <w:t>7</w:t>
            </w:r>
          </w:p>
        </w:tc>
        <w:tc>
          <w:tcPr>
            <w:tcW w:w="1545" w:type="pct"/>
            <w:tcBorders>
              <w:left w:val="single" w:color="auto" w:sz="4" w:space="0"/>
            </w:tcBorders>
            <w:vAlign w:val="center"/>
          </w:tcPr>
          <w:p w14:paraId="3718C08F">
            <w:pPr>
              <w:keepNext w:val="0"/>
              <w:keepLines w:val="0"/>
              <w:pageBreakBefore w:val="0"/>
              <w:widowControl/>
              <w:suppressLineNumbers w:val="0"/>
              <w:suppressAutoHyphens w:val="0"/>
              <w:spacing w:beforeAutospacing="0" w:afterAutospacing="0" w:line="520" w:lineRule="exact"/>
              <w:rPr>
                <w:rFonts w:cs="宋体"/>
                <w:bCs/>
                <w:kern w:val="0"/>
              </w:rPr>
            </w:pPr>
            <w:r>
              <w:rPr>
                <w:rFonts w:hint="eastAsia" w:ascii="宋体"/>
                <w:bCs/>
                <w:kern w:val="0"/>
              </w:rPr>
              <w:t>供应商须具备国家测绘行政主管部门颁发的测绘甲级资质证书（专业类别须包含地理信息系统工程）。</w:t>
            </w:r>
          </w:p>
        </w:tc>
        <w:tc>
          <w:tcPr>
            <w:tcW w:w="3023" w:type="pct"/>
            <w:tcBorders>
              <w:left w:val="single" w:color="auto" w:sz="4" w:space="0"/>
            </w:tcBorders>
            <w:vAlign w:val="center"/>
          </w:tcPr>
          <w:p w14:paraId="50DEC9D5">
            <w:pPr>
              <w:keepNext w:val="0"/>
              <w:keepLines w:val="0"/>
              <w:pageBreakBefore w:val="0"/>
              <w:widowControl/>
              <w:suppressLineNumbers w:val="0"/>
              <w:suppressAutoHyphens w:val="0"/>
              <w:spacing w:beforeAutospacing="0" w:afterAutospacing="0" w:line="520" w:lineRule="exact"/>
              <w:rPr>
                <w:rFonts w:cs="宋体"/>
                <w:bCs/>
                <w:kern w:val="0"/>
              </w:rPr>
            </w:pPr>
            <w:r>
              <w:rPr>
                <w:rFonts w:hint="eastAsia" w:ascii="宋体"/>
                <w:bCs/>
                <w:kern w:val="0"/>
              </w:rPr>
              <w:t>提供资质证书复印件</w:t>
            </w:r>
          </w:p>
        </w:tc>
      </w:tr>
    </w:tbl>
    <w:p w14:paraId="287F827B">
      <w:pPr>
        <w:spacing w:line="360" w:lineRule="auto"/>
        <w:rPr>
          <w:b/>
          <w:sz w:val="24"/>
          <w:szCs w:val="24"/>
        </w:rPr>
      </w:pPr>
    </w:p>
    <w:p w14:paraId="6A992E1D">
      <w:pPr>
        <w:spacing w:line="360" w:lineRule="auto"/>
        <w:rPr>
          <w:b/>
          <w:sz w:val="24"/>
          <w:szCs w:val="24"/>
        </w:rPr>
      </w:pPr>
    </w:p>
    <w:p w14:paraId="0AAC627D">
      <w:pPr>
        <w:spacing w:line="360" w:lineRule="auto"/>
        <w:rPr>
          <w:b/>
          <w:sz w:val="24"/>
          <w:szCs w:val="24"/>
        </w:rPr>
      </w:pPr>
    </w:p>
    <w:p w14:paraId="4479DDA4">
      <w:pPr>
        <w:keepNext w:val="0"/>
        <w:keepLines w:val="0"/>
        <w:pageBreakBefore w:val="0"/>
        <w:widowControl/>
        <w:suppressLineNumbers w:val="0"/>
        <w:suppressAutoHyphens w:val="0"/>
        <w:jc w:val="left"/>
      </w:pPr>
      <w:r>
        <w:rPr>
          <w:b/>
          <w:sz w:val="24"/>
          <w:szCs w:val="24"/>
        </w:rPr>
        <w:br w:type="page"/>
      </w:r>
    </w:p>
    <w:p w14:paraId="58CCD69F">
      <w:pPr>
        <w:pStyle w:val="2"/>
        <w:keepNext/>
        <w:keepLines w:val="0"/>
        <w:pageBreakBefore w:val="0"/>
        <w:widowControl w:val="0"/>
        <w:suppressLineNumbers w:val="0"/>
        <w:suppressAutoHyphens w:val="0"/>
        <w:spacing w:before="0" w:after="0" w:line="520" w:lineRule="exact"/>
        <w:jc w:val="center"/>
        <w:rPr>
          <w:sz w:val="28"/>
          <w:szCs w:val="28"/>
        </w:rPr>
      </w:pPr>
      <w:bookmarkStart w:id="13" w:name="_Toc227836515"/>
      <w:r>
        <w:rPr>
          <w:rFonts w:hint="eastAsia" w:ascii="宋体"/>
          <w:sz w:val="28"/>
          <w:szCs w:val="28"/>
        </w:rPr>
        <w:t>第四章</w:t>
      </w:r>
      <w:r>
        <w:rPr>
          <w:rFonts w:hint="eastAsia"/>
          <w:sz w:val="28"/>
          <w:szCs w:val="28"/>
        </w:rPr>
        <w:t xml:space="preserve">  </w:t>
      </w:r>
      <w:r>
        <w:rPr>
          <w:rFonts w:hint="eastAsia" w:ascii="宋体"/>
          <w:sz w:val="28"/>
          <w:szCs w:val="28"/>
        </w:rPr>
        <w:t>采购项目技术、服务及其他商务要求</w:t>
      </w:r>
      <w:bookmarkEnd w:id="13"/>
    </w:p>
    <w:p w14:paraId="10C06697">
      <w:pPr>
        <w:spacing w:line="520" w:lineRule="exact"/>
        <w:outlineLvl w:val="1"/>
        <w:rPr>
          <w:rFonts w:cs="Tahoma"/>
          <w:b/>
          <w:sz w:val="28"/>
          <w:szCs w:val="28"/>
        </w:rPr>
      </w:pPr>
      <w:bookmarkStart w:id="14" w:name="_Toc227836516"/>
      <w:r>
        <w:rPr>
          <w:rFonts w:hint="eastAsia" w:ascii="宋体" w:cs="Tahoma"/>
          <w:b/>
          <w:sz w:val="28"/>
          <w:szCs w:val="28"/>
        </w:rPr>
        <w:t>一、采购需求</w:t>
      </w:r>
      <w:bookmarkEnd w:id="14"/>
    </w:p>
    <w:p w14:paraId="2E3774DD">
      <w:pPr>
        <w:spacing w:line="520" w:lineRule="exact"/>
        <w:ind w:firstLine="480" w:firstLineChars="200"/>
        <w:rPr>
          <w:rFonts w:ascii="宋体"/>
          <w:sz w:val="24"/>
          <w:szCs w:val="24"/>
        </w:rPr>
      </w:pPr>
      <w:r>
        <w:rPr>
          <w:rFonts w:ascii="宋体"/>
          <w:sz w:val="24"/>
          <w:szCs w:val="24"/>
        </w:rPr>
        <w:t>按照《四川省测绘地理信息局四川省自然资源厅关于开展“十五五”基础测绘规划编制工作的通知》（川测发〔2025〕18号）《四川省测绘地理信息局四川省自然资源厅关于印发〈四川省市县“十五五”基础测绘规划编制指南〉的通知》（川测发〔2025〕38号）要求，</w:t>
      </w:r>
      <w:r>
        <w:rPr>
          <w:rFonts w:hint="eastAsia" w:ascii="宋体"/>
          <w:sz w:val="24"/>
          <w:szCs w:val="24"/>
        </w:rPr>
        <w:t>需</w:t>
      </w:r>
      <w:r>
        <w:rPr>
          <w:rFonts w:ascii="宋体"/>
          <w:sz w:val="24"/>
          <w:szCs w:val="24"/>
        </w:rPr>
        <w:t>完成规划文本编制、论证报批、正式印发等相关工作。结合阿坝州经济社会发展实际，完成编制阿坝州“十五五”基础测绘规划文本编制工作，规划成果包含规划文本、图件及其他资料。规划文本包含发展基础、形势分析、问题挑战、总体要求、发展目标、重点任务、重大工程、保障措施等内容。预估服务期限为2026年7月—2026年10月。</w:t>
      </w:r>
    </w:p>
    <w:p w14:paraId="4BE30C47">
      <w:pPr>
        <w:spacing w:line="520" w:lineRule="exact"/>
        <w:outlineLvl w:val="1"/>
        <w:rPr>
          <w:rFonts w:cs="Tahoma"/>
          <w:b/>
          <w:sz w:val="28"/>
          <w:szCs w:val="28"/>
        </w:rPr>
      </w:pPr>
      <w:bookmarkStart w:id="15" w:name="_Toc227836517"/>
      <w:r>
        <w:rPr>
          <w:rFonts w:hint="eastAsia" w:ascii="宋体" w:cs="Tahoma"/>
          <w:b/>
          <w:sz w:val="28"/>
          <w:szCs w:val="28"/>
        </w:rPr>
        <w:t>二、提交成果要求</w:t>
      </w:r>
      <w:bookmarkEnd w:id="15"/>
    </w:p>
    <w:p w14:paraId="167FC94B">
      <w:pPr>
        <w:spacing w:line="520" w:lineRule="exact"/>
        <w:ind w:firstLine="480" w:firstLineChars="200"/>
        <w:rPr>
          <w:rFonts w:cs="宋体"/>
          <w:sz w:val="24"/>
          <w:szCs w:val="24"/>
        </w:rPr>
      </w:pPr>
      <w:r>
        <w:rPr>
          <w:rFonts w:hint="eastAsia" w:ascii="宋体" w:cs="宋体"/>
          <w:sz w:val="24"/>
          <w:szCs w:val="24"/>
        </w:rPr>
        <w:t>项目成果符合国家、省、</w:t>
      </w:r>
      <w:r>
        <w:rPr>
          <w:rFonts w:hint="eastAsia" w:ascii="宋体"/>
          <w:sz w:val="24"/>
          <w:szCs w:val="24"/>
        </w:rPr>
        <w:t>州</w:t>
      </w:r>
      <w:r>
        <w:rPr>
          <w:rFonts w:hint="eastAsia" w:ascii="宋体" w:cs="宋体"/>
          <w:sz w:val="24"/>
          <w:szCs w:val="24"/>
        </w:rPr>
        <w:t>及行业相关法律法规及政策文件要求，最终成果以</w:t>
      </w:r>
      <w:r>
        <w:rPr>
          <w:rFonts w:hint="eastAsia" w:ascii="宋体"/>
          <w:sz w:val="24"/>
          <w:szCs w:val="24"/>
        </w:rPr>
        <w:t>阿坝州自然资源局</w:t>
      </w:r>
      <w:r>
        <w:rPr>
          <w:rFonts w:hint="eastAsia" w:ascii="宋体" w:cs="宋体"/>
          <w:sz w:val="24"/>
          <w:szCs w:val="24"/>
        </w:rPr>
        <w:t>和</w:t>
      </w:r>
      <w:r>
        <w:rPr>
          <w:rFonts w:hint="eastAsia" w:ascii="宋体"/>
          <w:sz w:val="24"/>
          <w:szCs w:val="24"/>
        </w:rPr>
        <w:t>上</w:t>
      </w:r>
      <w:r>
        <w:rPr>
          <w:rFonts w:hint="eastAsia" w:ascii="宋体" w:cs="宋体"/>
          <w:sz w:val="24"/>
          <w:szCs w:val="24"/>
        </w:rPr>
        <w:t>级认定通知为准。</w:t>
      </w:r>
      <w:r>
        <w:rPr>
          <w:rFonts w:cs="宋体"/>
          <w:sz w:val="24"/>
          <w:szCs w:val="24"/>
        </w:rPr>
        <w:t xml:space="preserve"> </w:t>
      </w:r>
    </w:p>
    <w:p w14:paraId="4A4BA2D3">
      <w:pPr>
        <w:pStyle w:val="12"/>
        <w:spacing w:line="520" w:lineRule="exact"/>
        <w:ind w:firstLine="0"/>
        <w:jc w:val="left"/>
        <w:outlineLvl w:val="1"/>
        <w:rPr>
          <w:rFonts w:ascii="Times New Roman" w:hAnsi="Times New Roman"/>
          <w:b/>
          <w:bCs/>
          <w:sz w:val="28"/>
          <w:szCs w:val="28"/>
        </w:rPr>
      </w:pPr>
      <w:bookmarkStart w:id="16" w:name="_Toc227836518"/>
      <w:r>
        <w:rPr>
          <w:rFonts w:hint="eastAsia"/>
          <w:b/>
          <w:bCs/>
          <w:sz w:val="28"/>
          <w:szCs w:val="28"/>
        </w:rPr>
        <w:t>三、商务要求</w:t>
      </w:r>
      <w:bookmarkEnd w:id="16"/>
    </w:p>
    <w:p w14:paraId="48116340">
      <w:pPr>
        <w:spacing w:line="520" w:lineRule="exact"/>
        <w:ind w:firstLine="480" w:firstLineChars="200"/>
        <w:rPr>
          <w:rFonts w:cs="宋体"/>
          <w:sz w:val="24"/>
          <w:szCs w:val="24"/>
        </w:rPr>
      </w:pPr>
      <w:r>
        <w:rPr>
          <w:sz w:val="24"/>
          <w:szCs w:val="24"/>
        </w:rPr>
        <w:t>1</w:t>
      </w:r>
      <w:r>
        <w:rPr>
          <w:rFonts w:hint="eastAsia" w:ascii="宋体"/>
          <w:sz w:val="24"/>
          <w:szCs w:val="24"/>
        </w:rPr>
        <w:t>、服务期限：合同约定为准。</w:t>
      </w:r>
    </w:p>
    <w:p w14:paraId="592664DF">
      <w:pPr>
        <w:spacing w:line="520" w:lineRule="exact"/>
        <w:ind w:firstLine="480" w:firstLineChars="200"/>
        <w:rPr>
          <w:rFonts w:cs="宋体"/>
          <w:sz w:val="24"/>
          <w:szCs w:val="24"/>
        </w:rPr>
      </w:pPr>
      <w:r>
        <w:rPr>
          <w:sz w:val="24"/>
          <w:szCs w:val="24"/>
        </w:rPr>
        <w:t>2</w:t>
      </w:r>
      <w:r>
        <w:rPr>
          <w:rFonts w:hint="eastAsia" w:ascii="宋体"/>
          <w:sz w:val="24"/>
          <w:szCs w:val="24"/>
        </w:rPr>
        <w:t>、付款方式：合同约定为准。</w:t>
      </w:r>
    </w:p>
    <w:p w14:paraId="2454A29E">
      <w:pPr>
        <w:spacing w:line="520" w:lineRule="exact"/>
        <w:ind w:firstLine="480" w:firstLineChars="200"/>
        <w:rPr>
          <w:rFonts w:cs="宋体"/>
          <w:sz w:val="24"/>
          <w:szCs w:val="24"/>
        </w:rPr>
      </w:pPr>
      <w:r>
        <w:rPr>
          <w:bCs/>
          <w:sz w:val="24"/>
          <w:szCs w:val="24"/>
        </w:rPr>
        <w:t>3</w:t>
      </w:r>
      <w:r>
        <w:rPr>
          <w:rFonts w:hint="eastAsia" w:ascii="宋体"/>
          <w:bCs/>
          <w:sz w:val="24"/>
          <w:szCs w:val="24"/>
        </w:rPr>
        <w:t>、服务地点：采购单位指定地点。</w:t>
      </w:r>
    </w:p>
    <w:p w14:paraId="1EDF3BBC">
      <w:pPr>
        <w:spacing w:line="520" w:lineRule="exact"/>
        <w:ind w:firstLine="480" w:firstLineChars="200"/>
        <w:rPr>
          <w:rFonts w:hint="eastAsia" w:ascii="宋体"/>
          <w:kern w:val="0"/>
          <w:sz w:val="24"/>
          <w:szCs w:val="24"/>
        </w:rPr>
      </w:pPr>
      <w:r>
        <w:rPr>
          <w:sz w:val="24"/>
          <w:szCs w:val="24"/>
        </w:rPr>
        <w:t>4</w:t>
      </w:r>
      <w:r>
        <w:rPr>
          <w:rFonts w:hint="eastAsia" w:ascii="宋体"/>
          <w:sz w:val="24"/>
          <w:szCs w:val="24"/>
        </w:rPr>
        <w:t>、验收标准：</w:t>
      </w:r>
      <w:r>
        <w:rPr>
          <w:rFonts w:hint="eastAsia" w:ascii="宋体"/>
          <w:kern w:val="0"/>
          <w:sz w:val="24"/>
          <w:szCs w:val="24"/>
        </w:rPr>
        <w:t>按照政府采购相关法律法规的要求进行验收。</w:t>
      </w:r>
    </w:p>
    <w:p w14:paraId="3B8D104F">
      <w:pPr>
        <w:spacing w:line="520" w:lineRule="exact"/>
        <w:ind w:firstLine="480" w:firstLineChars="200"/>
        <w:rPr>
          <w:rFonts w:cs="宋体"/>
          <w:sz w:val="24"/>
          <w:szCs w:val="24"/>
        </w:rPr>
      </w:pPr>
      <w:r>
        <w:rPr>
          <w:kern w:val="0"/>
          <w:sz w:val="24"/>
          <w:szCs w:val="24"/>
        </w:rPr>
        <w:t>5</w:t>
      </w:r>
      <w:r>
        <w:rPr>
          <w:rFonts w:hint="eastAsia" w:ascii="宋体"/>
          <w:kern w:val="0"/>
          <w:sz w:val="24"/>
          <w:szCs w:val="24"/>
        </w:rPr>
        <w:t>、其他要求：在本磋商文件中没有提及的与本项目履约切实相关的事宜，在采购人与成交供应商订立合同时按明细约定或后续补充约定（约定的内容须符合国家相关法律法规的规定）。</w:t>
      </w:r>
    </w:p>
    <w:p w14:paraId="62E2D55F">
      <w:pPr>
        <w:keepNext w:val="0"/>
        <w:keepLines w:val="0"/>
        <w:pageBreakBefore w:val="0"/>
        <w:widowControl/>
        <w:suppressLineNumbers w:val="0"/>
        <w:suppressAutoHyphens w:val="0"/>
        <w:jc w:val="left"/>
        <w:rPr>
          <w:b/>
          <w:bCs/>
          <w:sz w:val="32"/>
          <w:szCs w:val="32"/>
        </w:rPr>
      </w:pPr>
      <w:r>
        <w:rPr>
          <w:b/>
          <w:sz w:val="32"/>
          <w:szCs w:val="32"/>
        </w:rPr>
        <w:br w:type="page"/>
      </w:r>
    </w:p>
    <w:p w14:paraId="5C5C14F7">
      <w:pPr>
        <w:pStyle w:val="2"/>
        <w:keepNext/>
        <w:keepLines w:val="0"/>
        <w:pageBreakBefore w:val="0"/>
        <w:widowControl w:val="0"/>
        <w:suppressLineNumbers w:val="0"/>
        <w:suppressAutoHyphens w:val="0"/>
        <w:spacing w:before="0" w:after="0" w:line="240" w:lineRule="atLeast"/>
        <w:jc w:val="center"/>
        <w:rPr>
          <w:sz w:val="28"/>
          <w:szCs w:val="28"/>
        </w:rPr>
      </w:pPr>
      <w:bookmarkStart w:id="17" w:name="_Toc227836519"/>
      <w:r>
        <w:rPr>
          <w:rFonts w:hint="eastAsia" w:ascii="宋体"/>
          <w:sz w:val="28"/>
          <w:szCs w:val="28"/>
        </w:rPr>
        <w:t>第五章</w:t>
      </w:r>
      <w:r>
        <w:rPr>
          <w:rFonts w:hint="eastAsia"/>
          <w:sz w:val="28"/>
          <w:szCs w:val="28"/>
        </w:rPr>
        <w:t xml:space="preserve">  </w:t>
      </w:r>
      <w:r>
        <w:rPr>
          <w:rFonts w:hint="eastAsia" w:ascii="宋体"/>
          <w:sz w:val="28"/>
          <w:szCs w:val="28"/>
        </w:rPr>
        <w:t>响应文件格式</w:t>
      </w:r>
      <w:bookmarkEnd w:id="17"/>
    </w:p>
    <w:p w14:paraId="0EF464DC">
      <w:pPr>
        <w:jc w:val="left"/>
        <w:rPr>
          <w:b/>
          <w:sz w:val="32"/>
          <w:szCs w:val="32"/>
        </w:rPr>
      </w:pPr>
    </w:p>
    <w:p w14:paraId="3D13968A">
      <w:pPr>
        <w:jc w:val="left"/>
        <w:rPr>
          <w:sz w:val="24"/>
          <w:szCs w:val="24"/>
        </w:rPr>
      </w:pPr>
      <w:r>
        <w:rPr>
          <w:rFonts w:hint="eastAsia"/>
          <w:sz w:val="24"/>
          <w:szCs w:val="24"/>
        </w:rPr>
        <w:t xml:space="preserve">    </w:t>
      </w:r>
      <w:r>
        <w:rPr>
          <w:rFonts w:hint="eastAsia" w:ascii="宋体"/>
          <w:sz w:val="24"/>
          <w:szCs w:val="24"/>
        </w:rPr>
        <w:t>一、本章所制响应文件格式，除格式中明确将该格式作为实质性要求的，一律不具有强制性，但是，供应商响应文件相关资料和本章所制格式不一致的，磋商小组将在评分时以响应文件不规范予以扣分处理。</w:t>
      </w:r>
    </w:p>
    <w:p w14:paraId="00E7093D">
      <w:pPr>
        <w:jc w:val="left"/>
        <w:rPr>
          <w:sz w:val="24"/>
          <w:szCs w:val="24"/>
        </w:rPr>
      </w:pPr>
      <w:r>
        <w:rPr>
          <w:rFonts w:hint="eastAsia"/>
          <w:sz w:val="24"/>
          <w:szCs w:val="24"/>
        </w:rPr>
        <w:t xml:space="preserve">    </w:t>
      </w:r>
      <w:r>
        <w:rPr>
          <w:rFonts w:hint="eastAsia" w:ascii="宋体"/>
          <w:sz w:val="24"/>
          <w:szCs w:val="24"/>
        </w:rPr>
        <w:t>二、本章所制响应文件格式有关表格中的备注栏，由供应商根据自身响应情况作解释性说明，不作为必填项。</w:t>
      </w:r>
    </w:p>
    <w:p w14:paraId="15A41396">
      <w:pPr>
        <w:ind w:firstLine="480" w:firstLineChars="200"/>
        <w:rPr>
          <w:sz w:val="24"/>
          <w:szCs w:val="24"/>
        </w:rPr>
      </w:pPr>
      <w:r>
        <w:rPr>
          <w:rFonts w:hint="eastAsia" w:ascii="宋体"/>
          <w:sz w:val="24"/>
          <w:szCs w:val="24"/>
        </w:rPr>
        <w:t>三、本章所制响应文件格式中需要填写的相关内容事项，可能会与本采购项目无关，在不改变响应文件原义、不影响本项目采购需求的情况下，供应商可以不予填写，但应当注明。</w:t>
      </w:r>
    </w:p>
    <w:p w14:paraId="1D3A6E5C">
      <w:pPr>
        <w:spacing w:line="360" w:lineRule="auto"/>
        <w:ind w:left="142" w:right="28" w:firstLine="480"/>
        <w:rPr>
          <w:rFonts w:cs="宋体"/>
          <w:sz w:val="24"/>
          <w:szCs w:val="24"/>
        </w:rPr>
      </w:pPr>
      <w:r>
        <w:rPr>
          <w:rFonts w:hint="eastAsia" w:ascii="宋体"/>
          <w:position w:val="-1"/>
          <w:sz w:val="24"/>
          <w:szCs w:val="24"/>
        </w:rPr>
        <w:t>（</w:t>
      </w:r>
      <w:r>
        <w:rPr>
          <w:rFonts w:hint="eastAsia" w:ascii="宋体"/>
          <w:spacing w:val="2"/>
          <w:position w:val="-1"/>
          <w:sz w:val="24"/>
          <w:szCs w:val="24"/>
        </w:rPr>
        <w:t>响</w:t>
      </w:r>
      <w:r>
        <w:rPr>
          <w:rFonts w:hint="eastAsia" w:ascii="宋体"/>
          <w:position w:val="-1"/>
          <w:sz w:val="24"/>
          <w:szCs w:val="24"/>
        </w:rPr>
        <w:t>应</w:t>
      </w:r>
      <w:r>
        <w:rPr>
          <w:rFonts w:hint="eastAsia" w:ascii="宋体"/>
          <w:spacing w:val="2"/>
          <w:position w:val="-1"/>
          <w:sz w:val="24"/>
          <w:szCs w:val="24"/>
        </w:rPr>
        <w:t>文</w:t>
      </w:r>
      <w:r>
        <w:rPr>
          <w:rFonts w:hint="eastAsia" w:ascii="宋体"/>
          <w:position w:val="-1"/>
          <w:sz w:val="24"/>
          <w:szCs w:val="24"/>
        </w:rPr>
        <w:t>件分</w:t>
      </w:r>
      <w:r>
        <w:rPr>
          <w:rFonts w:hint="eastAsia" w:ascii="宋体"/>
          <w:spacing w:val="2"/>
          <w:position w:val="-1"/>
          <w:sz w:val="24"/>
          <w:szCs w:val="24"/>
        </w:rPr>
        <w:t>资</w:t>
      </w:r>
      <w:r>
        <w:rPr>
          <w:rFonts w:hint="eastAsia" w:ascii="宋体"/>
          <w:position w:val="-1"/>
          <w:sz w:val="24"/>
          <w:szCs w:val="24"/>
        </w:rPr>
        <w:t>格</w:t>
      </w:r>
      <w:r>
        <w:rPr>
          <w:rFonts w:hint="eastAsia" w:ascii="宋体"/>
          <w:spacing w:val="2"/>
          <w:position w:val="-1"/>
          <w:sz w:val="24"/>
          <w:szCs w:val="24"/>
        </w:rPr>
        <w:t>性</w:t>
      </w:r>
      <w:r>
        <w:rPr>
          <w:rFonts w:hint="eastAsia" w:ascii="宋体"/>
          <w:position w:val="-1"/>
          <w:sz w:val="24"/>
          <w:szCs w:val="24"/>
        </w:rPr>
        <w:t>响应</w:t>
      </w:r>
      <w:r>
        <w:rPr>
          <w:rFonts w:hint="eastAsia" w:ascii="宋体"/>
          <w:spacing w:val="2"/>
          <w:position w:val="-1"/>
          <w:sz w:val="24"/>
          <w:szCs w:val="24"/>
        </w:rPr>
        <w:t>文</w:t>
      </w:r>
      <w:r>
        <w:rPr>
          <w:rFonts w:hint="eastAsia" w:ascii="宋体"/>
          <w:position w:val="-1"/>
          <w:sz w:val="24"/>
          <w:szCs w:val="24"/>
        </w:rPr>
        <w:t>件和</w:t>
      </w:r>
      <w:r>
        <w:rPr>
          <w:rFonts w:hint="eastAsia" w:ascii="宋体"/>
          <w:spacing w:val="2"/>
          <w:position w:val="-1"/>
          <w:sz w:val="24"/>
          <w:szCs w:val="24"/>
        </w:rPr>
        <w:t>其</w:t>
      </w:r>
      <w:r>
        <w:rPr>
          <w:rFonts w:hint="eastAsia" w:ascii="宋体"/>
          <w:position w:val="-1"/>
          <w:sz w:val="24"/>
          <w:szCs w:val="24"/>
        </w:rPr>
        <w:t>他</w:t>
      </w:r>
      <w:r>
        <w:rPr>
          <w:rFonts w:hint="eastAsia" w:ascii="宋体"/>
          <w:spacing w:val="2"/>
          <w:position w:val="-1"/>
          <w:sz w:val="24"/>
          <w:szCs w:val="24"/>
        </w:rPr>
        <w:t>响</w:t>
      </w:r>
      <w:r>
        <w:rPr>
          <w:rFonts w:hint="eastAsia" w:ascii="宋体"/>
          <w:position w:val="-1"/>
          <w:sz w:val="24"/>
          <w:szCs w:val="24"/>
        </w:rPr>
        <w:t>应文</w:t>
      </w:r>
      <w:r>
        <w:rPr>
          <w:rFonts w:hint="eastAsia" w:ascii="宋体"/>
          <w:spacing w:val="2"/>
          <w:position w:val="-1"/>
          <w:sz w:val="24"/>
          <w:szCs w:val="24"/>
        </w:rPr>
        <w:t>件</w:t>
      </w:r>
      <w:r>
        <w:rPr>
          <w:rFonts w:hint="eastAsia" w:ascii="宋体"/>
          <w:position w:val="-1"/>
          <w:sz w:val="24"/>
          <w:szCs w:val="24"/>
        </w:rPr>
        <w:t>两</w:t>
      </w:r>
      <w:r>
        <w:rPr>
          <w:rFonts w:hint="eastAsia" w:ascii="宋体"/>
          <w:spacing w:val="2"/>
          <w:position w:val="-1"/>
          <w:sz w:val="24"/>
          <w:szCs w:val="24"/>
        </w:rPr>
        <w:t>部</w:t>
      </w:r>
      <w:r>
        <w:rPr>
          <w:rFonts w:hint="eastAsia" w:ascii="宋体"/>
          <w:position w:val="-1"/>
          <w:sz w:val="24"/>
          <w:szCs w:val="24"/>
        </w:rPr>
        <w:t>分）</w:t>
      </w:r>
    </w:p>
    <w:p w14:paraId="4D3FC9C8">
      <w:pPr>
        <w:jc w:val="center"/>
        <w:rPr>
          <w:b/>
          <w:sz w:val="32"/>
          <w:szCs w:val="32"/>
        </w:rPr>
      </w:pPr>
    </w:p>
    <w:p w14:paraId="4C5F9481">
      <w:pPr>
        <w:jc w:val="left"/>
        <w:rPr>
          <w:sz w:val="24"/>
          <w:szCs w:val="24"/>
        </w:rPr>
      </w:pPr>
    </w:p>
    <w:p w14:paraId="39024120">
      <w:pPr>
        <w:jc w:val="left"/>
        <w:rPr>
          <w:sz w:val="24"/>
          <w:szCs w:val="24"/>
        </w:rPr>
      </w:pPr>
    </w:p>
    <w:p w14:paraId="191868DB">
      <w:pPr>
        <w:jc w:val="left"/>
        <w:rPr>
          <w:sz w:val="24"/>
          <w:szCs w:val="24"/>
        </w:rPr>
      </w:pPr>
    </w:p>
    <w:p w14:paraId="3D76FC9C">
      <w:pPr>
        <w:jc w:val="left"/>
        <w:rPr>
          <w:sz w:val="24"/>
          <w:szCs w:val="24"/>
        </w:rPr>
      </w:pPr>
    </w:p>
    <w:p w14:paraId="4A82BA5A">
      <w:pPr>
        <w:jc w:val="left"/>
        <w:rPr>
          <w:sz w:val="24"/>
          <w:szCs w:val="24"/>
        </w:rPr>
      </w:pPr>
    </w:p>
    <w:p w14:paraId="6B759C2F">
      <w:pPr>
        <w:jc w:val="left"/>
        <w:rPr>
          <w:sz w:val="24"/>
          <w:szCs w:val="24"/>
        </w:rPr>
      </w:pPr>
    </w:p>
    <w:p w14:paraId="73F90922">
      <w:pPr>
        <w:jc w:val="left"/>
        <w:rPr>
          <w:sz w:val="24"/>
          <w:szCs w:val="24"/>
        </w:rPr>
      </w:pPr>
    </w:p>
    <w:p w14:paraId="1C244BD4">
      <w:pPr>
        <w:jc w:val="left"/>
        <w:rPr>
          <w:sz w:val="24"/>
          <w:szCs w:val="24"/>
        </w:rPr>
      </w:pPr>
    </w:p>
    <w:p w14:paraId="5D6EC9AA">
      <w:pPr>
        <w:jc w:val="left"/>
        <w:rPr>
          <w:sz w:val="24"/>
          <w:szCs w:val="24"/>
        </w:rPr>
      </w:pPr>
    </w:p>
    <w:p w14:paraId="3C0DE27C">
      <w:pPr>
        <w:jc w:val="left"/>
        <w:rPr>
          <w:sz w:val="24"/>
          <w:szCs w:val="24"/>
        </w:rPr>
      </w:pPr>
    </w:p>
    <w:p w14:paraId="6BCAEC7C">
      <w:pPr>
        <w:jc w:val="left"/>
        <w:rPr>
          <w:sz w:val="24"/>
          <w:szCs w:val="24"/>
        </w:rPr>
      </w:pPr>
    </w:p>
    <w:p w14:paraId="7E84A685">
      <w:pPr>
        <w:jc w:val="left"/>
        <w:rPr>
          <w:sz w:val="24"/>
          <w:szCs w:val="24"/>
        </w:rPr>
      </w:pPr>
    </w:p>
    <w:p w14:paraId="47CA889B">
      <w:pPr>
        <w:jc w:val="left"/>
        <w:rPr>
          <w:sz w:val="24"/>
          <w:szCs w:val="24"/>
        </w:rPr>
      </w:pPr>
    </w:p>
    <w:p w14:paraId="7A48C078">
      <w:pPr>
        <w:jc w:val="left"/>
        <w:rPr>
          <w:sz w:val="24"/>
          <w:szCs w:val="24"/>
        </w:rPr>
      </w:pPr>
    </w:p>
    <w:p w14:paraId="095EF77F">
      <w:pPr>
        <w:jc w:val="left"/>
        <w:rPr>
          <w:sz w:val="24"/>
          <w:szCs w:val="24"/>
        </w:rPr>
      </w:pPr>
    </w:p>
    <w:p w14:paraId="32E40764">
      <w:pPr>
        <w:jc w:val="left"/>
        <w:rPr>
          <w:sz w:val="24"/>
          <w:szCs w:val="24"/>
        </w:rPr>
      </w:pPr>
    </w:p>
    <w:p w14:paraId="5522AF54">
      <w:pPr>
        <w:jc w:val="left"/>
        <w:rPr>
          <w:sz w:val="24"/>
          <w:szCs w:val="24"/>
        </w:rPr>
      </w:pPr>
    </w:p>
    <w:p w14:paraId="29D1930A">
      <w:pPr>
        <w:jc w:val="left"/>
        <w:rPr>
          <w:sz w:val="24"/>
          <w:szCs w:val="24"/>
        </w:rPr>
      </w:pPr>
    </w:p>
    <w:p w14:paraId="4155E444">
      <w:pPr>
        <w:jc w:val="left"/>
        <w:rPr>
          <w:sz w:val="24"/>
          <w:szCs w:val="24"/>
        </w:rPr>
      </w:pPr>
    </w:p>
    <w:p w14:paraId="1EEAF792">
      <w:pPr>
        <w:jc w:val="left"/>
        <w:rPr>
          <w:sz w:val="24"/>
          <w:szCs w:val="24"/>
        </w:rPr>
      </w:pPr>
    </w:p>
    <w:p w14:paraId="5DA5E783">
      <w:pPr>
        <w:jc w:val="left"/>
        <w:rPr>
          <w:rFonts w:hint="eastAsia"/>
          <w:sz w:val="24"/>
          <w:szCs w:val="24"/>
        </w:rPr>
      </w:pPr>
      <w:r>
        <w:rPr>
          <w:rFonts w:hint="eastAsia"/>
          <w:sz w:val="24"/>
          <w:szCs w:val="24"/>
        </w:rPr>
        <w:t>响应文件封面格式:</w:t>
      </w:r>
    </w:p>
    <w:p w14:paraId="45511D30">
      <w:pPr>
        <w:rPr>
          <w:rFonts w:cs="宋体"/>
          <w:sz w:val="24"/>
          <w:szCs w:val="24"/>
        </w:rPr>
      </w:pPr>
    </w:p>
    <w:p w14:paraId="4CFAD1B1">
      <w:pPr>
        <w:pStyle w:val="8"/>
        <w:rPr>
          <w:rFonts w:cs="宋体"/>
          <w:sz w:val="24"/>
          <w:szCs w:val="24"/>
        </w:rPr>
      </w:pPr>
    </w:p>
    <w:p w14:paraId="3F9436E5">
      <w:pPr>
        <w:rPr>
          <w:sz w:val="24"/>
          <w:szCs w:val="24"/>
        </w:rPr>
      </w:pPr>
    </w:p>
    <w:p w14:paraId="5B9EDEF3">
      <w:pPr>
        <w:spacing w:line="360" w:lineRule="auto"/>
        <w:jc w:val="center"/>
        <w:rPr>
          <w:rFonts w:cs="宋体"/>
          <w:bCs/>
          <w:sz w:val="24"/>
          <w:szCs w:val="24"/>
        </w:rPr>
      </w:pPr>
      <w:r>
        <w:rPr>
          <w:rFonts w:hint="eastAsia" w:ascii="宋体"/>
          <w:bCs/>
          <w:spacing w:val="78"/>
          <w:sz w:val="24"/>
          <w:szCs w:val="24"/>
        </w:rPr>
        <w:t>响应文件</w:t>
      </w:r>
    </w:p>
    <w:p w14:paraId="48798EBB">
      <w:pPr>
        <w:spacing w:line="360" w:lineRule="auto"/>
        <w:rPr>
          <w:rFonts w:cs="宋体"/>
          <w:sz w:val="24"/>
          <w:szCs w:val="24"/>
        </w:rPr>
      </w:pPr>
    </w:p>
    <w:p w14:paraId="5DB309D6">
      <w:pPr>
        <w:pStyle w:val="8"/>
        <w:spacing w:after="0" w:line="360" w:lineRule="auto"/>
        <w:jc w:val="center"/>
        <w:rPr>
          <w:rFonts w:cs="宋体"/>
          <w:sz w:val="24"/>
          <w:szCs w:val="24"/>
        </w:rPr>
      </w:pPr>
      <w:r>
        <w:rPr>
          <w:rFonts w:hint="eastAsia" w:ascii="宋体"/>
          <w:sz w:val="24"/>
          <w:szCs w:val="24"/>
        </w:rPr>
        <w:t>资格性响应文件</w:t>
      </w:r>
      <w:r>
        <w:rPr>
          <w:sz w:val="24"/>
          <w:szCs w:val="24"/>
        </w:rPr>
        <w:t>/</w:t>
      </w:r>
      <w:r>
        <w:rPr>
          <w:rFonts w:hint="eastAsia" w:ascii="宋体"/>
          <w:sz w:val="24"/>
          <w:szCs w:val="24"/>
        </w:rPr>
        <w:t>其他响应文件</w:t>
      </w:r>
    </w:p>
    <w:p w14:paraId="2604C6CB">
      <w:pPr>
        <w:spacing w:line="360" w:lineRule="auto"/>
        <w:rPr>
          <w:rFonts w:cs="宋体"/>
          <w:spacing w:val="78"/>
          <w:sz w:val="24"/>
          <w:szCs w:val="24"/>
        </w:rPr>
      </w:pPr>
    </w:p>
    <w:p w14:paraId="74812691">
      <w:pPr>
        <w:spacing w:line="360" w:lineRule="auto"/>
        <w:jc w:val="center"/>
        <w:rPr>
          <w:rFonts w:cs="宋体"/>
          <w:spacing w:val="78"/>
          <w:sz w:val="24"/>
          <w:szCs w:val="24"/>
        </w:rPr>
      </w:pPr>
    </w:p>
    <w:p w14:paraId="66048AE0">
      <w:pPr>
        <w:spacing w:line="360" w:lineRule="auto"/>
        <w:jc w:val="left"/>
        <w:rPr>
          <w:rFonts w:cs="宋体"/>
          <w:spacing w:val="78"/>
          <w:sz w:val="24"/>
          <w:szCs w:val="24"/>
        </w:rPr>
      </w:pPr>
      <w:r>
        <w:rPr>
          <w:rFonts w:hint="eastAsia" w:ascii="宋体"/>
          <w:spacing w:val="78"/>
          <w:sz w:val="24"/>
          <w:szCs w:val="24"/>
        </w:rPr>
        <w:t>项目名称：</w:t>
      </w:r>
    </w:p>
    <w:p w14:paraId="5F40E23C">
      <w:pPr>
        <w:pStyle w:val="8"/>
        <w:spacing w:after="0" w:line="360" w:lineRule="auto"/>
        <w:rPr>
          <w:rFonts w:cs="宋体"/>
          <w:sz w:val="24"/>
          <w:szCs w:val="24"/>
        </w:rPr>
      </w:pPr>
    </w:p>
    <w:p w14:paraId="21BBF85B">
      <w:pPr>
        <w:pStyle w:val="8"/>
        <w:spacing w:after="0" w:line="360" w:lineRule="auto"/>
        <w:jc w:val="center"/>
        <w:rPr>
          <w:rFonts w:cs="宋体"/>
          <w:sz w:val="24"/>
          <w:szCs w:val="24"/>
        </w:rPr>
      </w:pPr>
    </w:p>
    <w:p w14:paraId="2FFC0B31">
      <w:pPr>
        <w:pStyle w:val="9"/>
        <w:spacing w:line="360" w:lineRule="auto"/>
        <w:ind w:firstLine="0"/>
        <w:jc w:val="center"/>
        <w:rPr>
          <w:rFonts w:cs="宋体"/>
          <w:sz w:val="24"/>
          <w:szCs w:val="24"/>
        </w:rPr>
      </w:pPr>
      <w:r>
        <w:rPr>
          <w:rFonts w:hint="eastAsia" w:ascii="宋体"/>
          <w:sz w:val="24"/>
          <w:szCs w:val="24"/>
        </w:rPr>
        <w:t>供应商</w:t>
      </w:r>
      <w:r>
        <w:rPr>
          <w:rFonts w:hint="eastAsia" w:ascii="宋体" w:cs="宋体"/>
          <w:sz w:val="24"/>
          <w:szCs w:val="24"/>
        </w:rPr>
        <w:t>名称：</w:t>
      </w:r>
      <w:r>
        <w:rPr>
          <w:rFonts w:hint="eastAsia" w:ascii="宋体" w:cs="宋体"/>
          <w:bCs/>
          <w:sz w:val="24"/>
          <w:szCs w:val="24"/>
        </w:rPr>
        <w:t>（盖章）</w:t>
      </w:r>
    </w:p>
    <w:p w14:paraId="4F96A101">
      <w:pPr>
        <w:pStyle w:val="9"/>
        <w:spacing w:line="360" w:lineRule="auto"/>
        <w:ind w:firstLine="0"/>
        <w:jc w:val="center"/>
        <w:rPr>
          <w:rFonts w:cs="宋体"/>
          <w:sz w:val="24"/>
          <w:szCs w:val="24"/>
        </w:rPr>
      </w:pPr>
      <w:r>
        <w:rPr>
          <w:rFonts w:hint="eastAsia" w:ascii="宋体" w:cs="宋体"/>
          <w:sz w:val="24"/>
          <w:szCs w:val="24"/>
        </w:rPr>
        <w:t>法定代表人或授权代理人（签字）：</w:t>
      </w:r>
    </w:p>
    <w:p w14:paraId="5E942E35">
      <w:pPr>
        <w:adjustRightInd w:val="0"/>
        <w:snapToGrid w:val="0"/>
        <w:spacing w:line="360" w:lineRule="auto"/>
        <w:ind w:right="78" w:rightChars="37"/>
        <w:jc w:val="center"/>
        <w:rPr>
          <w:rFonts w:cs="宋体"/>
          <w:sz w:val="24"/>
          <w:szCs w:val="24"/>
        </w:rPr>
      </w:pPr>
      <w:r>
        <w:rPr>
          <w:rFonts w:hint="eastAsia" w:ascii="宋体"/>
          <w:sz w:val="24"/>
          <w:szCs w:val="24"/>
        </w:rPr>
        <w:t>时间：</w:t>
      </w:r>
      <w:r>
        <w:rPr>
          <w:rFonts w:hint="eastAsia"/>
          <w:sz w:val="24"/>
          <w:szCs w:val="24"/>
        </w:rPr>
        <w:t xml:space="preserve">  </w:t>
      </w:r>
      <w:r>
        <w:rPr>
          <w:rFonts w:hint="eastAsia" w:ascii="宋体"/>
          <w:sz w:val="24"/>
          <w:szCs w:val="24"/>
        </w:rPr>
        <w:t>年</w:t>
      </w:r>
      <w:r>
        <w:rPr>
          <w:rFonts w:hint="eastAsia"/>
          <w:sz w:val="24"/>
          <w:szCs w:val="24"/>
        </w:rPr>
        <w:t xml:space="preserve">   </w:t>
      </w:r>
      <w:r>
        <w:rPr>
          <w:rFonts w:hint="eastAsia" w:ascii="宋体"/>
          <w:sz w:val="24"/>
          <w:szCs w:val="24"/>
        </w:rPr>
        <w:t>月</w:t>
      </w:r>
      <w:r>
        <w:rPr>
          <w:rFonts w:hint="eastAsia"/>
          <w:sz w:val="24"/>
          <w:szCs w:val="24"/>
        </w:rPr>
        <w:t xml:space="preserve">   </w:t>
      </w:r>
      <w:r>
        <w:rPr>
          <w:rFonts w:hint="eastAsia" w:ascii="宋体"/>
          <w:sz w:val="24"/>
          <w:szCs w:val="24"/>
        </w:rPr>
        <w:t>日</w:t>
      </w:r>
    </w:p>
    <w:p w14:paraId="45ED2F4A">
      <w:pPr>
        <w:rPr>
          <w:rFonts w:cs="宋体"/>
          <w:spacing w:val="3"/>
          <w:position w:val="-2"/>
          <w:sz w:val="32"/>
          <w:szCs w:val="32"/>
        </w:rPr>
      </w:pPr>
      <w:r>
        <w:rPr>
          <w:rFonts w:hint="eastAsia"/>
          <w:spacing w:val="3"/>
          <w:position w:val="-2"/>
          <w:sz w:val="32"/>
          <w:szCs w:val="32"/>
        </w:rPr>
        <w:br w:type="page"/>
      </w:r>
    </w:p>
    <w:p w14:paraId="7ADDED0E">
      <w:pPr>
        <w:spacing w:line="508" w:lineRule="exact"/>
        <w:ind w:right="1518"/>
        <w:outlineLvl w:val="1"/>
        <w:rPr>
          <w:rFonts w:cs="宋体"/>
          <w:sz w:val="32"/>
          <w:szCs w:val="32"/>
        </w:rPr>
      </w:pPr>
      <w:bookmarkStart w:id="18" w:name="_Toc227836520"/>
      <w:r>
        <w:rPr>
          <w:rFonts w:hint="eastAsia" w:ascii="宋体"/>
          <w:spacing w:val="3"/>
          <w:position w:val="-2"/>
          <w:sz w:val="32"/>
          <w:szCs w:val="32"/>
        </w:rPr>
        <w:t>第一部</w:t>
      </w:r>
      <w:r>
        <w:rPr>
          <w:rFonts w:hint="eastAsia" w:ascii="宋体"/>
          <w:position w:val="-2"/>
          <w:sz w:val="32"/>
          <w:szCs w:val="32"/>
        </w:rPr>
        <w:t>分</w:t>
      </w:r>
      <w:r>
        <w:rPr>
          <w:rFonts w:hint="eastAsia"/>
          <w:position w:val="-2"/>
          <w:sz w:val="32"/>
          <w:szCs w:val="32"/>
        </w:rPr>
        <w:t xml:space="preserve">  </w:t>
      </w:r>
      <w:r>
        <w:rPr>
          <w:rFonts w:hint="eastAsia" w:ascii="宋体"/>
          <w:spacing w:val="3"/>
          <w:position w:val="-2"/>
          <w:sz w:val="32"/>
          <w:szCs w:val="32"/>
        </w:rPr>
        <w:t>资格性响应文件（格式）</w:t>
      </w:r>
      <w:bookmarkEnd w:id="18"/>
    </w:p>
    <w:p w14:paraId="5C797705">
      <w:pPr>
        <w:pStyle w:val="8"/>
      </w:pPr>
    </w:p>
    <w:p w14:paraId="0B6F7EC4">
      <w:pPr>
        <w:spacing w:line="508" w:lineRule="exact"/>
        <w:ind w:right="1518"/>
        <w:jc w:val="right"/>
        <w:outlineLvl w:val="2"/>
        <w:rPr>
          <w:b/>
          <w:sz w:val="32"/>
          <w:szCs w:val="32"/>
        </w:rPr>
      </w:pPr>
      <w:r>
        <w:rPr>
          <w:rFonts w:hint="eastAsia" w:ascii="宋体"/>
          <w:b/>
          <w:sz w:val="32"/>
          <w:szCs w:val="32"/>
        </w:rPr>
        <w:t>一、法定代表人授权书</w:t>
      </w:r>
      <w:r>
        <w:rPr>
          <w:b/>
          <w:sz w:val="32"/>
          <w:szCs w:val="32"/>
        </w:rPr>
        <w:t>/</w:t>
      </w:r>
      <w:r>
        <w:rPr>
          <w:rFonts w:hint="eastAsia" w:ascii="宋体"/>
          <w:b/>
          <w:sz w:val="32"/>
          <w:szCs w:val="32"/>
        </w:rPr>
        <w:t>法定代表人身份证明</w:t>
      </w:r>
    </w:p>
    <w:p w14:paraId="6639AC49">
      <w:pPr>
        <w:spacing w:line="130" w:lineRule="exact"/>
        <w:ind w:right="-20"/>
        <w:jc w:val="left"/>
        <w:rPr>
          <w:rFonts w:cs="宋体"/>
          <w:sz w:val="13"/>
          <w:szCs w:val="13"/>
        </w:rPr>
      </w:pPr>
    </w:p>
    <w:p w14:paraId="22DE132B">
      <w:pPr>
        <w:spacing w:line="200" w:lineRule="exact"/>
        <w:ind w:right="-20"/>
        <w:jc w:val="left"/>
        <w:rPr>
          <w:rFonts w:cs="宋体"/>
          <w:sz w:val="20"/>
          <w:szCs w:val="20"/>
        </w:rPr>
      </w:pPr>
    </w:p>
    <w:p w14:paraId="5F0D1326">
      <w:pPr>
        <w:spacing w:line="508" w:lineRule="exact"/>
        <w:ind w:right="1518"/>
        <w:jc w:val="center"/>
        <w:rPr>
          <w:sz w:val="32"/>
          <w:szCs w:val="32"/>
        </w:rPr>
      </w:pPr>
      <w:r>
        <w:rPr>
          <w:sz w:val="32"/>
          <w:szCs w:val="32"/>
        </w:rPr>
        <w:t>(</w:t>
      </w:r>
      <w:r>
        <w:rPr>
          <w:rFonts w:hint="eastAsia" w:ascii="宋体"/>
          <w:sz w:val="32"/>
          <w:szCs w:val="32"/>
        </w:rPr>
        <w:t>一</w:t>
      </w:r>
      <w:r>
        <w:rPr>
          <w:sz w:val="32"/>
          <w:szCs w:val="32"/>
        </w:rPr>
        <w:t>)</w:t>
      </w:r>
      <w:r>
        <w:rPr>
          <w:rFonts w:hint="eastAsia" w:ascii="宋体"/>
          <w:sz w:val="32"/>
          <w:szCs w:val="32"/>
        </w:rPr>
        <w:t>法定代表人身份证明</w:t>
      </w:r>
    </w:p>
    <w:p w14:paraId="31F10464">
      <w:pPr>
        <w:spacing w:line="140" w:lineRule="exact"/>
        <w:ind w:right="-20"/>
        <w:jc w:val="left"/>
        <w:rPr>
          <w:rFonts w:cs="宋体"/>
          <w:sz w:val="14"/>
          <w:szCs w:val="14"/>
        </w:rPr>
      </w:pPr>
    </w:p>
    <w:p w14:paraId="5EE70BA3">
      <w:pPr>
        <w:spacing w:line="200" w:lineRule="exact"/>
        <w:ind w:right="-20"/>
        <w:jc w:val="left"/>
        <w:rPr>
          <w:rFonts w:cs="宋体"/>
          <w:sz w:val="20"/>
          <w:szCs w:val="20"/>
        </w:rPr>
      </w:pPr>
    </w:p>
    <w:p w14:paraId="09747D6E">
      <w:pPr>
        <w:spacing w:line="271" w:lineRule="auto"/>
        <w:ind w:left="620" w:right="2668"/>
        <w:rPr>
          <w:rFonts w:cs="宋体"/>
          <w:sz w:val="24"/>
          <w:szCs w:val="24"/>
        </w:rPr>
      </w:pPr>
      <w:r>
        <w:rPr>
          <w:rFonts w:hint="eastAsia" w:ascii="宋体"/>
          <w:sz w:val="24"/>
          <w:szCs w:val="24"/>
        </w:rPr>
        <w:t>投标人名称：</w:t>
      </w:r>
      <w:r>
        <w:rPr>
          <w:rFonts w:hint="eastAsia"/>
          <w:sz w:val="24"/>
          <w:szCs w:val="24"/>
          <w:u w:val="single"/>
        </w:rPr>
        <w:tab/>
      </w:r>
      <w:r>
        <w:rPr>
          <w:rFonts w:hint="eastAsia"/>
          <w:sz w:val="24"/>
          <w:szCs w:val="24"/>
          <w:u w:val="single"/>
        </w:rPr>
        <w:tab/>
      </w:r>
      <w:r>
        <w:rPr>
          <w:rFonts w:hint="eastAsia"/>
          <w:sz w:val="24"/>
          <w:szCs w:val="24"/>
        </w:rPr>
        <w:t xml:space="preserve"> </w:t>
      </w:r>
    </w:p>
    <w:p w14:paraId="6B40F45C">
      <w:pPr>
        <w:spacing w:line="271" w:lineRule="auto"/>
        <w:ind w:left="620" w:right="2668"/>
        <w:rPr>
          <w:rFonts w:cs="宋体"/>
          <w:sz w:val="24"/>
          <w:szCs w:val="24"/>
        </w:rPr>
      </w:pPr>
      <w:r>
        <w:rPr>
          <w:rFonts w:hint="eastAsia" w:ascii="宋体"/>
          <w:sz w:val="24"/>
          <w:szCs w:val="24"/>
        </w:rPr>
        <w:t>单位性质：</w:t>
      </w:r>
      <w:r>
        <w:rPr>
          <w:rFonts w:hint="eastAsia"/>
          <w:sz w:val="24"/>
          <w:szCs w:val="24"/>
          <w:u w:val="single"/>
        </w:rPr>
        <w:tab/>
      </w:r>
      <w:r>
        <w:rPr>
          <w:rFonts w:hint="eastAsia"/>
          <w:sz w:val="24"/>
          <w:szCs w:val="24"/>
          <w:u w:val="single"/>
        </w:rPr>
        <w:tab/>
      </w:r>
      <w:r>
        <w:rPr>
          <w:rFonts w:hint="eastAsia"/>
          <w:sz w:val="24"/>
          <w:szCs w:val="24"/>
        </w:rPr>
        <w:t xml:space="preserve"> </w:t>
      </w:r>
    </w:p>
    <w:p w14:paraId="1BF71242">
      <w:pPr>
        <w:spacing w:line="271" w:lineRule="auto"/>
        <w:ind w:left="620" w:right="2668"/>
        <w:rPr>
          <w:rFonts w:cs="宋体"/>
          <w:sz w:val="24"/>
          <w:szCs w:val="24"/>
        </w:rPr>
      </w:pPr>
      <w:r>
        <w:rPr>
          <w:rFonts w:hint="eastAsia" w:ascii="宋体"/>
          <w:sz w:val="24"/>
          <w:szCs w:val="24"/>
        </w:rPr>
        <w:t>地址：</w:t>
      </w:r>
      <w:r>
        <w:rPr>
          <w:rFonts w:hint="eastAsia"/>
          <w:sz w:val="24"/>
          <w:szCs w:val="24"/>
          <w:u w:val="single"/>
        </w:rPr>
        <w:tab/>
      </w:r>
    </w:p>
    <w:p w14:paraId="51023E8F">
      <w:pPr>
        <w:spacing w:line="358" w:lineRule="exact"/>
        <w:ind w:left="620" w:right="4134"/>
        <w:rPr>
          <w:rFonts w:cs="宋体"/>
          <w:sz w:val="24"/>
          <w:szCs w:val="24"/>
        </w:rPr>
      </w:pPr>
      <w:r>
        <w:rPr>
          <w:rFonts w:hint="eastAsia" w:ascii="宋体"/>
          <w:position w:val="-1"/>
          <w:sz w:val="24"/>
          <w:szCs w:val="24"/>
        </w:rPr>
        <w:t>成立时间：</w:t>
      </w:r>
      <w:r>
        <w:rPr>
          <w:rFonts w:hint="eastAsia"/>
          <w:spacing w:val="-20"/>
          <w:position w:val="-1"/>
          <w:sz w:val="24"/>
          <w:szCs w:val="24"/>
          <w:u w:val="single"/>
        </w:rPr>
        <w:tab/>
      </w:r>
      <w:r>
        <w:rPr>
          <w:rFonts w:hint="eastAsia" w:ascii="宋体"/>
          <w:position w:val="-1"/>
          <w:sz w:val="24"/>
          <w:szCs w:val="24"/>
        </w:rPr>
        <w:t>年</w:t>
      </w:r>
      <w:r>
        <w:rPr>
          <w:rFonts w:hint="eastAsia"/>
          <w:spacing w:val="-20"/>
          <w:position w:val="-1"/>
          <w:sz w:val="24"/>
          <w:szCs w:val="24"/>
          <w:u w:val="single"/>
        </w:rPr>
        <w:tab/>
      </w:r>
      <w:r>
        <w:rPr>
          <w:rFonts w:hint="eastAsia" w:ascii="宋体"/>
          <w:position w:val="-1"/>
          <w:sz w:val="24"/>
          <w:szCs w:val="24"/>
        </w:rPr>
        <w:t>月</w:t>
      </w:r>
      <w:r>
        <w:rPr>
          <w:rFonts w:hint="eastAsia"/>
          <w:spacing w:val="-20"/>
          <w:position w:val="-1"/>
          <w:sz w:val="24"/>
          <w:szCs w:val="24"/>
          <w:u w:val="single"/>
        </w:rPr>
        <w:tab/>
      </w:r>
      <w:r>
        <w:rPr>
          <w:rFonts w:hint="eastAsia" w:ascii="宋体"/>
          <w:position w:val="-1"/>
          <w:sz w:val="24"/>
          <w:szCs w:val="24"/>
        </w:rPr>
        <w:t>日</w:t>
      </w:r>
    </w:p>
    <w:p w14:paraId="18623B01">
      <w:pPr>
        <w:spacing w:line="401" w:lineRule="exact"/>
        <w:ind w:left="620" w:right="2934"/>
        <w:rPr>
          <w:rFonts w:cs="宋体"/>
          <w:sz w:val="24"/>
          <w:szCs w:val="24"/>
        </w:rPr>
      </w:pPr>
      <w:r>
        <w:rPr>
          <w:rFonts w:hint="eastAsia" w:ascii="宋体"/>
          <w:position w:val="-2"/>
          <w:sz w:val="24"/>
          <w:szCs w:val="24"/>
        </w:rPr>
        <w:t>经营期限：</w:t>
      </w:r>
      <w:r>
        <w:rPr>
          <w:rFonts w:hint="eastAsia"/>
          <w:position w:val="-2"/>
          <w:sz w:val="24"/>
          <w:szCs w:val="24"/>
          <w:u w:val="single"/>
        </w:rPr>
        <w:tab/>
      </w:r>
    </w:p>
    <w:p w14:paraId="4E7585B4">
      <w:pPr>
        <w:spacing w:line="400" w:lineRule="exact"/>
        <w:ind w:left="140" w:right="28" w:firstLine="480"/>
        <w:jc w:val="left"/>
        <w:rPr>
          <w:rFonts w:cs="宋体"/>
          <w:sz w:val="24"/>
          <w:szCs w:val="24"/>
        </w:rPr>
      </w:pPr>
      <w:r>
        <w:rPr>
          <w:rFonts w:hint="eastAsia" w:ascii="宋体"/>
          <w:spacing w:val="10"/>
          <w:sz w:val="24"/>
          <w:szCs w:val="24"/>
        </w:rPr>
        <w:t>姓名</w:t>
      </w:r>
      <w:r>
        <w:rPr>
          <w:rFonts w:hint="eastAsia" w:ascii="宋体"/>
          <w:spacing w:val="7"/>
          <w:sz w:val="24"/>
          <w:szCs w:val="24"/>
        </w:rPr>
        <w:t>：</w:t>
      </w:r>
      <w:r>
        <w:rPr>
          <w:rFonts w:hint="eastAsia"/>
          <w:spacing w:val="-20"/>
          <w:sz w:val="24"/>
          <w:szCs w:val="24"/>
          <w:u w:val="single"/>
        </w:rPr>
        <w:tab/>
      </w:r>
      <w:r>
        <w:rPr>
          <w:rFonts w:hint="eastAsia"/>
          <w:spacing w:val="-20"/>
          <w:sz w:val="24"/>
          <w:szCs w:val="24"/>
          <w:u w:val="single"/>
        </w:rPr>
        <w:tab/>
      </w:r>
      <w:r>
        <w:rPr>
          <w:rFonts w:hint="eastAsia" w:ascii="宋体"/>
          <w:spacing w:val="10"/>
          <w:sz w:val="24"/>
          <w:szCs w:val="24"/>
        </w:rPr>
        <w:t>系</w:t>
      </w:r>
      <w:r>
        <w:rPr>
          <w:rFonts w:hint="eastAsia"/>
          <w:spacing w:val="-20"/>
          <w:sz w:val="24"/>
          <w:szCs w:val="24"/>
          <w:u w:val="single"/>
        </w:rPr>
        <w:tab/>
      </w:r>
      <w:r>
        <w:rPr>
          <w:rFonts w:hint="eastAsia" w:ascii="宋体"/>
          <w:spacing w:val="10"/>
          <w:sz w:val="24"/>
          <w:szCs w:val="24"/>
        </w:rPr>
        <w:t>（投</w:t>
      </w:r>
      <w:r>
        <w:rPr>
          <w:rFonts w:hint="eastAsia" w:ascii="宋体"/>
          <w:spacing w:val="7"/>
          <w:sz w:val="24"/>
          <w:szCs w:val="24"/>
        </w:rPr>
        <w:t>标</w:t>
      </w:r>
      <w:r>
        <w:rPr>
          <w:rFonts w:hint="eastAsia" w:ascii="宋体"/>
          <w:spacing w:val="10"/>
          <w:sz w:val="24"/>
          <w:szCs w:val="24"/>
        </w:rPr>
        <w:t>人名称</w:t>
      </w:r>
      <w:r>
        <w:rPr>
          <w:rFonts w:hint="eastAsia" w:ascii="宋体"/>
          <w:spacing w:val="7"/>
          <w:sz w:val="24"/>
          <w:szCs w:val="24"/>
        </w:rPr>
        <w:t>）</w:t>
      </w:r>
      <w:r>
        <w:rPr>
          <w:rFonts w:hint="eastAsia" w:ascii="宋体"/>
          <w:spacing w:val="10"/>
          <w:sz w:val="24"/>
          <w:szCs w:val="24"/>
        </w:rPr>
        <w:t>的法定</w:t>
      </w:r>
      <w:r>
        <w:rPr>
          <w:rFonts w:hint="eastAsia" w:ascii="宋体"/>
          <w:spacing w:val="7"/>
          <w:sz w:val="24"/>
          <w:szCs w:val="24"/>
        </w:rPr>
        <w:t>代</w:t>
      </w:r>
      <w:r>
        <w:rPr>
          <w:rFonts w:hint="eastAsia" w:ascii="宋体"/>
          <w:spacing w:val="10"/>
          <w:sz w:val="24"/>
          <w:szCs w:val="24"/>
        </w:rPr>
        <w:t>表人（</w:t>
      </w:r>
      <w:r>
        <w:rPr>
          <w:rFonts w:hint="eastAsia" w:ascii="宋体"/>
          <w:spacing w:val="7"/>
          <w:sz w:val="24"/>
          <w:szCs w:val="24"/>
        </w:rPr>
        <w:t>职</w:t>
      </w:r>
      <w:r>
        <w:rPr>
          <w:rFonts w:hint="eastAsia" w:ascii="宋体"/>
          <w:spacing w:val="10"/>
          <w:sz w:val="24"/>
          <w:szCs w:val="24"/>
        </w:rPr>
        <w:t>务：</w:t>
      </w:r>
      <w:r>
        <w:rPr>
          <w:rFonts w:hint="eastAsia"/>
          <w:spacing w:val="-20"/>
          <w:sz w:val="24"/>
          <w:szCs w:val="24"/>
          <w:u w:val="single"/>
        </w:rPr>
        <w:tab/>
      </w:r>
      <w:r>
        <w:rPr>
          <w:rFonts w:hint="eastAsia" w:ascii="宋体"/>
          <w:sz w:val="24"/>
          <w:szCs w:val="24"/>
        </w:rPr>
        <w:t>电</w:t>
      </w:r>
      <w:r>
        <w:rPr>
          <w:rFonts w:hint="eastAsia"/>
          <w:sz w:val="24"/>
          <w:szCs w:val="24"/>
        </w:rPr>
        <w:t xml:space="preserve"> </w:t>
      </w:r>
      <w:r>
        <w:rPr>
          <w:rFonts w:hint="eastAsia" w:ascii="宋体"/>
          <w:sz w:val="24"/>
          <w:szCs w:val="24"/>
        </w:rPr>
        <w:t>话：</w:t>
      </w:r>
      <w:r>
        <w:rPr>
          <w:rFonts w:hint="eastAsia"/>
          <w:spacing w:val="-20"/>
          <w:sz w:val="24"/>
          <w:szCs w:val="24"/>
          <w:u w:val="single"/>
        </w:rPr>
        <w:tab/>
      </w:r>
      <w:r>
        <w:rPr>
          <w:rFonts w:hint="eastAsia" w:ascii="宋体"/>
          <w:sz w:val="24"/>
          <w:szCs w:val="24"/>
        </w:rPr>
        <w:t>）。属实。</w:t>
      </w:r>
    </w:p>
    <w:p w14:paraId="57AC0040">
      <w:pPr>
        <w:spacing w:line="398" w:lineRule="exact"/>
        <w:ind w:left="620" w:right="260"/>
        <w:jc w:val="left"/>
        <w:rPr>
          <w:rFonts w:cs="宋体"/>
          <w:sz w:val="24"/>
          <w:szCs w:val="24"/>
        </w:rPr>
      </w:pPr>
      <w:r>
        <w:rPr>
          <w:rFonts w:hint="eastAsia" w:ascii="宋体"/>
          <w:sz w:val="24"/>
          <w:szCs w:val="24"/>
        </w:rPr>
        <w:t>特此证明。</w:t>
      </w:r>
    </w:p>
    <w:p w14:paraId="476C4020">
      <w:pPr>
        <w:spacing w:line="398" w:lineRule="exact"/>
        <w:ind w:left="620" w:right="260"/>
        <w:jc w:val="left"/>
        <w:rPr>
          <w:rFonts w:cs="宋体"/>
          <w:sz w:val="24"/>
          <w:szCs w:val="24"/>
        </w:rPr>
      </w:pPr>
    </w:p>
    <w:p w14:paraId="36913A36">
      <w:pPr>
        <w:spacing w:line="398" w:lineRule="exact"/>
        <w:ind w:left="620" w:right="260"/>
        <w:jc w:val="left"/>
        <w:rPr>
          <w:rFonts w:cs="宋体"/>
          <w:sz w:val="24"/>
          <w:szCs w:val="24"/>
        </w:rPr>
      </w:pPr>
    </w:p>
    <w:p w14:paraId="27A27407">
      <w:pPr>
        <w:spacing w:line="398" w:lineRule="exact"/>
        <w:ind w:left="620" w:right="260"/>
        <w:jc w:val="left"/>
        <w:rPr>
          <w:rFonts w:cs="宋体"/>
          <w:sz w:val="24"/>
          <w:szCs w:val="24"/>
        </w:rPr>
      </w:pPr>
      <w:r>
        <w:rPr>
          <w:rFonts w:hint="eastAsia"/>
          <w:sz w:val="24"/>
          <w:szCs w:val="24"/>
        </w:rPr>
        <w:t xml:space="preserve"> </w:t>
      </w:r>
      <w:r>
        <w:rPr>
          <w:rFonts w:hint="eastAsia" w:ascii="宋体"/>
          <w:sz w:val="24"/>
          <w:szCs w:val="24"/>
        </w:rPr>
        <w:t>附：法定代表身份证复印件</w:t>
      </w:r>
    </w:p>
    <w:p w14:paraId="21477923">
      <w:pPr>
        <w:ind w:left="4220" w:right="-20"/>
        <w:jc w:val="left"/>
        <w:rPr>
          <w:rFonts w:cs="宋体"/>
          <w:sz w:val="24"/>
          <w:szCs w:val="24"/>
        </w:rPr>
      </w:pPr>
    </w:p>
    <w:p w14:paraId="35464808">
      <w:pPr>
        <w:ind w:left="4220" w:right="-20"/>
        <w:jc w:val="left"/>
        <w:rPr>
          <w:rFonts w:cs="宋体"/>
          <w:sz w:val="24"/>
          <w:szCs w:val="24"/>
        </w:rPr>
      </w:pPr>
    </w:p>
    <w:p w14:paraId="093CEBF8">
      <w:pPr>
        <w:ind w:left="4220" w:right="-20"/>
        <w:jc w:val="left"/>
        <w:rPr>
          <w:rFonts w:cs="宋体"/>
          <w:sz w:val="24"/>
          <w:szCs w:val="24"/>
        </w:rPr>
      </w:pPr>
      <w:r>
        <w:rPr>
          <w:rFonts w:hint="eastAsia" w:ascii="宋体"/>
          <w:sz w:val="24"/>
          <w:szCs w:val="24"/>
        </w:rPr>
        <w:t>供应商名称：</w:t>
      </w:r>
      <w:r>
        <w:rPr>
          <w:rFonts w:hint="eastAsia"/>
          <w:spacing w:val="-20"/>
          <w:sz w:val="24"/>
          <w:szCs w:val="24"/>
          <w:u w:val="single"/>
        </w:rPr>
        <w:tab/>
      </w:r>
      <w:r>
        <w:rPr>
          <w:rFonts w:hint="eastAsia" w:ascii="宋体"/>
          <w:sz w:val="24"/>
          <w:szCs w:val="24"/>
        </w:rPr>
        <w:t>（单位公章）</w:t>
      </w:r>
    </w:p>
    <w:p w14:paraId="00741951">
      <w:pPr>
        <w:spacing w:line="400" w:lineRule="exact"/>
        <w:ind w:left="620" w:right="628" w:firstLine="4320"/>
        <w:jc w:val="left"/>
        <w:rPr>
          <w:rFonts w:cs="宋体"/>
          <w:sz w:val="24"/>
          <w:szCs w:val="24"/>
        </w:rPr>
      </w:pPr>
      <w:r>
        <w:rPr>
          <w:rFonts w:hint="eastAsia"/>
          <w:sz w:val="24"/>
          <w:szCs w:val="24"/>
          <w:u w:val="single"/>
        </w:rPr>
        <w:tab/>
      </w:r>
      <w:r>
        <w:rPr>
          <w:rFonts w:hint="eastAsia" w:ascii="宋体"/>
          <w:sz w:val="24"/>
          <w:szCs w:val="24"/>
        </w:rPr>
        <w:t>年</w:t>
      </w:r>
      <w:r>
        <w:rPr>
          <w:rFonts w:hint="eastAsia"/>
          <w:spacing w:val="-20"/>
          <w:sz w:val="24"/>
          <w:szCs w:val="24"/>
          <w:u w:val="single"/>
        </w:rPr>
        <w:tab/>
      </w:r>
      <w:r>
        <w:rPr>
          <w:rFonts w:hint="eastAsia" w:ascii="宋体"/>
          <w:sz w:val="24"/>
          <w:szCs w:val="24"/>
        </w:rPr>
        <w:t>月</w:t>
      </w:r>
      <w:r>
        <w:rPr>
          <w:rFonts w:hint="eastAsia"/>
          <w:spacing w:val="-20"/>
          <w:sz w:val="24"/>
          <w:szCs w:val="24"/>
          <w:u w:val="single"/>
        </w:rPr>
        <w:tab/>
      </w:r>
      <w:r>
        <w:rPr>
          <w:rFonts w:hint="eastAsia" w:ascii="宋体"/>
          <w:sz w:val="24"/>
          <w:szCs w:val="24"/>
        </w:rPr>
        <w:t>日</w:t>
      </w:r>
      <w:r>
        <w:rPr>
          <w:rFonts w:hint="eastAsia"/>
          <w:sz w:val="24"/>
          <w:szCs w:val="24"/>
        </w:rPr>
        <w:t xml:space="preserve"> </w:t>
      </w:r>
    </w:p>
    <w:p w14:paraId="2787F27E">
      <w:pPr>
        <w:spacing w:line="400" w:lineRule="exact"/>
        <w:ind w:left="620" w:right="628" w:firstLine="4320"/>
        <w:jc w:val="left"/>
        <w:rPr>
          <w:rFonts w:cs="宋体"/>
          <w:sz w:val="24"/>
          <w:szCs w:val="24"/>
        </w:rPr>
      </w:pPr>
    </w:p>
    <w:p w14:paraId="7DD8CBBF">
      <w:pPr>
        <w:spacing w:line="400" w:lineRule="exact"/>
        <w:ind w:left="620" w:right="628" w:firstLine="4320"/>
        <w:jc w:val="left"/>
        <w:rPr>
          <w:rFonts w:cs="宋体"/>
          <w:sz w:val="24"/>
          <w:szCs w:val="24"/>
        </w:rPr>
      </w:pPr>
    </w:p>
    <w:p w14:paraId="2A90C082">
      <w:pPr>
        <w:spacing w:line="400" w:lineRule="exact"/>
        <w:ind w:right="628" w:firstLine="240" w:firstLineChars="100"/>
        <w:jc w:val="left"/>
        <w:rPr>
          <w:rFonts w:cs="宋体"/>
          <w:sz w:val="24"/>
          <w:szCs w:val="24"/>
        </w:rPr>
      </w:pPr>
    </w:p>
    <w:p w14:paraId="2FCACC37">
      <w:pPr>
        <w:spacing w:line="400" w:lineRule="exact"/>
        <w:ind w:right="628" w:firstLine="240" w:firstLineChars="100"/>
        <w:jc w:val="left"/>
        <w:rPr>
          <w:rFonts w:cs="宋体"/>
          <w:sz w:val="24"/>
          <w:szCs w:val="24"/>
        </w:rPr>
      </w:pPr>
    </w:p>
    <w:p w14:paraId="301FCCDC">
      <w:pPr>
        <w:spacing w:line="400" w:lineRule="exact"/>
        <w:ind w:right="628" w:firstLine="240" w:firstLineChars="100"/>
        <w:jc w:val="left"/>
        <w:rPr>
          <w:rFonts w:cs="宋体"/>
          <w:sz w:val="24"/>
          <w:szCs w:val="24"/>
        </w:rPr>
      </w:pPr>
      <w:r>
        <w:rPr>
          <w:rFonts w:hint="eastAsia" w:ascii="宋体"/>
          <w:sz w:val="24"/>
          <w:szCs w:val="24"/>
        </w:rPr>
        <w:t>注：此证明仅用于法定代表人亲自投标而非委托代理人投标。</w:t>
      </w:r>
    </w:p>
    <w:p w14:paraId="4DC11C76">
      <w:pPr>
        <w:rPr>
          <w:b/>
          <w:sz w:val="32"/>
          <w:szCs w:val="32"/>
        </w:rPr>
      </w:pPr>
      <w:r>
        <w:rPr>
          <w:b/>
          <w:sz w:val="32"/>
          <w:szCs w:val="32"/>
        </w:rPr>
        <w:br w:type="page"/>
      </w:r>
    </w:p>
    <w:p w14:paraId="715FDABE">
      <w:pPr>
        <w:jc w:val="center"/>
        <w:rPr>
          <w:bCs/>
          <w:sz w:val="32"/>
          <w:szCs w:val="32"/>
        </w:rPr>
      </w:pPr>
      <w:r>
        <w:rPr>
          <w:rFonts w:hint="eastAsia" w:ascii="宋体"/>
          <w:bCs/>
          <w:sz w:val="32"/>
          <w:szCs w:val="32"/>
        </w:rPr>
        <w:t>（二）法定代表人授权书</w:t>
      </w:r>
    </w:p>
    <w:p w14:paraId="08D9EBBC">
      <w:pPr>
        <w:jc w:val="center"/>
        <w:rPr>
          <w:b/>
          <w:sz w:val="44"/>
          <w:szCs w:val="44"/>
        </w:rPr>
      </w:pPr>
    </w:p>
    <w:p w14:paraId="46AA8D84">
      <w:pPr>
        <w:spacing w:line="400" w:lineRule="exact"/>
        <w:rPr>
          <w:sz w:val="24"/>
          <w:szCs w:val="24"/>
        </w:rPr>
      </w:pPr>
      <w:r>
        <w:rPr>
          <w:rFonts w:hint="eastAsia" w:ascii="宋体"/>
          <w:sz w:val="24"/>
          <w:szCs w:val="24"/>
        </w:rPr>
        <w:t>阿坝州自然资源局：</w:t>
      </w:r>
    </w:p>
    <w:p w14:paraId="6B0574CF">
      <w:pPr>
        <w:spacing w:line="400" w:lineRule="exact"/>
        <w:ind w:firstLine="480" w:firstLineChars="200"/>
        <w:rPr>
          <w:sz w:val="24"/>
          <w:szCs w:val="24"/>
        </w:rPr>
      </w:pPr>
      <w:r>
        <w:rPr>
          <w:rFonts w:hint="eastAsia" w:ascii="宋体"/>
          <w:sz w:val="24"/>
          <w:szCs w:val="24"/>
        </w:rPr>
        <w:t>本授权声明：</w:t>
      </w:r>
      <w:r>
        <w:rPr>
          <w:sz w:val="24"/>
          <w:szCs w:val="24"/>
        </w:rPr>
        <w:t>XXX</w:t>
      </w:r>
      <w:r>
        <w:rPr>
          <w:rFonts w:hint="eastAsia" w:ascii="宋体"/>
          <w:sz w:val="24"/>
          <w:szCs w:val="24"/>
        </w:rPr>
        <w:t>（单位名称）</w:t>
      </w:r>
      <w:r>
        <w:rPr>
          <w:sz w:val="24"/>
          <w:szCs w:val="24"/>
        </w:rPr>
        <w:t>,XXX</w:t>
      </w:r>
      <w:r>
        <w:rPr>
          <w:rFonts w:hint="eastAsia" w:ascii="宋体"/>
          <w:sz w:val="24"/>
          <w:szCs w:val="24"/>
        </w:rPr>
        <w:t>（法定代表人姓名、职务）授权</w:t>
      </w:r>
      <w:r>
        <w:rPr>
          <w:sz w:val="24"/>
          <w:szCs w:val="24"/>
        </w:rPr>
        <w:t>XXX</w:t>
      </w:r>
      <w:r>
        <w:rPr>
          <w:rFonts w:hint="eastAsia"/>
          <w:sz w:val="24"/>
          <w:szCs w:val="24"/>
          <w:u w:val="single"/>
        </w:rPr>
        <w:t xml:space="preserve">                   </w:t>
      </w:r>
      <w:r>
        <w:rPr>
          <w:rFonts w:hint="eastAsia" w:ascii="宋体"/>
          <w:sz w:val="24"/>
          <w:szCs w:val="24"/>
        </w:rPr>
        <w:t>（被授权人姓名、职务）为我方参加</w:t>
      </w:r>
      <w:r>
        <w:rPr>
          <w:sz w:val="24"/>
          <w:szCs w:val="24"/>
        </w:rPr>
        <w:t>XXX</w:t>
      </w:r>
      <w:r>
        <w:rPr>
          <w:rFonts w:hint="eastAsia" w:ascii="宋体"/>
          <w:sz w:val="24"/>
          <w:szCs w:val="24"/>
        </w:rPr>
        <w:t>项目磋商采购活动的合法代表，以我方名义全权处理该项目有关磋商、报价、签订合同以及执行合同等一切事宜。</w:t>
      </w:r>
    </w:p>
    <w:p w14:paraId="196A0243">
      <w:pPr>
        <w:spacing w:line="400" w:lineRule="exact"/>
        <w:ind w:firstLine="480" w:firstLineChars="200"/>
        <w:rPr>
          <w:sz w:val="24"/>
          <w:szCs w:val="24"/>
        </w:rPr>
      </w:pPr>
      <w:r>
        <w:rPr>
          <w:rFonts w:hint="eastAsia" w:ascii="宋体"/>
          <w:sz w:val="24"/>
          <w:szCs w:val="24"/>
        </w:rPr>
        <w:t>特此声明。</w:t>
      </w:r>
    </w:p>
    <w:p w14:paraId="792A0B7D">
      <w:pPr>
        <w:spacing w:line="400" w:lineRule="exact"/>
        <w:ind w:firstLine="480" w:firstLineChars="200"/>
        <w:rPr>
          <w:sz w:val="24"/>
          <w:szCs w:val="24"/>
        </w:rPr>
      </w:pPr>
    </w:p>
    <w:p w14:paraId="420F9D63">
      <w:pPr>
        <w:spacing w:line="400" w:lineRule="exact"/>
        <w:ind w:firstLine="480" w:firstLineChars="200"/>
        <w:rPr>
          <w:sz w:val="24"/>
          <w:szCs w:val="24"/>
        </w:rPr>
      </w:pPr>
    </w:p>
    <w:p w14:paraId="745C082A">
      <w:pPr>
        <w:spacing w:line="400" w:lineRule="exact"/>
        <w:ind w:firstLine="480" w:firstLineChars="200"/>
        <w:rPr>
          <w:sz w:val="24"/>
          <w:szCs w:val="24"/>
        </w:rPr>
      </w:pPr>
      <w:r>
        <w:rPr>
          <w:rFonts w:hint="eastAsia" w:ascii="宋体"/>
          <w:sz w:val="24"/>
          <w:szCs w:val="24"/>
        </w:rPr>
        <w:t>供应商名称：</w:t>
      </w:r>
      <w:r>
        <w:rPr>
          <w:sz w:val="24"/>
          <w:szCs w:val="24"/>
        </w:rPr>
        <w:t>XXX</w:t>
      </w:r>
      <w:r>
        <w:rPr>
          <w:rFonts w:hint="eastAsia" w:ascii="宋体"/>
          <w:sz w:val="24"/>
          <w:szCs w:val="24"/>
        </w:rPr>
        <w:t>（盖单位公章）</w:t>
      </w:r>
    </w:p>
    <w:p w14:paraId="10849EDE">
      <w:pPr>
        <w:spacing w:line="400" w:lineRule="exact"/>
        <w:ind w:firstLine="480" w:firstLineChars="200"/>
        <w:rPr>
          <w:sz w:val="24"/>
          <w:szCs w:val="24"/>
        </w:rPr>
      </w:pPr>
      <w:r>
        <w:rPr>
          <w:rFonts w:hint="eastAsia" w:ascii="宋体"/>
          <w:sz w:val="24"/>
          <w:szCs w:val="24"/>
        </w:rPr>
        <w:t>法定代表人（签字或盖章）：</w:t>
      </w:r>
      <w:r>
        <w:rPr>
          <w:sz w:val="24"/>
          <w:szCs w:val="24"/>
        </w:rPr>
        <w:t>XXX</w:t>
      </w:r>
    </w:p>
    <w:p w14:paraId="4D80198F">
      <w:pPr>
        <w:spacing w:line="400" w:lineRule="exact"/>
        <w:ind w:firstLine="480" w:firstLineChars="200"/>
        <w:rPr>
          <w:sz w:val="24"/>
          <w:szCs w:val="24"/>
        </w:rPr>
      </w:pPr>
      <w:r>
        <w:rPr>
          <w:rFonts w:hint="eastAsia" w:ascii="宋体"/>
          <w:sz w:val="24"/>
          <w:szCs w:val="24"/>
        </w:rPr>
        <w:t>被授权人签字：</w:t>
      </w:r>
      <w:r>
        <w:rPr>
          <w:sz w:val="24"/>
          <w:szCs w:val="24"/>
        </w:rPr>
        <w:t>XXX</w:t>
      </w:r>
    </w:p>
    <w:p w14:paraId="12C6406D">
      <w:pPr>
        <w:spacing w:line="400" w:lineRule="exact"/>
        <w:ind w:firstLine="480" w:firstLineChars="200"/>
        <w:rPr>
          <w:sz w:val="24"/>
          <w:szCs w:val="24"/>
        </w:rPr>
      </w:pPr>
      <w:r>
        <w:rPr>
          <w:rFonts w:hint="eastAsia" w:ascii="宋体"/>
          <w:sz w:val="24"/>
          <w:szCs w:val="24"/>
        </w:rPr>
        <w:t>职</w:t>
      </w:r>
      <w:r>
        <w:rPr>
          <w:rFonts w:hint="eastAsia"/>
          <w:sz w:val="24"/>
          <w:szCs w:val="24"/>
        </w:rPr>
        <w:t xml:space="preserve">    </w:t>
      </w:r>
      <w:r>
        <w:rPr>
          <w:rFonts w:hint="eastAsia" w:ascii="宋体"/>
          <w:sz w:val="24"/>
          <w:szCs w:val="24"/>
        </w:rPr>
        <w:t>务：</w:t>
      </w:r>
      <w:r>
        <w:rPr>
          <w:sz w:val="24"/>
          <w:szCs w:val="24"/>
        </w:rPr>
        <w:t>XXX</w:t>
      </w:r>
    </w:p>
    <w:p w14:paraId="0D8D411E">
      <w:pPr>
        <w:spacing w:line="400" w:lineRule="exact"/>
        <w:ind w:firstLine="480" w:firstLineChars="200"/>
        <w:rPr>
          <w:sz w:val="24"/>
          <w:szCs w:val="24"/>
        </w:rPr>
      </w:pPr>
      <w:r>
        <w:rPr>
          <w:rFonts w:hint="eastAsia" w:ascii="宋体"/>
          <w:sz w:val="24"/>
          <w:szCs w:val="24"/>
        </w:rPr>
        <w:t>日</w:t>
      </w:r>
      <w:r>
        <w:rPr>
          <w:rFonts w:hint="eastAsia"/>
          <w:sz w:val="24"/>
          <w:szCs w:val="24"/>
        </w:rPr>
        <w:t xml:space="preserve">    </w:t>
      </w:r>
      <w:r>
        <w:rPr>
          <w:rFonts w:hint="eastAsia" w:ascii="宋体"/>
          <w:sz w:val="24"/>
          <w:szCs w:val="24"/>
        </w:rPr>
        <w:t>期：</w:t>
      </w:r>
      <w:r>
        <w:rPr>
          <w:sz w:val="24"/>
          <w:szCs w:val="24"/>
        </w:rPr>
        <w:t>XXX</w:t>
      </w:r>
      <w:r>
        <w:rPr>
          <w:rFonts w:hint="eastAsia" w:ascii="宋体"/>
          <w:sz w:val="24"/>
          <w:szCs w:val="24"/>
        </w:rPr>
        <w:t>年</w:t>
      </w:r>
      <w:r>
        <w:rPr>
          <w:sz w:val="24"/>
          <w:szCs w:val="24"/>
        </w:rPr>
        <w:t>XXX</w:t>
      </w:r>
      <w:r>
        <w:rPr>
          <w:rFonts w:hint="eastAsia" w:ascii="宋体"/>
          <w:sz w:val="24"/>
          <w:szCs w:val="24"/>
        </w:rPr>
        <w:t>月</w:t>
      </w:r>
      <w:r>
        <w:rPr>
          <w:sz w:val="24"/>
          <w:szCs w:val="24"/>
        </w:rPr>
        <w:t>XXX</w:t>
      </w:r>
      <w:r>
        <w:rPr>
          <w:rFonts w:hint="eastAsia" w:ascii="宋体"/>
          <w:sz w:val="24"/>
          <w:szCs w:val="24"/>
        </w:rPr>
        <w:t>日</w:t>
      </w:r>
    </w:p>
    <w:p w14:paraId="51CA8E44">
      <w:pPr>
        <w:spacing w:line="400" w:lineRule="exact"/>
        <w:rPr>
          <w:sz w:val="24"/>
          <w:szCs w:val="24"/>
        </w:rPr>
      </w:pPr>
    </w:p>
    <w:p w14:paraId="2B5CEE2B">
      <w:pPr>
        <w:spacing w:line="400" w:lineRule="exact"/>
        <w:rPr>
          <w:sz w:val="32"/>
          <w:szCs w:val="32"/>
        </w:rPr>
      </w:pPr>
    </w:p>
    <w:p w14:paraId="1B69B683">
      <w:pPr>
        <w:spacing w:line="400" w:lineRule="exact"/>
        <w:rPr>
          <w:sz w:val="32"/>
          <w:szCs w:val="32"/>
        </w:rPr>
      </w:pPr>
    </w:p>
    <w:p w14:paraId="15175F59">
      <w:pPr>
        <w:spacing w:line="400" w:lineRule="exact"/>
        <w:rPr>
          <w:sz w:val="32"/>
          <w:szCs w:val="32"/>
        </w:rPr>
      </w:pPr>
    </w:p>
    <w:p w14:paraId="3EB4A751">
      <w:pPr>
        <w:spacing w:line="400" w:lineRule="exact"/>
        <w:rPr>
          <w:sz w:val="32"/>
          <w:szCs w:val="32"/>
        </w:rPr>
      </w:pPr>
    </w:p>
    <w:p w14:paraId="17E03266">
      <w:pPr>
        <w:spacing w:line="400" w:lineRule="exact"/>
        <w:rPr>
          <w:sz w:val="32"/>
          <w:szCs w:val="32"/>
        </w:rPr>
      </w:pPr>
    </w:p>
    <w:p w14:paraId="0FF9BB30">
      <w:pPr>
        <w:jc w:val="center"/>
        <w:rPr>
          <w:b/>
          <w:sz w:val="32"/>
          <w:szCs w:val="32"/>
        </w:rPr>
      </w:pPr>
    </w:p>
    <w:p w14:paraId="215680ED">
      <w:pPr>
        <w:jc w:val="center"/>
        <w:rPr>
          <w:b/>
          <w:sz w:val="32"/>
          <w:szCs w:val="32"/>
        </w:rPr>
      </w:pPr>
    </w:p>
    <w:p w14:paraId="461435DC">
      <w:pPr>
        <w:jc w:val="center"/>
        <w:rPr>
          <w:b/>
          <w:sz w:val="32"/>
          <w:szCs w:val="32"/>
        </w:rPr>
      </w:pPr>
    </w:p>
    <w:p w14:paraId="1785542A">
      <w:pPr>
        <w:jc w:val="center"/>
        <w:rPr>
          <w:b/>
          <w:sz w:val="32"/>
          <w:szCs w:val="32"/>
        </w:rPr>
      </w:pPr>
    </w:p>
    <w:p w14:paraId="0133E561">
      <w:pPr>
        <w:jc w:val="center"/>
        <w:rPr>
          <w:b/>
          <w:sz w:val="32"/>
          <w:szCs w:val="32"/>
        </w:rPr>
      </w:pPr>
    </w:p>
    <w:p w14:paraId="0027E4DF">
      <w:pPr>
        <w:jc w:val="center"/>
        <w:rPr>
          <w:rFonts w:cs="Arial"/>
          <w:b/>
          <w:bCs/>
          <w:sz w:val="32"/>
          <w:szCs w:val="32"/>
        </w:rPr>
      </w:pPr>
    </w:p>
    <w:p w14:paraId="7AE0FAC3">
      <w:pPr>
        <w:jc w:val="center"/>
        <w:rPr>
          <w:rFonts w:cs="Arial"/>
          <w:b/>
          <w:bCs/>
          <w:sz w:val="32"/>
          <w:szCs w:val="32"/>
        </w:rPr>
      </w:pPr>
    </w:p>
    <w:p w14:paraId="73F29EC6">
      <w:pPr>
        <w:jc w:val="center"/>
        <w:outlineLvl w:val="2"/>
        <w:rPr>
          <w:rFonts w:cs="宋体"/>
          <w:b/>
          <w:bCs/>
          <w:sz w:val="32"/>
          <w:szCs w:val="32"/>
        </w:rPr>
      </w:pPr>
      <w:r>
        <w:rPr>
          <w:rFonts w:cs="Arial"/>
          <w:b/>
          <w:bCs/>
          <w:sz w:val="32"/>
          <w:szCs w:val="32"/>
        </w:rPr>
        <w:br w:type="page"/>
      </w:r>
      <w:r>
        <w:rPr>
          <w:rFonts w:hint="eastAsia" w:ascii="宋体"/>
          <w:b/>
          <w:bCs/>
          <w:sz w:val="32"/>
          <w:szCs w:val="32"/>
        </w:rPr>
        <w:t>二、承诺函</w:t>
      </w:r>
    </w:p>
    <w:p w14:paraId="16BEC162">
      <w:pPr>
        <w:keepNext w:val="0"/>
        <w:keepLines w:val="0"/>
        <w:pageBreakBefore w:val="0"/>
        <w:widowControl/>
        <w:suppressLineNumbers w:val="0"/>
        <w:suppressAutoHyphens w:val="0"/>
        <w:spacing w:line="360" w:lineRule="auto"/>
        <w:jc w:val="center"/>
        <w:rPr>
          <w:rFonts w:cs="宋体"/>
          <w:b/>
          <w:bCs/>
          <w:sz w:val="24"/>
          <w:szCs w:val="24"/>
        </w:rPr>
      </w:pPr>
    </w:p>
    <w:p w14:paraId="1B9F3514">
      <w:pPr>
        <w:spacing w:line="400" w:lineRule="exact"/>
        <w:rPr>
          <w:rFonts w:ascii="宋体"/>
          <w:sz w:val="24"/>
          <w:szCs w:val="24"/>
        </w:rPr>
      </w:pPr>
      <w:r>
        <w:rPr>
          <w:rFonts w:hint="eastAsia" w:ascii="宋体"/>
          <w:sz w:val="24"/>
          <w:szCs w:val="24"/>
        </w:rPr>
        <w:t>阿坝州自然资源局：</w:t>
      </w:r>
    </w:p>
    <w:p w14:paraId="5652281C">
      <w:pPr>
        <w:spacing w:line="400" w:lineRule="exact"/>
        <w:ind w:firstLine="480" w:firstLineChars="200"/>
        <w:rPr>
          <w:rFonts w:ascii="宋体"/>
          <w:sz w:val="24"/>
          <w:szCs w:val="24"/>
        </w:rPr>
      </w:pPr>
      <w:r>
        <w:rPr>
          <w:rFonts w:hint="eastAsia" w:ascii="宋体"/>
          <w:sz w:val="24"/>
          <w:szCs w:val="24"/>
        </w:rPr>
        <w:t>我单位作为本次采购项目的供应商，根据磋商文件要求，现郑重承诺如下：</w:t>
      </w:r>
    </w:p>
    <w:p w14:paraId="6D4568E3">
      <w:pPr>
        <w:spacing w:line="400" w:lineRule="exact"/>
        <w:ind w:firstLine="480" w:firstLineChars="200"/>
        <w:rPr>
          <w:rFonts w:ascii="宋体"/>
          <w:sz w:val="24"/>
          <w:szCs w:val="24"/>
        </w:rPr>
      </w:pPr>
      <w:r>
        <w:rPr>
          <w:rFonts w:hint="eastAsia" w:ascii="宋体"/>
          <w:sz w:val="24"/>
          <w:szCs w:val="24"/>
        </w:rPr>
        <w:t>一、具备《中华人民共和国政府采购法》第二十二条第一款和本项目规定的条件：</w:t>
      </w:r>
    </w:p>
    <w:p w14:paraId="4EA6EDC1">
      <w:pPr>
        <w:spacing w:line="400" w:lineRule="exact"/>
        <w:ind w:firstLine="480" w:firstLineChars="200"/>
        <w:rPr>
          <w:rFonts w:ascii="宋体"/>
          <w:sz w:val="24"/>
          <w:szCs w:val="24"/>
        </w:rPr>
      </w:pPr>
      <w:r>
        <w:rPr>
          <w:rFonts w:hint="eastAsia" w:ascii="宋体"/>
          <w:sz w:val="24"/>
          <w:szCs w:val="24"/>
        </w:rPr>
        <w:t>（一）具有独立承担民事责任的能力；</w:t>
      </w:r>
    </w:p>
    <w:p w14:paraId="7AEC76F3">
      <w:pPr>
        <w:spacing w:line="400" w:lineRule="exact"/>
        <w:ind w:firstLine="480" w:firstLineChars="200"/>
        <w:rPr>
          <w:rFonts w:ascii="宋体"/>
          <w:sz w:val="24"/>
          <w:szCs w:val="24"/>
        </w:rPr>
      </w:pPr>
      <w:r>
        <w:rPr>
          <w:rFonts w:hint="eastAsia" w:ascii="宋体"/>
          <w:sz w:val="24"/>
          <w:szCs w:val="24"/>
        </w:rPr>
        <w:t>（二）具有良好的商业信誉和健全的财务会计制度；</w:t>
      </w:r>
    </w:p>
    <w:p w14:paraId="2CBA10B0">
      <w:pPr>
        <w:spacing w:line="400" w:lineRule="exact"/>
        <w:ind w:firstLine="480" w:firstLineChars="200"/>
        <w:rPr>
          <w:rFonts w:ascii="宋体"/>
          <w:sz w:val="24"/>
          <w:szCs w:val="24"/>
        </w:rPr>
      </w:pPr>
      <w:r>
        <w:rPr>
          <w:rFonts w:hint="eastAsia" w:ascii="宋体"/>
          <w:sz w:val="24"/>
          <w:szCs w:val="24"/>
        </w:rPr>
        <w:t>（三）具有履行合同所必需的设备和专业技术能力；</w:t>
      </w:r>
    </w:p>
    <w:p w14:paraId="0D50EDE3">
      <w:pPr>
        <w:spacing w:line="400" w:lineRule="exact"/>
        <w:ind w:firstLine="480" w:firstLineChars="200"/>
        <w:rPr>
          <w:rFonts w:ascii="宋体"/>
          <w:sz w:val="24"/>
          <w:szCs w:val="24"/>
        </w:rPr>
      </w:pPr>
      <w:r>
        <w:rPr>
          <w:rFonts w:hint="eastAsia" w:ascii="宋体"/>
          <w:sz w:val="24"/>
          <w:szCs w:val="24"/>
        </w:rPr>
        <w:t>（四）有依法缴纳税收和社会保障资金的良好记录；</w:t>
      </w:r>
    </w:p>
    <w:p w14:paraId="4E274C38">
      <w:pPr>
        <w:spacing w:line="400" w:lineRule="exact"/>
        <w:ind w:firstLine="480" w:firstLineChars="200"/>
        <w:rPr>
          <w:rFonts w:ascii="宋体"/>
          <w:sz w:val="24"/>
          <w:szCs w:val="24"/>
        </w:rPr>
      </w:pPr>
      <w:r>
        <w:rPr>
          <w:rFonts w:hint="eastAsia" w:ascii="宋体"/>
          <w:sz w:val="24"/>
          <w:szCs w:val="24"/>
        </w:rPr>
        <w:t>（五）参加政府采购活动前三年内，在经营活动中没有重大违法记录；</w:t>
      </w:r>
    </w:p>
    <w:p w14:paraId="54FCAACE">
      <w:pPr>
        <w:spacing w:line="400" w:lineRule="exact"/>
        <w:ind w:firstLine="480" w:firstLineChars="200"/>
        <w:rPr>
          <w:rFonts w:ascii="宋体"/>
          <w:sz w:val="24"/>
          <w:szCs w:val="24"/>
        </w:rPr>
      </w:pPr>
      <w:r>
        <w:rPr>
          <w:rFonts w:hint="eastAsia" w:ascii="宋体"/>
          <w:sz w:val="24"/>
          <w:szCs w:val="24"/>
        </w:rPr>
        <w:t>（六）法律、行政法规规定的其他条件；</w:t>
      </w:r>
    </w:p>
    <w:p w14:paraId="15B9D7A5">
      <w:pPr>
        <w:spacing w:line="400" w:lineRule="exact"/>
        <w:ind w:firstLine="480" w:firstLineChars="200"/>
        <w:rPr>
          <w:rFonts w:ascii="宋体"/>
          <w:sz w:val="24"/>
          <w:szCs w:val="24"/>
        </w:rPr>
      </w:pPr>
      <w:r>
        <w:rPr>
          <w:rFonts w:hint="eastAsia" w:ascii="宋体"/>
          <w:sz w:val="24"/>
          <w:szCs w:val="24"/>
        </w:rPr>
        <w:t>（七）根据采购项目提出的特殊条件。</w:t>
      </w:r>
    </w:p>
    <w:p w14:paraId="6AF880EA">
      <w:pPr>
        <w:spacing w:line="400" w:lineRule="exact"/>
        <w:ind w:firstLine="480" w:firstLineChars="200"/>
        <w:rPr>
          <w:rFonts w:ascii="宋体"/>
          <w:sz w:val="24"/>
          <w:szCs w:val="24"/>
        </w:rPr>
      </w:pPr>
      <w:r>
        <w:rPr>
          <w:rFonts w:hint="eastAsia" w:ascii="宋体"/>
          <w:sz w:val="24"/>
          <w:szCs w:val="24"/>
        </w:rPr>
        <w:t>二、截至响应文件递交截止日未被列入失信被执行人、重大税收违法案件当事人名单、政府采购严重违法失信行为记录名单。</w:t>
      </w:r>
    </w:p>
    <w:p w14:paraId="3E5A9969">
      <w:pPr>
        <w:spacing w:line="400" w:lineRule="exact"/>
        <w:ind w:firstLine="480" w:firstLineChars="200"/>
        <w:rPr>
          <w:rFonts w:ascii="宋体"/>
          <w:sz w:val="24"/>
          <w:szCs w:val="24"/>
        </w:rPr>
      </w:pPr>
      <w:r>
        <w:rPr>
          <w:rFonts w:hint="eastAsia" w:ascii="宋体"/>
          <w:sz w:val="24"/>
          <w:szCs w:val="24"/>
        </w:rPr>
        <w:t>本单位对上述承诺的内容事项真实性负责。如经查实上述承诺的内容事项存在虚假，我单位愿意接受以提供虚假材料谋取成交追究法律责任。</w:t>
      </w:r>
    </w:p>
    <w:p w14:paraId="23FC0518">
      <w:pPr>
        <w:spacing w:line="400" w:lineRule="exact"/>
        <w:ind w:firstLine="480" w:firstLineChars="200"/>
        <w:rPr>
          <w:rFonts w:ascii="宋体"/>
          <w:sz w:val="24"/>
          <w:szCs w:val="24"/>
        </w:rPr>
      </w:pPr>
    </w:p>
    <w:p w14:paraId="42C09F2B">
      <w:pPr>
        <w:spacing w:line="400" w:lineRule="exact"/>
        <w:ind w:firstLine="480" w:firstLineChars="200"/>
        <w:rPr>
          <w:rFonts w:hint="eastAsia" w:ascii="宋体"/>
          <w:sz w:val="24"/>
          <w:szCs w:val="24"/>
        </w:rPr>
      </w:pPr>
      <w:r>
        <w:rPr>
          <w:rFonts w:hint="eastAsia" w:ascii="宋体"/>
          <w:sz w:val="24"/>
          <w:szCs w:val="24"/>
        </w:rPr>
        <w:t>供应商名称（盖章）：</w:t>
      </w:r>
    </w:p>
    <w:p w14:paraId="11EBB74A">
      <w:pPr>
        <w:spacing w:line="400" w:lineRule="exact"/>
        <w:ind w:firstLine="480" w:firstLineChars="200"/>
        <w:rPr>
          <w:rFonts w:hint="eastAsia" w:ascii="宋体"/>
          <w:sz w:val="24"/>
          <w:szCs w:val="24"/>
        </w:rPr>
      </w:pPr>
      <w:r>
        <w:rPr>
          <w:rFonts w:hint="eastAsia" w:ascii="宋体"/>
          <w:sz w:val="24"/>
          <w:szCs w:val="24"/>
        </w:rPr>
        <w:t>法定代表人或授权代表（签字或盖章）：</w:t>
      </w:r>
    </w:p>
    <w:p w14:paraId="42515EB6">
      <w:pPr>
        <w:spacing w:line="400" w:lineRule="exact"/>
        <w:ind w:firstLine="480" w:firstLineChars="200"/>
        <w:rPr>
          <w:rFonts w:hint="eastAsia" w:ascii="宋体"/>
          <w:sz w:val="24"/>
          <w:szCs w:val="24"/>
        </w:rPr>
      </w:pPr>
      <w:r>
        <w:rPr>
          <w:rFonts w:hint="eastAsia" w:ascii="宋体"/>
          <w:sz w:val="24"/>
          <w:szCs w:val="24"/>
        </w:rPr>
        <w:t xml:space="preserve">日期：      年    月    日                </w:t>
      </w:r>
    </w:p>
    <w:p w14:paraId="26CFB000">
      <w:pPr>
        <w:spacing w:line="508" w:lineRule="exact"/>
        <w:ind w:right="1518"/>
        <w:outlineLvl w:val="1"/>
        <w:rPr>
          <w:sz w:val="32"/>
          <w:szCs w:val="32"/>
        </w:rPr>
      </w:pPr>
      <w:r>
        <w:rPr>
          <w:bCs/>
          <w:sz w:val="24"/>
          <w:szCs w:val="24"/>
        </w:rPr>
        <w:br w:type="page"/>
      </w:r>
      <w:bookmarkStart w:id="19" w:name="_Toc227836521"/>
      <w:r>
        <w:rPr>
          <w:rFonts w:hint="eastAsia" w:ascii="宋体"/>
          <w:spacing w:val="3"/>
          <w:position w:val="-2"/>
          <w:sz w:val="32"/>
          <w:szCs w:val="32"/>
        </w:rPr>
        <w:t>第二部分  其他响应文件（格式）</w:t>
      </w:r>
      <w:bookmarkEnd w:id="19"/>
    </w:p>
    <w:p w14:paraId="4CB3B561">
      <w:pPr>
        <w:jc w:val="center"/>
        <w:rPr>
          <w:b/>
          <w:sz w:val="32"/>
          <w:szCs w:val="32"/>
        </w:rPr>
      </w:pPr>
    </w:p>
    <w:p w14:paraId="70CF395E">
      <w:pPr>
        <w:jc w:val="center"/>
        <w:outlineLvl w:val="2"/>
        <w:rPr>
          <w:b/>
          <w:sz w:val="32"/>
          <w:szCs w:val="32"/>
        </w:rPr>
      </w:pPr>
      <w:r>
        <w:rPr>
          <w:rFonts w:hint="eastAsia" w:ascii="宋体"/>
          <w:b/>
          <w:sz w:val="32"/>
          <w:szCs w:val="32"/>
        </w:rPr>
        <w:t>一、报价函</w:t>
      </w:r>
    </w:p>
    <w:p w14:paraId="1D3871AF">
      <w:pPr>
        <w:spacing w:line="360" w:lineRule="auto"/>
        <w:rPr>
          <w:sz w:val="24"/>
          <w:szCs w:val="24"/>
        </w:rPr>
      </w:pPr>
    </w:p>
    <w:p w14:paraId="5293DD63">
      <w:pPr>
        <w:spacing w:line="360" w:lineRule="auto"/>
        <w:rPr>
          <w:sz w:val="24"/>
          <w:szCs w:val="24"/>
        </w:rPr>
      </w:pPr>
      <w:r>
        <w:rPr>
          <w:rFonts w:hint="eastAsia" w:ascii="宋体"/>
          <w:sz w:val="24"/>
          <w:szCs w:val="24"/>
        </w:rPr>
        <w:t>阿坝州自然资源局：</w:t>
      </w:r>
    </w:p>
    <w:p w14:paraId="36059F5B">
      <w:pPr>
        <w:spacing w:line="360" w:lineRule="auto"/>
        <w:ind w:firstLine="480" w:firstLineChars="200"/>
        <w:jc w:val="left"/>
        <w:rPr>
          <w:rFonts w:ascii="宋体"/>
          <w:sz w:val="24"/>
          <w:szCs w:val="24"/>
        </w:rPr>
      </w:pPr>
      <w:r>
        <w:rPr>
          <w:sz w:val="24"/>
          <w:szCs w:val="24"/>
        </w:rPr>
        <w:t>1.</w:t>
      </w:r>
      <w:r>
        <w:rPr>
          <w:rFonts w:hint="eastAsia" w:ascii="宋体"/>
          <w:sz w:val="24"/>
          <w:szCs w:val="24"/>
        </w:rPr>
        <w:t>我方全面研究了“</w:t>
      </w:r>
      <w:r>
        <w:rPr>
          <w:sz w:val="24"/>
          <w:szCs w:val="24"/>
        </w:rPr>
        <w:t>XXXXXX</w:t>
      </w:r>
      <w:r>
        <w:rPr>
          <w:rFonts w:hint="eastAsia" w:ascii="宋体"/>
          <w:sz w:val="24"/>
          <w:szCs w:val="24"/>
        </w:rPr>
        <w:t>”项目磋商文件，决定参加贵单位组织的本项目磋商采购。</w:t>
      </w:r>
    </w:p>
    <w:p w14:paraId="6D8504E8">
      <w:pPr>
        <w:spacing w:line="360" w:lineRule="auto"/>
        <w:ind w:firstLine="482" w:firstLineChars="200"/>
        <w:jc w:val="left"/>
        <w:rPr>
          <w:b/>
          <w:bCs/>
          <w:sz w:val="24"/>
          <w:szCs w:val="24"/>
        </w:rPr>
      </w:pPr>
      <w:r>
        <w:rPr>
          <w:b/>
          <w:bCs/>
          <w:sz w:val="24"/>
          <w:szCs w:val="24"/>
        </w:rPr>
        <w:t>2.</w:t>
      </w:r>
      <w:r>
        <w:rPr>
          <w:rFonts w:hint="eastAsia" w:ascii="宋体"/>
          <w:b/>
          <w:bCs/>
          <w:sz w:val="24"/>
          <w:szCs w:val="24"/>
        </w:rPr>
        <w:t>我方自愿按照磋商文件规定的各项要求向采购人提供所需服务，总报价为人民币</w:t>
      </w:r>
      <w:r>
        <w:rPr>
          <w:b/>
          <w:bCs/>
          <w:sz w:val="24"/>
          <w:szCs w:val="24"/>
        </w:rPr>
        <w:t>XX</w:t>
      </w:r>
      <w:r>
        <w:rPr>
          <w:rFonts w:hint="eastAsia" w:ascii="宋体"/>
          <w:b/>
          <w:bCs/>
          <w:sz w:val="24"/>
          <w:szCs w:val="24"/>
        </w:rPr>
        <w:t>万元（大写：</w:t>
      </w:r>
      <w:r>
        <w:rPr>
          <w:b/>
          <w:bCs/>
          <w:sz w:val="24"/>
          <w:szCs w:val="24"/>
        </w:rPr>
        <w:t>XXXX</w:t>
      </w:r>
      <w:r>
        <w:rPr>
          <w:rFonts w:hint="eastAsia" w:ascii="宋体"/>
          <w:b/>
          <w:bCs/>
          <w:sz w:val="24"/>
          <w:szCs w:val="24"/>
        </w:rPr>
        <w:t>）。</w:t>
      </w:r>
    </w:p>
    <w:p w14:paraId="256B5E8B">
      <w:pPr>
        <w:spacing w:line="360" w:lineRule="auto"/>
        <w:ind w:firstLine="480" w:firstLineChars="200"/>
        <w:jc w:val="left"/>
        <w:rPr>
          <w:sz w:val="24"/>
          <w:szCs w:val="24"/>
        </w:rPr>
      </w:pPr>
      <w:r>
        <w:rPr>
          <w:sz w:val="24"/>
          <w:szCs w:val="24"/>
        </w:rPr>
        <w:t>3.</w:t>
      </w:r>
      <w:r>
        <w:rPr>
          <w:rFonts w:hint="eastAsia" w:ascii="宋体"/>
          <w:sz w:val="24"/>
          <w:szCs w:val="24"/>
        </w:rPr>
        <w:t>一旦我方成交，我方将严格履行政府采购合同规定的责任和义务。</w:t>
      </w:r>
    </w:p>
    <w:p w14:paraId="579AD3BF">
      <w:pPr>
        <w:spacing w:line="360" w:lineRule="auto"/>
        <w:ind w:firstLine="480" w:firstLineChars="200"/>
        <w:jc w:val="left"/>
        <w:rPr>
          <w:sz w:val="24"/>
          <w:szCs w:val="24"/>
        </w:rPr>
      </w:pPr>
      <w:r>
        <w:rPr>
          <w:sz w:val="24"/>
          <w:szCs w:val="24"/>
        </w:rPr>
        <w:t>4.</w:t>
      </w:r>
      <w:r>
        <w:rPr>
          <w:rFonts w:hint="eastAsia" w:ascii="宋体"/>
          <w:sz w:val="24"/>
          <w:szCs w:val="24"/>
        </w:rPr>
        <w:t>我方同意本磋商文件依据《四川省政府采购当事人诚信管理办法》（川财采〔</w:t>
      </w:r>
      <w:r>
        <w:rPr>
          <w:sz w:val="24"/>
          <w:szCs w:val="24"/>
        </w:rPr>
        <w:t>2015</w:t>
      </w:r>
      <w:r>
        <w:rPr>
          <w:rFonts w:hint="eastAsia" w:ascii="宋体"/>
          <w:sz w:val="24"/>
          <w:szCs w:val="24"/>
        </w:rPr>
        <w:t>〕</w:t>
      </w:r>
      <w:r>
        <w:rPr>
          <w:sz w:val="24"/>
          <w:szCs w:val="24"/>
        </w:rPr>
        <w:t>33</w:t>
      </w:r>
      <w:r>
        <w:rPr>
          <w:rFonts w:hint="eastAsia" w:ascii="宋体"/>
          <w:sz w:val="24"/>
          <w:szCs w:val="24"/>
        </w:rPr>
        <w:t>号文件）对我方可能存在的失信行为进行惩戒。</w:t>
      </w:r>
    </w:p>
    <w:p w14:paraId="1794D654">
      <w:pPr>
        <w:spacing w:line="360" w:lineRule="auto"/>
        <w:ind w:firstLine="482" w:firstLineChars="200"/>
        <w:jc w:val="left"/>
        <w:rPr>
          <w:sz w:val="24"/>
          <w:szCs w:val="24"/>
        </w:rPr>
      </w:pPr>
      <w:r>
        <w:rPr>
          <w:b/>
          <w:bCs/>
          <w:sz w:val="24"/>
          <w:szCs w:val="24"/>
        </w:rPr>
        <w:t>5.</w:t>
      </w:r>
      <w:r>
        <w:rPr>
          <w:rFonts w:hint="eastAsia" w:ascii="宋体"/>
          <w:b/>
          <w:bCs/>
          <w:sz w:val="24"/>
          <w:szCs w:val="24"/>
        </w:rPr>
        <w:t>我方为本项目提交的响应文件正本</w:t>
      </w:r>
      <w:r>
        <w:rPr>
          <w:b/>
          <w:bCs/>
          <w:sz w:val="24"/>
          <w:szCs w:val="24"/>
        </w:rPr>
        <w:t>1</w:t>
      </w:r>
      <w:r>
        <w:rPr>
          <w:rFonts w:hint="eastAsia" w:ascii="宋体"/>
          <w:b/>
          <w:bCs/>
          <w:sz w:val="24"/>
          <w:szCs w:val="24"/>
        </w:rPr>
        <w:t>份，副本</w:t>
      </w:r>
      <w:r>
        <w:rPr>
          <w:b/>
          <w:bCs/>
          <w:sz w:val="24"/>
          <w:szCs w:val="24"/>
        </w:rPr>
        <w:t>2</w:t>
      </w:r>
      <w:r>
        <w:rPr>
          <w:rFonts w:hint="eastAsia" w:ascii="宋体"/>
          <w:b/>
          <w:bCs/>
          <w:sz w:val="24"/>
          <w:szCs w:val="24"/>
        </w:rPr>
        <w:t>份，电子文档一份，用于磋商报价</w:t>
      </w:r>
      <w:r>
        <w:rPr>
          <w:rFonts w:hint="eastAsia" w:ascii="宋体"/>
          <w:sz w:val="24"/>
          <w:szCs w:val="24"/>
        </w:rPr>
        <w:t>。</w:t>
      </w:r>
    </w:p>
    <w:p w14:paraId="1139925D">
      <w:pPr>
        <w:spacing w:line="360" w:lineRule="auto"/>
        <w:ind w:firstLine="480" w:firstLineChars="200"/>
        <w:jc w:val="left"/>
        <w:rPr>
          <w:sz w:val="24"/>
          <w:szCs w:val="24"/>
        </w:rPr>
      </w:pPr>
      <w:r>
        <w:rPr>
          <w:sz w:val="24"/>
          <w:szCs w:val="24"/>
        </w:rPr>
        <w:t>6.</w:t>
      </w:r>
      <w:r>
        <w:rPr>
          <w:rFonts w:hint="eastAsia" w:ascii="宋体"/>
          <w:sz w:val="24"/>
          <w:szCs w:val="24"/>
        </w:rPr>
        <w:t>我方愿意提供贵单位可能另外要求的，与磋商报价有关的文件资料，并保证我方已提供和将要提供的文件资料是真实、准确的。</w:t>
      </w:r>
    </w:p>
    <w:p w14:paraId="15469315">
      <w:pPr>
        <w:spacing w:line="360" w:lineRule="auto"/>
        <w:ind w:firstLine="480" w:firstLineChars="200"/>
        <w:jc w:val="left"/>
        <w:rPr>
          <w:sz w:val="24"/>
          <w:szCs w:val="24"/>
        </w:rPr>
      </w:pPr>
      <w:r>
        <w:rPr>
          <w:sz w:val="24"/>
          <w:szCs w:val="24"/>
        </w:rPr>
        <w:t>7.</w:t>
      </w:r>
      <w:r>
        <w:rPr>
          <w:rFonts w:hint="eastAsia" w:ascii="宋体"/>
          <w:b/>
          <w:bCs/>
          <w:sz w:val="24"/>
          <w:szCs w:val="24"/>
        </w:rPr>
        <w:t>本次磋商，我方递交的响应文件有效期为磋商文件规定起算之日起</w:t>
      </w:r>
      <w:r>
        <w:rPr>
          <w:b/>
          <w:bCs/>
          <w:sz w:val="24"/>
          <w:szCs w:val="24"/>
        </w:rPr>
        <w:t>90</w:t>
      </w:r>
      <w:r>
        <w:rPr>
          <w:rFonts w:hint="eastAsia" w:ascii="宋体"/>
          <w:b/>
          <w:bCs/>
          <w:sz w:val="24"/>
          <w:szCs w:val="24"/>
        </w:rPr>
        <w:t>天</w:t>
      </w:r>
      <w:r>
        <w:rPr>
          <w:rFonts w:hint="eastAsia" w:ascii="宋体"/>
          <w:sz w:val="24"/>
          <w:szCs w:val="24"/>
        </w:rPr>
        <w:t>。</w:t>
      </w:r>
    </w:p>
    <w:p w14:paraId="0797B070">
      <w:pPr>
        <w:adjustRightInd w:val="0"/>
        <w:snapToGrid/>
        <w:spacing w:line="400" w:lineRule="exact"/>
        <w:ind w:firstLine="480" w:firstLineChars="200"/>
        <w:jc w:val="left"/>
        <w:rPr>
          <w:sz w:val="24"/>
          <w:szCs w:val="24"/>
        </w:rPr>
      </w:pPr>
    </w:p>
    <w:p w14:paraId="4BC40FC9">
      <w:pPr>
        <w:adjustRightInd w:val="0"/>
        <w:snapToGrid/>
        <w:spacing w:line="400" w:lineRule="exact"/>
        <w:ind w:firstLine="480" w:firstLineChars="200"/>
        <w:jc w:val="left"/>
        <w:rPr>
          <w:sz w:val="24"/>
          <w:szCs w:val="24"/>
        </w:rPr>
      </w:pPr>
    </w:p>
    <w:p w14:paraId="72D2ED83">
      <w:pPr>
        <w:adjustRightInd w:val="0"/>
        <w:snapToGrid/>
        <w:spacing w:line="400" w:lineRule="exact"/>
        <w:ind w:firstLine="480" w:firstLineChars="200"/>
        <w:jc w:val="left"/>
        <w:rPr>
          <w:rFonts w:hint="eastAsia"/>
          <w:sz w:val="24"/>
          <w:szCs w:val="24"/>
        </w:rPr>
      </w:pPr>
      <w:r>
        <w:rPr>
          <w:rFonts w:hint="eastAsia" w:ascii="宋体"/>
          <w:sz w:val="24"/>
          <w:szCs w:val="24"/>
        </w:rPr>
        <w:t>供应商名称（盖章）：</w:t>
      </w:r>
    </w:p>
    <w:p w14:paraId="3AE54555">
      <w:pPr>
        <w:adjustRightInd w:val="0"/>
        <w:snapToGrid/>
        <w:spacing w:line="400" w:lineRule="exact"/>
        <w:ind w:firstLine="480" w:firstLineChars="200"/>
        <w:jc w:val="left"/>
        <w:rPr>
          <w:rFonts w:hint="eastAsia"/>
          <w:sz w:val="24"/>
          <w:szCs w:val="24"/>
        </w:rPr>
      </w:pPr>
      <w:r>
        <w:rPr>
          <w:rFonts w:hint="eastAsia" w:ascii="宋体"/>
          <w:sz w:val="24"/>
          <w:szCs w:val="24"/>
        </w:rPr>
        <w:t>法定代表人或授权代表（签字或盖章）：</w:t>
      </w:r>
    </w:p>
    <w:p w14:paraId="245C90A9">
      <w:pPr>
        <w:adjustRightInd w:val="0"/>
        <w:snapToGrid/>
        <w:spacing w:line="400" w:lineRule="exact"/>
        <w:ind w:firstLine="480" w:firstLineChars="200"/>
        <w:jc w:val="left"/>
        <w:rPr>
          <w:bCs/>
          <w:sz w:val="24"/>
          <w:szCs w:val="24"/>
        </w:rPr>
      </w:pPr>
      <w:r>
        <w:rPr>
          <w:rFonts w:hint="eastAsia" w:ascii="宋体"/>
          <w:sz w:val="24"/>
          <w:szCs w:val="24"/>
        </w:rPr>
        <w:t>日期：</w:t>
      </w:r>
      <w:r>
        <w:rPr>
          <w:rFonts w:hint="eastAsia"/>
          <w:sz w:val="24"/>
          <w:szCs w:val="24"/>
        </w:rPr>
        <w:t xml:space="preserve">      </w:t>
      </w:r>
      <w:r>
        <w:rPr>
          <w:rFonts w:hint="eastAsia" w:ascii="宋体"/>
          <w:sz w:val="24"/>
          <w:szCs w:val="24"/>
        </w:rPr>
        <w:t>年</w:t>
      </w:r>
      <w:r>
        <w:rPr>
          <w:rFonts w:hint="eastAsia"/>
          <w:sz w:val="24"/>
          <w:szCs w:val="24"/>
        </w:rPr>
        <w:t xml:space="preserve">    </w:t>
      </w:r>
      <w:r>
        <w:rPr>
          <w:rFonts w:hint="eastAsia" w:ascii="宋体"/>
          <w:sz w:val="24"/>
          <w:szCs w:val="24"/>
        </w:rPr>
        <w:t>月</w:t>
      </w:r>
      <w:r>
        <w:rPr>
          <w:rFonts w:hint="eastAsia"/>
          <w:sz w:val="24"/>
          <w:szCs w:val="24"/>
        </w:rPr>
        <w:t xml:space="preserve">    </w:t>
      </w:r>
      <w:r>
        <w:rPr>
          <w:rFonts w:hint="eastAsia" w:ascii="宋体"/>
          <w:sz w:val="24"/>
          <w:szCs w:val="24"/>
        </w:rPr>
        <w:t>日</w:t>
      </w:r>
      <w:r>
        <w:rPr>
          <w:rFonts w:hint="eastAsia"/>
          <w:sz w:val="24"/>
          <w:szCs w:val="24"/>
        </w:rPr>
        <w:t xml:space="preserve">                </w:t>
      </w:r>
      <w:r>
        <w:rPr>
          <w:rFonts w:hint="eastAsia"/>
          <w:sz w:val="24"/>
          <w:szCs w:val="24"/>
        </w:rPr>
        <w:br w:type="page"/>
      </w:r>
    </w:p>
    <w:p w14:paraId="3F7BED70"/>
    <w:p w14:paraId="4062F339">
      <w:pPr>
        <w:pStyle w:val="13"/>
        <w:jc w:val="center"/>
        <w:outlineLvl w:val="2"/>
        <w:rPr>
          <w:b/>
          <w:sz w:val="32"/>
          <w:szCs w:val="32"/>
        </w:rPr>
      </w:pPr>
      <w:r>
        <w:rPr>
          <w:rFonts w:hint="eastAsia" w:ascii="宋体"/>
          <w:b/>
          <w:sz w:val="32"/>
          <w:szCs w:val="32"/>
        </w:rPr>
        <w:t>二、报价单</w:t>
      </w:r>
    </w:p>
    <w:p w14:paraId="41CE2E2E"/>
    <w:p w14:paraId="5AB55907">
      <w:pPr>
        <w:pStyle w:val="6"/>
      </w:pPr>
    </w:p>
    <w:tbl>
      <w:tblPr>
        <w:tblStyle w:val="23"/>
        <w:tblW w:w="5000" w:type="pct"/>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autofit"/>
        <w:tblCellMar>
          <w:top w:w="0" w:type="dxa"/>
          <w:left w:w="108" w:type="dxa"/>
          <w:bottom w:w="0" w:type="dxa"/>
          <w:right w:w="108" w:type="dxa"/>
        </w:tblCellMar>
      </w:tblPr>
      <w:tblGrid>
        <w:gridCol w:w="765"/>
        <w:gridCol w:w="566"/>
        <w:gridCol w:w="3623"/>
        <w:gridCol w:w="1515"/>
        <w:gridCol w:w="1103"/>
        <w:gridCol w:w="951"/>
      </w:tblGrid>
      <w:tr w14:paraId="075018F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68" w:hRule="atLeast"/>
        </w:trPr>
        <w:tc>
          <w:tcPr>
            <w:tcW w:w="765" w:type="dxa"/>
            <w:tcBorders>
              <w:top w:val="single" w:color="auto" w:sz="4" w:space="0"/>
              <w:left w:val="single" w:color="auto" w:sz="4" w:space="0"/>
              <w:bottom w:val="single" w:color="auto" w:sz="4" w:space="0"/>
              <w:right w:val="single" w:color="auto" w:sz="4" w:space="0"/>
            </w:tcBorders>
            <w:vAlign w:val="center"/>
          </w:tcPr>
          <w:p w14:paraId="67726CF0">
            <w:pPr>
              <w:keepNext w:val="0"/>
              <w:keepLines w:val="0"/>
              <w:pageBreakBefore w:val="0"/>
              <w:widowControl/>
              <w:suppressLineNumbers w:val="0"/>
              <w:suppressAutoHyphens w:val="0"/>
              <w:spacing w:line="360" w:lineRule="auto"/>
              <w:jc w:val="center"/>
              <w:rPr>
                <w:rFonts w:cs="宋体"/>
                <w:bCs/>
                <w:kern w:val="0"/>
                <w:sz w:val="24"/>
                <w:szCs w:val="24"/>
              </w:rPr>
            </w:pPr>
            <w:r>
              <w:rPr>
                <w:rFonts w:hint="eastAsia" w:ascii="宋体"/>
                <w:bCs/>
                <w:kern w:val="0"/>
                <w:sz w:val="24"/>
                <w:szCs w:val="24"/>
              </w:rPr>
              <w:t>序号</w:t>
            </w:r>
          </w:p>
        </w:tc>
        <w:tc>
          <w:tcPr>
            <w:tcW w:w="4189" w:type="dxa"/>
            <w:gridSpan w:val="2"/>
            <w:tcBorders>
              <w:top w:val="single" w:color="auto" w:sz="4" w:space="0"/>
              <w:left w:val="single" w:color="auto" w:sz="4" w:space="0"/>
              <w:bottom w:val="single" w:color="auto" w:sz="4" w:space="0"/>
              <w:right w:val="single" w:color="auto" w:sz="4" w:space="0"/>
            </w:tcBorders>
            <w:vAlign w:val="center"/>
          </w:tcPr>
          <w:p w14:paraId="540519AD">
            <w:pPr>
              <w:keepNext w:val="0"/>
              <w:keepLines w:val="0"/>
              <w:pageBreakBefore w:val="0"/>
              <w:widowControl/>
              <w:suppressLineNumbers w:val="0"/>
              <w:suppressAutoHyphens w:val="0"/>
              <w:spacing w:line="360" w:lineRule="auto"/>
              <w:jc w:val="center"/>
              <w:rPr>
                <w:rFonts w:cs="宋体"/>
                <w:bCs/>
                <w:kern w:val="0"/>
                <w:sz w:val="24"/>
                <w:szCs w:val="24"/>
              </w:rPr>
            </w:pPr>
            <w:r>
              <w:rPr>
                <w:rFonts w:hint="eastAsia" w:ascii="宋体"/>
                <w:bCs/>
                <w:kern w:val="0"/>
                <w:sz w:val="24"/>
                <w:szCs w:val="24"/>
              </w:rPr>
              <w:t>服务内容</w:t>
            </w:r>
            <w:r>
              <w:rPr>
                <w:bCs/>
                <w:kern w:val="0"/>
                <w:sz w:val="24"/>
                <w:szCs w:val="24"/>
              </w:rPr>
              <w:t>/</w:t>
            </w:r>
            <w:r>
              <w:rPr>
                <w:rFonts w:hint="eastAsia" w:ascii="宋体"/>
                <w:bCs/>
                <w:kern w:val="0"/>
                <w:sz w:val="24"/>
                <w:szCs w:val="24"/>
              </w:rPr>
              <w:t>产品名称</w:t>
            </w:r>
            <w:r>
              <w:rPr>
                <w:bCs/>
                <w:kern w:val="0"/>
                <w:sz w:val="24"/>
                <w:szCs w:val="24"/>
              </w:rPr>
              <w:t>(</w:t>
            </w:r>
            <w:r>
              <w:rPr>
                <w:rFonts w:hint="eastAsia" w:ascii="宋体"/>
                <w:bCs/>
                <w:kern w:val="0"/>
                <w:sz w:val="24"/>
                <w:szCs w:val="24"/>
              </w:rPr>
              <w:t>如涉及</w:t>
            </w:r>
            <w:r>
              <w:rPr>
                <w:bCs/>
                <w:kern w:val="0"/>
                <w:sz w:val="24"/>
                <w:szCs w:val="24"/>
              </w:rPr>
              <w:t>)</w:t>
            </w:r>
          </w:p>
        </w:tc>
        <w:tc>
          <w:tcPr>
            <w:tcW w:w="1515" w:type="dxa"/>
            <w:tcBorders>
              <w:top w:val="single" w:color="auto" w:sz="4" w:space="0"/>
              <w:left w:val="single" w:color="auto" w:sz="4" w:space="0"/>
              <w:bottom w:val="single" w:color="auto" w:sz="4" w:space="0"/>
              <w:right w:val="single" w:color="auto" w:sz="4" w:space="0"/>
            </w:tcBorders>
            <w:vAlign w:val="center"/>
          </w:tcPr>
          <w:p w14:paraId="2E27081B">
            <w:pPr>
              <w:keepNext w:val="0"/>
              <w:keepLines w:val="0"/>
              <w:pageBreakBefore w:val="0"/>
              <w:widowControl/>
              <w:suppressLineNumbers w:val="0"/>
              <w:suppressAutoHyphens w:val="0"/>
              <w:spacing w:line="360" w:lineRule="auto"/>
              <w:jc w:val="center"/>
              <w:rPr>
                <w:rFonts w:cs="宋体"/>
                <w:bCs/>
                <w:kern w:val="0"/>
                <w:sz w:val="24"/>
                <w:szCs w:val="24"/>
              </w:rPr>
            </w:pPr>
            <w:r>
              <w:rPr>
                <w:rFonts w:hint="eastAsia" w:ascii="宋体"/>
                <w:bCs/>
                <w:kern w:val="0"/>
                <w:sz w:val="24"/>
                <w:szCs w:val="24"/>
              </w:rPr>
              <w:t>报价</w:t>
            </w:r>
          </w:p>
        </w:tc>
        <w:tc>
          <w:tcPr>
            <w:tcW w:w="1103" w:type="dxa"/>
            <w:tcBorders>
              <w:top w:val="single" w:color="auto" w:sz="4" w:space="0"/>
              <w:left w:val="single" w:color="auto" w:sz="4" w:space="0"/>
              <w:bottom w:val="single" w:color="auto" w:sz="4" w:space="0"/>
              <w:right w:val="single" w:color="auto" w:sz="4" w:space="0"/>
            </w:tcBorders>
            <w:vAlign w:val="center"/>
          </w:tcPr>
          <w:p w14:paraId="59FFA3DD">
            <w:pPr>
              <w:keepNext w:val="0"/>
              <w:keepLines w:val="0"/>
              <w:pageBreakBefore w:val="0"/>
              <w:widowControl/>
              <w:suppressLineNumbers w:val="0"/>
              <w:suppressAutoHyphens w:val="0"/>
              <w:spacing w:line="360" w:lineRule="auto"/>
              <w:jc w:val="center"/>
              <w:rPr>
                <w:rFonts w:cs="宋体"/>
                <w:bCs/>
                <w:kern w:val="0"/>
                <w:sz w:val="24"/>
                <w:szCs w:val="24"/>
              </w:rPr>
            </w:pPr>
            <w:r>
              <w:rPr>
                <w:rFonts w:hint="eastAsia" w:ascii="宋体"/>
                <w:bCs/>
                <w:kern w:val="0"/>
                <w:sz w:val="24"/>
                <w:szCs w:val="24"/>
              </w:rPr>
              <w:t>单位</w:t>
            </w:r>
          </w:p>
        </w:tc>
        <w:tc>
          <w:tcPr>
            <w:tcW w:w="951" w:type="dxa"/>
            <w:tcBorders>
              <w:top w:val="single" w:color="auto" w:sz="4" w:space="0"/>
              <w:left w:val="single" w:color="auto" w:sz="4" w:space="0"/>
              <w:bottom w:val="single" w:color="auto" w:sz="4" w:space="0"/>
              <w:right w:val="single" w:color="auto" w:sz="4" w:space="0"/>
            </w:tcBorders>
            <w:vAlign w:val="center"/>
          </w:tcPr>
          <w:p w14:paraId="4BB50F03">
            <w:pPr>
              <w:keepNext w:val="0"/>
              <w:keepLines w:val="0"/>
              <w:pageBreakBefore w:val="0"/>
              <w:widowControl/>
              <w:suppressLineNumbers w:val="0"/>
              <w:suppressAutoHyphens w:val="0"/>
              <w:spacing w:line="360" w:lineRule="auto"/>
              <w:jc w:val="center"/>
              <w:rPr>
                <w:rFonts w:cs="宋体"/>
                <w:bCs/>
                <w:kern w:val="0"/>
                <w:sz w:val="24"/>
                <w:szCs w:val="24"/>
              </w:rPr>
            </w:pPr>
            <w:r>
              <w:rPr>
                <w:rFonts w:hint="eastAsia" w:ascii="宋体"/>
                <w:bCs/>
                <w:kern w:val="0"/>
                <w:sz w:val="24"/>
                <w:szCs w:val="24"/>
              </w:rPr>
              <w:t>备注</w:t>
            </w:r>
          </w:p>
        </w:tc>
      </w:tr>
      <w:tr w14:paraId="5EE4036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14" w:hRule="atLeast"/>
        </w:trPr>
        <w:tc>
          <w:tcPr>
            <w:tcW w:w="765" w:type="dxa"/>
            <w:tcBorders>
              <w:top w:val="single" w:color="auto" w:sz="4" w:space="0"/>
              <w:left w:val="single" w:color="auto" w:sz="4" w:space="0"/>
              <w:bottom w:val="single" w:color="auto" w:sz="4" w:space="0"/>
              <w:right w:val="single" w:color="auto" w:sz="4" w:space="0"/>
            </w:tcBorders>
            <w:vAlign w:val="center"/>
          </w:tcPr>
          <w:p w14:paraId="68FD110D">
            <w:pPr>
              <w:keepNext w:val="0"/>
              <w:keepLines w:val="0"/>
              <w:pageBreakBefore w:val="0"/>
              <w:widowControl/>
              <w:suppressLineNumbers w:val="0"/>
              <w:suppressAutoHyphens w:val="0"/>
              <w:spacing w:line="360" w:lineRule="auto"/>
              <w:jc w:val="center"/>
              <w:rPr>
                <w:rFonts w:cs="宋体"/>
                <w:bCs/>
                <w:kern w:val="0"/>
                <w:sz w:val="24"/>
                <w:szCs w:val="24"/>
              </w:rPr>
            </w:pPr>
            <w:r>
              <w:rPr>
                <w:rFonts w:cs="宋体"/>
                <w:bCs/>
                <w:kern w:val="0"/>
                <w:sz w:val="24"/>
                <w:szCs w:val="24"/>
              </w:rPr>
              <w:t>1</w:t>
            </w:r>
          </w:p>
        </w:tc>
        <w:tc>
          <w:tcPr>
            <w:tcW w:w="4189" w:type="dxa"/>
            <w:gridSpan w:val="2"/>
            <w:tcBorders>
              <w:top w:val="single" w:color="auto" w:sz="4" w:space="0"/>
              <w:left w:val="single" w:color="auto" w:sz="4" w:space="0"/>
              <w:bottom w:val="single" w:color="auto" w:sz="4" w:space="0"/>
              <w:right w:val="single" w:color="auto" w:sz="4" w:space="0"/>
            </w:tcBorders>
            <w:vAlign w:val="center"/>
          </w:tcPr>
          <w:p w14:paraId="00FD69CC">
            <w:pPr>
              <w:keepNext w:val="0"/>
              <w:keepLines w:val="0"/>
              <w:pageBreakBefore w:val="0"/>
              <w:widowControl/>
              <w:suppressLineNumbers w:val="0"/>
              <w:suppressAutoHyphens w:val="0"/>
              <w:spacing w:line="360" w:lineRule="auto"/>
              <w:jc w:val="center"/>
              <w:rPr>
                <w:rFonts w:cs="宋体"/>
                <w:bCs/>
                <w:kern w:val="0"/>
                <w:sz w:val="24"/>
                <w:szCs w:val="24"/>
              </w:rPr>
            </w:pPr>
            <w:r>
              <w:rPr>
                <w:rFonts w:hint="eastAsia" w:ascii="宋体"/>
                <w:bCs/>
                <w:kern w:val="0"/>
                <w:sz w:val="24"/>
                <w:szCs w:val="24"/>
              </w:rPr>
              <w:t>阿坝州“十五五”基础测绘规划编制项目</w:t>
            </w:r>
          </w:p>
        </w:tc>
        <w:tc>
          <w:tcPr>
            <w:tcW w:w="1515" w:type="dxa"/>
            <w:tcBorders>
              <w:top w:val="single" w:color="auto" w:sz="4" w:space="0"/>
              <w:left w:val="single" w:color="auto" w:sz="4" w:space="0"/>
              <w:bottom w:val="single" w:color="auto" w:sz="4" w:space="0"/>
              <w:right w:val="single" w:color="auto" w:sz="4" w:space="0"/>
            </w:tcBorders>
            <w:vAlign w:val="center"/>
          </w:tcPr>
          <w:p w14:paraId="272C54C9">
            <w:pPr>
              <w:keepNext w:val="0"/>
              <w:keepLines w:val="0"/>
              <w:pageBreakBefore w:val="0"/>
              <w:widowControl/>
              <w:suppressLineNumbers w:val="0"/>
              <w:suppressAutoHyphens w:val="0"/>
              <w:spacing w:line="360" w:lineRule="auto"/>
              <w:jc w:val="center"/>
              <w:rPr>
                <w:rFonts w:cs="宋体"/>
                <w:bCs/>
                <w:kern w:val="0"/>
                <w:sz w:val="24"/>
                <w:szCs w:val="24"/>
              </w:rPr>
            </w:pPr>
          </w:p>
        </w:tc>
        <w:tc>
          <w:tcPr>
            <w:tcW w:w="1103" w:type="dxa"/>
            <w:tcBorders>
              <w:top w:val="single" w:color="auto" w:sz="4" w:space="0"/>
              <w:left w:val="single" w:color="auto" w:sz="4" w:space="0"/>
              <w:bottom w:val="single" w:color="auto" w:sz="4" w:space="0"/>
              <w:right w:val="single" w:color="auto" w:sz="4" w:space="0"/>
            </w:tcBorders>
            <w:vAlign w:val="center"/>
          </w:tcPr>
          <w:p w14:paraId="5CB6F31B">
            <w:pPr>
              <w:keepNext w:val="0"/>
              <w:keepLines w:val="0"/>
              <w:pageBreakBefore w:val="0"/>
              <w:widowControl/>
              <w:suppressLineNumbers w:val="0"/>
              <w:suppressAutoHyphens w:val="0"/>
              <w:spacing w:line="360" w:lineRule="auto"/>
              <w:jc w:val="center"/>
              <w:rPr>
                <w:rFonts w:cs="宋体"/>
                <w:bCs/>
                <w:kern w:val="0"/>
                <w:sz w:val="24"/>
                <w:szCs w:val="24"/>
              </w:rPr>
            </w:pPr>
            <w:r>
              <w:rPr>
                <w:rFonts w:hint="eastAsia" w:ascii="宋体"/>
                <w:bCs/>
                <w:kern w:val="0"/>
                <w:sz w:val="24"/>
                <w:szCs w:val="24"/>
              </w:rPr>
              <w:t>元</w:t>
            </w:r>
          </w:p>
        </w:tc>
        <w:tc>
          <w:tcPr>
            <w:tcW w:w="951" w:type="dxa"/>
            <w:tcBorders>
              <w:top w:val="single" w:color="auto" w:sz="4" w:space="0"/>
              <w:left w:val="single" w:color="auto" w:sz="4" w:space="0"/>
              <w:bottom w:val="single" w:color="auto" w:sz="4" w:space="0"/>
              <w:right w:val="single" w:color="auto" w:sz="4" w:space="0"/>
            </w:tcBorders>
            <w:vAlign w:val="center"/>
          </w:tcPr>
          <w:p w14:paraId="644A9876">
            <w:pPr>
              <w:keepNext w:val="0"/>
              <w:keepLines w:val="0"/>
              <w:pageBreakBefore w:val="0"/>
              <w:widowControl/>
              <w:suppressLineNumbers w:val="0"/>
              <w:suppressAutoHyphens w:val="0"/>
              <w:spacing w:line="360" w:lineRule="auto"/>
              <w:jc w:val="center"/>
              <w:rPr>
                <w:rFonts w:cs="宋体"/>
                <w:bCs/>
                <w:kern w:val="0"/>
                <w:sz w:val="24"/>
                <w:szCs w:val="24"/>
              </w:rPr>
            </w:pPr>
          </w:p>
        </w:tc>
      </w:tr>
      <w:tr w14:paraId="2B4C6F1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14" w:hRule="atLeast"/>
        </w:trPr>
        <w:tc>
          <w:tcPr>
            <w:tcW w:w="765" w:type="dxa"/>
            <w:tcBorders>
              <w:top w:val="single" w:color="auto" w:sz="4" w:space="0"/>
              <w:left w:val="single" w:color="auto" w:sz="4" w:space="0"/>
              <w:bottom w:val="single" w:color="auto" w:sz="4" w:space="0"/>
              <w:right w:val="single" w:color="auto" w:sz="4" w:space="0"/>
            </w:tcBorders>
            <w:vAlign w:val="center"/>
          </w:tcPr>
          <w:p w14:paraId="04B4D610">
            <w:pPr>
              <w:keepNext w:val="0"/>
              <w:keepLines w:val="0"/>
              <w:pageBreakBefore w:val="0"/>
              <w:widowControl/>
              <w:suppressLineNumbers w:val="0"/>
              <w:suppressAutoHyphens w:val="0"/>
              <w:spacing w:line="360" w:lineRule="auto"/>
              <w:jc w:val="center"/>
              <w:rPr>
                <w:rFonts w:cs="宋体"/>
                <w:bCs/>
                <w:kern w:val="0"/>
                <w:sz w:val="24"/>
                <w:szCs w:val="24"/>
              </w:rPr>
            </w:pPr>
          </w:p>
        </w:tc>
        <w:tc>
          <w:tcPr>
            <w:tcW w:w="4189" w:type="dxa"/>
            <w:gridSpan w:val="2"/>
            <w:tcBorders>
              <w:top w:val="single" w:color="auto" w:sz="4" w:space="0"/>
              <w:left w:val="single" w:color="auto" w:sz="4" w:space="0"/>
              <w:bottom w:val="single" w:color="auto" w:sz="4" w:space="0"/>
              <w:right w:val="single" w:color="auto" w:sz="4" w:space="0"/>
            </w:tcBorders>
            <w:vAlign w:val="center"/>
          </w:tcPr>
          <w:p w14:paraId="527CF47F">
            <w:pPr>
              <w:keepNext w:val="0"/>
              <w:keepLines w:val="0"/>
              <w:pageBreakBefore w:val="0"/>
              <w:widowControl/>
              <w:suppressLineNumbers w:val="0"/>
              <w:suppressAutoHyphens w:val="0"/>
              <w:spacing w:line="360" w:lineRule="auto"/>
              <w:jc w:val="center"/>
              <w:rPr>
                <w:rFonts w:cs="宋体"/>
                <w:bCs/>
                <w:kern w:val="0"/>
                <w:sz w:val="24"/>
                <w:szCs w:val="24"/>
              </w:rPr>
            </w:pPr>
          </w:p>
        </w:tc>
        <w:tc>
          <w:tcPr>
            <w:tcW w:w="1515" w:type="dxa"/>
            <w:tcBorders>
              <w:top w:val="single" w:color="auto" w:sz="4" w:space="0"/>
              <w:left w:val="single" w:color="auto" w:sz="4" w:space="0"/>
              <w:bottom w:val="single" w:color="auto" w:sz="4" w:space="0"/>
              <w:right w:val="single" w:color="auto" w:sz="4" w:space="0"/>
            </w:tcBorders>
            <w:vAlign w:val="center"/>
          </w:tcPr>
          <w:p w14:paraId="18E39913">
            <w:pPr>
              <w:keepNext w:val="0"/>
              <w:keepLines w:val="0"/>
              <w:pageBreakBefore w:val="0"/>
              <w:widowControl/>
              <w:suppressLineNumbers w:val="0"/>
              <w:suppressAutoHyphens w:val="0"/>
              <w:spacing w:line="360" w:lineRule="auto"/>
              <w:jc w:val="center"/>
              <w:rPr>
                <w:rFonts w:cs="宋体"/>
                <w:bCs/>
                <w:kern w:val="0"/>
                <w:sz w:val="24"/>
                <w:szCs w:val="24"/>
              </w:rPr>
            </w:pPr>
          </w:p>
        </w:tc>
        <w:tc>
          <w:tcPr>
            <w:tcW w:w="1103" w:type="dxa"/>
            <w:tcBorders>
              <w:top w:val="single" w:color="auto" w:sz="4" w:space="0"/>
              <w:left w:val="single" w:color="auto" w:sz="4" w:space="0"/>
              <w:bottom w:val="single" w:color="auto" w:sz="4" w:space="0"/>
              <w:right w:val="single" w:color="auto" w:sz="4" w:space="0"/>
            </w:tcBorders>
            <w:vAlign w:val="center"/>
          </w:tcPr>
          <w:p w14:paraId="3E82E119">
            <w:pPr>
              <w:keepNext w:val="0"/>
              <w:keepLines w:val="0"/>
              <w:pageBreakBefore w:val="0"/>
              <w:widowControl/>
              <w:suppressLineNumbers w:val="0"/>
              <w:suppressAutoHyphens w:val="0"/>
              <w:spacing w:line="360" w:lineRule="auto"/>
              <w:jc w:val="center"/>
              <w:rPr>
                <w:rFonts w:cs="宋体"/>
                <w:bCs/>
                <w:kern w:val="0"/>
                <w:sz w:val="24"/>
                <w:szCs w:val="24"/>
              </w:rPr>
            </w:pPr>
          </w:p>
        </w:tc>
        <w:tc>
          <w:tcPr>
            <w:tcW w:w="951" w:type="dxa"/>
            <w:tcBorders>
              <w:top w:val="single" w:color="auto" w:sz="4" w:space="0"/>
              <w:left w:val="single" w:color="auto" w:sz="4" w:space="0"/>
              <w:bottom w:val="single" w:color="auto" w:sz="4" w:space="0"/>
              <w:right w:val="single" w:color="auto" w:sz="4" w:space="0"/>
            </w:tcBorders>
            <w:vAlign w:val="center"/>
          </w:tcPr>
          <w:p w14:paraId="0963348B">
            <w:pPr>
              <w:keepNext w:val="0"/>
              <w:keepLines w:val="0"/>
              <w:pageBreakBefore w:val="0"/>
              <w:widowControl/>
              <w:suppressLineNumbers w:val="0"/>
              <w:suppressAutoHyphens w:val="0"/>
              <w:spacing w:line="360" w:lineRule="auto"/>
              <w:jc w:val="center"/>
              <w:rPr>
                <w:rFonts w:cs="宋体"/>
                <w:bCs/>
                <w:kern w:val="0"/>
                <w:sz w:val="24"/>
                <w:szCs w:val="24"/>
              </w:rPr>
            </w:pPr>
          </w:p>
        </w:tc>
      </w:tr>
      <w:tr w14:paraId="4EC4B6C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306" w:hRule="atLeast"/>
        </w:trPr>
        <w:tc>
          <w:tcPr>
            <w:tcW w:w="1331" w:type="dxa"/>
            <w:gridSpan w:val="2"/>
            <w:tcBorders>
              <w:top w:val="single" w:color="auto" w:sz="4" w:space="0"/>
              <w:left w:val="single" w:color="auto" w:sz="4" w:space="0"/>
              <w:bottom w:val="single" w:color="auto" w:sz="4" w:space="0"/>
              <w:right w:val="single" w:color="auto" w:sz="4" w:space="0"/>
            </w:tcBorders>
            <w:vAlign w:val="center"/>
          </w:tcPr>
          <w:p w14:paraId="599AE19A">
            <w:pPr>
              <w:keepNext w:val="0"/>
              <w:keepLines w:val="0"/>
              <w:pageBreakBefore w:val="0"/>
              <w:widowControl/>
              <w:suppressLineNumbers w:val="0"/>
              <w:suppressAutoHyphens w:val="0"/>
              <w:spacing w:line="360" w:lineRule="auto"/>
              <w:jc w:val="center"/>
              <w:rPr>
                <w:rFonts w:cs="宋体"/>
                <w:b/>
                <w:kern w:val="0"/>
                <w:sz w:val="24"/>
                <w:szCs w:val="24"/>
              </w:rPr>
            </w:pPr>
            <w:r>
              <w:rPr>
                <w:rFonts w:hint="eastAsia" w:ascii="宋体"/>
                <w:b/>
                <w:sz w:val="24"/>
                <w:szCs w:val="24"/>
              </w:rPr>
              <w:t>服务报价</w:t>
            </w:r>
          </w:p>
        </w:tc>
        <w:tc>
          <w:tcPr>
            <w:tcW w:w="7192" w:type="dxa"/>
            <w:gridSpan w:val="4"/>
            <w:tcBorders>
              <w:top w:val="single" w:color="auto" w:sz="4" w:space="0"/>
              <w:left w:val="single" w:color="auto" w:sz="4" w:space="0"/>
              <w:bottom w:val="single" w:color="auto" w:sz="4" w:space="0"/>
              <w:right w:val="single" w:color="auto" w:sz="4" w:space="0"/>
            </w:tcBorders>
            <w:vAlign w:val="center"/>
          </w:tcPr>
          <w:p w14:paraId="16F73778">
            <w:pPr>
              <w:keepNext w:val="0"/>
              <w:keepLines w:val="0"/>
              <w:pageBreakBefore w:val="0"/>
              <w:widowControl/>
              <w:suppressLineNumbers w:val="0"/>
              <w:suppressAutoHyphens w:val="0"/>
              <w:spacing w:line="360" w:lineRule="auto"/>
              <w:rPr>
                <w:b/>
                <w:sz w:val="24"/>
                <w:szCs w:val="24"/>
              </w:rPr>
            </w:pPr>
            <w:r>
              <w:rPr>
                <w:rFonts w:hint="eastAsia" w:ascii="宋体"/>
                <w:b/>
                <w:sz w:val="24"/>
                <w:szCs w:val="24"/>
              </w:rPr>
              <w:t>小写：</w:t>
            </w:r>
            <w:r>
              <w:rPr>
                <w:b/>
                <w:sz w:val="24"/>
                <w:szCs w:val="24"/>
              </w:rPr>
              <w:t>________</w:t>
            </w:r>
            <w:r>
              <w:rPr>
                <w:rFonts w:hint="eastAsia" w:ascii="宋体"/>
                <w:b/>
                <w:sz w:val="24"/>
                <w:szCs w:val="24"/>
              </w:rPr>
              <w:t>元</w:t>
            </w:r>
          </w:p>
          <w:p w14:paraId="13B35C68">
            <w:pPr>
              <w:keepNext w:val="0"/>
              <w:keepLines w:val="0"/>
              <w:pageBreakBefore w:val="0"/>
              <w:widowControl/>
              <w:suppressLineNumbers w:val="0"/>
              <w:suppressAutoHyphens w:val="0"/>
              <w:spacing w:line="360" w:lineRule="auto"/>
              <w:rPr>
                <w:rFonts w:cs="宋体"/>
                <w:kern w:val="0"/>
                <w:sz w:val="24"/>
                <w:szCs w:val="24"/>
              </w:rPr>
            </w:pPr>
            <w:r>
              <w:rPr>
                <w:rFonts w:hint="eastAsia" w:ascii="宋体"/>
                <w:b/>
                <w:sz w:val="24"/>
                <w:szCs w:val="24"/>
              </w:rPr>
              <w:t>大写：</w:t>
            </w:r>
            <w:r>
              <w:rPr>
                <w:b/>
                <w:sz w:val="24"/>
                <w:szCs w:val="24"/>
              </w:rPr>
              <w:t>________</w:t>
            </w:r>
            <w:r>
              <w:rPr>
                <w:rFonts w:hint="eastAsia" w:ascii="宋体"/>
                <w:b/>
                <w:sz w:val="24"/>
                <w:szCs w:val="24"/>
              </w:rPr>
              <w:t>元</w:t>
            </w:r>
          </w:p>
        </w:tc>
      </w:tr>
    </w:tbl>
    <w:p w14:paraId="32BB4E60">
      <w:pPr>
        <w:pStyle w:val="13"/>
        <w:jc w:val="center"/>
        <w:rPr>
          <w:b/>
          <w:sz w:val="32"/>
          <w:szCs w:val="32"/>
        </w:rPr>
      </w:pPr>
    </w:p>
    <w:p w14:paraId="2937DAED">
      <w:pPr>
        <w:pStyle w:val="13"/>
        <w:jc w:val="center"/>
        <w:rPr>
          <w:b/>
          <w:sz w:val="32"/>
          <w:szCs w:val="32"/>
        </w:rPr>
      </w:pPr>
    </w:p>
    <w:p w14:paraId="6AD02D1D">
      <w:pPr>
        <w:pStyle w:val="13"/>
        <w:jc w:val="center"/>
        <w:rPr>
          <w:b/>
          <w:sz w:val="32"/>
          <w:szCs w:val="32"/>
        </w:rPr>
      </w:pPr>
    </w:p>
    <w:p w14:paraId="72C89462">
      <w:pPr>
        <w:pStyle w:val="13"/>
        <w:jc w:val="center"/>
        <w:rPr>
          <w:b/>
          <w:sz w:val="32"/>
          <w:szCs w:val="32"/>
        </w:rPr>
      </w:pPr>
    </w:p>
    <w:p w14:paraId="1EBFFDA1">
      <w:pPr>
        <w:pStyle w:val="13"/>
        <w:jc w:val="center"/>
        <w:rPr>
          <w:b/>
          <w:sz w:val="32"/>
          <w:szCs w:val="32"/>
        </w:rPr>
      </w:pPr>
    </w:p>
    <w:p w14:paraId="44898A13">
      <w:pPr>
        <w:pStyle w:val="13"/>
        <w:jc w:val="center"/>
        <w:rPr>
          <w:b/>
          <w:sz w:val="32"/>
          <w:szCs w:val="32"/>
        </w:rPr>
      </w:pPr>
    </w:p>
    <w:p w14:paraId="1DF7772F">
      <w:pPr>
        <w:pStyle w:val="13"/>
        <w:jc w:val="center"/>
        <w:rPr>
          <w:b/>
          <w:sz w:val="32"/>
          <w:szCs w:val="32"/>
        </w:rPr>
      </w:pPr>
    </w:p>
    <w:p w14:paraId="57F0CE18">
      <w:pPr>
        <w:pStyle w:val="13"/>
        <w:jc w:val="center"/>
        <w:rPr>
          <w:b/>
          <w:sz w:val="32"/>
          <w:szCs w:val="32"/>
        </w:rPr>
      </w:pPr>
    </w:p>
    <w:p w14:paraId="386FD767">
      <w:pPr>
        <w:pStyle w:val="13"/>
        <w:ind w:left="0" w:leftChars="0"/>
        <w:rPr>
          <w:b/>
          <w:sz w:val="32"/>
          <w:szCs w:val="32"/>
        </w:rPr>
      </w:pPr>
    </w:p>
    <w:p w14:paraId="6EF5A006">
      <w:pPr>
        <w:pStyle w:val="13"/>
        <w:jc w:val="center"/>
        <w:outlineLvl w:val="2"/>
        <w:rPr>
          <w:b/>
          <w:sz w:val="32"/>
          <w:szCs w:val="32"/>
        </w:rPr>
      </w:pPr>
      <w:r>
        <w:rPr>
          <w:rFonts w:hint="eastAsia" w:ascii="宋体"/>
          <w:b/>
          <w:sz w:val="32"/>
          <w:szCs w:val="32"/>
        </w:rPr>
        <w:t>三、商务、技术偏离表</w:t>
      </w:r>
    </w:p>
    <w:tbl>
      <w:tblPr>
        <w:tblStyle w:val="23"/>
        <w:tblW w:w="5000" w:type="pct"/>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autofit"/>
        <w:tblCellMar>
          <w:top w:w="0" w:type="dxa"/>
          <w:left w:w="108" w:type="dxa"/>
          <w:bottom w:w="0" w:type="dxa"/>
          <w:right w:w="108" w:type="dxa"/>
        </w:tblCellMar>
      </w:tblPr>
      <w:tblGrid>
        <w:gridCol w:w="982"/>
        <w:gridCol w:w="2542"/>
        <w:gridCol w:w="2542"/>
        <w:gridCol w:w="2457"/>
      </w:tblGrid>
      <w:tr w14:paraId="7779A7C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06" w:hRule="atLeast"/>
          <w:jc w:val="center"/>
        </w:trPr>
        <w:tc>
          <w:tcPr>
            <w:tcW w:w="576" w:type="pct"/>
            <w:tcBorders>
              <w:top w:val="single" w:color="auto" w:sz="4" w:space="0"/>
              <w:left w:val="single" w:color="auto" w:sz="4" w:space="0"/>
              <w:bottom w:val="single" w:color="auto" w:sz="4" w:space="0"/>
              <w:right w:val="single" w:color="auto" w:sz="4" w:space="0"/>
            </w:tcBorders>
            <w:vAlign w:val="center"/>
          </w:tcPr>
          <w:p w14:paraId="68EFBE82">
            <w:pPr>
              <w:keepNext w:val="0"/>
              <w:keepLines w:val="0"/>
              <w:pageBreakBefore w:val="0"/>
              <w:widowControl/>
              <w:suppressLineNumbers w:val="0"/>
              <w:suppressAutoHyphens w:val="0"/>
              <w:jc w:val="center"/>
              <w:rPr>
                <w:sz w:val="24"/>
                <w:szCs w:val="24"/>
              </w:rPr>
            </w:pPr>
            <w:r>
              <w:rPr>
                <w:rFonts w:hint="eastAsia" w:ascii="宋体"/>
                <w:sz w:val="24"/>
                <w:szCs w:val="24"/>
              </w:rPr>
              <w:t>序号</w:t>
            </w:r>
          </w:p>
        </w:tc>
        <w:tc>
          <w:tcPr>
            <w:tcW w:w="1491" w:type="pct"/>
            <w:tcBorders>
              <w:top w:val="single" w:color="auto" w:sz="4" w:space="0"/>
              <w:left w:val="single" w:color="auto" w:sz="4" w:space="0"/>
              <w:bottom w:val="single" w:color="auto" w:sz="4" w:space="0"/>
              <w:right w:val="single" w:color="auto" w:sz="4" w:space="0"/>
            </w:tcBorders>
            <w:vAlign w:val="center"/>
          </w:tcPr>
          <w:p w14:paraId="24191A0C">
            <w:pPr>
              <w:keepNext w:val="0"/>
              <w:keepLines w:val="0"/>
              <w:pageBreakBefore w:val="0"/>
              <w:widowControl/>
              <w:suppressLineNumbers w:val="0"/>
              <w:suppressAutoHyphens w:val="0"/>
              <w:jc w:val="center"/>
              <w:rPr>
                <w:sz w:val="24"/>
                <w:szCs w:val="24"/>
              </w:rPr>
            </w:pPr>
            <w:r>
              <w:rPr>
                <w:rFonts w:hint="eastAsia" w:ascii="宋体"/>
                <w:sz w:val="24"/>
                <w:szCs w:val="24"/>
              </w:rPr>
              <w:t>采购文件要求</w:t>
            </w:r>
          </w:p>
        </w:tc>
        <w:tc>
          <w:tcPr>
            <w:tcW w:w="1491" w:type="pct"/>
            <w:tcBorders>
              <w:top w:val="single" w:color="auto" w:sz="4" w:space="0"/>
              <w:left w:val="single" w:color="auto" w:sz="4" w:space="0"/>
              <w:bottom w:val="single" w:color="auto" w:sz="4" w:space="0"/>
              <w:right w:val="single" w:color="auto" w:sz="4" w:space="0"/>
            </w:tcBorders>
            <w:vAlign w:val="center"/>
          </w:tcPr>
          <w:p w14:paraId="3C3E8CEA">
            <w:pPr>
              <w:keepNext w:val="0"/>
              <w:keepLines w:val="0"/>
              <w:pageBreakBefore w:val="0"/>
              <w:widowControl/>
              <w:suppressLineNumbers w:val="0"/>
              <w:suppressAutoHyphens w:val="0"/>
              <w:jc w:val="center"/>
              <w:rPr>
                <w:rFonts w:ascii="宋体"/>
                <w:sz w:val="24"/>
                <w:szCs w:val="24"/>
              </w:rPr>
            </w:pPr>
            <w:r>
              <w:rPr>
                <w:rFonts w:hint="eastAsia" w:ascii="宋体"/>
                <w:sz w:val="24"/>
                <w:szCs w:val="24"/>
              </w:rPr>
              <w:t>响应文件响应</w:t>
            </w:r>
          </w:p>
        </w:tc>
        <w:tc>
          <w:tcPr>
            <w:tcW w:w="1441" w:type="pct"/>
            <w:tcBorders>
              <w:top w:val="single" w:color="auto" w:sz="4" w:space="0"/>
              <w:left w:val="single" w:color="auto" w:sz="4" w:space="0"/>
              <w:bottom w:val="single" w:color="auto" w:sz="4" w:space="0"/>
              <w:right w:val="single" w:color="auto" w:sz="4" w:space="0"/>
            </w:tcBorders>
          </w:tcPr>
          <w:p w14:paraId="3C17C3C0">
            <w:pPr>
              <w:keepNext w:val="0"/>
              <w:keepLines w:val="0"/>
              <w:pageBreakBefore w:val="0"/>
              <w:widowControl/>
              <w:suppressLineNumbers w:val="0"/>
              <w:suppressAutoHyphens w:val="0"/>
              <w:rPr>
                <w:rFonts w:hint="eastAsia" w:ascii="宋体"/>
                <w:sz w:val="24"/>
                <w:szCs w:val="24"/>
              </w:rPr>
            </w:pPr>
            <w:r>
              <w:rPr>
                <w:rFonts w:hint="eastAsia" w:ascii="宋体"/>
                <w:sz w:val="24"/>
                <w:szCs w:val="24"/>
              </w:rPr>
              <w:t>偏离情况说明</w:t>
            </w:r>
          </w:p>
        </w:tc>
      </w:tr>
      <w:tr w14:paraId="51F7240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080" w:hRule="atLeast"/>
          <w:jc w:val="center"/>
        </w:trPr>
        <w:tc>
          <w:tcPr>
            <w:tcW w:w="576" w:type="pct"/>
            <w:tcBorders>
              <w:top w:val="single" w:color="auto" w:sz="4" w:space="0"/>
              <w:left w:val="single" w:color="auto" w:sz="4" w:space="0"/>
              <w:bottom w:val="single" w:color="auto" w:sz="4" w:space="0"/>
              <w:right w:val="single" w:color="auto" w:sz="4" w:space="0"/>
            </w:tcBorders>
            <w:vAlign w:val="center"/>
          </w:tcPr>
          <w:p w14:paraId="74C5A183">
            <w:pPr>
              <w:keepNext w:val="0"/>
              <w:keepLines w:val="0"/>
              <w:pageBreakBefore w:val="0"/>
              <w:widowControl/>
              <w:suppressLineNumbers w:val="0"/>
              <w:suppressAutoHyphens w:val="0"/>
              <w:jc w:val="center"/>
              <w:rPr>
                <w:sz w:val="24"/>
                <w:szCs w:val="24"/>
              </w:rPr>
            </w:pPr>
            <w:r>
              <w:rPr>
                <w:rFonts w:hint="eastAsia"/>
                <w:sz w:val="24"/>
                <w:szCs w:val="24"/>
              </w:rPr>
              <w:t>1</w:t>
            </w:r>
          </w:p>
        </w:tc>
        <w:tc>
          <w:tcPr>
            <w:tcW w:w="1491" w:type="pct"/>
            <w:tcBorders>
              <w:top w:val="single" w:color="auto" w:sz="4" w:space="0"/>
              <w:left w:val="single" w:color="auto" w:sz="4" w:space="0"/>
              <w:bottom w:val="single" w:color="auto" w:sz="4" w:space="0"/>
              <w:right w:val="single" w:color="auto" w:sz="4" w:space="0"/>
            </w:tcBorders>
          </w:tcPr>
          <w:p w14:paraId="1F445C03">
            <w:pPr>
              <w:keepNext w:val="0"/>
              <w:keepLines w:val="0"/>
              <w:pageBreakBefore w:val="0"/>
              <w:widowControl/>
              <w:suppressLineNumbers w:val="0"/>
              <w:suppressAutoHyphens w:val="0"/>
              <w:jc w:val="center"/>
              <w:rPr>
                <w:sz w:val="24"/>
                <w:szCs w:val="24"/>
              </w:rPr>
            </w:pPr>
          </w:p>
        </w:tc>
        <w:tc>
          <w:tcPr>
            <w:tcW w:w="1491" w:type="pct"/>
            <w:tcBorders>
              <w:top w:val="single" w:color="auto" w:sz="4" w:space="0"/>
              <w:left w:val="single" w:color="auto" w:sz="4" w:space="0"/>
              <w:bottom w:val="single" w:color="auto" w:sz="4" w:space="0"/>
              <w:right w:val="single" w:color="auto" w:sz="4" w:space="0"/>
            </w:tcBorders>
          </w:tcPr>
          <w:p w14:paraId="227A2FC2">
            <w:pPr>
              <w:keepNext w:val="0"/>
              <w:keepLines w:val="0"/>
              <w:pageBreakBefore w:val="0"/>
              <w:widowControl/>
              <w:suppressLineNumbers w:val="0"/>
              <w:suppressAutoHyphens w:val="0"/>
              <w:jc w:val="center"/>
              <w:rPr>
                <w:sz w:val="24"/>
                <w:szCs w:val="24"/>
              </w:rPr>
            </w:pPr>
          </w:p>
        </w:tc>
        <w:tc>
          <w:tcPr>
            <w:tcW w:w="1441" w:type="pct"/>
            <w:tcBorders>
              <w:top w:val="single" w:color="auto" w:sz="4" w:space="0"/>
              <w:left w:val="single" w:color="auto" w:sz="4" w:space="0"/>
              <w:bottom w:val="single" w:color="auto" w:sz="4" w:space="0"/>
              <w:right w:val="single" w:color="auto" w:sz="4" w:space="0"/>
            </w:tcBorders>
          </w:tcPr>
          <w:p w14:paraId="4F9C666B">
            <w:pPr>
              <w:keepNext w:val="0"/>
              <w:keepLines w:val="0"/>
              <w:pageBreakBefore w:val="0"/>
              <w:widowControl/>
              <w:suppressLineNumbers w:val="0"/>
              <w:suppressAutoHyphens w:val="0"/>
              <w:jc w:val="center"/>
              <w:rPr>
                <w:sz w:val="24"/>
                <w:szCs w:val="24"/>
              </w:rPr>
            </w:pPr>
          </w:p>
        </w:tc>
      </w:tr>
      <w:tr w14:paraId="4FD0CCB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080" w:hRule="atLeast"/>
          <w:jc w:val="center"/>
        </w:trPr>
        <w:tc>
          <w:tcPr>
            <w:tcW w:w="576" w:type="pct"/>
            <w:tcBorders>
              <w:top w:val="single" w:color="auto" w:sz="4" w:space="0"/>
              <w:left w:val="single" w:color="auto" w:sz="4" w:space="0"/>
              <w:bottom w:val="single" w:color="auto" w:sz="4" w:space="0"/>
              <w:right w:val="single" w:color="auto" w:sz="4" w:space="0"/>
            </w:tcBorders>
            <w:vAlign w:val="center"/>
          </w:tcPr>
          <w:p w14:paraId="139E350C">
            <w:pPr>
              <w:keepNext w:val="0"/>
              <w:keepLines w:val="0"/>
              <w:pageBreakBefore w:val="0"/>
              <w:widowControl/>
              <w:suppressLineNumbers w:val="0"/>
              <w:suppressAutoHyphens w:val="0"/>
              <w:jc w:val="center"/>
              <w:rPr>
                <w:sz w:val="24"/>
                <w:szCs w:val="24"/>
              </w:rPr>
            </w:pPr>
            <w:r>
              <w:rPr>
                <w:rFonts w:hint="eastAsia"/>
                <w:sz w:val="24"/>
                <w:szCs w:val="24"/>
              </w:rPr>
              <w:t>2</w:t>
            </w:r>
          </w:p>
        </w:tc>
        <w:tc>
          <w:tcPr>
            <w:tcW w:w="1491" w:type="pct"/>
            <w:tcBorders>
              <w:top w:val="single" w:color="auto" w:sz="4" w:space="0"/>
              <w:left w:val="single" w:color="auto" w:sz="4" w:space="0"/>
              <w:bottom w:val="single" w:color="auto" w:sz="4" w:space="0"/>
              <w:right w:val="single" w:color="auto" w:sz="4" w:space="0"/>
            </w:tcBorders>
          </w:tcPr>
          <w:p w14:paraId="2E068E25">
            <w:pPr>
              <w:keepNext w:val="0"/>
              <w:keepLines w:val="0"/>
              <w:pageBreakBefore w:val="0"/>
              <w:widowControl/>
              <w:suppressLineNumbers w:val="0"/>
              <w:suppressAutoHyphens w:val="0"/>
              <w:jc w:val="center"/>
              <w:rPr>
                <w:sz w:val="24"/>
                <w:szCs w:val="24"/>
              </w:rPr>
            </w:pPr>
          </w:p>
        </w:tc>
        <w:tc>
          <w:tcPr>
            <w:tcW w:w="1491" w:type="pct"/>
            <w:tcBorders>
              <w:top w:val="single" w:color="auto" w:sz="4" w:space="0"/>
              <w:left w:val="single" w:color="auto" w:sz="4" w:space="0"/>
              <w:bottom w:val="single" w:color="auto" w:sz="4" w:space="0"/>
              <w:right w:val="single" w:color="auto" w:sz="4" w:space="0"/>
            </w:tcBorders>
          </w:tcPr>
          <w:p w14:paraId="73D6929A">
            <w:pPr>
              <w:keepNext w:val="0"/>
              <w:keepLines w:val="0"/>
              <w:pageBreakBefore w:val="0"/>
              <w:widowControl/>
              <w:suppressLineNumbers w:val="0"/>
              <w:suppressAutoHyphens w:val="0"/>
              <w:jc w:val="center"/>
              <w:rPr>
                <w:sz w:val="24"/>
                <w:szCs w:val="24"/>
              </w:rPr>
            </w:pPr>
          </w:p>
        </w:tc>
        <w:tc>
          <w:tcPr>
            <w:tcW w:w="1441" w:type="pct"/>
            <w:tcBorders>
              <w:top w:val="single" w:color="auto" w:sz="4" w:space="0"/>
              <w:left w:val="single" w:color="auto" w:sz="4" w:space="0"/>
              <w:bottom w:val="single" w:color="auto" w:sz="4" w:space="0"/>
              <w:right w:val="single" w:color="auto" w:sz="4" w:space="0"/>
            </w:tcBorders>
          </w:tcPr>
          <w:p w14:paraId="6C2509AA">
            <w:pPr>
              <w:keepNext w:val="0"/>
              <w:keepLines w:val="0"/>
              <w:pageBreakBefore w:val="0"/>
              <w:widowControl/>
              <w:suppressLineNumbers w:val="0"/>
              <w:suppressAutoHyphens w:val="0"/>
              <w:jc w:val="center"/>
              <w:rPr>
                <w:sz w:val="24"/>
                <w:szCs w:val="24"/>
              </w:rPr>
            </w:pPr>
          </w:p>
        </w:tc>
      </w:tr>
      <w:tr w14:paraId="3FB16F6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PrEx>
        <w:trPr>
          <w:trHeight w:val="1080" w:hRule="atLeast"/>
          <w:jc w:val="center"/>
        </w:trPr>
        <w:tc>
          <w:tcPr>
            <w:tcW w:w="576" w:type="pct"/>
            <w:tcBorders>
              <w:top w:val="single" w:color="auto" w:sz="4" w:space="0"/>
              <w:left w:val="single" w:color="auto" w:sz="4" w:space="0"/>
              <w:bottom w:val="single" w:color="auto" w:sz="4" w:space="0"/>
              <w:right w:val="single" w:color="auto" w:sz="4" w:space="0"/>
            </w:tcBorders>
            <w:vAlign w:val="center"/>
          </w:tcPr>
          <w:p w14:paraId="7B720949">
            <w:pPr>
              <w:keepNext w:val="0"/>
              <w:keepLines w:val="0"/>
              <w:pageBreakBefore w:val="0"/>
              <w:widowControl/>
              <w:suppressLineNumbers w:val="0"/>
              <w:suppressAutoHyphens w:val="0"/>
              <w:jc w:val="center"/>
              <w:rPr>
                <w:sz w:val="24"/>
                <w:szCs w:val="24"/>
              </w:rPr>
            </w:pPr>
            <w:r>
              <w:rPr>
                <w:rFonts w:hint="eastAsia"/>
                <w:sz w:val="24"/>
                <w:szCs w:val="24"/>
              </w:rPr>
              <w:t>3</w:t>
            </w:r>
          </w:p>
        </w:tc>
        <w:tc>
          <w:tcPr>
            <w:tcW w:w="1491" w:type="pct"/>
            <w:tcBorders>
              <w:top w:val="single" w:color="auto" w:sz="4" w:space="0"/>
              <w:left w:val="single" w:color="auto" w:sz="4" w:space="0"/>
              <w:bottom w:val="single" w:color="auto" w:sz="4" w:space="0"/>
              <w:right w:val="single" w:color="auto" w:sz="4" w:space="0"/>
            </w:tcBorders>
          </w:tcPr>
          <w:p w14:paraId="74CF5D03">
            <w:pPr>
              <w:keepNext w:val="0"/>
              <w:keepLines w:val="0"/>
              <w:pageBreakBefore w:val="0"/>
              <w:widowControl/>
              <w:suppressLineNumbers w:val="0"/>
              <w:suppressAutoHyphens w:val="0"/>
              <w:jc w:val="center"/>
              <w:rPr>
                <w:sz w:val="24"/>
                <w:szCs w:val="24"/>
              </w:rPr>
            </w:pPr>
          </w:p>
        </w:tc>
        <w:tc>
          <w:tcPr>
            <w:tcW w:w="1491" w:type="pct"/>
            <w:tcBorders>
              <w:top w:val="single" w:color="auto" w:sz="4" w:space="0"/>
              <w:left w:val="single" w:color="auto" w:sz="4" w:space="0"/>
              <w:bottom w:val="single" w:color="auto" w:sz="4" w:space="0"/>
              <w:right w:val="single" w:color="auto" w:sz="4" w:space="0"/>
            </w:tcBorders>
          </w:tcPr>
          <w:p w14:paraId="04348A83">
            <w:pPr>
              <w:keepNext w:val="0"/>
              <w:keepLines w:val="0"/>
              <w:pageBreakBefore w:val="0"/>
              <w:widowControl/>
              <w:suppressLineNumbers w:val="0"/>
              <w:suppressAutoHyphens w:val="0"/>
              <w:jc w:val="center"/>
              <w:rPr>
                <w:sz w:val="24"/>
                <w:szCs w:val="24"/>
              </w:rPr>
            </w:pPr>
          </w:p>
        </w:tc>
        <w:tc>
          <w:tcPr>
            <w:tcW w:w="1441" w:type="pct"/>
            <w:tcBorders>
              <w:top w:val="single" w:color="auto" w:sz="4" w:space="0"/>
              <w:left w:val="single" w:color="auto" w:sz="4" w:space="0"/>
              <w:bottom w:val="single" w:color="auto" w:sz="4" w:space="0"/>
              <w:right w:val="single" w:color="auto" w:sz="4" w:space="0"/>
            </w:tcBorders>
          </w:tcPr>
          <w:p w14:paraId="62BCE85E">
            <w:pPr>
              <w:keepNext w:val="0"/>
              <w:keepLines w:val="0"/>
              <w:pageBreakBefore w:val="0"/>
              <w:widowControl/>
              <w:suppressLineNumbers w:val="0"/>
              <w:suppressAutoHyphens w:val="0"/>
              <w:jc w:val="center"/>
              <w:rPr>
                <w:sz w:val="24"/>
                <w:szCs w:val="24"/>
              </w:rPr>
            </w:pPr>
          </w:p>
        </w:tc>
      </w:tr>
      <w:tr w14:paraId="524BC51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080" w:hRule="atLeast"/>
          <w:jc w:val="center"/>
        </w:trPr>
        <w:tc>
          <w:tcPr>
            <w:tcW w:w="576" w:type="pct"/>
            <w:tcBorders>
              <w:top w:val="single" w:color="auto" w:sz="4" w:space="0"/>
              <w:left w:val="single" w:color="auto" w:sz="4" w:space="0"/>
              <w:bottom w:val="single" w:color="auto" w:sz="4" w:space="0"/>
              <w:right w:val="single" w:color="auto" w:sz="4" w:space="0"/>
            </w:tcBorders>
          </w:tcPr>
          <w:p w14:paraId="271D884D">
            <w:pPr>
              <w:keepNext w:val="0"/>
              <w:keepLines w:val="0"/>
              <w:pageBreakBefore w:val="0"/>
              <w:widowControl/>
              <w:suppressLineNumbers w:val="0"/>
              <w:suppressAutoHyphens w:val="0"/>
              <w:jc w:val="center"/>
              <w:rPr>
                <w:sz w:val="24"/>
                <w:szCs w:val="24"/>
              </w:rPr>
            </w:pPr>
          </w:p>
        </w:tc>
        <w:tc>
          <w:tcPr>
            <w:tcW w:w="1491" w:type="pct"/>
            <w:tcBorders>
              <w:top w:val="single" w:color="auto" w:sz="4" w:space="0"/>
              <w:left w:val="single" w:color="auto" w:sz="4" w:space="0"/>
              <w:bottom w:val="single" w:color="auto" w:sz="4" w:space="0"/>
              <w:right w:val="single" w:color="auto" w:sz="4" w:space="0"/>
            </w:tcBorders>
          </w:tcPr>
          <w:p w14:paraId="2992267C">
            <w:pPr>
              <w:keepNext w:val="0"/>
              <w:keepLines w:val="0"/>
              <w:pageBreakBefore w:val="0"/>
              <w:widowControl/>
              <w:suppressLineNumbers w:val="0"/>
              <w:suppressAutoHyphens w:val="0"/>
              <w:jc w:val="center"/>
              <w:rPr>
                <w:sz w:val="24"/>
                <w:szCs w:val="24"/>
              </w:rPr>
            </w:pPr>
          </w:p>
        </w:tc>
        <w:tc>
          <w:tcPr>
            <w:tcW w:w="1491" w:type="pct"/>
            <w:tcBorders>
              <w:top w:val="single" w:color="auto" w:sz="4" w:space="0"/>
              <w:left w:val="single" w:color="auto" w:sz="4" w:space="0"/>
              <w:bottom w:val="single" w:color="auto" w:sz="4" w:space="0"/>
              <w:right w:val="single" w:color="auto" w:sz="4" w:space="0"/>
            </w:tcBorders>
          </w:tcPr>
          <w:p w14:paraId="7B2B4B5F">
            <w:pPr>
              <w:keepNext w:val="0"/>
              <w:keepLines w:val="0"/>
              <w:pageBreakBefore w:val="0"/>
              <w:widowControl/>
              <w:suppressLineNumbers w:val="0"/>
              <w:suppressAutoHyphens w:val="0"/>
              <w:jc w:val="center"/>
              <w:rPr>
                <w:sz w:val="24"/>
                <w:szCs w:val="24"/>
              </w:rPr>
            </w:pPr>
          </w:p>
        </w:tc>
        <w:tc>
          <w:tcPr>
            <w:tcW w:w="1441" w:type="pct"/>
            <w:tcBorders>
              <w:top w:val="single" w:color="auto" w:sz="4" w:space="0"/>
              <w:left w:val="single" w:color="auto" w:sz="4" w:space="0"/>
              <w:bottom w:val="single" w:color="auto" w:sz="4" w:space="0"/>
              <w:right w:val="single" w:color="auto" w:sz="4" w:space="0"/>
            </w:tcBorders>
          </w:tcPr>
          <w:p w14:paraId="7EAE84C0">
            <w:pPr>
              <w:keepNext w:val="0"/>
              <w:keepLines w:val="0"/>
              <w:pageBreakBefore w:val="0"/>
              <w:widowControl/>
              <w:suppressLineNumbers w:val="0"/>
              <w:suppressAutoHyphens w:val="0"/>
              <w:jc w:val="center"/>
              <w:rPr>
                <w:sz w:val="24"/>
                <w:szCs w:val="24"/>
              </w:rPr>
            </w:pPr>
          </w:p>
        </w:tc>
      </w:tr>
    </w:tbl>
    <w:p w14:paraId="16F95857">
      <w:pPr>
        <w:ind w:firstLine="482" w:firstLineChars="200"/>
        <w:rPr>
          <w:b/>
          <w:sz w:val="24"/>
          <w:szCs w:val="24"/>
        </w:rPr>
      </w:pPr>
    </w:p>
    <w:p w14:paraId="21C59370">
      <w:pPr>
        <w:spacing w:line="360" w:lineRule="auto"/>
        <w:jc w:val="left"/>
        <w:rPr>
          <w:rFonts w:ascii="宋体" w:hAnsi="宋体"/>
          <w:b/>
          <w:sz w:val="24"/>
          <w:szCs w:val="24"/>
        </w:rPr>
      </w:pPr>
      <w:r>
        <w:rPr>
          <w:rFonts w:hint="eastAsia" w:ascii="宋体" w:hAnsi="宋体"/>
          <w:b/>
          <w:sz w:val="24"/>
          <w:szCs w:val="24"/>
        </w:rPr>
        <w:t>注:如供应商完全响应磋商文件全部商务和技术条款要求，无偏离也无其他说明的，则只需在本表第一栏“偏离情况说明”处填写“完全响应无偏离”。</w:t>
      </w:r>
    </w:p>
    <w:p w14:paraId="31CA44F1">
      <w:pPr>
        <w:adjustRightInd w:val="0"/>
        <w:snapToGrid/>
        <w:spacing w:line="400" w:lineRule="exact"/>
        <w:ind w:firstLine="480" w:firstLineChars="200"/>
        <w:jc w:val="left"/>
        <w:rPr>
          <w:rFonts w:ascii="宋体"/>
          <w:sz w:val="24"/>
          <w:szCs w:val="24"/>
        </w:rPr>
      </w:pPr>
    </w:p>
    <w:p w14:paraId="1C64001A">
      <w:pPr>
        <w:adjustRightInd w:val="0"/>
        <w:snapToGrid/>
        <w:spacing w:line="400" w:lineRule="exact"/>
        <w:ind w:firstLine="480" w:firstLineChars="200"/>
        <w:jc w:val="left"/>
        <w:rPr>
          <w:rFonts w:hint="eastAsia"/>
          <w:sz w:val="24"/>
          <w:szCs w:val="24"/>
        </w:rPr>
      </w:pPr>
    </w:p>
    <w:p w14:paraId="343F3350">
      <w:pPr>
        <w:adjustRightInd w:val="0"/>
        <w:snapToGrid/>
        <w:spacing w:line="400" w:lineRule="exact"/>
        <w:ind w:firstLine="480" w:firstLineChars="200"/>
        <w:jc w:val="left"/>
        <w:rPr>
          <w:rFonts w:hint="eastAsia"/>
          <w:sz w:val="24"/>
          <w:szCs w:val="24"/>
        </w:rPr>
      </w:pPr>
      <w:r>
        <w:rPr>
          <w:rFonts w:hint="eastAsia" w:ascii="宋体"/>
          <w:sz w:val="24"/>
          <w:szCs w:val="24"/>
        </w:rPr>
        <w:t>供应商名称（盖章）：</w:t>
      </w:r>
    </w:p>
    <w:p w14:paraId="3AADD8D3">
      <w:pPr>
        <w:adjustRightInd w:val="0"/>
        <w:snapToGrid/>
        <w:spacing w:line="400" w:lineRule="exact"/>
        <w:ind w:firstLine="480" w:firstLineChars="200"/>
        <w:jc w:val="left"/>
        <w:rPr>
          <w:rFonts w:hint="eastAsia"/>
          <w:sz w:val="24"/>
          <w:szCs w:val="24"/>
        </w:rPr>
      </w:pPr>
      <w:r>
        <w:rPr>
          <w:rFonts w:hint="eastAsia" w:ascii="宋体"/>
          <w:sz w:val="24"/>
          <w:szCs w:val="24"/>
        </w:rPr>
        <w:t>法定代表人或授权代表（签字或盖章）：</w:t>
      </w:r>
    </w:p>
    <w:p w14:paraId="7C17DCD2">
      <w:pPr>
        <w:adjustRightInd w:val="0"/>
        <w:snapToGrid/>
        <w:spacing w:line="400" w:lineRule="exact"/>
        <w:ind w:firstLine="480" w:firstLineChars="200"/>
        <w:jc w:val="left"/>
        <w:rPr>
          <w:bCs/>
          <w:sz w:val="24"/>
          <w:szCs w:val="24"/>
        </w:rPr>
      </w:pPr>
      <w:r>
        <w:rPr>
          <w:rFonts w:hint="eastAsia" w:ascii="宋体"/>
          <w:sz w:val="24"/>
          <w:szCs w:val="24"/>
        </w:rPr>
        <w:t>日期：</w:t>
      </w:r>
      <w:r>
        <w:rPr>
          <w:rFonts w:hint="eastAsia"/>
          <w:sz w:val="24"/>
          <w:szCs w:val="24"/>
        </w:rPr>
        <w:t xml:space="preserve">      </w:t>
      </w:r>
      <w:r>
        <w:rPr>
          <w:rFonts w:hint="eastAsia" w:ascii="宋体"/>
          <w:sz w:val="24"/>
          <w:szCs w:val="24"/>
        </w:rPr>
        <w:t>年</w:t>
      </w:r>
      <w:r>
        <w:rPr>
          <w:rFonts w:hint="eastAsia"/>
          <w:sz w:val="24"/>
          <w:szCs w:val="24"/>
        </w:rPr>
        <w:t xml:space="preserve">    </w:t>
      </w:r>
      <w:r>
        <w:rPr>
          <w:rFonts w:hint="eastAsia" w:ascii="宋体"/>
          <w:sz w:val="24"/>
          <w:szCs w:val="24"/>
        </w:rPr>
        <w:t>月</w:t>
      </w:r>
      <w:r>
        <w:rPr>
          <w:rFonts w:hint="eastAsia"/>
          <w:sz w:val="24"/>
          <w:szCs w:val="24"/>
        </w:rPr>
        <w:t xml:space="preserve">    </w:t>
      </w:r>
      <w:r>
        <w:rPr>
          <w:rFonts w:hint="eastAsia" w:ascii="宋体"/>
          <w:sz w:val="24"/>
          <w:szCs w:val="24"/>
        </w:rPr>
        <w:t>日</w:t>
      </w:r>
      <w:r>
        <w:rPr>
          <w:rFonts w:hint="eastAsia"/>
          <w:sz w:val="24"/>
          <w:szCs w:val="24"/>
        </w:rPr>
        <w:t xml:space="preserve">                </w:t>
      </w:r>
      <w:r>
        <w:rPr>
          <w:rFonts w:hint="eastAsia"/>
          <w:sz w:val="24"/>
          <w:szCs w:val="24"/>
        </w:rPr>
        <w:br w:type="page"/>
      </w:r>
    </w:p>
    <w:p w14:paraId="1A668535">
      <w:pPr>
        <w:jc w:val="center"/>
        <w:outlineLvl w:val="2"/>
        <w:rPr>
          <w:rFonts w:cs="Arial"/>
          <w:b/>
          <w:bCs/>
          <w:sz w:val="32"/>
          <w:szCs w:val="32"/>
        </w:rPr>
      </w:pPr>
      <w:r>
        <w:rPr>
          <w:rFonts w:hint="eastAsia" w:ascii="宋体" w:cs="Arial"/>
          <w:b/>
          <w:bCs/>
          <w:sz w:val="32"/>
          <w:szCs w:val="32"/>
        </w:rPr>
        <w:t>四、供应商类似项目业绩一览表</w:t>
      </w:r>
    </w:p>
    <w:p w14:paraId="15ECF20F">
      <w:pPr>
        <w:spacing w:line="400" w:lineRule="exact"/>
        <w:rPr>
          <w:rFonts w:cs="Arial"/>
          <w:sz w:val="24"/>
          <w:szCs w:val="24"/>
        </w:rPr>
      </w:pPr>
    </w:p>
    <w:tbl>
      <w:tblPr>
        <w:tblStyle w:val="23"/>
        <w:tblW w:w="4884" w:type="pct"/>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autofit"/>
        <w:tblCellMar>
          <w:top w:w="0" w:type="dxa"/>
          <w:left w:w="54" w:type="dxa"/>
          <w:bottom w:w="0" w:type="dxa"/>
          <w:right w:w="54" w:type="dxa"/>
        </w:tblCellMar>
      </w:tblPr>
      <w:tblGrid>
        <w:gridCol w:w="977"/>
        <w:gridCol w:w="1951"/>
        <w:gridCol w:w="1790"/>
        <w:gridCol w:w="1574"/>
        <w:gridCol w:w="1928"/>
      </w:tblGrid>
      <w:tr w14:paraId="7CFC7F7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54" w:type="dxa"/>
            <w:bottom w:w="0" w:type="dxa"/>
            <w:right w:w="54" w:type="dxa"/>
          </w:tblCellMar>
        </w:tblPrEx>
        <w:trPr>
          <w:cantSplit/>
          <w:trHeight w:val="429" w:hRule="atLeast"/>
          <w:jc w:val="center"/>
        </w:trPr>
        <w:tc>
          <w:tcPr>
            <w:tcW w:w="977" w:type="dxa"/>
            <w:tcBorders>
              <w:top w:val="single" w:color="auto" w:sz="4" w:space="0"/>
              <w:left w:val="single" w:color="auto" w:sz="4" w:space="0"/>
              <w:bottom w:val="single" w:color="auto" w:sz="6" w:space="0"/>
              <w:right w:val="single" w:color="auto" w:sz="6" w:space="0"/>
            </w:tcBorders>
            <w:vAlign w:val="center"/>
          </w:tcPr>
          <w:p w14:paraId="30341EF3">
            <w:pPr>
              <w:keepNext w:val="0"/>
              <w:keepLines w:val="0"/>
              <w:pageBreakBefore w:val="0"/>
              <w:widowControl/>
              <w:suppressLineNumbers w:val="0"/>
              <w:suppressAutoHyphens w:val="0"/>
              <w:spacing w:line="400" w:lineRule="exact"/>
              <w:ind w:firstLine="105" w:firstLineChars="50"/>
              <w:jc w:val="center"/>
              <w:rPr>
                <w:rFonts w:cs="Arial"/>
                <w:b/>
              </w:rPr>
            </w:pPr>
            <w:r>
              <w:rPr>
                <w:rFonts w:hint="eastAsia" w:ascii="宋体" w:cs="Arial"/>
                <w:b/>
              </w:rPr>
              <w:t>序号</w:t>
            </w:r>
          </w:p>
        </w:tc>
        <w:tc>
          <w:tcPr>
            <w:tcW w:w="1951" w:type="dxa"/>
            <w:tcBorders>
              <w:top w:val="single" w:color="auto" w:sz="4" w:space="0"/>
              <w:left w:val="single" w:color="auto" w:sz="6" w:space="0"/>
              <w:bottom w:val="single" w:color="auto" w:sz="6" w:space="0"/>
              <w:right w:val="single" w:color="auto" w:sz="6" w:space="0"/>
            </w:tcBorders>
            <w:vAlign w:val="center"/>
          </w:tcPr>
          <w:p w14:paraId="4B150B37">
            <w:pPr>
              <w:keepNext w:val="0"/>
              <w:keepLines w:val="0"/>
              <w:pageBreakBefore w:val="0"/>
              <w:widowControl/>
              <w:suppressLineNumbers w:val="0"/>
              <w:suppressAutoHyphens w:val="0"/>
              <w:spacing w:line="400" w:lineRule="exact"/>
              <w:jc w:val="center"/>
              <w:rPr>
                <w:rFonts w:cs="Arial"/>
                <w:b/>
              </w:rPr>
            </w:pPr>
            <w:r>
              <w:rPr>
                <w:rFonts w:hint="eastAsia" w:ascii="宋体" w:cs="Arial"/>
                <w:b/>
              </w:rPr>
              <w:t>业主名称</w:t>
            </w:r>
          </w:p>
        </w:tc>
        <w:tc>
          <w:tcPr>
            <w:tcW w:w="1790" w:type="dxa"/>
            <w:tcBorders>
              <w:top w:val="single" w:color="auto" w:sz="4" w:space="0"/>
              <w:left w:val="single" w:color="auto" w:sz="6" w:space="0"/>
              <w:bottom w:val="single" w:color="auto" w:sz="6" w:space="0"/>
              <w:right w:val="single" w:color="auto" w:sz="6" w:space="0"/>
            </w:tcBorders>
            <w:vAlign w:val="center"/>
          </w:tcPr>
          <w:p w14:paraId="1FC1315D">
            <w:pPr>
              <w:keepNext w:val="0"/>
              <w:keepLines w:val="0"/>
              <w:pageBreakBefore w:val="0"/>
              <w:widowControl/>
              <w:suppressLineNumbers w:val="0"/>
              <w:suppressAutoHyphens w:val="0"/>
              <w:spacing w:line="400" w:lineRule="exact"/>
              <w:jc w:val="center"/>
              <w:rPr>
                <w:rFonts w:cs="Arial"/>
                <w:b/>
              </w:rPr>
            </w:pPr>
            <w:r>
              <w:rPr>
                <w:rFonts w:hint="eastAsia" w:ascii="宋体" w:cs="Arial"/>
                <w:b/>
              </w:rPr>
              <w:t>项目名称</w:t>
            </w:r>
          </w:p>
        </w:tc>
        <w:tc>
          <w:tcPr>
            <w:tcW w:w="1574" w:type="dxa"/>
            <w:tcBorders>
              <w:top w:val="single" w:color="auto" w:sz="4" w:space="0"/>
              <w:left w:val="single" w:color="auto" w:sz="6" w:space="0"/>
              <w:bottom w:val="single" w:color="auto" w:sz="6" w:space="0"/>
              <w:right w:val="single" w:color="auto" w:sz="6" w:space="0"/>
            </w:tcBorders>
            <w:vAlign w:val="center"/>
          </w:tcPr>
          <w:p w14:paraId="6C71E30B">
            <w:pPr>
              <w:keepNext w:val="0"/>
              <w:keepLines w:val="0"/>
              <w:pageBreakBefore w:val="0"/>
              <w:widowControl/>
              <w:suppressLineNumbers w:val="0"/>
              <w:suppressAutoHyphens w:val="0"/>
              <w:spacing w:line="400" w:lineRule="exact"/>
              <w:jc w:val="center"/>
              <w:rPr>
                <w:rFonts w:cs="Arial"/>
                <w:b/>
              </w:rPr>
            </w:pPr>
            <w:r>
              <w:rPr>
                <w:rFonts w:hint="eastAsia" w:ascii="宋体" w:cs="Arial"/>
                <w:b/>
              </w:rPr>
              <w:t>完成时间</w:t>
            </w:r>
          </w:p>
        </w:tc>
        <w:tc>
          <w:tcPr>
            <w:tcW w:w="1927" w:type="dxa"/>
            <w:tcBorders>
              <w:top w:val="single" w:color="auto" w:sz="4" w:space="0"/>
              <w:left w:val="single" w:color="auto" w:sz="6" w:space="0"/>
              <w:bottom w:val="single" w:color="auto" w:sz="6" w:space="0"/>
              <w:right w:val="single" w:color="auto" w:sz="6" w:space="0"/>
            </w:tcBorders>
            <w:vAlign w:val="center"/>
          </w:tcPr>
          <w:p w14:paraId="445C7AE0">
            <w:pPr>
              <w:keepNext w:val="0"/>
              <w:keepLines w:val="0"/>
              <w:pageBreakBefore w:val="0"/>
              <w:widowControl/>
              <w:suppressLineNumbers w:val="0"/>
              <w:suppressAutoHyphens w:val="0"/>
              <w:spacing w:line="400" w:lineRule="exact"/>
              <w:ind w:firstLine="105" w:firstLineChars="50"/>
              <w:jc w:val="center"/>
              <w:rPr>
                <w:rFonts w:cs="Arial"/>
                <w:b/>
              </w:rPr>
            </w:pPr>
            <w:r>
              <w:rPr>
                <w:rFonts w:hint="eastAsia" w:ascii="宋体" w:cs="Arial"/>
                <w:b/>
              </w:rPr>
              <w:t>合同金额</w:t>
            </w:r>
          </w:p>
        </w:tc>
      </w:tr>
      <w:tr w14:paraId="5877C60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54" w:type="dxa"/>
            <w:bottom w:w="0" w:type="dxa"/>
            <w:right w:w="54" w:type="dxa"/>
          </w:tblCellMar>
        </w:tblPrEx>
        <w:trPr>
          <w:cantSplit/>
          <w:trHeight w:val="429" w:hRule="atLeast"/>
          <w:jc w:val="center"/>
        </w:trPr>
        <w:tc>
          <w:tcPr>
            <w:tcW w:w="977" w:type="dxa"/>
            <w:tcBorders>
              <w:top w:val="single" w:color="auto" w:sz="6" w:space="0"/>
              <w:left w:val="single" w:color="auto" w:sz="4" w:space="0"/>
              <w:bottom w:val="single" w:color="auto" w:sz="6" w:space="0"/>
              <w:right w:val="single" w:color="auto" w:sz="6" w:space="0"/>
            </w:tcBorders>
            <w:vAlign w:val="center"/>
          </w:tcPr>
          <w:p w14:paraId="7F6E0E5B">
            <w:pPr>
              <w:keepNext w:val="0"/>
              <w:keepLines w:val="0"/>
              <w:pageBreakBefore w:val="0"/>
              <w:widowControl/>
              <w:suppressLineNumbers w:val="0"/>
              <w:suppressAutoHyphens w:val="0"/>
              <w:spacing w:line="400" w:lineRule="exact"/>
              <w:jc w:val="center"/>
              <w:rPr>
                <w:rFonts w:cs="Arial"/>
              </w:rPr>
            </w:pPr>
          </w:p>
        </w:tc>
        <w:tc>
          <w:tcPr>
            <w:tcW w:w="1951" w:type="dxa"/>
            <w:tcBorders>
              <w:top w:val="single" w:color="auto" w:sz="6" w:space="0"/>
              <w:left w:val="single" w:color="auto" w:sz="6" w:space="0"/>
              <w:bottom w:val="single" w:color="auto" w:sz="6" w:space="0"/>
              <w:right w:val="single" w:color="auto" w:sz="6" w:space="0"/>
            </w:tcBorders>
            <w:vAlign w:val="center"/>
          </w:tcPr>
          <w:p w14:paraId="0047A375">
            <w:pPr>
              <w:keepNext w:val="0"/>
              <w:keepLines w:val="0"/>
              <w:pageBreakBefore w:val="0"/>
              <w:widowControl/>
              <w:suppressLineNumbers w:val="0"/>
              <w:suppressAutoHyphens w:val="0"/>
              <w:spacing w:line="400" w:lineRule="exact"/>
              <w:jc w:val="center"/>
              <w:rPr>
                <w:rFonts w:cs="Arial"/>
              </w:rPr>
            </w:pPr>
          </w:p>
        </w:tc>
        <w:tc>
          <w:tcPr>
            <w:tcW w:w="1790" w:type="dxa"/>
            <w:tcBorders>
              <w:top w:val="single" w:color="auto" w:sz="6" w:space="0"/>
              <w:left w:val="single" w:color="auto" w:sz="6" w:space="0"/>
              <w:bottom w:val="single" w:color="auto" w:sz="6" w:space="0"/>
              <w:right w:val="single" w:color="auto" w:sz="6" w:space="0"/>
            </w:tcBorders>
            <w:vAlign w:val="center"/>
          </w:tcPr>
          <w:p w14:paraId="2D14CCA8">
            <w:pPr>
              <w:keepNext w:val="0"/>
              <w:keepLines w:val="0"/>
              <w:pageBreakBefore w:val="0"/>
              <w:widowControl/>
              <w:suppressLineNumbers w:val="0"/>
              <w:suppressAutoHyphens w:val="0"/>
              <w:spacing w:line="400" w:lineRule="exact"/>
              <w:jc w:val="center"/>
              <w:rPr>
                <w:rFonts w:cs="Arial"/>
              </w:rPr>
            </w:pPr>
          </w:p>
        </w:tc>
        <w:tc>
          <w:tcPr>
            <w:tcW w:w="1574" w:type="dxa"/>
            <w:tcBorders>
              <w:top w:val="single" w:color="auto" w:sz="6" w:space="0"/>
              <w:left w:val="single" w:color="auto" w:sz="6" w:space="0"/>
              <w:bottom w:val="single" w:color="auto" w:sz="6" w:space="0"/>
              <w:right w:val="single" w:color="auto" w:sz="6" w:space="0"/>
            </w:tcBorders>
            <w:vAlign w:val="center"/>
          </w:tcPr>
          <w:p w14:paraId="3831FC29">
            <w:pPr>
              <w:keepNext w:val="0"/>
              <w:keepLines w:val="0"/>
              <w:pageBreakBefore w:val="0"/>
              <w:widowControl/>
              <w:suppressLineNumbers w:val="0"/>
              <w:suppressAutoHyphens w:val="0"/>
              <w:spacing w:line="400" w:lineRule="exact"/>
              <w:jc w:val="center"/>
              <w:rPr>
                <w:rFonts w:cs="Arial"/>
              </w:rPr>
            </w:pPr>
          </w:p>
        </w:tc>
        <w:tc>
          <w:tcPr>
            <w:tcW w:w="1927" w:type="dxa"/>
            <w:tcBorders>
              <w:top w:val="single" w:color="auto" w:sz="6" w:space="0"/>
              <w:left w:val="single" w:color="auto" w:sz="6" w:space="0"/>
              <w:bottom w:val="single" w:color="auto" w:sz="6" w:space="0"/>
              <w:right w:val="single" w:color="auto" w:sz="6" w:space="0"/>
            </w:tcBorders>
            <w:vAlign w:val="center"/>
          </w:tcPr>
          <w:p w14:paraId="60BDD862">
            <w:pPr>
              <w:keepNext w:val="0"/>
              <w:keepLines w:val="0"/>
              <w:pageBreakBefore w:val="0"/>
              <w:widowControl/>
              <w:suppressLineNumbers w:val="0"/>
              <w:suppressAutoHyphens w:val="0"/>
              <w:spacing w:line="400" w:lineRule="exact"/>
              <w:jc w:val="center"/>
              <w:rPr>
                <w:rFonts w:cs="Arial"/>
              </w:rPr>
            </w:pPr>
          </w:p>
        </w:tc>
      </w:tr>
      <w:tr w14:paraId="3DDDF30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54" w:type="dxa"/>
            <w:bottom w:w="0" w:type="dxa"/>
            <w:right w:w="54" w:type="dxa"/>
          </w:tblCellMar>
        </w:tblPrEx>
        <w:trPr>
          <w:cantSplit/>
          <w:trHeight w:val="429" w:hRule="atLeast"/>
          <w:jc w:val="center"/>
        </w:trPr>
        <w:tc>
          <w:tcPr>
            <w:tcW w:w="977" w:type="dxa"/>
            <w:tcBorders>
              <w:top w:val="single" w:color="auto" w:sz="6" w:space="0"/>
              <w:left w:val="single" w:color="auto" w:sz="4" w:space="0"/>
              <w:bottom w:val="single" w:color="auto" w:sz="6" w:space="0"/>
              <w:right w:val="single" w:color="auto" w:sz="6" w:space="0"/>
            </w:tcBorders>
            <w:vAlign w:val="center"/>
          </w:tcPr>
          <w:p w14:paraId="02CB2CB3">
            <w:pPr>
              <w:keepNext w:val="0"/>
              <w:keepLines w:val="0"/>
              <w:pageBreakBefore w:val="0"/>
              <w:widowControl/>
              <w:suppressLineNumbers w:val="0"/>
              <w:suppressAutoHyphens w:val="0"/>
              <w:spacing w:line="400" w:lineRule="exact"/>
              <w:jc w:val="center"/>
              <w:rPr>
                <w:rFonts w:cs="Arial"/>
              </w:rPr>
            </w:pPr>
          </w:p>
        </w:tc>
        <w:tc>
          <w:tcPr>
            <w:tcW w:w="1951" w:type="dxa"/>
            <w:tcBorders>
              <w:top w:val="single" w:color="auto" w:sz="6" w:space="0"/>
              <w:left w:val="single" w:color="auto" w:sz="6" w:space="0"/>
              <w:bottom w:val="single" w:color="auto" w:sz="6" w:space="0"/>
              <w:right w:val="single" w:color="auto" w:sz="6" w:space="0"/>
            </w:tcBorders>
            <w:vAlign w:val="center"/>
          </w:tcPr>
          <w:p w14:paraId="28BECDB7">
            <w:pPr>
              <w:keepNext w:val="0"/>
              <w:keepLines w:val="0"/>
              <w:pageBreakBefore w:val="0"/>
              <w:widowControl/>
              <w:suppressLineNumbers w:val="0"/>
              <w:suppressAutoHyphens w:val="0"/>
              <w:spacing w:line="400" w:lineRule="exact"/>
              <w:jc w:val="center"/>
              <w:rPr>
                <w:rFonts w:cs="Arial"/>
              </w:rPr>
            </w:pPr>
          </w:p>
        </w:tc>
        <w:tc>
          <w:tcPr>
            <w:tcW w:w="1790" w:type="dxa"/>
            <w:tcBorders>
              <w:top w:val="single" w:color="auto" w:sz="6" w:space="0"/>
              <w:left w:val="single" w:color="auto" w:sz="6" w:space="0"/>
              <w:bottom w:val="single" w:color="auto" w:sz="6" w:space="0"/>
              <w:right w:val="single" w:color="auto" w:sz="6" w:space="0"/>
            </w:tcBorders>
            <w:vAlign w:val="center"/>
          </w:tcPr>
          <w:p w14:paraId="33821091">
            <w:pPr>
              <w:keepNext w:val="0"/>
              <w:keepLines w:val="0"/>
              <w:pageBreakBefore w:val="0"/>
              <w:widowControl/>
              <w:suppressLineNumbers w:val="0"/>
              <w:suppressAutoHyphens w:val="0"/>
              <w:spacing w:line="400" w:lineRule="exact"/>
              <w:jc w:val="center"/>
              <w:rPr>
                <w:rFonts w:cs="Arial"/>
              </w:rPr>
            </w:pPr>
          </w:p>
        </w:tc>
        <w:tc>
          <w:tcPr>
            <w:tcW w:w="1574" w:type="dxa"/>
            <w:tcBorders>
              <w:top w:val="single" w:color="auto" w:sz="6" w:space="0"/>
              <w:left w:val="single" w:color="auto" w:sz="6" w:space="0"/>
              <w:bottom w:val="single" w:color="auto" w:sz="6" w:space="0"/>
              <w:right w:val="single" w:color="auto" w:sz="6" w:space="0"/>
            </w:tcBorders>
            <w:vAlign w:val="center"/>
          </w:tcPr>
          <w:p w14:paraId="5341D7CB">
            <w:pPr>
              <w:keepNext w:val="0"/>
              <w:keepLines w:val="0"/>
              <w:pageBreakBefore w:val="0"/>
              <w:widowControl/>
              <w:suppressLineNumbers w:val="0"/>
              <w:suppressAutoHyphens w:val="0"/>
              <w:spacing w:line="400" w:lineRule="exact"/>
              <w:jc w:val="center"/>
              <w:rPr>
                <w:rFonts w:cs="Arial"/>
              </w:rPr>
            </w:pPr>
          </w:p>
        </w:tc>
        <w:tc>
          <w:tcPr>
            <w:tcW w:w="1927" w:type="dxa"/>
            <w:tcBorders>
              <w:top w:val="single" w:color="auto" w:sz="6" w:space="0"/>
              <w:left w:val="single" w:color="auto" w:sz="6" w:space="0"/>
              <w:bottom w:val="single" w:color="auto" w:sz="6" w:space="0"/>
              <w:right w:val="single" w:color="auto" w:sz="6" w:space="0"/>
            </w:tcBorders>
            <w:vAlign w:val="center"/>
          </w:tcPr>
          <w:p w14:paraId="76C8905C">
            <w:pPr>
              <w:keepNext w:val="0"/>
              <w:keepLines w:val="0"/>
              <w:pageBreakBefore w:val="0"/>
              <w:widowControl/>
              <w:suppressLineNumbers w:val="0"/>
              <w:suppressAutoHyphens w:val="0"/>
              <w:spacing w:line="400" w:lineRule="exact"/>
              <w:jc w:val="center"/>
              <w:rPr>
                <w:rFonts w:cs="Arial"/>
              </w:rPr>
            </w:pPr>
          </w:p>
        </w:tc>
      </w:tr>
      <w:tr w14:paraId="18D2E8E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54" w:type="dxa"/>
            <w:bottom w:w="0" w:type="dxa"/>
            <w:right w:w="54" w:type="dxa"/>
          </w:tblCellMar>
        </w:tblPrEx>
        <w:trPr>
          <w:cantSplit/>
          <w:trHeight w:val="429" w:hRule="atLeast"/>
          <w:jc w:val="center"/>
        </w:trPr>
        <w:tc>
          <w:tcPr>
            <w:tcW w:w="977" w:type="dxa"/>
            <w:tcBorders>
              <w:top w:val="single" w:color="auto" w:sz="6" w:space="0"/>
              <w:left w:val="single" w:color="auto" w:sz="4" w:space="0"/>
              <w:bottom w:val="single" w:color="auto" w:sz="6" w:space="0"/>
              <w:right w:val="single" w:color="auto" w:sz="6" w:space="0"/>
            </w:tcBorders>
            <w:vAlign w:val="center"/>
          </w:tcPr>
          <w:p w14:paraId="6DCF72B4">
            <w:pPr>
              <w:keepNext w:val="0"/>
              <w:keepLines w:val="0"/>
              <w:pageBreakBefore w:val="0"/>
              <w:widowControl/>
              <w:suppressLineNumbers w:val="0"/>
              <w:suppressAutoHyphens w:val="0"/>
              <w:spacing w:line="400" w:lineRule="exact"/>
              <w:jc w:val="center"/>
              <w:rPr>
                <w:rFonts w:cs="Arial"/>
              </w:rPr>
            </w:pPr>
          </w:p>
        </w:tc>
        <w:tc>
          <w:tcPr>
            <w:tcW w:w="1951" w:type="dxa"/>
            <w:tcBorders>
              <w:top w:val="single" w:color="auto" w:sz="6" w:space="0"/>
              <w:left w:val="single" w:color="auto" w:sz="6" w:space="0"/>
              <w:bottom w:val="single" w:color="auto" w:sz="6" w:space="0"/>
              <w:right w:val="single" w:color="auto" w:sz="6" w:space="0"/>
            </w:tcBorders>
            <w:vAlign w:val="center"/>
          </w:tcPr>
          <w:p w14:paraId="77D03829">
            <w:pPr>
              <w:keepNext w:val="0"/>
              <w:keepLines w:val="0"/>
              <w:pageBreakBefore w:val="0"/>
              <w:widowControl/>
              <w:suppressLineNumbers w:val="0"/>
              <w:suppressAutoHyphens w:val="0"/>
              <w:spacing w:line="400" w:lineRule="exact"/>
              <w:jc w:val="center"/>
              <w:rPr>
                <w:rFonts w:cs="Arial"/>
              </w:rPr>
            </w:pPr>
          </w:p>
        </w:tc>
        <w:tc>
          <w:tcPr>
            <w:tcW w:w="1790" w:type="dxa"/>
            <w:tcBorders>
              <w:top w:val="single" w:color="auto" w:sz="6" w:space="0"/>
              <w:left w:val="single" w:color="auto" w:sz="6" w:space="0"/>
              <w:bottom w:val="single" w:color="auto" w:sz="6" w:space="0"/>
              <w:right w:val="single" w:color="auto" w:sz="6" w:space="0"/>
            </w:tcBorders>
            <w:vAlign w:val="center"/>
          </w:tcPr>
          <w:p w14:paraId="6C52C334">
            <w:pPr>
              <w:keepNext w:val="0"/>
              <w:keepLines w:val="0"/>
              <w:pageBreakBefore w:val="0"/>
              <w:widowControl/>
              <w:suppressLineNumbers w:val="0"/>
              <w:suppressAutoHyphens w:val="0"/>
              <w:spacing w:line="400" w:lineRule="exact"/>
              <w:jc w:val="center"/>
              <w:rPr>
                <w:rFonts w:cs="Arial"/>
              </w:rPr>
            </w:pPr>
          </w:p>
        </w:tc>
        <w:tc>
          <w:tcPr>
            <w:tcW w:w="1574" w:type="dxa"/>
            <w:tcBorders>
              <w:top w:val="single" w:color="auto" w:sz="6" w:space="0"/>
              <w:left w:val="single" w:color="auto" w:sz="6" w:space="0"/>
              <w:bottom w:val="single" w:color="auto" w:sz="6" w:space="0"/>
              <w:right w:val="single" w:color="auto" w:sz="6" w:space="0"/>
            </w:tcBorders>
            <w:vAlign w:val="center"/>
          </w:tcPr>
          <w:p w14:paraId="4C732210">
            <w:pPr>
              <w:keepNext w:val="0"/>
              <w:keepLines w:val="0"/>
              <w:pageBreakBefore w:val="0"/>
              <w:widowControl/>
              <w:suppressLineNumbers w:val="0"/>
              <w:suppressAutoHyphens w:val="0"/>
              <w:spacing w:line="400" w:lineRule="exact"/>
              <w:jc w:val="center"/>
              <w:rPr>
                <w:rFonts w:cs="Arial"/>
              </w:rPr>
            </w:pPr>
          </w:p>
        </w:tc>
        <w:tc>
          <w:tcPr>
            <w:tcW w:w="1927" w:type="dxa"/>
            <w:tcBorders>
              <w:top w:val="single" w:color="auto" w:sz="6" w:space="0"/>
              <w:left w:val="single" w:color="auto" w:sz="6" w:space="0"/>
              <w:bottom w:val="single" w:color="auto" w:sz="6" w:space="0"/>
              <w:right w:val="single" w:color="auto" w:sz="6" w:space="0"/>
            </w:tcBorders>
            <w:vAlign w:val="center"/>
          </w:tcPr>
          <w:p w14:paraId="418CF191">
            <w:pPr>
              <w:keepNext w:val="0"/>
              <w:keepLines w:val="0"/>
              <w:pageBreakBefore w:val="0"/>
              <w:widowControl/>
              <w:suppressLineNumbers w:val="0"/>
              <w:suppressAutoHyphens w:val="0"/>
              <w:spacing w:line="400" w:lineRule="exact"/>
              <w:jc w:val="center"/>
              <w:rPr>
                <w:rFonts w:cs="Arial"/>
              </w:rPr>
            </w:pPr>
          </w:p>
        </w:tc>
      </w:tr>
      <w:tr w14:paraId="4747199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54" w:type="dxa"/>
            <w:bottom w:w="0" w:type="dxa"/>
            <w:right w:w="54" w:type="dxa"/>
          </w:tblCellMar>
        </w:tblPrEx>
        <w:trPr>
          <w:cantSplit/>
          <w:trHeight w:val="429" w:hRule="atLeast"/>
          <w:jc w:val="center"/>
        </w:trPr>
        <w:tc>
          <w:tcPr>
            <w:tcW w:w="977" w:type="dxa"/>
            <w:tcBorders>
              <w:top w:val="single" w:color="auto" w:sz="6" w:space="0"/>
              <w:left w:val="single" w:color="auto" w:sz="4" w:space="0"/>
              <w:bottom w:val="single" w:color="auto" w:sz="6" w:space="0"/>
              <w:right w:val="single" w:color="auto" w:sz="6" w:space="0"/>
            </w:tcBorders>
            <w:vAlign w:val="center"/>
          </w:tcPr>
          <w:p w14:paraId="3994717D">
            <w:pPr>
              <w:keepNext w:val="0"/>
              <w:keepLines w:val="0"/>
              <w:pageBreakBefore w:val="0"/>
              <w:widowControl/>
              <w:suppressLineNumbers w:val="0"/>
              <w:suppressAutoHyphens w:val="0"/>
              <w:spacing w:line="400" w:lineRule="exact"/>
              <w:jc w:val="center"/>
              <w:rPr>
                <w:rFonts w:cs="Arial"/>
              </w:rPr>
            </w:pPr>
          </w:p>
        </w:tc>
        <w:tc>
          <w:tcPr>
            <w:tcW w:w="1951" w:type="dxa"/>
            <w:tcBorders>
              <w:top w:val="single" w:color="auto" w:sz="6" w:space="0"/>
              <w:left w:val="single" w:color="auto" w:sz="6" w:space="0"/>
              <w:bottom w:val="single" w:color="auto" w:sz="6" w:space="0"/>
              <w:right w:val="single" w:color="auto" w:sz="4" w:space="0"/>
            </w:tcBorders>
            <w:vAlign w:val="center"/>
          </w:tcPr>
          <w:p w14:paraId="06987666">
            <w:pPr>
              <w:keepNext w:val="0"/>
              <w:keepLines w:val="0"/>
              <w:pageBreakBefore w:val="0"/>
              <w:widowControl/>
              <w:suppressLineNumbers w:val="0"/>
              <w:suppressAutoHyphens w:val="0"/>
              <w:spacing w:line="400" w:lineRule="exact"/>
              <w:jc w:val="center"/>
              <w:rPr>
                <w:rFonts w:cs="Arial"/>
              </w:rPr>
            </w:pPr>
          </w:p>
        </w:tc>
        <w:tc>
          <w:tcPr>
            <w:tcW w:w="1790" w:type="dxa"/>
            <w:tcBorders>
              <w:top w:val="single" w:color="auto" w:sz="6" w:space="0"/>
              <w:left w:val="nil"/>
              <w:bottom w:val="single" w:color="auto" w:sz="6" w:space="0"/>
              <w:right w:val="single" w:color="auto" w:sz="6" w:space="0"/>
            </w:tcBorders>
            <w:vAlign w:val="center"/>
          </w:tcPr>
          <w:p w14:paraId="34898991">
            <w:pPr>
              <w:keepNext w:val="0"/>
              <w:keepLines w:val="0"/>
              <w:pageBreakBefore w:val="0"/>
              <w:widowControl/>
              <w:suppressLineNumbers w:val="0"/>
              <w:suppressAutoHyphens w:val="0"/>
              <w:spacing w:line="400" w:lineRule="exact"/>
              <w:jc w:val="center"/>
              <w:rPr>
                <w:rFonts w:cs="Arial"/>
              </w:rPr>
            </w:pPr>
          </w:p>
        </w:tc>
        <w:tc>
          <w:tcPr>
            <w:tcW w:w="1574" w:type="dxa"/>
            <w:tcBorders>
              <w:top w:val="single" w:color="auto" w:sz="6" w:space="0"/>
              <w:left w:val="single" w:color="auto" w:sz="6" w:space="0"/>
              <w:bottom w:val="single" w:color="auto" w:sz="6" w:space="0"/>
              <w:right w:val="single" w:color="auto" w:sz="6" w:space="0"/>
            </w:tcBorders>
            <w:vAlign w:val="center"/>
          </w:tcPr>
          <w:p w14:paraId="1D32CAC1">
            <w:pPr>
              <w:keepNext w:val="0"/>
              <w:keepLines w:val="0"/>
              <w:pageBreakBefore w:val="0"/>
              <w:widowControl/>
              <w:suppressLineNumbers w:val="0"/>
              <w:suppressAutoHyphens w:val="0"/>
              <w:spacing w:line="400" w:lineRule="exact"/>
              <w:jc w:val="center"/>
              <w:rPr>
                <w:rFonts w:cs="Arial"/>
              </w:rPr>
            </w:pPr>
          </w:p>
        </w:tc>
        <w:tc>
          <w:tcPr>
            <w:tcW w:w="1927" w:type="dxa"/>
            <w:tcBorders>
              <w:top w:val="single" w:color="auto" w:sz="6" w:space="0"/>
              <w:left w:val="single" w:color="auto" w:sz="6" w:space="0"/>
              <w:bottom w:val="single" w:color="auto" w:sz="6" w:space="0"/>
              <w:right w:val="single" w:color="auto" w:sz="6" w:space="0"/>
            </w:tcBorders>
            <w:vAlign w:val="center"/>
          </w:tcPr>
          <w:p w14:paraId="381CAD1A">
            <w:pPr>
              <w:keepNext w:val="0"/>
              <w:keepLines w:val="0"/>
              <w:pageBreakBefore w:val="0"/>
              <w:widowControl/>
              <w:suppressLineNumbers w:val="0"/>
              <w:suppressAutoHyphens w:val="0"/>
              <w:spacing w:line="400" w:lineRule="exact"/>
              <w:jc w:val="center"/>
              <w:rPr>
                <w:rFonts w:cs="Arial"/>
              </w:rPr>
            </w:pPr>
          </w:p>
        </w:tc>
      </w:tr>
      <w:tr w14:paraId="5CDA38C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54" w:type="dxa"/>
            <w:bottom w:w="0" w:type="dxa"/>
            <w:right w:w="54" w:type="dxa"/>
          </w:tblCellMar>
        </w:tblPrEx>
        <w:trPr>
          <w:cantSplit/>
          <w:trHeight w:val="429" w:hRule="atLeast"/>
          <w:jc w:val="center"/>
        </w:trPr>
        <w:tc>
          <w:tcPr>
            <w:tcW w:w="977" w:type="dxa"/>
            <w:tcBorders>
              <w:top w:val="single" w:color="auto" w:sz="6" w:space="0"/>
              <w:left w:val="single" w:color="auto" w:sz="4" w:space="0"/>
              <w:bottom w:val="single" w:color="auto" w:sz="6" w:space="0"/>
              <w:right w:val="single" w:color="auto" w:sz="4" w:space="0"/>
            </w:tcBorders>
            <w:vAlign w:val="center"/>
          </w:tcPr>
          <w:p w14:paraId="76DA1E27">
            <w:pPr>
              <w:keepNext w:val="0"/>
              <w:keepLines w:val="0"/>
              <w:pageBreakBefore w:val="0"/>
              <w:widowControl/>
              <w:suppressLineNumbers w:val="0"/>
              <w:suppressAutoHyphens w:val="0"/>
              <w:spacing w:line="400" w:lineRule="exact"/>
              <w:rPr>
                <w:rFonts w:cs="Arial"/>
              </w:rPr>
            </w:pPr>
          </w:p>
        </w:tc>
        <w:tc>
          <w:tcPr>
            <w:tcW w:w="1951" w:type="dxa"/>
            <w:tcBorders>
              <w:top w:val="single" w:color="auto" w:sz="6" w:space="0"/>
              <w:left w:val="nil"/>
              <w:bottom w:val="single" w:color="auto" w:sz="6" w:space="0"/>
              <w:right w:val="single" w:color="auto" w:sz="4" w:space="0"/>
            </w:tcBorders>
            <w:vAlign w:val="center"/>
          </w:tcPr>
          <w:p w14:paraId="18E35518">
            <w:pPr>
              <w:keepNext w:val="0"/>
              <w:keepLines w:val="0"/>
              <w:pageBreakBefore w:val="0"/>
              <w:widowControl/>
              <w:suppressLineNumbers w:val="0"/>
              <w:suppressAutoHyphens w:val="0"/>
              <w:spacing w:line="400" w:lineRule="exact"/>
              <w:rPr>
                <w:rFonts w:cs="Arial"/>
              </w:rPr>
            </w:pPr>
          </w:p>
        </w:tc>
        <w:tc>
          <w:tcPr>
            <w:tcW w:w="1790" w:type="dxa"/>
            <w:tcBorders>
              <w:top w:val="single" w:color="auto" w:sz="6" w:space="0"/>
              <w:left w:val="nil"/>
              <w:bottom w:val="single" w:color="auto" w:sz="6" w:space="0"/>
              <w:right w:val="single" w:color="auto" w:sz="4" w:space="0"/>
            </w:tcBorders>
            <w:vAlign w:val="center"/>
          </w:tcPr>
          <w:p w14:paraId="7516F260">
            <w:pPr>
              <w:keepNext w:val="0"/>
              <w:keepLines w:val="0"/>
              <w:pageBreakBefore w:val="0"/>
              <w:widowControl/>
              <w:suppressLineNumbers w:val="0"/>
              <w:suppressAutoHyphens w:val="0"/>
              <w:spacing w:line="400" w:lineRule="exact"/>
              <w:rPr>
                <w:rFonts w:cs="Arial"/>
              </w:rPr>
            </w:pPr>
          </w:p>
        </w:tc>
        <w:tc>
          <w:tcPr>
            <w:tcW w:w="1574" w:type="dxa"/>
            <w:tcBorders>
              <w:top w:val="single" w:color="auto" w:sz="6" w:space="0"/>
              <w:left w:val="nil"/>
              <w:bottom w:val="single" w:color="auto" w:sz="6" w:space="0"/>
              <w:right w:val="single" w:color="auto" w:sz="4" w:space="0"/>
            </w:tcBorders>
            <w:vAlign w:val="center"/>
          </w:tcPr>
          <w:p w14:paraId="6B57FE83">
            <w:pPr>
              <w:keepNext w:val="0"/>
              <w:keepLines w:val="0"/>
              <w:pageBreakBefore w:val="0"/>
              <w:widowControl/>
              <w:suppressLineNumbers w:val="0"/>
              <w:suppressAutoHyphens w:val="0"/>
              <w:spacing w:line="400" w:lineRule="exact"/>
              <w:rPr>
                <w:rFonts w:cs="Arial"/>
              </w:rPr>
            </w:pPr>
          </w:p>
        </w:tc>
        <w:tc>
          <w:tcPr>
            <w:tcW w:w="1927" w:type="dxa"/>
            <w:tcBorders>
              <w:top w:val="single" w:color="auto" w:sz="6" w:space="0"/>
              <w:left w:val="nil"/>
              <w:bottom w:val="single" w:color="auto" w:sz="6" w:space="0"/>
              <w:right w:val="single" w:color="auto" w:sz="4" w:space="0"/>
            </w:tcBorders>
            <w:vAlign w:val="center"/>
          </w:tcPr>
          <w:p w14:paraId="479431FA">
            <w:pPr>
              <w:keepNext w:val="0"/>
              <w:keepLines w:val="0"/>
              <w:pageBreakBefore w:val="0"/>
              <w:widowControl/>
              <w:suppressLineNumbers w:val="0"/>
              <w:suppressAutoHyphens w:val="0"/>
              <w:spacing w:line="400" w:lineRule="exact"/>
              <w:rPr>
                <w:rFonts w:cs="Arial"/>
              </w:rPr>
            </w:pPr>
          </w:p>
        </w:tc>
      </w:tr>
      <w:tr w14:paraId="70D7093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54" w:type="dxa"/>
            <w:bottom w:w="0" w:type="dxa"/>
            <w:right w:w="54" w:type="dxa"/>
          </w:tblCellMar>
        </w:tblPrEx>
        <w:trPr>
          <w:cantSplit/>
          <w:trHeight w:val="429" w:hRule="atLeast"/>
          <w:jc w:val="center"/>
        </w:trPr>
        <w:tc>
          <w:tcPr>
            <w:tcW w:w="977" w:type="dxa"/>
            <w:tcBorders>
              <w:top w:val="single" w:color="auto" w:sz="6" w:space="0"/>
              <w:left w:val="single" w:color="auto" w:sz="4" w:space="0"/>
              <w:bottom w:val="single" w:color="auto" w:sz="6" w:space="0"/>
              <w:right w:val="single" w:color="auto" w:sz="6" w:space="0"/>
            </w:tcBorders>
            <w:vAlign w:val="center"/>
          </w:tcPr>
          <w:p w14:paraId="3F6C9374">
            <w:pPr>
              <w:keepNext w:val="0"/>
              <w:keepLines w:val="0"/>
              <w:pageBreakBefore w:val="0"/>
              <w:widowControl/>
              <w:suppressLineNumbers w:val="0"/>
              <w:suppressAutoHyphens w:val="0"/>
              <w:spacing w:line="400" w:lineRule="exact"/>
              <w:rPr>
                <w:rFonts w:cs="Arial"/>
              </w:rPr>
            </w:pPr>
          </w:p>
        </w:tc>
        <w:tc>
          <w:tcPr>
            <w:tcW w:w="1951" w:type="dxa"/>
            <w:tcBorders>
              <w:top w:val="single" w:color="auto" w:sz="6" w:space="0"/>
              <w:left w:val="single" w:color="auto" w:sz="6" w:space="0"/>
              <w:bottom w:val="single" w:color="auto" w:sz="6" w:space="0"/>
              <w:right w:val="single" w:color="auto" w:sz="6" w:space="0"/>
            </w:tcBorders>
            <w:vAlign w:val="center"/>
          </w:tcPr>
          <w:p w14:paraId="75A5E50D">
            <w:pPr>
              <w:keepNext w:val="0"/>
              <w:keepLines w:val="0"/>
              <w:pageBreakBefore w:val="0"/>
              <w:widowControl/>
              <w:suppressLineNumbers w:val="0"/>
              <w:suppressAutoHyphens w:val="0"/>
              <w:spacing w:line="400" w:lineRule="exact"/>
              <w:rPr>
                <w:rFonts w:cs="Arial"/>
              </w:rPr>
            </w:pPr>
          </w:p>
        </w:tc>
        <w:tc>
          <w:tcPr>
            <w:tcW w:w="1790" w:type="dxa"/>
            <w:tcBorders>
              <w:top w:val="single" w:color="auto" w:sz="6" w:space="0"/>
              <w:left w:val="single" w:color="auto" w:sz="6" w:space="0"/>
              <w:bottom w:val="single" w:color="auto" w:sz="6" w:space="0"/>
              <w:right w:val="single" w:color="auto" w:sz="6" w:space="0"/>
            </w:tcBorders>
            <w:vAlign w:val="center"/>
          </w:tcPr>
          <w:p w14:paraId="43FF68B8">
            <w:pPr>
              <w:keepNext w:val="0"/>
              <w:keepLines w:val="0"/>
              <w:pageBreakBefore w:val="0"/>
              <w:widowControl/>
              <w:suppressLineNumbers w:val="0"/>
              <w:suppressAutoHyphens w:val="0"/>
              <w:spacing w:line="400" w:lineRule="exact"/>
              <w:rPr>
                <w:rFonts w:cs="Arial"/>
              </w:rPr>
            </w:pPr>
          </w:p>
        </w:tc>
        <w:tc>
          <w:tcPr>
            <w:tcW w:w="1574" w:type="dxa"/>
            <w:tcBorders>
              <w:top w:val="single" w:color="auto" w:sz="6" w:space="0"/>
              <w:left w:val="single" w:color="auto" w:sz="6" w:space="0"/>
              <w:bottom w:val="single" w:color="auto" w:sz="6" w:space="0"/>
              <w:right w:val="single" w:color="auto" w:sz="6" w:space="0"/>
            </w:tcBorders>
            <w:vAlign w:val="center"/>
          </w:tcPr>
          <w:p w14:paraId="4778FE40">
            <w:pPr>
              <w:keepNext w:val="0"/>
              <w:keepLines w:val="0"/>
              <w:pageBreakBefore w:val="0"/>
              <w:widowControl/>
              <w:suppressLineNumbers w:val="0"/>
              <w:suppressAutoHyphens w:val="0"/>
              <w:spacing w:line="400" w:lineRule="exact"/>
              <w:rPr>
                <w:rFonts w:cs="Arial"/>
              </w:rPr>
            </w:pPr>
          </w:p>
        </w:tc>
        <w:tc>
          <w:tcPr>
            <w:tcW w:w="1927" w:type="dxa"/>
            <w:tcBorders>
              <w:top w:val="single" w:color="auto" w:sz="6" w:space="0"/>
              <w:left w:val="single" w:color="auto" w:sz="6" w:space="0"/>
              <w:bottom w:val="single" w:color="auto" w:sz="6" w:space="0"/>
              <w:right w:val="single" w:color="auto" w:sz="4" w:space="0"/>
            </w:tcBorders>
            <w:vAlign w:val="center"/>
          </w:tcPr>
          <w:p w14:paraId="21847120">
            <w:pPr>
              <w:keepNext w:val="0"/>
              <w:keepLines w:val="0"/>
              <w:pageBreakBefore w:val="0"/>
              <w:widowControl/>
              <w:suppressLineNumbers w:val="0"/>
              <w:suppressAutoHyphens w:val="0"/>
              <w:spacing w:line="400" w:lineRule="exact"/>
              <w:rPr>
                <w:rFonts w:cs="Arial"/>
              </w:rPr>
            </w:pPr>
          </w:p>
        </w:tc>
      </w:tr>
      <w:tr w14:paraId="3BAC740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54" w:type="dxa"/>
            <w:bottom w:w="0" w:type="dxa"/>
            <w:right w:w="54" w:type="dxa"/>
          </w:tblCellMar>
        </w:tblPrEx>
        <w:trPr>
          <w:cantSplit/>
          <w:trHeight w:val="440" w:hRule="atLeast"/>
          <w:jc w:val="center"/>
        </w:trPr>
        <w:tc>
          <w:tcPr>
            <w:tcW w:w="977" w:type="dxa"/>
            <w:tcBorders>
              <w:top w:val="single" w:color="auto" w:sz="4" w:space="0"/>
              <w:left w:val="single" w:color="auto" w:sz="4" w:space="0"/>
              <w:bottom w:val="single" w:color="auto" w:sz="4" w:space="0"/>
              <w:right w:val="single" w:color="auto" w:sz="6" w:space="0"/>
            </w:tcBorders>
            <w:vAlign w:val="center"/>
          </w:tcPr>
          <w:p w14:paraId="3EB98BA6">
            <w:pPr>
              <w:keepNext w:val="0"/>
              <w:keepLines w:val="0"/>
              <w:pageBreakBefore w:val="0"/>
              <w:widowControl/>
              <w:suppressLineNumbers w:val="0"/>
              <w:suppressAutoHyphens w:val="0"/>
              <w:spacing w:line="400" w:lineRule="exact"/>
              <w:jc w:val="center"/>
              <w:rPr>
                <w:rFonts w:cs="Arial"/>
              </w:rPr>
            </w:pPr>
          </w:p>
        </w:tc>
        <w:tc>
          <w:tcPr>
            <w:tcW w:w="1951" w:type="dxa"/>
            <w:tcBorders>
              <w:top w:val="single" w:color="auto" w:sz="4" w:space="0"/>
              <w:left w:val="single" w:color="auto" w:sz="6" w:space="0"/>
              <w:bottom w:val="single" w:color="auto" w:sz="4" w:space="0"/>
              <w:right w:val="single" w:color="auto" w:sz="6" w:space="0"/>
            </w:tcBorders>
            <w:vAlign w:val="center"/>
          </w:tcPr>
          <w:p w14:paraId="3DAA3663">
            <w:pPr>
              <w:keepNext w:val="0"/>
              <w:keepLines w:val="0"/>
              <w:pageBreakBefore w:val="0"/>
              <w:widowControl/>
              <w:suppressLineNumbers w:val="0"/>
              <w:suppressAutoHyphens w:val="0"/>
              <w:spacing w:line="400" w:lineRule="exact"/>
              <w:jc w:val="center"/>
              <w:rPr>
                <w:rFonts w:cs="Arial"/>
              </w:rPr>
            </w:pPr>
          </w:p>
        </w:tc>
        <w:tc>
          <w:tcPr>
            <w:tcW w:w="1790" w:type="dxa"/>
            <w:tcBorders>
              <w:top w:val="single" w:color="auto" w:sz="4" w:space="0"/>
              <w:left w:val="single" w:color="auto" w:sz="6" w:space="0"/>
              <w:bottom w:val="single" w:color="auto" w:sz="4" w:space="0"/>
              <w:right w:val="single" w:color="auto" w:sz="6" w:space="0"/>
            </w:tcBorders>
            <w:vAlign w:val="center"/>
          </w:tcPr>
          <w:p w14:paraId="74685C84">
            <w:pPr>
              <w:keepNext w:val="0"/>
              <w:keepLines w:val="0"/>
              <w:pageBreakBefore w:val="0"/>
              <w:widowControl/>
              <w:suppressLineNumbers w:val="0"/>
              <w:suppressAutoHyphens w:val="0"/>
              <w:spacing w:line="400" w:lineRule="exact"/>
              <w:jc w:val="center"/>
              <w:rPr>
                <w:rFonts w:cs="Arial"/>
              </w:rPr>
            </w:pPr>
          </w:p>
        </w:tc>
        <w:tc>
          <w:tcPr>
            <w:tcW w:w="1574" w:type="dxa"/>
            <w:tcBorders>
              <w:top w:val="single" w:color="auto" w:sz="4" w:space="0"/>
              <w:left w:val="single" w:color="auto" w:sz="6" w:space="0"/>
              <w:bottom w:val="single" w:color="auto" w:sz="4" w:space="0"/>
              <w:right w:val="single" w:color="auto" w:sz="6" w:space="0"/>
            </w:tcBorders>
            <w:vAlign w:val="center"/>
          </w:tcPr>
          <w:p w14:paraId="5588DBC3">
            <w:pPr>
              <w:keepNext w:val="0"/>
              <w:keepLines w:val="0"/>
              <w:pageBreakBefore w:val="0"/>
              <w:widowControl/>
              <w:suppressLineNumbers w:val="0"/>
              <w:suppressAutoHyphens w:val="0"/>
              <w:spacing w:line="400" w:lineRule="exact"/>
              <w:jc w:val="center"/>
              <w:rPr>
                <w:rFonts w:cs="Arial"/>
              </w:rPr>
            </w:pPr>
          </w:p>
        </w:tc>
        <w:tc>
          <w:tcPr>
            <w:tcW w:w="1927" w:type="dxa"/>
            <w:tcBorders>
              <w:top w:val="single" w:color="auto" w:sz="4" w:space="0"/>
              <w:left w:val="single" w:color="auto" w:sz="6" w:space="0"/>
              <w:bottom w:val="single" w:color="auto" w:sz="4" w:space="0"/>
              <w:right w:val="single" w:color="auto" w:sz="4" w:space="0"/>
            </w:tcBorders>
            <w:vAlign w:val="center"/>
          </w:tcPr>
          <w:p w14:paraId="253958ED">
            <w:pPr>
              <w:keepNext w:val="0"/>
              <w:keepLines w:val="0"/>
              <w:pageBreakBefore w:val="0"/>
              <w:widowControl/>
              <w:suppressLineNumbers w:val="0"/>
              <w:suppressAutoHyphens w:val="0"/>
              <w:spacing w:line="400" w:lineRule="exact"/>
              <w:jc w:val="center"/>
              <w:rPr>
                <w:rFonts w:cs="Arial"/>
              </w:rPr>
            </w:pPr>
          </w:p>
        </w:tc>
      </w:tr>
      <w:tr w14:paraId="3A67F86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54" w:type="dxa"/>
            <w:bottom w:w="0" w:type="dxa"/>
            <w:right w:w="54" w:type="dxa"/>
          </w:tblCellMar>
        </w:tblPrEx>
        <w:trPr>
          <w:cantSplit/>
          <w:trHeight w:val="321" w:hRule="atLeast"/>
          <w:jc w:val="center"/>
        </w:trPr>
        <w:tc>
          <w:tcPr>
            <w:tcW w:w="977" w:type="dxa"/>
            <w:tcBorders>
              <w:top w:val="single" w:color="auto" w:sz="4" w:space="0"/>
              <w:left w:val="single" w:color="auto" w:sz="4" w:space="0"/>
              <w:bottom w:val="single" w:color="auto" w:sz="4" w:space="0"/>
              <w:right w:val="single" w:color="auto" w:sz="6" w:space="0"/>
            </w:tcBorders>
            <w:vAlign w:val="center"/>
          </w:tcPr>
          <w:p w14:paraId="1EFE743C">
            <w:pPr>
              <w:keepNext w:val="0"/>
              <w:keepLines w:val="0"/>
              <w:pageBreakBefore w:val="0"/>
              <w:widowControl/>
              <w:suppressLineNumbers w:val="0"/>
              <w:suppressAutoHyphens w:val="0"/>
              <w:spacing w:line="400" w:lineRule="exact"/>
              <w:jc w:val="center"/>
              <w:rPr>
                <w:rFonts w:cs="Arial"/>
              </w:rPr>
            </w:pPr>
          </w:p>
        </w:tc>
        <w:tc>
          <w:tcPr>
            <w:tcW w:w="1951" w:type="dxa"/>
            <w:tcBorders>
              <w:top w:val="single" w:color="auto" w:sz="4" w:space="0"/>
              <w:left w:val="single" w:color="auto" w:sz="6" w:space="0"/>
              <w:bottom w:val="single" w:color="auto" w:sz="4" w:space="0"/>
              <w:right w:val="single" w:color="auto" w:sz="6" w:space="0"/>
            </w:tcBorders>
            <w:vAlign w:val="center"/>
          </w:tcPr>
          <w:p w14:paraId="0028302A">
            <w:pPr>
              <w:keepNext w:val="0"/>
              <w:keepLines w:val="0"/>
              <w:pageBreakBefore w:val="0"/>
              <w:widowControl/>
              <w:suppressLineNumbers w:val="0"/>
              <w:suppressAutoHyphens w:val="0"/>
              <w:spacing w:line="400" w:lineRule="exact"/>
              <w:jc w:val="center"/>
              <w:rPr>
                <w:rFonts w:cs="Arial"/>
              </w:rPr>
            </w:pPr>
          </w:p>
        </w:tc>
        <w:tc>
          <w:tcPr>
            <w:tcW w:w="1790" w:type="dxa"/>
            <w:tcBorders>
              <w:top w:val="single" w:color="auto" w:sz="4" w:space="0"/>
              <w:left w:val="single" w:color="auto" w:sz="6" w:space="0"/>
              <w:bottom w:val="single" w:color="auto" w:sz="4" w:space="0"/>
              <w:right w:val="single" w:color="auto" w:sz="6" w:space="0"/>
            </w:tcBorders>
            <w:vAlign w:val="center"/>
          </w:tcPr>
          <w:p w14:paraId="0440A38D">
            <w:pPr>
              <w:keepNext w:val="0"/>
              <w:keepLines w:val="0"/>
              <w:pageBreakBefore w:val="0"/>
              <w:widowControl/>
              <w:suppressLineNumbers w:val="0"/>
              <w:suppressAutoHyphens w:val="0"/>
              <w:spacing w:line="400" w:lineRule="exact"/>
              <w:jc w:val="center"/>
              <w:rPr>
                <w:rFonts w:cs="Arial"/>
              </w:rPr>
            </w:pPr>
          </w:p>
        </w:tc>
        <w:tc>
          <w:tcPr>
            <w:tcW w:w="1574" w:type="dxa"/>
            <w:tcBorders>
              <w:top w:val="single" w:color="auto" w:sz="4" w:space="0"/>
              <w:left w:val="single" w:color="auto" w:sz="6" w:space="0"/>
              <w:bottom w:val="single" w:color="auto" w:sz="4" w:space="0"/>
              <w:right w:val="single" w:color="auto" w:sz="6" w:space="0"/>
            </w:tcBorders>
            <w:vAlign w:val="center"/>
          </w:tcPr>
          <w:p w14:paraId="173B5598">
            <w:pPr>
              <w:keepNext w:val="0"/>
              <w:keepLines w:val="0"/>
              <w:pageBreakBefore w:val="0"/>
              <w:widowControl/>
              <w:suppressLineNumbers w:val="0"/>
              <w:suppressAutoHyphens w:val="0"/>
              <w:spacing w:line="400" w:lineRule="exact"/>
              <w:jc w:val="center"/>
              <w:rPr>
                <w:rFonts w:cs="Arial"/>
              </w:rPr>
            </w:pPr>
          </w:p>
        </w:tc>
        <w:tc>
          <w:tcPr>
            <w:tcW w:w="1927" w:type="dxa"/>
            <w:tcBorders>
              <w:top w:val="single" w:color="auto" w:sz="4" w:space="0"/>
              <w:left w:val="single" w:color="auto" w:sz="6" w:space="0"/>
              <w:bottom w:val="single" w:color="auto" w:sz="4" w:space="0"/>
              <w:right w:val="single" w:color="auto" w:sz="4" w:space="0"/>
            </w:tcBorders>
            <w:vAlign w:val="center"/>
          </w:tcPr>
          <w:p w14:paraId="6A3471CB">
            <w:pPr>
              <w:keepNext w:val="0"/>
              <w:keepLines w:val="0"/>
              <w:pageBreakBefore w:val="0"/>
              <w:widowControl/>
              <w:suppressLineNumbers w:val="0"/>
              <w:suppressAutoHyphens w:val="0"/>
              <w:spacing w:line="400" w:lineRule="exact"/>
              <w:jc w:val="center"/>
              <w:rPr>
                <w:rFonts w:cs="Arial"/>
              </w:rPr>
            </w:pPr>
          </w:p>
        </w:tc>
      </w:tr>
      <w:tr w14:paraId="3298FAD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54" w:type="dxa"/>
            <w:bottom w:w="0" w:type="dxa"/>
            <w:right w:w="54" w:type="dxa"/>
          </w:tblCellMar>
        </w:tblPrEx>
        <w:trPr>
          <w:cantSplit/>
          <w:trHeight w:val="311" w:hRule="atLeast"/>
          <w:jc w:val="center"/>
        </w:trPr>
        <w:tc>
          <w:tcPr>
            <w:tcW w:w="977" w:type="dxa"/>
            <w:tcBorders>
              <w:top w:val="single" w:color="auto" w:sz="4" w:space="0"/>
              <w:left w:val="single" w:color="auto" w:sz="4" w:space="0"/>
              <w:bottom w:val="single" w:color="auto" w:sz="4" w:space="0"/>
              <w:right w:val="single" w:color="auto" w:sz="6" w:space="0"/>
            </w:tcBorders>
            <w:vAlign w:val="center"/>
          </w:tcPr>
          <w:p w14:paraId="39D980B6">
            <w:pPr>
              <w:keepNext w:val="0"/>
              <w:keepLines w:val="0"/>
              <w:pageBreakBefore w:val="0"/>
              <w:widowControl/>
              <w:suppressLineNumbers w:val="0"/>
              <w:suppressAutoHyphens w:val="0"/>
              <w:spacing w:line="400" w:lineRule="exact"/>
              <w:jc w:val="center"/>
              <w:rPr>
                <w:rFonts w:cs="Arial"/>
              </w:rPr>
            </w:pPr>
          </w:p>
        </w:tc>
        <w:tc>
          <w:tcPr>
            <w:tcW w:w="1951" w:type="dxa"/>
            <w:tcBorders>
              <w:top w:val="single" w:color="auto" w:sz="4" w:space="0"/>
              <w:left w:val="single" w:color="auto" w:sz="6" w:space="0"/>
              <w:bottom w:val="single" w:color="auto" w:sz="4" w:space="0"/>
              <w:right w:val="single" w:color="auto" w:sz="6" w:space="0"/>
            </w:tcBorders>
            <w:vAlign w:val="center"/>
          </w:tcPr>
          <w:p w14:paraId="6741C0B4">
            <w:pPr>
              <w:keepNext w:val="0"/>
              <w:keepLines w:val="0"/>
              <w:pageBreakBefore w:val="0"/>
              <w:widowControl/>
              <w:suppressLineNumbers w:val="0"/>
              <w:suppressAutoHyphens w:val="0"/>
              <w:spacing w:line="400" w:lineRule="exact"/>
              <w:jc w:val="center"/>
              <w:rPr>
                <w:rFonts w:cs="Arial"/>
              </w:rPr>
            </w:pPr>
          </w:p>
        </w:tc>
        <w:tc>
          <w:tcPr>
            <w:tcW w:w="1790" w:type="dxa"/>
            <w:tcBorders>
              <w:top w:val="single" w:color="auto" w:sz="4" w:space="0"/>
              <w:left w:val="single" w:color="auto" w:sz="6" w:space="0"/>
              <w:bottom w:val="single" w:color="auto" w:sz="4" w:space="0"/>
              <w:right w:val="single" w:color="auto" w:sz="6" w:space="0"/>
            </w:tcBorders>
            <w:vAlign w:val="center"/>
          </w:tcPr>
          <w:p w14:paraId="6A6AF451">
            <w:pPr>
              <w:keepNext w:val="0"/>
              <w:keepLines w:val="0"/>
              <w:pageBreakBefore w:val="0"/>
              <w:widowControl/>
              <w:suppressLineNumbers w:val="0"/>
              <w:suppressAutoHyphens w:val="0"/>
              <w:spacing w:line="400" w:lineRule="exact"/>
              <w:jc w:val="center"/>
              <w:rPr>
                <w:rFonts w:cs="Arial"/>
              </w:rPr>
            </w:pPr>
          </w:p>
        </w:tc>
        <w:tc>
          <w:tcPr>
            <w:tcW w:w="1574" w:type="dxa"/>
            <w:tcBorders>
              <w:top w:val="single" w:color="auto" w:sz="4" w:space="0"/>
              <w:left w:val="single" w:color="auto" w:sz="6" w:space="0"/>
              <w:bottom w:val="single" w:color="auto" w:sz="4" w:space="0"/>
              <w:right w:val="single" w:color="auto" w:sz="6" w:space="0"/>
            </w:tcBorders>
            <w:vAlign w:val="center"/>
          </w:tcPr>
          <w:p w14:paraId="2E5CAA22">
            <w:pPr>
              <w:keepNext w:val="0"/>
              <w:keepLines w:val="0"/>
              <w:pageBreakBefore w:val="0"/>
              <w:widowControl/>
              <w:suppressLineNumbers w:val="0"/>
              <w:suppressAutoHyphens w:val="0"/>
              <w:spacing w:line="400" w:lineRule="exact"/>
              <w:jc w:val="center"/>
              <w:rPr>
                <w:rFonts w:cs="Arial"/>
              </w:rPr>
            </w:pPr>
          </w:p>
        </w:tc>
        <w:tc>
          <w:tcPr>
            <w:tcW w:w="1927" w:type="dxa"/>
            <w:tcBorders>
              <w:top w:val="single" w:color="auto" w:sz="4" w:space="0"/>
              <w:left w:val="single" w:color="auto" w:sz="6" w:space="0"/>
              <w:bottom w:val="single" w:color="auto" w:sz="4" w:space="0"/>
              <w:right w:val="single" w:color="auto" w:sz="4" w:space="0"/>
            </w:tcBorders>
            <w:vAlign w:val="center"/>
          </w:tcPr>
          <w:p w14:paraId="1B2841E7">
            <w:pPr>
              <w:keepNext w:val="0"/>
              <w:keepLines w:val="0"/>
              <w:pageBreakBefore w:val="0"/>
              <w:widowControl/>
              <w:suppressLineNumbers w:val="0"/>
              <w:suppressAutoHyphens w:val="0"/>
              <w:spacing w:line="400" w:lineRule="exact"/>
              <w:jc w:val="center"/>
              <w:rPr>
                <w:rFonts w:cs="Arial"/>
              </w:rPr>
            </w:pPr>
          </w:p>
        </w:tc>
      </w:tr>
    </w:tbl>
    <w:p w14:paraId="03406EA1">
      <w:pPr>
        <w:spacing w:line="400" w:lineRule="exact"/>
        <w:ind w:firstLine="480" w:firstLineChars="200"/>
        <w:rPr>
          <w:rFonts w:cs="Arial"/>
          <w:sz w:val="24"/>
          <w:szCs w:val="24"/>
        </w:rPr>
      </w:pPr>
      <w:r>
        <w:rPr>
          <w:rFonts w:hint="eastAsia" w:ascii="宋体" w:cs="Arial"/>
          <w:sz w:val="24"/>
          <w:szCs w:val="24"/>
        </w:rPr>
        <w:t>注：供应商（仅限于供应商自己的）以上业绩需提供有关书面证明材料。</w:t>
      </w:r>
    </w:p>
    <w:p w14:paraId="027D2A52">
      <w:pPr>
        <w:spacing w:line="400" w:lineRule="exact"/>
        <w:ind w:left="360"/>
        <w:jc w:val="center"/>
        <w:rPr>
          <w:rFonts w:cs="Arial"/>
          <w:sz w:val="24"/>
          <w:szCs w:val="24"/>
        </w:rPr>
      </w:pPr>
    </w:p>
    <w:p w14:paraId="26728F2D">
      <w:pPr>
        <w:jc w:val="left"/>
        <w:rPr>
          <w:rFonts w:cs="Arial"/>
        </w:rPr>
      </w:pPr>
    </w:p>
    <w:p w14:paraId="1724E29B">
      <w:pPr>
        <w:adjustRightInd w:val="0"/>
        <w:snapToGrid/>
        <w:spacing w:line="400" w:lineRule="exact"/>
        <w:ind w:firstLine="480" w:firstLineChars="200"/>
        <w:jc w:val="left"/>
        <w:rPr>
          <w:rFonts w:hint="eastAsia"/>
          <w:sz w:val="24"/>
          <w:szCs w:val="24"/>
        </w:rPr>
      </w:pPr>
      <w:r>
        <w:rPr>
          <w:rFonts w:hint="eastAsia" w:ascii="宋体"/>
          <w:sz w:val="24"/>
          <w:szCs w:val="24"/>
        </w:rPr>
        <w:t>供应商名称（盖章）：</w:t>
      </w:r>
    </w:p>
    <w:p w14:paraId="43653F4F">
      <w:pPr>
        <w:adjustRightInd w:val="0"/>
        <w:snapToGrid/>
        <w:spacing w:line="400" w:lineRule="exact"/>
        <w:ind w:firstLine="480" w:firstLineChars="200"/>
        <w:jc w:val="left"/>
        <w:rPr>
          <w:rFonts w:hint="eastAsia"/>
          <w:sz w:val="24"/>
          <w:szCs w:val="24"/>
        </w:rPr>
      </w:pPr>
      <w:r>
        <w:rPr>
          <w:rFonts w:hint="eastAsia" w:ascii="宋体"/>
          <w:sz w:val="24"/>
          <w:szCs w:val="24"/>
        </w:rPr>
        <w:t>法定代表人或授权代表（签字或盖章）：</w:t>
      </w:r>
    </w:p>
    <w:p w14:paraId="6637E535">
      <w:pPr>
        <w:adjustRightInd w:val="0"/>
        <w:snapToGrid/>
        <w:spacing w:line="400" w:lineRule="exact"/>
        <w:ind w:firstLine="480" w:firstLineChars="200"/>
        <w:jc w:val="left"/>
        <w:rPr>
          <w:bCs/>
          <w:sz w:val="24"/>
          <w:szCs w:val="24"/>
        </w:rPr>
      </w:pPr>
      <w:r>
        <w:rPr>
          <w:rFonts w:hint="eastAsia" w:ascii="宋体"/>
          <w:sz w:val="24"/>
          <w:szCs w:val="24"/>
        </w:rPr>
        <w:t>日期：</w:t>
      </w:r>
      <w:r>
        <w:rPr>
          <w:rFonts w:hint="eastAsia"/>
          <w:sz w:val="24"/>
          <w:szCs w:val="24"/>
        </w:rPr>
        <w:t xml:space="preserve">      </w:t>
      </w:r>
      <w:r>
        <w:rPr>
          <w:rFonts w:hint="eastAsia" w:ascii="宋体"/>
          <w:sz w:val="24"/>
          <w:szCs w:val="24"/>
        </w:rPr>
        <w:t>年</w:t>
      </w:r>
      <w:r>
        <w:rPr>
          <w:rFonts w:hint="eastAsia"/>
          <w:sz w:val="24"/>
          <w:szCs w:val="24"/>
        </w:rPr>
        <w:t xml:space="preserve">    </w:t>
      </w:r>
      <w:r>
        <w:rPr>
          <w:rFonts w:hint="eastAsia" w:ascii="宋体"/>
          <w:sz w:val="24"/>
          <w:szCs w:val="24"/>
        </w:rPr>
        <w:t>月</w:t>
      </w:r>
      <w:r>
        <w:rPr>
          <w:rFonts w:hint="eastAsia"/>
          <w:sz w:val="24"/>
          <w:szCs w:val="24"/>
        </w:rPr>
        <w:t xml:space="preserve">    </w:t>
      </w:r>
      <w:r>
        <w:rPr>
          <w:rFonts w:hint="eastAsia" w:ascii="宋体"/>
          <w:sz w:val="24"/>
          <w:szCs w:val="24"/>
        </w:rPr>
        <w:t>日</w:t>
      </w:r>
      <w:r>
        <w:rPr>
          <w:rFonts w:hint="eastAsia"/>
          <w:sz w:val="24"/>
          <w:szCs w:val="24"/>
        </w:rPr>
        <w:t xml:space="preserve">                </w:t>
      </w:r>
      <w:r>
        <w:rPr>
          <w:rFonts w:hint="eastAsia"/>
          <w:sz w:val="24"/>
          <w:szCs w:val="24"/>
        </w:rPr>
        <w:br w:type="page"/>
      </w:r>
    </w:p>
    <w:p w14:paraId="34944711">
      <w:pPr>
        <w:jc w:val="center"/>
        <w:outlineLvl w:val="2"/>
        <w:rPr>
          <w:b/>
          <w:sz w:val="32"/>
          <w:szCs w:val="32"/>
        </w:rPr>
      </w:pPr>
      <w:r>
        <w:rPr>
          <w:rFonts w:hint="eastAsia" w:ascii="宋体"/>
          <w:b/>
          <w:sz w:val="32"/>
          <w:szCs w:val="32"/>
        </w:rPr>
        <w:t>五、供应商本项目管理、技术、服务人员情况表</w:t>
      </w:r>
    </w:p>
    <w:p w14:paraId="5189CF3B">
      <w:pPr>
        <w:rPr>
          <w:sz w:val="32"/>
          <w:szCs w:val="32"/>
        </w:rPr>
      </w:pPr>
    </w:p>
    <w:tbl>
      <w:tblPr>
        <w:tblStyle w:val="23"/>
        <w:tblW w:w="5000" w:type="pct"/>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autofit"/>
        <w:tblCellMar>
          <w:top w:w="0" w:type="dxa"/>
          <w:left w:w="108" w:type="dxa"/>
          <w:bottom w:w="0" w:type="dxa"/>
          <w:right w:w="108" w:type="dxa"/>
        </w:tblCellMar>
      </w:tblPr>
      <w:tblGrid>
        <w:gridCol w:w="946"/>
        <w:gridCol w:w="948"/>
        <w:gridCol w:w="946"/>
        <w:gridCol w:w="948"/>
        <w:gridCol w:w="946"/>
        <w:gridCol w:w="946"/>
        <w:gridCol w:w="948"/>
        <w:gridCol w:w="946"/>
        <w:gridCol w:w="949"/>
      </w:tblGrid>
      <w:tr w14:paraId="34365DC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51" w:hRule="atLeast"/>
        </w:trPr>
        <w:tc>
          <w:tcPr>
            <w:tcW w:w="946" w:type="dxa"/>
            <w:vMerge w:val="restart"/>
            <w:tcBorders>
              <w:top w:val="single" w:color="auto" w:sz="4" w:space="0"/>
              <w:left w:val="single" w:color="auto" w:sz="4" w:space="0"/>
              <w:bottom w:val="single" w:color="auto" w:sz="4" w:space="0"/>
              <w:right w:val="single" w:color="auto" w:sz="4" w:space="0"/>
            </w:tcBorders>
            <w:vAlign w:val="center"/>
          </w:tcPr>
          <w:p w14:paraId="5A97CC91">
            <w:pPr>
              <w:keepNext w:val="0"/>
              <w:keepLines w:val="0"/>
              <w:pageBreakBefore w:val="0"/>
              <w:widowControl/>
              <w:suppressLineNumbers w:val="0"/>
              <w:suppressAutoHyphens w:val="0"/>
              <w:jc w:val="center"/>
              <w:rPr>
                <w:sz w:val="24"/>
                <w:szCs w:val="24"/>
              </w:rPr>
            </w:pPr>
            <w:r>
              <w:rPr>
                <w:rFonts w:hint="eastAsia" w:ascii="宋体"/>
                <w:sz w:val="24"/>
                <w:szCs w:val="24"/>
              </w:rPr>
              <w:t>类别</w:t>
            </w:r>
          </w:p>
        </w:tc>
        <w:tc>
          <w:tcPr>
            <w:tcW w:w="948" w:type="dxa"/>
            <w:vMerge w:val="restart"/>
            <w:tcBorders>
              <w:top w:val="single" w:color="auto" w:sz="4" w:space="0"/>
              <w:left w:val="single" w:color="auto" w:sz="4" w:space="0"/>
              <w:bottom w:val="single" w:color="auto" w:sz="4" w:space="0"/>
              <w:right w:val="single" w:color="auto" w:sz="4" w:space="0"/>
            </w:tcBorders>
            <w:vAlign w:val="center"/>
          </w:tcPr>
          <w:p w14:paraId="3AB8EA21">
            <w:pPr>
              <w:keepNext w:val="0"/>
              <w:keepLines w:val="0"/>
              <w:pageBreakBefore w:val="0"/>
              <w:widowControl/>
              <w:suppressLineNumbers w:val="0"/>
              <w:suppressAutoHyphens w:val="0"/>
              <w:jc w:val="center"/>
              <w:rPr>
                <w:sz w:val="24"/>
                <w:szCs w:val="24"/>
              </w:rPr>
            </w:pPr>
            <w:r>
              <w:rPr>
                <w:rFonts w:hint="eastAsia" w:ascii="宋体"/>
                <w:sz w:val="24"/>
                <w:szCs w:val="24"/>
              </w:rPr>
              <w:t>职务</w:t>
            </w:r>
          </w:p>
        </w:tc>
        <w:tc>
          <w:tcPr>
            <w:tcW w:w="946" w:type="dxa"/>
            <w:vMerge w:val="restart"/>
            <w:tcBorders>
              <w:top w:val="single" w:color="auto" w:sz="4" w:space="0"/>
              <w:left w:val="single" w:color="auto" w:sz="4" w:space="0"/>
              <w:bottom w:val="single" w:color="auto" w:sz="4" w:space="0"/>
              <w:right w:val="single" w:color="auto" w:sz="4" w:space="0"/>
            </w:tcBorders>
            <w:vAlign w:val="center"/>
          </w:tcPr>
          <w:p w14:paraId="58DA473F">
            <w:pPr>
              <w:keepNext w:val="0"/>
              <w:keepLines w:val="0"/>
              <w:pageBreakBefore w:val="0"/>
              <w:widowControl/>
              <w:suppressLineNumbers w:val="0"/>
              <w:suppressAutoHyphens w:val="0"/>
              <w:jc w:val="center"/>
              <w:rPr>
                <w:sz w:val="24"/>
                <w:szCs w:val="24"/>
              </w:rPr>
            </w:pPr>
            <w:r>
              <w:rPr>
                <w:rFonts w:hint="eastAsia" w:ascii="宋体"/>
                <w:sz w:val="24"/>
                <w:szCs w:val="24"/>
              </w:rPr>
              <w:t>姓名</w:t>
            </w:r>
          </w:p>
        </w:tc>
        <w:tc>
          <w:tcPr>
            <w:tcW w:w="948" w:type="dxa"/>
            <w:vMerge w:val="restart"/>
            <w:tcBorders>
              <w:top w:val="single" w:color="auto" w:sz="4" w:space="0"/>
              <w:left w:val="single" w:color="auto" w:sz="4" w:space="0"/>
              <w:bottom w:val="single" w:color="auto" w:sz="4" w:space="0"/>
              <w:right w:val="single" w:color="auto" w:sz="4" w:space="0"/>
            </w:tcBorders>
            <w:vAlign w:val="center"/>
          </w:tcPr>
          <w:p w14:paraId="73556DD1">
            <w:pPr>
              <w:keepNext w:val="0"/>
              <w:keepLines w:val="0"/>
              <w:pageBreakBefore w:val="0"/>
              <w:widowControl/>
              <w:suppressLineNumbers w:val="0"/>
              <w:suppressAutoHyphens w:val="0"/>
              <w:jc w:val="center"/>
              <w:rPr>
                <w:sz w:val="24"/>
                <w:szCs w:val="24"/>
              </w:rPr>
            </w:pPr>
            <w:r>
              <w:rPr>
                <w:rFonts w:hint="eastAsia" w:ascii="宋体"/>
                <w:sz w:val="24"/>
                <w:szCs w:val="24"/>
              </w:rPr>
              <w:t>职称</w:t>
            </w:r>
          </w:p>
        </w:tc>
        <w:tc>
          <w:tcPr>
            <w:tcW w:w="946" w:type="dxa"/>
            <w:vMerge w:val="restart"/>
            <w:tcBorders>
              <w:top w:val="single" w:color="auto" w:sz="4" w:space="0"/>
              <w:left w:val="single" w:color="auto" w:sz="4" w:space="0"/>
              <w:bottom w:val="single" w:color="auto" w:sz="4" w:space="0"/>
              <w:right w:val="single" w:color="auto" w:sz="4" w:space="0"/>
            </w:tcBorders>
            <w:vAlign w:val="center"/>
          </w:tcPr>
          <w:p w14:paraId="0B6AF4A4">
            <w:pPr>
              <w:keepNext w:val="0"/>
              <w:keepLines w:val="0"/>
              <w:pageBreakBefore w:val="0"/>
              <w:widowControl/>
              <w:suppressLineNumbers w:val="0"/>
              <w:suppressAutoHyphens w:val="0"/>
              <w:jc w:val="center"/>
              <w:rPr>
                <w:sz w:val="24"/>
                <w:szCs w:val="24"/>
              </w:rPr>
            </w:pPr>
            <w:r>
              <w:rPr>
                <w:rFonts w:hint="eastAsia" w:ascii="宋体"/>
                <w:sz w:val="24"/>
                <w:szCs w:val="24"/>
              </w:rPr>
              <w:t>常住地</w:t>
            </w:r>
          </w:p>
        </w:tc>
        <w:tc>
          <w:tcPr>
            <w:tcW w:w="3789" w:type="dxa"/>
            <w:gridSpan w:val="4"/>
            <w:tcBorders>
              <w:top w:val="single" w:color="auto" w:sz="4" w:space="0"/>
              <w:left w:val="single" w:color="auto" w:sz="4" w:space="0"/>
              <w:bottom w:val="single" w:color="auto" w:sz="4" w:space="0"/>
              <w:right w:val="single" w:color="auto" w:sz="4" w:space="0"/>
            </w:tcBorders>
            <w:vAlign w:val="center"/>
          </w:tcPr>
          <w:p w14:paraId="6DB58AD8">
            <w:pPr>
              <w:keepNext w:val="0"/>
              <w:keepLines w:val="0"/>
              <w:pageBreakBefore w:val="0"/>
              <w:widowControl/>
              <w:suppressLineNumbers w:val="0"/>
              <w:suppressAutoHyphens w:val="0"/>
              <w:jc w:val="center"/>
              <w:rPr>
                <w:sz w:val="24"/>
                <w:szCs w:val="24"/>
              </w:rPr>
            </w:pPr>
            <w:r>
              <w:rPr>
                <w:rFonts w:hint="eastAsia" w:ascii="宋体"/>
                <w:sz w:val="24"/>
                <w:szCs w:val="24"/>
              </w:rPr>
              <w:t>资格证明（附复印件）</w:t>
            </w:r>
          </w:p>
        </w:tc>
      </w:tr>
      <w:tr w14:paraId="7726D11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91" w:hRule="atLeast"/>
        </w:trPr>
        <w:tc>
          <w:tcPr>
            <w:tcW w:w="946" w:type="dxa"/>
            <w:vMerge w:val="continue"/>
            <w:tcBorders>
              <w:top w:val="single" w:color="auto" w:sz="4" w:space="0"/>
              <w:left w:val="single" w:color="auto" w:sz="4" w:space="0"/>
              <w:bottom w:val="single" w:color="auto" w:sz="4" w:space="0"/>
              <w:right w:val="single" w:color="auto" w:sz="4" w:space="0"/>
            </w:tcBorders>
            <w:vAlign w:val="center"/>
          </w:tcPr>
          <w:p w14:paraId="64674478"/>
        </w:tc>
        <w:tc>
          <w:tcPr>
            <w:tcW w:w="948" w:type="dxa"/>
            <w:vMerge w:val="continue"/>
            <w:tcBorders>
              <w:top w:val="single" w:color="auto" w:sz="4" w:space="0"/>
              <w:left w:val="single" w:color="auto" w:sz="4" w:space="0"/>
              <w:bottom w:val="single" w:color="auto" w:sz="4" w:space="0"/>
              <w:right w:val="single" w:color="auto" w:sz="4" w:space="0"/>
            </w:tcBorders>
            <w:vAlign w:val="center"/>
          </w:tcPr>
          <w:p w14:paraId="64635A93"/>
        </w:tc>
        <w:tc>
          <w:tcPr>
            <w:tcW w:w="946" w:type="dxa"/>
            <w:vMerge w:val="continue"/>
            <w:tcBorders>
              <w:top w:val="single" w:color="auto" w:sz="4" w:space="0"/>
              <w:left w:val="single" w:color="auto" w:sz="4" w:space="0"/>
              <w:bottom w:val="single" w:color="auto" w:sz="4" w:space="0"/>
              <w:right w:val="single" w:color="auto" w:sz="4" w:space="0"/>
            </w:tcBorders>
            <w:vAlign w:val="center"/>
          </w:tcPr>
          <w:p w14:paraId="519FAF73"/>
        </w:tc>
        <w:tc>
          <w:tcPr>
            <w:tcW w:w="948" w:type="dxa"/>
            <w:vMerge w:val="continue"/>
            <w:tcBorders>
              <w:top w:val="single" w:color="auto" w:sz="4" w:space="0"/>
              <w:left w:val="single" w:color="auto" w:sz="4" w:space="0"/>
              <w:bottom w:val="single" w:color="auto" w:sz="4" w:space="0"/>
              <w:right w:val="single" w:color="auto" w:sz="4" w:space="0"/>
            </w:tcBorders>
            <w:vAlign w:val="center"/>
          </w:tcPr>
          <w:p w14:paraId="0C7B625B"/>
        </w:tc>
        <w:tc>
          <w:tcPr>
            <w:tcW w:w="946" w:type="dxa"/>
            <w:vMerge w:val="continue"/>
            <w:tcBorders>
              <w:top w:val="single" w:color="auto" w:sz="4" w:space="0"/>
              <w:left w:val="single" w:color="auto" w:sz="4" w:space="0"/>
              <w:bottom w:val="single" w:color="auto" w:sz="4" w:space="0"/>
              <w:right w:val="single" w:color="auto" w:sz="4" w:space="0"/>
            </w:tcBorders>
            <w:vAlign w:val="center"/>
          </w:tcPr>
          <w:p w14:paraId="7EDEDBD2"/>
        </w:tc>
        <w:tc>
          <w:tcPr>
            <w:tcW w:w="946" w:type="dxa"/>
            <w:tcBorders>
              <w:top w:val="single" w:color="auto" w:sz="4" w:space="0"/>
              <w:left w:val="single" w:color="auto" w:sz="4" w:space="0"/>
              <w:bottom w:val="single" w:color="auto" w:sz="4" w:space="0"/>
              <w:right w:val="single" w:color="auto" w:sz="4" w:space="0"/>
            </w:tcBorders>
            <w:vAlign w:val="center"/>
          </w:tcPr>
          <w:p w14:paraId="65BD4BCD">
            <w:pPr>
              <w:keepNext w:val="0"/>
              <w:keepLines w:val="0"/>
              <w:pageBreakBefore w:val="0"/>
              <w:widowControl/>
              <w:suppressLineNumbers w:val="0"/>
              <w:suppressAutoHyphens w:val="0"/>
              <w:jc w:val="center"/>
              <w:rPr>
                <w:sz w:val="24"/>
                <w:szCs w:val="24"/>
              </w:rPr>
            </w:pPr>
            <w:r>
              <w:rPr>
                <w:rFonts w:hint="eastAsia" w:ascii="宋体"/>
                <w:sz w:val="24"/>
                <w:szCs w:val="24"/>
              </w:rPr>
              <w:t>证书</w:t>
            </w:r>
          </w:p>
          <w:p w14:paraId="745F7D32">
            <w:pPr>
              <w:keepNext w:val="0"/>
              <w:keepLines w:val="0"/>
              <w:pageBreakBefore w:val="0"/>
              <w:widowControl/>
              <w:suppressLineNumbers w:val="0"/>
              <w:suppressAutoHyphens w:val="0"/>
              <w:jc w:val="center"/>
              <w:rPr>
                <w:sz w:val="24"/>
                <w:szCs w:val="24"/>
              </w:rPr>
            </w:pPr>
            <w:r>
              <w:rPr>
                <w:rFonts w:hint="eastAsia" w:ascii="宋体"/>
                <w:sz w:val="24"/>
                <w:szCs w:val="24"/>
              </w:rPr>
              <w:t>名称</w:t>
            </w:r>
          </w:p>
        </w:tc>
        <w:tc>
          <w:tcPr>
            <w:tcW w:w="948" w:type="dxa"/>
            <w:tcBorders>
              <w:top w:val="single" w:color="auto" w:sz="4" w:space="0"/>
              <w:left w:val="single" w:color="auto" w:sz="4" w:space="0"/>
              <w:bottom w:val="single" w:color="auto" w:sz="4" w:space="0"/>
              <w:right w:val="single" w:color="auto" w:sz="4" w:space="0"/>
            </w:tcBorders>
            <w:vAlign w:val="center"/>
          </w:tcPr>
          <w:p w14:paraId="6561F3DE">
            <w:pPr>
              <w:keepNext w:val="0"/>
              <w:keepLines w:val="0"/>
              <w:pageBreakBefore w:val="0"/>
              <w:widowControl/>
              <w:suppressLineNumbers w:val="0"/>
              <w:suppressAutoHyphens w:val="0"/>
              <w:jc w:val="center"/>
              <w:rPr>
                <w:sz w:val="24"/>
                <w:szCs w:val="24"/>
              </w:rPr>
            </w:pPr>
            <w:r>
              <w:rPr>
                <w:rFonts w:hint="eastAsia" w:ascii="宋体"/>
                <w:sz w:val="24"/>
                <w:szCs w:val="24"/>
              </w:rPr>
              <w:t>级别</w:t>
            </w:r>
          </w:p>
        </w:tc>
        <w:tc>
          <w:tcPr>
            <w:tcW w:w="946" w:type="dxa"/>
            <w:tcBorders>
              <w:top w:val="single" w:color="auto" w:sz="4" w:space="0"/>
              <w:left w:val="single" w:color="auto" w:sz="4" w:space="0"/>
              <w:bottom w:val="single" w:color="auto" w:sz="4" w:space="0"/>
              <w:right w:val="single" w:color="auto" w:sz="4" w:space="0"/>
            </w:tcBorders>
            <w:vAlign w:val="center"/>
          </w:tcPr>
          <w:p w14:paraId="3B0BE862">
            <w:pPr>
              <w:keepNext w:val="0"/>
              <w:keepLines w:val="0"/>
              <w:pageBreakBefore w:val="0"/>
              <w:widowControl/>
              <w:suppressLineNumbers w:val="0"/>
              <w:suppressAutoHyphens w:val="0"/>
              <w:jc w:val="center"/>
              <w:rPr>
                <w:sz w:val="24"/>
                <w:szCs w:val="24"/>
              </w:rPr>
            </w:pPr>
            <w:r>
              <w:rPr>
                <w:rFonts w:hint="eastAsia" w:ascii="宋体"/>
                <w:sz w:val="24"/>
                <w:szCs w:val="24"/>
              </w:rPr>
              <w:t>证号</w:t>
            </w:r>
          </w:p>
        </w:tc>
        <w:tc>
          <w:tcPr>
            <w:tcW w:w="949" w:type="dxa"/>
            <w:tcBorders>
              <w:top w:val="single" w:color="auto" w:sz="4" w:space="0"/>
              <w:left w:val="single" w:color="auto" w:sz="4" w:space="0"/>
              <w:bottom w:val="single" w:color="auto" w:sz="4" w:space="0"/>
              <w:right w:val="single" w:color="auto" w:sz="4" w:space="0"/>
            </w:tcBorders>
            <w:vAlign w:val="center"/>
          </w:tcPr>
          <w:p w14:paraId="30C1EC23">
            <w:pPr>
              <w:keepNext w:val="0"/>
              <w:keepLines w:val="0"/>
              <w:pageBreakBefore w:val="0"/>
              <w:widowControl/>
              <w:suppressLineNumbers w:val="0"/>
              <w:suppressAutoHyphens w:val="0"/>
              <w:jc w:val="center"/>
              <w:rPr>
                <w:sz w:val="24"/>
                <w:szCs w:val="24"/>
              </w:rPr>
            </w:pPr>
            <w:r>
              <w:rPr>
                <w:rFonts w:hint="eastAsia" w:ascii="宋体"/>
                <w:sz w:val="24"/>
                <w:szCs w:val="24"/>
              </w:rPr>
              <w:t>专业</w:t>
            </w:r>
          </w:p>
        </w:tc>
      </w:tr>
      <w:tr w14:paraId="4E83A7D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51" w:hRule="atLeast"/>
        </w:trPr>
        <w:tc>
          <w:tcPr>
            <w:tcW w:w="946" w:type="dxa"/>
            <w:vMerge w:val="restart"/>
            <w:tcBorders>
              <w:top w:val="nil"/>
              <w:left w:val="single" w:color="auto" w:sz="4" w:space="0"/>
              <w:bottom w:val="single" w:color="auto" w:sz="4" w:space="0"/>
              <w:right w:val="single" w:color="auto" w:sz="4" w:space="0"/>
            </w:tcBorders>
            <w:vAlign w:val="center"/>
          </w:tcPr>
          <w:p w14:paraId="11C73A46">
            <w:pPr>
              <w:keepNext w:val="0"/>
              <w:keepLines w:val="0"/>
              <w:pageBreakBefore w:val="0"/>
              <w:widowControl/>
              <w:suppressLineNumbers w:val="0"/>
              <w:suppressAutoHyphens w:val="0"/>
              <w:jc w:val="center"/>
              <w:rPr>
                <w:sz w:val="24"/>
                <w:szCs w:val="24"/>
              </w:rPr>
            </w:pPr>
            <w:r>
              <w:rPr>
                <w:rFonts w:hint="eastAsia" w:ascii="宋体"/>
                <w:sz w:val="24"/>
                <w:szCs w:val="24"/>
              </w:rPr>
              <w:t>管理</w:t>
            </w:r>
          </w:p>
          <w:p w14:paraId="5DF50FD4">
            <w:pPr>
              <w:keepNext w:val="0"/>
              <w:keepLines w:val="0"/>
              <w:pageBreakBefore w:val="0"/>
              <w:widowControl/>
              <w:suppressLineNumbers w:val="0"/>
              <w:suppressAutoHyphens w:val="0"/>
              <w:jc w:val="center"/>
              <w:rPr>
                <w:sz w:val="24"/>
                <w:szCs w:val="24"/>
              </w:rPr>
            </w:pPr>
            <w:r>
              <w:rPr>
                <w:rFonts w:hint="eastAsia" w:ascii="宋体"/>
                <w:sz w:val="24"/>
                <w:szCs w:val="24"/>
              </w:rPr>
              <w:t>人员</w:t>
            </w:r>
          </w:p>
        </w:tc>
        <w:tc>
          <w:tcPr>
            <w:tcW w:w="948" w:type="dxa"/>
            <w:tcBorders>
              <w:top w:val="single" w:color="auto" w:sz="4" w:space="0"/>
              <w:left w:val="single" w:color="auto" w:sz="4" w:space="0"/>
              <w:bottom w:val="single" w:color="auto" w:sz="4" w:space="0"/>
              <w:right w:val="single" w:color="auto" w:sz="4" w:space="0"/>
            </w:tcBorders>
          </w:tcPr>
          <w:p w14:paraId="125BA54C">
            <w:pPr>
              <w:keepNext w:val="0"/>
              <w:keepLines w:val="0"/>
              <w:pageBreakBefore w:val="0"/>
              <w:widowControl/>
              <w:suppressLineNumbers w:val="0"/>
              <w:suppressAutoHyphens w:val="0"/>
              <w:rPr>
                <w:sz w:val="24"/>
                <w:szCs w:val="24"/>
              </w:rPr>
            </w:pPr>
          </w:p>
        </w:tc>
        <w:tc>
          <w:tcPr>
            <w:tcW w:w="946" w:type="dxa"/>
            <w:tcBorders>
              <w:top w:val="single" w:color="auto" w:sz="4" w:space="0"/>
              <w:left w:val="single" w:color="auto" w:sz="4" w:space="0"/>
              <w:bottom w:val="single" w:color="auto" w:sz="4" w:space="0"/>
              <w:right w:val="single" w:color="auto" w:sz="4" w:space="0"/>
            </w:tcBorders>
          </w:tcPr>
          <w:p w14:paraId="07EB03ED">
            <w:pPr>
              <w:keepNext w:val="0"/>
              <w:keepLines w:val="0"/>
              <w:pageBreakBefore w:val="0"/>
              <w:widowControl/>
              <w:suppressLineNumbers w:val="0"/>
              <w:suppressAutoHyphens w:val="0"/>
              <w:rPr>
                <w:sz w:val="24"/>
                <w:szCs w:val="24"/>
              </w:rPr>
            </w:pPr>
          </w:p>
        </w:tc>
        <w:tc>
          <w:tcPr>
            <w:tcW w:w="948" w:type="dxa"/>
            <w:tcBorders>
              <w:top w:val="single" w:color="auto" w:sz="4" w:space="0"/>
              <w:left w:val="single" w:color="auto" w:sz="4" w:space="0"/>
              <w:bottom w:val="single" w:color="auto" w:sz="4" w:space="0"/>
              <w:right w:val="single" w:color="auto" w:sz="4" w:space="0"/>
            </w:tcBorders>
          </w:tcPr>
          <w:p w14:paraId="1352B772">
            <w:pPr>
              <w:keepNext w:val="0"/>
              <w:keepLines w:val="0"/>
              <w:pageBreakBefore w:val="0"/>
              <w:widowControl/>
              <w:suppressLineNumbers w:val="0"/>
              <w:suppressAutoHyphens w:val="0"/>
              <w:rPr>
                <w:sz w:val="24"/>
                <w:szCs w:val="24"/>
              </w:rPr>
            </w:pPr>
          </w:p>
        </w:tc>
        <w:tc>
          <w:tcPr>
            <w:tcW w:w="946" w:type="dxa"/>
            <w:tcBorders>
              <w:top w:val="single" w:color="auto" w:sz="4" w:space="0"/>
              <w:left w:val="single" w:color="auto" w:sz="4" w:space="0"/>
              <w:bottom w:val="single" w:color="auto" w:sz="4" w:space="0"/>
              <w:right w:val="single" w:color="auto" w:sz="4" w:space="0"/>
            </w:tcBorders>
          </w:tcPr>
          <w:p w14:paraId="5EE93106">
            <w:pPr>
              <w:keepNext w:val="0"/>
              <w:keepLines w:val="0"/>
              <w:pageBreakBefore w:val="0"/>
              <w:widowControl/>
              <w:suppressLineNumbers w:val="0"/>
              <w:suppressAutoHyphens w:val="0"/>
              <w:rPr>
                <w:sz w:val="24"/>
                <w:szCs w:val="24"/>
              </w:rPr>
            </w:pPr>
          </w:p>
        </w:tc>
        <w:tc>
          <w:tcPr>
            <w:tcW w:w="946" w:type="dxa"/>
            <w:tcBorders>
              <w:top w:val="single" w:color="auto" w:sz="4" w:space="0"/>
              <w:left w:val="single" w:color="auto" w:sz="4" w:space="0"/>
              <w:bottom w:val="single" w:color="auto" w:sz="4" w:space="0"/>
              <w:right w:val="single" w:color="auto" w:sz="4" w:space="0"/>
            </w:tcBorders>
          </w:tcPr>
          <w:p w14:paraId="29CA36FB">
            <w:pPr>
              <w:keepNext w:val="0"/>
              <w:keepLines w:val="0"/>
              <w:pageBreakBefore w:val="0"/>
              <w:widowControl/>
              <w:suppressLineNumbers w:val="0"/>
              <w:suppressAutoHyphens w:val="0"/>
              <w:rPr>
                <w:sz w:val="24"/>
                <w:szCs w:val="24"/>
              </w:rPr>
            </w:pPr>
          </w:p>
        </w:tc>
        <w:tc>
          <w:tcPr>
            <w:tcW w:w="948" w:type="dxa"/>
            <w:tcBorders>
              <w:top w:val="single" w:color="auto" w:sz="4" w:space="0"/>
              <w:left w:val="single" w:color="auto" w:sz="4" w:space="0"/>
              <w:bottom w:val="single" w:color="auto" w:sz="4" w:space="0"/>
              <w:right w:val="single" w:color="auto" w:sz="4" w:space="0"/>
            </w:tcBorders>
          </w:tcPr>
          <w:p w14:paraId="79A316D8">
            <w:pPr>
              <w:keepNext w:val="0"/>
              <w:keepLines w:val="0"/>
              <w:pageBreakBefore w:val="0"/>
              <w:widowControl/>
              <w:suppressLineNumbers w:val="0"/>
              <w:suppressAutoHyphens w:val="0"/>
              <w:rPr>
                <w:sz w:val="24"/>
                <w:szCs w:val="24"/>
              </w:rPr>
            </w:pPr>
          </w:p>
        </w:tc>
        <w:tc>
          <w:tcPr>
            <w:tcW w:w="946" w:type="dxa"/>
            <w:tcBorders>
              <w:top w:val="single" w:color="auto" w:sz="4" w:space="0"/>
              <w:left w:val="single" w:color="auto" w:sz="4" w:space="0"/>
              <w:bottom w:val="single" w:color="auto" w:sz="4" w:space="0"/>
              <w:right w:val="single" w:color="auto" w:sz="4" w:space="0"/>
            </w:tcBorders>
          </w:tcPr>
          <w:p w14:paraId="76507606">
            <w:pPr>
              <w:keepNext w:val="0"/>
              <w:keepLines w:val="0"/>
              <w:pageBreakBefore w:val="0"/>
              <w:widowControl/>
              <w:suppressLineNumbers w:val="0"/>
              <w:suppressAutoHyphens w:val="0"/>
              <w:rPr>
                <w:sz w:val="24"/>
                <w:szCs w:val="24"/>
              </w:rPr>
            </w:pPr>
          </w:p>
        </w:tc>
        <w:tc>
          <w:tcPr>
            <w:tcW w:w="949" w:type="dxa"/>
            <w:tcBorders>
              <w:top w:val="single" w:color="auto" w:sz="4" w:space="0"/>
              <w:left w:val="single" w:color="auto" w:sz="4" w:space="0"/>
              <w:bottom w:val="single" w:color="auto" w:sz="4" w:space="0"/>
              <w:right w:val="single" w:color="auto" w:sz="4" w:space="0"/>
            </w:tcBorders>
          </w:tcPr>
          <w:p w14:paraId="3816121A">
            <w:pPr>
              <w:keepNext w:val="0"/>
              <w:keepLines w:val="0"/>
              <w:pageBreakBefore w:val="0"/>
              <w:widowControl/>
              <w:suppressLineNumbers w:val="0"/>
              <w:suppressAutoHyphens w:val="0"/>
              <w:rPr>
                <w:sz w:val="24"/>
                <w:szCs w:val="24"/>
              </w:rPr>
            </w:pPr>
          </w:p>
        </w:tc>
      </w:tr>
      <w:tr w14:paraId="3AE2D71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51" w:hRule="atLeast"/>
        </w:trPr>
        <w:tc>
          <w:tcPr>
            <w:tcW w:w="946" w:type="dxa"/>
            <w:vMerge w:val="continue"/>
            <w:tcBorders>
              <w:top w:val="nil"/>
              <w:left w:val="single" w:color="auto" w:sz="4" w:space="0"/>
              <w:bottom w:val="single" w:color="auto" w:sz="4" w:space="0"/>
              <w:right w:val="single" w:color="auto" w:sz="4" w:space="0"/>
            </w:tcBorders>
            <w:vAlign w:val="center"/>
          </w:tcPr>
          <w:p w14:paraId="261A1C86"/>
        </w:tc>
        <w:tc>
          <w:tcPr>
            <w:tcW w:w="948" w:type="dxa"/>
            <w:tcBorders>
              <w:top w:val="single" w:color="auto" w:sz="4" w:space="0"/>
              <w:left w:val="single" w:color="auto" w:sz="4" w:space="0"/>
              <w:bottom w:val="single" w:color="auto" w:sz="4" w:space="0"/>
              <w:right w:val="single" w:color="auto" w:sz="4" w:space="0"/>
            </w:tcBorders>
          </w:tcPr>
          <w:p w14:paraId="65772DA4">
            <w:pPr>
              <w:keepNext w:val="0"/>
              <w:keepLines w:val="0"/>
              <w:pageBreakBefore w:val="0"/>
              <w:widowControl/>
              <w:suppressLineNumbers w:val="0"/>
              <w:suppressAutoHyphens w:val="0"/>
              <w:rPr>
                <w:sz w:val="24"/>
                <w:szCs w:val="24"/>
              </w:rPr>
            </w:pPr>
          </w:p>
        </w:tc>
        <w:tc>
          <w:tcPr>
            <w:tcW w:w="946" w:type="dxa"/>
            <w:tcBorders>
              <w:top w:val="single" w:color="auto" w:sz="4" w:space="0"/>
              <w:left w:val="single" w:color="auto" w:sz="4" w:space="0"/>
              <w:bottom w:val="single" w:color="auto" w:sz="4" w:space="0"/>
              <w:right w:val="single" w:color="auto" w:sz="4" w:space="0"/>
            </w:tcBorders>
          </w:tcPr>
          <w:p w14:paraId="01026AB1">
            <w:pPr>
              <w:keepNext w:val="0"/>
              <w:keepLines w:val="0"/>
              <w:pageBreakBefore w:val="0"/>
              <w:widowControl/>
              <w:suppressLineNumbers w:val="0"/>
              <w:suppressAutoHyphens w:val="0"/>
              <w:rPr>
                <w:sz w:val="24"/>
                <w:szCs w:val="24"/>
              </w:rPr>
            </w:pPr>
          </w:p>
        </w:tc>
        <w:tc>
          <w:tcPr>
            <w:tcW w:w="948" w:type="dxa"/>
            <w:tcBorders>
              <w:top w:val="single" w:color="auto" w:sz="4" w:space="0"/>
              <w:left w:val="single" w:color="auto" w:sz="4" w:space="0"/>
              <w:bottom w:val="single" w:color="auto" w:sz="4" w:space="0"/>
              <w:right w:val="single" w:color="auto" w:sz="4" w:space="0"/>
            </w:tcBorders>
          </w:tcPr>
          <w:p w14:paraId="1D7C7E2B">
            <w:pPr>
              <w:keepNext w:val="0"/>
              <w:keepLines w:val="0"/>
              <w:pageBreakBefore w:val="0"/>
              <w:widowControl/>
              <w:suppressLineNumbers w:val="0"/>
              <w:suppressAutoHyphens w:val="0"/>
              <w:rPr>
                <w:sz w:val="24"/>
                <w:szCs w:val="24"/>
              </w:rPr>
            </w:pPr>
          </w:p>
        </w:tc>
        <w:tc>
          <w:tcPr>
            <w:tcW w:w="946" w:type="dxa"/>
            <w:tcBorders>
              <w:top w:val="single" w:color="auto" w:sz="4" w:space="0"/>
              <w:left w:val="single" w:color="auto" w:sz="4" w:space="0"/>
              <w:bottom w:val="single" w:color="auto" w:sz="4" w:space="0"/>
              <w:right w:val="single" w:color="auto" w:sz="4" w:space="0"/>
            </w:tcBorders>
          </w:tcPr>
          <w:p w14:paraId="2EC789FF">
            <w:pPr>
              <w:keepNext w:val="0"/>
              <w:keepLines w:val="0"/>
              <w:pageBreakBefore w:val="0"/>
              <w:widowControl/>
              <w:suppressLineNumbers w:val="0"/>
              <w:suppressAutoHyphens w:val="0"/>
              <w:rPr>
                <w:sz w:val="24"/>
                <w:szCs w:val="24"/>
              </w:rPr>
            </w:pPr>
          </w:p>
        </w:tc>
        <w:tc>
          <w:tcPr>
            <w:tcW w:w="946" w:type="dxa"/>
            <w:tcBorders>
              <w:top w:val="single" w:color="auto" w:sz="4" w:space="0"/>
              <w:left w:val="single" w:color="auto" w:sz="4" w:space="0"/>
              <w:bottom w:val="single" w:color="auto" w:sz="4" w:space="0"/>
              <w:right w:val="single" w:color="auto" w:sz="4" w:space="0"/>
            </w:tcBorders>
          </w:tcPr>
          <w:p w14:paraId="668D9FF2">
            <w:pPr>
              <w:keepNext w:val="0"/>
              <w:keepLines w:val="0"/>
              <w:pageBreakBefore w:val="0"/>
              <w:widowControl/>
              <w:suppressLineNumbers w:val="0"/>
              <w:suppressAutoHyphens w:val="0"/>
              <w:rPr>
                <w:sz w:val="24"/>
                <w:szCs w:val="24"/>
              </w:rPr>
            </w:pPr>
          </w:p>
        </w:tc>
        <w:tc>
          <w:tcPr>
            <w:tcW w:w="948" w:type="dxa"/>
            <w:tcBorders>
              <w:top w:val="single" w:color="auto" w:sz="4" w:space="0"/>
              <w:left w:val="single" w:color="auto" w:sz="4" w:space="0"/>
              <w:bottom w:val="single" w:color="auto" w:sz="4" w:space="0"/>
              <w:right w:val="single" w:color="auto" w:sz="4" w:space="0"/>
            </w:tcBorders>
          </w:tcPr>
          <w:p w14:paraId="5A80DCEE">
            <w:pPr>
              <w:keepNext w:val="0"/>
              <w:keepLines w:val="0"/>
              <w:pageBreakBefore w:val="0"/>
              <w:widowControl/>
              <w:suppressLineNumbers w:val="0"/>
              <w:suppressAutoHyphens w:val="0"/>
              <w:rPr>
                <w:sz w:val="24"/>
                <w:szCs w:val="24"/>
              </w:rPr>
            </w:pPr>
          </w:p>
        </w:tc>
        <w:tc>
          <w:tcPr>
            <w:tcW w:w="946" w:type="dxa"/>
            <w:tcBorders>
              <w:top w:val="single" w:color="auto" w:sz="4" w:space="0"/>
              <w:left w:val="single" w:color="auto" w:sz="4" w:space="0"/>
              <w:bottom w:val="single" w:color="auto" w:sz="4" w:space="0"/>
              <w:right w:val="single" w:color="auto" w:sz="4" w:space="0"/>
            </w:tcBorders>
          </w:tcPr>
          <w:p w14:paraId="6144CCCF">
            <w:pPr>
              <w:keepNext w:val="0"/>
              <w:keepLines w:val="0"/>
              <w:pageBreakBefore w:val="0"/>
              <w:widowControl/>
              <w:suppressLineNumbers w:val="0"/>
              <w:suppressAutoHyphens w:val="0"/>
              <w:rPr>
                <w:sz w:val="24"/>
                <w:szCs w:val="24"/>
              </w:rPr>
            </w:pPr>
          </w:p>
        </w:tc>
        <w:tc>
          <w:tcPr>
            <w:tcW w:w="949" w:type="dxa"/>
            <w:tcBorders>
              <w:top w:val="single" w:color="auto" w:sz="4" w:space="0"/>
              <w:left w:val="single" w:color="auto" w:sz="4" w:space="0"/>
              <w:bottom w:val="single" w:color="auto" w:sz="4" w:space="0"/>
              <w:right w:val="single" w:color="auto" w:sz="4" w:space="0"/>
            </w:tcBorders>
          </w:tcPr>
          <w:p w14:paraId="3E065EBD">
            <w:pPr>
              <w:keepNext w:val="0"/>
              <w:keepLines w:val="0"/>
              <w:pageBreakBefore w:val="0"/>
              <w:widowControl/>
              <w:suppressLineNumbers w:val="0"/>
              <w:suppressAutoHyphens w:val="0"/>
              <w:rPr>
                <w:sz w:val="24"/>
                <w:szCs w:val="24"/>
              </w:rPr>
            </w:pPr>
          </w:p>
        </w:tc>
      </w:tr>
      <w:tr w14:paraId="1BD5F4F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51" w:hRule="atLeast"/>
        </w:trPr>
        <w:tc>
          <w:tcPr>
            <w:tcW w:w="946" w:type="dxa"/>
            <w:vMerge w:val="continue"/>
            <w:tcBorders>
              <w:top w:val="nil"/>
              <w:left w:val="single" w:color="auto" w:sz="4" w:space="0"/>
              <w:bottom w:val="single" w:color="auto" w:sz="4" w:space="0"/>
              <w:right w:val="single" w:color="auto" w:sz="4" w:space="0"/>
            </w:tcBorders>
            <w:vAlign w:val="center"/>
          </w:tcPr>
          <w:p w14:paraId="0DAF7342"/>
        </w:tc>
        <w:tc>
          <w:tcPr>
            <w:tcW w:w="948" w:type="dxa"/>
            <w:tcBorders>
              <w:top w:val="single" w:color="auto" w:sz="4" w:space="0"/>
              <w:left w:val="single" w:color="auto" w:sz="4" w:space="0"/>
              <w:bottom w:val="single" w:color="auto" w:sz="4" w:space="0"/>
              <w:right w:val="single" w:color="auto" w:sz="4" w:space="0"/>
            </w:tcBorders>
          </w:tcPr>
          <w:p w14:paraId="4EC8159A">
            <w:pPr>
              <w:keepNext w:val="0"/>
              <w:keepLines w:val="0"/>
              <w:pageBreakBefore w:val="0"/>
              <w:widowControl/>
              <w:suppressLineNumbers w:val="0"/>
              <w:suppressAutoHyphens w:val="0"/>
              <w:rPr>
                <w:sz w:val="24"/>
                <w:szCs w:val="24"/>
              </w:rPr>
            </w:pPr>
          </w:p>
        </w:tc>
        <w:tc>
          <w:tcPr>
            <w:tcW w:w="946" w:type="dxa"/>
            <w:tcBorders>
              <w:top w:val="single" w:color="auto" w:sz="4" w:space="0"/>
              <w:left w:val="single" w:color="auto" w:sz="4" w:space="0"/>
              <w:bottom w:val="single" w:color="auto" w:sz="4" w:space="0"/>
              <w:right w:val="single" w:color="auto" w:sz="4" w:space="0"/>
            </w:tcBorders>
          </w:tcPr>
          <w:p w14:paraId="1A4BBBF6">
            <w:pPr>
              <w:keepNext w:val="0"/>
              <w:keepLines w:val="0"/>
              <w:pageBreakBefore w:val="0"/>
              <w:widowControl/>
              <w:suppressLineNumbers w:val="0"/>
              <w:suppressAutoHyphens w:val="0"/>
              <w:rPr>
                <w:sz w:val="24"/>
                <w:szCs w:val="24"/>
              </w:rPr>
            </w:pPr>
          </w:p>
        </w:tc>
        <w:tc>
          <w:tcPr>
            <w:tcW w:w="948" w:type="dxa"/>
            <w:tcBorders>
              <w:top w:val="single" w:color="auto" w:sz="4" w:space="0"/>
              <w:left w:val="single" w:color="auto" w:sz="4" w:space="0"/>
              <w:bottom w:val="single" w:color="auto" w:sz="4" w:space="0"/>
              <w:right w:val="single" w:color="auto" w:sz="4" w:space="0"/>
            </w:tcBorders>
          </w:tcPr>
          <w:p w14:paraId="2D9841EA">
            <w:pPr>
              <w:keepNext w:val="0"/>
              <w:keepLines w:val="0"/>
              <w:pageBreakBefore w:val="0"/>
              <w:widowControl/>
              <w:suppressLineNumbers w:val="0"/>
              <w:suppressAutoHyphens w:val="0"/>
              <w:rPr>
                <w:sz w:val="24"/>
                <w:szCs w:val="24"/>
              </w:rPr>
            </w:pPr>
          </w:p>
        </w:tc>
        <w:tc>
          <w:tcPr>
            <w:tcW w:w="946" w:type="dxa"/>
            <w:tcBorders>
              <w:top w:val="single" w:color="auto" w:sz="4" w:space="0"/>
              <w:left w:val="single" w:color="auto" w:sz="4" w:space="0"/>
              <w:bottom w:val="single" w:color="auto" w:sz="4" w:space="0"/>
              <w:right w:val="single" w:color="auto" w:sz="4" w:space="0"/>
            </w:tcBorders>
          </w:tcPr>
          <w:p w14:paraId="34080F17">
            <w:pPr>
              <w:keepNext w:val="0"/>
              <w:keepLines w:val="0"/>
              <w:pageBreakBefore w:val="0"/>
              <w:widowControl/>
              <w:suppressLineNumbers w:val="0"/>
              <w:suppressAutoHyphens w:val="0"/>
              <w:rPr>
                <w:sz w:val="24"/>
                <w:szCs w:val="24"/>
              </w:rPr>
            </w:pPr>
          </w:p>
        </w:tc>
        <w:tc>
          <w:tcPr>
            <w:tcW w:w="946" w:type="dxa"/>
            <w:tcBorders>
              <w:top w:val="single" w:color="auto" w:sz="4" w:space="0"/>
              <w:left w:val="single" w:color="auto" w:sz="4" w:space="0"/>
              <w:bottom w:val="single" w:color="auto" w:sz="4" w:space="0"/>
              <w:right w:val="single" w:color="auto" w:sz="4" w:space="0"/>
            </w:tcBorders>
          </w:tcPr>
          <w:p w14:paraId="6C4F4DC3">
            <w:pPr>
              <w:keepNext w:val="0"/>
              <w:keepLines w:val="0"/>
              <w:pageBreakBefore w:val="0"/>
              <w:widowControl/>
              <w:suppressLineNumbers w:val="0"/>
              <w:suppressAutoHyphens w:val="0"/>
              <w:rPr>
                <w:sz w:val="24"/>
                <w:szCs w:val="24"/>
              </w:rPr>
            </w:pPr>
          </w:p>
        </w:tc>
        <w:tc>
          <w:tcPr>
            <w:tcW w:w="948" w:type="dxa"/>
            <w:tcBorders>
              <w:top w:val="single" w:color="auto" w:sz="4" w:space="0"/>
              <w:left w:val="single" w:color="auto" w:sz="4" w:space="0"/>
              <w:bottom w:val="single" w:color="auto" w:sz="4" w:space="0"/>
              <w:right w:val="single" w:color="auto" w:sz="4" w:space="0"/>
            </w:tcBorders>
          </w:tcPr>
          <w:p w14:paraId="76278BDB">
            <w:pPr>
              <w:keepNext w:val="0"/>
              <w:keepLines w:val="0"/>
              <w:pageBreakBefore w:val="0"/>
              <w:widowControl/>
              <w:suppressLineNumbers w:val="0"/>
              <w:suppressAutoHyphens w:val="0"/>
              <w:rPr>
                <w:sz w:val="24"/>
                <w:szCs w:val="24"/>
              </w:rPr>
            </w:pPr>
          </w:p>
        </w:tc>
        <w:tc>
          <w:tcPr>
            <w:tcW w:w="946" w:type="dxa"/>
            <w:tcBorders>
              <w:top w:val="single" w:color="auto" w:sz="4" w:space="0"/>
              <w:left w:val="single" w:color="auto" w:sz="4" w:space="0"/>
              <w:bottom w:val="single" w:color="auto" w:sz="4" w:space="0"/>
              <w:right w:val="single" w:color="auto" w:sz="4" w:space="0"/>
            </w:tcBorders>
          </w:tcPr>
          <w:p w14:paraId="1F043425">
            <w:pPr>
              <w:keepNext w:val="0"/>
              <w:keepLines w:val="0"/>
              <w:pageBreakBefore w:val="0"/>
              <w:widowControl/>
              <w:suppressLineNumbers w:val="0"/>
              <w:suppressAutoHyphens w:val="0"/>
              <w:rPr>
                <w:sz w:val="24"/>
                <w:szCs w:val="24"/>
              </w:rPr>
            </w:pPr>
          </w:p>
        </w:tc>
        <w:tc>
          <w:tcPr>
            <w:tcW w:w="949" w:type="dxa"/>
            <w:tcBorders>
              <w:top w:val="single" w:color="auto" w:sz="4" w:space="0"/>
              <w:left w:val="single" w:color="auto" w:sz="4" w:space="0"/>
              <w:bottom w:val="single" w:color="auto" w:sz="4" w:space="0"/>
              <w:right w:val="single" w:color="auto" w:sz="4" w:space="0"/>
            </w:tcBorders>
          </w:tcPr>
          <w:p w14:paraId="42B1DF3F">
            <w:pPr>
              <w:keepNext w:val="0"/>
              <w:keepLines w:val="0"/>
              <w:pageBreakBefore w:val="0"/>
              <w:widowControl/>
              <w:suppressLineNumbers w:val="0"/>
              <w:suppressAutoHyphens w:val="0"/>
              <w:rPr>
                <w:sz w:val="24"/>
                <w:szCs w:val="24"/>
              </w:rPr>
            </w:pPr>
          </w:p>
        </w:tc>
      </w:tr>
      <w:tr w14:paraId="14D4488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51" w:hRule="atLeast"/>
        </w:trPr>
        <w:tc>
          <w:tcPr>
            <w:tcW w:w="946" w:type="dxa"/>
            <w:vMerge w:val="restart"/>
            <w:tcBorders>
              <w:top w:val="nil"/>
              <w:left w:val="single" w:color="auto" w:sz="4" w:space="0"/>
              <w:bottom w:val="single" w:color="auto" w:sz="4" w:space="0"/>
              <w:right w:val="single" w:color="auto" w:sz="4" w:space="0"/>
            </w:tcBorders>
            <w:vAlign w:val="center"/>
          </w:tcPr>
          <w:p w14:paraId="60CA1E8B">
            <w:pPr>
              <w:keepNext w:val="0"/>
              <w:keepLines w:val="0"/>
              <w:pageBreakBefore w:val="0"/>
              <w:widowControl/>
              <w:suppressLineNumbers w:val="0"/>
              <w:suppressAutoHyphens w:val="0"/>
              <w:jc w:val="center"/>
              <w:rPr>
                <w:sz w:val="24"/>
                <w:szCs w:val="24"/>
              </w:rPr>
            </w:pPr>
            <w:r>
              <w:rPr>
                <w:rFonts w:hint="eastAsia" w:ascii="宋体"/>
                <w:sz w:val="24"/>
                <w:szCs w:val="24"/>
              </w:rPr>
              <w:t>技术</w:t>
            </w:r>
          </w:p>
          <w:p w14:paraId="333A8C0E">
            <w:pPr>
              <w:keepNext w:val="0"/>
              <w:keepLines w:val="0"/>
              <w:pageBreakBefore w:val="0"/>
              <w:widowControl/>
              <w:suppressLineNumbers w:val="0"/>
              <w:suppressAutoHyphens w:val="0"/>
              <w:jc w:val="center"/>
              <w:rPr>
                <w:sz w:val="24"/>
                <w:szCs w:val="24"/>
              </w:rPr>
            </w:pPr>
            <w:r>
              <w:rPr>
                <w:rFonts w:hint="eastAsia" w:ascii="宋体"/>
                <w:sz w:val="24"/>
                <w:szCs w:val="24"/>
              </w:rPr>
              <w:t>人员</w:t>
            </w:r>
          </w:p>
        </w:tc>
        <w:tc>
          <w:tcPr>
            <w:tcW w:w="948" w:type="dxa"/>
            <w:tcBorders>
              <w:top w:val="single" w:color="auto" w:sz="4" w:space="0"/>
              <w:left w:val="single" w:color="auto" w:sz="4" w:space="0"/>
              <w:bottom w:val="single" w:color="auto" w:sz="4" w:space="0"/>
              <w:right w:val="single" w:color="auto" w:sz="4" w:space="0"/>
            </w:tcBorders>
          </w:tcPr>
          <w:p w14:paraId="7553E4D2">
            <w:pPr>
              <w:keepNext w:val="0"/>
              <w:keepLines w:val="0"/>
              <w:pageBreakBefore w:val="0"/>
              <w:widowControl/>
              <w:suppressLineNumbers w:val="0"/>
              <w:suppressAutoHyphens w:val="0"/>
              <w:rPr>
                <w:sz w:val="24"/>
                <w:szCs w:val="24"/>
              </w:rPr>
            </w:pPr>
          </w:p>
        </w:tc>
        <w:tc>
          <w:tcPr>
            <w:tcW w:w="946" w:type="dxa"/>
            <w:tcBorders>
              <w:top w:val="single" w:color="auto" w:sz="4" w:space="0"/>
              <w:left w:val="single" w:color="auto" w:sz="4" w:space="0"/>
              <w:bottom w:val="single" w:color="auto" w:sz="4" w:space="0"/>
              <w:right w:val="single" w:color="auto" w:sz="4" w:space="0"/>
            </w:tcBorders>
          </w:tcPr>
          <w:p w14:paraId="01C27406">
            <w:pPr>
              <w:keepNext w:val="0"/>
              <w:keepLines w:val="0"/>
              <w:pageBreakBefore w:val="0"/>
              <w:widowControl/>
              <w:suppressLineNumbers w:val="0"/>
              <w:suppressAutoHyphens w:val="0"/>
              <w:rPr>
                <w:sz w:val="24"/>
                <w:szCs w:val="24"/>
              </w:rPr>
            </w:pPr>
          </w:p>
        </w:tc>
        <w:tc>
          <w:tcPr>
            <w:tcW w:w="948" w:type="dxa"/>
            <w:tcBorders>
              <w:top w:val="single" w:color="auto" w:sz="4" w:space="0"/>
              <w:left w:val="single" w:color="auto" w:sz="4" w:space="0"/>
              <w:bottom w:val="single" w:color="auto" w:sz="4" w:space="0"/>
              <w:right w:val="single" w:color="auto" w:sz="4" w:space="0"/>
            </w:tcBorders>
          </w:tcPr>
          <w:p w14:paraId="150DD517">
            <w:pPr>
              <w:keepNext w:val="0"/>
              <w:keepLines w:val="0"/>
              <w:pageBreakBefore w:val="0"/>
              <w:widowControl/>
              <w:suppressLineNumbers w:val="0"/>
              <w:suppressAutoHyphens w:val="0"/>
              <w:rPr>
                <w:sz w:val="24"/>
                <w:szCs w:val="24"/>
              </w:rPr>
            </w:pPr>
          </w:p>
        </w:tc>
        <w:tc>
          <w:tcPr>
            <w:tcW w:w="946" w:type="dxa"/>
            <w:tcBorders>
              <w:top w:val="single" w:color="auto" w:sz="4" w:space="0"/>
              <w:left w:val="single" w:color="auto" w:sz="4" w:space="0"/>
              <w:bottom w:val="single" w:color="auto" w:sz="4" w:space="0"/>
              <w:right w:val="single" w:color="auto" w:sz="4" w:space="0"/>
            </w:tcBorders>
          </w:tcPr>
          <w:p w14:paraId="0F9CA4BA">
            <w:pPr>
              <w:keepNext w:val="0"/>
              <w:keepLines w:val="0"/>
              <w:pageBreakBefore w:val="0"/>
              <w:widowControl/>
              <w:suppressLineNumbers w:val="0"/>
              <w:suppressAutoHyphens w:val="0"/>
              <w:rPr>
                <w:sz w:val="24"/>
                <w:szCs w:val="24"/>
              </w:rPr>
            </w:pPr>
          </w:p>
        </w:tc>
        <w:tc>
          <w:tcPr>
            <w:tcW w:w="946" w:type="dxa"/>
            <w:tcBorders>
              <w:top w:val="single" w:color="auto" w:sz="4" w:space="0"/>
              <w:left w:val="single" w:color="auto" w:sz="4" w:space="0"/>
              <w:bottom w:val="single" w:color="auto" w:sz="4" w:space="0"/>
              <w:right w:val="single" w:color="auto" w:sz="4" w:space="0"/>
            </w:tcBorders>
          </w:tcPr>
          <w:p w14:paraId="5D26DEC2">
            <w:pPr>
              <w:keepNext w:val="0"/>
              <w:keepLines w:val="0"/>
              <w:pageBreakBefore w:val="0"/>
              <w:widowControl/>
              <w:suppressLineNumbers w:val="0"/>
              <w:suppressAutoHyphens w:val="0"/>
              <w:rPr>
                <w:sz w:val="24"/>
                <w:szCs w:val="24"/>
              </w:rPr>
            </w:pPr>
          </w:p>
        </w:tc>
        <w:tc>
          <w:tcPr>
            <w:tcW w:w="948" w:type="dxa"/>
            <w:tcBorders>
              <w:top w:val="single" w:color="auto" w:sz="4" w:space="0"/>
              <w:left w:val="single" w:color="auto" w:sz="4" w:space="0"/>
              <w:bottom w:val="single" w:color="auto" w:sz="4" w:space="0"/>
              <w:right w:val="single" w:color="auto" w:sz="4" w:space="0"/>
            </w:tcBorders>
          </w:tcPr>
          <w:p w14:paraId="57C44A24">
            <w:pPr>
              <w:keepNext w:val="0"/>
              <w:keepLines w:val="0"/>
              <w:pageBreakBefore w:val="0"/>
              <w:widowControl/>
              <w:suppressLineNumbers w:val="0"/>
              <w:suppressAutoHyphens w:val="0"/>
              <w:rPr>
                <w:sz w:val="24"/>
                <w:szCs w:val="24"/>
              </w:rPr>
            </w:pPr>
          </w:p>
        </w:tc>
        <w:tc>
          <w:tcPr>
            <w:tcW w:w="946" w:type="dxa"/>
            <w:tcBorders>
              <w:top w:val="single" w:color="auto" w:sz="4" w:space="0"/>
              <w:left w:val="single" w:color="auto" w:sz="4" w:space="0"/>
              <w:bottom w:val="single" w:color="auto" w:sz="4" w:space="0"/>
              <w:right w:val="single" w:color="auto" w:sz="4" w:space="0"/>
            </w:tcBorders>
          </w:tcPr>
          <w:p w14:paraId="7C5D4821">
            <w:pPr>
              <w:keepNext w:val="0"/>
              <w:keepLines w:val="0"/>
              <w:pageBreakBefore w:val="0"/>
              <w:widowControl/>
              <w:suppressLineNumbers w:val="0"/>
              <w:suppressAutoHyphens w:val="0"/>
              <w:rPr>
                <w:sz w:val="24"/>
                <w:szCs w:val="24"/>
              </w:rPr>
            </w:pPr>
          </w:p>
        </w:tc>
        <w:tc>
          <w:tcPr>
            <w:tcW w:w="949" w:type="dxa"/>
            <w:tcBorders>
              <w:top w:val="single" w:color="auto" w:sz="4" w:space="0"/>
              <w:left w:val="single" w:color="auto" w:sz="4" w:space="0"/>
              <w:bottom w:val="single" w:color="auto" w:sz="4" w:space="0"/>
              <w:right w:val="single" w:color="auto" w:sz="4" w:space="0"/>
            </w:tcBorders>
          </w:tcPr>
          <w:p w14:paraId="3A9D84CD">
            <w:pPr>
              <w:keepNext w:val="0"/>
              <w:keepLines w:val="0"/>
              <w:pageBreakBefore w:val="0"/>
              <w:widowControl/>
              <w:suppressLineNumbers w:val="0"/>
              <w:suppressAutoHyphens w:val="0"/>
              <w:rPr>
                <w:sz w:val="24"/>
                <w:szCs w:val="24"/>
              </w:rPr>
            </w:pPr>
          </w:p>
        </w:tc>
      </w:tr>
      <w:tr w14:paraId="31DB6CA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51" w:hRule="atLeast"/>
        </w:trPr>
        <w:tc>
          <w:tcPr>
            <w:tcW w:w="946" w:type="dxa"/>
            <w:vMerge w:val="continue"/>
            <w:tcBorders>
              <w:top w:val="nil"/>
              <w:left w:val="single" w:color="auto" w:sz="4" w:space="0"/>
              <w:bottom w:val="single" w:color="auto" w:sz="4" w:space="0"/>
              <w:right w:val="single" w:color="auto" w:sz="4" w:space="0"/>
            </w:tcBorders>
            <w:vAlign w:val="center"/>
          </w:tcPr>
          <w:p w14:paraId="06BC94DC"/>
        </w:tc>
        <w:tc>
          <w:tcPr>
            <w:tcW w:w="948" w:type="dxa"/>
            <w:tcBorders>
              <w:top w:val="single" w:color="auto" w:sz="4" w:space="0"/>
              <w:left w:val="single" w:color="auto" w:sz="4" w:space="0"/>
              <w:bottom w:val="single" w:color="auto" w:sz="4" w:space="0"/>
              <w:right w:val="single" w:color="auto" w:sz="4" w:space="0"/>
            </w:tcBorders>
          </w:tcPr>
          <w:p w14:paraId="6EBB2F8A">
            <w:pPr>
              <w:keepNext w:val="0"/>
              <w:keepLines w:val="0"/>
              <w:pageBreakBefore w:val="0"/>
              <w:widowControl/>
              <w:suppressLineNumbers w:val="0"/>
              <w:suppressAutoHyphens w:val="0"/>
              <w:rPr>
                <w:sz w:val="24"/>
                <w:szCs w:val="24"/>
              </w:rPr>
            </w:pPr>
          </w:p>
        </w:tc>
        <w:tc>
          <w:tcPr>
            <w:tcW w:w="946" w:type="dxa"/>
            <w:tcBorders>
              <w:top w:val="single" w:color="auto" w:sz="4" w:space="0"/>
              <w:left w:val="single" w:color="auto" w:sz="4" w:space="0"/>
              <w:bottom w:val="single" w:color="auto" w:sz="4" w:space="0"/>
              <w:right w:val="single" w:color="auto" w:sz="4" w:space="0"/>
            </w:tcBorders>
          </w:tcPr>
          <w:p w14:paraId="39708630">
            <w:pPr>
              <w:keepNext w:val="0"/>
              <w:keepLines w:val="0"/>
              <w:pageBreakBefore w:val="0"/>
              <w:widowControl/>
              <w:suppressLineNumbers w:val="0"/>
              <w:suppressAutoHyphens w:val="0"/>
              <w:rPr>
                <w:sz w:val="24"/>
                <w:szCs w:val="24"/>
              </w:rPr>
            </w:pPr>
          </w:p>
        </w:tc>
        <w:tc>
          <w:tcPr>
            <w:tcW w:w="948" w:type="dxa"/>
            <w:tcBorders>
              <w:top w:val="single" w:color="auto" w:sz="4" w:space="0"/>
              <w:left w:val="single" w:color="auto" w:sz="4" w:space="0"/>
              <w:bottom w:val="single" w:color="auto" w:sz="4" w:space="0"/>
              <w:right w:val="single" w:color="auto" w:sz="4" w:space="0"/>
            </w:tcBorders>
          </w:tcPr>
          <w:p w14:paraId="7F9D6DA5">
            <w:pPr>
              <w:keepNext w:val="0"/>
              <w:keepLines w:val="0"/>
              <w:pageBreakBefore w:val="0"/>
              <w:widowControl/>
              <w:suppressLineNumbers w:val="0"/>
              <w:suppressAutoHyphens w:val="0"/>
              <w:rPr>
                <w:sz w:val="24"/>
                <w:szCs w:val="24"/>
              </w:rPr>
            </w:pPr>
          </w:p>
        </w:tc>
        <w:tc>
          <w:tcPr>
            <w:tcW w:w="946" w:type="dxa"/>
            <w:tcBorders>
              <w:top w:val="single" w:color="auto" w:sz="4" w:space="0"/>
              <w:left w:val="single" w:color="auto" w:sz="4" w:space="0"/>
              <w:bottom w:val="single" w:color="auto" w:sz="4" w:space="0"/>
              <w:right w:val="single" w:color="auto" w:sz="4" w:space="0"/>
            </w:tcBorders>
          </w:tcPr>
          <w:p w14:paraId="7D602035">
            <w:pPr>
              <w:keepNext w:val="0"/>
              <w:keepLines w:val="0"/>
              <w:pageBreakBefore w:val="0"/>
              <w:widowControl/>
              <w:suppressLineNumbers w:val="0"/>
              <w:suppressAutoHyphens w:val="0"/>
              <w:rPr>
                <w:sz w:val="24"/>
                <w:szCs w:val="24"/>
              </w:rPr>
            </w:pPr>
          </w:p>
        </w:tc>
        <w:tc>
          <w:tcPr>
            <w:tcW w:w="946" w:type="dxa"/>
            <w:tcBorders>
              <w:top w:val="single" w:color="auto" w:sz="4" w:space="0"/>
              <w:left w:val="single" w:color="auto" w:sz="4" w:space="0"/>
              <w:bottom w:val="single" w:color="auto" w:sz="4" w:space="0"/>
              <w:right w:val="single" w:color="auto" w:sz="4" w:space="0"/>
            </w:tcBorders>
          </w:tcPr>
          <w:p w14:paraId="1268696A">
            <w:pPr>
              <w:keepNext w:val="0"/>
              <w:keepLines w:val="0"/>
              <w:pageBreakBefore w:val="0"/>
              <w:widowControl/>
              <w:suppressLineNumbers w:val="0"/>
              <w:suppressAutoHyphens w:val="0"/>
              <w:rPr>
                <w:sz w:val="24"/>
                <w:szCs w:val="24"/>
              </w:rPr>
            </w:pPr>
          </w:p>
        </w:tc>
        <w:tc>
          <w:tcPr>
            <w:tcW w:w="948" w:type="dxa"/>
            <w:tcBorders>
              <w:top w:val="single" w:color="auto" w:sz="4" w:space="0"/>
              <w:left w:val="single" w:color="auto" w:sz="4" w:space="0"/>
              <w:bottom w:val="single" w:color="auto" w:sz="4" w:space="0"/>
              <w:right w:val="single" w:color="auto" w:sz="4" w:space="0"/>
            </w:tcBorders>
          </w:tcPr>
          <w:p w14:paraId="75EFEC36">
            <w:pPr>
              <w:keepNext w:val="0"/>
              <w:keepLines w:val="0"/>
              <w:pageBreakBefore w:val="0"/>
              <w:widowControl/>
              <w:suppressLineNumbers w:val="0"/>
              <w:suppressAutoHyphens w:val="0"/>
              <w:rPr>
                <w:sz w:val="24"/>
                <w:szCs w:val="24"/>
              </w:rPr>
            </w:pPr>
          </w:p>
        </w:tc>
        <w:tc>
          <w:tcPr>
            <w:tcW w:w="946" w:type="dxa"/>
            <w:tcBorders>
              <w:top w:val="single" w:color="auto" w:sz="4" w:space="0"/>
              <w:left w:val="single" w:color="auto" w:sz="4" w:space="0"/>
              <w:bottom w:val="single" w:color="auto" w:sz="4" w:space="0"/>
              <w:right w:val="single" w:color="auto" w:sz="4" w:space="0"/>
            </w:tcBorders>
          </w:tcPr>
          <w:p w14:paraId="2A3B1AB5">
            <w:pPr>
              <w:keepNext w:val="0"/>
              <w:keepLines w:val="0"/>
              <w:pageBreakBefore w:val="0"/>
              <w:widowControl/>
              <w:suppressLineNumbers w:val="0"/>
              <w:suppressAutoHyphens w:val="0"/>
              <w:rPr>
                <w:sz w:val="24"/>
                <w:szCs w:val="24"/>
              </w:rPr>
            </w:pPr>
          </w:p>
        </w:tc>
        <w:tc>
          <w:tcPr>
            <w:tcW w:w="949" w:type="dxa"/>
            <w:tcBorders>
              <w:top w:val="single" w:color="auto" w:sz="4" w:space="0"/>
              <w:left w:val="single" w:color="auto" w:sz="4" w:space="0"/>
              <w:bottom w:val="single" w:color="auto" w:sz="4" w:space="0"/>
              <w:right w:val="single" w:color="auto" w:sz="4" w:space="0"/>
            </w:tcBorders>
          </w:tcPr>
          <w:p w14:paraId="3D6CDD42">
            <w:pPr>
              <w:keepNext w:val="0"/>
              <w:keepLines w:val="0"/>
              <w:pageBreakBefore w:val="0"/>
              <w:widowControl/>
              <w:suppressLineNumbers w:val="0"/>
              <w:suppressAutoHyphens w:val="0"/>
              <w:rPr>
                <w:sz w:val="24"/>
                <w:szCs w:val="24"/>
              </w:rPr>
            </w:pPr>
          </w:p>
        </w:tc>
      </w:tr>
      <w:tr w14:paraId="799B17C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51" w:hRule="atLeast"/>
        </w:trPr>
        <w:tc>
          <w:tcPr>
            <w:tcW w:w="946" w:type="dxa"/>
            <w:vMerge w:val="continue"/>
            <w:tcBorders>
              <w:top w:val="nil"/>
              <w:left w:val="single" w:color="auto" w:sz="4" w:space="0"/>
              <w:bottom w:val="single" w:color="auto" w:sz="4" w:space="0"/>
              <w:right w:val="single" w:color="auto" w:sz="4" w:space="0"/>
            </w:tcBorders>
            <w:vAlign w:val="center"/>
          </w:tcPr>
          <w:p w14:paraId="6B93576A"/>
        </w:tc>
        <w:tc>
          <w:tcPr>
            <w:tcW w:w="948" w:type="dxa"/>
            <w:tcBorders>
              <w:top w:val="single" w:color="auto" w:sz="4" w:space="0"/>
              <w:left w:val="single" w:color="auto" w:sz="4" w:space="0"/>
              <w:bottom w:val="single" w:color="auto" w:sz="4" w:space="0"/>
              <w:right w:val="single" w:color="auto" w:sz="4" w:space="0"/>
            </w:tcBorders>
          </w:tcPr>
          <w:p w14:paraId="0CD9CBEE">
            <w:pPr>
              <w:keepNext w:val="0"/>
              <w:keepLines w:val="0"/>
              <w:pageBreakBefore w:val="0"/>
              <w:widowControl/>
              <w:suppressLineNumbers w:val="0"/>
              <w:suppressAutoHyphens w:val="0"/>
              <w:rPr>
                <w:sz w:val="24"/>
                <w:szCs w:val="24"/>
              </w:rPr>
            </w:pPr>
          </w:p>
        </w:tc>
        <w:tc>
          <w:tcPr>
            <w:tcW w:w="946" w:type="dxa"/>
            <w:tcBorders>
              <w:top w:val="single" w:color="auto" w:sz="4" w:space="0"/>
              <w:left w:val="single" w:color="auto" w:sz="4" w:space="0"/>
              <w:bottom w:val="single" w:color="auto" w:sz="4" w:space="0"/>
              <w:right w:val="single" w:color="auto" w:sz="4" w:space="0"/>
            </w:tcBorders>
          </w:tcPr>
          <w:p w14:paraId="2312639A">
            <w:pPr>
              <w:keepNext w:val="0"/>
              <w:keepLines w:val="0"/>
              <w:pageBreakBefore w:val="0"/>
              <w:widowControl/>
              <w:suppressLineNumbers w:val="0"/>
              <w:suppressAutoHyphens w:val="0"/>
              <w:rPr>
                <w:sz w:val="24"/>
                <w:szCs w:val="24"/>
              </w:rPr>
            </w:pPr>
          </w:p>
        </w:tc>
        <w:tc>
          <w:tcPr>
            <w:tcW w:w="948" w:type="dxa"/>
            <w:tcBorders>
              <w:top w:val="single" w:color="auto" w:sz="4" w:space="0"/>
              <w:left w:val="single" w:color="auto" w:sz="4" w:space="0"/>
              <w:bottom w:val="single" w:color="auto" w:sz="4" w:space="0"/>
              <w:right w:val="single" w:color="auto" w:sz="4" w:space="0"/>
            </w:tcBorders>
          </w:tcPr>
          <w:p w14:paraId="3EF7D3D9">
            <w:pPr>
              <w:keepNext w:val="0"/>
              <w:keepLines w:val="0"/>
              <w:pageBreakBefore w:val="0"/>
              <w:widowControl/>
              <w:suppressLineNumbers w:val="0"/>
              <w:suppressAutoHyphens w:val="0"/>
              <w:rPr>
                <w:sz w:val="24"/>
                <w:szCs w:val="24"/>
              </w:rPr>
            </w:pPr>
          </w:p>
        </w:tc>
        <w:tc>
          <w:tcPr>
            <w:tcW w:w="946" w:type="dxa"/>
            <w:tcBorders>
              <w:top w:val="single" w:color="auto" w:sz="4" w:space="0"/>
              <w:left w:val="single" w:color="auto" w:sz="4" w:space="0"/>
              <w:bottom w:val="single" w:color="auto" w:sz="4" w:space="0"/>
              <w:right w:val="single" w:color="auto" w:sz="4" w:space="0"/>
            </w:tcBorders>
          </w:tcPr>
          <w:p w14:paraId="0DA2E1AC">
            <w:pPr>
              <w:keepNext w:val="0"/>
              <w:keepLines w:val="0"/>
              <w:pageBreakBefore w:val="0"/>
              <w:widowControl/>
              <w:suppressLineNumbers w:val="0"/>
              <w:suppressAutoHyphens w:val="0"/>
              <w:rPr>
                <w:sz w:val="24"/>
                <w:szCs w:val="24"/>
              </w:rPr>
            </w:pPr>
          </w:p>
        </w:tc>
        <w:tc>
          <w:tcPr>
            <w:tcW w:w="946" w:type="dxa"/>
            <w:tcBorders>
              <w:top w:val="single" w:color="auto" w:sz="4" w:space="0"/>
              <w:left w:val="single" w:color="auto" w:sz="4" w:space="0"/>
              <w:bottom w:val="single" w:color="auto" w:sz="4" w:space="0"/>
              <w:right w:val="single" w:color="auto" w:sz="4" w:space="0"/>
            </w:tcBorders>
          </w:tcPr>
          <w:p w14:paraId="0B981F60">
            <w:pPr>
              <w:keepNext w:val="0"/>
              <w:keepLines w:val="0"/>
              <w:pageBreakBefore w:val="0"/>
              <w:widowControl/>
              <w:suppressLineNumbers w:val="0"/>
              <w:suppressAutoHyphens w:val="0"/>
              <w:rPr>
                <w:sz w:val="24"/>
                <w:szCs w:val="24"/>
              </w:rPr>
            </w:pPr>
          </w:p>
        </w:tc>
        <w:tc>
          <w:tcPr>
            <w:tcW w:w="948" w:type="dxa"/>
            <w:tcBorders>
              <w:top w:val="single" w:color="auto" w:sz="4" w:space="0"/>
              <w:left w:val="single" w:color="auto" w:sz="4" w:space="0"/>
              <w:bottom w:val="single" w:color="auto" w:sz="4" w:space="0"/>
              <w:right w:val="single" w:color="auto" w:sz="4" w:space="0"/>
            </w:tcBorders>
          </w:tcPr>
          <w:p w14:paraId="018B1B3B">
            <w:pPr>
              <w:keepNext w:val="0"/>
              <w:keepLines w:val="0"/>
              <w:pageBreakBefore w:val="0"/>
              <w:widowControl/>
              <w:suppressLineNumbers w:val="0"/>
              <w:suppressAutoHyphens w:val="0"/>
              <w:rPr>
                <w:sz w:val="24"/>
                <w:szCs w:val="24"/>
              </w:rPr>
            </w:pPr>
          </w:p>
        </w:tc>
        <w:tc>
          <w:tcPr>
            <w:tcW w:w="946" w:type="dxa"/>
            <w:tcBorders>
              <w:top w:val="single" w:color="auto" w:sz="4" w:space="0"/>
              <w:left w:val="single" w:color="auto" w:sz="4" w:space="0"/>
              <w:bottom w:val="single" w:color="auto" w:sz="4" w:space="0"/>
              <w:right w:val="single" w:color="auto" w:sz="4" w:space="0"/>
            </w:tcBorders>
          </w:tcPr>
          <w:p w14:paraId="5657B47E">
            <w:pPr>
              <w:keepNext w:val="0"/>
              <w:keepLines w:val="0"/>
              <w:pageBreakBefore w:val="0"/>
              <w:widowControl/>
              <w:suppressLineNumbers w:val="0"/>
              <w:suppressAutoHyphens w:val="0"/>
              <w:rPr>
                <w:sz w:val="24"/>
                <w:szCs w:val="24"/>
              </w:rPr>
            </w:pPr>
          </w:p>
        </w:tc>
        <w:tc>
          <w:tcPr>
            <w:tcW w:w="949" w:type="dxa"/>
            <w:tcBorders>
              <w:top w:val="single" w:color="auto" w:sz="4" w:space="0"/>
              <w:left w:val="single" w:color="auto" w:sz="4" w:space="0"/>
              <w:bottom w:val="single" w:color="auto" w:sz="4" w:space="0"/>
              <w:right w:val="single" w:color="auto" w:sz="4" w:space="0"/>
            </w:tcBorders>
          </w:tcPr>
          <w:p w14:paraId="5C6383FF">
            <w:pPr>
              <w:keepNext w:val="0"/>
              <w:keepLines w:val="0"/>
              <w:pageBreakBefore w:val="0"/>
              <w:widowControl/>
              <w:suppressLineNumbers w:val="0"/>
              <w:suppressAutoHyphens w:val="0"/>
              <w:rPr>
                <w:sz w:val="24"/>
                <w:szCs w:val="24"/>
              </w:rPr>
            </w:pPr>
          </w:p>
        </w:tc>
      </w:tr>
      <w:tr w14:paraId="5E371D4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51" w:hRule="atLeast"/>
        </w:trPr>
        <w:tc>
          <w:tcPr>
            <w:tcW w:w="946" w:type="dxa"/>
            <w:vMerge w:val="restart"/>
            <w:tcBorders>
              <w:top w:val="nil"/>
              <w:left w:val="single" w:color="auto" w:sz="4" w:space="0"/>
              <w:bottom w:val="single" w:color="auto" w:sz="4" w:space="0"/>
              <w:right w:val="single" w:color="auto" w:sz="4" w:space="0"/>
            </w:tcBorders>
            <w:vAlign w:val="center"/>
          </w:tcPr>
          <w:p w14:paraId="1B8C43C5">
            <w:pPr>
              <w:keepNext w:val="0"/>
              <w:keepLines w:val="0"/>
              <w:pageBreakBefore w:val="0"/>
              <w:widowControl/>
              <w:suppressLineNumbers w:val="0"/>
              <w:suppressAutoHyphens w:val="0"/>
              <w:jc w:val="center"/>
              <w:rPr>
                <w:sz w:val="24"/>
                <w:szCs w:val="24"/>
              </w:rPr>
            </w:pPr>
            <w:r>
              <w:rPr>
                <w:rFonts w:hint="eastAsia" w:ascii="宋体"/>
                <w:sz w:val="24"/>
                <w:szCs w:val="24"/>
              </w:rPr>
              <w:t>售后服务人员</w:t>
            </w:r>
          </w:p>
        </w:tc>
        <w:tc>
          <w:tcPr>
            <w:tcW w:w="948" w:type="dxa"/>
            <w:tcBorders>
              <w:top w:val="single" w:color="auto" w:sz="4" w:space="0"/>
              <w:left w:val="single" w:color="auto" w:sz="4" w:space="0"/>
              <w:bottom w:val="single" w:color="auto" w:sz="4" w:space="0"/>
              <w:right w:val="single" w:color="auto" w:sz="4" w:space="0"/>
            </w:tcBorders>
          </w:tcPr>
          <w:p w14:paraId="64B81BC7">
            <w:pPr>
              <w:keepNext w:val="0"/>
              <w:keepLines w:val="0"/>
              <w:pageBreakBefore w:val="0"/>
              <w:widowControl/>
              <w:suppressLineNumbers w:val="0"/>
              <w:suppressAutoHyphens w:val="0"/>
              <w:rPr>
                <w:sz w:val="24"/>
                <w:szCs w:val="24"/>
              </w:rPr>
            </w:pPr>
          </w:p>
        </w:tc>
        <w:tc>
          <w:tcPr>
            <w:tcW w:w="946" w:type="dxa"/>
            <w:tcBorders>
              <w:top w:val="single" w:color="auto" w:sz="4" w:space="0"/>
              <w:left w:val="single" w:color="auto" w:sz="4" w:space="0"/>
              <w:bottom w:val="single" w:color="auto" w:sz="4" w:space="0"/>
              <w:right w:val="single" w:color="auto" w:sz="4" w:space="0"/>
            </w:tcBorders>
          </w:tcPr>
          <w:p w14:paraId="0168CE83">
            <w:pPr>
              <w:keepNext w:val="0"/>
              <w:keepLines w:val="0"/>
              <w:pageBreakBefore w:val="0"/>
              <w:widowControl/>
              <w:suppressLineNumbers w:val="0"/>
              <w:suppressAutoHyphens w:val="0"/>
              <w:rPr>
                <w:sz w:val="24"/>
                <w:szCs w:val="24"/>
              </w:rPr>
            </w:pPr>
          </w:p>
        </w:tc>
        <w:tc>
          <w:tcPr>
            <w:tcW w:w="948" w:type="dxa"/>
            <w:tcBorders>
              <w:top w:val="single" w:color="auto" w:sz="4" w:space="0"/>
              <w:left w:val="single" w:color="auto" w:sz="4" w:space="0"/>
              <w:bottom w:val="single" w:color="auto" w:sz="4" w:space="0"/>
              <w:right w:val="single" w:color="auto" w:sz="4" w:space="0"/>
            </w:tcBorders>
          </w:tcPr>
          <w:p w14:paraId="3EED3630">
            <w:pPr>
              <w:keepNext w:val="0"/>
              <w:keepLines w:val="0"/>
              <w:pageBreakBefore w:val="0"/>
              <w:widowControl/>
              <w:suppressLineNumbers w:val="0"/>
              <w:suppressAutoHyphens w:val="0"/>
              <w:rPr>
                <w:sz w:val="24"/>
                <w:szCs w:val="24"/>
              </w:rPr>
            </w:pPr>
          </w:p>
        </w:tc>
        <w:tc>
          <w:tcPr>
            <w:tcW w:w="946" w:type="dxa"/>
            <w:tcBorders>
              <w:top w:val="single" w:color="auto" w:sz="4" w:space="0"/>
              <w:left w:val="single" w:color="auto" w:sz="4" w:space="0"/>
              <w:bottom w:val="single" w:color="auto" w:sz="4" w:space="0"/>
              <w:right w:val="single" w:color="auto" w:sz="4" w:space="0"/>
            </w:tcBorders>
          </w:tcPr>
          <w:p w14:paraId="3F8070A3">
            <w:pPr>
              <w:keepNext w:val="0"/>
              <w:keepLines w:val="0"/>
              <w:pageBreakBefore w:val="0"/>
              <w:widowControl/>
              <w:suppressLineNumbers w:val="0"/>
              <w:suppressAutoHyphens w:val="0"/>
              <w:rPr>
                <w:sz w:val="24"/>
                <w:szCs w:val="24"/>
              </w:rPr>
            </w:pPr>
          </w:p>
        </w:tc>
        <w:tc>
          <w:tcPr>
            <w:tcW w:w="946" w:type="dxa"/>
            <w:tcBorders>
              <w:top w:val="single" w:color="auto" w:sz="4" w:space="0"/>
              <w:left w:val="single" w:color="auto" w:sz="4" w:space="0"/>
              <w:bottom w:val="single" w:color="auto" w:sz="4" w:space="0"/>
              <w:right w:val="single" w:color="auto" w:sz="4" w:space="0"/>
            </w:tcBorders>
          </w:tcPr>
          <w:p w14:paraId="14BAF777">
            <w:pPr>
              <w:keepNext w:val="0"/>
              <w:keepLines w:val="0"/>
              <w:pageBreakBefore w:val="0"/>
              <w:widowControl/>
              <w:suppressLineNumbers w:val="0"/>
              <w:suppressAutoHyphens w:val="0"/>
              <w:rPr>
                <w:sz w:val="24"/>
                <w:szCs w:val="24"/>
              </w:rPr>
            </w:pPr>
          </w:p>
        </w:tc>
        <w:tc>
          <w:tcPr>
            <w:tcW w:w="948" w:type="dxa"/>
            <w:tcBorders>
              <w:top w:val="single" w:color="auto" w:sz="4" w:space="0"/>
              <w:left w:val="single" w:color="auto" w:sz="4" w:space="0"/>
              <w:bottom w:val="single" w:color="auto" w:sz="4" w:space="0"/>
              <w:right w:val="single" w:color="auto" w:sz="4" w:space="0"/>
            </w:tcBorders>
          </w:tcPr>
          <w:p w14:paraId="41085E9B">
            <w:pPr>
              <w:keepNext w:val="0"/>
              <w:keepLines w:val="0"/>
              <w:pageBreakBefore w:val="0"/>
              <w:widowControl/>
              <w:suppressLineNumbers w:val="0"/>
              <w:suppressAutoHyphens w:val="0"/>
              <w:rPr>
                <w:sz w:val="24"/>
                <w:szCs w:val="24"/>
              </w:rPr>
            </w:pPr>
          </w:p>
        </w:tc>
        <w:tc>
          <w:tcPr>
            <w:tcW w:w="946" w:type="dxa"/>
            <w:tcBorders>
              <w:top w:val="single" w:color="auto" w:sz="4" w:space="0"/>
              <w:left w:val="single" w:color="auto" w:sz="4" w:space="0"/>
              <w:bottom w:val="single" w:color="auto" w:sz="4" w:space="0"/>
              <w:right w:val="single" w:color="auto" w:sz="4" w:space="0"/>
            </w:tcBorders>
          </w:tcPr>
          <w:p w14:paraId="646764B6">
            <w:pPr>
              <w:keepNext w:val="0"/>
              <w:keepLines w:val="0"/>
              <w:pageBreakBefore w:val="0"/>
              <w:widowControl/>
              <w:suppressLineNumbers w:val="0"/>
              <w:suppressAutoHyphens w:val="0"/>
              <w:rPr>
                <w:sz w:val="24"/>
                <w:szCs w:val="24"/>
              </w:rPr>
            </w:pPr>
          </w:p>
        </w:tc>
        <w:tc>
          <w:tcPr>
            <w:tcW w:w="949" w:type="dxa"/>
            <w:tcBorders>
              <w:top w:val="single" w:color="auto" w:sz="4" w:space="0"/>
              <w:left w:val="single" w:color="auto" w:sz="4" w:space="0"/>
              <w:bottom w:val="single" w:color="auto" w:sz="4" w:space="0"/>
              <w:right w:val="single" w:color="auto" w:sz="4" w:space="0"/>
            </w:tcBorders>
          </w:tcPr>
          <w:p w14:paraId="399F3255">
            <w:pPr>
              <w:keepNext w:val="0"/>
              <w:keepLines w:val="0"/>
              <w:pageBreakBefore w:val="0"/>
              <w:widowControl/>
              <w:suppressLineNumbers w:val="0"/>
              <w:suppressAutoHyphens w:val="0"/>
              <w:rPr>
                <w:sz w:val="24"/>
                <w:szCs w:val="24"/>
              </w:rPr>
            </w:pPr>
          </w:p>
        </w:tc>
      </w:tr>
      <w:tr w14:paraId="0FE5819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51" w:hRule="atLeast"/>
        </w:trPr>
        <w:tc>
          <w:tcPr>
            <w:tcW w:w="946" w:type="dxa"/>
            <w:vMerge w:val="continue"/>
            <w:tcBorders>
              <w:top w:val="nil"/>
              <w:left w:val="single" w:color="auto" w:sz="4" w:space="0"/>
              <w:bottom w:val="single" w:color="auto" w:sz="4" w:space="0"/>
              <w:right w:val="single" w:color="auto" w:sz="4" w:space="0"/>
            </w:tcBorders>
            <w:vAlign w:val="center"/>
          </w:tcPr>
          <w:p w14:paraId="7121F5E3"/>
        </w:tc>
        <w:tc>
          <w:tcPr>
            <w:tcW w:w="948" w:type="dxa"/>
            <w:tcBorders>
              <w:top w:val="single" w:color="auto" w:sz="4" w:space="0"/>
              <w:left w:val="single" w:color="auto" w:sz="4" w:space="0"/>
              <w:bottom w:val="single" w:color="auto" w:sz="4" w:space="0"/>
              <w:right w:val="single" w:color="auto" w:sz="4" w:space="0"/>
            </w:tcBorders>
          </w:tcPr>
          <w:p w14:paraId="290D6657">
            <w:pPr>
              <w:keepNext w:val="0"/>
              <w:keepLines w:val="0"/>
              <w:pageBreakBefore w:val="0"/>
              <w:widowControl/>
              <w:suppressLineNumbers w:val="0"/>
              <w:suppressAutoHyphens w:val="0"/>
              <w:rPr>
                <w:sz w:val="24"/>
                <w:szCs w:val="24"/>
              </w:rPr>
            </w:pPr>
          </w:p>
        </w:tc>
        <w:tc>
          <w:tcPr>
            <w:tcW w:w="946" w:type="dxa"/>
            <w:tcBorders>
              <w:top w:val="single" w:color="auto" w:sz="4" w:space="0"/>
              <w:left w:val="single" w:color="auto" w:sz="4" w:space="0"/>
              <w:bottom w:val="single" w:color="auto" w:sz="4" w:space="0"/>
              <w:right w:val="single" w:color="auto" w:sz="4" w:space="0"/>
            </w:tcBorders>
          </w:tcPr>
          <w:p w14:paraId="0228A9C6">
            <w:pPr>
              <w:keepNext w:val="0"/>
              <w:keepLines w:val="0"/>
              <w:pageBreakBefore w:val="0"/>
              <w:widowControl/>
              <w:suppressLineNumbers w:val="0"/>
              <w:suppressAutoHyphens w:val="0"/>
              <w:rPr>
                <w:sz w:val="24"/>
                <w:szCs w:val="24"/>
              </w:rPr>
            </w:pPr>
          </w:p>
        </w:tc>
        <w:tc>
          <w:tcPr>
            <w:tcW w:w="948" w:type="dxa"/>
            <w:tcBorders>
              <w:top w:val="single" w:color="auto" w:sz="4" w:space="0"/>
              <w:left w:val="single" w:color="auto" w:sz="4" w:space="0"/>
              <w:bottom w:val="single" w:color="auto" w:sz="4" w:space="0"/>
              <w:right w:val="single" w:color="auto" w:sz="4" w:space="0"/>
            </w:tcBorders>
          </w:tcPr>
          <w:p w14:paraId="5F8E9CC4">
            <w:pPr>
              <w:keepNext w:val="0"/>
              <w:keepLines w:val="0"/>
              <w:pageBreakBefore w:val="0"/>
              <w:widowControl/>
              <w:suppressLineNumbers w:val="0"/>
              <w:suppressAutoHyphens w:val="0"/>
              <w:rPr>
                <w:sz w:val="24"/>
                <w:szCs w:val="24"/>
              </w:rPr>
            </w:pPr>
          </w:p>
        </w:tc>
        <w:tc>
          <w:tcPr>
            <w:tcW w:w="946" w:type="dxa"/>
            <w:tcBorders>
              <w:top w:val="single" w:color="auto" w:sz="4" w:space="0"/>
              <w:left w:val="single" w:color="auto" w:sz="4" w:space="0"/>
              <w:bottom w:val="single" w:color="auto" w:sz="4" w:space="0"/>
              <w:right w:val="single" w:color="auto" w:sz="4" w:space="0"/>
            </w:tcBorders>
          </w:tcPr>
          <w:p w14:paraId="6E189351">
            <w:pPr>
              <w:keepNext w:val="0"/>
              <w:keepLines w:val="0"/>
              <w:pageBreakBefore w:val="0"/>
              <w:widowControl/>
              <w:suppressLineNumbers w:val="0"/>
              <w:suppressAutoHyphens w:val="0"/>
              <w:rPr>
                <w:sz w:val="24"/>
                <w:szCs w:val="24"/>
              </w:rPr>
            </w:pPr>
          </w:p>
        </w:tc>
        <w:tc>
          <w:tcPr>
            <w:tcW w:w="946" w:type="dxa"/>
            <w:tcBorders>
              <w:top w:val="single" w:color="auto" w:sz="4" w:space="0"/>
              <w:left w:val="single" w:color="auto" w:sz="4" w:space="0"/>
              <w:bottom w:val="single" w:color="auto" w:sz="4" w:space="0"/>
              <w:right w:val="single" w:color="auto" w:sz="4" w:space="0"/>
            </w:tcBorders>
          </w:tcPr>
          <w:p w14:paraId="66E63EFD">
            <w:pPr>
              <w:keepNext w:val="0"/>
              <w:keepLines w:val="0"/>
              <w:pageBreakBefore w:val="0"/>
              <w:widowControl/>
              <w:suppressLineNumbers w:val="0"/>
              <w:suppressAutoHyphens w:val="0"/>
              <w:rPr>
                <w:sz w:val="24"/>
                <w:szCs w:val="24"/>
              </w:rPr>
            </w:pPr>
          </w:p>
        </w:tc>
        <w:tc>
          <w:tcPr>
            <w:tcW w:w="948" w:type="dxa"/>
            <w:tcBorders>
              <w:top w:val="single" w:color="auto" w:sz="4" w:space="0"/>
              <w:left w:val="single" w:color="auto" w:sz="4" w:space="0"/>
              <w:bottom w:val="single" w:color="auto" w:sz="4" w:space="0"/>
              <w:right w:val="single" w:color="auto" w:sz="4" w:space="0"/>
            </w:tcBorders>
          </w:tcPr>
          <w:p w14:paraId="7DB9D9B4">
            <w:pPr>
              <w:keepNext w:val="0"/>
              <w:keepLines w:val="0"/>
              <w:pageBreakBefore w:val="0"/>
              <w:widowControl/>
              <w:suppressLineNumbers w:val="0"/>
              <w:suppressAutoHyphens w:val="0"/>
              <w:rPr>
                <w:sz w:val="24"/>
                <w:szCs w:val="24"/>
              </w:rPr>
            </w:pPr>
          </w:p>
        </w:tc>
        <w:tc>
          <w:tcPr>
            <w:tcW w:w="946" w:type="dxa"/>
            <w:tcBorders>
              <w:top w:val="single" w:color="auto" w:sz="4" w:space="0"/>
              <w:left w:val="single" w:color="auto" w:sz="4" w:space="0"/>
              <w:bottom w:val="single" w:color="auto" w:sz="4" w:space="0"/>
              <w:right w:val="single" w:color="auto" w:sz="4" w:space="0"/>
            </w:tcBorders>
          </w:tcPr>
          <w:p w14:paraId="264ECB39">
            <w:pPr>
              <w:keepNext w:val="0"/>
              <w:keepLines w:val="0"/>
              <w:pageBreakBefore w:val="0"/>
              <w:widowControl/>
              <w:suppressLineNumbers w:val="0"/>
              <w:suppressAutoHyphens w:val="0"/>
              <w:rPr>
                <w:sz w:val="24"/>
                <w:szCs w:val="24"/>
              </w:rPr>
            </w:pPr>
          </w:p>
        </w:tc>
        <w:tc>
          <w:tcPr>
            <w:tcW w:w="949" w:type="dxa"/>
            <w:tcBorders>
              <w:top w:val="single" w:color="auto" w:sz="4" w:space="0"/>
              <w:left w:val="single" w:color="auto" w:sz="4" w:space="0"/>
              <w:bottom w:val="single" w:color="auto" w:sz="4" w:space="0"/>
              <w:right w:val="single" w:color="auto" w:sz="4" w:space="0"/>
            </w:tcBorders>
          </w:tcPr>
          <w:p w14:paraId="600F0167">
            <w:pPr>
              <w:keepNext w:val="0"/>
              <w:keepLines w:val="0"/>
              <w:pageBreakBefore w:val="0"/>
              <w:widowControl/>
              <w:suppressLineNumbers w:val="0"/>
              <w:suppressAutoHyphens w:val="0"/>
              <w:rPr>
                <w:sz w:val="24"/>
                <w:szCs w:val="24"/>
              </w:rPr>
            </w:pPr>
          </w:p>
        </w:tc>
      </w:tr>
      <w:tr w14:paraId="7A5A4FE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62" w:hRule="atLeast"/>
        </w:trPr>
        <w:tc>
          <w:tcPr>
            <w:tcW w:w="946" w:type="dxa"/>
            <w:vMerge w:val="continue"/>
            <w:tcBorders>
              <w:top w:val="nil"/>
              <w:left w:val="single" w:color="auto" w:sz="4" w:space="0"/>
              <w:bottom w:val="single" w:color="auto" w:sz="4" w:space="0"/>
              <w:right w:val="single" w:color="auto" w:sz="4" w:space="0"/>
            </w:tcBorders>
            <w:vAlign w:val="center"/>
          </w:tcPr>
          <w:p w14:paraId="32A42949"/>
        </w:tc>
        <w:tc>
          <w:tcPr>
            <w:tcW w:w="948" w:type="dxa"/>
            <w:tcBorders>
              <w:top w:val="single" w:color="auto" w:sz="4" w:space="0"/>
              <w:left w:val="single" w:color="auto" w:sz="4" w:space="0"/>
              <w:bottom w:val="single" w:color="auto" w:sz="4" w:space="0"/>
              <w:right w:val="single" w:color="auto" w:sz="4" w:space="0"/>
            </w:tcBorders>
          </w:tcPr>
          <w:p w14:paraId="35A7A2AE">
            <w:pPr>
              <w:keepNext w:val="0"/>
              <w:keepLines w:val="0"/>
              <w:pageBreakBefore w:val="0"/>
              <w:widowControl/>
              <w:suppressLineNumbers w:val="0"/>
              <w:suppressAutoHyphens w:val="0"/>
              <w:rPr>
                <w:sz w:val="24"/>
                <w:szCs w:val="24"/>
              </w:rPr>
            </w:pPr>
          </w:p>
        </w:tc>
        <w:tc>
          <w:tcPr>
            <w:tcW w:w="946" w:type="dxa"/>
            <w:tcBorders>
              <w:top w:val="single" w:color="auto" w:sz="4" w:space="0"/>
              <w:left w:val="single" w:color="auto" w:sz="4" w:space="0"/>
              <w:bottom w:val="single" w:color="auto" w:sz="4" w:space="0"/>
              <w:right w:val="single" w:color="auto" w:sz="4" w:space="0"/>
            </w:tcBorders>
          </w:tcPr>
          <w:p w14:paraId="2FFFEE3C">
            <w:pPr>
              <w:keepNext w:val="0"/>
              <w:keepLines w:val="0"/>
              <w:pageBreakBefore w:val="0"/>
              <w:widowControl/>
              <w:suppressLineNumbers w:val="0"/>
              <w:suppressAutoHyphens w:val="0"/>
              <w:rPr>
                <w:sz w:val="24"/>
                <w:szCs w:val="24"/>
              </w:rPr>
            </w:pPr>
          </w:p>
        </w:tc>
        <w:tc>
          <w:tcPr>
            <w:tcW w:w="948" w:type="dxa"/>
            <w:tcBorders>
              <w:top w:val="single" w:color="auto" w:sz="4" w:space="0"/>
              <w:left w:val="single" w:color="auto" w:sz="4" w:space="0"/>
              <w:bottom w:val="single" w:color="auto" w:sz="4" w:space="0"/>
              <w:right w:val="single" w:color="auto" w:sz="4" w:space="0"/>
            </w:tcBorders>
          </w:tcPr>
          <w:p w14:paraId="30E8C5EB">
            <w:pPr>
              <w:keepNext w:val="0"/>
              <w:keepLines w:val="0"/>
              <w:pageBreakBefore w:val="0"/>
              <w:widowControl/>
              <w:suppressLineNumbers w:val="0"/>
              <w:suppressAutoHyphens w:val="0"/>
              <w:rPr>
                <w:sz w:val="24"/>
                <w:szCs w:val="24"/>
              </w:rPr>
            </w:pPr>
          </w:p>
        </w:tc>
        <w:tc>
          <w:tcPr>
            <w:tcW w:w="946" w:type="dxa"/>
            <w:tcBorders>
              <w:top w:val="single" w:color="auto" w:sz="4" w:space="0"/>
              <w:left w:val="single" w:color="auto" w:sz="4" w:space="0"/>
              <w:bottom w:val="single" w:color="auto" w:sz="4" w:space="0"/>
              <w:right w:val="single" w:color="auto" w:sz="4" w:space="0"/>
            </w:tcBorders>
          </w:tcPr>
          <w:p w14:paraId="6B645DC5">
            <w:pPr>
              <w:keepNext w:val="0"/>
              <w:keepLines w:val="0"/>
              <w:pageBreakBefore w:val="0"/>
              <w:widowControl/>
              <w:suppressLineNumbers w:val="0"/>
              <w:suppressAutoHyphens w:val="0"/>
              <w:rPr>
                <w:sz w:val="24"/>
                <w:szCs w:val="24"/>
              </w:rPr>
            </w:pPr>
          </w:p>
        </w:tc>
        <w:tc>
          <w:tcPr>
            <w:tcW w:w="946" w:type="dxa"/>
            <w:tcBorders>
              <w:top w:val="single" w:color="auto" w:sz="4" w:space="0"/>
              <w:left w:val="single" w:color="auto" w:sz="4" w:space="0"/>
              <w:bottom w:val="single" w:color="auto" w:sz="4" w:space="0"/>
              <w:right w:val="single" w:color="auto" w:sz="4" w:space="0"/>
            </w:tcBorders>
          </w:tcPr>
          <w:p w14:paraId="008E0165">
            <w:pPr>
              <w:keepNext w:val="0"/>
              <w:keepLines w:val="0"/>
              <w:pageBreakBefore w:val="0"/>
              <w:widowControl/>
              <w:suppressLineNumbers w:val="0"/>
              <w:suppressAutoHyphens w:val="0"/>
              <w:rPr>
                <w:sz w:val="24"/>
                <w:szCs w:val="24"/>
              </w:rPr>
            </w:pPr>
          </w:p>
        </w:tc>
        <w:tc>
          <w:tcPr>
            <w:tcW w:w="948" w:type="dxa"/>
            <w:tcBorders>
              <w:top w:val="single" w:color="auto" w:sz="4" w:space="0"/>
              <w:left w:val="single" w:color="auto" w:sz="4" w:space="0"/>
              <w:bottom w:val="single" w:color="auto" w:sz="4" w:space="0"/>
              <w:right w:val="single" w:color="auto" w:sz="4" w:space="0"/>
            </w:tcBorders>
          </w:tcPr>
          <w:p w14:paraId="5AE64069">
            <w:pPr>
              <w:keepNext w:val="0"/>
              <w:keepLines w:val="0"/>
              <w:pageBreakBefore w:val="0"/>
              <w:widowControl/>
              <w:suppressLineNumbers w:val="0"/>
              <w:suppressAutoHyphens w:val="0"/>
              <w:rPr>
                <w:sz w:val="24"/>
                <w:szCs w:val="24"/>
              </w:rPr>
            </w:pPr>
          </w:p>
        </w:tc>
        <w:tc>
          <w:tcPr>
            <w:tcW w:w="946" w:type="dxa"/>
            <w:tcBorders>
              <w:top w:val="single" w:color="auto" w:sz="4" w:space="0"/>
              <w:left w:val="single" w:color="auto" w:sz="4" w:space="0"/>
              <w:bottom w:val="single" w:color="auto" w:sz="4" w:space="0"/>
              <w:right w:val="single" w:color="auto" w:sz="4" w:space="0"/>
            </w:tcBorders>
          </w:tcPr>
          <w:p w14:paraId="3FAB7A6D">
            <w:pPr>
              <w:keepNext w:val="0"/>
              <w:keepLines w:val="0"/>
              <w:pageBreakBefore w:val="0"/>
              <w:widowControl/>
              <w:suppressLineNumbers w:val="0"/>
              <w:suppressAutoHyphens w:val="0"/>
              <w:rPr>
                <w:sz w:val="24"/>
                <w:szCs w:val="24"/>
              </w:rPr>
            </w:pPr>
          </w:p>
        </w:tc>
        <w:tc>
          <w:tcPr>
            <w:tcW w:w="949" w:type="dxa"/>
            <w:tcBorders>
              <w:top w:val="single" w:color="auto" w:sz="4" w:space="0"/>
              <w:left w:val="single" w:color="auto" w:sz="4" w:space="0"/>
              <w:bottom w:val="single" w:color="auto" w:sz="4" w:space="0"/>
              <w:right w:val="single" w:color="auto" w:sz="4" w:space="0"/>
            </w:tcBorders>
          </w:tcPr>
          <w:p w14:paraId="756C2360">
            <w:pPr>
              <w:keepNext w:val="0"/>
              <w:keepLines w:val="0"/>
              <w:pageBreakBefore w:val="0"/>
              <w:widowControl/>
              <w:suppressLineNumbers w:val="0"/>
              <w:suppressAutoHyphens w:val="0"/>
              <w:rPr>
                <w:sz w:val="24"/>
                <w:szCs w:val="24"/>
              </w:rPr>
            </w:pPr>
          </w:p>
        </w:tc>
      </w:tr>
    </w:tbl>
    <w:p w14:paraId="01B3DCB0">
      <w:pPr>
        <w:rPr>
          <w:sz w:val="24"/>
          <w:szCs w:val="24"/>
        </w:rPr>
      </w:pPr>
    </w:p>
    <w:p w14:paraId="352B1089">
      <w:pPr>
        <w:rPr>
          <w:sz w:val="24"/>
          <w:szCs w:val="24"/>
        </w:rPr>
      </w:pPr>
    </w:p>
    <w:p w14:paraId="346F6CF1">
      <w:pPr>
        <w:rPr>
          <w:sz w:val="24"/>
          <w:szCs w:val="24"/>
        </w:rPr>
      </w:pPr>
    </w:p>
    <w:p w14:paraId="0526DF4D">
      <w:pPr>
        <w:adjustRightInd w:val="0"/>
        <w:snapToGrid/>
        <w:spacing w:line="400" w:lineRule="exact"/>
        <w:ind w:firstLine="480" w:firstLineChars="200"/>
        <w:jc w:val="left"/>
        <w:rPr>
          <w:rFonts w:hint="eastAsia"/>
          <w:sz w:val="24"/>
          <w:szCs w:val="24"/>
        </w:rPr>
      </w:pPr>
      <w:r>
        <w:rPr>
          <w:rFonts w:hint="eastAsia" w:ascii="宋体"/>
          <w:sz w:val="24"/>
          <w:szCs w:val="24"/>
        </w:rPr>
        <w:t>供应商名称（盖章）：</w:t>
      </w:r>
    </w:p>
    <w:p w14:paraId="7F65BDDB">
      <w:pPr>
        <w:adjustRightInd w:val="0"/>
        <w:snapToGrid/>
        <w:spacing w:line="400" w:lineRule="exact"/>
        <w:ind w:firstLine="480" w:firstLineChars="200"/>
        <w:jc w:val="left"/>
        <w:rPr>
          <w:rFonts w:hint="eastAsia"/>
          <w:sz w:val="24"/>
          <w:szCs w:val="24"/>
        </w:rPr>
      </w:pPr>
      <w:r>
        <w:rPr>
          <w:rFonts w:hint="eastAsia" w:ascii="宋体"/>
          <w:sz w:val="24"/>
          <w:szCs w:val="24"/>
        </w:rPr>
        <w:t>法定代表人或授权代表（签字或盖章）：</w:t>
      </w:r>
    </w:p>
    <w:p w14:paraId="66F28E33">
      <w:pPr>
        <w:adjustRightInd w:val="0"/>
        <w:snapToGrid/>
        <w:spacing w:line="400" w:lineRule="exact"/>
        <w:ind w:firstLine="480" w:firstLineChars="200"/>
        <w:jc w:val="left"/>
      </w:pPr>
      <w:r>
        <w:rPr>
          <w:rFonts w:hint="eastAsia" w:ascii="宋体"/>
          <w:sz w:val="24"/>
          <w:szCs w:val="24"/>
        </w:rPr>
        <w:t>日期：</w:t>
      </w:r>
      <w:r>
        <w:rPr>
          <w:rFonts w:hint="eastAsia"/>
          <w:sz w:val="24"/>
          <w:szCs w:val="24"/>
        </w:rPr>
        <w:t xml:space="preserve">      </w:t>
      </w:r>
      <w:r>
        <w:rPr>
          <w:rFonts w:hint="eastAsia" w:ascii="宋体"/>
          <w:sz w:val="24"/>
          <w:szCs w:val="24"/>
        </w:rPr>
        <w:t>年</w:t>
      </w:r>
      <w:r>
        <w:rPr>
          <w:rFonts w:hint="eastAsia"/>
          <w:sz w:val="24"/>
          <w:szCs w:val="24"/>
        </w:rPr>
        <w:t xml:space="preserve">    </w:t>
      </w:r>
      <w:r>
        <w:rPr>
          <w:rFonts w:hint="eastAsia" w:ascii="宋体"/>
          <w:sz w:val="24"/>
          <w:szCs w:val="24"/>
        </w:rPr>
        <w:t>月</w:t>
      </w:r>
      <w:r>
        <w:rPr>
          <w:rFonts w:hint="eastAsia"/>
          <w:sz w:val="24"/>
          <w:szCs w:val="24"/>
        </w:rPr>
        <w:t xml:space="preserve">    </w:t>
      </w:r>
      <w:r>
        <w:rPr>
          <w:rFonts w:hint="eastAsia" w:ascii="宋体"/>
          <w:sz w:val="24"/>
          <w:szCs w:val="24"/>
        </w:rPr>
        <w:t>日</w:t>
      </w:r>
      <w:r>
        <w:rPr>
          <w:rFonts w:hint="eastAsia"/>
          <w:sz w:val="24"/>
          <w:szCs w:val="24"/>
        </w:rPr>
        <w:t xml:space="preserve">                </w:t>
      </w:r>
      <w:r>
        <w:rPr>
          <w:rFonts w:hint="eastAsia"/>
          <w:sz w:val="24"/>
          <w:szCs w:val="24"/>
        </w:rPr>
        <w:br w:type="page"/>
      </w:r>
    </w:p>
    <w:p w14:paraId="5B9796BA">
      <w:pPr>
        <w:jc w:val="center"/>
        <w:outlineLvl w:val="2"/>
        <w:rPr>
          <w:rFonts w:cs="Arial"/>
          <w:b/>
          <w:bCs/>
          <w:sz w:val="32"/>
          <w:szCs w:val="32"/>
        </w:rPr>
      </w:pPr>
      <w:r>
        <w:rPr>
          <w:rFonts w:hint="eastAsia" w:ascii="宋体" w:cs="Arial"/>
          <w:b/>
          <w:bCs/>
          <w:sz w:val="32"/>
          <w:szCs w:val="32"/>
        </w:rPr>
        <w:t>六、供应商基本情况表</w:t>
      </w:r>
    </w:p>
    <w:tbl>
      <w:tblPr>
        <w:tblStyle w:val="23"/>
        <w:tblW w:w="5000" w:type="pct"/>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autofit"/>
        <w:tblCellMar>
          <w:top w:w="0" w:type="dxa"/>
          <w:left w:w="108" w:type="dxa"/>
          <w:bottom w:w="0" w:type="dxa"/>
          <w:right w:w="108" w:type="dxa"/>
        </w:tblCellMar>
      </w:tblPr>
      <w:tblGrid>
        <w:gridCol w:w="1516"/>
        <w:gridCol w:w="1010"/>
        <w:gridCol w:w="164"/>
        <w:gridCol w:w="1180"/>
        <w:gridCol w:w="1178"/>
        <w:gridCol w:w="383"/>
        <w:gridCol w:w="436"/>
        <w:gridCol w:w="328"/>
        <w:gridCol w:w="766"/>
        <w:gridCol w:w="53"/>
        <w:gridCol w:w="328"/>
        <w:gridCol w:w="1181"/>
      </w:tblGrid>
      <w:tr w14:paraId="3B322FC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10" w:hRule="atLeast"/>
          <w:jc w:val="center"/>
        </w:trPr>
        <w:tc>
          <w:tcPr>
            <w:tcW w:w="1516" w:type="dxa"/>
            <w:tcBorders>
              <w:top w:val="single" w:color="auto" w:sz="4" w:space="0"/>
              <w:left w:val="single" w:color="auto" w:sz="4" w:space="0"/>
              <w:bottom w:val="single" w:color="auto" w:sz="4" w:space="0"/>
              <w:right w:val="single" w:color="auto" w:sz="4" w:space="0"/>
            </w:tcBorders>
            <w:vAlign w:val="center"/>
          </w:tcPr>
          <w:p w14:paraId="3123438D">
            <w:pPr>
              <w:keepNext w:val="0"/>
              <w:keepLines w:val="0"/>
              <w:pageBreakBefore w:val="0"/>
              <w:widowControl/>
              <w:suppressLineNumbers w:val="0"/>
              <w:suppressAutoHyphens w:val="0"/>
              <w:jc w:val="center"/>
              <w:rPr>
                <w:rFonts w:cs="Arial"/>
                <w:bCs/>
              </w:rPr>
            </w:pPr>
            <w:r>
              <w:rPr>
                <w:rFonts w:hint="eastAsia" w:ascii="宋体" w:cs="Arial"/>
                <w:bCs/>
              </w:rPr>
              <w:t>供应商名称</w:t>
            </w:r>
          </w:p>
        </w:tc>
        <w:tc>
          <w:tcPr>
            <w:tcW w:w="7006" w:type="dxa"/>
            <w:gridSpan w:val="11"/>
            <w:tcBorders>
              <w:top w:val="single" w:color="auto" w:sz="4" w:space="0"/>
              <w:left w:val="single" w:color="auto" w:sz="4" w:space="0"/>
              <w:bottom w:val="single" w:color="auto" w:sz="4" w:space="0"/>
              <w:right w:val="single" w:color="auto" w:sz="4" w:space="0"/>
            </w:tcBorders>
            <w:vAlign w:val="center"/>
          </w:tcPr>
          <w:p w14:paraId="1D54FF10">
            <w:pPr>
              <w:keepNext w:val="0"/>
              <w:keepLines w:val="0"/>
              <w:pageBreakBefore w:val="0"/>
              <w:widowControl/>
              <w:suppressLineNumbers w:val="0"/>
              <w:suppressAutoHyphens w:val="0"/>
              <w:jc w:val="center"/>
              <w:rPr>
                <w:rFonts w:cs="Arial"/>
                <w:bCs/>
              </w:rPr>
            </w:pPr>
          </w:p>
        </w:tc>
      </w:tr>
      <w:tr w14:paraId="6D0526D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18" w:hRule="atLeast"/>
          <w:jc w:val="center"/>
        </w:trPr>
        <w:tc>
          <w:tcPr>
            <w:tcW w:w="1516" w:type="dxa"/>
            <w:tcBorders>
              <w:top w:val="single" w:color="auto" w:sz="4" w:space="0"/>
              <w:left w:val="single" w:color="auto" w:sz="4" w:space="0"/>
              <w:bottom w:val="single" w:color="auto" w:sz="4" w:space="0"/>
              <w:right w:val="single" w:color="auto" w:sz="4" w:space="0"/>
            </w:tcBorders>
            <w:vAlign w:val="center"/>
          </w:tcPr>
          <w:p w14:paraId="5CEB6BE3">
            <w:pPr>
              <w:keepNext w:val="0"/>
              <w:keepLines w:val="0"/>
              <w:pageBreakBefore w:val="0"/>
              <w:widowControl/>
              <w:suppressLineNumbers w:val="0"/>
              <w:suppressAutoHyphens w:val="0"/>
              <w:jc w:val="center"/>
              <w:rPr>
                <w:rFonts w:cs="Arial"/>
                <w:bCs/>
              </w:rPr>
            </w:pPr>
            <w:r>
              <w:rPr>
                <w:rFonts w:hint="eastAsia" w:ascii="宋体" w:cs="Arial"/>
                <w:bCs/>
              </w:rPr>
              <w:t>注册地址</w:t>
            </w:r>
          </w:p>
        </w:tc>
        <w:tc>
          <w:tcPr>
            <w:tcW w:w="4351" w:type="dxa"/>
            <w:gridSpan w:val="6"/>
            <w:tcBorders>
              <w:top w:val="single" w:color="auto" w:sz="4" w:space="0"/>
              <w:left w:val="single" w:color="auto" w:sz="4" w:space="0"/>
              <w:bottom w:val="single" w:color="auto" w:sz="4" w:space="0"/>
              <w:right w:val="single" w:color="auto" w:sz="4" w:space="0"/>
            </w:tcBorders>
            <w:vAlign w:val="center"/>
          </w:tcPr>
          <w:p w14:paraId="7ED87715">
            <w:pPr>
              <w:keepNext w:val="0"/>
              <w:keepLines w:val="0"/>
              <w:pageBreakBefore w:val="0"/>
              <w:widowControl/>
              <w:suppressLineNumbers w:val="0"/>
              <w:suppressAutoHyphens w:val="0"/>
              <w:jc w:val="center"/>
              <w:rPr>
                <w:rFonts w:cs="Arial"/>
                <w:bCs/>
              </w:rPr>
            </w:pPr>
          </w:p>
        </w:tc>
        <w:tc>
          <w:tcPr>
            <w:tcW w:w="1147" w:type="dxa"/>
            <w:gridSpan w:val="3"/>
            <w:tcBorders>
              <w:top w:val="single" w:color="auto" w:sz="4" w:space="0"/>
              <w:left w:val="single" w:color="auto" w:sz="4" w:space="0"/>
              <w:bottom w:val="single" w:color="auto" w:sz="4" w:space="0"/>
              <w:right w:val="single" w:color="auto" w:sz="4" w:space="0"/>
            </w:tcBorders>
            <w:vAlign w:val="center"/>
          </w:tcPr>
          <w:p w14:paraId="3780E64D">
            <w:pPr>
              <w:keepNext w:val="0"/>
              <w:keepLines w:val="0"/>
              <w:pageBreakBefore w:val="0"/>
              <w:widowControl/>
              <w:suppressLineNumbers w:val="0"/>
              <w:suppressAutoHyphens w:val="0"/>
              <w:jc w:val="center"/>
              <w:rPr>
                <w:rFonts w:cs="Arial"/>
                <w:bCs/>
              </w:rPr>
            </w:pPr>
            <w:r>
              <w:rPr>
                <w:rFonts w:hint="eastAsia" w:ascii="宋体" w:cs="Arial"/>
                <w:bCs/>
              </w:rPr>
              <w:t>邮政编码</w:t>
            </w:r>
          </w:p>
        </w:tc>
        <w:tc>
          <w:tcPr>
            <w:tcW w:w="1508" w:type="dxa"/>
            <w:gridSpan w:val="2"/>
            <w:tcBorders>
              <w:top w:val="single" w:color="auto" w:sz="4" w:space="0"/>
              <w:left w:val="single" w:color="auto" w:sz="4" w:space="0"/>
              <w:bottom w:val="single" w:color="auto" w:sz="4" w:space="0"/>
              <w:right w:val="single" w:color="auto" w:sz="4" w:space="0"/>
            </w:tcBorders>
            <w:vAlign w:val="center"/>
          </w:tcPr>
          <w:p w14:paraId="47A1EE35">
            <w:pPr>
              <w:keepNext w:val="0"/>
              <w:keepLines w:val="0"/>
              <w:pageBreakBefore w:val="0"/>
              <w:widowControl/>
              <w:suppressLineNumbers w:val="0"/>
              <w:suppressAutoHyphens w:val="0"/>
              <w:jc w:val="center"/>
              <w:rPr>
                <w:rFonts w:cs="Arial"/>
                <w:bCs/>
              </w:rPr>
            </w:pPr>
          </w:p>
        </w:tc>
      </w:tr>
      <w:tr w14:paraId="19E16AF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12" w:hRule="atLeast"/>
          <w:jc w:val="center"/>
        </w:trPr>
        <w:tc>
          <w:tcPr>
            <w:tcW w:w="1516" w:type="dxa"/>
            <w:vMerge w:val="restart"/>
            <w:tcBorders>
              <w:top w:val="nil"/>
              <w:left w:val="single" w:color="auto" w:sz="4" w:space="0"/>
              <w:bottom w:val="single" w:color="auto" w:sz="4" w:space="0"/>
              <w:right w:val="single" w:color="auto" w:sz="4" w:space="0"/>
            </w:tcBorders>
            <w:vAlign w:val="center"/>
          </w:tcPr>
          <w:p w14:paraId="03A40438">
            <w:pPr>
              <w:keepNext w:val="0"/>
              <w:keepLines w:val="0"/>
              <w:pageBreakBefore w:val="0"/>
              <w:widowControl/>
              <w:suppressLineNumbers w:val="0"/>
              <w:suppressAutoHyphens w:val="0"/>
              <w:jc w:val="center"/>
              <w:rPr>
                <w:rFonts w:cs="Arial"/>
                <w:bCs/>
              </w:rPr>
            </w:pPr>
            <w:r>
              <w:rPr>
                <w:rFonts w:hint="eastAsia" w:ascii="宋体" w:cs="Arial"/>
                <w:bCs/>
              </w:rPr>
              <w:t>联系方式</w:t>
            </w:r>
          </w:p>
        </w:tc>
        <w:tc>
          <w:tcPr>
            <w:tcW w:w="1010" w:type="dxa"/>
            <w:tcBorders>
              <w:top w:val="single" w:color="auto" w:sz="4" w:space="0"/>
              <w:left w:val="single" w:color="auto" w:sz="4" w:space="0"/>
              <w:bottom w:val="single" w:color="auto" w:sz="4" w:space="0"/>
              <w:right w:val="single" w:color="auto" w:sz="4" w:space="0"/>
            </w:tcBorders>
            <w:vAlign w:val="center"/>
          </w:tcPr>
          <w:p w14:paraId="12D396EB">
            <w:pPr>
              <w:keepNext w:val="0"/>
              <w:keepLines w:val="0"/>
              <w:pageBreakBefore w:val="0"/>
              <w:widowControl/>
              <w:suppressLineNumbers w:val="0"/>
              <w:suppressAutoHyphens w:val="0"/>
              <w:jc w:val="center"/>
              <w:rPr>
                <w:rFonts w:cs="Arial"/>
                <w:bCs/>
              </w:rPr>
            </w:pPr>
            <w:r>
              <w:rPr>
                <w:rFonts w:hint="eastAsia" w:ascii="宋体" w:cs="Arial"/>
                <w:bCs/>
              </w:rPr>
              <w:t>联系人</w:t>
            </w:r>
          </w:p>
        </w:tc>
        <w:tc>
          <w:tcPr>
            <w:tcW w:w="3341" w:type="dxa"/>
            <w:gridSpan w:val="5"/>
            <w:tcBorders>
              <w:top w:val="single" w:color="auto" w:sz="4" w:space="0"/>
              <w:left w:val="single" w:color="auto" w:sz="4" w:space="0"/>
              <w:bottom w:val="single" w:color="auto" w:sz="4" w:space="0"/>
              <w:right w:val="single" w:color="auto" w:sz="4" w:space="0"/>
            </w:tcBorders>
            <w:vAlign w:val="center"/>
          </w:tcPr>
          <w:p w14:paraId="67F54755">
            <w:pPr>
              <w:keepNext w:val="0"/>
              <w:keepLines w:val="0"/>
              <w:pageBreakBefore w:val="0"/>
              <w:widowControl/>
              <w:suppressLineNumbers w:val="0"/>
              <w:suppressAutoHyphens w:val="0"/>
              <w:jc w:val="center"/>
              <w:rPr>
                <w:rFonts w:cs="Arial"/>
                <w:bCs/>
              </w:rPr>
            </w:pPr>
          </w:p>
        </w:tc>
        <w:tc>
          <w:tcPr>
            <w:tcW w:w="1147" w:type="dxa"/>
            <w:gridSpan w:val="3"/>
            <w:tcBorders>
              <w:top w:val="single" w:color="auto" w:sz="4" w:space="0"/>
              <w:left w:val="single" w:color="auto" w:sz="4" w:space="0"/>
              <w:bottom w:val="single" w:color="auto" w:sz="4" w:space="0"/>
              <w:right w:val="single" w:color="auto" w:sz="4" w:space="0"/>
            </w:tcBorders>
            <w:vAlign w:val="center"/>
          </w:tcPr>
          <w:p w14:paraId="759B19E8">
            <w:pPr>
              <w:keepNext w:val="0"/>
              <w:keepLines w:val="0"/>
              <w:pageBreakBefore w:val="0"/>
              <w:widowControl/>
              <w:suppressLineNumbers w:val="0"/>
              <w:suppressAutoHyphens w:val="0"/>
              <w:jc w:val="center"/>
              <w:rPr>
                <w:rFonts w:cs="Arial"/>
                <w:bCs/>
              </w:rPr>
            </w:pPr>
            <w:r>
              <w:rPr>
                <w:rFonts w:hint="eastAsia" w:ascii="宋体" w:cs="Arial"/>
                <w:bCs/>
              </w:rPr>
              <w:t>联系电话</w:t>
            </w:r>
          </w:p>
        </w:tc>
        <w:tc>
          <w:tcPr>
            <w:tcW w:w="1508" w:type="dxa"/>
            <w:gridSpan w:val="2"/>
            <w:tcBorders>
              <w:top w:val="single" w:color="auto" w:sz="4" w:space="0"/>
              <w:left w:val="single" w:color="auto" w:sz="4" w:space="0"/>
              <w:bottom w:val="single" w:color="auto" w:sz="4" w:space="0"/>
              <w:right w:val="single" w:color="auto" w:sz="4" w:space="0"/>
            </w:tcBorders>
            <w:vAlign w:val="center"/>
          </w:tcPr>
          <w:p w14:paraId="08637510">
            <w:pPr>
              <w:keepNext w:val="0"/>
              <w:keepLines w:val="0"/>
              <w:pageBreakBefore w:val="0"/>
              <w:widowControl/>
              <w:suppressLineNumbers w:val="0"/>
              <w:suppressAutoHyphens w:val="0"/>
              <w:jc w:val="center"/>
              <w:rPr>
                <w:rFonts w:cs="Arial"/>
                <w:bCs/>
              </w:rPr>
            </w:pPr>
          </w:p>
        </w:tc>
      </w:tr>
      <w:tr w14:paraId="1FE5A0E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88" w:hRule="atLeast"/>
          <w:jc w:val="center"/>
        </w:trPr>
        <w:tc>
          <w:tcPr>
            <w:tcW w:w="1516" w:type="dxa"/>
            <w:vMerge w:val="continue"/>
            <w:tcBorders>
              <w:top w:val="nil"/>
              <w:left w:val="single" w:color="auto" w:sz="4" w:space="0"/>
              <w:bottom w:val="single" w:color="auto" w:sz="4" w:space="0"/>
              <w:right w:val="single" w:color="auto" w:sz="4" w:space="0"/>
            </w:tcBorders>
            <w:vAlign w:val="center"/>
          </w:tcPr>
          <w:p w14:paraId="3A97DBC6"/>
        </w:tc>
        <w:tc>
          <w:tcPr>
            <w:tcW w:w="1010" w:type="dxa"/>
            <w:tcBorders>
              <w:top w:val="single" w:color="auto" w:sz="4" w:space="0"/>
              <w:left w:val="single" w:color="auto" w:sz="4" w:space="0"/>
              <w:bottom w:val="single" w:color="auto" w:sz="4" w:space="0"/>
              <w:right w:val="single" w:color="auto" w:sz="4" w:space="0"/>
            </w:tcBorders>
            <w:vAlign w:val="center"/>
          </w:tcPr>
          <w:p w14:paraId="0E7AA3EC">
            <w:pPr>
              <w:keepNext w:val="0"/>
              <w:keepLines w:val="0"/>
              <w:pageBreakBefore w:val="0"/>
              <w:widowControl/>
              <w:suppressLineNumbers w:val="0"/>
              <w:suppressAutoHyphens w:val="0"/>
              <w:jc w:val="center"/>
              <w:rPr>
                <w:rFonts w:cs="Arial"/>
                <w:bCs/>
              </w:rPr>
            </w:pPr>
            <w:r>
              <w:rPr>
                <w:rFonts w:hint="eastAsia" w:ascii="宋体" w:cs="Arial"/>
                <w:bCs/>
              </w:rPr>
              <w:t>传真</w:t>
            </w:r>
          </w:p>
        </w:tc>
        <w:tc>
          <w:tcPr>
            <w:tcW w:w="3341" w:type="dxa"/>
            <w:gridSpan w:val="5"/>
            <w:tcBorders>
              <w:top w:val="single" w:color="auto" w:sz="4" w:space="0"/>
              <w:left w:val="single" w:color="auto" w:sz="4" w:space="0"/>
              <w:bottom w:val="single" w:color="auto" w:sz="4" w:space="0"/>
              <w:right w:val="single" w:color="auto" w:sz="4" w:space="0"/>
            </w:tcBorders>
            <w:vAlign w:val="center"/>
          </w:tcPr>
          <w:p w14:paraId="098C71E0">
            <w:pPr>
              <w:keepNext w:val="0"/>
              <w:keepLines w:val="0"/>
              <w:pageBreakBefore w:val="0"/>
              <w:widowControl/>
              <w:suppressLineNumbers w:val="0"/>
              <w:suppressAutoHyphens w:val="0"/>
              <w:jc w:val="center"/>
              <w:rPr>
                <w:rFonts w:cs="Arial"/>
                <w:bCs/>
              </w:rPr>
            </w:pPr>
          </w:p>
        </w:tc>
        <w:tc>
          <w:tcPr>
            <w:tcW w:w="1147" w:type="dxa"/>
            <w:gridSpan w:val="3"/>
            <w:tcBorders>
              <w:top w:val="single" w:color="auto" w:sz="4" w:space="0"/>
              <w:left w:val="single" w:color="auto" w:sz="4" w:space="0"/>
              <w:bottom w:val="single" w:color="auto" w:sz="4" w:space="0"/>
              <w:right w:val="single" w:color="auto" w:sz="4" w:space="0"/>
            </w:tcBorders>
            <w:vAlign w:val="center"/>
          </w:tcPr>
          <w:p w14:paraId="74427FB7">
            <w:pPr>
              <w:keepNext w:val="0"/>
              <w:keepLines w:val="0"/>
              <w:pageBreakBefore w:val="0"/>
              <w:widowControl/>
              <w:suppressLineNumbers w:val="0"/>
              <w:suppressAutoHyphens w:val="0"/>
              <w:jc w:val="center"/>
              <w:rPr>
                <w:rFonts w:cs="Arial"/>
                <w:bCs/>
              </w:rPr>
            </w:pPr>
            <w:r>
              <w:rPr>
                <w:rFonts w:hint="eastAsia" w:ascii="宋体" w:cs="Arial"/>
                <w:bCs/>
              </w:rPr>
              <w:t>网址</w:t>
            </w:r>
          </w:p>
        </w:tc>
        <w:tc>
          <w:tcPr>
            <w:tcW w:w="1508" w:type="dxa"/>
            <w:gridSpan w:val="2"/>
            <w:tcBorders>
              <w:top w:val="single" w:color="auto" w:sz="4" w:space="0"/>
              <w:left w:val="single" w:color="auto" w:sz="4" w:space="0"/>
              <w:bottom w:val="single" w:color="auto" w:sz="4" w:space="0"/>
              <w:right w:val="single" w:color="auto" w:sz="4" w:space="0"/>
            </w:tcBorders>
            <w:vAlign w:val="center"/>
          </w:tcPr>
          <w:p w14:paraId="6A66B004">
            <w:pPr>
              <w:keepNext w:val="0"/>
              <w:keepLines w:val="0"/>
              <w:pageBreakBefore w:val="0"/>
              <w:widowControl/>
              <w:suppressLineNumbers w:val="0"/>
              <w:suppressAutoHyphens w:val="0"/>
              <w:jc w:val="center"/>
              <w:rPr>
                <w:rFonts w:cs="Arial"/>
                <w:bCs/>
              </w:rPr>
            </w:pPr>
          </w:p>
        </w:tc>
      </w:tr>
      <w:tr w14:paraId="64C80B5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45" w:hRule="atLeast"/>
          <w:jc w:val="center"/>
        </w:trPr>
        <w:tc>
          <w:tcPr>
            <w:tcW w:w="1516" w:type="dxa"/>
            <w:tcBorders>
              <w:top w:val="single" w:color="auto" w:sz="4" w:space="0"/>
              <w:left w:val="single" w:color="auto" w:sz="4" w:space="0"/>
              <w:bottom w:val="single" w:color="auto" w:sz="4" w:space="0"/>
              <w:right w:val="single" w:color="auto" w:sz="4" w:space="0"/>
            </w:tcBorders>
            <w:vAlign w:val="center"/>
          </w:tcPr>
          <w:p w14:paraId="48D11640">
            <w:pPr>
              <w:keepNext w:val="0"/>
              <w:keepLines w:val="0"/>
              <w:pageBreakBefore w:val="0"/>
              <w:widowControl/>
              <w:suppressLineNumbers w:val="0"/>
              <w:suppressAutoHyphens w:val="0"/>
              <w:jc w:val="center"/>
              <w:rPr>
                <w:rFonts w:cs="Arial"/>
                <w:bCs/>
              </w:rPr>
            </w:pPr>
            <w:r>
              <w:rPr>
                <w:rFonts w:hint="eastAsia" w:ascii="宋体" w:cs="Arial"/>
                <w:bCs/>
              </w:rPr>
              <w:t>组织结构</w:t>
            </w:r>
          </w:p>
        </w:tc>
        <w:tc>
          <w:tcPr>
            <w:tcW w:w="7006" w:type="dxa"/>
            <w:gridSpan w:val="11"/>
            <w:tcBorders>
              <w:top w:val="single" w:color="auto" w:sz="4" w:space="0"/>
              <w:left w:val="single" w:color="auto" w:sz="4" w:space="0"/>
              <w:bottom w:val="single" w:color="auto" w:sz="4" w:space="0"/>
              <w:right w:val="single" w:color="auto" w:sz="4" w:space="0"/>
            </w:tcBorders>
            <w:vAlign w:val="center"/>
          </w:tcPr>
          <w:p w14:paraId="3F0EB7B2">
            <w:pPr>
              <w:keepNext w:val="0"/>
              <w:keepLines w:val="0"/>
              <w:pageBreakBefore w:val="0"/>
              <w:widowControl/>
              <w:suppressLineNumbers w:val="0"/>
              <w:suppressAutoHyphens w:val="0"/>
              <w:jc w:val="center"/>
              <w:rPr>
                <w:rFonts w:cs="Arial"/>
                <w:bCs/>
              </w:rPr>
            </w:pPr>
          </w:p>
        </w:tc>
      </w:tr>
      <w:tr w14:paraId="7D25023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53" w:hRule="atLeast"/>
          <w:jc w:val="center"/>
        </w:trPr>
        <w:tc>
          <w:tcPr>
            <w:tcW w:w="1516" w:type="dxa"/>
            <w:tcBorders>
              <w:top w:val="single" w:color="auto" w:sz="4" w:space="0"/>
              <w:left w:val="single" w:color="auto" w:sz="4" w:space="0"/>
              <w:bottom w:val="single" w:color="auto" w:sz="4" w:space="0"/>
              <w:right w:val="single" w:color="auto" w:sz="4" w:space="0"/>
            </w:tcBorders>
            <w:vAlign w:val="center"/>
          </w:tcPr>
          <w:p w14:paraId="4F7B4DA1">
            <w:pPr>
              <w:keepNext w:val="0"/>
              <w:keepLines w:val="0"/>
              <w:pageBreakBefore w:val="0"/>
              <w:widowControl/>
              <w:suppressLineNumbers w:val="0"/>
              <w:suppressAutoHyphens w:val="0"/>
              <w:jc w:val="center"/>
              <w:rPr>
                <w:rFonts w:cs="Arial"/>
                <w:bCs/>
              </w:rPr>
            </w:pPr>
            <w:r>
              <w:rPr>
                <w:rFonts w:hint="eastAsia" w:ascii="宋体" w:cs="Arial"/>
                <w:bCs/>
              </w:rPr>
              <w:t>法定代表人</w:t>
            </w:r>
          </w:p>
        </w:tc>
        <w:tc>
          <w:tcPr>
            <w:tcW w:w="1174" w:type="dxa"/>
            <w:gridSpan w:val="2"/>
            <w:tcBorders>
              <w:top w:val="single" w:color="auto" w:sz="4" w:space="0"/>
              <w:left w:val="single" w:color="auto" w:sz="4" w:space="0"/>
              <w:bottom w:val="single" w:color="auto" w:sz="4" w:space="0"/>
              <w:right w:val="single" w:color="auto" w:sz="4" w:space="0"/>
            </w:tcBorders>
            <w:vAlign w:val="center"/>
          </w:tcPr>
          <w:p w14:paraId="60D852B2">
            <w:pPr>
              <w:keepNext w:val="0"/>
              <w:keepLines w:val="0"/>
              <w:pageBreakBefore w:val="0"/>
              <w:widowControl/>
              <w:suppressLineNumbers w:val="0"/>
              <w:suppressAutoHyphens w:val="0"/>
              <w:jc w:val="center"/>
              <w:rPr>
                <w:rFonts w:cs="Arial"/>
                <w:bCs/>
              </w:rPr>
            </w:pPr>
            <w:r>
              <w:rPr>
                <w:rFonts w:hint="eastAsia" w:ascii="宋体" w:cs="Arial"/>
                <w:bCs/>
              </w:rPr>
              <w:t>姓名</w:t>
            </w:r>
          </w:p>
        </w:tc>
        <w:tc>
          <w:tcPr>
            <w:tcW w:w="1180" w:type="dxa"/>
            <w:tcBorders>
              <w:top w:val="single" w:color="auto" w:sz="4" w:space="0"/>
              <w:left w:val="single" w:color="auto" w:sz="4" w:space="0"/>
              <w:bottom w:val="single" w:color="auto" w:sz="4" w:space="0"/>
              <w:right w:val="single" w:color="auto" w:sz="4" w:space="0"/>
            </w:tcBorders>
            <w:vAlign w:val="center"/>
          </w:tcPr>
          <w:p w14:paraId="05A859F6">
            <w:pPr>
              <w:keepNext w:val="0"/>
              <w:keepLines w:val="0"/>
              <w:pageBreakBefore w:val="0"/>
              <w:widowControl/>
              <w:suppressLineNumbers w:val="0"/>
              <w:suppressAutoHyphens w:val="0"/>
              <w:jc w:val="center"/>
              <w:rPr>
                <w:rFonts w:cs="Arial"/>
                <w:bCs/>
              </w:rPr>
            </w:pPr>
          </w:p>
        </w:tc>
        <w:tc>
          <w:tcPr>
            <w:tcW w:w="1178" w:type="dxa"/>
            <w:tcBorders>
              <w:top w:val="single" w:color="auto" w:sz="4" w:space="0"/>
              <w:left w:val="single" w:color="auto" w:sz="4" w:space="0"/>
              <w:bottom w:val="single" w:color="auto" w:sz="4" w:space="0"/>
              <w:right w:val="single" w:color="auto" w:sz="4" w:space="0"/>
            </w:tcBorders>
            <w:vAlign w:val="center"/>
          </w:tcPr>
          <w:p w14:paraId="0912CE77">
            <w:pPr>
              <w:keepNext w:val="0"/>
              <w:keepLines w:val="0"/>
              <w:pageBreakBefore w:val="0"/>
              <w:widowControl/>
              <w:suppressLineNumbers w:val="0"/>
              <w:suppressAutoHyphens w:val="0"/>
              <w:jc w:val="center"/>
              <w:rPr>
                <w:rFonts w:cs="Arial"/>
                <w:bCs/>
              </w:rPr>
            </w:pPr>
            <w:r>
              <w:rPr>
                <w:rFonts w:hint="eastAsia" w:ascii="宋体" w:cs="Arial"/>
                <w:bCs/>
              </w:rPr>
              <w:t>技术职称</w:t>
            </w:r>
          </w:p>
        </w:tc>
        <w:tc>
          <w:tcPr>
            <w:tcW w:w="1147" w:type="dxa"/>
            <w:gridSpan w:val="3"/>
            <w:tcBorders>
              <w:top w:val="single" w:color="auto" w:sz="4" w:space="0"/>
              <w:left w:val="single" w:color="auto" w:sz="4" w:space="0"/>
              <w:bottom w:val="single" w:color="auto" w:sz="4" w:space="0"/>
              <w:right w:val="single" w:color="auto" w:sz="4" w:space="0"/>
            </w:tcBorders>
            <w:vAlign w:val="center"/>
          </w:tcPr>
          <w:p w14:paraId="278DBC23">
            <w:pPr>
              <w:keepNext w:val="0"/>
              <w:keepLines w:val="0"/>
              <w:pageBreakBefore w:val="0"/>
              <w:widowControl/>
              <w:suppressLineNumbers w:val="0"/>
              <w:suppressAutoHyphens w:val="0"/>
              <w:jc w:val="center"/>
              <w:rPr>
                <w:rFonts w:cs="Arial"/>
                <w:bCs/>
              </w:rPr>
            </w:pPr>
          </w:p>
        </w:tc>
        <w:tc>
          <w:tcPr>
            <w:tcW w:w="1147" w:type="dxa"/>
            <w:gridSpan w:val="3"/>
            <w:tcBorders>
              <w:top w:val="single" w:color="auto" w:sz="4" w:space="0"/>
              <w:left w:val="single" w:color="auto" w:sz="4" w:space="0"/>
              <w:bottom w:val="single" w:color="auto" w:sz="4" w:space="0"/>
              <w:right w:val="single" w:color="auto" w:sz="4" w:space="0"/>
            </w:tcBorders>
            <w:vAlign w:val="center"/>
          </w:tcPr>
          <w:p w14:paraId="03806F85">
            <w:pPr>
              <w:keepNext w:val="0"/>
              <w:keepLines w:val="0"/>
              <w:pageBreakBefore w:val="0"/>
              <w:widowControl/>
              <w:suppressLineNumbers w:val="0"/>
              <w:suppressAutoHyphens w:val="0"/>
              <w:jc w:val="center"/>
              <w:rPr>
                <w:rFonts w:cs="Arial"/>
                <w:bCs/>
              </w:rPr>
            </w:pPr>
            <w:r>
              <w:rPr>
                <w:rFonts w:hint="eastAsia" w:ascii="宋体" w:cs="Arial"/>
                <w:bCs/>
              </w:rPr>
              <w:t>联系电话</w:t>
            </w:r>
          </w:p>
        </w:tc>
        <w:tc>
          <w:tcPr>
            <w:tcW w:w="1180" w:type="dxa"/>
            <w:tcBorders>
              <w:top w:val="single" w:color="auto" w:sz="4" w:space="0"/>
              <w:left w:val="single" w:color="auto" w:sz="4" w:space="0"/>
              <w:bottom w:val="single" w:color="auto" w:sz="4" w:space="0"/>
              <w:right w:val="single" w:color="auto" w:sz="4" w:space="0"/>
            </w:tcBorders>
            <w:vAlign w:val="center"/>
          </w:tcPr>
          <w:p w14:paraId="03D5E7CF">
            <w:pPr>
              <w:keepNext w:val="0"/>
              <w:keepLines w:val="0"/>
              <w:pageBreakBefore w:val="0"/>
              <w:widowControl/>
              <w:suppressLineNumbers w:val="0"/>
              <w:suppressAutoHyphens w:val="0"/>
              <w:jc w:val="center"/>
              <w:rPr>
                <w:rFonts w:cs="Arial"/>
                <w:bCs/>
              </w:rPr>
            </w:pPr>
          </w:p>
        </w:tc>
      </w:tr>
      <w:tr w14:paraId="300FBCC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58" w:hRule="atLeast"/>
          <w:jc w:val="center"/>
        </w:trPr>
        <w:tc>
          <w:tcPr>
            <w:tcW w:w="1516" w:type="dxa"/>
            <w:tcBorders>
              <w:top w:val="single" w:color="auto" w:sz="4" w:space="0"/>
              <w:left w:val="single" w:color="auto" w:sz="4" w:space="0"/>
              <w:bottom w:val="single" w:color="auto" w:sz="4" w:space="0"/>
              <w:right w:val="single" w:color="auto" w:sz="4" w:space="0"/>
            </w:tcBorders>
            <w:vAlign w:val="center"/>
          </w:tcPr>
          <w:p w14:paraId="7E99D7BD">
            <w:pPr>
              <w:keepNext w:val="0"/>
              <w:keepLines w:val="0"/>
              <w:pageBreakBefore w:val="0"/>
              <w:widowControl/>
              <w:suppressLineNumbers w:val="0"/>
              <w:suppressAutoHyphens w:val="0"/>
              <w:jc w:val="center"/>
              <w:rPr>
                <w:rFonts w:cs="Arial"/>
                <w:bCs/>
              </w:rPr>
            </w:pPr>
            <w:r>
              <w:rPr>
                <w:rFonts w:hint="eastAsia" w:ascii="宋体" w:cs="Arial"/>
                <w:bCs/>
              </w:rPr>
              <w:t>技术负责人</w:t>
            </w:r>
          </w:p>
        </w:tc>
        <w:tc>
          <w:tcPr>
            <w:tcW w:w="1174" w:type="dxa"/>
            <w:gridSpan w:val="2"/>
            <w:tcBorders>
              <w:top w:val="single" w:color="auto" w:sz="4" w:space="0"/>
              <w:left w:val="single" w:color="auto" w:sz="4" w:space="0"/>
              <w:bottom w:val="single" w:color="auto" w:sz="4" w:space="0"/>
              <w:right w:val="single" w:color="auto" w:sz="4" w:space="0"/>
            </w:tcBorders>
            <w:vAlign w:val="center"/>
          </w:tcPr>
          <w:p w14:paraId="3F8667E5">
            <w:pPr>
              <w:keepNext w:val="0"/>
              <w:keepLines w:val="0"/>
              <w:pageBreakBefore w:val="0"/>
              <w:widowControl/>
              <w:suppressLineNumbers w:val="0"/>
              <w:suppressAutoHyphens w:val="0"/>
              <w:jc w:val="center"/>
              <w:rPr>
                <w:rFonts w:cs="Arial"/>
                <w:bCs/>
              </w:rPr>
            </w:pPr>
            <w:r>
              <w:rPr>
                <w:rFonts w:hint="eastAsia" w:ascii="宋体" w:cs="Arial"/>
                <w:bCs/>
              </w:rPr>
              <w:t>姓名</w:t>
            </w:r>
          </w:p>
        </w:tc>
        <w:tc>
          <w:tcPr>
            <w:tcW w:w="1180" w:type="dxa"/>
            <w:tcBorders>
              <w:top w:val="single" w:color="auto" w:sz="4" w:space="0"/>
              <w:left w:val="single" w:color="auto" w:sz="4" w:space="0"/>
              <w:bottom w:val="single" w:color="auto" w:sz="4" w:space="0"/>
              <w:right w:val="single" w:color="auto" w:sz="4" w:space="0"/>
            </w:tcBorders>
            <w:vAlign w:val="center"/>
          </w:tcPr>
          <w:p w14:paraId="5843A931">
            <w:pPr>
              <w:keepNext w:val="0"/>
              <w:keepLines w:val="0"/>
              <w:pageBreakBefore w:val="0"/>
              <w:widowControl/>
              <w:suppressLineNumbers w:val="0"/>
              <w:suppressAutoHyphens w:val="0"/>
              <w:jc w:val="center"/>
              <w:rPr>
                <w:rFonts w:cs="Arial"/>
                <w:bCs/>
              </w:rPr>
            </w:pPr>
          </w:p>
        </w:tc>
        <w:tc>
          <w:tcPr>
            <w:tcW w:w="1178" w:type="dxa"/>
            <w:tcBorders>
              <w:top w:val="single" w:color="auto" w:sz="4" w:space="0"/>
              <w:left w:val="single" w:color="auto" w:sz="4" w:space="0"/>
              <w:bottom w:val="single" w:color="auto" w:sz="4" w:space="0"/>
              <w:right w:val="single" w:color="auto" w:sz="4" w:space="0"/>
            </w:tcBorders>
            <w:vAlign w:val="center"/>
          </w:tcPr>
          <w:p w14:paraId="297A610C">
            <w:pPr>
              <w:keepNext w:val="0"/>
              <w:keepLines w:val="0"/>
              <w:pageBreakBefore w:val="0"/>
              <w:widowControl/>
              <w:suppressLineNumbers w:val="0"/>
              <w:suppressAutoHyphens w:val="0"/>
              <w:jc w:val="center"/>
              <w:rPr>
                <w:rFonts w:cs="Arial"/>
                <w:bCs/>
              </w:rPr>
            </w:pPr>
            <w:r>
              <w:rPr>
                <w:rFonts w:hint="eastAsia" w:ascii="宋体" w:cs="Arial"/>
                <w:bCs/>
              </w:rPr>
              <w:t>技术职称</w:t>
            </w:r>
          </w:p>
        </w:tc>
        <w:tc>
          <w:tcPr>
            <w:tcW w:w="1147" w:type="dxa"/>
            <w:gridSpan w:val="3"/>
            <w:tcBorders>
              <w:top w:val="single" w:color="auto" w:sz="4" w:space="0"/>
              <w:left w:val="single" w:color="auto" w:sz="4" w:space="0"/>
              <w:bottom w:val="single" w:color="auto" w:sz="4" w:space="0"/>
              <w:right w:val="single" w:color="auto" w:sz="4" w:space="0"/>
            </w:tcBorders>
            <w:vAlign w:val="center"/>
          </w:tcPr>
          <w:p w14:paraId="17F1A64B">
            <w:pPr>
              <w:keepNext w:val="0"/>
              <w:keepLines w:val="0"/>
              <w:pageBreakBefore w:val="0"/>
              <w:widowControl/>
              <w:suppressLineNumbers w:val="0"/>
              <w:suppressAutoHyphens w:val="0"/>
              <w:jc w:val="center"/>
              <w:rPr>
                <w:rFonts w:cs="Arial"/>
                <w:bCs/>
              </w:rPr>
            </w:pPr>
          </w:p>
        </w:tc>
        <w:tc>
          <w:tcPr>
            <w:tcW w:w="1147" w:type="dxa"/>
            <w:gridSpan w:val="3"/>
            <w:tcBorders>
              <w:top w:val="single" w:color="auto" w:sz="4" w:space="0"/>
              <w:left w:val="single" w:color="auto" w:sz="4" w:space="0"/>
              <w:bottom w:val="single" w:color="auto" w:sz="4" w:space="0"/>
              <w:right w:val="single" w:color="auto" w:sz="4" w:space="0"/>
            </w:tcBorders>
            <w:vAlign w:val="center"/>
          </w:tcPr>
          <w:p w14:paraId="1B0BC6F9">
            <w:pPr>
              <w:keepNext w:val="0"/>
              <w:keepLines w:val="0"/>
              <w:pageBreakBefore w:val="0"/>
              <w:widowControl/>
              <w:suppressLineNumbers w:val="0"/>
              <w:suppressAutoHyphens w:val="0"/>
              <w:jc w:val="center"/>
              <w:rPr>
                <w:rFonts w:cs="Arial"/>
                <w:bCs/>
              </w:rPr>
            </w:pPr>
            <w:r>
              <w:rPr>
                <w:rFonts w:hint="eastAsia" w:ascii="宋体" w:cs="Arial"/>
                <w:bCs/>
              </w:rPr>
              <w:t>联系电话</w:t>
            </w:r>
          </w:p>
        </w:tc>
        <w:tc>
          <w:tcPr>
            <w:tcW w:w="1180" w:type="dxa"/>
            <w:tcBorders>
              <w:top w:val="single" w:color="auto" w:sz="4" w:space="0"/>
              <w:left w:val="single" w:color="auto" w:sz="4" w:space="0"/>
              <w:bottom w:val="single" w:color="auto" w:sz="4" w:space="0"/>
              <w:right w:val="single" w:color="auto" w:sz="4" w:space="0"/>
            </w:tcBorders>
            <w:vAlign w:val="center"/>
          </w:tcPr>
          <w:p w14:paraId="7C644CCF">
            <w:pPr>
              <w:keepNext w:val="0"/>
              <w:keepLines w:val="0"/>
              <w:pageBreakBefore w:val="0"/>
              <w:widowControl/>
              <w:suppressLineNumbers w:val="0"/>
              <w:suppressAutoHyphens w:val="0"/>
              <w:jc w:val="center"/>
              <w:rPr>
                <w:rFonts w:cs="Arial"/>
                <w:bCs/>
              </w:rPr>
            </w:pPr>
          </w:p>
        </w:tc>
      </w:tr>
      <w:tr w14:paraId="3E7B7C8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50" w:hRule="atLeast"/>
          <w:jc w:val="center"/>
        </w:trPr>
        <w:tc>
          <w:tcPr>
            <w:tcW w:w="1516" w:type="dxa"/>
            <w:tcBorders>
              <w:top w:val="single" w:color="auto" w:sz="4" w:space="0"/>
              <w:left w:val="single" w:color="auto" w:sz="4" w:space="0"/>
              <w:bottom w:val="single" w:color="auto" w:sz="4" w:space="0"/>
              <w:right w:val="single" w:color="auto" w:sz="4" w:space="0"/>
            </w:tcBorders>
            <w:vAlign w:val="center"/>
          </w:tcPr>
          <w:p w14:paraId="3A4D9C5B">
            <w:pPr>
              <w:keepNext w:val="0"/>
              <w:keepLines w:val="0"/>
              <w:pageBreakBefore w:val="0"/>
              <w:widowControl/>
              <w:suppressLineNumbers w:val="0"/>
              <w:suppressAutoHyphens w:val="0"/>
              <w:jc w:val="center"/>
              <w:rPr>
                <w:rFonts w:cs="Arial"/>
                <w:bCs/>
              </w:rPr>
            </w:pPr>
            <w:r>
              <w:rPr>
                <w:rFonts w:hint="eastAsia" w:ascii="宋体" w:cs="Arial"/>
                <w:bCs/>
              </w:rPr>
              <w:t>成立时间</w:t>
            </w:r>
          </w:p>
        </w:tc>
        <w:tc>
          <w:tcPr>
            <w:tcW w:w="2354" w:type="dxa"/>
            <w:gridSpan w:val="3"/>
            <w:tcBorders>
              <w:top w:val="single" w:color="auto" w:sz="4" w:space="0"/>
              <w:left w:val="single" w:color="auto" w:sz="4" w:space="0"/>
              <w:bottom w:val="single" w:color="auto" w:sz="4" w:space="0"/>
              <w:right w:val="single" w:color="auto" w:sz="4" w:space="0"/>
            </w:tcBorders>
            <w:vAlign w:val="center"/>
          </w:tcPr>
          <w:p w14:paraId="4BB9FB35">
            <w:pPr>
              <w:keepNext w:val="0"/>
              <w:keepLines w:val="0"/>
              <w:pageBreakBefore w:val="0"/>
              <w:widowControl/>
              <w:suppressLineNumbers w:val="0"/>
              <w:suppressAutoHyphens w:val="0"/>
              <w:jc w:val="center"/>
              <w:rPr>
                <w:rFonts w:cs="Arial"/>
                <w:bCs/>
              </w:rPr>
            </w:pPr>
          </w:p>
        </w:tc>
        <w:tc>
          <w:tcPr>
            <w:tcW w:w="4652" w:type="dxa"/>
            <w:gridSpan w:val="8"/>
            <w:tcBorders>
              <w:top w:val="single" w:color="auto" w:sz="4" w:space="0"/>
              <w:left w:val="single" w:color="auto" w:sz="4" w:space="0"/>
              <w:bottom w:val="single" w:color="auto" w:sz="4" w:space="0"/>
              <w:right w:val="single" w:color="auto" w:sz="4" w:space="0"/>
            </w:tcBorders>
            <w:vAlign w:val="center"/>
          </w:tcPr>
          <w:p w14:paraId="52F36266">
            <w:pPr>
              <w:keepNext w:val="0"/>
              <w:keepLines w:val="0"/>
              <w:pageBreakBefore w:val="0"/>
              <w:widowControl/>
              <w:suppressLineNumbers w:val="0"/>
              <w:suppressAutoHyphens w:val="0"/>
              <w:jc w:val="center"/>
              <w:rPr>
                <w:rFonts w:cs="Arial"/>
                <w:bCs/>
              </w:rPr>
            </w:pPr>
            <w:r>
              <w:rPr>
                <w:rFonts w:hint="eastAsia" w:ascii="宋体" w:cs="Arial"/>
                <w:bCs/>
              </w:rPr>
              <w:t>员工总人数：</w:t>
            </w:r>
          </w:p>
        </w:tc>
      </w:tr>
      <w:tr w14:paraId="637E357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56" w:hRule="atLeast"/>
          <w:jc w:val="center"/>
        </w:trPr>
        <w:tc>
          <w:tcPr>
            <w:tcW w:w="1516" w:type="dxa"/>
            <w:tcBorders>
              <w:top w:val="single" w:color="auto" w:sz="4" w:space="0"/>
              <w:left w:val="single" w:color="auto" w:sz="4" w:space="0"/>
              <w:bottom w:val="single" w:color="auto" w:sz="4" w:space="0"/>
              <w:right w:val="single" w:color="auto" w:sz="4" w:space="0"/>
            </w:tcBorders>
            <w:vAlign w:val="center"/>
          </w:tcPr>
          <w:p w14:paraId="6C048F9D">
            <w:pPr>
              <w:keepNext w:val="0"/>
              <w:keepLines w:val="0"/>
              <w:pageBreakBefore w:val="0"/>
              <w:widowControl/>
              <w:suppressLineNumbers w:val="0"/>
              <w:suppressAutoHyphens w:val="0"/>
              <w:jc w:val="center"/>
              <w:rPr>
                <w:rFonts w:cs="Arial"/>
                <w:bCs/>
              </w:rPr>
            </w:pPr>
            <w:r>
              <w:rPr>
                <w:rFonts w:hint="eastAsia" w:ascii="宋体" w:cs="Arial"/>
                <w:bCs/>
              </w:rPr>
              <w:t>企业资质等级</w:t>
            </w:r>
          </w:p>
        </w:tc>
        <w:tc>
          <w:tcPr>
            <w:tcW w:w="2354" w:type="dxa"/>
            <w:gridSpan w:val="3"/>
            <w:tcBorders>
              <w:top w:val="single" w:color="auto" w:sz="4" w:space="0"/>
              <w:left w:val="single" w:color="auto" w:sz="4" w:space="0"/>
              <w:bottom w:val="single" w:color="auto" w:sz="4" w:space="0"/>
              <w:right w:val="single" w:color="auto" w:sz="4" w:space="0"/>
            </w:tcBorders>
            <w:vAlign w:val="center"/>
          </w:tcPr>
          <w:p w14:paraId="6D9A2279">
            <w:pPr>
              <w:keepNext w:val="0"/>
              <w:keepLines w:val="0"/>
              <w:pageBreakBefore w:val="0"/>
              <w:widowControl/>
              <w:suppressLineNumbers w:val="0"/>
              <w:suppressAutoHyphens w:val="0"/>
              <w:jc w:val="center"/>
              <w:rPr>
                <w:rFonts w:cs="Arial"/>
                <w:bCs/>
              </w:rPr>
            </w:pPr>
          </w:p>
        </w:tc>
        <w:tc>
          <w:tcPr>
            <w:tcW w:w="1561" w:type="dxa"/>
            <w:gridSpan w:val="2"/>
            <w:vMerge w:val="restart"/>
            <w:tcBorders>
              <w:top w:val="nil"/>
              <w:left w:val="single" w:color="auto" w:sz="4" w:space="0"/>
              <w:bottom w:val="single" w:color="auto" w:sz="4" w:space="0"/>
              <w:right w:val="single" w:color="auto" w:sz="4" w:space="0"/>
            </w:tcBorders>
            <w:vAlign w:val="center"/>
          </w:tcPr>
          <w:p w14:paraId="348DC695">
            <w:pPr>
              <w:keepNext w:val="0"/>
              <w:keepLines w:val="0"/>
              <w:pageBreakBefore w:val="0"/>
              <w:widowControl/>
              <w:suppressLineNumbers w:val="0"/>
              <w:suppressAutoHyphens w:val="0"/>
              <w:jc w:val="center"/>
              <w:rPr>
                <w:rFonts w:cs="Arial"/>
                <w:bCs/>
              </w:rPr>
            </w:pPr>
            <w:r>
              <w:rPr>
                <w:rFonts w:hint="eastAsia" w:ascii="宋体" w:cs="Arial"/>
                <w:bCs/>
              </w:rPr>
              <w:t>其中</w:t>
            </w:r>
          </w:p>
        </w:tc>
        <w:tc>
          <w:tcPr>
            <w:tcW w:w="1530" w:type="dxa"/>
            <w:gridSpan w:val="3"/>
            <w:tcBorders>
              <w:top w:val="single" w:color="auto" w:sz="4" w:space="0"/>
              <w:left w:val="single" w:color="auto" w:sz="4" w:space="0"/>
              <w:bottom w:val="single" w:color="auto" w:sz="4" w:space="0"/>
              <w:right w:val="single" w:color="auto" w:sz="4" w:space="0"/>
            </w:tcBorders>
            <w:vAlign w:val="center"/>
          </w:tcPr>
          <w:p w14:paraId="2763868B">
            <w:pPr>
              <w:keepNext w:val="0"/>
              <w:keepLines w:val="0"/>
              <w:pageBreakBefore w:val="0"/>
              <w:widowControl/>
              <w:suppressLineNumbers w:val="0"/>
              <w:suppressAutoHyphens w:val="0"/>
              <w:jc w:val="center"/>
              <w:rPr>
                <w:rFonts w:cs="Arial"/>
                <w:bCs/>
              </w:rPr>
            </w:pPr>
            <w:r>
              <w:rPr>
                <w:rFonts w:hint="eastAsia" w:ascii="宋体" w:cs="Arial"/>
                <w:bCs/>
              </w:rPr>
              <w:t>项目经理</w:t>
            </w:r>
          </w:p>
        </w:tc>
        <w:tc>
          <w:tcPr>
            <w:tcW w:w="1561" w:type="dxa"/>
            <w:gridSpan w:val="3"/>
            <w:tcBorders>
              <w:top w:val="single" w:color="auto" w:sz="4" w:space="0"/>
              <w:left w:val="single" w:color="auto" w:sz="4" w:space="0"/>
              <w:bottom w:val="single" w:color="auto" w:sz="4" w:space="0"/>
              <w:right w:val="single" w:color="auto" w:sz="4" w:space="0"/>
            </w:tcBorders>
            <w:vAlign w:val="center"/>
          </w:tcPr>
          <w:p w14:paraId="13A942A8">
            <w:pPr>
              <w:keepNext w:val="0"/>
              <w:keepLines w:val="0"/>
              <w:pageBreakBefore w:val="0"/>
              <w:widowControl/>
              <w:suppressLineNumbers w:val="0"/>
              <w:suppressAutoHyphens w:val="0"/>
              <w:jc w:val="center"/>
              <w:rPr>
                <w:rFonts w:cs="Arial"/>
                <w:bCs/>
              </w:rPr>
            </w:pPr>
          </w:p>
        </w:tc>
      </w:tr>
      <w:tr w14:paraId="1FD85F0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63" w:hRule="atLeast"/>
          <w:jc w:val="center"/>
        </w:trPr>
        <w:tc>
          <w:tcPr>
            <w:tcW w:w="1516" w:type="dxa"/>
            <w:tcBorders>
              <w:top w:val="single" w:color="auto" w:sz="4" w:space="0"/>
              <w:left w:val="single" w:color="auto" w:sz="4" w:space="0"/>
              <w:bottom w:val="single" w:color="auto" w:sz="4" w:space="0"/>
              <w:right w:val="single" w:color="auto" w:sz="4" w:space="0"/>
            </w:tcBorders>
            <w:vAlign w:val="center"/>
          </w:tcPr>
          <w:p w14:paraId="29387664">
            <w:pPr>
              <w:keepNext w:val="0"/>
              <w:keepLines w:val="0"/>
              <w:pageBreakBefore w:val="0"/>
              <w:widowControl/>
              <w:suppressLineNumbers w:val="0"/>
              <w:suppressAutoHyphens w:val="0"/>
              <w:jc w:val="center"/>
              <w:rPr>
                <w:rFonts w:cs="Arial"/>
                <w:bCs/>
              </w:rPr>
            </w:pPr>
            <w:r>
              <w:rPr>
                <w:rFonts w:hint="eastAsia" w:ascii="宋体" w:cs="Arial"/>
                <w:bCs/>
              </w:rPr>
              <w:t>营业执照</w:t>
            </w:r>
            <w:r>
              <w:rPr>
                <w:rFonts w:hint="eastAsia" w:ascii="宋体"/>
              </w:rPr>
              <w:t>号</w:t>
            </w:r>
          </w:p>
        </w:tc>
        <w:tc>
          <w:tcPr>
            <w:tcW w:w="2354" w:type="dxa"/>
            <w:gridSpan w:val="3"/>
            <w:tcBorders>
              <w:top w:val="single" w:color="auto" w:sz="4" w:space="0"/>
              <w:left w:val="single" w:color="auto" w:sz="4" w:space="0"/>
              <w:bottom w:val="single" w:color="auto" w:sz="4" w:space="0"/>
              <w:right w:val="single" w:color="auto" w:sz="4" w:space="0"/>
            </w:tcBorders>
            <w:vAlign w:val="center"/>
          </w:tcPr>
          <w:p w14:paraId="71874562">
            <w:pPr>
              <w:keepNext w:val="0"/>
              <w:keepLines w:val="0"/>
              <w:pageBreakBefore w:val="0"/>
              <w:widowControl/>
              <w:suppressLineNumbers w:val="0"/>
              <w:suppressAutoHyphens w:val="0"/>
              <w:jc w:val="center"/>
              <w:rPr>
                <w:rFonts w:cs="Arial"/>
                <w:bCs/>
              </w:rPr>
            </w:pPr>
          </w:p>
        </w:tc>
        <w:tc>
          <w:tcPr>
            <w:tcW w:w="1561" w:type="dxa"/>
            <w:gridSpan w:val="2"/>
            <w:vMerge w:val="continue"/>
            <w:tcBorders>
              <w:top w:val="nil"/>
              <w:left w:val="single" w:color="auto" w:sz="4" w:space="0"/>
              <w:bottom w:val="single" w:color="auto" w:sz="4" w:space="0"/>
              <w:right w:val="single" w:color="auto" w:sz="4" w:space="0"/>
            </w:tcBorders>
            <w:vAlign w:val="center"/>
          </w:tcPr>
          <w:p w14:paraId="6B846C09"/>
        </w:tc>
        <w:tc>
          <w:tcPr>
            <w:tcW w:w="1530" w:type="dxa"/>
            <w:gridSpan w:val="3"/>
            <w:tcBorders>
              <w:top w:val="single" w:color="auto" w:sz="4" w:space="0"/>
              <w:left w:val="single" w:color="auto" w:sz="4" w:space="0"/>
              <w:bottom w:val="single" w:color="auto" w:sz="4" w:space="0"/>
              <w:right w:val="single" w:color="auto" w:sz="4" w:space="0"/>
            </w:tcBorders>
            <w:vAlign w:val="center"/>
          </w:tcPr>
          <w:p w14:paraId="612007B8">
            <w:pPr>
              <w:keepNext w:val="0"/>
              <w:keepLines w:val="0"/>
              <w:pageBreakBefore w:val="0"/>
              <w:widowControl/>
              <w:suppressLineNumbers w:val="0"/>
              <w:suppressAutoHyphens w:val="0"/>
              <w:jc w:val="center"/>
              <w:rPr>
                <w:rFonts w:cs="Arial"/>
                <w:bCs/>
              </w:rPr>
            </w:pPr>
            <w:r>
              <w:rPr>
                <w:rFonts w:hint="eastAsia" w:ascii="宋体" w:cs="Arial"/>
                <w:bCs/>
              </w:rPr>
              <w:t>高级职称人员</w:t>
            </w:r>
          </w:p>
        </w:tc>
        <w:tc>
          <w:tcPr>
            <w:tcW w:w="1561" w:type="dxa"/>
            <w:gridSpan w:val="3"/>
            <w:tcBorders>
              <w:top w:val="single" w:color="auto" w:sz="4" w:space="0"/>
              <w:left w:val="single" w:color="auto" w:sz="4" w:space="0"/>
              <w:bottom w:val="single" w:color="auto" w:sz="4" w:space="0"/>
              <w:right w:val="single" w:color="auto" w:sz="4" w:space="0"/>
            </w:tcBorders>
            <w:vAlign w:val="center"/>
          </w:tcPr>
          <w:p w14:paraId="49D6006C">
            <w:pPr>
              <w:keepNext w:val="0"/>
              <w:keepLines w:val="0"/>
              <w:pageBreakBefore w:val="0"/>
              <w:widowControl/>
              <w:suppressLineNumbers w:val="0"/>
              <w:suppressAutoHyphens w:val="0"/>
              <w:jc w:val="center"/>
              <w:rPr>
                <w:rFonts w:cs="Arial"/>
                <w:bCs/>
              </w:rPr>
            </w:pPr>
          </w:p>
        </w:tc>
      </w:tr>
      <w:tr w14:paraId="17D4348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41" w:hRule="atLeast"/>
          <w:jc w:val="center"/>
        </w:trPr>
        <w:tc>
          <w:tcPr>
            <w:tcW w:w="1516" w:type="dxa"/>
            <w:tcBorders>
              <w:top w:val="single" w:color="auto" w:sz="4" w:space="0"/>
              <w:left w:val="single" w:color="auto" w:sz="4" w:space="0"/>
              <w:bottom w:val="single" w:color="auto" w:sz="4" w:space="0"/>
              <w:right w:val="single" w:color="auto" w:sz="4" w:space="0"/>
            </w:tcBorders>
            <w:vAlign w:val="center"/>
          </w:tcPr>
          <w:p w14:paraId="6322D287">
            <w:pPr>
              <w:keepNext w:val="0"/>
              <w:keepLines w:val="0"/>
              <w:pageBreakBefore w:val="0"/>
              <w:widowControl/>
              <w:suppressLineNumbers w:val="0"/>
              <w:suppressAutoHyphens w:val="0"/>
              <w:jc w:val="center"/>
              <w:rPr>
                <w:rFonts w:cs="Arial"/>
                <w:bCs/>
              </w:rPr>
            </w:pPr>
            <w:r>
              <w:rPr>
                <w:rFonts w:hint="eastAsia" w:ascii="宋体" w:cs="Arial"/>
                <w:bCs/>
              </w:rPr>
              <w:t>注册资金</w:t>
            </w:r>
          </w:p>
        </w:tc>
        <w:tc>
          <w:tcPr>
            <w:tcW w:w="2354" w:type="dxa"/>
            <w:gridSpan w:val="3"/>
            <w:tcBorders>
              <w:top w:val="single" w:color="auto" w:sz="4" w:space="0"/>
              <w:left w:val="single" w:color="auto" w:sz="4" w:space="0"/>
              <w:bottom w:val="single" w:color="auto" w:sz="4" w:space="0"/>
              <w:right w:val="single" w:color="auto" w:sz="4" w:space="0"/>
            </w:tcBorders>
            <w:vAlign w:val="center"/>
          </w:tcPr>
          <w:p w14:paraId="5305BCE2">
            <w:pPr>
              <w:keepNext w:val="0"/>
              <w:keepLines w:val="0"/>
              <w:pageBreakBefore w:val="0"/>
              <w:widowControl/>
              <w:suppressLineNumbers w:val="0"/>
              <w:suppressAutoHyphens w:val="0"/>
              <w:jc w:val="center"/>
              <w:rPr>
                <w:rFonts w:cs="Arial"/>
                <w:bCs/>
              </w:rPr>
            </w:pPr>
          </w:p>
        </w:tc>
        <w:tc>
          <w:tcPr>
            <w:tcW w:w="1561" w:type="dxa"/>
            <w:gridSpan w:val="2"/>
            <w:vMerge w:val="continue"/>
            <w:tcBorders>
              <w:top w:val="nil"/>
              <w:left w:val="single" w:color="auto" w:sz="4" w:space="0"/>
              <w:bottom w:val="single" w:color="auto" w:sz="4" w:space="0"/>
              <w:right w:val="single" w:color="auto" w:sz="4" w:space="0"/>
            </w:tcBorders>
            <w:vAlign w:val="center"/>
          </w:tcPr>
          <w:p w14:paraId="4F9CD2C4"/>
        </w:tc>
        <w:tc>
          <w:tcPr>
            <w:tcW w:w="1530" w:type="dxa"/>
            <w:gridSpan w:val="3"/>
            <w:tcBorders>
              <w:top w:val="single" w:color="auto" w:sz="4" w:space="0"/>
              <w:left w:val="single" w:color="auto" w:sz="4" w:space="0"/>
              <w:bottom w:val="single" w:color="auto" w:sz="4" w:space="0"/>
              <w:right w:val="single" w:color="auto" w:sz="4" w:space="0"/>
            </w:tcBorders>
            <w:vAlign w:val="center"/>
          </w:tcPr>
          <w:p w14:paraId="65BEB34E">
            <w:pPr>
              <w:keepNext w:val="0"/>
              <w:keepLines w:val="0"/>
              <w:pageBreakBefore w:val="0"/>
              <w:widowControl/>
              <w:suppressLineNumbers w:val="0"/>
              <w:suppressAutoHyphens w:val="0"/>
              <w:jc w:val="center"/>
              <w:rPr>
                <w:rFonts w:cs="Arial"/>
                <w:bCs/>
              </w:rPr>
            </w:pPr>
            <w:r>
              <w:rPr>
                <w:rFonts w:hint="eastAsia" w:ascii="宋体" w:cs="Arial"/>
                <w:bCs/>
              </w:rPr>
              <w:t>中级职称人员</w:t>
            </w:r>
          </w:p>
        </w:tc>
        <w:tc>
          <w:tcPr>
            <w:tcW w:w="1561" w:type="dxa"/>
            <w:gridSpan w:val="3"/>
            <w:tcBorders>
              <w:top w:val="single" w:color="auto" w:sz="4" w:space="0"/>
              <w:left w:val="single" w:color="auto" w:sz="4" w:space="0"/>
              <w:bottom w:val="single" w:color="auto" w:sz="4" w:space="0"/>
              <w:right w:val="single" w:color="auto" w:sz="4" w:space="0"/>
            </w:tcBorders>
            <w:vAlign w:val="center"/>
          </w:tcPr>
          <w:p w14:paraId="58524442">
            <w:pPr>
              <w:keepNext w:val="0"/>
              <w:keepLines w:val="0"/>
              <w:pageBreakBefore w:val="0"/>
              <w:widowControl/>
              <w:suppressLineNumbers w:val="0"/>
              <w:suppressAutoHyphens w:val="0"/>
              <w:jc w:val="center"/>
              <w:rPr>
                <w:rFonts w:cs="Arial"/>
                <w:bCs/>
              </w:rPr>
            </w:pPr>
          </w:p>
        </w:tc>
      </w:tr>
      <w:tr w14:paraId="2A14DE3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61" w:hRule="atLeast"/>
          <w:jc w:val="center"/>
        </w:trPr>
        <w:tc>
          <w:tcPr>
            <w:tcW w:w="1516" w:type="dxa"/>
            <w:tcBorders>
              <w:top w:val="single" w:color="auto" w:sz="4" w:space="0"/>
              <w:left w:val="single" w:color="auto" w:sz="4" w:space="0"/>
              <w:bottom w:val="single" w:color="auto" w:sz="4" w:space="0"/>
              <w:right w:val="single" w:color="auto" w:sz="4" w:space="0"/>
            </w:tcBorders>
            <w:vAlign w:val="center"/>
          </w:tcPr>
          <w:p w14:paraId="193B0E6E">
            <w:pPr>
              <w:keepNext w:val="0"/>
              <w:keepLines w:val="0"/>
              <w:pageBreakBefore w:val="0"/>
              <w:widowControl/>
              <w:suppressLineNumbers w:val="0"/>
              <w:suppressAutoHyphens w:val="0"/>
              <w:jc w:val="center"/>
              <w:rPr>
                <w:rFonts w:cs="Arial"/>
                <w:bCs/>
              </w:rPr>
            </w:pPr>
            <w:r>
              <w:rPr>
                <w:rFonts w:hint="eastAsia" w:ascii="宋体" w:cs="Arial"/>
                <w:bCs/>
              </w:rPr>
              <w:t>开户银行</w:t>
            </w:r>
          </w:p>
        </w:tc>
        <w:tc>
          <w:tcPr>
            <w:tcW w:w="2354" w:type="dxa"/>
            <w:gridSpan w:val="3"/>
            <w:tcBorders>
              <w:top w:val="single" w:color="auto" w:sz="4" w:space="0"/>
              <w:left w:val="single" w:color="auto" w:sz="4" w:space="0"/>
              <w:bottom w:val="single" w:color="auto" w:sz="4" w:space="0"/>
              <w:right w:val="single" w:color="auto" w:sz="4" w:space="0"/>
            </w:tcBorders>
            <w:vAlign w:val="center"/>
          </w:tcPr>
          <w:p w14:paraId="0202F2C5">
            <w:pPr>
              <w:keepNext w:val="0"/>
              <w:keepLines w:val="0"/>
              <w:pageBreakBefore w:val="0"/>
              <w:widowControl/>
              <w:suppressLineNumbers w:val="0"/>
              <w:suppressAutoHyphens w:val="0"/>
              <w:jc w:val="center"/>
              <w:rPr>
                <w:rFonts w:cs="Arial"/>
                <w:bCs/>
              </w:rPr>
            </w:pPr>
          </w:p>
        </w:tc>
        <w:tc>
          <w:tcPr>
            <w:tcW w:w="1561" w:type="dxa"/>
            <w:gridSpan w:val="2"/>
            <w:vMerge w:val="continue"/>
            <w:tcBorders>
              <w:top w:val="nil"/>
              <w:left w:val="single" w:color="auto" w:sz="4" w:space="0"/>
              <w:bottom w:val="single" w:color="auto" w:sz="4" w:space="0"/>
              <w:right w:val="single" w:color="auto" w:sz="4" w:space="0"/>
            </w:tcBorders>
            <w:vAlign w:val="center"/>
          </w:tcPr>
          <w:p w14:paraId="4C72641F"/>
        </w:tc>
        <w:tc>
          <w:tcPr>
            <w:tcW w:w="1530" w:type="dxa"/>
            <w:gridSpan w:val="3"/>
            <w:tcBorders>
              <w:top w:val="single" w:color="auto" w:sz="4" w:space="0"/>
              <w:left w:val="single" w:color="auto" w:sz="4" w:space="0"/>
              <w:bottom w:val="single" w:color="auto" w:sz="4" w:space="0"/>
              <w:right w:val="single" w:color="auto" w:sz="4" w:space="0"/>
            </w:tcBorders>
            <w:vAlign w:val="center"/>
          </w:tcPr>
          <w:p w14:paraId="1B91E093">
            <w:pPr>
              <w:keepNext w:val="0"/>
              <w:keepLines w:val="0"/>
              <w:pageBreakBefore w:val="0"/>
              <w:widowControl/>
              <w:suppressLineNumbers w:val="0"/>
              <w:suppressAutoHyphens w:val="0"/>
              <w:jc w:val="center"/>
              <w:rPr>
                <w:rFonts w:cs="Arial"/>
                <w:bCs/>
              </w:rPr>
            </w:pPr>
            <w:r>
              <w:rPr>
                <w:rFonts w:hint="eastAsia" w:ascii="宋体" w:cs="Arial"/>
                <w:bCs/>
              </w:rPr>
              <w:t>初级职称人员</w:t>
            </w:r>
          </w:p>
        </w:tc>
        <w:tc>
          <w:tcPr>
            <w:tcW w:w="1561" w:type="dxa"/>
            <w:gridSpan w:val="3"/>
            <w:tcBorders>
              <w:top w:val="single" w:color="auto" w:sz="4" w:space="0"/>
              <w:left w:val="single" w:color="auto" w:sz="4" w:space="0"/>
              <w:bottom w:val="single" w:color="auto" w:sz="4" w:space="0"/>
              <w:right w:val="single" w:color="auto" w:sz="4" w:space="0"/>
            </w:tcBorders>
            <w:vAlign w:val="center"/>
          </w:tcPr>
          <w:p w14:paraId="5BB36071">
            <w:pPr>
              <w:keepNext w:val="0"/>
              <w:keepLines w:val="0"/>
              <w:pageBreakBefore w:val="0"/>
              <w:widowControl/>
              <w:suppressLineNumbers w:val="0"/>
              <w:suppressAutoHyphens w:val="0"/>
              <w:jc w:val="center"/>
              <w:rPr>
                <w:rFonts w:cs="Arial"/>
                <w:bCs/>
              </w:rPr>
            </w:pPr>
          </w:p>
        </w:tc>
      </w:tr>
      <w:tr w14:paraId="67DC9F9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66" w:hRule="atLeast"/>
          <w:jc w:val="center"/>
        </w:trPr>
        <w:tc>
          <w:tcPr>
            <w:tcW w:w="1516" w:type="dxa"/>
            <w:tcBorders>
              <w:top w:val="single" w:color="auto" w:sz="4" w:space="0"/>
              <w:left w:val="single" w:color="auto" w:sz="4" w:space="0"/>
              <w:bottom w:val="single" w:color="auto" w:sz="4" w:space="0"/>
              <w:right w:val="single" w:color="auto" w:sz="4" w:space="0"/>
            </w:tcBorders>
            <w:vAlign w:val="center"/>
          </w:tcPr>
          <w:p w14:paraId="374F43F5">
            <w:pPr>
              <w:keepNext w:val="0"/>
              <w:keepLines w:val="0"/>
              <w:pageBreakBefore w:val="0"/>
              <w:widowControl/>
              <w:suppressLineNumbers w:val="0"/>
              <w:suppressAutoHyphens w:val="0"/>
              <w:jc w:val="center"/>
              <w:rPr>
                <w:rFonts w:cs="Arial"/>
                <w:bCs/>
              </w:rPr>
            </w:pPr>
            <w:r>
              <w:rPr>
                <w:rFonts w:hint="eastAsia" w:ascii="宋体" w:cs="Arial"/>
                <w:bCs/>
              </w:rPr>
              <w:t>账号</w:t>
            </w:r>
          </w:p>
        </w:tc>
        <w:tc>
          <w:tcPr>
            <w:tcW w:w="2354" w:type="dxa"/>
            <w:gridSpan w:val="3"/>
            <w:tcBorders>
              <w:top w:val="single" w:color="auto" w:sz="4" w:space="0"/>
              <w:left w:val="single" w:color="auto" w:sz="4" w:space="0"/>
              <w:bottom w:val="single" w:color="auto" w:sz="4" w:space="0"/>
              <w:right w:val="single" w:color="auto" w:sz="4" w:space="0"/>
            </w:tcBorders>
            <w:vAlign w:val="center"/>
          </w:tcPr>
          <w:p w14:paraId="6025432E">
            <w:pPr>
              <w:keepNext w:val="0"/>
              <w:keepLines w:val="0"/>
              <w:pageBreakBefore w:val="0"/>
              <w:widowControl/>
              <w:suppressLineNumbers w:val="0"/>
              <w:suppressAutoHyphens w:val="0"/>
              <w:jc w:val="center"/>
              <w:rPr>
                <w:rFonts w:cs="Arial"/>
                <w:bCs/>
              </w:rPr>
            </w:pPr>
          </w:p>
        </w:tc>
        <w:tc>
          <w:tcPr>
            <w:tcW w:w="1561" w:type="dxa"/>
            <w:gridSpan w:val="2"/>
            <w:vMerge w:val="continue"/>
            <w:tcBorders>
              <w:top w:val="nil"/>
              <w:left w:val="single" w:color="auto" w:sz="4" w:space="0"/>
              <w:bottom w:val="single" w:color="auto" w:sz="4" w:space="0"/>
              <w:right w:val="single" w:color="auto" w:sz="4" w:space="0"/>
            </w:tcBorders>
            <w:vAlign w:val="center"/>
          </w:tcPr>
          <w:p w14:paraId="73ECD1D1"/>
        </w:tc>
        <w:tc>
          <w:tcPr>
            <w:tcW w:w="1530" w:type="dxa"/>
            <w:gridSpan w:val="3"/>
            <w:tcBorders>
              <w:top w:val="single" w:color="auto" w:sz="4" w:space="0"/>
              <w:left w:val="single" w:color="auto" w:sz="4" w:space="0"/>
              <w:bottom w:val="single" w:color="auto" w:sz="4" w:space="0"/>
              <w:right w:val="single" w:color="auto" w:sz="4" w:space="0"/>
            </w:tcBorders>
            <w:vAlign w:val="center"/>
          </w:tcPr>
          <w:p w14:paraId="4283A431">
            <w:pPr>
              <w:keepNext w:val="0"/>
              <w:keepLines w:val="0"/>
              <w:pageBreakBefore w:val="0"/>
              <w:widowControl/>
              <w:suppressLineNumbers w:val="0"/>
              <w:suppressAutoHyphens w:val="0"/>
              <w:jc w:val="center"/>
              <w:rPr>
                <w:rFonts w:cs="Arial"/>
                <w:bCs/>
              </w:rPr>
            </w:pPr>
            <w:r>
              <w:rPr>
                <w:rFonts w:hint="eastAsia" w:ascii="宋体" w:cs="Arial"/>
                <w:bCs/>
              </w:rPr>
              <w:t>技工</w:t>
            </w:r>
          </w:p>
        </w:tc>
        <w:tc>
          <w:tcPr>
            <w:tcW w:w="1561" w:type="dxa"/>
            <w:gridSpan w:val="3"/>
            <w:tcBorders>
              <w:top w:val="single" w:color="auto" w:sz="4" w:space="0"/>
              <w:left w:val="single" w:color="auto" w:sz="4" w:space="0"/>
              <w:bottom w:val="single" w:color="auto" w:sz="4" w:space="0"/>
              <w:right w:val="single" w:color="auto" w:sz="4" w:space="0"/>
            </w:tcBorders>
            <w:vAlign w:val="center"/>
          </w:tcPr>
          <w:p w14:paraId="1C2F7676">
            <w:pPr>
              <w:keepNext w:val="0"/>
              <w:keepLines w:val="0"/>
              <w:pageBreakBefore w:val="0"/>
              <w:widowControl/>
              <w:suppressLineNumbers w:val="0"/>
              <w:suppressAutoHyphens w:val="0"/>
              <w:jc w:val="center"/>
              <w:rPr>
                <w:rFonts w:cs="Arial"/>
                <w:bCs/>
              </w:rPr>
            </w:pPr>
          </w:p>
        </w:tc>
      </w:tr>
      <w:tr w14:paraId="50839EB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704" w:hRule="atLeast"/>
          <w:jc w:val="center"/>
        </w:trPr>
        <w:tc>
          <w:tcPr>
            <w:tcW w:w="1516" w:type="dxa"/>
            <w:tcBorders>
              <w:top w:val="single" w:color="auto" w:sz="4" w:space="0"/>
              <w:left w:val="single" w:color="auto" w:sz="4" w:space="0"/>
              <w:bottom w:val="single" w:color="auto" w:sz="4" w:space="0"/>
              <w:right w:val="single" w:color="auto" w:sz="4" w:space="0"/>
            </w:tcBorders>
            <w:vAlign w:val="center"/>
          </w:tcPr>
          <w:p w14:paraId="557FBD62">
            <w:pPr>
              <w:keepNext w:val="0"/>
              <w:keepLines w:val="0"/>
              <w:pageBreakBefore w:val="0"/>
              <w:widowControl/>
              <w:suppressLineNumbers w:val="0"/>
              <w:suppressAutoHyphens w:val="0"/>
              <w:jc w:val="center"/>
              <w:rPr>
                <w:rFonts w:cs="Arial"/>
                <w:bCs/>
              </w:rPr>
            </w:pPr>
            <w:r>
              <w:rPr>
                <w:rFonts w:hint="eastAsia" w:ascii="宋体" w:cs="Arial"/>
                <w:bCs/>
              </w:rPr>
              <w:t>经营范围</w:t>
            </w:r>
          </w:p>
        </w:tc>
        <w:tc>
          <w:tcPr>
            <w:tcW w:w="7006" w:type="dxa"/>
            <w:gridSpan w:val="11"/>
            <w:tcBorders>
              <w:top w:val="single" w:color="auto" w:sz="4" w:space="0"/>
              <w:left w:val="single" w:color="auto" w:sz="4" w:space="0"/>
              <w:bottom w:val="single" w:color="auto" w:sz="4" w:space="0"/>
              <w:right w:val="single" w:color="auto" w:sz="4" w:space="0"/>
            </w:tcBorders>
            <w:vAlign w:val="center"/>
          </w:tcPr>
          <w:p w14:paraId="44A3A7C5">
            <w:pPr>
              <w:keepNext w:val="0"/>
              <w:keepLines w:val="0"/>
              <w:pageBreakBefore w:val="0"/>
              <w:widowControl/>
              <w:suppressLineNumbers w:val="0"/>
              <w:suppressAutoHyphens w:val="0"/>
              <w:jc w:val="center"/>
              <w:rPr>
                <w:rFonts w:cs="Arial"/>
                <w:bCs/>
              </w:rPr>
            </w:pPr>
          </w:p>
        </w:tc>
      </w:tr>
      <w:tr w14:paraId="13E4F67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717" w:hRule="atLeast"/>
          <w:jc w:val="center"/>
        </w:trPr>
        <w:tc>
          <w:tcPr>
            <w:tcW w:w="1516" w:type="dxa"/>
            <w:tcBorders>
              <w:top w:val="single" w:color="auto" w:sz="4" w:space="0"/>
              <w:left w:val="single" w:color="auto" w:sz="4" w:space="0"/>
              <w:bottom w:val="single" w:color="auto" w:sz="4" w:space="0"/>
              <w:right w:val="single" w:color="auto" w:sz="4" w:space="0"/>
            </w:tcBorders>
            <w:vAlign w:val="center"/>
          </w:tcPr>
          <w:p w14:paraId="299A085D">
            <w:pPr>
              <w:keepNext w:val="0"/>
              <w:keepLines w:val="0"/>
              <w:pageBreakBefore w:val="0"/>
              <w:widowControl/>
              <w:suppressLineNumbers w:val="0"/>
              <w:suppressAutoHyphens w:val="0"/>
              <w:jc w:val="center"/>
              <w:rPr>
                <w:rFonts w:cs="Arial"/>
                <w:bCs/>
              </w:rPr>
            </w:pPr>
            <w:r>
              <w:rPr>
                <w:rFonts w:hint="eastAsia" w:ascii="宋体" w:cs="Arial"/>
                <w:bCs/>
              </w:rPr>
              <w:t>备注</w:t>
            </w:r>
          </w:p>
        </w:tc>
        <w:tc>
          <w:tcPr>
            <w:tcW w:w="7006" w:type="dxa"/>
            <w:gridSpan w:val="11"/>
            <w:tcBorders>
              <w:top w:val="single" w:color="auto" w:sz="4" w:space="0"/>
              <w:left w:val="single" w:color="auto" w:sz="4" w:space="0"/>
              <w:bottom w:val="single" w:color="auto" w:sz="4" w:space="0"/>
              <w:right w:val="single" w:color="auto" w:sz="4" w:space="0"/>
            </w:tcBorders>
            <w:vAlign w:val="center"/>
          </w:tcPr>
          <w:p w14:paraId="746E16B3">
            <w:pPr>
              <w:keepNext w:val="0"/>
              <w:keepLines w:val="0"/>
              <w:pageBreakBefore w:val="0"/>
              <w:widowControl/>
              <w:suppressLineNumbers w:val="0"/>
              <w:suppressAutoHyphens w:val="0"/>
              <w:jc w:val="center"/>
              <w:rPr>
                <w:rFonts w:cs="Arial"/>
                <w:bCs/>
              </w:rPr>
            </w:pPr>
          </w:p>
        </w:tc>
      </w:tr>
    </w:tbl>
    <w:p w14:paraId="437F2ACB">
      <w:pPr>
        <w:adjustRightInd w:val="0"/>
        <w:snapToGrid/>
        <w:spacing w:line="400" w:lineRule="exact"/>
        <w:jc w:val="left"/>
        <w:rPr>
          <w:sz w:val="24"/>
          <w:szCs w:val="24"/>
        </w:rPr>
      </w:pPr>
    </w:p>
    <w:p w14:paraId="394C7176">
      <w:pPr>
        <w:adjustRightInd w:val="0"/>
        <w:snapToGrid/>
        <w:spacing w:line="400" w:lineRule="exact"/>
        <w:ind w:firstLine="480" w:firstLineChars="200"/>
        <w:jc w:val="left"/>
        <w:rPr>
          <w:rFonts w:hint="eastAsia"/>
          <w:sz w:val="24"/>
          <w:szCs w:val="24"/>
        </w:rPr>
      </w:pPr>
      <w:r>
        <w:rPr>
          <w:rFonts w:hint="eastAsia" w:ascii="宋体"/>
          <w:sz w:val="24"/>
          <w:szCs w:val="24"/>
        </w:rPr>
        <w:t>供应商名称（盖章）：</w:t>
      </w:r>
    </w:p>
    <w:p w14:paraId="070D3069">
      <w:pPr>
        <w:adjustRightInd w:val="0"/>
        <w:snapToGrid/>
        <w:spacing w:line="400" w:lineRule="exact"/>
        <w:ind w:firstLine="480" w:firstLineChars="200"/>
        <w:jc w:val="left"/>
        <w:rPr>
          <w:rFonts w:hint="eastAsia"/>
          <w:sz w:val="24"/>
          <w:szCs w:val="24"/>
        </w:rPr>
      </w:pPr>
      <w:r>
        <w:rPr>
          <w:rFonts w:hint="eastAsia" w:ascii="宋体"/>
          <w:sz w:val="24"/>
          <w:szCs w:val="24"/>
        </w:rPr>
        <w:t>法定代表人或授权代表（签字或盖章）：</w:t>
      </w:r>
    </w:p>
    <w:p w14:paraId="2EC23463">
      <w:pPr>
        <w:adjustRightInd w:val="0"/>
        <w:snapToGrid/>
        <w:spacing w:line="400" w:lineRule="exact"/>
        <w:ind w:firstLine="480" w:firstLineChars="200"/>
        <w:jc w:val="left"/>
        <w:rPr>
          <w:rFonts w:cs="宋体"/>
          <w:sz w:val="24"/>
          <w:szCs w:val="24"/>
        </w:rPr>
      </w:pPr>
      <w:r>
        <w:rPr>
          <w:rFonts w:hint="eastAsia" w:ascii="宋体"/>
          <w:sz w:val="24"/>
          <w:szCs w:val="24"/>
        </w:rPr>
        <w:t>日期：</w:t>
      </w:r>
      <w:r>
        <w:rPr>
          <w:rFonts w:hint="eastAsia"/>
          <w:sz w:val="24"/>
          <w:szCs w:val="24"/>
        </w:rPr>
        <w:t xml:space="preserve">      </w:t>
      </w:r>
      <w:r>
        <w:rPr>
          <w:rFonts w:hint="eastAsia" w:ascii="宋体"/>
          <w:sz w:val="24"/>
          <w:szCs w:val="24"/>
        </w:rPr>
        <w:t>年</w:t>
      </w:r>
      <w:r>
        <w:rPr>
          <w:rFonts w:hint="eastAsia"/>
          <w:sz w:val="24"/>
          <w:szCs w:val="24"/>
        </w:rPr>
        <w:t xml:space="preserve">    </w:t>
      </w:r>
      <w:r>
        <w:rPr>
          <w:rFonts w:hint="eastAsia" w:ascii="宋体"/>
          <w:sz w:val="24"/>
          <w:szCs w:val="24"/>
        </w:rPr>
        <w:t>月</w:t>
      </w:r>
      <w:r>
        <w:rPr>
          <w:rFonts w:hint="eastAsia"/>
          <w:sz w:val="24"/>
          <w:szCs w:val="24"/>
        </w:rPr>
        <w:t xml:space="preserve">    </w:t>
      </w:r>
      <w:r>
        <w:rPr>
          <w:rFonts w:hint="eastAsia" w:ascii="宋体"/>
          <w:sz w:val="24"/>
          <w:szCs w:val="24"/>
        </w:rPr>
        <w:t>日</w:t>
      </w:r>
      <w:r>
        <w:rPr>
          <w:rFonts w:hint="eastAsia"/>
          <w:sz w:val="24"/>
          <w:szCs w:val="24"/>
        </w:rPr>
        <w:t xml:space="preserve">            </w:t>
      </w:r>
    </w:p>
    <w:p w14:paraId="0C704455">
      <w:pPr>
        <w:pStyle w:val="8"/>
        <w:rPr>
          <w:rFonts w:hint="eastAsia"/>
        </w:rPr>
      </w:pPr>
    </w:p>
    <w:p w14:paraId="060FCEFA">
      <w:pPr>
        <w:pStyle w:val="8"/>
        <w:rPr>
          <w:sz w:val="24"/>
          <w:szCs w:val="24"/>
        </w:rPr>
      </w:pPr>
    </w:p>
    <w:p w14:paraId="1D4CF6E9"/>
    <w:p w14:paraId="5FD9460D">
      <w:pPr>
        <w:pStyle w:val="8"/>
        <w:rPr>
          <w:sz w:val="24"/>
          <w:szCs w:val="24"/>
        </w:rPr>
      </w:pPr>
    </w:p>
    <w:p w14:paraId="6D570713">
      <w:pPr>
        <w:jc w:val="center"/>
        <w:outlineLvl w:val="2"/>
        <w:rPr>
          <w:b/>
          <w:sz w:val="32"/>
          <w:szCs w:val="32"/>
        </w:rPr>
      </w:pPr>
      <w:r>
        <w:rPr>
          <w:rFonts w:hint="eastAsia" w:ascii="宋体"/>
          <w:b/>
          <w:sz w:val="32"/>
          <w:szCs w:val="32"/>
        </w:rPr>
        <w:t>七、最后报价表</w:t>
      </w:r>
    </w:p>
    <w:p w14:paraId="623DE72D">
      <w:pPr>
        <w:kinsoku/>
        <w:wordWrap/>
        <w:overflowPunct/>
        <w:topLinePunct w:val="0"/>
        <w:autoSpaceDE w:val="0"/>
        <w:autoSpaceDN w:val="0"/>
        <w:adjustRightInd w:val="0"/>
        <w:snapToGrid/>
        <w:jc w:val="center"/>
        <w:rPr>
          <w:rFonts w:cs="新宋体"/>
          <w:kern w:val="0"/>
          <w:sz w:val="28"/>
          <w:szCs w:val="28"/>
        </w:rPr>
      </w:pPr>
      <w:r>
        <w:rPr>
          <w:rFonts w:hint="eastAsia" w:ascii="宋体" w:cs="新宋体"/>
          <w:kern w:val="0"/>
          <w:sz w:val="28"/>
          <w:szCs w:val="28"/>
        </w:rPr>
        <w:t>（供应商磋商报价时使用）</w:t>
      </w:r>
    </w:p>
    <w:p w14:paraId="2F08956F">
      <w:pPr>
        <w:spacing w:line="360" w:lineRule="auto"/>
        <w:rPr>
          <w:rFonts w:cs="宋体"/>
          <w:sz w:val="24"/>
          <w:szCs w:val="24"/>
        </w:rPr>
      </w:pPr>
      <w:r>
        <w:rPr>
          <w:rFonts w:hint="eastAsia" w:ascii="宋体"/>
          <w:sz w:val="24"/>
          <w:szCs w:val="24"/>
        </w:rPr>
        <w:t>项目名称：</w:t>
      </w:r>
    </w:p>
    <w:tbl>
      <w:tblPr>
        <w:tblStyle w:val="23"/>
        <w:tblW w:w="5000" w:type="pct"/>
        <w:tblInd w:w="135"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autofit"/>
        <w:tblCellMar>
          <w:top w:w="0" w:type="dxa"/>
          <w:left w:w="108" w:type="dxa"/>
          <w:bottom w:w="0" w:type="dxa"/>
          <w:right w:w="108" w:type="dxa"/>
        </w:tblCellMar>
      </w:tblPr>
      <w:tblGrid>
        <w:gridCol w:w="1057"/>
        <w:gridCol w:w="4077"/>
        <w:gridCol w:w="3389"/>
      </w:tblGrid>
      <w:tr w14:paraId="2FDFFBC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99" w:hRule="atLeast"/>
        </w:trPr>
        <w:tc>
          <w:tcPr>
            <w:tcW w:w="1057" w:type="dxa"/>
            <w:tcBorders>
              <w:top w:val="single" w:color="auto" w:sz="4" w:space="0"/>
              <w:left w:val="single" w:color="auto" w:sz="4" w:space="0"/>
              <w:bottom w:val="single" w:color="auto" w:sz="4" w:space="0"/>
              <w:right w:val="single" w:color="auto" w:sz="4" w:space="0"/>
            </w:tcBorders>
            <w:vAlign w:val="center"/>
          </w:tcPr>
          <w:p w14:paraId="32902C1F">
            <w:pPr>
              <w:keepNext w:val="0"/>
              <w:keepLines w:val="0"/>
              <w:pageBreakBefore w:val="0"/>
              <w:widowControl/>
              <w:suppressLineNumbers w:val="0"/>
              <w:suppressAutoHyphens w:val="0"/>
              <w:jc w:val="center"/>
              <w:rPr>
                <w:rFonts w:cs="宋体"/>
                <w:sz w:val="24"/>
                <w:szCs w:val="24"/>
              </w:rPr>
            </w:pPr>
            <w:r>
              <w:rPr>
                <w:rFonts w:hint="eastAsia" w:ascii="宋体"/>
                <w:sz w:val="24"/>
                <w:szCs w:val="24"/>
              </w:rPr>
              <w:t>序号</w:t>
            </w:r>
          </w:p>
        </w:tc>
        <w:tc>
          <w:tcPr>
            <w:tcW w:w="4077" w:type="dxa"/>
            <w:tcBorders>
              <w:top w:val="single" w:color="auto" w:sz="4" w:space="0"/>
              <w:left w:val="single" w:color="auto" w:sz="4" w:space="0"/>
              <w:bottom w:val="single" w:color="auto" w:sz="4" w:space="0"/>
              <w:right w:val="single" w:color="auto" w:sz="4" w:space="0"/>
            </w:tcBorders>
            <w:vAlign w:val="center"/>
          </w:tcPr>
          <w:p w14:paraId="4D5085AA">
            <w:pPr>
              <w:keepNext w:val="0"/>
              <w:keepLines w:val="0"/>
              <w:pageBreakBefore w:val="0"/>
              <w:widowControl/>
              <w:suppressLineNumbers w:val="0"/>
              <w:suppressAutoHyphens w:val="0"/>
              <w:jc w:val="center"/>
              <w:rPr>
                <w:rFonts w:cs="宋体"/>
                <w:sz w:val="24"/>
                <w:szCs w:val="24"/>
              </w:rPr>
            </w:pPr>
            <w:r>
              <w:rPr>
                <w:rFonts w:hint="eastAsia" w:ascii="宋体"/>
                <w:sz w:val="24"/>
                <w:szCs w:val="24"/>
              </w:rPr>
              <w:t>项目名称</w:t>
            </w:r>
          </w:p>
        </w:tc>
        <w:tc>
          <w:tcPr>
            <w:tcW w:w="3389" w:type="dxa"/>
            <w:tcBorders>
              <w:top w:val="single" w:color="auto" w:sz="4" w:space="0"/>
              <w:left w:val="single" w:color="auto" w:sz="4" w:space="0"/>
              <w:bottom w:val="single" w:color="auto" w:sz="4" w:space="0"/>
              <w:right w:val="single" w:color="auto" w:sz="4" w:space="0"/>
            </w:tcBorders>
            <w:vAlign w:val="center"/>
          </w:tcPr>
          <w:p w14:paraId="7554AFEA">
            <w:pPr>
              <w:keepNext w:val="0"/>
              <w:keepLines w:val="0"/>
              <w:pageBreakBefore w:val="0"/>
              <w:widowControl/>
              <w:suppressLineNumbers w:val="0"/>
              <w:suppressAutoHyphens w:val="0"/>
              <w:jc w:val="center"/>
              <w:rPr>
                <w:rFonts w:cs="宋体"/>
                <w:sz w:val="24"/>
                <w:szCs w:val="24"/>
              </w:rPr>
            </w:pPr>
            <w:r>
              <w:rPr>
                <w:rFonts w:hint="eastAsia" w:ascii="宋体"/>
                <w:sz w:val="24"/>
                <w:szCs w:val="24"/>
              </w:rPr>
              <w:t>最终报价</w:t>
            </w:r>
          </w:p>
        </w:tc>
      </w:tr>
      <w:tr w14:paraId="37649FE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79" w:hRule="atLeast"/>
        </w:trPr>
        <w:tc>
          <w:tcPr>
            <w:tcW w:w="1057" w:type="dxa"/>
            <w:tcBorders>
              <w:top w:val="single" w:color="auto" w:sz="4" w:space="0"/>
              <w:left w:val="single" w:color="auto" w:sz="4" w:space="0"/>
              <w:bottom w:val="single" w:color="auto" w:sz="4" w:space="0"/>
              <w:right w:val="single" w:color="auto" w:sz="4" w:space="0"/>
            </w:tcBorders>
            <w:vAlign w:val="center"/>
          </w:tcPr>
          <w:p w14:paraId="2D5962D5">
            <w:pPr>
              <w:keepNext w:val="0"/>
              <w:keepLines w:val="0"/>
              <w:pageBreakBefore w:val="0"/>
              <w:widowControl/>
              <w:suppressLineNumbers w:val="0"/>
              <w:suppressAutoHyphens w:val="0"/>
              <w:jc w:val="center"/>
              <w:rPr>
                <w:rFonts w:cs="宋体"/>
                <w:sz w:val="24"/>
                <w:szCs w:val="24"/>
              </w:rPr>
            </w:pPr>
            <w:r>
              <w:rPr>
                <w:sz w:val="24"/>
                <w:szCs w:val="24"/>
              </w:rPr>
              <w:t>1</w:t>
            </w:r>
          </w:p>
        </w:tc>
        <w:tc>
          <w:tcPr>
            <w:tcW w:w="4077" w:type="dxa"/>
            <w:tcBorders>
              <w:top w:val="single" w:color="auto" w:sz="4" w:space="0"/>
              <w:left w:val="single" w:color="auto" w:sz="4" w:space="0"/>
              <w:bottom w:val="single" w:color="auto" w:sz="4" w:space="0"/>
              <w:right w:val="single" w:color="auto" w:sz="4" w:space="0"/>
            </w:tcBorders>
            <w:vAlign w:val="center"/>
          </w:tcPr>
          <w:p w14:paraId="006846A9">
            <w:pPr>
              <w:keepNext w:val="0"/>
              <w:keepLines w:val="0"/>
              <w:pageBreakBefore w:val="0"/>
              <w:widowControl/>
              <w:suppressLineNumbers w:val="0"/>
              <w:suppressAutoHyphens w:val="0"/>
              <w:jc w:val="center"/>
              <w:rPr>
                <w:rFonts w:cs="宋体"/>
                <w:sz w:val="24"/>
                <w:szCs w:val="24"/>
              </w:rPr>
            </w:pPr>
            <w:r>
              <w:rPr>
                <w:rFonts w:hint="eastAsia" w:cs="宋体"/>
                <w:sz w:val="24"/>
                <w:szCs w:val="24"/>
              </w:rPr>
              <w:t>阿坝州“十五五”基础测绘规划编制项目</w:t>
            </w:r>
          </w:p>
        </w:tc>
        <w:tc>
          <w:tcPr>
            <w:tcW w:w="3389" w:type="dxa"/>
            <w:tcBorders>
              <w:top w:val="single" w:color="auto" w:sz="4" w:space="0"/>
              <w:left w:val="single" w:color="auto" w:sz="4" w:space="0"/>
              <w:bottom w:val="single" w:color="auto" w:sz="4" w:space="0"/>
              <w:right w:val="single" w:color="auto" w:sz="4" w:space="0"/>
            </w:tcBorders>
            <w:vAlign w:val="center"/>
          </w:tcPr>
          <w:p w14:paraId="27C334F0">
            <w:pPr>
              <w:keepNext w:val="0"/>
              <w:keepLines w:val="0"/>
              <w:pageBreakBefore w:val="0"/>
              <w:widowControl/>
              <w:suppressLineNumbers w:val="0"/>
              <w:suppressAutoHyphens w:val="0"/>
              <w:rPr>
                <w:rFonts w:ascii="宋体"/>
                <w:sz w:val="24"/>
                <w:szCs w:val="24"/>
              </w:rPr>
            </w:pPr>
            <w:r>
              <w:rPr>
                <w:rFonts w:hint="eastAsia" w:ascii="宋体"/>
                <w:sz w:val="24"/>
                <w:szCs w:val="24"/>
              </w:rPr>
              <w:t>小写：</w:t>
            </w:r>
          </w:p>
          <w:p w14:paraId="4CE1B2C0">
            <w:pPr>
              <w:keepNext w:val="0"/>
              <w:keepLines w:val="0"/>
              <w:pageBreakBefore w:val="0"/>
              <w:widowControl/>
              <w:suppressLineNumbers w:val="0"/>
              <w:suppressAutoHyphens w:val="0"/>
              <w:rPr>
                <w:rFonts w:hint="eastAsia" w:cs="宋体"/>
                <w:sz w:val="24"/>
                <w:szCs w:val="24"/>
              </w:rPr>
            </w:pPr>
            <w:r>
              <w:rPr>
                <w:rFonts w:ascii="宋体"/>
                <w:sz w:val="24"/>
                <w:szCs w:val="24"/>
              </w:rPr>
              <w:t>大写：</w:t>
            </w:r>
          </w:p>
        </w:tc>
      </w:tr>
    </w:tbl>
    <w:p w14:paraId="07445DAC">
      <w:pPr>
        <w:adjustRightInd/>
        <w:snapToGrid w:val="0"/>
        <w:spacing w:line="360" w:lineRule="auto"/>
        <w:ind w:right="-624" w:rightChars="-297"/>
        <w:rPr>
          <w:rFonts w:cs="宋体"/>
          <w:sz w:val="24"/>
          <w:szCs w:val="24"/>
        </w:rPr>
      </w:pPr>
    </w:p>
    <w:p w14:paraId="69D14956">
      <w:pPr>
        <w:adjustRightInd/>
        <w:snapToGrid w:val="0"/>
        <w:spacing w:line="360" w:lineRule="auto"/>
        <w:ind w:right="-624" w:rightChars="-297"/>
        <w:rPr>
          <w:rFonts w:cs="宋体"/>
          <w:sz w:val="24"/>
          <w:szCs w:val="24"/>
        </w:rPr>
      </w:pPr>
    </w:p>
    <w:p w14:paraId="7E96E249">
      <w:pPr>
        <w:pStyle w:val="34"/>
        <w:ind w:firstLine="0"/>
        <w:rPr>
          <w:rFonts w:cs="宋体"/>
          <w:sz w:val="24"/>
          <w:szCs w:val="24"/>
        </w:rPr>
      </w:pPr>
    </w:p>
    <w:p w14:paraId="65FB0E70">
      <w:pPr>
        <w:adjustRightInd w:val="0"/>
        <w:snapToGrid/>
        <w:spacing w:line="400" w:lineRule="exact"/>
        <w:ind w:firstLine="480" w:firstLineChars="200"/>
        <w:jc w:val="left"/>
        <w:rPr>
          <w:rFonts w:hint="eastAsia"/>
          <w:sz w:val="24"/>
          <w:szCs w:val="24"/>
        </w:rPr>
      </w:pPr>
      <w:r>
        <w:rPr>
          <w:rFonts w:hint="eastAsia" w:ascii="宋体"/>
          <w:sz w:val="24"/>
          <w:szCs w:val="24"/>
        </w:rPr>
        <w:t>供应商名称（盖章）：</w:t>
      </w:r>
    </w:p>
    <w:p w14:paraId="54297577">
      <w:pPr>
        <w:adjustRightInd w:val="0"/>
        <w:snapToGrid/>
        <w:spacing w:line="400" w:lineRule="exact"/>
        <w:ind w:firstLine="480" w:firstLineChars="200"/>
        <w:jc w:val="left"/>
        <w:rPr>
          <w:rFonts w:hint="eastAsia"/>
          <w:sz w:val="24"/>
          <w:szCs w:val="24"/>
        </w:rPr>
      </w:pPr>
      <w:r>
        <w:rPr>
          <w:rFonts w:hint="eastAsia" w:ascii="宋体"/>
          <w:sz w:val="24"/>
          <w:szCs w:val="24"/>
        </w:rPr>
        <w:t>法定代表人或授权代表（签字或盖章）：</w:t>
      </w:r>
    </w:p>
    <w:p w14:paraId="5AC167F4">
      <w:pPr>
        <w:adjustRightInd w:val="0"/>
        <w:snapToGrid/>
        <w:spacing w:line="400" w:lineRule="exact"/>
        <w:ind w:firstLine="480" w:firstLineChars="200"/>
        <w:jc w:val="left"/>
        <w:rPr>
          <w:rFonts w:cs="宋体"/>
          <w:sz w:val="24"/>
          <w:szCs w:val="24"/>
        </w:rPr>
      </w:pPr>
      <w:r>
        <w:rPr>
          <w:rFonts w:hint="eastAsia" w:ascii="宋体"/>
          <w:sz w:val="24"/>
          <w:szCs w:val="24"/>
        </w:rPr>
        <w:t>日期：</w:t>
      </w:r>
      <w:r>
        <w:rPr>
          <w:rFonts w:hint="eastAsia"/>
          <w:sz w:val="24"/>
          <w:szCs w:val="24"/>
        </w:rPr>
        <w:t xml:space="preserve">      </w:t>
      </w:r>
      <w:r>
        <w:rPr>
          <w:rFonts w:hint="eastAsia" w:ascii="宋体"/>
          <w:sz w:val="24"/>
          <w:szCs w:val="24"/>
        </w:rPr>
        <w:t>年</w:t>
      </w:r>
      <w:r>
        <w:rPr>
          <w:rFonts w:hint="eastAsia"/>
          <w:sz w:val="24"/>
          <w:szCs w:val="24"/>
        </w:rPr>
        <w:t xml:space="preserve">    </w:t>
      </w:r>
      <w:r>
        <w:rPr>
          <w:rFonts w:hint="eastAsia" w:ascii="宋体"/>
          <w:sz w:val="24"/>
          <w:szCs w:val="24"/>
        </w:rPr>
        <w:t>月</w:t>
      </w:r>
      <w:r>
        <w:rPr>
          <w:rFonts w:hint="eastAsia"/>
          <w:sz w:val="24"/>
          <w:szCs w:val="24"/>
        </w:rPr>
        <w:t xml:space="preserve">    </w:t>
      </w:r>
      <w:r>
        <w:rPr>
          <w:rFonts w:hint="eastAsia" w:ascii="宋体"/>
          <w:sz w:val="24"/>
          <w:szCs w:val="24"/>
        </w:rPr>
        <w:t>日</w:t>
      </w:r>
      <w:r>
        <w:rPr>
          <w:rFonts w:hint="eastAsia"/>
          <w:sz w:val="24"/>
          <w:szCs w:val="24"/>
        </w:rPr>
        <w:t xml:space="preserve">       </w:t>
      </w:r>
    </w:p>
    <w:p w14:paraId="33ED9316">
      <w:pPr>
        <w:pStyle w:val="34"/>
        <w:spacing w:line="400" w:lineRule="exact"/>
        <w:ind w:firstLine="551"/>
        <w:rPr>
          <w:rFonts w:cs="宋体"/>
          <w:sz w:val="24"/>
          <w:szCs w:val="24"/>
        </w:rPr>
      </w:pPr>
      <w:r>
        <w:rPr>
          <w:rFonts w:hint="eastAsia" w:ascii="宋体"/>
          <w:sz w:val="24"/>
          <w:szCs w:val="24"/>
        </w:rPr>
        <w:t>说明：</w:t>
      </w:r>
      <w:r>
        <w:rPr>
          <w:sz w:val="24"/>
          <w:szCs w:val="24"/>
        </w:rPr>
        <w:t>1</w:t>
      </w:r>
      <w:r>
        <w:rPr>
          <w:rFonts w:hint="eastAsia" w:ascii="宋体"/>
          <w:sz w:val="24"/>
          <w:szCs w:val="24"/>
        </w:rPr>
        <w:t>、供应商可不在响应文件中填写并提供此表。此表为磋商结束后，磋商小组应当要求所有实质性响应的供应商在规定时间内提交最后报价。两轮（若有）以上报价的，供应商在未提高响应文件中承诺的产品质量的情况下，其最后报价不得高于对该项目之前的报价，否则，磋商小组应当对其响应文件按无效处理，不允许进入综合评分，并书面告知供应商，说明理由。由供应商填写“最后报价”（表格由磋商小组提供），</w:t>
      </w:r>
      <w:r>
        <w:rPr>
          <w:rFonts w:hint="eastAsia" w:ascii="宋体"/>
          <w:b/>
          <w:bCs/>
          <w:sz w:val="24"/>
          <w:szCs w:val="24"/>
        </w:rPr>
        <w:t>经供应商法定代表人或代理人签字后密封递交给采购人员</w:t>
      </w:r>
      <w:r>
        <w:rPr>
          <w:rFonts w:hint="eastAsia" w:ascii="宋体"/>
          <w:sz w:val="24"/>
          <w:szCs w:val="24"/>
        </w:rPr>
        <w:t>，由其收集齐后集中递交磋商小组。供应商在响应文件中提交此表的，不影响其响应文件的有效性，其最后报价以磋商结束后提交的“最后报价”为准。</w:t>
      </w:r>
    </w:p>
    <w:p w14:paraId="1FDDB6EB">
      <w:pPr>
        <w:spacing w:line="400" w:lineRule="exact"/>
        <w:ind w:firstLine="480" w:firstLineChars="200"/>
        <w:rPr>
          <w:rFonts w:cs="宋体"/>
          <w:sz w:val="24"/>
          <w:szCs w:val="24"/>
        </w:rPr>
      </w:pPr>
      <w:r>
        <w:rPr>
          <w:sz w:val="24"/>
          <w:szCs w:val="24"/>
        </w:rPr>
        <w:t>2</w:t>
      </w:r>
      <w:r>
        <w:rPr>
          <w:rFonts w:hint="eastAsia" w:ascii="宋体"/>
          <w:sz w:val="24"/>
          <w:szCs w:val="24"/>
        </w:rPr>
        <w:t>、竞磋人的最后报价是响应磋商项目要求的全部工作内容的价格体现，包括完成本项目所需的一切费用。竞标人应充分考虑本项目的风险，风险费用已含在竞标报价中，采购人不承担由于任何风险引起的费用，整个项目费用为包干费用，采购人不再另行承担任何费用。</w:t>
      </w:r>
    </w:p>
    <w:p w14:paraId="157ABE6F">
      <w:pPr>
        <w:spacing w:line="400" w:lineRule="exact"/>
        <w:ind w:firstLine="480" w:firstLineChars="200"/>
        <w:rPr>
          <w:rFonts w:ascii="宋体"/>
          <w:sz w:val="24"/>
          <w:szCs w:val="24"/>
        </w:rPr>
      </w:pPr>
      <w:r>
        <w:rPr>
          <w:sz w:val="24"/>
          <w:szCs w:val="24"/>
        </w:rPr>
        <w:t>3</w:t>
      </w:r>
      <w:r>
        <w:rPr>
          <w:rFonts w:hint="eastAsia" w:ascii="宋体"/>
          <w:sz w:val="24"/>
          <w:szCs w:val="24"/>
        </w:rPr>
        <w:t>、最后报价是供应商响应文件的有效组成部分。</w:t>
      </w:r>
    </w:p>
    <w:p w14:paraId="589F6FE7">
      <w:pPr>
        <w:spacing w:line="400" w:lineRule="exact"/>
        <w:ind w:firstLine="480" w:firstLineChars="200"/>
        <w:rPr>
          <w:rFonts w:cs="宋体"/>
          <w:sz w:val="24"/>
          <w:szCs w:val="24"/>
        </w:rPr>
      </w:pPr>
      <w:r>
        <w:rPr>
          <w:rFonts w:ascii="宋体"/>
          <w:sz w:val="24"/>
          <w:szCs w:val="24"/>
        </w:rPr>
        <w:br w:type="page"/>
      </w:r>
    </w:p>
    <w:p w14:paraId="62261ABC">
      <w:pPr>
        <w:pStyle w:val="2"/>
        <w:keepNext/>
        <w:keepLines w:val="0"/>
        <w:pageBreakBefore w:val="0"/>
        <w:widowControl w:val="0"/>
        <w:suppressLineNumbers w:val="0"/>
        <w:suppressAutoHyphens w:val="0"/>
        <w:spacing w:before="0" w:after="0" w:line="240" w:lineRule="atLeast"/>
        <w:jc w:val="center"/>
        <w:rPr>
          <w:kern w:val="2"/>
          <w:sz w:val="24"/>
          <w:szCs w:val="24"/>
        </w:rPr>
      </w:pPr>
      <w:bookmarkStart w:id="20" w:name="_Toc227836522"/>
      <w:r>
        <w:rPr>
          <w:rFonts w:hint="eastAsia" w:ascii="宋体"/>
          <w:sz w:val="28"/>
          <w:szCs w:val="28"/>
        </w:rPr>
        <w:t>第六章</w:t>
      </w:r>
      <w:r>
        <w:rPr>
          <w:rFonts w:hint="eastAsia"/>
          <w:sz w:val="28"/>
          <w:szCs w:val="28"/>
        </w:rPr>
        <w:t xml:space="preserve">  </w:t>
      </w:r>
      <w:r>
        <w:rPr>
          <w:rFonts w:hint="eastAsia" w:ascii="宋体"/>
          <w:sz w:val="28"/>
          <w:szCs w:val="28"/>
        </w:rPr>
        <w:t>评审方法</w:t>
      </w:r>
      <w:bookmarkEnd w:id="20"/>
    </w:p>
    <w:p w14:paraId="112E8827">
      <w:pPr>
        <w:pStyle w:val="3"/>
        <w:keepNext/>
        <w:keepLines w:val="0"/>
        <w:pageBreakBefore w:val="0"/>
        <w:widowControl w:val="0"/>
        <w:suppressLineNumbers w:val="0"/>
        <w:suppressAutoHyphens w:val="0"/>
        <w:spacing w:before="0" w:after="0" w:line="400" w:lineRule="exact"/>
        <w:ind w:firstLine="472" w:firstLineChars="196"/>
        <w:rPr>
          <w:rFonts w:ascii="Times New Roman" w:hAnsi="Times New Roman" w:eastAsia="宋体"/>
          <w:sz w:val="24"/>
          <w:szCs w:val="24"/>
        </w:rPr>
      </w:pPr>
      <w:bookmarkStart w:id="21" w:name="_Toc227836523"/>
      <w:r>
        <w:rPr>
          <w:rFonts w:hint="eastAsia" w:ascii="Times New Roman" w:hAnsi="Times New Roman" w:eastAsia="宋体"/>
          <w:sz w:val="24"/>
          <w:szCs w:val="24"/>
        </w:rPr>
        <w:t>一、</w:t>
      </w:r>
      <w:r>
        <w:rPr>
          <w:rFonts w:hint="eastAsia" w:ascii="宋体" w:eastAsia="宋体"/>
          <w:sz w:val="24"/>
          <w:szCs w:val="24"/>
        </w:rPr>
        <w:t>总则</w:t>
      </w:r>
      <w:bookmarkEnd w:id="21"/>
    </w:p>
    <w:p w14:paraId="2EC90E53">
      <w:pPr>
        <w:spacing w:line="400" w:lineRule="exact"/>
        <w:ind w:firstLine="480" w:firstLineChars="200"/>
        <w:outlineLvl w:val="2"/>
        <w:rPr>
          <w:sz w:val="24"/>
          <w:szCs w:val="24"/>
        </w:rPr>
      </w:pPr>
      <w:r>
        <w:rPr>
          <w:rFonts w:hint="eastAsia"/>
          <w:sz w:val="24"/>
          <w:szCs w:val="24"/>
        </w:rPr>
        <w:t>1</w:t>
      </w:r>
      <w:r>
        <w:rPr>
          <w:sz w:val="24"/>
          <w:szCs w:val="24"/>
        </w:rPr>
        <w:t xml:space="preserve"> </w:t>
      </w:r>
      <w:r>
        <w:rPr>
          <w:rFonts w:hint="eastAsia"/>
          <w:sz w:val="24"/>
          <w:szCs w:val="24"/>
        </w:rPr>
        <w:t>根据《中华人民共和国政府采购法》、《中华人民共和国政府采购法实施条例》、《政府采购竞争性磋商采购方式管理暂行办法》等法律制度，结合本采购项目特点制定本磋商方法。</w:t>
      </w:r>
    </w:p>
    <w:p w14:paraId="0615C2DA">
      <w:pPr>
        <w:spacing w:line="400" w:lineRule="exact"/>
        <w:ind w:firstLine="480" w:firstLineChars="200"/>
        <w:outlineLvl w:val="2"/>
        <w:rPr>
          <w:sz w:val="24"/>
          <w:szCs w:val="24"/>
        </w:rPr>
      </w:pPr>
      <w:r>
        <w:rPr>
          <w:rFonts w:hint="eastAsia"/>
          <w:sz w:val="24"/>
          <w:szCs w:val="24"/>
        </w:rPr>
        <w:t>2</w:t>
      </w:r>
      <w:r>
        <w:rPr>
          <w:sz w:val="24"/>
          <w:szCs w:val="24"/>
        </w:rPr>
        <w:t xml:space="preserve"> </w:t>
      </w:r>
      <w:r>
        <w:rPr>
          <w:rFonts w:hint="eastAsia"/>
          <w:sz w:val="24"/>
          <w:szCs w:val="24"/>
        </w:rPr>
        <w:t>磋商工作由采购人负责组织，具体磋商由采购人依法组建的磋商小组负责。</w:t>
      </w:r>
    </w:p>
    <w:p w14:paraId="09E31E4D">
      <w:pPr>
        <w:spacing w:line="400" w:lineRule="exact"/>
        <w:ind w:firstLine="480" w:firstLineChars="200"/>
        <w:outlineLvl w:val="2"/>
        <w:rPr>
          <w:sz w:val="24"/>
          <w:szCs w:val="24"/>
        </w:rPr>
      </w:pPr>
      <w:r>
        <w:rPr>
          <w:rFonts w:hint="eastAsia"/>
          <w:sz w:val="24"/>
          <w:szCs w:val="24"/>
        </w:rPr>
        <w:t>3</w:t>
      </w:r>
      <w:r>
        <w:rPr>
          <w:sz w:val="24"/>
          <w:szCs w:val="24"/>
        </w:rPr>
        <w:t xml:space="preserve"> </w:t>
      </w:r>
      <w:r>
        <w:rPr>
          <w:rFonts w:hint="eastAsia"/>
          <w:sz w:val="24"/>
          <w:szCs w:val="24"/>
        </w:rPr>
        <w:t>磋商工作应遵循公平、公正、科学及择优的原则，并以相同的磋商程序和标准对待所有的供应商。</w:t>
      </w:r>
    </w:p>
    <w:p w14:paraId="3410EB64">
      <w:pPr>
        <w:spacing w:line="400" w:lineRule="exact"/>
        <w:ind w:firstLine="480" w:firstLineChars="200"/>
        <w:outlineLvl w:val="2"/>
        <w:rPr>
          <w:sz w:val="24"/>
          <w:szCs w:val="24"/>
        </w:rPr>
      </w:pPr>
      <w:r>
        <w:rPr>
          <w:rFonts w:hint="eastAsia"/>
          <w:sz w:val="24"/>
          <w:szCs w:val="24"/>
        </w:rPr>
        <w:t>4</w:t>
      </w:r>
      <w:r>
        <w:rPr>
          <w:sz w:val="24"/>
          <w:szCs w:val="24"/>
        </w:rPr>
        <w:t xml:space="preserve"> </w:t>
      </w:r>
      <w:r>
        <w:rPr>
          <w:rFonts w:hint="eastAsia"/>
          <w:sz w:val="24"/>
          <w:szCs w:val="24"/>
        </w:rPr>
        <w:t>磋商小组按照磋商文件规定的磋商程序、评分方法和标准进行评审，并独立履行下列职责：</w:t>
      </w:r>
    </w:p>
    <w:p w14:paraId="69A9CAD9">
      <w:pPr>
        <w:spacing w:line="400" w:lineRule="exact"/>
        <w:ind w:firstLine="480" w:firstLineChars="200"/>
        <w:rPr>
          <w:sz w:val="24"/>
          <w:szCs w:val="24"/>
        </w:rPr>
      </w:pPr>
      <w:r>
        <w:rPr>
          <w:rFonts w:hint="eastAsia"/>
          <w:sz w:val="24"/>
          <w:szCs w:val="24"/>
        </w:rPr>
        <w:t>（一）熟悉和理解磋商文件，确定磋商文件内容是否违反国家有关强制性规定或者磋商文件存在歧义、重大缺陷，根据需要书面要求采购人对磋商文件作出解释；</w:t>
      </w:r>
    </w:p>
    <w:p w14:paraId="225E6651">
      <w:pPr>
        <w:spacing w:line="400" w:lineRule="exact"/>
        <w:ind w:firstLine="480" w:firstLineChars="200"/>
        <w:rPr>
          <w:sz w:val="24"/>
          <w:szCs w:val="24"/>
        </w:rPr>
      </w:pPr>
      <w:r>
        <w:rPr>
          <w:rFonts w:hint="eastAsia"/>
          <w:sz w:val="24"/>
          <w:szCs w:val="24"/>
        </w:rPr>
        <w:t>（二）审查供应商响应文件是否满足磋商文件要求，并作出公正评价；</w:t>
      </w:r>
    </w:p>
    <w:p w14:paraId="24AC5866">
      <w:pPr>
        <w:spacing w:line="400" w:lineRule="exact"/>
        <w:ind w:firstLine="480" w:firstLineChars="200"/>
        <w:rPr>
          <w:sz w:val="24"/>
          <w:szCs w:val="24"/>
        </w:rPr>
      </w:pPr>
      <w:r>
        <w:rPr>
          <w:rFonts w:hint="eastAsia"/>
          <w:sz w:val="24"/>
          <w:szCs w:val="24"/>
        </w:rPr>
        <w:t>（三）根据需要要求供应商对响应文件中含义不明确、同类问题表述不一致或者有明显文字和计算错误的内容等作出必要的澄清、说明或者更正；</w:t>
      </w:r>
    </w:p>
    <w:p w14:paraId="099230F8">
      <w:pPr>
        <w:spacing w:line="400" w:lineRule="exact"/>
        <w:ind w:firstLine="480" w:firstLineChars="200"/>
        <w:rPr>
          <w:sz w:val="24"/>
          <w:szCs w:val="24"/>
        </w:rPr>
      </w:pPr>
      <w:r>
        <w:rPr>
          <w:rFonts w:hint="eastAsia"/>
          <w:sz w:val="24"/>
          <w:szCs w:val="24"/>
        </w:rPr>
        <w:t>（四）推荐成交供应商，或者受采购人委托确定成交供应商；</w:t>
      </w:r>
    </w:p>
    <w:p w14:paraId="0568FF59">
      <w:pPr>
        <w:spacing w:line="400" w:lineRule="exact"/>
        <w:ind w:firstLine="480" w:firstLineChars="200"/>
        <w:rPr>
          <w:sz w:val="24"/>
          <w:szCs w:val="24"/>
        </w:rPr>
      </w:pPr>
      <w:r>
        <w:rPr>
          <w:rFonts w:hint="eastAsia"/>
          <w:sz w:val="24"/>
          <w:szCs w:val="24"/>
        </w:rPr>
        <w:t>（五）法律、法规和规章规定的其他职责。</w:t>
      </w:r>
    </w:p>
    <w:p w14:paraId="1092BA73">
      <w:pPr>
        <w:spacing w:line="400" w:lineRule="exact"/>
        <w:ind w:firstLine="480" w:firstLineChars="200"/>
        <w:outlineLvl w:val="2"/>
        <w:rPr>
          <w:sz w:val="24"/>
          <w:szCs w:val="24"/>
        </w:rPr>
      </w:pPr>
      <w:r>
        <w:rPr>
          <w:rFonts w:hint="eastAsia"/>
          <w:sz w:val="24"/>
          <w:szCs w:val="24"/>
        </w:rPr>
        <w:t>5</w:t>
      </w:r>
      <w:r>
        <w:rPr>
          <w:sz w:val="24"/>
          <w:szCs w:val="24"/>
        </w:rPr>
        <w:t xml:space="preserve"> </w:t>
      </w:r>
      <w:r>
        <w:rPr>
          <w:rFonts w:hint="eastAsia"/>
          <w:sz w:val="24"/>
          <w:szCs w:val="24"/>
        </w:rPr>
        <w:t>（实质性要求）磋商过程独立、保密。供应商非法干预磋商过程的，其响应文件作无效处理。</w:t>
      </w:r>
    </w:p>
    <w:p w14:paraId="54AA4631">
      <w:pPr>
        <w:pStyle w:val="3"/>
        <w:keepNext/>
        <w:keepLines w:val="0"/>
        <w:pageBreakBefore w:val="0"/>
        <w:widowControl w:val="0"/>
        <w:suppressLineNumbers w:val="0"/>
        <w:suppressAutoHyphens w:val="0"/>
        <w:spacing w:before="0" w:after="0" w:line="400" w:lineRule="exact"/>
        <w:ind w:firstLine="472" w:firstLineChars="196"/>
        <w:rPr>
          <w:rFonts w:ascii="Times New Roman" w:hAnsi="Times New Roman" w:eastAsia="宋体"/>
          <w:sz w:val="24"/>
          <w:szCs w:val="24"/>
        </w:rPr>
      </w:pPr>
      <w:bookmarkStart w:id="22" w:name="_Toc227836524"/>
      <w:r>
        <w:rPr>
          <w:rFonts w:hint="eastAsia" w:ascii="Times New Roman" w:hAnsi="Times New Roman" w:eastAsia="宋体"/>
          <w:sz w:val="24"/>
          <w:szCs w:val="24"/>
        </w:rPr>
        <w:t>二、</w:t>
      </w:r>
      <w:r>
        <w:rPr>
          <w:rFonts w:hint="eastAsia" w:ascii="宋体" w:eastAsia="宋体"/>
          <w:sz w:val="24"/>
          <w:szCs w:val="24"/>
        </w:rPr>
        <w:t>磋商程序</w:t>
      </w:r>
      <w:bookmarkEnd w:id="22"/>
    </w:p>
    <w:p w14:paraId="3FC0FFD0">
      <w:pPr>
        <w:spacing w:line="400" w:lineRule="exact"/>
        <w:ind w:firstLine="480" w:firstLineChars="200"/>
        <w:outlineLvl w:val="2"/>
        <w:rPr>
          <w:sz w:val="24"/>
          <w:szCs w:val="24"/>
        </w:rPr>
      </w:pPr>
      <w:r>
        <w:rPr>
          <w:rFonts w:hint="eastAsia"/>
          <w:sz w:val="24"/>
          <w:szCs w:val="24"/>
        </w:rPr>
        <w:t>1审查磋商文件和停止评审。</w:t>
      </w:r>
    </w:p>
    <w:p w14:paraId="261BD455">
      <w:pPr>
        <w:spacing w:line="400" w:lineRule="exact"/>
        <w:ind w:firstLine="480" w:firstLineChars="200"/>
        <w:rPr>
          <w:sz w:val="24"/>
          <w:szCs w:val="24"/>
        </w:rPr>
      </w:pPr>
      <w:r>
        <w:rPr>
          <w:rFonts w:hint="eastAsia"/>
          <w:sz w:val="24"/>
          <w:szCs w:val="24"/>
        </w:rPr>
        <w:t>1.1</w:t>
      </w:r>
      <w:r>
        <w:rPr>
          <w:sz w:val="24"/>
          <w:szCs w:val="24"/>
        </w:rPr>
        <w:t xml:space="preserve"> </w:t>
      </w:r>
      <w:r>
        <w:rPr>
          <w:rFonts w:hint="eastAsia"/>
          <w:sz w:val="24"/>
          <w:szCs w:val="24"/>
        </w:rPr>
        <w:t>磋商小组正式评审前，应当对磋商文件进行熟悉和理解，内容主要包括磋商文件中供应商资格条件要求、采购项目技术、服务和商务要求、磋商办法和标准、政府采购政策要求以及政府采购合同主要条款等。</w:t>
      </w:r>
    </w:p>
    <w:p w14:paraId="705FFAD4">
      <w:pPr>
        <w:spacing w:line="400" w:lineRule="exact"/>
        <w:ind w:firstLine="480" w:firstLineChars="200"/>
        <w:rPr>
          <w:sz w:val="24"/>
          <w:szCs w:val="24"/>
        </w:rPr>
      </w:pPr>
      <w:r>
        <w:rPr>
          <w:rFonts w:hint="eastAsia"/>
          <w:sz w:val="24"/>
          <w:szCs w:val="24"/>
        </w:rPr>
        <w:t>1.2</w:t>
      </w:r>
      <w:r>
        <w:rPr>
          <w:sz w:val="24"/>
          <w:szCs w:val="24"/>
        </w:rPr>
        <w:t xml:space="preserve"> </w:t>
      </w:r>
      <w:r>
        <w:rPr>
          <w:rFonts w:hint="eastAsia"/>
          <w:sz w:val="24"/>
          <w:szCs w:val="24"/>
        </w:rPr>
        <w:t>本磋商文件有下列情形之一的，磋商小组应当停止评审：</w:t>
      </w:r>
    </w:p>
    <w:p w14:paraId="42D2D967">
      <w:pPr>
        <w:spacing w:line="400" w:lineRule="exact"/>
        <w:ind w:firstLine="480" w:firstLineChars="200"/>
        <w:rPr>
          <w:sz w:val="24"/>
          <w:szCs w:val="24"/>
        </w:rPr>
      </w:pPr>
      <w:r>
        <w:rPr>
          <w:rFonts w:hint="eastAsia"/>
          <w:sz w:val="24"/>
          <w:szCs w:val="24"/>
        </w:rPr>
        <w:t>（</w:t>
      </w:r>
      <w:r>
        <w:rPr>
          <w:sz w:val="24"/>
          <w:szCs w:val="24"/>
        </w:rPr>
        <w:t>1</w:t>
      </w:r>
      <w:r>
        <w:rPr>
          <w:rFonts w:hint="eastAsia"/>
          <w:sz w:val="24"/>
          <w:szCs w:val="24"/>
        </w:rPr>
        <w:t>）磋商文件的规定存在歧义、重大缺陷的；</w:t>
      </w:r>
    </w:p>
    <w:p w14:paraId="04AFE233">
      <w:pPr>
        <w:spacing w:line="400" w:lineRule="exact"/>
        <w:ind w:firstLine="480" w:firstLineChars="200"/>
        <w:rPr>
          <w:sz w:val="24"/>
          <w:szCs w:val="24"/>
        </w:rPr>
      </w:pPr>
      <w:r>
        <w:rPr>
          <w:rFonts w:hint="eastAsia"/>
          <w:sz w:val="24"/>
          <w:szCs w:val="24"/>
        </w:rPr>
        <w:t>（</w:t>
      </w:r>
      <w:r>
        <w:rPr>
          <w:sz w:val="24"/>
          <w:szCs w:val="24"/>
        </w:rPr>
        <w:t>2</w:t>
      </w:r>
      <w:r>
        <w:rPr>
          <w:rFonts w:hint="eastAsia"/>
          <w:sz w:val="24"/>
          <w:szCs w:val="24"/>
        </w:rPr>
        <w:t>）磋商文件明显以不合理条件对供应商实行差别待遇或者歧视待遇的；</w:t>
      </w:r>
    </w:p>
    <w:p w14:paraId="429CFB04">
      <w:pPr>
        <w:spacing w:line="400" w:lineRule="exact"/>
        <w:ind w:firstLine="480" w:firstLineChars="200"/>
        <w:rPr>
          <w:sz w:val="24"/>
          <w:szCs w:val="24"/>
        </w:rPr>
      </w:pPr>
      <w:r>
        <w:rPr>
          <w:rFonts w:hint="eastAsia"/>
          <w:sz w:val="24"/>
          <w:szCs w:val="24"/>
        </w:rPr>
        <w:t>（</w:t>
      </w:r>
      <w:r>
        <w:rPr>
          <w:sz w:val="24"/>
          <w:szCs w:val="24"/>
        </w:rPr>
        <w:t>3</w:t>
      </w:r>
      <w:r>
        <w:rPr>
          <w:rFonts w:hint="eastAsia"/>
          <w:sz w:val="24"/>
          <w:szCs w:val="24"/>
        </w:rPr>
        <w:t>）采购项目属于国家规定的优先、强制采购范围，但是磋商文件未依法体现优先、强制采购相关规定的；</w:t>
      </w:r>
    </w:p>
    <w:p w14:paraId="7F731C32">
      <w:pPr>
        <w:spacing w:line="400" w:lineRule="exact"/>
        <w:ind w:firstLine="480" w:firstLineChars="200"/>
        <w:rPr>
          <w:sz w:val="24"/>
          <w:szCs w:val="24"/>
        </w:rPr>
      </w:pPr>
      <w:r>
        <w:rPr>
          <w:rFonts w:hint="eastAsia"/>
          <w:sz w:val="24"/>
          <w:szCs w:val="24"/>
        </w:rPr>
        <w:t>（</w:t>
      </w:r>
      <w:r>
        <w:rPr>
          <w:sz w:val="24"/>
          <w:szCs w:val="24"/>
        </w:rPr>
        <w:t>4</w:t>
      </w:r>
      <w:r>
        <w:rPr>
          <w:rFonts w:hint="eastAsia"/>
          <w:sz w:val="24"/>
          <w:szCs w:val="24"/>
        </w:rPr>
        <w:t>）采购项目属于政府采购促进中小企业发展的范围，但是磋商文件未依法体现促进中小企业发展相关规定的；</w:t>
      </w:r>
    </w:p>
    <w:p w14:paraId="4F099447">
      <w:pPr>
        <w:spacing w:line="400" w:lineRule="exact"/>
        <w:ind w:firstLine="480" w:firstLineChars="200"/>
        <w:rPr>
          <w:sz w:val="24"/>
          <w:szCs w:val="24"/>
        </w:rPr>
      </w:pPr>
      <w:r>
        <w:rPr>
          <w:rFonts w:hint="eastAsia"/>
          <w:sz w:val="24"/>
          <w:szCs w:val="24"/>
        </w:rPr>
        <w:t>（</w:t>
      </w:r>
      <w:r>
        <w:rPr>
          <w:sz w:val="24"/>
          <w:szCs w:val="24"/>
        </w:rPr>
        <w:t>5</w:t>
      </w:r>
      <w:r>
        <w:rPr>
          <w:rFonts w:hint="eastAsia"/>
          <w:sz w:val="24"/>
          <w:szCs w:val="24"/>
        </w:rPr>
        <w:t>）磋商文件将供应商的资格条件列为评分因素的；</w:t>
      </w:r>
    </w:p>
    <w:p w14:paraId="5DC7E714">
      <w:pPr>
        <w:spacing w:line="400" w:lineRule="exact"/>
        <w:ind w:firstLine="480" w:firstLineChars="200"/>
        <w:rPr>
          <w:sz w:val="24"/>
          <w:szCs w:val="24"/>
        </w:rPr>
      </w:pPr>
      <w:r>
        <w:rPr>
          <w:rFonts w:hint="eastAsia"/>
          <w:sz w:val="24"/>
          <w:szCs w:val="24"/>
        </w:rPr>
        <w:t>（</w:t>
      </w:r>
      <w:r>
        <w:rPr>
          <w:sz w:val="24"/>
          <w:szCs w:val="24"/>
        </w:rPr>
        <w:t>6</w:t>
      </w:r>
      <w:r>
        <w:rPr>
          <w:rFonts w:hint="eastAsia"/>
          <w:sz w:val="24"/>
          <w:szCs w:val="24"/>
        </w:rPr>
        <w:t>）磋商文件载明的成交原则不合法的；</w:t>
      </w:r>
    </w:p>
    <w:p w14:paraId="0FE0B973">
      <w:pPr>
        <w:spacing w:line="400" w:lineRule="exact"/>
        <w:ind w:firstLine="480" w:firstLineChars="200"/>
        <w:rPr>
          <w:sz w:val="24"/>
          <w:szCs w:val="24"/>
        </w:rPr>
      </w:pPr>
      <w:r>
        <w:rPr>
          <w:rFonts w:hint="eastAsia"/>
          <w:sz w:val="24"/>
          <w:szCs w:val="24"/>
        </w:rPr>
        <w:t>（</w:t>
      </w:r>
      <w:r>
        <w:rPr>
          <w:sz w:val="24"/>
          <w:szCs w:val="24"/>
        </w:rPr>
        <w:t>7</w:t>
      </w:r>
      <w:r>
        <w:rPr>
          <w:rFonts w:hint="eastAsia"/>
          <w:sz w:val="24"/>
          <w:szCs w:val="24"/>
        </w:rPr>
        <w:t>）磋商文件有违反国家其他有关强制性规定的情形。</w:t>
      </w:r>
    </w:p>
    <w:p w14:paraId="44911459">
      <w:pPr>
        <w:spacing w:line="400" w:lineRule="exact"/>
        <w:ind w:firstLine="480" w:firstLineChars="200"/>
        <w:rPr>
          <w:sz w:val="24"/>
          <w:szCs w:val="24"/>
        </w:rPr>
      </w:pPr>
      <w:r>
        <w:rPr>
          <w:rFonts w:hint="eastAsia"/>
          <w:sz w:val="24"/>
          <w:szCs w:val="24"/>
        </w:rPr>
        <w:t>1.3</w:t>
      </w:r>
      <w:r>
        <w:rPr>
          <w:sz w:val="24"/>
          <w:szCs w:val="24"/>
        </w:rPr>
        <w:t xml:space="preserve"> </w:t>
      </w:r>
      <w:r>
        <w:rPr>
          <w:rFonts w:hint="eastAsia"/>
          <w:sz w:val="24"/>
          <w:szCs w:val="24"/>
        </w:rPr>
        <w:t>出现本条</w:t>
      </w:r>
      <w:r>
        <w:rPr>
          <w:sz w:val="24"/>
          <w:szCs w:val="24"/>
        </w:rPr>
        <w:t>2.1.2</w:t>
      </w:r>
      <w:r>
        <w:rPr>
          <w:rFonts w:hint="eastAsia"/>
          <w:sz w:val="24"/>
          <w:szCs w:val="24"/>
        </w:rPr>
        <w:t>规定应当停止评审情形的，磋商小组应当向采购人书面说明情况。除本条规定的情形外，磋商小组不得以任何方式和理由停止评审。</w:t>
      </w:r>
    </w:p>
    <w:p w14:paraId="7566873D">
      <w:pPr>
        <w:spacing w:line="400" w:lineRule="exact"/>
        <w:ind w:firstLine="480" w:firstLineChars="200"/>
        <w:outlineLvl w:val="2"/>
        <w:rPr>
          <w:sz w:val="24"/>
          <w:szCs w:val="24"/>
        </w:rPr>
      </w:pPr>
      <w:r>
        <w:rPr>
          <w:rFonts w:hint="eastAsia"/>
          <w:sz w:val="24"/>
          <w:szCs w:val="24"/>
        </w:rPr>
        <w:t>2资格性审查。</w:t>
      </w:r>
    </w:p>
    <w:p w14:paraId="636543C1">
      <w:pPr>
        <w:spacing w:line="400" w:lineRule="exact"/>
        <w:ind w:firstLine="480" w:firstLineChars="200"/>
        <w:rPr>
          <w:b/>
          <w:bCs/>
          <w:sz w:val="24"/>
          <w:szCs w:val="24"/>
        </w:rPr>
      </w:pPr>
      <w:r>
        <w:rPr>
          <w:rFonts w:hint="eastAsia"/>
          <w:sz w:val="24"/>
          <w:szCs w:val="24"/>
        </w:rPr>
        <w:t>2.1</w:t>
      </w:r>
      <w:r>
        <w:rPr>
          <w:rFonts w:hint="eastAsia"/>
          <w:b/>
          <w:bCs/>
          <w:sz w:val="24"/>
          <w:szCs w:val="24"/>
        </w:rPr>
        <w:t>本项目需要磋商小组进行资格性检查。</w:t>
      </w:r>
    </w:p>
    <w:p w14:paraId="32CBC0D0">
      <w:pPr>
        <w:spacing w:line="400" w:lineRule="exact"/>
        <w:ind w:firstLine="480" w:firstLineChars="200"/>
        <w:rPr>
          <w:sz w:val="24"/>
          <w:szCs w:val="24"/>
        </w:rPr>
      </w:pPr>
      <w:r>
        <w:rPr>
          <w:rFonts w:hint="eastAsia"/>
          <w:sz w:val="24"/>
          <w:szCs w:val="24"/>
        </w:rPr>
        <w:t>磋商小组应依据法律法规和磋商文件的规定，对响应文件是否按照规定要求提供资格性证明材料、是否属于禁止参加磋商的供应商等进行审查，以确定供应商是否具备磋商资格。</w:t>
      </w:r>
    </w:p>
    <w:p w14:paraId="499F3B00">
      <w:pPr>
        <w:spacing w:line="400" w:lineRule="exact"/>
        <w:ind w:firstLine="480" w:firstLineChars="200"/>
        <w:rPr>
          <w:sz w:val="24"/>
          <w:szCs w:val="24"/>
        </w:rPr>
      </w:pPr>
      <w:r>
        <w:rPr>
          <w:rFonts w:hint="eastAsia"/>
          <w:sz w:val="24"/>
          <w:szCs w:val="24"/>
        </w:rPr>
        <w:t>2.2资格性审查结束后，磋商小组应当出具资格性审查报告，没有通过资格审查的供应商，磋商小组应当在资格审查报告中说明原因。</w:t>
      </w:r>
    </w:p>
    <w:p w14:paraId="07373179">
      <w:pPr>
        <w:spacing w:line="400" w:lineRule="exact"/>
        <w:ind w:firstLine="480" w:firstLineChars="200"/>
        <w:rPr>
          <w:sz w:val="24"/>
          <w:szCs w:val="24"/>
        </w:rPr>
      </w:pPr>
      <w:r>
        <w:rPr>
          <w:sz w:val="24"/>
          <w:szCs w:val="24"/>
        </w:rPr>
        <w:t>2.3</w:t>
      </w:r>
      <w:r>
        <w:rPr>
          <w:rFonts w:hint="eastAsia"/>
          <w:sz w:val="24"/>
          <w:szCs w:val="24"/>
        </w:rPr>
        <w:t>磋商小组应依据磋商文件规定的实质性要求，对符合资格的响应文件进行有效性、完整性和响应程度审查，以确定参加磋商的供应商名单。</w:t>
      </w:r>
    </w:p>
    <w:p w14:paraId="14296B89">
      <w:pPr>
        <w:spacing w:line="400" w:lineRule="exact"/>
        <w:ind w:firstLine="480" w:firstLineChars="200"/>
        <w:rPr>
          <w:sz w:val="24"/>
          <w:szCs w:val="24"/>
        </w:rPr>
      </w:pPr>
      <w:r>
        <w:rPr>
          <w:sz w:val="24"/>
          <w:szCs w:val="24"/>
        </w:rPr>
        <w:t>2.4</w:t>
      </w:r>
      <w:r>
        <w:rPr>
          <w:rFonts w:hint="eastAsia"/>
          <w:sz w:val="24"/>
          <w:szCs w:val="24"/>
        </w:rPr>
        <w:t>采购人宣布未通过资格性审查的供应商名单时，应当告知供应商未通过审查的原因。</w:t>
      </w:r>
    </w:p>
    <w:p w14:paraId="2A8E0E4A">
      <w:pPr>
        <w:spacing w:line="400" w:lineRule="exact"/>
        <w:ind w:firstLine="480" w:firstLineChars="200"/>
        <w:outlineLvl w:val="2"/>
        <w:rPr>
          <w:sz w:val="24"/>
          <w:szCs w:val="24"/>
        </w:rPr>
      </w:pPr>
      <w:r>
        <w:rPr>
          <w:rFonts w:hint="eastAsia"/>
          <w:sz w:val="24"/>
          <w:szCs w:val="24"/>
        </w:rPr>
        <w:t>3</w:t>
      </w:r>
      <w:r>
        <w:rPr>
          <w:sz w:val="24"/>
          <w:szCs w:val="24"/>
        </w:rPr>
        <w:t xml:space="preserve"> </w:t>
      </w:r>
      <w:r>
        <w:rPr>
          <w:rFonts w:hint="eastAsia"/>
          <w:sz w:val="24"/>
          <w:szCs w:val="24"/>
        </w:rPr>
        <w:t>通过资格性审查的供应商不足</w:t>
      </w:r>
      <w:r>
        <w:rPr>
          <w:sz w:val="24"/>
          <w:szCs w:val="24"/>
        </w:rPr>
        <w:t>3</w:t>
      </w:r>
      <w:r>
        <w:rPr>
          <w:rFonts w:hint="eastAsia"/>
          <w:sz w:val="24"/>
          <w:szCs w:val="24"/>
        </w:rPr>
        <w:t>家的，终止本次采购活动，并发布终止采购活动公告。</w:t>
      </w:r>
    </w:p>
    <w:p w14:paraId="58CA3BCD">
      <w:pPr>
        <w:spacing w:line="400" w:lineRule="exact"/>
        <w:ind w:firstLine="480" w:firstLineChars="200"/>
        <w:outlineLvl w:val="2"/>
        <w:rPr>
          <w:sz w:val="24"/>
          <w:szCs w:val="24"/>
        </w:rPr>
      </w:pPr>
      <w:r>
        <w:rPr>
          <w:sz w:val="24"/>
          <w:szCs w:val="24"/>
        </w:rPr>
        <w:t>4</w:t>
      </w:r>
      <w:r>
        <w:rPr>
          <w:rFonts w:hint="eastAsia"/>
          <w:sz w:val="24"/>
          <w:szCs w:val="24"/>
        </w:rPr>
        <w:t>磋商。</w:t>
      </w:r>
    </w:p>
    <w:p w14:paraId="6A759871">
      <w:pPr>
        <w:spacing w:line="400" w:lineRule="exact"/>
        <w:ind w:firstLine="480" w:firstLineChars="200"/>
        <w:rPr>
          <w:sz w:val="24"/>
          <w:szCs w:val="24"/>
        </w:rPr>
      </w:pPr>
      <w:r>
        <w:rPr>
          <w:sz w:val="24"/>
          <w:szCs w:val="24"/>
        </w:rPr>
        <w:t>4.1</w:t>
      </w:r>
      <w:r>
        <w:rPr>
          <w:rFonts w:hint="eastAsia"/>
          <w:sz w:val="24"/>
          <w:szCs w:val="24"/>
        </w:rPr>
        <w:t>磋商小组所有成员集中与单一供应商分别进行一轮或多轮磋商，并给予所有参加磋商的供应商平等的磋商机会。磋商顺序以供应商递交投标文件时签到时间先后的方式确定。磋商过程中，磋商小组可以根据磋商情况调整磋商轮次。</w:t>
      </w:r>
    </w:p>
    <w:p w14:paraId="5A97CD47">
      <w:pPr>
        <w:spacing w:line="400" w:lineRule="exact"/>
        <w:ind w:firstLine="480" w:firstLineChars="200"/>
        <w:rPr>
          <w:sz w:val="24"/>
          <w:szCs w:val="24"/>
        </w:rPr>
      </w:pPr>
      <w:r>
        <w:rPr>
          <w:sz w:val="24"/>
          <w:szCs w:val="24"/>
        </w:rPr>
        <w:t>4.2</w:t>
      </w:r>
      <w:r>
        <w:rPr>
          <w:rFonts w:hint="eastAsia"/>
          <w:sz w:val="24"/>
          <w:szCs w:val="24"/>
        </w:rPr>
        <w:t>每轮磋商开始前，磋商小组应根据磋商文件的规定，并结合各供应商的响应文件拟定磋商内容。</w:t>
      </w:r>
    </w:p>
    <w:p w14:paraId="5BB8C51E">
      <w:pPr>
        <w:spacing w:line="400" w:lineRule="exact"/>
        <w:ind w:firstLine="480" w:firstLineChars="200"/>
        <w:rPr>
          <w:sz w:val="24"/>
          <w:szCs w:val="24"/>
        </w:rPr>
      </w:pPr>
      <w:r>
        <w:rPr>
          <w:sz w:val="24"/>
          <w:szCs w:val="24"/>
        </w:rPr>
        <w:t>4.3</w:t>
      </w:r>
      <w:r>
        <w:rPr>
          <w:rFonts w:hint="eastAsia"/>
          <w:sz w:val="24"/>
          <w:szCs w:val="24"/>
        </w:rPr>
        <w:t>在磋商过程中，磋商小组可以根据磋商文件和磋商情况实质性变动磋商文件的技术、服务要求以及合同草案条款，但不得变动磋商文件中的其他内容。实质性变动的内容，须经采购人代表书面确认。</w:t>
      </w:r>
    </w:p>
    <w:p w14:paraId="04847491">
      <w:pPr>
        <w:spacing w:line="400" w:lineRule="exact"/>
        <w:ind w:firstLine="480" w:firstLineChars="200"/>
        <w:rPr>
          <w:sz w:val="24"/>
          <w:szCs w:val="24"/>
        </w:rPr>
      </w:pPr>
      <w:r>
        <w:rPr>
          <w:sz w:val="24"/>
          <w:szCs w:val="24"/>
        </w:rPr>
        <w:t>4.4</w:t>
      </w:r>
      <w:r>
        <w:rPr>
          <w:rFonts w:hint="eastAsia"/>
          <w:sz w:val="24"/>
          <w:szCs w:val="24"/>
        </w:rPr>
        <w:t>对磋商文件作出的实质性变动是磋商文件的有效组成部分，磋商小组应当及时以书面形式同时通知所有参加磋商的供应商。</w:t>
      </w:r>
    </w:p>
    <w:p w14:paraId="670F9EF7">
      <w:pPr>
        <w:spacing w:line="400" w:lineRule="exact"/>
        <w:ind w:firstLine="480" w:firstLineChars="200"/>
        <w:rPr>
          <w:sz w:val="24"/>
          <w:szCs w:val="24"/>
        </w:rPr>
      </w:pPr>
      <w:r>
        <w:rPr>
          <w:sz w:val="24"/>
          <w:szCs w:val="24"/>
        </w:rPr>
        <w:t>4.5</w:t>
      </w:r>
      <w:r>
        <w:rPr>
          <w:rFonts w:hint="eastAsia"/>
          <w:sz w:val="24"/>
          <w:szCs w:val="24"/>
        </w:rPr>
        <w:t>磋商过程中，磋商文件变动的，供应商应当按照磋商文件的变动情况和磋商小组的要求重新提交响应文件，并由其法定代表人</w:t>
      </w:r>
      <w:r>
        <w:rPr>
          <w:sz w:val="24"/>
          <w:szCs w:val="24"/>
        </w:rPr>
        <w:t>/</w:t>
      </w:r>
      <w:r>
        <w:rPr>
          <w:rFonts w:hint="eastAsia"/>
          <w:sz w:val="24"/>
          <w:szCs w:val="24"/>
        </w:rPr>
        <w:t>主要负责人</w:t>
      </w:r>
      <w:r>
        <w:rPr>
          <w:sz w:val="24"/>
          <w:szCs w:val="24"/>
        </w:rPr>
        <w:t>/</w:t>
      </w:r>
      <w:r>
        <w:rPr>
          <w:rFonts w:hint="eastAsia"/>
          <w:sz w:val="24"/>
          <w:szCs w:val="24"/>
        </w:rPr>
        <w:t>本人或其授权代表签字或者加盖公章。磋商过程中，供应商根据磋商情况自行决定变更其响应文件的，磋商小组不得拒绝，并应当给予供应商必要的时间，但是供应商变更其响应文件，应当以有利于满足磋商文件要求为原则，不得变更为不利于满足磋商文件规定，否则，其响应文件作为无效处理。</w:t>
      </w:r>
    </w:p>
    <w:p w14:paraId="0701BAE6">
      <w:pPr>
        <w:spacing w:line="400" w:lineRule="exact"/>
        <w:ind w:firstLine="480" w:firstLineChars="200"/>
        <w:rPr>
          <w:sz w:val="24"/>
          <w:szCs w:val="24"/>
        </w:rPr>
      </w:pPr>
      <w:r>
        <w:rPr>
          <w:sz w:val="24"/>
          <w:szCs w:val="24"/>
        </w:rPr>
        <w:t>4.6</w:t>
      </w:r>
      <w:r>
        <w:rPr>
          <w:rFonts w:hint="eastAsia"/>
          <w:sz w:val="24"/>
          <w:szCs w:val="24"/>
        </w:rPr>
        <w:t>磋商过程中，磋商的任何一方不得透露与磋商有关的其他供应商的技术资料、价格和其他信息。</w:t>
      </w:r>
    </w:p>
    <w:p w14:paraId="46FA57A7">
      <w:pPr>
        <w:spacing w:line="400" w:lineRule="exact"/>
        <w:ind w:firstLine="480" w:firstLineChars="200"/>
        <w:rPr>
          <w:sz w:val="24"/>
          <w:szCs w:val="24"/>
        </w:rPr>
      </w:pPr>
      <w:r>
        <w:rPr>
          <w:sz w:val="24"/>
          <w:szCs w:val="24"/>
        </w:rPr>
        <w:t>4.7</w:t>
      </w:r>
      <w:r>
        <w:rPr>
          <w:rFonts w:hint="eastAsia"/>
          <w:sz w:val="24"/>
          <w:szCs w:val="24"/>
        </w:rPr>
        <w:t>磋商过程中，磋商小组发现或者知晓供应商存在违法、违纪行为的，磋商小组应当将该供应商响应文件作无效处理，不允许其提交最后报价。</w:t>
      </w:r>
    </w:p>
    <w:p w14:paraId="1DABFBEC">
      <w:pPr>
        <w:spacing w:line="400" w:lineRule="exact"/>
        <w:ind w:firstLine="480" w:firstLineChars="200"/>
        <w:rPr>
          <w:sz w:val="24"/>
          <w:szCs w:val="24"/>
        </w:rPr>
      </w:pPr>
      <w:r>
        <w:rPr>
          <w:sz w:val="24"/>
          <w:szCs w:val="24"/>
        </w:rPr>
        <w:t>4.8</w:t>
      </w:r>
      <w:r>
        <w:rPr>
          <w:rFonts w:hint="eastAsia"/>
          <w:sz w:val="24"/>
          <w:szCs w:val="24"/>
        </w:rPr>
        <w:t xml:space="preserve">磋商完成后，磋商小组应出具磋商情况记录表，磋商情况记录表需包含磋商内容、磋商意见、实质性变动内容等。   </w:t>
      </w:r>
    </w:p>
    <w:p w14:paraId="59F318FB">
      <w:pPr>
        <w:spacing w:line="400" w:lineRule="exact"/>
        <w:ind w:firstLine="480" w:firstLineChars="200"/>
        <w:outlineLvl w:val="2"/>
        <w:rPr>
          <w:sz w:val="24"/>
          <w:szCs w:val="24"/>
        </w:rPr>
      </w:pPr>
      <w:r>
        <w:rPr>
          <w:sz w:val="24"/>
          <w:szCs w:val="24"/>
        </w:rPr>
        <w:t>5</w:t>
      </w:r>
      <w:r>
        <w:rPr>
          <w:rFonts w:hint="eastAsia"/>
          <w:sz w:val="24"/>
          <w:szCs w:val="24"/>
        </w:rPr>
        <w:t>最后报价。</w:t>
      </w:r>
    </w:p>
    <w:p w14:paraId="6C8CB524">
      <w:pPr>
        <w:spacing w:line="400" w:lineRule="exact"/>
        <w:ind w:firstLine="480" w:firstLineChars="200"/>
        <w:rPr>
          <w:sz w:val="24"/>
          <w:szCs w:val="24"/>
        </w:rPr>
      </w:pPr>
      <w:r>
        <w:rPr>
          <w:sz w:val="24"/>
          <w:szCs w:val="24"/>
        </w:rPr>
        <w:t>5.1</w:t>
      </w:r>
      <w:r>
        <w:rPr>
          <w:rFonts w:hint="eastAsia"/>
          <w:sz w:val="24"/>
          <w:szCs w:val="24"/>
        </w:rPr>
        <w:t>磋商文件能够详细列明采购标的的技术、服务要求的，磋商结束后，磋商小组应当要求所有实质性响应的供应商在规定时间内提交最后报价，提交最后报价的供应商不得少于</w:t>
      </w:r>
      <w:r>
        <w:rPr>
          <w:sz w:val="24"/>
          <w:szCs w:val="24"/>
        </w:rPr>
        <w:t>3</w:t>
      </w:r>
      <w:r>
        <w:rPr>
          <w:rFonts w:hint="eastAsia"/>
          <w:sz w:val="24"/>
          <w:szCs w:val="24"/>
        </w:rPr>
        <w:t>家。或磋商文件不能详细列明采购标的的技术、服务要求，需经磋商由供应商提供最终设计方案或解决方案的，磋商结束后，磋商小组应当按照少数服从多数的原则投票推荐</w:t>
      </w:r>
      <w:r>
        <w:rPr>
          <w:sz w:val="24"/>
          <w:szCs w:val="24"/>
        </w:rPr>
        <w:t>3</w:t>
      </w:r>
      <w:r>
        <w:rPr>
          <w:rFonts w:hint="eastAsia"/>
          <w:sz w:val="24"/>
          <w:szCs w:val="24"/>
        </w:rPr>
        <w:t>家以上供应商的设计方案或者解决方案，并要求其在规定时间内提交最后报价。</w:t>
      </w:r>
    </w:p>
    <w:p w14:paraId="60D4DD06">
      <w:pPr>
        <w:spacing w:line="400" w:lineRule="exact"/>
        <w:ind w:firstLine="480" w:firstLineChars="200"/>
        <w:rPr>
          <w:sz w:val="24"/>
          <w:szCs w:val="24"/>
        </w:rPr>
      </w:pPr>
      <w:r>
        <w:rPr>
          <w:sz w:val="24"/>
          <w:szCs w:val="24"/>
        </w:rPr>
        <w:t>5.2</w:t>
      </w:r>
      <w:r>
        <w:rPr>
          <w:rFonts w:hint="eastAsia"/>
          <w:sz w:val="24"/>
          <w:szCs w:val="24"/>
        </w:rPr>
        <w:t>磋商结束后，磋商小组应当要求所有实质性响应的供应商在规定时间内提交最后报价。两轮（若有）以上报价的，供应商在未提高响应文件中承诺的产品及其服务质量的情况下，其最后报价不得高于对该项目之前的报价，否则，磋商小组应当对其响应文件按无效处理，不允许进入综合评分，并书面告知供应商，说明理由。</w:t>
      </w:r>
    </w:p>
    <w:p w14:paraId="1E66A407">
      <w:pPr>
        <w:spacing w:line="400" w:lineRule="exact"/>
        <w:ind w:firstLine="480" w:firstLineChars="200"/>
        <w:rPr>
          <w:sz w:val="24"/>
          <w:szCs w:val="24"/>
        </w:rPr>
      </w:pPr>
      <w:r>
        <w:rPr>
          <w:sz w:val="24"/>
          <w:szCs w:val="24"/>
        </w:rPr>
        <w:t>5.3</w:t>
      </w:r>
      <w:r>
        <w:rPr>
          <w:rFonts w:hint="eastAsia"/>
          <w:sz w:val="24"/>
          <w:szCs w:val="24"/>
        </w:rPr>
        <w:t>供应商最后报价应当由法定代表人</w:t>
      </w:r>
      <w:r>
        <w:rPr>
          <w:sz w:val="24"/>
          <w:szCs w:val="24"/>
        </w:rPr>
        <w:t>/</w:t>
      </w:r>
      <w:r>
        <w:rPr>
          <w:rFonts w:hint="eastAsia"/>
          <w:sz w:val="24"/>
          <w:szCs w:val="24"/>
        </w:rPr>
        <w:t>主要负责人</w:t>
      </w:r>
      <w:r>
        <w:rPr>
          <w:sz w:val="24"/>
          <w:szCs w:val="24"/>
        </w:rPr>
        <w:t>/</w:t>
      </w:r>
      <w:r>
        <w:rPr>
          <w:rFonts w:hint="eastAsia"/>
          <w:sz w:val="24"/>
          <w:szCs w:val="24"/>
        </w:rPr>
        <w:t>本人或其授权代表签字确认或加盖公章。最后报价是供应商响应文件的有效组成部分。</w:t>
      </w:r>
    </w:p>
    <w:p w14:paraId="5102D8A2">
      <w:pPr>
        <w:spacing w:line="400" w:lineRule="exact"/>
        <w:ind w:firstLine="480" w:firstLineChars="200"/>
        <w:rPr>
          <w:sz w:val="24"/>
          <w:szCs w:val="24"/>
        </w:rPr>
      </w:pPr>
      <w:r>
        <w:rPr>
          <w:sz w:val="24"/>
          <w:szCs w:val="24"/>
        </w:rPr>
        <w:t>5.4</w:t>
      </w:r>
      <w:r>
        <w:rPr>
          <w:rFonts w:hint="eastAsia"/>
          <w:sz w:val="24"/>
          <w:szCs w:val="24"/>
        </w:rPr>
        <w:t>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1B8E2382">
      <w:pPr>
        <w:spacing w:line="400" w:lineRule="exact"/>
        <w:ind w:firstLine="480" w:firstLineChars="200"/>
        <w:outlineLvl w:val="2"/>
        <w:rPr>
          <w:sz w:val="24"/>
          <w:szCs w:val="24"/>
        </w:rPr>
      </w:pPr>
      <w:r>
        <w:rPr>
          <w:sz w:val="24"/>
          <w:szCs w:val="24"/>
        </w:rPr>
        <w:t>6</w:t>
      </w:r>
      <w:r>
        <w:rPr>
          <w:rFonts w:hint="eastAsia"/>
          <w:sz w:val="24"/>
          <w:szCs w:val="24"/>
        </w:rPr>
        <w:t>比较与评价。由磋商小组采用综合评分法对提交最后报价的供应商的响应文件和最后报价进行综合评分，具体要求详见本章综合评分部分。</w:t>
      </w:r>
    </w:p>
    <w:p w14:paraId="4F8A4885">
      <w:pPr>
        <w:spacing w:line="400" w:lineRule="exact"/>
        <w:ind w:firstLine="480" w:firstLineChars="200"/>
        <w:outlineLvl w:val="2"/>
        <w:rPr>
          <w:sz w:val="24"/>
          <w:szCs w:val="24"/>
        </w:rPr>
      </w:pPr>
      <w:r>
        <w:rPr>
          <w:sz w:val="24"/>
          <w:szCs w:val="24"/>
        </w:rPr>
        <w:t>7</w:t>
      </w:r>
      <w:r>
        <w:rPr>
          <w:rFonts w:hint="eastAsia"/>
          <w:sz w:val="24"/>
          <w:szCs w:val="24"/>
        </w:rPr>
        <w:t>推荐成交候选供应商。磋商小组应当根据综合评分情况，按照评审得分由高到低顺序推荐</w:t>
      </w:r>
      <w:r>
        <w:rPr>
          <w:sz w:val="24"/>
          <w:szCs w:val="24"/>
        </w:rPr>
        <w:t>3</w:t>
      </w:r>
      <w:r>
        <w:rPr>
          <w:rFonts w:hint="eastAsia"/>
          <w:sz w:val="24"/>
          <w:szCs w:val="24"/>
        </w:rPr>
        <w:t>家以上成交候选供应商，并编写磋商报告。评审得分相同的，按照最后报价由低到高的顺序推荐。评审得分且最后报价相同的，按照技术指标优劣顺序推荐。评审得分且最后报价且技术指标分项得分均相同的，成交候选供应商并列。</w:t>
      </w:r>
    </w:p>
    <w:p w14:paraId="7C1BA86F">
      <w:pPr>
        <w:spacing w:line="400" w:lineRule="exact"/>
        <w:ind w:firstLine="480" w:firstLineChars="200"/>
        <w:outlineLvl w:val="2"/>
        <w:rPr>
          <w:sz w:val="24"/>
          <w:szCs w:val="24"/>
        </w:rPr>
      </w:pPr>
      <w:r>
        <w:rPr>
          <w:sz w:val="24"/>
          <w:szCs w:val="24"/>
        </w:rPr>
        <w:t>8</w:t>
      </w:r>
      <w:r>
        <w:rPr>
          <w:rFonts w:hint="eastAsia"/>
          <w:sz w:val="24"/>
          <w:szCs w:val="24"/>
        </w:rPr>
        <w:t>磋商小组复核。磋商小组评分汇总结束后，磋商小组应当进行评审复核，对拟推荐为成交候选供应商的、报价最低的、供应商资格审查未通过的、供应商响应文件作无效处理的重点复核。</w:t>
      </w:r>
    </w:p>
    <w:p w14:paraId="0817785D">
      <w:pPr>
        <w:spacing w:line="400" w:lineRule="exact"/>
        <w:ind w:firstLine="480" w:firstLineChars="200"/>
        <w:outlineLvl w:val="2"/>
        <w:rPr>
          <w:sz w:val="24"/>
          <w:szCs w:val="24"/>
        </w:rPr>
      </w:pPr>
      <w:r>
        <w:rPr>
          <w:sz w:val="24"/>
          <w:szCs w:val="24"/>
        </w:rPr>
        <w:t>9</w:t>
      </w:r>
      <w:r>
        <w:rPr>
          <w:rFonts w:hint="eastAsia"/>
          <w:sz w:val="24"/>
          <w:szCs w:val="24"/>
        </w:rPr>
        <w:t>采购组织单位现场复核评审结果。</w:t>
      </w:r>
    </w:p>
    <w:p w14:paraId="593F9410">
      <w:pPr>
        <w:spacing w:line="400" w:lineRule="exact"/>
        <w:ind w:firstLine="480" w:firstLineChars="200"/>
        <w:rPr>
          <w:sz w:val="24"/>
          <w:szCs w:val="24"/>
        </w:rPr>
      </w:pPr>
      <w:r>
        <w:rPr>
          <w:sz w:val="24"/>
          <w:szCs w:val="24"/>
        </w:rPr>
        <w:t>9.1</w:t>
      </w:r>
      <w:r>
        <w:rPr>
          <w:rFonts w:hint="eastAsia"/>
          <w:sz w:val="24"/>
          <w:szCs w:val="24"/>
        </w:rPr>
        <w:t>评审结果汇总完成后，磋商小组拟出具磋商评审报告前，采购人应当组织</w:t>
      </w:r>
      <w:r>
        <w:rPr>
          <w:sz w:val="24"/>
          <w:szCs w:val="24"/>
        </w:rPr>
        <w:t>2</w:t>
      </w:r>
      <w:r>
        <w:rPr>
          <w:rFonts w:hint="eastAsia"/>
          <w:sz w:val="24"/>
          <w:szCs w:val="24"/>
        </w:rPr>
        <w:t>名以上的本单位工作人员，在采购现场监督人员的监督之下，依据有关的法律制度和磋商文件对评审结果进行复核，出具复核报告，存在下列情形之一的，采购人应当根据情况书面建议磋商小组现场修改评审结果：</w:t>
      </w:r>
    </w:p>
    <w:p w14:paraId="23778465">
      <w:pPr>
        <w:spacing w:line="400" w:lineRule="exact"/>
        <w:ind w:firstLine="480" w:firstLineChars="200"/>
        <w:rPr>
          <w:sz w:val="24"/>
          <w:szCs w:val="24"/>
        </w:rPr>
      </w:pPr>
      <w:r>
        <w:rPr>
          <w:rFonts w:hint="eastAsia"/>
          <w:sz w:val="24"/>
          <w:szCs w:val="24"/>
        </w:rPr>
        <w:t>（</w:t>
      </w:r>
      <w:r>
        <w:rPr>
          <w:sz w:val="24"/>
          <w:szCs w:val="24"/>
        </w:rPr>
        <w:t>1</w:t>
      </w:r>
      <w:r>
        <w:rPr>
          <w:rFonts w:hint="eastAsia"/>
          <w:sz w:val="24"/>
          <w:szCs w:val="24"/>
        </w:rPr>
        <w:t>）资格性审查认定错误的；</w:t>
      </w:r>
    </w:p>
    <w:p w14:paraId="487F00B0">
      <w:pPr>
        <w:spacing w:line="400" w:lineRule="exact"/>
        <w:ind w:firstLine="480" w:firstLineChars="200"/>
        <w:rPr>
          <w:sz w:val="24"/>
          <w:szCs w:val="24"/>
        </w:rPr>
      </w:pPr>
      <w:r>
        <w:rPr>
          <w:rFonts w:hint="eastAsia"/>
          <w:sz w:val="24"/>
          <w:szCs w:val="24"/>
        </w:rPr>
        <w:t>（</w:t>
      </w:r>
      <w:r>
        <w:rPr>
          <w:sz w:val="24"/>
          <w:szCs w:val="24"/>
        </w:rPr>
        <w:t>2</w:t>
      </w:r>
      <w:r>
        <w:rPr>
          <w:rFonts w:hint="eastAsia"/>
          <w:sz w:val="24"/>
          <w:szCs w:val="24"/>
        </w:rPr>
        <w:t>）分值汇总计算错误的；</w:t>
      </w:r>
    </w:p>
    <w:p w14:paraId="6756E0B4">
      <w:pPr>
        <w:spacing w:line="400" w:lineRule="exact"/>
        <w:ind w:firstLine="480" w:firstLineChars="200"/>
        <w:rPr>
          <w:sz w:val="24"/>
          <w:szCs w:val="24"/>
        </w:rPr>
      </w:pPr>
      <w:r>
        <w:rPr>
          <w:rFonts w:hint="eastAsia"/>
          <w:sz w:val="24"/>
          <w:szCs w:val="24"/>
        </w:rPr>
        <w:t>（</w:t>
      </w:r>
      <w:r>
        <w:rPr>
          <w:sz w:val="24"/>
          <w:szCs w:val="24"/>
        </w:rPr>
        <w:t>3</w:t>
      </w:r>
      <w:r>
        <w:rPr>
          <w:rFonts w:hint="eastAsia"/>
          <w:sz w:val="24"/>
          <w:szCs w:val="24"/>
        </w:rPr>
        <w:t>）分项评分超出评分标准范围的；</w:t>
      </w:r>
    </w:p>
    <w:p w14:paraId="0D282387">
      <w:pPr>
        <w:spacing w:line="400" w:lineRule="exact"/>
        <w:ind w:firstLine="480" w:firstLineChars="200"/>
        <w:rPr>
          <w:sz w:val="24"/>
          <w:szCs w:val="24"/>
        </w:rPr>
      </w:pPr>
      <w:r>
        <w:rPr>
          <w:rFonts w:hint="eastAsia"/>
          <w:sz w:val="24"/>
          <w:szCs w:val="24"/>
        </w:rPr>
        <w:t>（</w:t>
      </w:r>
      <w:r>
        <w:rPr>
          <w:sz w:val="24"/>
          <w:szCs w:val="24"/>
        </w:rPr>
        <w:t>4</w:t>
      </w:r>
      <w:r>
        <w:rPr>
          <w:rFonts w:hint="eastAsia"/>
          <w:sz w:val="24"/>
          <w:szCs w:val="24"/>
        </w:rPr>
        <w:t>）客观评分不一致的。</w:t>
      </w:r>
    </w:p>
    <w:p w14:paraId="09967617">
      <w:pPr>
        <w:spacing w:line="400" w:lineRule="exact"/>
        <w:ind w:firstLine="480" w:firstLineChars="200"/>
        <w:rPr>
          <w:sz w:val="24"/>
          <w:szCs w:val="24"/>
        </w:rPr>
      </w:pPr>
      <w:r>
        <w:rPr>
          <w:rFonts w:hint="eastAsia"/>
          <w:sz w:val="24"/>
          <w:szCs w:val="24"/>
        </w:rPr>
        <w:t>存在本条上述情形的，由磋商小组自主决定是否采纳采购人的书面建议，并承担独立评审责任。磋商小组采纳采购人书面建议的，应当按照规定现场修改评审结果或者重新评审，并在磋商报告中详细记载有关事宜；不采纳采购人书面建议的，应当书面说明理由。采购人书面建议未被磋商小组采纳的，应当接照规定程序要求继续组织实施采购活动，不得擅自中止采购活动。采购人认为磋商小组评审结果不合法的，应当书面报告采购项目同级财政部门。</w:t>
      </w:r>
    </w:p>
    <w:p w14:paraId="28CC1236">
      <w:pPr>
        <w:spacing w:line="400" w:lineRule="exact"/>
        <w:ind w:firstLine="480" w:firstLineChars="200"/>
        <w:rPr>
          <w:sz w:val="24"/>
          <w:szCs w:val="24"/>
        </w:rPr>
      </w:pPr>
      <w:r>
        <w:rPr>
          <w:rFonts w:hint="eastAsia"/>
          <w:sz w:val="24"/>
          <w:szCs w:val="24"/>
        </w:rPr>
        <w:t>采购人复核过程中，磋商小组成员不得离开评审现场。</w:t>
      </w:r>
    </w:p>
    <w:p w14:paraId="74880793">
      <w:pPr>
        <w:spacing w:line="400" w:lineRule="exact"/>
        <w:ind w:firstLine="480" w:firstLineChars="200"/>
        <w:rPr>
          <w:sz w:val="24"/>
          <w:szCs w:val="24"/>
        </w:rPr>
      </w:pPr>
      <w:r>
        <w:rPr>
          <w:sz w:val="24"/>
          <w:szCs w:val="24"/>
        </w:rPr>
        <w:t>9.2</w:t>
      </w:r>
      <w:r>
        <w:rPr>
          <w:rFonts w:hint="eastAsia"/>
          <w:sz w:val="24"/>
          <w:szCs w:val="24"/>
        </w:rPr>
        <w:t>有下列情形之一的，不得现场修改评审结果：</w:t>
      </w:r>
    </w:p>
    <w:p w14:paraId="1028D7FF">
      <w:pPr>
        <w:spacing w:line="400" w:lineRule="exact"/>
        <w:ind w:firstLine="480" w:firstLineChars="200"/>
        <w:rPr>
          <w:sz w:val="24"/>
          <w:szCs w:val="24"/>
        </w:rPr>
      </w:pPr>
      <w:r>
        <w:rPr>
          <w:rFonts w:hint="eastAsia"/>
          <w:sz w:val="24"/>
          <w:szCs w:val="24"/>
        </w:rPr>
        <w:t>（</w:t>
      </w:r>
      <w:r>
        <w:rPr>
          <w:sz w:val="24"/>
          <w:szCs w:val="24"/>
        </w:rPr>
        <w:t>1</w:t>
      </w:r>
      <w:r>
        <w:rPr>
          <w:rFonts w:hint="eastAsia"/>
          <w:sz w:val="24"/>
          <w:szCs w:val="24"/>
        </w:rPr>
        <w:t>）磋商小组已经出具磋商报告并且离开评审现场的；</w:t>
      </w:r>
    </w:p>
    <w:p w14:paraId="6C919B61">
      <w:pPr>
        <w:spacing w:line="400" w:lineRule="exact"/>
        <w:ind w:firstLine="480" w:firstLineChars="200"/>
        <w:rPr>
          <w:sz w:val="24"/>
          <w:szCs w:val="24"/>
        </w:rPr>
      </w:pPr>
      <w:r>
        <w:rPr>
          <w:rFonts w:hint="eastAsia"/>
          <w:sz w:val="24"/>
          <w:szCs w:val="24"/>
        </w:rPr>
        <w:t>（</w:t>
      </w:r>
      <w:r>
        <w:rPr>
          <w:sz w:val="24"/>
          <w:szCs w:val="24"/>
        </w:rPr>
        <w:t>2</w:t>
      </w:r>
      <w:r>
        <w:rPr>
          <w:rFonts w:hint="eastAsia"/>
          <w:sz w:val="24"/>
          <w:szCs w:val="24"/>
        </w:rPr>
        <w:t>）采购人现场复核时，复核工作人员数量不足的；</w:t>
      </w:r>
    </w:p>
    <w:p w14:paraId="142FA745">
      <w:pPr>
        <w:spacing w:line="400" w:lineRule="exact"/>
        <w:ind w:firstLine="480" w:firstLineChars="200"/>
        <w:rPr>
          <w:sz w:val="24"/>
          <w:szCs w:val="24"/>
        </w:rPr>
      </w:pPr>
      <w:r>
        <w:rPr>
          <w:rFonts w:hint="eastAsia"/>
          <w:sz w:val="24"/>
          <w:szCs w:val="24"/>
        </w:rPr>
        <w:t>（</w:t>
      </w:r>
      <w:r>
        <w:rPr>
          <w:sz w:val="24"/>
          <w:szCs w:val="24"/>
        </w:rPr>
        <w:t>3</w:t>
      </w:r>
      <w:r>
        <w:rPr>
          <w:rFonts w:hint="eastAsia"/>
          <w:sz w:val="24"/>
          <w:szCs w:val="24"/>
        </w:rPr>
        <w:t>）采购人现场复核时，没有采购监督人员现场监督的；</w:t>
      </w:r>
    </w:p>
    <w:p w14:paraId="0F9623B0">
      <w:pPr>
        <w:spacing w:line="400" w:lineRule="exact"/>
        <w:ind w:firstLine="480" w:firstLineChars="200"/>
        <w:rPr>
          <w:sz w:val="24"/>
          <w:szCs w:val="24"/>
        </w:rPr>
      </w:pPr>
      <w:r>
        <w:rPr>
          <w:rFonts w:hint="eastAsia"/>
          <w:sz w:val="24"/>
          <w:szCs w:val="24"/>
        </w:rPr>
        <w:t>（</w:t>
      </w:r>
      <w:r>
        <w:rPr>
          <w:sz w:val="24"/>
          <w:szCs w:val="24"/>
        </w:rPr>
        <w:t>4</w:t>
      </w:r>
      <w:r>
        <w:rPr>
          <w:rFonts w:hint="eastAsia"/>
          <w:sz w:val="24"/>
          <w:szCs w:val="24"/>
        </w:rPr>
        <w:t>）采购人现场复核内容超出规定范围的；</w:t>
      </w:r>
    </w:p>
    <w:p w14:paraId="2C74B497">
      <w:pPr>
        <w:spacing w:line="400" w:lineRule="exact"/>
        <w:ind w:firstLine="480" w:firstLineChars="200"/>
        <w:rPr>
          <w:sz w:val="24"/>
          <w:szCs w:val="24"/>
        </w:rPr>
      </w:pPr>
      <w:r>
        <w:rPr>
          <w:rFonts w:hint="eastAsia"/>
          <w:sz w:val="24"/>
          <w:szCs w:val="24"/>
        </w:rPr>
        <w:t>（</w:t>
      </w:r>
      <w:r>
        <w:rPr>
          <w:sz w:val="24"/>
          <w:szCs w:val="24"/>
        </w:rPr>
        <w:t>5</w:t>
      </w:r>
      <w:r>
        <w:rPr>
          <w:rFonts w:hint="eastAsia"/>
          <w:sz w:val="24"/>
          <w:szCs w:val="24"/>
        </w:rPr>
        <w:t>）采购人未提供书面建议的。</w:t>
      </w:r>
    </w:p>
    <w:p w14:paraId="566A5551">
      <w:pPr>
        <w:spacing w:line="400" w:lineRule="exact"/>
        <w:ind w:firstLine="480" w:firstLineChars="200"/>
        <w:outlineLvl w:val="2"/>
        <w:rPr>
          <w:sz w:val="24"/>
          <w:szCs w:val="24"/>
        </w:rPr>
      </w:pPr>
      <w:r>
        <w:rPr>
          <w:sz w:val="24"/>
          <w:szCs w:val="24"/>
        </w:rPr>
        <w:t>10</w:t>
      </w:r>
      <w:r>
        <w:rPr>
          <w:rFonts w:hint="eastAsia"/>
          <w:sz w:val="24"/>
          <w:szCs w:val="24"/>
        </w:rPr>
        <w:t>编写磋商报告。磋商小组推荐成交候选供应商后，应向采购人出具磋商报告。磋商报告应当包括以下主要内容：</w:t>
      </w:r>
    </w:p>
    <w:p w14:paraId="09EF1820">
      <w:pPr>
        <w:spacing w:line="400" w:lineRule="exact"/>
        <w:ind w:firstLine="480" w:firstLineChars="200"/>
        <w:rPr>
          <w:sz w:val="24"/>
          <w:szCs w:val="24"/>
        </w:rPr>
      </w:pPr>
      <w:r>
        <w:rPr>
          <w:rFonts w:hint="eastAsia"/>
          <w:sz w:val="24"/>
          <w:szCs w:val="24"/>
        </w:rPr>
        <w:t>（</w:t>
      </w:r>
      <w:r>
        <w:rPr>
          <w:sz w:val="24"/>
          <w:szCs w:val="24"/>
        </w:rPr>
        <w:t>1</w:t>
      </w:r>
      <w:r>
        <w:rPr>
          <w:rFonts w:hint="eastAsia"/>
          <w:sz w:val="24"/>
          <w:szCs w:val="24"/>
        </w:rPr>
        <w:t>）邀请供应商参加采购活动的具体方式和相关情况；</w:t>
      </w:r>
    </w:p>
    <w:p w14:paraId="4D3C5B35">
      <w:pPr>
        <w:spacing w:line="400" w:lineRule="exact"/>
        <w:ind w:firstLine="480" w:firstLineChars="200"/>
        <w:rPr>
          <w:sz w:val="24"/>
          <w:szCs w:val="24"/>
        </w:rPr>
      </w:pPr>
      <w:r>
        <w:rPr>
          <w:rFonts w:hint="eastAsia"/>
          <w:sz w:val="24"/>
          <w:szCs w:val="24"/>
        </w:rPr>
        <w:t>（</w:t>
      </w:r>
      <w:r>
        <w:rPr>
          <w:sz w:val="24"/>
          <w:szCs w:val="24"/>
        </w:rPr>
        <w:t>2</w:t>
      </w:r>
      <w:r>
        <w:rPr>
          <w:rFonts w:hint="eastAsia"/>
          <w:sz w:val="24"/>
          <w:szCs w:val="24"/>
        </w:rPr>
        <w:t>）响应文件开启日期和地点；</w:t>
      </w:r>
    </w:p>
    <w:p w14:paraId="625D0A5D">
      <w:pPr>
        <w:spacing w:line="400" w:lineRule="exact"/>
        <w:ind w:firstLine="480" w:firstLineChars="200"/>
        <w:rPr>
          <w:sz w:val="24"/>
          <w:szCs w:val="24"/>
        </w:rPr>
      </w:pPr>
      <w:r>
        <w:rPr>
          <w:rFonts w:hint="eastAsia"/>
          <w:sz w:val="24"/>
          <w:szCs w:val="24"/>
        </w:rPr>
        <w:t>（</w:t>
      </w:r>
      <w:r>
        <w:rPr>
          <w:sz w:val="24"/>
          <w:szCs w:val="24"/>
        </w:rPr>
        <w:t>3</w:t>
      </w:r>
      <w:r>
        <w:rPr>
          <w:rFonts w:hint="eastAsia"/>
          <w:sz w:val="24"/>
          <w:szCs w:val="24"/>
        </w:rPr>
        <w:t>）获取磋商文件的供应商名单和磋商小组成员名单；</w:t>
      </w:r>
    </w:p>
    <w:p w14:paraId="41FC1DAF">
      <w:pPr>
        <w:spacing w:line="400" w:lineRule="exact"/>
        <w:ind w:firstLine="480" w:firstLineChars="200"/>
        <w:rPr>
          <w:sz w:val="24"/>
          <w:szCs w:val="24"/>
        </w:rPr>
      </w:pPr>
      <w:r>
        <w:rPr>
          <w:rFonts w:hint="eastAsia"/>
          <w:sz w:val="24"/>
          <w:szCs w:val="24"/>
        </w:rPr>
        <w:t>（</w:t>
      </w:r>
      <w:r>
        <w:rPr>
          <w:sz w:val="24"/>
          <w:szCs w:val="24"/>
        </w:rPr>
        <w:t>4</w:t>
      </w:r>
      <w:r>
        <w:rPr>
          <w:rFonts w:hint="eastAsia"/>
          <w:sz w:val="24"/>
          <w:szCs w:val="24"/>
        </w:rPr>
        <w:t>）评审情况记录和说明，包括对供应商的资格审查情况、供应商响应文件审查情况、磋商情况、报价情况等；</w:t>
      </w:r>
    </w:p>
    <w:p w14:paraId="5C3410EC">
      <w:pPr>
        <w:spacing w:line="400" w:lineRule="exact"/>
        <w:ind w:firstLine="480" w:firstLineChars="200"/>
        <w:rPr>
          <w:sz w:val="24"/>
          <w:szCs w:val="24"/>
        </w:rPr>
      </w:pPr>
      <w:r>
        <w:rPr>
          <w:rFonts w:hint="eastAsia"/>
          <w:sz w:val="24"/>
          <w:szCs w:val="24"/>
        </w:rPr>
        <w:t>（</w:t>
      </w:r>
      <w:r>
        <w:rPr>
          <w:sz w:val="24"/>
          <w:szCs w:val="24"/>
        </w:rPr>
        <w:t>5</w:t>
      </w:r>
      <w:r>
        <w:rPr>
          <w:rFonts w:hint="eastAsia"/>
          <w:sz w:val="24"/>
          <w:szCs w:val="24"/>
        </w:rPr>
        <w:t>）提出的成交候选供应商的排序名单及理由。</w:t>
      </w:r>
    </w:p>
    <w:p w14:paraId="3ED1AF71">
      <w:pPr>
        <w:spacing w:line="400" w:lineRule="exact"/>
        <w:ind w:firstLine="480" w:firstLineChars="200"/>
        <w:rPr>
          <w:sz w:val="24"/>
          <w:szCs w:val="24"/>
        </w:rPr>
      </w:pPr>
      <w:r>
        <w:rPr>
          <w:rFonts w:hint="eastAsia"/>
          <w:sz w:val="24"/>
          <w:szCs w:val="24"/>
        </w:rPr>
        <w:t>磋商报告应当由磋商小组全体人员签字认可。磋商小组成员对磋商报告有异议的，磋商小组按照少数服从多数的原则推荐成交候选供应商，采购程序继续进行。对磋商报告有异议的磋商小组成员，应当在报告上签署不同意见并说明理由，由磋商小组书面记录相关情况。磋商小组成员拒绝在报告上签字又不书面说明其不同意见和理由的，视为同意磋商报告。</w:t>
      </w:r>
    </w:p>
    <w:p w14:paraId="7830B570">
      <w:pPr>
        <w:spacing w:line="400" w:lineRule="exact"/>
        <w:ind w:firstLine="480" w:firstLineChars="200"/>
        <w:outlineLvl w:val="2"/>
        <w:rPr>
          <w:sz w:val="24"/>
          <w:szCs w:val="24"/>
        </w:rPr>
      </w:pPr>
      <w:r>
        <w:rPr>
          <w:sz w:val="24"/>
          <w:szCs w:val="24"/>
        </w:rPr>
        <w:t>11</w:t>
      </w:r>
      <w:r>
        <w:rPr>
          <w:rFonts w:hint="eastAsia"/>
          <w:sz w:val="24"/>
          <w:szCs w:val="24"/>
        </w:rPr>
        <w:t>磋商异议处理规则。在磋商过程中，磋商小组成员对响应文件是否符合磋商文件规定存在争议的，应当以少数服从多数的原则处理，但不违背磋商文件规定。有不同意见的磋商小组成员认为认定过程和结果不符合法律法规或者磋商文件规定的，应当在磋商报告中予以反映。</w:t>
      </w:r>
    </w:p>
    <w:p w14:paraId="480DE7BC">
      <w:pPr>
        <w:spacing w:line="400" w:lineRule="exact"/>
        <w:ind w:firstLine="480" w:firstLineChars="200"/>
        <w:outlineLvl w:val="2"/>
        <w:rPr>
          <w:sz w:val="24"/>
          <w:szCs w:val="24"/>
        </w:rPr>
      </w:pPr>
      <w:r>
        <w:rPr>
          <w:sz w:val="24"/>
          <w:szCs w:val="24"/>
        </w:rPr>
        <w:t>12</w:t>
      </w:r>
      <w:r>
        <w:rPr>
          <w:rFonts w:hint="eastAsia"/>
          <w:sz w:val="24"/>
          <w:szCs w:val="24"/>
        </w:rPr>
        <w:t>供应商澄清、说明</w:t>
      </w:r>
    </w:p>
    <w:p w14:paraId="12BF705C">
      <w:pPr>
        <w:spacing w:line="400" w:lineRule="exact"/>
        <w:ind w:firstLine="480" w:firstLineChars="200"/>
        <w:rPr>
          <w:sz w:val="24"/>
          <w:szCs w:val="24"/>
        </w:rPr>
      </w:pPr>
      <w:r>
        <w:rPr>
          <w:sz w:val="24"/>
          <w:szCs w:val="24"/>
        </w:rPr>
        <w:t>12.1</w:t>
      </w:r>
      <w:r>
        <w:rPr>
          <w:rFonts w:hint="eastAsia"/>
          <w:sz w:val="24"/>
          <w:szCs w:val="24"/>
        </w:rPr>
        <w:t>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3F68785">
      <w:pPr>
        <w:spacing w:line="400" w:lineRule="exact"/>
        <w:ind w:firstLine="480" w:firstLineChars="200"/>
        <w:rPr>
          <w:sz w:val="24"/>
          <w:szCs w:val="24"/>
        </w:rPr>
      </w:pPr>
      <w:r>
        <w:rPr>
          <w:sz w:val="24"/>
          <w:szCs w:val="24"/>
        </w:rPr>
        <w:t>12.2</w:t>
      </w:r>
      <w:r>
        <w:rPr>
          <w:rFonts w:hint="eastAsia"/>
          <w:sz w:val="24"/>
          <w:szCs w:val="24"/>
        </w:rPr>
        <w:t>磋商小组要求供应商澄清、说明或者更正响应文件应当以书面形式作出。供应商的澄清、说明或者更正应当由法定代表人</w:t>
      </w:r>
      <w:r>
        <w:rPr>
          <w:sz w:val="24"/>
          <w:szCs w:val="24"/>
        </w:rPr>
        <w:t>/</w:t>
      </w:r>
      <w:r>
        <w:rPr>
          <w:rFonts w:hint="eastAsia"/>
          <w:sz w:val="24"/>
          <w:szCs w:val="24"/>
        </w:rPr>
        <w:t>主要负责人</w:t>
      </w:r>
      <w:r>
        <w:rPr>
          <w:sz w:val="24"/>
          <w:szCs w:val="24"/>
        </w:rPr>
        <w:t>/</w:t>
      </w:r>
      <w:r>
        <w:rPr>
          <w:rFonts w:hint="eastAsia"/>
          <w:sz w:val="24"/>
          <w:szCs w:val="24"/>
        </w:rPr>
        <w:t>本人或其授权代表签字或者加盖公章。</w:t>
      </w:r>
    </w:p>
    <w:p w14:paraId="41A71EE3">
      <w:pPr>
        <w:spacing w:line="400" w:lineRule="exact"/>
        <w:ind w:firstLine="480" w:firstLineChars="200"/>
        <w:outlineLvl w:val="2"/>
        <w:rPr>
          <w:sz w:val="24"/>
          <w:szCs w:val="24"/>
        </w:rPr>
      </w:pPr>
      <w:r>
        <w:rPr>
          <w:sz w:val="24"/>
          <w:szCs w:val="24"/>
        </w:rPr>
        <w:t>13</w:t>
      </w:r>
      <w:r>
        <w:rPr>
          <w:rFonts w:hint="eastAsia"/>
          <w:sz w:val="24"/>
          <w:szCs w:val="24"/>
        </w:rPr>
        <w:t>终止磋商采购活动。</w:t>
      </w:r>
    </w:p>
    <w:p w14:paraId="03E2ECEB">
      <w:pPr>
        <w:spacing w:line="400" w:lineRule="exact"/>
        <w:ind w:firstLine="480" w:firstLineChars="200"/>
        <w:rPr>
          <w:sz w:val="24"/>
          <w:szCs w:val="24"/>
        </w:rPr>
      </w:pPr>
      <w:r>
        <w:rPr>
          <w:rFonts w:hint="eastAsia"/>
          <w:sz w:val="24"/>
          <w:szCs w:val="24"/>
        </w:rPr>
        <w:t>出现下列情形之一的，采购人或者采购代理机构应当终止竞争性磋商采购活动，发布项目终止公告并说明原因，重新开展采购活动：</w:t>
      </w:r>
    </w:p>
    <w:p w14:paraId="21FD4EB9">
      <w:pPr>
        <w:spacing w:line="400" w:lineRule="exact"/>
        <w:ind w:firstLine="480" w:firstLineChars="200"/>
        <w:rPr>
          <w:sz w:val="24"/>
          <w:szCs w:val="24"/>
        </w:rPr>
      </w:pPr>
      <w:r>
        <w:rPr>
          <w:rFonts w:hint="eastAsia"/>
          <w:sz w:val="24"/>
          <w:szCs w:val="24"/>
        </w:rPr>
        <w:t>（</w:t>
      </w:r>
      <w:r>
        <w:rPr>
          <w:sz w:val="24"/>
          <w:szCs w:val="24"/>
        </w:rPr>
        <w:t>1</w:t>
      </w:r>
      <w:r>
        <w:rPr>
          <w:rFonts w:hint="eastAsia"/>
          <w:sz w:val="24"/>
          <w:szCs w:val="24"/>
        </w:rPr>
        <w:t>）因情况变化，不再符合规定的竞争性磋商采购方式适用情形的；</w:t>
      </w:r>
    </w:p>
    <w:p w14:paraId="16062869">
      <w:pPr>
        <w:spacing w:line="400" w:lineRule="exact"/>
        <w:ind w:firstLine="480" w:firstLineChars="200"/>
        <w:rPr>
          <w:sz w:val="24"/>
          <w:szCs w:val="24"/>
        </w:rPr>
      </w:pPr>
      <w:r>
        <w:rPr>
          <w:rFonts w:hint="eastAsia"/>
          <w:sz w:val="24"/>
          <w:szCs w:val="24"/>
        </w:rPr>
        <w:t>（</w:t>
      </w:r>
      <w:r>
        <w:rPr>
          <w:sz w:val="24"/>
          <w:szCs w:val="24"/>
        </w:rPr>
        <w:t>2</w:t>
      </w:r>
      <w:r>
        <w:rPr>
          <w:rFonts w:hint="eastAsia"/>
          <w:sz w:val="24"/>
          <w:szCs w:val="24"/>
        </w:rPr>
        <w:t>）出现影响采购公正的违法、违规行为的；</w:t>
      </w:r>
    </w:p>
    <w:p w14:paraId="4ACC9079">
      <w:pPr>
        <w:spacing w:line="400" w:lineRule="exact"/>
        <w:ind w:firstLine="480" w:firstLineChars="200"/>
        <w:rPr>
          <w:sz w:val="24"/>
          <w:szCs w:val="24"/>
        </w:rPr>
      </w:pPr>
      <w:r>
        <w:rPr>
          <w:rFonts w:hint="eastAsia"/>
          <w:sz w:val="24"/>
          <w:szCs w:val="24"/>
        </w:rPr>
        <w:t>（</w:t>
      </w:r>
      <w:r>
        <w:rPr>
          <w:sz w:val="24"/>
          <w:szCs w:val="24"/>
        </w:rPr>
        <w:t>3</w:t>
      </w:r>
      <w:r>
        <w:rPr>
          <w:rFonts w:hint="eastAsia"/>
          <w:sz w:val="24"/>
          <w:szCs w:val="24"/>
        </w:rPr>
        <w:t>）在采购过程中符合要求的供应商或者报价未超过采购预算的供应商不足</w:t>
      </w:r>
      <w:r>
        <w:rPr>
          <w:sz w:val="24"/>
          <w:szCs w:val="24"/>
        </w:rPr>
        <w:t>3</w:t>
      </w:r>
      <w:r>
        <w:rPr>
          <w:rFonts w:hint="eastAsia"/>
          <w:sz w:val="24"/>
          <w:szCs w:val="24"/>
        </w:rPr>
        <w:t>家的。</w:t>
      </w:r>
    </w:p>
    <w:p w14:paraId="6AA242F6">
      <w:pPr>
        <w:spacing w:line="400" w:lineRule="exact"/>
        <w:ind w:firstLine="482" w:firstLineChars="200"/>
        <w:outlineLvl w:val="1"/>
        <w:rPr>
          <w:b/>
          <w:sz w:val="24"/>
          <w:szCs w:val="24"/>
        </w:rPr>
      </w:pPr>
      <w:bookmarkStart w:id="23" w:name="_Toc227836525"/>
      <w:r>
        <w:rPr>
          <w:rFonts w:hint="eastAsia"/>
          <w:b/>
          <w:sz w:val="24"/>
          <w:szCs w:val="24"/>
        </w:rPr>
        <w:t>三、</w:t>
      </w:r>
      <w:r>
        <w:rPr>
          <w:rFonts w:hint="eastAsia" w:ascii="宋体"/>
          <w:b/>
          <w:sz w:val="24"/>
          <w:szCs w:val="24"/>
        </w:rPr>
        <w:t>综合评分</w:t>
      </w:r>
      <w:bookmarkEnd w:id="23"/>
    </w:p>
    <w:p w14:paraId="323DF835">
      <w:pPr>
        <w:spacing w:line="400" w:lineRule="exact"/>
        <w:ind w:firstLine="480" w:firstLineChars="200"/>
        <w:outlineLvl w:val="2"/>
        <w:rPr>
          <w:sz w:val="24"/>
          <w:szCs w:val="24"/>
        </w:rPr>
      </w:pPr>
      <w:r>
        <w:rPr>
          <w:sz w:val="24"/>
          <w:szCs w:val="24"/>
        </w:rPr>
        <w:t>1</w:t>
      </w:r>
      <w:r>
        <w:rPr>
          <w:rFonts w:hint="eastAsia" w:ascii="宋体"/>
          <w:sz w:val="24"/>
          <w:szCs w:val="24"/>
        </w:rPr>
        <w:t>除价格因素外，磋商小组成员应当根据自身专业情况独立对每个有效供应商的响应文件进行评价、打分。</w:t>
      </w:r>
    </w:p>
    <w:p w14:paraId="7136D76A">
      <w:pPr>
        <w:pStyle w:val="9"/>
        <w:spacing w:line="400" w:lineRule="exact"/>
        <w:ind w:firstLine="482" w:firstLineChars="200"/>
        <w:outlineLvl w:val="2"/>
        <w:rPr>
          <w:b/>
          <w:bCs/>
          <w:sz w:val="24"/>
          <w:szCs w:val="24"/>
        </w:rPr>
      </w:pPr>
      <w:r>
        <w:rPr>
          <w:b/>
          <w:bCs/>
          <w:sz w:val="24"/>
          <w:szCs w:val="24"/>
        </w:rPr>
        <w:t>2</w:t>
      </w:r>
      <w:r>
        <w:rPr>
          <w:rFonts w:hint="eastAsia" w:ascii="宋体"/>
          <w:b/>
          <w:bCs/>
          <w:sz w:val="24"/>
          <w:szCs w:val="24"/>
        </w:rPr>
        <w:t>综合评分明细表</w:t>
      </w:r>
    </w:p>
    <w:p w14:paraId="71DDADD6">
      <w:pPr>
        <w:pStyle w:val="9"/>
        <w:spacing w:line="400" w:lineRule="exact"/>
        <w:ind w:firstLine="480" w:firstLineChars="200"/>
        <w:rPr>
          <w:sz w:val="24"/>
          <w:szCs w:val="24"/>
        </w:rPr>
      </w:pPr>
      <w:r>
        <w:rPr>
          <w:sz w:val="24"/>
          <w:szCs w:val="24"/>
        </w:rPr>
        <w:t>2.1</w:t>
      </w:r>
      <w:r>
        <w:rPr>
          <w:rFonts w:hint="eastAsia" w:ascii="宋体"/>
          <w:sz w:val="24"/>
          <w:szCs w:val="24"/>
        </w:rPr>
        <w:t>综合评分明细表的制定以科学合理、降低评委会自由裁量权为原则。</w:t>
      </w:r>
    </w:p>
    <w:p w14:paraId="08D1E07E">
      <w:pPr>
        <w:spacing w:line="400" w:lineRule="exact"/>
        <w:ind w:firstLine="480" w:firstLineChars="200"/>
        <w:rPr>
          <w:sz w:val="24"/>
          <w:szCs w:val="24"/>
        </w:rPr>
      </w:pPr>
      <w:r>
        <w:rPr>
          <w:sz w:val="24"/>
          <w:szCs w:val="24"/>
        </w:rPr>
        <w:t>2.2</w:t>
      </w:r>
      <w:r>
        <w:rPr>
          <w:rFonts w:hint="eastAsia"/>
          <w:sz w:val="24"/>
          <w:szCs w:val="24"/>
        </w:rPr>
        <w:t>综合评分明细表</w:t>
      </w:r>
    </w:p>
    <w:tbl>
      <w:tblPr>
        <w:tblStyle w:val="23"/>
        <w:tblW w:w="5187" w:type="pct"/>
        <w:tblInd w:w="-31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10"/>
        <w:gridCol w:w="1276"/>
        <w:gridCol w:w="5103"/>
        <w:gridCol w:w="850"/>
        <w:gridCol w:w="903"/>
      </w:tblGrid>
      <w:tr w14:paraId="50BDC3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986" w:type="dxa"/>
            <w:gridSpan w:val="2"/>
            <w:tcBorders>
              <w:top w:val="single" w:color="auto" w:sz="4" w:space="0"/>
              <w:left w:val="single" w:color="auto" w:sz="4" w:space="0"/>
              <w:bottom w:val="single" w:color="auto" w:sz="4" w:space="0"/>
              <w:right w:val="single" w:color="auto" w:sz="4" w:space="0"/>
            </w:tcBorders>
            <w:vAlign w:val="center"/>
          </w:tcPr>
          <w:p w14:paraId="6A1FA18B">
            <w:pPr>
              <w:pStyle w:val="35"/>
              <w:jc w:val="center"/>
              <w:rPr>
                <w:rFonts w:ascii="宋体" w:hAnsi="宋体"/>
                <w:szCs w:val="24"/>
              </w:rPr>
            </w:pPr>
            <w:r>
              <w:rPr>
                <w:rFonts w:ascii="宋体" w:hAnsi="宋体"/>
                <w:szCs w:val="24"/>
              </w:rPr>
              <w:t xml:space="preserve"> </w:t>
            </w:r>
            <w:r>
              <w:rPr>
                <w:rFonts w:hint="eastAsia" w:ascii="宋体" w:hAnsi="宋体"/>
                <w:szCs w:val="24"/>
              </w:rPr>
              <w:t>评审因素</w:t>
            </w:r>
          </w:p>
        </w:tc>
        <w:tc>
          <w:tcPr>
            <w:tcW w:w="6856" w:type="dxa"/>
            <w:gridSpan w:val="3"/>
            <w:tcBorders>
              <w:top w:val="single" w:color="auto" w:sz="4" w:space="0"/>
              <w:left w:val="single" w:color="auto" w:sz="4" w:space="0"/>
              <w:bottom w:val="single" w:color="auto" w:sz="4" w:space="0"/>
              <w:right w:val="single" w:color="auto" w:sz="4" w:space="0"/>
            </w:tcBorders>
            <w:vAlign w:val="center"/>
          </w:tcPr>
          <w:p w14:paraId="44CB4CF7">
            <w:pPr>
              <w:pStyle w:val="35"/>
              <w:jc w:val="center"/>
              <w:rPr>
                <w:rFonts w:ascii="宋体" w:hAnsi="宋体"/>
                <w:szCs w:val="24"/>
              </w:rPr>
            </w:pPr>
            <w:r>
              <w:rPr>
                <w:rFonts w:ascii="宋体" w:hAnsi="宋体"/>
                <w:szCs w:val="24"/>
              </w:rPr>
              <w:t xml:space="preserve"> </w:t>
            </w:r>
            <w:r>
              <w:rPr>
                <w:rFonts w:hint="eastAsia" w:ascii="宋体" w:hAnsi="宋体"/>
                <w:szCs w:val="24"/>
              </w:rPr>
              <w:t>评审标准</w:t>
            </w:r>
          </w:p>
        </w:tc>
      </w:tr>
      <w:tr w14:paraId="6D6C4E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986" w:type="dxa"/>
            <w:gridSpan w:val="2"/>
            <w:tcBorders>
              <w:top w:val="single" w:color="auto" w:sz="4" w:space="0"/>
              <w:left w:val="single" w:color="auto" w:sz="4" w:space="0"/>
              <w:bottom w:val="single" w:color="auto" w:sz="4" w:space="0"/>
              <w:right w:val="single" w:color="auto" w:sz="4" w:space="0"/>
            </w:tcBorders>
            <w:vAlign w:val="center"/>
          </w:tcPr>
          <w:p w14:paraId="4E084140">
            <w:pPr>
              <w:pStyle w:val="35"/>
              <w:jc w:val="center"/>
              <w:rPr>
                <w:rFonts w:ascii="宋体" w:hAnsi="宋体"/>
                <w:szCs w:val="24"/>
              </w:rPr>
            </w:pPr>
            <w:r>
              <w:rPr>
                <w:rFonts w:ascii="宋体" w:hAnsi="宋体"/>
                <w:szCs w:val="24"/>
              </w:rPr>
              <w:t xml:space="preserve"> </w:t>
            </w:r>
            <w:r>
              <w:rPr>
                <w:rFonts w:hint="eastAsia" w:ascii="宋体" w:hAnsi="宋体"/>
                <w:szCs w:val="24"/>
              </w:rPr>
              <w:t>分值构成</w:t>
            </w:r>
          </w:p>
        </w:tc>
        <w:tc>
          <w:tcPr>
            <w:tcW w:w="6856" w:type="dxa"/>
            <w:gridSpan w:val="3"/>
            <w:tcBorders>
              <w:top w:val="single" w:color="auto" w:sz="4" w:space="0"/>
              <w:left w:val="single" w:color="auto" w:sz="4" w:space="0"/>
              <w:bottom w:val="single" w:color="auto" w:sz="4" w:space="0"/>
              <w:right w:val="single" w:color="auto" w:sz="4" w:space="0"/>
            </w:tcBorders>
            <w:vAlign w:val="center"/>
          </w:tcPr>
          <w:p w14:paraId="6A5966CD">
            <w:pPr>
              <w:pStyle w:val="35"/>
              <w:rPr>
                <w:rFonts w:ascii="宋体" w:hAnsi="宋体"/>
                <w:szCs w:val="24"/>
              </w:rPr>
            </w:pPr>
            <w:r>
              <w:rPr>
                <w:rFonts w:hint="eastAsia" w:ascii="宋体" w:hAnsi="宋体"/>
                <w:szCs w:val="24"/>
              </w:rPr>
              <w:t>详细评审</w:t>
            </w:r>
            <w:r>
              <w:rPr>
                <w:rFonts w:ascii="宋体" w:hAnsi="宋体"/>
                <w:szCs w:val="24"/>
              </w:rPr>
              <w:t>70.00</w:t>
            </w:r>
            <w:r>
              <w:rPr>
                <w:rFonts w:hint="eastAsia" w:ascii="宋体" w:hAnsi="宋体"/>
                <w:szCs w:val="24"/>
              </w:rPr>
              <w:t>分</w:t>
            </w:r>
          </w:p>
          <w:p w14:paraId="39A088B6">
            <w:pPr>
              <w:pStyle w:val="35"/>
              <w:rPr>
                <w:rFonts w:ascii="宋体" w:hAnsi="宋体"/>
                <w:szCs w:val="24"/>
              </w:rPr>
            </w:pPr>
            <w:r>
              <w:rPr>
                <w:rFonts w:hint="eastAsia" w:ascii="宋体" w:hAnsi="宋体"/>
                <w:szCs w:val="24"/>
              </w:rPr>
              <w:t>报价得分</w:t>
            </w:r>
            <w:r>
              <w:rPr>
                <w:rFonts w:ascii="宋体" w:hAnsi="宋体"/>
                <w:szCs w:val="24"/>
              </w:rPr>
              <w:t>30.00</w:t>
            </w:r>
            <w:r>
              <w:rPr>
                <w:rFonts w:hint="eastAsia" w:ascii="宋体" w:hAnsi="宋体"/>
                <w:szCs w:val="24"/>
              </w:rPr>
              <w:t>分</w:t>
            </w:r>
          </w:p>
        </w:tc>
      </w:tr>
      <w:tr w14:paraId="11EB82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10" w:type="dxa"/>
            <w:tcBorders>
              <w:top w:val="single" w:color="auto" w:sz="4" w:space="0"/>
              <w:left w:val="single" w:color="auto" w:sz="4" w:space="0"/>
              <w:bottom w:val="single" w:color="auto" w:sz="4" w:space="0"/>
              <w:right w:val="single" w:color="auto" w:sz="4" w:space="0"/>
            </w:tcBorders>
            <w:vAlign w:val="center"/>
          </w:tcPr>
          <w:p w14:paraId="3AA9DFA1">
            <w:pPr>
              <w:pStyle w:val="35"/>
              <w:jc w:val="center"/>
              <w:rPr>
                <w:rFonts w:ascii="宋体" w:hAnsi="宋体"/>
                <w:szCs w:val="24"/>
              </w:rPr>
            </w:pPr>
            <w:r>
              <w:rPr>
                <w:rFonts w:hint="eastAsia" w:ascii="宋体" w:hAnsi="宋体"/>
                <w:szCs w:val="24"/>
              </w:rPr>
              <w:t>评审因素分类</w:t>
            </w:r>
          </w:p>
        </w:tc>
        <w:tc>
          <w:tcPr>
            <w:tcW w:w="1276" w:type="dxa"/>
            <w:tcBorders>
              <w:top w:val="single" w:color="auto" w:sz="4" w:space="0"/>
              <w:left w:val="single" w:color="auto" w:sz="4" w:space="0"/>
              <w:bottom w:val="single" w:color="auto" w:sz="4" w:space="0"/>
              <w:right w:val="single" w:color="auto" w:sz="4" w:space="0"/>
            </w:tcBorders>
            <w:vAlign w:val="center"/>
          </w:tcPr>
          <w:p w14:paraId="3F223D99">
            <w:pPr>
              <w:pStyle w:val="35"/>
              <w:jc w:val="center"/>
              <w:rPr>
                <w:rFonts w:ascii="宋体" w:hAnsi="宋体"/>
                <w:szCs w:val="24"/>
              </w:rPr>
            </w:pPr>
            <w:r>
              <w:rPr>
                <w:rFonts w:hint="eastAsia" w:ascii="宋体" w:hAnsi="宋体"/>
                <w:szCs w:val="24"/>
              </w:rPr>
              <w:t>评审项</w:t>
            </w:r>
          </w:p>
        </w:tc>
        <w:tc>
          <w:tcPr>
            <w:tcW w:w="5103" w:type="dxa"/>
            <w:tcBorders>
              <w:top w:val="single" w:color="auto" w:sz="4" w:space="0"/>
              <w:left w:val="single" w:color="auto" w:sz="4" w:space="0"/>
              <w:bottom w:val="single" w:color="auto" w:sz="4" w:space="0"/>
              <w:right w:val="single" w:color="auto" w:sz="4" w:space="0"/>
            </w:tcBorders>
            <w:vAlign w:val="center"/>
          </w:tcPr>
          <w:p w14:paraId="0EB210AC">
            <w:pPr>
              <w:pStyle w:val="35"/>
              <w:jc w:val="center"/>
              <w:rPr>
                <w:rFonts w:ascii="宋体" w:hAnsi="宋体"/>
                <w:szCs w:val="24"/>
              </w:rPr>
            </w:pPr>
            <w:r>
              <w:rPr>
                <w:rFonts w:hint="eastAsia" w:ascii="宋体" w:hAnsi="宋体"/>
                <w:szCs w:val="24"/>
              </w:rPr>
              <w:t>详细描述</w:t>
            </w:r>
          </w:p>
        </w:tc>
        <w:tc>
          <w:tcPr>
            <w:tcW w:w="850" w:type="dxa"/>
            <w:tcBorders>
              <w:top w:val="single" w:color="auto" w:sz="4" w:space="0"/>
              <w:left w:val="single" w:color="auto" w:sz="4" w:space="0"/>
              <w:bottom w:val="single" w:color="auto" w:sz="4" w:space="0"/>
              <w:right w:val="single" w:color="auto" w:sz="4" w:space="0"/>
            </w:tcBorders>
            <w:vAlign w:val="center"/>
          </w:tcPr>
          <w:p w14:paraId="0CAC97C5">
            <w:pPr>
              <w:pStyle w:val="35"/>
              <w:jc w:val="center"/>
              <w:rPr>
                <w:rFonts w:ascii="宋体" w:hAnsi="宋体"/>
                <w:szCs w:val="24"/>
              </w:rPr>
            </w:pPr>
            <w:r>
              <w:rPr>
                <w:rFonts w:hint="eastAsia" w:ascii="宋体" w:hAnsi="宋体"/>
                <w:szCs w:val="24"/>
              </w:rPr>
              <w:t>分值</w:t>
            </w:r>
          </w:p>
        </w:tc>
        <w:tc>
          <w:tcPr>
            <w:tcW w:w="903" w:type="dxa"/>
            <w:tcBorders>
              <w:top w:val="single" w:color="auto" w:sz="4" w:space="0"/>
              <w:left w:val="single" w:color="auto" w:sz="4" w:space="0"/>
              <w:bottom w:val="single" w:color="auto" w:sz="4" w:space="0"/>
              <w:right w:val="single" w:color="auto" w:sz="4" w:space="0"/>
            </w:tcBorders>
            <w:vAlign w:val="center"/>
          </w:tcPr>
          <w:p w14:paraId="15C9D388">
            <w:pPr>
              <w:pStyle w:val="35"/>
              <w:jc w:val="center"/>
              <w:rPr>
                <w:rFonts w:ascii="宋体" w:hAnsi="宋体"/>
                <w:szCs w:val="24"/>
              </w:rPr>
            </w:pPr>
            <w:r>
              <w:rPr>
                <w:rFonts w:hint="eastAsia" w:ascii="宋体" w:hAnsi="宋体"/>
                <w:szCs w:val="24"/>
              </w:rPr>
              <w:t>客观</w:t>
            </w:r>
            <w:r>
              <w:rPr>
                <w:rFonts w:ascii="宋体" w:hAnsi="宋体"/>
                <w:szCs w:val="24"/>
              </w:rPr>
              <w:t>/</w:t>
            </w:r>
            <w:r>
              <w:rPr>
                <w:rFonts w:hint="eastAsia" w:ascii="宋体" w:hAnsi="宋体"/>
                <w:szCs w:val="24"/>
              </w:rPr>
              <w:t>主观</w:t>
            </w:r>
          </w:p>
        </w:tc>
      </w:tr>
      <w:tr w14:paraId="1D96F3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10" w:type="dxa"/>
            <w:vMerge w:val="restart"/>
            <w:tcBorders>
              <w:top w:val="nil"/>
              <w:left w:val="single" w:color="auto" w:sz="4" w:space="0"/>
              <w:right w:val="single" w:color="auto" w:sz="4" w:space="0"/>
            </w:tcBorders>
            <w:vAlign w:val="center"/>
          </w:tcPr>
          <w:p w14:paraId="0F7DD1EF">
            <w:pPr>
              <w:pStyle w:val="35"/>
              <w:rPr>
                <w:rFonts w:ascii="宋体" w:hAnsi="宋体"/>
                <w:szCs w:val="24"/>
              </w:rPr>
            </w:pPr>
            <w:r>
              <w:rPr>
                <w:rFonts w:hint="eastAsia" w:ascii="宋体" w:hAnsi="宋体"/>
                <w:szCs w:val="24"/>
              </w:rPr>
              <w:t>技术评分（4</w:t>
            </w:r>
            <w:r>
              <w:rPr>
                <w:rFonts w:ascii="宋体" w:hAnsi="宋体"/>
                <w:szCs w:val="24"/>
              </w:rPr>
              <w:t>0分</w:t>
            </w:r>
            <w:r>
              <w:rPr>
                <w:rFonts w:hint="eastAsia" w:ascii="宋体" w:hAnsi="宋体"/>
                <w:szCs w:val="24"/>
              </w:rPr>
              <w:t>）</w:t>
            </w:r>
          </w:p>
        </w:tc>
        <w:tc>
          <w:tcPr>
            <w:tcW w:w="1276" w:type="dxa"/>
            <w:tcBorders>
              <w:top w:val="single" w:color="auto" w:sz="4" w:space="0"/>
              <w:left w:val="single" w:color="auto" w:sz="4" w:space="0"/>
              <w:bottom w:val="single" w:color="auto" w:sz="4" w:space="0"/>
              <w:right w:val="single" w:color="auto" w:sz="4" w:space="0"/>
            </w:tcBorders>
            <w:vAlign w:val="center"/>
          </w:tcPr>
          <w:p w14:paraId="198C18FD">
            <w:pPr>
              <w:pStyle w:val="35"/>
              <w:rPr>
                <w:rFonts w:ascii="宋体" w:hAnsi="宋体"/>
                <w:szCs w:val="24"/>
              </w:rPr>
            </w:pPr>
            <w:r>
              <w:rPr>
                <w:rFonts w:hint="eastAsia" w:ascii="宋体" w:hAnsi="宋体"/>
                <w:szCs w:val="24"/>
              </w:rPr>
              <w:t>技术方案</w:t>
            </w:r>
          </w:p>
        </w:tc>
        <w:tc>
          <w:tcPr>
            <w:tcW w:w="5103" w:type="dxa"/>
            <w:tcBorders>
              <w:top w:val="single" w:color="auto" w:sz="4" w:space="0"/>
              <w:left w:val="single" w:color="auto" w:sz="4" w:space="0"/>
              <w:bottom w:val="single" w:color="auto" w:sz="4" w:space="0"/>
              <w:right w:val="single" w:color="auto" w:sz="4" w:space="0"/>
            </w:tcBorders>
            <w:vAlign w:val="center"/>
          </w:tcPr>
          <w:p w14:paraId="3379E377">
            <w:pPr>
              <w:pStyle w:val="9"/>
              <w:tabs>
                <w:tab w:val="center" w:pos="4153"/>
                <w:tab w:val="right" w:pos="8306"/>
              </w:tabs>
              <w:ind w:firstLine="0"/>
              <w:rPr>
                <w:rFonts w:ascii="宋体" w:hAnsi="宋体" w:cs="Arial"/>
                <w:sz w:val="24"/>
                <w:szCs w:val="24"/>
              </w:rPr>
            </w:pPr>
            <w:r>
              <w:rPr>
                <w:rFonts w:hint="eastAsia" w:ascii="宋体" w:hAnsi="宋体" w:cs="Arial"/>
                <w:sz w:val="24"/>
                <w:szCs w:val="24"/>
              </w:rPr>
              <w:t>（1）项目方案符合国家标准及规程、规范要求，内容全面完整，科学严谨、经济合理。优得5-8分，良得3-5分，一般得1-3分。</w:t>
            </w:r>
          </w:p>
          <w:p w14:paraId="20238D60">
            <w:pPr>
              <w:pStyle w:val="9"/>
              <w:tabs>
                <w:tab w:val="center" w:pos="4153"/>
                <w:tab w:val="right" w:pos="8306"/>
              </w:tabs>
              <w:ind w:firstLine="0"/>
              <w:rPr>
                <w:rFonts w:hint="eastAsia" w:ascii="宋体" w:hAnsi="宋体" w:cs="Arial"/>
                <w:sz w:val="24"/>
                <w:szCs w:val="24"/>
              </w:rPr>
            </w:pPr>
            <w:r>
              <w:rPr>
                <w:rFonts w:hint="eastAsia" w:ascii="宋体" w:hAnsi="宋体" w:cs="Arial"/>
                <w:sz w:val="24"/>
                <w:szCs w:val="24"/>
              </w:rPr>
              <w:t>（2）技术路线和工作流程总体设计的科学、合理、适用。优得5-8分，良得3-5分，一般得1-3分。</w:t>
            </w:r>
          </w:p>
          <w:p w14:paraId="79BF2F22">
            <w:pPr>
              <w:pStyle w:val="35"/>
              <w:jc w:val="both"/>
              <w:rPr>
                <w:rFonts w:ascii="宋体" w:hAnsi="宋体"/>
                <w:szCs w:val="24"/>
              </w:rPr>
            </w:pPr>
            <w:r>
              <w:rPr>
                <w:rFonts w:hint="eastAsia" w:ascii="宋体" w:hAnsi="宋体" w:cs="宋体"/>
                <w:szCs w:val="24"/>
              </w:rPr>
              <w:t>以上</w:t>
            </w:r>
            <w:r>
              <w:rPr>
                <w:rFonts w:hint="eastAsia" w:ascii="宋体" w:hAnsi="宋体" w:cs="Arial"/>
                <w:szCs w:val="24"/>
              </w:rPr>
              <w:t>没有内容不得分。</w:t>
            </w:r>
          </w:p>
        </w:tc>
        <w:tc>
          <w:tcPr>
            <w:tcW w:w="850" w:type="dxa"/>
            <w:tcBorders>
              <w:top w:val="single" w:color="auto" w:sz="4" w:space="0"/>
              <w:left w:val="single" w:color="auto" w:sz="4" w:space="0"/>
              <w:bottom w:val="single" w:color="auto" w:sz="4" w:space="0"/>
              <w:right w:val="single" w:color="auto" w:sz="4" w:space="0"/>
            </w:tcBorders>
            <w:vAlign w:val="center"/>
          </w:tcPr>
          <w:p w14:paraId="7297A65E">
            <w:pPr>
              <w:pStyle w:val="35"/>
              <w:jc w:val="center"/>
              <w:rPr>
                <w:rFonts w:ascii="宋体" w:hAnsi="宋体"/>
                <w:szCs w:val="24"/>
              </w:rPr>
            </w:pPr>
            <w:r>
              <w:rPr>
                <w:rFonts w:ascii="宋体" w:hAnsi="宋体"/>
                <w:szCs w:val="24"/>
              </w:rPr>
              <w:t>16.00</w:t>
            </w:r>
          </w:p>
        </w:tc>
        <w:tc>
          <w:tcPr>
            <w:tcW w:w="903" w:type="dxa"/>
            <w:tcBorders>
              <w:top w:val="single" w:color="auto" w:sz="4" w:space="0"/>
              <w:left w:val="single" w:color="auto" w:sz="4" w:space="0"/>
              <w:bottom w:val="single" w:color="auto" w:sz="4" w:space="0"/>
              <w:right w:val="single" w:color="auto" w:sz="4" w:space="0"/>
            </w:tcBorders>
            <w:vAlign w:val="center"/>
          </w:tcPr>
          <w:p w14:paraId="08F74912">
            <w:pPr>
              <w:pStyle w:val="35"/>
              <w:jc w:val="center"/>
              <w:rPr>
                <w:rFonts w:ascii="宋体" w:hAnsi="宋体"/>
                <w:szCs w:val="24"/>
              </w:rPr>
            </w:pPr>
            <w:r>
              <w:rPr>
                <w:rFonts w:hint="eastAsia" w:ascii="宋体" w:hAnsi="宋体"/>
                <w:szCs w:val="24"/>
              </w:rPr>
              <w:t>主观</w:t>
            </w:r>
          </w:p>
        </w:tc>
      </w:tr>
      <w:tr w14:paraId="4D3FFA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10" w:type="dxa"/>
            <w:vMerge w:val="continue"/>
            <w:tcBorders>
              <w:left w:val="single" w:color="auto" w:sz="4" w:space="0"/>
              <w:right w:val="single" w:color="auto" w:sz="4" w:space="0"/>
            </w:tcBorders>
            <w:vAlign w:val="center"/>
          </w:tcPr>
          <w:p w14:paraId="08D5560B"/>
        </w:tc>
        <w:tc>
          <w:tcPr>
            <w:tcW w:w="1276" w:type="dxa"/>
            <w:tcBorders>
              <w:top w:val="single" w:color="auto" w:sz="4" w:space="0"/>
              <w:left w:val="single" w:color="auto" w:sz="4" w:space="0"/>
              <w:bottom w:val="single" w:color="auto" w:sz="4" w:space="0"/>
              <w:right w:val="single" w:color="auto" w:sz="4" w:space="0"/>
            </w:tcBorders>
            <w:vAlign w:val="center"/>
          </w:tcPr>
          <w:p w14:paraId="7FA4B9F5">
            <w:pPr>
              <w:pStyle w:val="35"/>
              <w:rPr>
                <w:rFonts w:hint="eastAsia" w:ascii="宋体" w:hAnsi="宋体"/>
                <w:szCs w:val="24"/>
              </w:rPr>
            </w:pPr>
            <w:r>
              <w:rPr>
                <w:rFonts w:hint="eastAsia" w:ascii="宋体" w:hAnsi="宋体" w:cs="宋体"/>
                <w:szCs w:val="24"/>
              </w:rPr>
              <w:t>组织管理（6分）</w:t>
            </w:r>
          </w:p>
        </w:tc>
        <w:tc>
          <w:tcPr>
            <w:tcW w:w="5103" w:type="dxa"/>
            <w:tcBorders>
              <w:top w:val="single" w:color="auto" w:sz="4" w:space="0"/>
              <w:left w:val="single" w:color="auto" w:sz="4" w:space="0"/>
              <w:bottom w:val="single" w:color="auto" w:sz="4" w:space="0"/>
              <w:right w:val="single" w:color="auto" w:sz="4" w:space="0"/>
            </w:tcBorders>
          </w:tcPr>
          <w:p w14:paraId="257D40A0">
            <w:pPr>
              <w:rPr>
                <w:rFonts w:hint="eastAsia" w:ascii="宋体" w:hAnsi="宋体"/>
                <w:sz w:val="24"/>
                <w:szCs w:val="24"/>
              </w:rPr>
            </w:pPr>
            <w:r>
              <w:rPr>
                <w:rFonts w:hint="eastAsia" w:ascii="宋体" w:hAnsi="宋体"/>
                <w:sz w:val="24"/>
                <w:szCs w:val="24"/>
              </w:rPr>
              <w:t>组织机构设置是否齐全、制度是否健全、职责分工是否明确，优得4-6分，良得2-4分，一般得1-2分，没有内容不得分。</w:t>
            </w:r>
          </w:p>
        </w:tc>
        <w:tc>
          <w:tcPr>
            <w:tcW w:w="850" w:type="dxa"/>
            <w:tcBorders>
              <w:top w:val="single" w:color="auto" w:sz="4" w:space="0"/>
              <w:left w:val="single" w:color="auto" w:sz="4" w:space="0"/>
              <w:bottom w:val="single" w:color="auto" w:sz="4" w:space="0"/>
              <w:right w:val="single" w:color="auto" w:sz="4" w:space="0"/>
            </w:tcBorders>
            <w:vAlign w:val="center"/>
          </w:tcPr>
          <w:p w14:paraId="4CA4FC9B">
            <w:pPr>
              <w:pStyle w:val="35"/>
              <w:jc w:val="center"/>
              <w:rPr>
                <w:rFonts w:ascii="宋体" w:hAnsi="宋体"/>
                <w:szCs w:val="24"/>
              </w:rPr>
            </w:pPr>
            <w:r>
              <w:rPr>
                <w:rFonts w:hint="eastAsia" w:ascii="宋体" w:hAnsi="宋体"/>
                <w:szCs w:val="24"/>
              </w:rPr>
              <w:t>6</w:t>
            </w:r>
            <w:r>
              <w:rPr>
                <w:rFonts w:ascii="宋体" w:hAnsi="宋体"/>
                <w:szCs w:val="24"/>
              </w:rPr>
              <w:t>.00</w:t>
            </w:r>
          </w:p>
        </w:tc>
        <w:tc>
          <w:tcPr>
            <w:tcW w:w="903" w:type="dxa"/>
            <w:tcBorders>
              <w:top w:val="single" w:color="auto" w:sz="4" w:space="0"/>
              <w:left w:val="single" w:color="auto" w:sz="4" w:space="0"/>
              <w:bottom w:val="single" w:color="auto" w:sz="4" w:space="0"/>
              <w:right w:val="single" w:color="auto" w:sz="4" w:space="0"/>
            </w:tcBorders>
          </w:tcPr>
          <w:p w14:paraId="0499731E">
            <w:pPr>
              <w:pStyle w:val="35"/>
              <w:jc w:val="center"/>
              <w:rPr>
                <w:rFonts w:hint="eastAsia" w:ascii="宋体" w:hAnsi="宋体"/>
                <w:szCs w:val="24"/>
              </w:rPr>
            </w:pPr>
            <w:r>
              <w:rPr>
                <w:rFonts w:hint="eastAsia" w:ascii="宋体" w:hAnsi="宋体"/>
                <w:szCs w:val="24"/>
              </w:rPr>
              <w:t>主观</w:t>
            </w:r>
          </w:p>
        </w:tc>
      </w:tr>
      <w:tr w14:paraId="6DDA84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10" w:type="dxa"/>
            <w:vMerge w:val="continue"/>
            <w:tcBorders>
              <w:left w:val="single" w:color="auto" w:sz="4" w:space="0"/>
              <w:right w:val="single" w:color="auto" w:sz="4" w:space="0"/>
            </w:tcBorders>
            <w:vAlign w:val="center"/>
          </w:tcPr>
          <w:p w14:paraId="55B0375D"/>
        </w:tc>
        <w:tc>
          <w:tcPr>
            <w:tcW w:w="1276" w:type="dxa"/>
            <w:tcBorders>
              <w:top w:val="single" w:color="auto" w:sz="4" w:space="0"/>
              <w:left w:val="single" w:color="auto" w:sz="4" w:space="0"/>
              <w:bottom w:val="single" w:color="auto" w:sz="4" w:space="0"/>
              <w:right w:val="single" w:color="auto" w:sz="4" w:space="0"/>
            </w:tcBorders>
            <w:vAlign w:val="center"/>
          </w:tcPr>
          <w:p w14:paraId="2D2ACB9E">
            <w:pPr>
              <w:pStyle w:val="35"/>
              <w:rPr>
                <w:rFonts w:hint="eastAsia" w:ascii="宋体" w:hAnsi="宋体"/>
                <w:szCs w:val="24"/>
              </w:rPr>
            </w:pPr>
            <w:r>
              <w:rPr>
                <w:rFonts w:hint="eastAsia" w:ascii="宋体" w:hAnsi="宋体" w:cs="宋体"/>
                <w:szCs w:val="24"/>
              </w:rPr>
              <w:t>进度计划及保障措施（6分）</w:t>
            </w:r>
          </w:p>
        </w:tc>
        <w:tc>
          <w:tcPr>
            <w:tcW w:w="5103" w:type="dxa"/>
            <w:tcBorders>
              <w:top w:val="single" w:color="auto" w:sz="4" w:space="0"/>
              <w:left w:val="single" w:color="auto" w:sz="4" w:space="0"/>
              <w:bottom w:val="single" w:color="auto" w:sz="4" w:space="0"/>
              <w:right w:val="single" w:color="auto" w:sz="4" w:space="0"/>
            </w:tcBorders>
          </w:tcPr>
          <w:p w14:paraId="1057EEF3">
            <w:pPr>
              <w:rPr>
                <w:rFonts w:hint="eastAsia" w:ascii="宋体" w:hAnsi="宋体"/>
                <w:sz w:val="24"/>
                <w:szCs w:val="24"/>
              </w:rPr>
            </w:pPr>
            <w:r>
              <w:rPr>
                <w:rFonts w:hint="eastAsia" w:ascii="宋体" w:hAnsi="宋体"/>
                <w:sz w:val="24"/>
                <w:szCs w:val="24"/>
              </w:rPr>
              <w:t>进度安排合理、工序管理措施科学、保障措施全面。优得4-6分，良得2-4分，一般得1-2分，没有内容不得分。</w:t>
            </w:r>
          </w:p>
        </w:tc>
        <w:tc>
          <w:tcPr>
            <w:tcW w:w="850" w:type="dxa"/>
            <w:tcBorders>
              <w:top w:val="single" w:color="auto" w:sz="4" w:space="0"/>
              <w:left w:val="single" w:color="auto" w:sz="4" w:space="0"/>
              <w:bottom w:val="single" w:color="auto" w:sz="4" w:space="0"/>
              <w:right w:val="single" w:color="auto" w:sz="4" w:space="0"/>
            </w:tcBorders>
            <w:vAlign w:val="center"/>
          </w:tcPr>
          <w:p w14:paraId="707D00DA">
            <w:pPr>
              <w:pStyle w:val="35"/>
              <w:jc w:val="center"/>
              <w:rPr>
                <w:rFonts w:ascii="宋体" w:hAnsi="宋体"/>
                <w:szCs w:val="24"/>
              </w:rPr>
            </w:pPr>
            <w:r>
              <w:rPr>
                <w:rFonts w:hint="eastAsia" w:ascii="宋体" w:hAnsi="宋体"/>
                <w:szCs w:val="24"/>
              </w:rPr>
              <w:t>6</w:t>
            </w:r>
            <w:r>
              <w:rPr>
                <w:rFonts w:ascii="宋体" w:hAnsi="宋体"/>
                <w:szCs w:val="24"/>
              </w:rPr>
              <w:t>.00</w:t>
            </w:r>
          </w:p>
        </w:tc>
        <w:tc>
          <w:tcPr>
            <w:tcW w:w="903" w:type="dxa"/>
            <w:tcBorders>
              <w:top w:val="single" w:color="auto" w:sz="4" w:space="0"/>
              <w:left w:val="single" w:color="auto" w:sz="4" w:space="0"/>
              <w:bottom w:val="single" w:color="auto" w:sz="4" w:space="0"/>
              <w:right w:val="single" w:color="auto" w:sz="4" w:space="0"/>
            </w:tcBorders>
          </w:tcPr>
          <w:p w14:paraId="0DDA2012">
            <w:pPr>
              <w:pStyle w:val="35"/>
              <w:jc w:val="center"/>
              <w:rPr>
                <w:rFonts w:hint="eastAsia" w:ascii="宋体" w:hAnsi="宋体"/>
                <w:szCs w:val="24"/>
              </w:rPr>
            </w:pPr>
            <w:r>
              <w:rPr>
                <w:rFonts w:hint="eastAsia" w:ascii="宋体" w:hAnsi="宋体"/>
                <w:szCs w:val="24"/>
              </w:rPr>
              <w:t>主观</w:t>
            </w:r>
          </w:p>
        </w:tc>
      </w:tr>
      <w:tr w14:paraId="7006C5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10" w:type="dxa"/>
            <w:vMerge w:val="continue"/>
            <w:tcBorders>
              <w:left w:val="single" w:color="auto" w:sz="4" w:space="0"/>
              <w:right w:val="single" w:color="auto" w:sz="4" w:space="0"/>
            </w:tcBorders>
            <w:vAlign w:val="center"/>
          </w:tcPr>
          <w:p w14:paraId="17CBF533"/>
        </w:tc>
        <w:tc>
          <w:tcPr>
            <w:tcW w:w="1276" w:type="dxa"/>
            <w:tcBorders>
              <w:top w:val="single" w:color="auto" w:sz="4" w:space="0"/>
              <w:left w:val="single" w:color="auto" w:sz="4" w:space="0"/>
              <w:bottom w:val="single" w:color="auto" w:sz="4" w:space="0"/>
              <w:right w:val="single" w:color="auto" w:sz="4" w:space="0"/>
            </w:tcBorders>
            <w:vAlign w:val="center"/>
          </w:tcPr>
          <w:p w14:paraId="6FF83499">
            <w:pPr>
              <w:pStyle w:val="35"/>
              <w:rPr>
                <w:rFonts w:hint="eastAsia" w:ascii="宋体" w:hAnsi="宋体"/>
                <w:szCs w:val="24"/>
              </w:rPr>
            </w:pPr>
            <w:r>
              <w:rPr>
                <w:rFonts w:hint="eastAsia" w:ascii="宋体" w:hAnsi="宋体" w:cs="宋体"/>
                <w:szCs w:val="24"/>
              </w:rPr>
              <w:t>质量保证措施（6分）</w:t>
            </w:r>
          </w:p>
        </w:tc>
        <w:tc>
          <w:tcPr>
            <w:tcW w:w="5103" w:type="dxa"/>
            <w:tcBorders>
              <w:top w:val="single" w:color="auto" w:sz="4" w:space="0"/>
              <w:left w:val="single" w:color="auto" w:sz="4" w:space="0"/>
              <w:bottom w:val="single" w:color="auto" w:sz="4" w:space="0"/>
              <w:right w:val="single" w:color="auto" w:sz="4" w:space="0"/>
            </w:tcBorders>
          </w:tcPr>
          <w:p w14:paraId="41DCA37B">
            <w:pPr>
              <w:rPr>
                <w:rFonts w:hint="eastAsia" w:ascii="宋体" w:hAnsi="宋体"/>
                <w:sz w:val="24"/>
                <w:szCs w:val="24"/>
              </w:rPr>
            </w:pPr>
            <w:r>
              <w:rPr>
                <w:rFonts w:hint="eastAsia" w:ascii="宋体" w:hAnsi="宋体"/>
                <w:sz w:val="24"/>
                <w:szCs w:val="24"/>
              </w:rPr>
              <w:t>质量保证措施科学、合理、严谨、周密，有完善健全的质量管理体系。优得4-6分，良得2-4分，一般得1-2分，没有内容不得分。</w:t>
            </w:r>
          </w:p>
        </w:tc>
        <w:tc>
          <w:tcPr>
            <w:tcW w:w="850" w:type="dxa"/>
            <w:tcBorders>
              <w:top w:val="single" w:color="auto" w:sz="4" w:space="0"/>
              <w:left w:val="single" w:color="auto" w:sz="4" w:space="0"/>
              <w:bottom w:val="single" w:color="auto" w:sz="4" w:space="0"/>
              <w:right w:val="single" w:color="auto" w:sz="4" w:space="0"/>
            </w:tcBorders>
            <w:vAlign w:val="center"/>
          </w:tcPr>
          <w:p w14:paraId="57CBA389">
            <w:pPr>
              <w:pStyle w:val="35"/>
              <w:jc w:val="center"/>
              <w:rPr>
                <w:rFonts w:ascii="宋体" w:hAnsi="宋体"/>
                <w:szCs w:val="24"/>
              </w:rPr>
            </w:pPr>
            <w:r>
              <w:rPr>
                <w:rFonts w:hint="eastAsia" w:ascii="宋体" w:hAnsi="宋体"/>
                <w:szCs w:val="24"/>
              </w:rPr>
              <w:t>6</w:t>
            </w:r>
            <w:r>
              <w:rPr>
                <w:rFonts w:ascii="宋体" w:hAnsi="宋体"/>
                <w:szCs w:val="24"/>
              </w:rPr>
              <w:t>.00</w:t>
            </w:r>
          </w:p>
        </w:tc>
        <w:tc>
          <w:tcPr>
            <w:tcW w:w="903" w:type="dxa"/>
            <w:tcBorders>
              <w:top w:val="single" w:color="auto" w:sz="4" w:space="0"/>
              <w:left w:val="single" w:color="auto" w:sz="4" w:space="0"/>
              <w:bottom w:val="single" w:color="auto" w:sz="4" w:space="0"/>
              <w:right w:val="single" w:color="auto" w:sz="4" w:space="0"/>
            </w:tcBorders>
          </w:tcPr>
          <w:p w14:paraId="0E94BB59">
            <w:pPr>
              <w:pStyle w:val="35"/>
              <w:jc w:val="center"/>
              <w:rPr>
                <w:rFonts w:hint="eastAsia" w:ascii="宋体" w:hAnsi="宋体"/>
                <w:szCs w:val="24"/>
              </w:rPr>
            </w:pPr>
            <w:r>
              <w:rPr>
                <w:rFonts w:hint="eastAsia" w:ascii="宋体" w:hAnsi="宋体"/>
                <w:szCs w:val="24"/>
              </w:rPr>
              <w:t>主观</w:t>
            </w:r>
          </w:p>
        </w:tc>
      </w:tr>
      <w:tr w14:paraId="552A07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10" w:type="dxa"/>
            <w:vMerge w:val="continue"/>
            <w:tcBorders>
              <w:left w:val="single" w:color="auto" w:sz="4" w:space="0"/>
              <w:bottom w:val="single" w:color="auto" w:sz="4" w:space="0"/>
              <w:right w:val="single" w:color="auto" w:sz="4" w:space="0"/>
            </w:tcBorders>
            <w:vAlign w:val="center"/>
          </w:tcPr>
          <w:p w14:paraId="42A633FD"/>
        </w:tc>
        <w:tc>
          <w:tcPr>
            <w:tcW w:w="1276" w:type="dxa"/>
            <w:tcBorders>
              <w:top w:val="single" w:color="auto" w:sz="4" w:space="0"/>
              <w:left w:val="single" w:color="auto" w:sz="4" w:space="0"/>
              <w:bottom w:val="single" w:color="auto" w:sz="4" w:space="0"/>
              <w:right w:val="single" w:color="auto" w:sz="4" w:space="0"/>
            </w:tcBorders>
            <w:vAlign w:val="center"/>
          </w:tcPr>
          <w:p w14:paraId="19BA5F18">
            <w:pPr>
              <w:pStyle w:val="35"/>
              <w:rPr>
                <w:rFonts w:hint="eastAsia" w:ascii="宋体" w:hAnsi="宋体"/>
                <w:szCs w:val="24"/>
              </w:rPr>
            </w:pPr>
            <w:r>
              <w:rPr>
                <w:rFonts w:hint="eastAsia" w:ascii="宋体" w:hAnsi="宋体" w:cs="宋体"/>
                <w:szCs w:val="24"/>
              </w:rPr>
              <w:t>安全、保密措施（6分）</w:t>
            </w:r>
          </w:p>
        </w:tc>
        <w:tc>
          <w:tcPr>
            <w:tcW w:w="5103" w:type="dxa"/>
            <w:tcBorders>
              <w:top w:val="single" w:color="auto" w:sz="4" w:space="0"/>
              <w:left w:val="single" w:color="auto" w:sz="4" w:space="0"/>
              <w:bottom w:val="single" w:color="auto" w:sz="4" w:space="0"/>
              <w:right w:val="single" w:color="auto" w:sz="4" w:space="0"/>
            </w:tcBorders>
          </w:tcPr>
          <w:p w14:paraId="6AC6FDB3">
            <w:pPr>
              <w:rPr>
                <w:rFonts w:ascii="宋体" w:hAnsi="宋体"/>
                <w:sz w:val="24"/>
                <w:szCs w:val="24"/>
              </w:rPr>
            </w:pPr>
            <w:r>
              <w:rPr>
                <w:rFonts w:hint="eastAsia" w:ascii="宋体" w:hAnsi="宋体"/>
                <w:sz w:val="24"/>
                <w:szCs w:val="24"/>
              </w:rPr>
              <w:t>建立安全责任制度、数据资料保密管理制度，管理制度可靠合理。优得4-6分，良得2-4分，一般得1-2分，没有内容不得分。</w:t>
            </w:r>
          </w:p>
        </w:tc>
        <w:tc>
          <w:tcPr>
            <w:tcW w:w="850" w:type="dxa"/>
            <w:tcBorders>
              <w:top w:val="single" w:color="auto" w:sz="4" w:space="0"/>
              <w:left w:val="single" w:color="auto" w:sz="4" w:space="0"/>
              <w:bottom w:val="single" w:color="auto" w:sz="4" w:space="0"/>
              <w:right w:val="single" w:color="auto" w:sz="4" w:space="0"/>
            </w:tcBorders>
            <w:vAlign w:val="center"/>
          </w:tcPr>
          <w:p w14:paraId="3C34628C">
            <w:pPr>
              <w:pStyle w:val="35"/>
              <w:jc w:val="center"/>
              <w:rPr>
                <w:rFonts w:ascii="宋体" w:hAnsi="宋体"/>
                <w:szCs w:val="24"/>
              </w:rPr>
            </w:pPr>
            <w:r>
              <w:rPr>
                <w:rFonts w:hint="eastAsia" w:ascii="宋体" w:hAnsi="宋体"/>
                <w:szCs w:val="24"/>
              </w:rPr>
              <w:t>6</w:t>
            </w:r>
            <w:r>
              <w:rPr>
                <w:rFonts w:ascii="宋体" w:hAnsi="宋体"/>
                <w:szCs w:val="24"/>
              </w:rPr>
              <w:t>.00</w:t>
            </w:r>
          </w:p>
        </w:tc>
        <w:tc>
          <w:tcPr>
            <w:tcW w:w="903" w:type="dxa"/>
            <w:tcBorders>
              <w:top w:val="single" w:color="auto" w:sz="4" w:space="0"/>
              <w:left w:val="single" w:color="auto" w:sz="4" w:space="0"/>
              <w:bottom w:val="single" w:color="auto" w:sz="4" w:space="0"/>
              <w:right w:val="single" w:color="auto" w:sz="4" w:space="0"/>
            </w:tcBorders>
          </w:tcPr>
          <w:p w14:paraId="39B49784">
            <w:pPr>
              <w:pStyle w:val="35"/>
              <w:jc w:val="center"/>
              <w:rPr>
                <w:rFonts w:hint="eastAsia" w:ascii="宋体" w:hAnsi="宋体"/>
                <w:szCs w:val="24"/>
              </w:rPr>
            </w:pPr>
            <w:r>
              <w:rPr>
                <w:rFonts w:hint="eastAsia" w:ascii="宋体" w:hAnsi="宋体"/>
                <w:szCs w:val="24"/>
              </w:rPr>
              <w:t>主观</w:t>
            </w:r>
          </w:p>
        </w:tc>
      </w:tr>
      <w:tr w14:paraId="5E50D6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8" w:hRule="atLeast"/>
        </w:trPr>
        <w:tc>
          <w:tcPr>
            <w:tcW w:w="710" w:type="dxa"/>
            <w:vMerge w:val="restart"/>
            <w:tcBorders>
              <w:top w:val="nil"/>
              <w:left w:val="single" w:color="auto" w:sz="4" w:space="0"/>
              <w:right w:val="single" w:color="auto" w:sz="4" w:space="0"/>
            </w:tcBorders>
            <w:vAlign w:val="center"/>
          </w:tcPr>
          <w:p w14:paraId="0E341D03">
            <w:pPr>
              <w:rPr>
                <w:rFonts w:ascii="宋体" w:hAnsi="宋体"/>
                <w:sz w:val="24"/>
                <w:szCs w:val="24"/>
              </w:rPr>
            </w:pPr>
            <w:r>
              <w:rPr>
                <w:rFonts w:hint="eastAsia" w:ascii="宋体" w:hAnsi="宋体"/>
                <w:sz w:val="24"/>
                <w:szCs w:val="24"/>
              </w:rPr>
              <w:t>商务评分（</w:t>
            </w:r>
            <w:r>
              <w:rPr>
                <w:rFonts w:ascii="宋体" w:hAnsi="宋体"/>
                <w:sz w:val="24"/>
                <w:szCs w:val="24"/>
              </w:rPr>
              <w:t>30分</w:t>
            </w:r>
            <w:r>
              <w:rPr>
                <w:rFonts w:hint="eastAsia" w:ascii="宋体" w:hAnsi="宋体"/>
                <w:sz w:val="24"/>
                <w:szCs w:val="24"/>
              </w:rPr>
              <w:t>）</w:t>
            </w:r>
          </w:p>
        </w:tc>
        <w:tc>
          <w:tcPr>
            <w:tcW w:w="1276" w:type="dxa"/>
            <w:tcBorders>
              <w:top w:val="single" w:color="auto" w:sz="4" w:space="0"/>
              <w:left w:val="single" w:color="auto" w:sz="4" w:space="0"/>
              <w:right w:val="single" w:color="auto" w:sz="4" w:space="0"/>
            </w:tcBorders>
            <w:vAlign w:val="center"/>
          </w:tcPr>
          <w:p w14:paraId="36CB1A2A">
            <w:pPr>
              <w:pStyle w:val="35"/>
              <w:jc w:val="center"/>
              <w:rPr>
                <w:rFonts w:ascii="宋体" w:hAnsi="宋体"/>
                <w:szCs w:val="24"/>
              </w:rPr>
            </w:pPr>
            <w:r>
              <w:rPr>
                <w:rFonts w:hint="eastAsia" w:ascii="宋体" w:hAnsi="宋体"/>
                <w:szCs w:val="24"/>
              </w:rPr>
              <w:t>人员</w:t>
            </w:r>
          </w:p>
          <w:p w14:paraId="588909FB">
            <w:pPr>
              <w:pStyle w:val="35"/>
              <w:jc w:val="center"/>
              <w:rPr>
                <w:rFonts w:ascii="宋体" w:hAnsi="宋体"/>
                <w:szCs w:val="24"/>
              </w:rPr>
            </w:pPr>
            <w:r>
              <w:rPr>
                <w:rFonts w:hint="eastAsia" w:ascii="宋体" w:hAnsi="宋体"/>
                <w:szCs w:val="24"/>
              </w:rPr>
              <w:t>配置</w:t>
            </w:r>
          </w:p>
        </w:tc>
        <w:tc>
          <w:tcPr>
            <w:tcW w:w="5103" w:type="dxa"/>
            <w:tcBorders>
              <w:top w:val="single" w:color="auto" w:sz="4" w:space="0"/>
              <w:left w:val="single" w:color="auto" w:sz="4" w:space="0"/>
              <w:right w:val="single" w:color="auto" w:sz="4" w:space="0"/>
            </w:tcBorders>
            <w:vAlign w:val="center"/>
          </w:tcPr>
          <w:p w14:paraId="6B62B212">
            <w:pPr>
              <w:pStyle w:val="35"/>
              <w:rPr>
                <w:rFonts w:hint="eastAsia" w:ascii="宋体" w:hAnsi="宋体"/>
                <w:szCs w:val="24"/>
              </w:rPr>
            </w:pPr>
            <w:r>
              <w:rPr>
                <w:rFonts w:hint="eastAsia" w:ascii="宋体" w:hAnsi="宋体"/>
                <w:szCs w:val="24"/>
              </w:rPr>
              <w:t>1、项目负责人（1人）：①具有测绘类专业正高级职称的得2分；②同时具有注册测绘师证书的加1分；③同时具有测绘地理信息安全保密及成果档案管理培训证书的加</w:t>
            </w:r>
            <w:r>
              <w:rPr>
                <w:rFonts w:ascii="宋体" w:hAnsi="宋体"/>
                <w:szCs w:val="24"/>
              </w:rPr>
              <w:t>1</w:t>
            </w:r>
            <w:r>
              <w:rPr>
                <w:rFonts w:hint="eastAsia" w:ascii="宋体" w:hAnsi="宋体"/>
                <w:szCs w:val="24"/>
              </w:rPr>
              <w:t>分。（本项最多得</w:t>
            </w:r>
            <w:r>
              <w:rPr>
                <w:rFonts w:ascii="宋体" w:hAnsi="宋体"/>
                <w:szCs w:val="24"/>
              </w:rPr>
              <w:t>4</w:t>
            </w:r>
            <w:r>
              <w:rPr>
                <w:rFonts w:hint="eastAsia" w:ascii="宋体" w:hAnsi="宋体"/>
                <w:szCs w:val="24"/>
              </w:rPr>
              <w:t>分）。</w:t>
            </w:r>
          </w:p>
          <w:p w14:paraId="3E1A9EA0">
            <w:pPr>
              <w:pStyle w:val="35"/>
              <w:rPr>
                <w:rFonts w:hint="eastAsia" w:ascii="宋体" w:hAnsi="宋体"/>
                <w:szCs w:val="24"/>
              </w:rPr>
            </w:pPr>
            <w:r>
              <w:rPr>
                <w:rFonts w:hint="eastAsia" w:ascii="宋体" w:hAnsi="宋体"/>
                <w:szCs w:val="24"/>
              </w:rPr>
              <w:t>2、技术负责人（1人）：①具有测绘类专业正高级职称的得2分；②同时具有注册测绘师证书的加1分；③同时具有地理信息安全保密培训证书。（本项最多得4分）</w:t>
            </w:r>
          </w:p>
          <w:p w14:paraId="0A8F7798">
            <w:pPr>
              <w:pStyle w:val="35"/>
              <w:jc w:val="both"/>
              <w:rPr>
                <w:rFonts w:ascii="宋体" w:hAnsi="宋体"/>
                <w:szCs w:val="24"/>
              </w:rPr>
            </w:pPr>
            <w:r>
              <w:rPr>
                <w:rFonts w:ascii="宋体" w:hAnsi="宋体"/>
                <w:szCs w:val="24"/>
              </w:rPr>
              <w:t>3.</w:t>
            </w:r>
            <w:r>
              <w:rPr>
                <w:rFonts w:hint="eastAsia" w:ascii="宋体" w:hAnsi="宋体"/>
                <w:szCs w:val="24"/>
              </w:rPr>
              <w:t>拟投入本项目的团队成员（不含项目负责人和技术负责人）：①每有1人具有测绘类专业正高级职称的加</w:t>
            </w:r>
            <w:r>
              <w:rPr>
                <w:rFonts w:ascii="宋体" w:hAnsi="宋体"/>
                <w:szCs w:val="24"/>
              </w:rPr>
              <w:t>1</w:t>
            </w:r>
            <w:r>
              <w:rPr>
                <w:rFonts w:hint="eastAsia" w:ascii="宋体" w:hAnsi="宋体"/>
                <w:szCs w:val="24"/>
              </w:rPr>
              <w:t>分，最多得</w:t>
            </w:r>
            <w:r>
              <w:rPr>
                <w:rFonts w:ascii="宋体" w:hAnsi="宋体"/>
                <w:szCs w:val="24"/>
              </w:rPr>
              <w:t>2</w:t>
            </w:r>
            <w:r>
              <w:rPr>
                <w:rFonts w:hint="eastAsia" w:ascii="宋体" w:hAnsi="宋体"/>
                <w:szCs w:val="24"/>
              </w:rPr>
              <w:t>分；②每有1人具有测绘类专业副高级职称的加</w:t>
            </w:r>
            <w:r>
              <w:rPr>
                <w:rFonts w:ascii="宋体" w:hAnsi="宋体"/>
                <w:szCs w:val="24"/>
              </w:rPr>
              <w:t>0.5</w:t>
            </w:r>
            <w:r>
              <w:rPr>
                <w:rFonts w:hint="eastAsia" w:ascii="宋体" w:hAnsi="宋体"/>
                <w:szCs w:val="24"/>
              </w:rPr>
              <w:t>分，最多得</w:t>
            </w:r>
            <w:r>
              <w:rPr>
                <w:rFonts w:ascii="宋体" w:hAnsi="宋体"/>
                <w:szCs w:val="24"/>
              </w:rPr>
              <w:t>3</w:t>
            </w:r>
            <w:r>
              <w:rPr>
                <w:rFonts w:hint="eastAsia" w:ascii="宋体" w:hAnsi="宋体"/>
                <w:szCs w:val="24"/>
              </w:rPr>
              <w:t>分；③每有1人具有测绘类专业中级职称的加0.</w:t>
            </w:r>
            <w:r>
              <w:rPr>
                <w:rFonts w:ascii="宋体" w:hAnsi="宋体"/>
                <w:szCs w:val="24"/>
              </w:rPr>
              <w:t>4</w:t>
            </w:r>
            <w:r>
              <w:rPr>
                <w:rFonts w:hint="eastAsia" w:ascii="宋体" w:hAnsi="宋体"/>
                <w:szCs w:val="24"/>
              </w:rPr>
              <w:t>分，最多得</w:t>
            </w:r>
            <w:r>
              <w:rPr>
                <w:rFonts w:ascii="宋体" w:hAnsi="宋体"/>
                <w:szCs w:val="24"/>
              </w:rPr>
              <w:t>2</w:t>
            </w:r>
            <w:r>
              <w:rPr>
                <w:rFonts w:hint="eastAsia" w:ascii="宋体" w:hAnsi="宋体"/>
                <w:szCs w:val="24"/>
              </w:rPr>
              <w:t>分。（本项满分</w:t>
            </w:r>
            <w:r>
              <w:rPr>
                <w:rFonts w:ascii="宋体" w:hAnsi="宋体"/>
                <w:szCs w:val="24"/>
              </w:rPr>
              <w:t>7</w:t>
            </w:r>
            <w:r>
              <w:rPr>
                <w:rFonts w:hint="eastAsia" w:ascii="宋体" w:hAnsi="宋体"/>
                <w:szCs w:val="24"/>
              </w:rPr>
              <w:t>分）。</w:t>
            </w:r>
          </w:p>
          <w:p w14:paraId="764B1482">
            <w:pPr>
              <w:pStyle w:val="35"/>
              <w:jc w:val="both"/>
              <w:rPr>
                <w:rFonts w:ascii="宋体" w:hAnsi="宋体"/>
                <w:szCs w:val="24"/>
              </w:rPr>
            </w:pPr>
            <w:r>
              <w:rPr>
                <w:rFonts w:hint="eastAsia" w:ascii="宋体" w:hAnsi="宋体"/>
                <w:szCs w:val="24"/>
              </w:rPr>
              <w:t>注：（</w:t>
            </w:r>
            <w:r>
              <w:rPr>
                <w:rFonts w:ascii="宋体" w:hAnsi="宋体"/>
                <w:szCs w:val="24"/>
              </w:rPr>
              <w:t>1</w:t>
            </w:r>
            <w:r>
              <w:rPr>
                <w:rFonts w:hint="eastAsia" w:ascii="宋体" w:hAnsi="宋体"/>
                <w:szCs w:val="24"/>
              </w:rPr>
              <w:t>）以上</w:t>
            </w:r>
            <w:r>
              <w:rPr>
                <w:rFonts w:ascii="宋体" w:hAnsi="宋体"/>
                <w:szCs w:val="24"/>
              </w:rPr>
              <w:t>1-3</w:t>
            </w:r>
            <w:r>
              <w:rPr>
                <w:rFonts w:hint="eastAsia" w:ascii="宋体" w:hAnsi="宋体"/>
                <w:szCs w:val="24"/>
              </w:rPr>
              <w:t>项人员不重复计分；（</w:t>
            </w:r>
            <w:r>
              <w:rPr>
                <w:rFonts w:ascii="宋体" w:hAnsi="宋体"/>
                <w:szCs w:val="24"/>
              </w:rPr>
              <w:t>2</w:t>
            </w:r>
            <w:r>
              <w:rPr>
                <w:rFonts w:hint="eastAsia" w:ascii="宋体" w:hAnsi="宋体"/>
                <w:szCs w:val="24"/>
              </w:rPr>
              <w:t>）需提供相关人员身份证、毕业证、职称证复印件以及本单位为其购买的近三个月社保证明材料，缺项或者未提供不得分。</w:t>
            </w:r>
          </w:p>
        </w:tc>
        <w:tc>
          <w:tcPr>
            <w:tcW w:w="850" w:type="dxa"/>
            <w:tcBorders>
              <w:top w:val="single" w:color="auto" w:sz="4" w:space="0"/>
              <w:left w:val="single" w:color="auto" w:sz="4" w:space="0"/>
              <w:right w:val="single" w:color="auto" w:sz="4" w:space="0"/>
            </w:tcBorders>
            <w:vAlign w:val="center"/>
          </w:tcPr>
          <w:p w14:paraId="7C1D9915">
            <w:pPr>
              <w:pStyle w:val="35"/>
              <w:jc w:val="right"/>
              <w:rPr>
                <w:rFonts w:ascii="宋体" w:hAnsi="宋体"/>
                <w:szCs w:val="24"/>
              </w:rPr>
            </w:pPr>
            <w:r>
              <w:rPr>
                <w:rFonts w:hint="eastAsia" w:ascii="宋体" w:hAnsi="宋体"/>
                <w:szCs w:val="24"/>
              </w:rPr>
              <w:t>1</w:t>
            </w:r>
            <w:r>
              <w:rPr>
                <w:rFonts w:ascii="宋体" w:hAnsi="宋体"/>
                <w:szCs w:val="24"/>
              </w:rPr>
              <w:t>5.</w:t>
            </w:r>
            <w:r>
              <w:rPr>
                <w:rFonts w:hint="eastAsia" w:ascii="宋体" w:hAnsi="宋体"/>
                <w:szCs w:val="24"/>
              </w:rPr>
              <w:t>0</w:t>
            </w:r>
            <w:r>
              <w:rPr>
                <w:rFonts w:ascii="宋体" w:hAnsi="宋体"/>
                <w:szCs w:val="24"/>
              </w:rPr>
              <w:t>0</w:t>
            </w:r>
          </w:p>
        </w:tc>
        <w:tc>
          <w:tcPr>
            <w:tcW w:w="903" w:type="dxa"/>
            <w:tcBorders>
              <w:top w:val="single" w:color="auto" w:sz="4" w:space="0"/>
              <w:left w:val="single" w:color="auto" w:sz="4" w:space="0"/>
              <w:bottom w:val="single" w:color="auto" w:sz="4" w:space="0"/>
              <w:right w:val="single" w:color="auto" w:sz="4" w:space="0"/>
            </w:tcBorders>
            <w:vAlign w:val="center"/>
          </w:tcPr>
          <w:p w14:paraId="4CD2E344">
            <w:pPr>
              <w:pStyle w:val="35"/>
              <w:jc w:val="center"/>
              <w:rPr>
                <w:rFonts w:ascii="宋体" w:hAnsi="宋体"/>
                <w:szCs w:val="24"/>
              </w:rPr>
            </w:pPr>
            <w:r>
              <w:rPr>
                <w:rFonts w:hint="eastAsia" w:ascii="宋体" w:hAnsi="宋体"/>
                <w:szCs w:val="24"/>
              </w:rPr>
              <w:t>主观</w:t>
            </w:r>
          </w:p>
        </w:tc>
      </w:tr>
      <w:tr w14:paraId="4334C2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10" w:type="dxa"/>
            <w:vMerge w:val="continue"/>
            <w:tcBorders>
              <w:left w:val="single" w:color="auto" w:sz="4" w:space="0"/>
              <w:bottom w:val="single" w:color="auto" w:sz="4" w:space="0"/>
              <w:right w:val="single" w:color="auto" w:sz="4" w:space="0"/>
            </w:tcBorders>
            <w:vAlign w:val="center"/>
          </w:tcPr>
          <w:p w14:paraId="1D9EA4E4"/>
        </w:tc>
        <w:tc>
          <w:tcPr>
            <w:tcW w:w="1276" w:type="dxa"/>
            <w:tcBorders>
              <w:top w:val="single" w:color="auto" w:sz="4" w:space="0"/>
              <w:left w:val="single" w:color="auto" w:sz="4" w:space="0"/>
              <w:bottom w:val="single" w:color="auto" w:sz="4" w:space="0"/>
              <w:right w:val="single" w:color="auto" w:sz="4" w:space="0"/>
            </w:tcBorders>
            <w:vAlign w:val="center"/>
          </w:tcPr>
          <w:p w14:paraId="47DAC8C7">
            <w:pPr>
              <w:pStyle w:val="35"/>
              <w:jc w:val="center"/>
              <w:rPr>
                <w:rFonts w:ascii="宋体" w:hAnsi="宋体"/>
                <w:szCs w:val="24"/>
              </w:rPr>
            </w:pPr>
            <w:r>
              <w:rPr>
                <w:rFonts w:hint="eastAsia" w:ascii="宋体" w:hAnsi="宋体"/>
                <w:szCs w:val="24"/>
              </w:rPr>
              <w:t>履约</w:t>
            </w:r>
          </w:p>
          <w:p w14:paraId="2919C7A1">
            <w:pPr>
              <w:pStyle w:val="35"/>
              <w:jc w:val="center"/>
              <w:rPr>
                <w:rFonts w:ascii="宋体" w:hAnsi="宋体"/>
                <w:szCs w:val="24"/>
              </w:rPr>
            </w:pPr>
            <w:r>
              <w:rPr>
                <w:rFonts w:hint="eastAsia" w:ascii="宋体" w:hAnsi="宋体"/>
                <w:szCs w:val="24"/>
              </w:rPr>
              <w:t>经验</w:t>
            </w:r>
          </w:p>
        </w:tc>
        <w:tc>
          <w:tcPr>
            <w:tcW w:w="5103" w:type="dxa"/>
            <w:tcBorders>
              <w:top w:val="single" w:color="auto" w:sz="4" w:space="0"/>
              <w:left w:val="single" w:color="auto" w:sz="4" w:space="0"/>
              <w:bottom w:val="single" w:color="auto" w:sz="4" w:space="0"/>
              <w:right w:val="single" w:color="auto" w:sz="4" w:space="0"/>
            </w:tcBorders>
            <w:vAlign w:val="center"/>
          </w:tcPr>
          <w:p w14:paraId="0548C359">
            <w:pPr>
              <w:pStyle w:val="36"/>
              <w:rPr>
                <w:rFonts w:ascii="宋体" w:hAnsi="宋体" w:cs="Times New Roman"/>
                <w:sz w:val="24"/>
                <w:szCs w:val="24"/>
              </w:rPr>
            </w:pPr>
            <w:r>
              <w:rPr>
                <w:rFonts w:hint="eastAsia" w:ascii="宋体" w:hAnsi="宋体" w:cs="Times New Roman"/>
                <w:sz w:val="24"/>
                <w:szCs w:val="24"/>
              </w:rPr>
              <w:t>供应商自</w:t>
            </w:r>
            <w:r>
              <w:rPr>
                <w:rFonts w:ascii="宋体" w:hAnsi="宋体" w:cs="Times New Roman"/>
                <w:sz w:val="24"/>
                <w:szCs w:val="24"/>
              </w:rPr>
              <w:t>2020</w:t>
            </w:r>
            <w:r>
              <w:rPr>
                <w:rFonts w:hint="eastAsia" w:ascii="宋体" w:hAnsi="宋体" w:cs="Times New Roman"/>
                <w:sz w:val="24"/>
                <w:szCs w:val="24"/>
              </w:rPr>
              <w:t>年</w:t>
            </w:r>
            <w:r>
              <w:rPr>
                <w:rFonts w:ascii="宋体" w:hAnsi="宋体" w:cs="Times New Roman"/>
                <w:sz w:val="24"/>
                <w:szCs w:val="24"/>
              </w:rPr>
              <w:t>1</w:t>
            </w:r>
            <w:r>
              <w:rPr>
                <w:rFonts w:hint="eastAsia" w:ascii="宋体" w:hAnsi="宋体" w:cs="Times New Roman"/>
                <w:sz w:val="24"/>
                <w:szCs w:val="24"/>
              </w:rPr>
              <w:t>月</w:t>
            </w:r>
            <w:r>
              <w:rPr>
                <w:rFonts w:ascii="宋体" w:hAnsi="宋体" w:cs="Times New Roman"/>
                <w:sz w:val="24"/>
                <w:szCs w:val="24"/>
              </w:rPr>
              <w:t>1</w:t>
            </w:r>
            <w:r>
              <w:rPr>
                <w:rFonts w:hint="eastAsia" w:ascii="宋体" w:hAnsi="宋体" w:cs="Times New Roman"/>
                <w:sz w:val="24"/>
                <w:szCs w:val="24"/>
              </w:rPr>
              <w:t>日以来每提供一个</w:t>
            </w:r>
            <w:r>
              <w:rPr>
                <w:rFonts w:hint="eastAsia" w:ascii="宋体" w:hAnsi="宋体" w:cs="Arial"/>
                <w:sz w:val="24"/>
                <w:szCs w:val="24"/>
              </w:rPr>
              <w:t>市级及以上行政区域基础测绘规划编制项目业绩的得</w:t>
            </w:r>
            <w:r>
              <w:rPr>
                <w:rFonts w:ascii="宋体" w:hAnsi="宋体" w:cs="Arial"/>
                <w:sz w:val="24"/>
                <w:szCs w:val="24"/>
              </w:rPr>
              <w:t>5</w:t>
            </w:r>
            <w:r>
              <w:rPr>
                <w:rFonts w:hint="eastAsia" w:ascii="宋体" w:hAnsi="宋体" w:cs="Arial"/>
                <w:sz w:val="24"/>
                <w:szCs w:val="24"/>
              </w:rPr>
              <w:t>分，</w:t>
            </w:r>
            <w:r>
              <w:rPr>
                <w:rFonts w:hint="eastAsia" w:ascii="宋体" w:hAnsi="宋体" w:cs="Times New Roman"/>
                <w:sz w:val="24"/>
                <w:szCs w:val="24"/>
              </w:rPr>
              <w:t>本项最多得</w:t>
            </w:r>
            <w:r>
              <w:rPr>
                <w:rFonts w:ascii="宋体" w:hAnsi="宋体" w:cs="Times New Roman"/>
                <w:sz w:val="24"/>
                <w:szCs w:val="24"/>
              </w:rPr>
              <w:t>15</w:t>
            </w:r>
            <w:r>
              <w:rPr>
                <w:rFonts w:hint="eastAsia" w:ascii="宋体" w:hAnsi="宋体" w:cs="Times New Roman"/>
                <w:sz w:val="24"/>
                <w:szCs w:val="24"/>
              </w:rPr>
              <w:t>分。</w:t>
            </w:r>
          </w:p>
          <w:p w14:paraId="5852C32B">
            <w:pPr>
              <w:pStyle w:val="36"/>
              <w:rPr>
                <w:rFonts w:hint="eastAsia" w:ascii="宋体" w:hAnsi="宋体"/>
                <w:sz w:val="24"/>
                <w:szCs w:val="24"/>
              </w:rPr>
            </w:pPr>
            <w:r>
              <w:rPr>
                <w:rFonts w:hint="eastAsia" w:ascii="宋体" w:hAnsi="宋体" w:cs="Times New Roman"/>
                <w:sz w:val="24"/>
                <w:szCs w:val="24"/>
              </w:rPr>
              <w:t>注：（1）业绩认定时间以合同签订时间为准。（</w:t>
            </w:r>
            <w:r>
              <w:rPr>
                <w:rFonts w:ascii="宋体" w:hAnsi="宋体" w:cs="Times New Roman"/>
                <w:sz w:val="24"/>
                <w:szCs w:val="24"/>
              </w:rPr>
              <w:t>2</w:t>
            </w:r>
            <w:r>
              <w:rPr>
                <w:rFonts w:hint="eastAsia" w:ascii="宋体" w:hAnsi="宋体" w:cs="Times New Roman"/>
                <w:sz w:val="24"/>
                <w:szCs w:val="24"/>
              </w:rPr>
              <w:t>）提供的有效合同扫描件，未提供或不符合以上条件不得分，分包转包合同不得分。</w:t>
            </w:r>
          </w:p>
        </w:tc>
        <w:tc>
          <w:tcPr>
            <w:tcW w:w="850" w:type="dxa"/>
            <w:tcBorders>
              <w:top w:val="single" w:color="auto" w:sz="4" w:space="0"/>
              <w:left w:val="single" w:color="auto" w:sz="4" w:space="0"/>
              <w:bottom w:val="single" w:color="auto" w:sz="4" w:space="0"/>
              <w:right w:val="single" w:color="auto" w:sz="4" w:space="0"/>
            </w:tcBorders>
            <w:vAlign w:val="center"/>
          </w:tcPr>
          <w:p w14:paraId="10606FDC">
            <w:pPr>
              <w:pStyle w:val="35"/>
              <w:jc w:val="right"/>
              <w:rPr>
                <w:rFonts w:ascii="宋体" w:hAnsi="宋体"/>
                <w:szCs w:val="24"/>
              </w:rPr>
            </w:pPr>
            <w:r>
              <w:rPr>
                <w:rFonts w:ascii="宋体" w:hAnsi="宋体"/>
                <w:szCs w:val="24"/>
              </w:rPr>
              <w:t>15.00</w:t>
            </w:r>
          </w:p>
        </w:tc>
        <w:tc>
          <w:tcPr>
            <w:tcW w:w="903" w:type="dxa"/>
            <w:tcBorders>
              <w:top w:val="single" w:color="auto" w:sz="4" w:space="0"/>
              <w:left w:val="single" w:color="auto" w:sz="4" w:space="0"/>
              <w:bottom w:val="single" w:color="auto" w:sz="4" w:space="0"/>
              <w:right w:val="single" w:color="auto" w:sz="4" w:space="0"/>
            </w:tcBorders>
            <w:vAlign w:val="center"/>
          </w:tcPr>
          <w:p w14:paraId="6CC9F22A">
            <w:pPr>
              <w:pStyle w:val="35"/>
              <w:jc w:val="center"/>
              <w:rPr>
                <w:rFonts w:ascii="宋体" w:hAnsi="宋体"/>
                <w:szCs w:val="24"/>
              </w:rPr>
            </w:pPr>
            <w:r>
              <w:rPr>
                <w:rFonts w:hint="eastAsia" w:ascii="宋体" w:hAnsi="宋体"/>
                <w:szCs w:val="24"/>
              </w:rPr>
              <w:t>客观</w:t>
            </w:r>
          </w:p>
        </w:tc>
      </w:tr>
      <w:tr w14:paraId="6CABD7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10" w:type="dxa"/>
            <w:tcBorders>
              <w:top w:val="single" w:color="auto" w:sz="4" w:space="0"/>
              <w:left w:val="single" w:color="auto" w:sz="4" w:space="0"/>
              <w:bottom w:val="single" w:color="auto" w:sz="4" w:space="0"/>
              <w:right w:val="single" w:color="auto" w:sz="4" w:space="0"/>
            </w:tcBorders>
            <w:vAlign w:val="center"/>
          </w:tcPr>
          <w:p w14:paraId="2C41653A">
            <w:pPr>
              <w:pStyle w:val="35"/>
              <w:rPr>
                <w:rFonts w:ascii="宋体" w:hAnsi="宋体"/>
                <w:szCs w:val="24"/>
              </w:rPr>
            </w:pPr>
            <w:r>
              <w:rPr>
                <w:rFonts w:hint="eastAsia" w:ascii="宋体" w:hAnsi="宋体"/>
                <w:szCs w:val="24"/>
              </w:rPr>
              <w:t>价格分</w:t>
            </w:r>
          </w:p>
          <w:p w14:paraId="65BCA2F5">
            <w:pPr>
              <w:pStyle w:val="35"/>
              <w:rPr>
                <w:rFonts w:hint="eastAsia" w:ascii="宋体" w:hAnsi="宋体"/>
                <w:szCs w:val="24"/>
              </w:rPr>
            </w:pPr>
            <w:r>
              <w:rPr>
                <w:rFonts w:ascii="宋体" w:hAnsi="宋体"/>
                <w:szCs w:val="24"/>
              </w:rPr>
              <w:t>（</w:t>
            </w:r>
            <w:r>
              <w:rPr>
                <w:rFonts w:hint="eastAsia" w:ascii="宋体" w:hAnsi="宋体"/>
                <w:szCs w:val="24"/>
              </w:rPr>
              <w:t>3</w:t>
            </w:r>
            <w:r>
              <w:rPr>
                <w:rFonts w:ascii="宋体" w:hAnsi="宋体"/>
                <w:szCs w:val="24"/>
              </w:rPr>
              <w:t>0分）</w:t>
            </w:r>
          </w:p>
        </w:tc>
        <w:tc>
          <w:tcPr>
            <w:tcW w:w="1276" w:type="dxa"/>
            <w:tcBorders>
              <w:top w:val="single" w:color="auto" w:sz="4" w:space="0"/>
              <w:left w:val="single" w:color="auto" w:sz="4" w:space="0"/>
              <w:bottom w:val="single" w:color="auto" w:sz="4" w:space="0"/>
              <w:right w:val="single" w:color="auto" w:sz="4" w:space="0"/>
            </w:tcBorders>
            <w:vAlign w:val="center"/>
          </w:tcPr>
          <w:p w14:paraId="227D5308">
            <w:pPr>
              <w:pStyle w:val="35"/>
              <w:jc w:val="center"/>
              <w:rPr>
                <w:rFonts w:ascii="宋体" w:hAnsi="宋体"/>
                <w:szCs w:val="24"/>
              </w:rPr>
            </w:pPr>
            <w:r>
              <w:rPr>
                <w:rFonts w:hint="eastAsia" w:ascii="宋体" w:hAnsi="宋体"/>
                <w:szCs w:val="24"/>
              </w:rPr>
              <w:t>价格分</w:t>
            </w:r>
          </w:p>
        </w:tc>
        <w:tc>
          <w:tcPr>
            <w:tcW w:w="5103" w:type="dxa"/>
            <w:tcBorders>
              <w:top w:val="single" w:color="auto" w:sz="4" w:space="0"/>
              <w:left w:val="single" w:color="auto" w:sz="4" w:space="0"/>
              <w:bottom w:val="single" w:color="auto" w:sz="4" w:space="0"/>
              <w:right w:val="single" w:color="auto" w:sz="4" w:space="0"/>
            </w:tcBorders>
            <w:vAlign w:val="center"/>
          </w:tcPr>
          <w:p w14:paraId="4982B5C3">
            <w:pPr>
              <w:pStyle w:val="35"/>
              <w:jc w:val="both"/>
              <w:rPr>
                <w:rFonts w:ascii="宋体" w:hAnsi="宋体"/>
                <w:szCs w:val="24"/>
              </w:rPr>
            </w:pPr>
            <w:r>
              <w:rPr>
                <w:rFonts w:hint="eastAsia" w:ascii="宋体" w:hAnsi="宋体"/>
                <w:szCs w:val="24"/>
              </w:rPr>
              <w:t>满足磋商文件要求且最后报价最低的供应商的价格为磋商基准价，其价格分为满分。其他供应商的价格分统一按照下列公式计算：磋商报价得分</w:t>
            </w:r>
            <w:r>
              <w:rPr>
                <w:rFonts w:ascii="宋体" w:hAnsi="宋体"/>
                <w:szCs w:val="24"/>
              </w:rPr>
              <w:t>=(</w:t>
            </w:r>
            <w:r>
              <w:rPr>
                <w:rFonts w:hint="eastAsia" w:ascii="宋体" w:hAnsi="宋体"/>
                <w:szCs w:val="24"/>
              </w:rPr>
              <w:t>磋商基准价</w:t>
            </w:r>
            <w:r>
              <w:rPr>
                <w:rFonts w:ascii="宋体" w:hAnsi="宋体"/>
                <w:szCs w:val="24"/>
              </w:rPr>
              <w:t>/</w:t>
            </w:r>
            <w:r>
              <w:rPr>
                <w:rFonts w:hint="eastAsia" w:ascii="宋体" w:hAnsi="宋体"/>
                <w:szCs w:val="24"/>
              </w:rPr>
              <w:t>最后磋商报价</w:t>
            </w:r>
            <w:r>
              <w:rPr>
                <w:rFonts w:ascii="宋体" w:hAnsi="宋体"/>
                <w:szCs w:val="24"/>
              </w:rPr>
              <w:t>)</w:t>
            </w:r>
            <w:r>
              <w:rPr>
                <w:rFonts w:hint="eastAsia" w:ascii="宋体" w:hAnsi="宋体"/>
                <w:szCs w:val="24"/>
              </w:rPr>
              <w:t>×</w:t>
            </w:r>
            <w:r>
              <w:rPr>
                <w:rFonts w:ascii="宋体" w:hAnsi="宋体"/>
                <w:szCs w:val="24"/>
              </w:rPr>
              <w:t>30%</w:t>
            </w:r>
            <w:r>
              <w:rPr>
                <w:rFonts w:hint="eastAsia" w:ascii="宋体" w:hAnsi="宋体"/>
                <w:szCs w:val="24"/>
              </w:rPr>
              <w:t>×</w:t>
            </w:r>
            <w:r>
              <w:rPr>
                <w:rFonts w:ascii="宋体" w:hAnsi="宋体"/>
                <w:szCs w:val="24"/>
              </w:rPr>
              <w:t>100</w:t>
            </w:r>
          </w:p>
        </w:tc>
        <w:tc>
          <w:tcPr>
            <w:tcW w:w="850" w:type="dxa"/>
            <w:tcBorders>
              <w:top w:val="single" w:color="auto" w:sz="4" w:space="0"/>
              <w:left w:val="single" w:color="auto" w:sz="4" w:space="0"/>
              <w:bottom w:val="single" w:color="auto" w:sz="4" w:space="0"/>
              <w:right w:val="single" w:color="auto" w:sz="4" w:space="0"/>
            </w:tcBorders>
            <w:vAlign w:val="center"/>
          </w:tcPr>
          <w:p w14:paraId="68AD01ED">
            <w:pPr>
              <w:pStyle w:val="35"/>
              <w:jc w:val="right"/>
              <w:rPr>
                <w:rFonts w:ascii="宋体" w:hAnsi="宋体"/>
                <w:szCs w:val="24"/>
              </w:rPr>
            </w:pPr>
            <w:r>
              <w:rPr>
                <w:rFonts w:ascii="宋体" w:hAnsi="宋体"/>
                <w:szCs w:val="24"/>
              </w:rPr>
              <w:t>30.00</w:t>
            </w:r>
          </w:p>
        </w:tc>
        <w:tc>
          <w:tcPr>
            <w:tcW w:w="903" w:type="dxa"/>
            <w:tcBorders>
              <w:top w:val="single" w:color="auto" w:sz="4" w:space="0"/>
              <w:left w:val="single" w:color="auto" w:sz="4" w:space="0"/>
              <w:bottom w:val="single" w:color="auto" w:sz="4" w:space="0"/>
              <w:right w:val="single" w:color="auto" w:sz="4" w:space="0"/>
            </w:tcBorders>
            <w:vAlign w:val="center"/>
          </w:tcPr>
          <w:p w14:paraId="7F0A7154">
            <w:pPr>
              <w:pStyle w:val="35"/>
              <w:jc w:val="center"/>
              <w:rPr>
                <w:rFonts w:ascii="宋体" w:hAnsi="宋体"/>
                <w:szCs w:val="24"/>
              </w:rPr>
            </w:pPr>
            <w:r>
              <w:rPr>
                <w:rFonts w:hint="eastAsia" w:ascii="宋体" w:hAnsi="宋体"/>
                <w:szCs w:val="24"/>
              </w:rPr>
              <w:t>客观</w:t>
            </w:r>
          </w:p>
        </w:tc>
      </w:tr>
    </w:tbl>
    <w:p w14:paraId="76000B83">
      <w:pPr>
        <w:ind w:firstLine="480" w:firstLineChars="200"/>
        <w:rPr>
          <w:sz w:val="24"/>
          <w:szCs w:val="24"/>
        </w:rPr>
      </w:pPr>
      <w:r>
        <w:rPr>
          <w:rFonts w:hint="eastAsia" w:ascii="宋体"/>
          <w:sz w:val="24"/>
          <w:szCs w:val="24"/>
        </w:rPr>
        <w:t>注：评分的取值按四舍五入法，保留小数点后两位。</w:t>
      </w:r>
    </w:p>
    <w:p w14:paraId="282C578B">
      <w:pPr>
        <w:spacing w:line="400" w:lineRule="exact"/>
        <w:ind w:firstLine="482" w:firstLineChars="200"/>
        <w:outlineLvl w:val="1"/>
        <w:rPr>
          <w:b/>
          <w:sz w:val="24"/>
          <w:szCs w:val="24"/>
        </w:rPr>
      </w:pPr>
      <w:bookmarkStart w:id="24" w:name="_Toc227836526"/>
      <w:r>
        <w:rPr>
          <w:rFonts w:hint="eastAsia"/>
          <w:b/>
          <w:sz w:val="24"/>
          <w:szCs w:val="24"/>
        </w:rPr>
        <w:t>四、</w:t>
      </w:r>
      <w:r>
        <w:rPr>
          <w:rFonts w:hint="eastAsia" w:ascii="宋体"/>
          <w:b/>
          <w:sz w:val="24"/>
          <w:szCs w:val="24"/>
        </w:rPr>
        <w:t>磋商纪律及注意事项</w:t>
      </w:r>
      <w:bookmarkEnd w:id="24"/>
    </w:p>
    <w:p w14:paraId="433B98A1">
      <w:pPr>
        <w:spacing w:line="400" w:lineRule="exact"/>
        <w:ind w:firstLine="480" w:firstLineChars="200"/>
        <w:outlineLvl w:val="2"/>
        <w:rPr>
          <w:sz w:val="24"/>
          <w:szCs w:val="24"/>
        </w:rPr>
      </w:pPr>
      <w:r>
        <w:rPr>
          <w:sz w:val="24"/>
          <w:szCs w:val="24"/>
        </w:rPr>
        <w:t>1</w:t>
      </w:r>
      <w:r>
        <w:rPr>
          <w:rFonts w:hint="eastAsia" w:ascii="宋体"/>
          <w:sz w:val="24"/>
          <w:szCs w:val="24"/>
        </w:rPr>
        <w:t>磋商小组内部讨论的情况和意见必须保密，任何人不得以任何形式透露给供应商或与供应商有关的单位或个人。</w:t>
      </w:r>
    </w:p>
    <w:p w14:paraId="189F1C22">
      <w:pPr>
        <w:spacing w:line="400" w:lineRule="exact"/>
        <w:ind w:firstLine="480" w:firstLineChars="200"/>
        <w:outlineLvl w:val="2"/>
        <w:rPr>
          <w:sz w:val="24"/>
          <w:szCs w:val="24"/>
        </w:rPr>
      </w:pPr>
      <w:r>
        <w:rPr>
          <w:sz w:val="24"/>
          <w:szCs w:val="24"/>
        </w:rPr>
        <w:t>2</w:t>
      </w:r>
      <w:r>
        <w:rPr>
          <w:rFonts w:hint="eastAsia" w:ascii="宋体"/>
          <w:sz w:val="24"/>
          <w:szCs w:val="24"/>
        </w:rPr>
        <w:t>在磋商过程中，供应商不得以任何形式对磋商小组成员进行旨在影响磋商结果的私下接触，否则将取消其参与磋商的资格。</w:t>
      </w:r>
    </w:p>
    <w:p w14:paraId="1BCB6B1C">
      <w:pPr>
        <w:spacing w:line="400" w:lineRule="exact"/>
        <w:ind w:firstLine="480" w:firstLineChars="200"/>
        <w:outlineLvl w:val="2"/>
        <w:rPr>
          <w:sz w:val="24"/>
          <w:szCs w:val="24"/>
        </w:rPr>
      </w:pPr>
      <w:r>
        <w:rPr>
          <w:sz w:val="24"/>
          <w:szCs w:val="24"/>
        </w:rPr>
        <w:t>3</w:t>
      </w:r>
      <w:r>
        <w:rPr>
          <w:rFonts w:hint="eastAsia" w:ascii="宋体"/>
          <w:sz w:val="24"/>
          <w:szCs w:val="24"/>
        </w:rPr>
        <w:t>对各供应商的商业秘密，磋商小组成员应予以保密，不得泄露给其他供应商。</w:t>
      </w:r>
    </w:p>
    <w:p w14:paraId="368E7BC3">
      <w:pPr>
        <w:spacing w:line="400" w:lineRule="exact"/>
        <w:ind w:firstLine="480" w:firstLineChars="200"/>
        <w:outlineLvl w:val="2"/>
        <w:rPr>
          <w:sz w:val="24"/>
          <w:szCs w:val="24"/>
        </w:rPr>
      </w:pPr>
      <w:r>
        <w:rPr>
          <w:sz w:val="24"/>
          <w:szCs w:val="24"/>
        </w:rPr>
        <w:t xml:space="preserve">4 </w:t>
      </w:r>
      <w:r>
        <w:rPr>
          <w:rFonts w:hint="eastAsia" w:ascii="宋体"/>
          <w:sz w:val="24"/>
          <w:szCs w:val="24"/>
        </w:rPr>
        <w:t>磋商小组独立评判，推荐成交候选人，并写出书面报告。</w:t>
      </w:r>
    </w:p>
    <w:p w14:paraId="37BFCDCB">
      <w:pPr>
        <w:spacing w:line="400" w:lineRule="exact"/>
        <w:ind w:firstLine="480" w:firstLineChars="200"/>
        <w:outlineLvl w:val="2"/>
        <w:rPr>
          <w:sz w:val="24"/>
          <w:szCs w:val="24"/>
        </w:rPr>
      </w:pPr>
      <w:r>
        <w:rPr>
          <w:sz w:val="24"/>
          <w:szCs w:val="24"/>
        </w:rPr>
        <w:t xml:space="preserve">5 </w:t>
      </w:r>
      <w:r>
        <w:rPr>
          <w:rFonts w:hint="eastAsia" w:ascii="宋体"/>
          <w:sz w:val="24"/>
          <w:szCs w:val="24"/>
        </w:rPr>
        <w:t>磋商小组可根据需要对供应商进行实地考察。</w:t>
      </w:r>
    </w:p>
    <w:p w14:paraId="5F3F64D9">
      <w:pPr>
        <w:spacing w:line="400" w:lineRule="exact"/>
        <w:ind w:firstLine="482" w:firstLineChars="200"/>
        <w:outlineLvl w:val="1"/>
        <w:rPr>
          <w:b/>
          <w:sz w:val="24"/>
          <w:szCs w:val="24"/>
        </w:rPr>
      </w:pPr>
      <w:bookmarkStart w:id="25" w:name="_Toc227836527"/>
      <w:r>
        <w:rPr>
          <w:rFonts w:hint="eastAsia"/>
          <w:b/>
          <w:bCs/>
          <w:sz w:val="24"/>
          <w:szCs w:val="24"/>
        </w:rPr>
        <w:t>五、</w:t>
      </w:r>
      <w:r>
        <w:rPr>
          <w:rFonts w:hint="eastAsia" w:ascii="宋体"/>
          <w:b/>
          <w:bCs/>
          <w:sz w:val="24"/>
          <w:szCs w:val="24"/>
        </w:rPr>
        <w:t>磋</w:t>
      </w:r>
      <w:r>
        <w:rPr>
          <w:rFonts w:hint="eastAsia" w:ascii="宋体"/>
          <w:b/>
          <w:sz w:val="24"/>
          <w:szCs w:val="24"/>
        </w:rPr>
        <w:t>商小组在政府采购活动中承担以下义务：</w:t>
      </w:r>
      <w:bookmarkEnd w:id="25"/>
    </w:p>
    <w:p w14:paraId="1C9709D2">
      <w:pPr>
        <w:spacing w:line="400" w:lineRule="exact"/>
        <w:ind w:firstLine="480" w:firstLineChars="200"/>
        <w:rPr>
          <w:sz w:val="24"/>
          <w:szCs w:val="24"/>
        </w:rPr>
      </w:pPr>
      <w:r>
        <w:rPr>
          <w:rFonts w:hint="eastAsia" w:ascii="宋体"/>
          <w:sz w:val="24"/>
          <w:szCs w:val="24"/>
        </w:rPr>
        <w:t>（一）遵守评审工作纪律；</w:t>
      </w:r>
    </w:p>
    <w:p w14:paraId="35B80278">
      <w:pPr>
        <w:spacing w:line="400" w:lineRule="exact"/>
        <w:ind w:firstLine="480" w:firstLineChars="200"/>
        <w:rPr>
          <w:sz w:val="24"/>
          <w:szCs w:val="24"/>
        </w:rPr>
      </w:pPr>
      <w:r>
        <w:rPr>
          <w:rFonts w:hint="eastAsia" w:ascii="宋体"/>
          <w:sz w:val="24"/>
          <w:szCs w:val="24"/>
        </w:rPr>
        <w:t>（二）按照客观、公正、审慎的原则，根据磋商文件规定的评审程序、评审方法和评审标准进行独立评审；</w:t>
      </w:r>
    </w:p>
    <w:p w14:paraId="62869EFE">
      <w:pPr>
        <w:spacing w:line="400" w:lineRule="exact"/>
        <w:ind w:firstLine="480" w:firstLineChars="200"/>
        <w:rPr>
          <w:sz w:val="24"/>
          <w:szCs w:val="24"/>
        </w:rPr>
      </w:pPr>
      <w:r>
        <w:rPr>
          <w:rFonts w:hint="eastAsia" w:ascii="宋体"/>
          <w:sz w:val="24"/>
          <w:szCs w:val="24"/>
        </w:rPr>
        <w:t>（三）不得泄露评审文件、评审情况和在评审过程中获悉的商业秘密；</w:t>
      </w:r>
    </w:p>
    <w:p w14:paraId="663036E1">
      <w:pPr>
        <w:spacing w:line="400" w:lineRule="exact"/>
        <w:ind w:firstLine="480" w:firstLineChars="200"/>
        <w:rPr>
          <w:sz w:val="24"/>
          <w:szCs w:val="24"/>
        </w:rPr>
      </w:pPr>
      <w:r>
        <w:rPr>
          <w:rFonts w:hint="eastAsia" w:ascii="宋体"/>
          <w:sz w:val="24"/>
          <w:szCs w:val="24"/>
        </w:rPr>
        <w:t>（四）及时向财政部门报告评审过程中发现的采购人向评审专家做倾向性、误导性的解释或者说明，以及供应商行贿、提供虚假材料或者串通等违法行为；</w:t>
      </w:r>
    </w:p>
    <w:p w14:paraId="2B69D592">
      <w:pPr>
        <w:spacing w:line="400" w:lineRule="exact"/>
        <w:ind w:firstLine="480" w:firstLineChars="200"/>
        <w:rPr>
          <w:sz w:val="24"/>
          <w:szCs w:val="24"/>
        </w:rPr>
      </w:pPr>
      <w:r>
        <w:rPr>
          <w:rFonts w:hint="eastAsia" w:ascii="宋体"/>
          <w:sz w:val="24"/>
          <w:szCs w:val="24"/>
        </w:rPr>
        <w:t>（五）发现磋商文件内容违反国家有关强制性规定或者磋商文件存在歧义、重大缺陷导致评审工作无法进行时，停止评审并向采购人书面说明情况；</w:t>
      </w:r>
    </w:p>
    <w:p w14:paraId="1A5DF2A7">
      <w:pPr>
        <w:spacing w:line="400" w:lineRule="exact"/>
        <w:ind w:firstLine="480" w:firstLineChars="200"/>
        <w:rPr>
          <w:sz w:val="24"/>
          <w:szCs w:val="24"/>
        </w:rPr>
      </w:pPr>
      <w:r>
        <w:rPr>
          <w:rFonts w:hint="eastAsia" w:ascii="宋体"/>
          <w:sz w:val="24"/>
          <w:szCs w:val="24"/>
        </w:rPr>
        <w:t>（六）及时向财政、监察等部门举报在评审过程中受到非法干预的情况；</w:t>
      </w:r>
    </w:p>
    <w:p w14:paraId="6408A6ED">
      <w:pPr>
        <w:spacing w:line="400" w:lineRule="exact"/>
        <w:ind w:firstLine="480" w:firstLineChars="200"/>
        <w:rPr>
          <w:sz w:val="24"/>
          <w:szCs w:val="24"/>
        </w:rPr>
      </w:pPr>
      <w:r>
        <w:rPr>
          <w:rFonts w:hint="eastAsia" w:ascii="宋体"/>
          <w:sz w:val="24"/>
          <w:szCs w:val="24"/>
        </w:rPr>
        <w:t>（七）配合答复处理供应商的询问、质疑和投诉等事项；</w:t>
      </w:r>
    </w:p>
    <w:p w14:paraId="49BC3270">
      <w:pPr>
        <w:spacing w:line="400" w:lineRule="exact"/>
        <w:ind w:firstLine="480" w:firstLineChars="200"/>
        <w:rPr>
          <w:sz w:val="24"/>
          <w:szCs w:val="24"/>
        </w:rPr>
      </w:pPr>
      <w:r>
        <w:rPr>
          <w:rFonts w:hint="eastAsia" w:ascii="宋体"/>
          <w:sz w:val="24"/>
          <w:szCs w:val="24"/>
        </w:rPr>
        <w:t>（八）法律、法规和规章规定的其他义务。</w:t>
      </w:r>
    </w:p>
    <w:p w14:paraId="11308498">
      <w:pPr>
        <w:spacing w:line="400" w:lineRule="exact"/>
        <w:ind w:firstLine="482" w:firstLineChars="200"/>
        <w:outlineLvl w:val="1"/>
        <w:rPr>
          <w:b/>
          <w:sz w:val="24"/>
          <w:szCs w:val="24"/>
        </w:rPr>
      </w:pPr>
      <w:bookmarkStart w:id="26" w:name="_Toc227836528"/>
      <w:r>
        <w:rPr>
          <w:rFonts w:hint="eastAsia"/>
          <w:b/>
          <w:sz w:val="24"/>
          <w:szCs w:val="24"/>
        </w:rPr>
        <w:t>六、</w:t>
      </w:r>
      <w:r>
        <w:rPr>
          <w:rFonts w:hint="eastAsia" w:ascii="宋体"/>
          <w:b/>
          <w:sz w:val="24"/>
          <w:szCs w:val="24"/>
        </w:rPr>
        <w:t>评审专家在政府采购活动中应当遵守以下工作纪律：</w:t>
      </w:r>
      <w:bookmarkEnd w:id="26"/>
    </w:p>
    <w:p w14:paraId="10F86362">
      <w:pPr>
        <w:spacing w:line="400" w:lineRule="exact"/>
        <w:ind w:firstLine="480" w:firstLineChars="200"/>
        <w:rPr>
          <w:sz w:val="24"/>
          <w:szCs w:val="24"/>
        </w:rPr>
      </w:pPr>
      <w:r>
        <w:rPr>
          <w:rFonts w:hint="eastAsia" w:ascii="宋体"/>
          <w:sz w:val="24"/>
          <w:szCs w:val="24"/>
        </w:rPr>
        <w:t>（一）不得参加与自己有《中华人民共和国政府采购法实施条例》第九条规定的利害关系的政府采购项目的评标活动。发现参加了与自己有利害关系的评审活动，须主动提出回避，退出评审；</w:t>
      </w:r>
    </w:p>
    <w:p w14:paraId="58488E6A">
      <w:pPr>
        <w:spacing w:line="400" w:lineRule="exact"/>
        <w:ind w:firstLine="480" w:firstLineChars="200"/>
        <w:rPr>
          <w:sz w:val="24"/>
          <w:szCs w:val="24"/>
        </w:rPr>
      </w:pPr>
      <w:r>
        <w:rPr>
          <w:rFonts w:hint="eastAsia" w:ascii="宋体"/>
          <w:sz w:val="24"/>
          <w:szCs w:val="24"/>
        </w:rPr>
        <w:t>（二）评审前，应当将通讯工具或者相关电子设备交由采购人统一保管；</w:t>
      </w:r>
    </w:p>
    <w:p w14:paraId="6073FCF0">
      <w:pPr>
        <w:spacing w:line="400" w:lineRule="exact"/>
        <w:ind w:firstLine="480" w:firstLineChars="200"/>
        <w:rPr>
          <w:sz w:val="24"/>
          <w:szCs w:val="24"/>
        </w:rPr>
      </w:pPr>
      <w:r>
        <w:rPr>
          <w:rFonts w:hint="eastAsia" w:ascii="宋体"/>
          <w:sz w:val="24"/>
          <w:szCs w:val="24"/>
        </w:rPr>
        <w:t>（三）评审过程中，不得与外界联系，因发生不可预见情况，确实需要与外界联系的，应当在监督人员监督之下办理；</w:t>
      </w:r>
    </w:p>
    <w:p w14:paraId="5A68561C">
      <w:pPr>
        <w:spacing w:line="400" w:lineRule="exact"/>
        <w:ind w:firstLine="480" w:firstLineChars="200"/>
        <w:rPr>
          <w:sz w:val="24"/>
          <w:szCs w:val="24"/>
        </w:rPr>
      </w:pPr>
      <w:r>
        <w:rPr>
          <w:rFonts w:hint="eastAsia" w:ascii="宋体"/>
          <w:sz w:val="24"/>
          <w:szCs w:val="24"/>
        </w:rPr>
        <w:t>（四）评审过程中，不得发表影响评审公正的倾向性、歧视性言论，不得征询或者接受采购人的倾向性意见，不得明示或暗示供应商在澄清时表达与其响应文件原义不同的意见，不得以磋商文件没有规定的评审方法和标准作为评审的依据，不得修改或者细化评审程序、评审方法、评审因素和评审标准，不得违规撰写评审意见，不得拒绝对自己的评审意见签字确认；</w:t>
      </w:r>
    </w:p>
    <w:p w14:paraId="344CA801">
      <w:pPr>
        <w:spacing w:line="400" w:lineRule="exact"/>
        <w:ind w:firstLine="480" w:firstLineChars="200"/>
        <w:rPr>
          <w:sz w:val="24"/>
          <w:szCs w:val="24"/>
        </w:rPr>
      </w:pPr>
      <w:r>
        <w:rPr>
          <w:rFonts w:hint="eastAsia" w:ascii="宋体"/>
          <w:sz w:val="24"/>
          <w:szCs w:val="24"/>
        </w:rPr>
        <w:t>（五）在评审过程中和评审结束后，不得记录、复制或带走任何评审资料，不得向外界透露评审内容；</w:t>
      </w:r>
    </w:p>
    <w:p w14:paraId="7BE92481">
      <w:pPr>
        <w:spacing w:line="400" w:lineRule="exact"/>
        <w:ind w:firstLine="480" w:firstLineChars="200"/>
        <w:rPr>
          <w:sz w:val="24"/>
          <w:szCs w:val="24"/>
        </w:rPr>
      </w:pPr>
      <w:r>
        <w:rPr>
          <w:rFonts w:hint="eastAsia" w:ascii="宋体"/>
          <w:sz w:val="24"/>
          <w:szCs w:val="24"/>
        </w:rPr>
        <w:t>（六）评审现场服从采购人员的管理，接受现场监督人员的合法监督；</w:t>
      </w:r>
    </w:p>
    <w:p w14:paraId="04AD6BC5">
      <w:pPr>
        <w:spacing w:line="400" w:lineRule="exact"/>
        <w:ind w:firstLine="480" w:firstLineChars="200"/>
        <w:rPr>
          <w:rFonts w:ascii="宋体"/>
          <w:sz w:val="24"/>
          <w:szCs w:val="24"/>
        </w:rPr>
      </w:pPr>
      <w:r>
        <w:rPr>
          <w:rFonts w:hint="eastAsia" w:ascii="宋体"/>
          <w:sz w:val="24"/>
          <w:szCs w:val="24"/>
        </w:rPr>
        <w:t>（七）遵守有关廉洁自律规定，不得私下接触供应商，不得收受供应商及有关业务单位和个人的财物或好处。</w:t>
      </w:r>
    </w:p>
    <w:p w14:paraId="25A4BCE3"/>
    <w:sectPr>
      <w:pgSz w:w="11907" w:h="16839"/>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Sans">
    <w:panose1 w:val="020B0602030504020204"/>
    <w:charset w:val="00"/>
    <w:family w:val="auto"/>
    <w:pitch w:val="default"/>
    <w:sig w:usb0="00000003" w:usb1="00000000" w:usb2="00000000" w:usb3="00000000" w:csb0="20000001"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新宋体">
    <w:panose1 w:val="02010609030101010101"/>
    <w:charset w:val="86"/>
    <w:family w:val="auto"/>
    <w:pitch w:val="default"/>
    <w:sig w:usb0="0000028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32B6EF">
    <w:pPr>
      <w:pStyle w:val="1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1"/>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useAltKinsokuLineBreakRules/>
    <w:compatSetting w:name="compatibilityMode" w:uri="http://schemas.microsoft.com/office/word" w:val="14"/>
  </w:compat>
  <w:docVars>
    <w:docVar w:name="commondata" w:val="eyJoZGlkIjoiMDIzYWNhYTUwOGU0YWM2NWM3OGFjYTYyZjAzOGUwZTAifQ=="/>
  </w:docVars>
  <w:rsids>
    <w:rsidRoot w:val="00000000"/>
    <w:rsid w:val="4DFBD3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outlineLvl w:val="9"/>
    </w:pPr>
    <w:rPr>
      <w:rFonts w:ascii="Times New Roman" w:hAnsi="Times New Roman" w:eastAsia="宋体" w:cs="Times New Roman"/>
      <w:snapToGrid/>
      <w:color w:val="auto"/>
      <w:spacing w:val="0"/>
      <w:w w:val="100"/>
      <w:kern w:val="2"/>
      <w:position w:val="0"/>
      <w:sz w:val="21"/>
      <w:szCs w:val="21"/>
      <w:u w:val="none" w:color="auto"/>
      <w:vertAlign w:val="baseline"/>
      <w:lang w:val="en-US" w:eastAsia="zh-CN" w:bidi="ar-SA"/>
    </w:rPr>
  </w:style>
  <w:style w:type="paragraph" w:styleId="2">
    <w:name w:val="heading 1"/>
    <w:basedOn w:val="1"/>
    <w:next w:val="1"/>
    <w:link w:val="26"/>
    <w:qFormat/>
    <w:uiPriority w:val="0"/>
    <w:pPr>
      <w:keepNext/>
      <w:keepLines/>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340" w:beforeAutospacing="0" w:after="330" w:afterAutospacing="0" w:line="576" w:lineRule="auto"/>
      <w:ind w:left="0" w:right="0" w:firstLine="0"/>
      <w:jc w:val="both"/>
      <w:textAlignment w:val="auto"/>
      <w:outlineLvl w:val="0"/>
    </w:pPr>
    <w:rPr>
      <w:rFonts w:ascii="Times New Roman" w:hAnsi="Times New Roman" w:eastAsia="宋体"/>
      <w:b/>
      <w:bCs/>
      <w:snapToGrid/>
      <w:color w:val="auto"/>
      <w:spacing w:val="0"/>
      <w:w w:val="100"/>
      <w:kern w:val="44"/>
      <w:position w:val="0"/>
      <w:sz w:val="44"/>
      <w:szCs w:val="44"/>
      <w:u w:val="none" w:color="auto"/>
      <w:vertAlign w:val="baseline"/>
      <w:lang w:val="en-US" w:eastAsia="zh-CN"/>
    </w:rPr>
  </w:style>
  <w:style w:type="paragraph" w:styleId="3">
    <w:name w:val="heading 2"/>
    <w:basedOn w:val="1"/>
    <w:next w:val="1"/>
    <w:link w:val="27"/>
    <w:qFormat/>
    <w:uiPriority w:val="0"/>
    <w:pPr>
      <w:keepNext/>
      <w:keepLines/>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260" w:beforeAutospacing="0" w:after="260" w:afterAutospacing="0" w:line="415" w:lineRule="auto"/>
      <w:ind w:left="0" w:right="0" w:firstLine="0"/>
      <w:jc w:val="both"/>
      <w:textAlignment w:val="auto"/>
      <w:outlineLvl w:val="1"/>
    </w:pPr>
    <w:rPr>
      <w:rFonts w:ascii="Arial" w:hAnsi="Arial" w:eastAsia="黑体" w:cs="Times New Roman"/>
      <w:b/>
      <w:bCs/>
      <w:snapToGrid/>
      <w:color w:val="auto"/>
      <w:spacing w:val="0"/>
      <w:w w:val="100"/>
      <w:kern w:val="2"/>
      <w:position w:val="0"/>
      <w:sz w:val="32"/>
      <w:szCs w:val="32"/>
      <w:u w:val="none" w:color="auto"/>
      <w:vertAlign w:val="baseline"/>
      <w:lang w:val="en-US" w:eastAsia="zh-CN" w:bidi="ar-SA"/>
    </w:rPr>
  </w:style>
  <w:style w:type="paragraph" w:styleId="4">
    <w:name w:val="heading 3"/>
    <w:basedOn w:val="1"/>
    <w:next w:val="1"/>
    <w:link w:val="28"/>
    <w:qFormat/>
    <w:uiPriority w:val="0"/>
    <w:pPr>
      <w:keepNext/>
      <w:keepLines/>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260" w:beforeAutospacing="0" w:after="260" w:afterAutospacing="0" w:line="415" w:lineRule="auto"/>
      <w:ind w:left="0" w:right="0" w:firstLine="0"/>
      <w:jc w:val="both"/>
      <w:textAlignment w:val="auto"/>
      <w:outlineLvl w:val="2"/>
    </w:pPr>
    <w:rPr>
      <w:rFonts w:ascii="Times New Roman" w:hAnsi="Times New Roman" w:eastAsia="宋体"/>
      <w:b/>
      <w:bCs/>
      <w:snapToGrid/>
      <w:color w:val="auto"/>
      <w:spacing w:val="0"/>
      <w:w w:val="100"/>
      <w:kern w:val="2"/>
      <w:position w:val="0"/>
      <w:sz w:val="32"/>
      <w:szCs w:val="32"/>
      <w:u w:val="none" w:color="auto"/>
      <w:vertAlign w:val="baseline"/>
      <w:lang w:val="en-US" w:eastAsia="zh-CN"/>
    </w:rPr>
  </w:style>
  <w:style w:type="paragraph" w:styleId="5">
    <w:name w:val="heading 4"/>
    <w:basedOn w:val="1"/>
    <w:next w:val="1"/>
    <w:link w:val="29"/>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00" w:afterAutospacing="1" w:line="240" w:lineRule="auto"/>
      <w:ind w:left="0" w:right="0" w:firstLine="0"/>
      <w:jc w:val="left"/>
      <w:textAlignment w:val="auto"/>
      <w:outlineLvl w:val="3"/>
    </w:pPr>
    <w:rPr>
      <w:rFonts w:ascii="宋体" w:eastAsia="宋体" w:cs="Times New Roman"/>
      <w:b/>
      <w:bCs/>
      <w:snapToGrid/>
      <w:color w:val="auto"/>
      <w:spacing w:val="0"/>
      <w:w w:val="100"/>
      <w:kern w:val="0"/>
      <w:position w:val="0"/>
      <w:sz w:val="24"/>
      <w:szCs w:val="24"/>
      <w:u w:val="none" w:color="auto"/>
      <w:vertAlign w:val="baseline"/>
      <w:lang w:val="en-US" w:eastAsia="zh-CN" w:bidi="ar-SA"/>
    </w:rPr>
  </w:style>
  <w:style w:type="character" w:default="1" w:styleId="24">
    <w:name w:val="Default Paragraph Font"/>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styleId="6">
    <w:name w:val="Normal Indent"/>
    <w:basedOn w:val="1"/>
    <w:next w:val="7"/>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0" w:beforeAutospacing="0" w:after="0" w:afterAutospacing="0" w:line="240" w:lineRule="auto"/>
      <w:ind w:left="0" w:right="0" w:firstLine="200" w:firstLineChars="200"/>
      <w:jc w:val="both"/>
      <w:textAlignment w:val="auto"/>
      <w:outlineLvl w:val="9"/>
    </w:pPr>
    <w:rPr>
      <w:rFonts w:ascii="Times New Roman" w:hAnsi="Times New Roman" w:eastAsia="宋体" w:cs="Times New Roman"/>
      <w:snapToGrid/>
      <w:color w:val="auto"/>
      <w:spacing w:val="0"/>
      <w:w w:val="100"/>
      <w:kern w:val="2"/>
      <w:position w:val="0"/>
      <w:sz w:val="21"/>
      <w:szCs w:val="21"/>
      <w:u w:val="none" w:color="auto"/>
      <w:vertAlign w:val="baseline"/>
      <w:lang w:val="en-US" w:eastAsia="zh-CN" w:bidi="ar-SA"/>
    </w:rPr>
  </w:style>
  <w:style w:type="paragraph" w:customStyle="1" w:styleId="7">
    <w:name w:val="正文首行缩进两字符"/>
    <w:basedOn w:val="1"/>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0" w:beforeAutospacing="0" w:after="0" w:afterAutospacing="0" w:line="360" w:lineRule="auto"/>
      <w:ind w:left="0" w:right="0" w:firstLine="200" w:firstLineChars="200"/>
      <w:jc w:val="both"/>
      <w:textAlignment w:val="auto"/>
      <w:outlineLvl w:val="9"/>
    </w:pPr>
    <w:rPr>
      <w:rFonts w:ascii="Times New Roman" w:hAnsi="Times New Roman" w:eastAsia="宋体" w:cs="Times New Roman"/>
      <w:snapToGrid/>
      <w:color w:val="auto"/>
      <w:spacing w:val="0"/>
      <w:w w:val="100"/>
      <w:kern w:val="2"/>
      <w:position w:val="0"/>
      <w:sz w:val="21"/>
      <w:szCs w:val="21"/>
      <w:u w:val="none" w:color="auto"/>
      <w:vertAlign w:val="baseline"/>
      <w:lang w:val="en-US" w:eastAsia="zh-CN" w:bidi="ar-SA"/>
    </w:rPr>
  </w:style>
  <w:style w:type="paragraph" w:styleId="8">
    <w:name w:val="Body Text"/>
    <w:basedOn w:val="1"/>
    <w:next w:val="1"/>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20" w:afterAutospacing="0" w:line="240" w:lineRule="auto"/>
      <w:ind w:left="0" w:right="0" w:firstLine="0"/>
      <w:jc w:val="both"/>
      <w:textAlignment w:val="auto"/>
      <w:outlineLvl w:val="9"/>
    </w:pPr>
    <w:rPr>
      <w:rFonts w:ascii="Times New Roman" w:hAnsi="Times New Roman" w:eastAsia="宋体"/>
      <w:snapToGrid/>
      <w:color w:val="auto"/>
      <w:spacing w:val="0"/>
      <w:w w:val="100"/>
      <w:kern w:val="2"/>
      <w:position w:val="0"/>
      <w:sz w:val="21"/>
      <w:szCs w:val="21"/>
      <w:u w:val="none" w:color="auto"/>
      <w:vertAlign w:val="baseline"/>
      <w:lang w:val="en-US" w:eastAsia="zh-CN"/>
    </w:rPr>
  </w:style>
  <w:style w:type="paragraph" w:styleId="9">
    <w:name w:val="Body Text Indent"/>
    <w:basedOn w:val="1"/>
    <w:next w:val="10"/>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0" w:beforeAutospacing="0" w:after="0" w:afterAutospacing="0" w:line="240" w:lineRule="auto"/>
      <w:ind w:left="0" w:right="0" w:firstLine="630"/>
      <w:jc w:val="both"/>
      <w:textAlignment w:val="auto"/>
      <w:outlineLvl w:val="9"/>
    </w:pPr>
    <w:rPr>
      <w:rFonts w:ascii="Times New Roman" w:hAnsi="Times New Roman" w:eastAsia="宋体" w:cs="Times New Roman"/>
      <w:snapToGrid/>
      <w:color w:val="auto"/>
      <w:spacing w:val="0"/>
      <w:w w:val="100"/>
      <w:kern w:val="2"/>
      <w:position w:val="0"/>
      <w:sz w:val="32"/>
      <w:szCs w:val="32"/>
      <w:u w:val="none" w:color="auto"/>
      <w:vertAlign w:val="baseline"/>
      <w:lang w:val="en-US" w:eastAsia="zh-CN" w:bidi="ar-SA"/>
    </w:rPr>
  </w:style>
  <w:style w:type="paragraph" w:styleId="10">
    <w:name w:val="toc 9"/>
    <w:basedOn w:val="1"/>
    <w:next w:val="1"/>
    <w:qFormat/>
    <w:uiPriority w:val="0"/>
    <w:pPr>
      <w:ind w:left="3360"/>
    </w:pPr>
  </w:style>
  <w:style w:type="paragraph" w:styleId="11">
    <w:name w:val="Plain Text"/>
    <w:basedOn w:val="1"/>
    <w:next w:val="12"/>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val="0"/>
      <w:snapToGrid/>
      <w:spacing w:before="0" w:beforeAutospacing="0" w:after="0" w:afterAutospacing="0" w:line="240" w:lineRule="auto"/>
      <w:ind w:left="0" w:right="0" w:firstLine="0"/>
      <w:jc w:val="both"/>
      <w:textAlignment w:val="auto"/>
      <w:outlineLvl w:val="9"/>
    </w:pPr>
    <w:rPr>
      <w:rFonts w:ascii="宋体" w:eastAsia="宋体" w:cs="Times New Roman"/>
      <w:snapToGrid/>
      <w:color w:val="auto"/>
      <w:spacing w:val="0"/>
      <w:w w:val="100"/>
      <w:kern w:val="2"/>
      <w:position w:val="0"/>
      <w:sz w:val="21"/>
      <w:szCs w:val="21"/>
      <w:u w:val="none" w:color="auto"/>
      <w:vertAlign w:val="baseline"/>
      <w:lang w:val="en-US" w:eastAsia="zh-CN" w:bidi="ar-SA"/>
    </w:rPr>
  </w:style>
  <w:style w:type="paragraph" w:styleId="12">
    <w:name w:val="index 1"/>
    <w:basedOn w:val="1"/>
    <w:next w:val="1"/>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0" w:beforeAutospacing="0" w:after="0" w:afterAutospacing="0" w:line="240" w:lineRule="auto"/>
      <w:ind w:left="0" w:right="0" w:firstLine="5632"/>
      <w:jc w:val="both"/>
      <w:textAlignment w:val="auto"/>
      <w:outlineLvl w:val="9"/>
    </w:pPr>
    <w:rPr>
      <w:rFonts w:ascii="宋体" w:eastAsia="宋体" w:cs="Times New Roman"/>
      <w:snapToGrid/>
      <w:color w:val="auto"/>
      <w:spacing w:val="0"/>
      <w:w w:val="100"/>
      <w:kern w:val="0"/>
      <w:position w:val="0"/>
      <w:sz w:val="34"/>
      <w:szCs w:val="34"/>
      <w:u w:val="none" w:color="auto"/>
      <w:vertAlign w:val="baseline"/>
      <w:lang w:val="en-US" w:eastAsia="zh-CN" w:bidi="ar-SA"/>
    </w:rPr>
  </w:style>
  <w:style w:type="paragraph" w:styleId="13">
    <w:name w:val="Body Text Indent 2"/>
    <w:basedOn w:val="1"/>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20" w:afterAutospacing="0" w:line="480" w:lineRule="auto"/>
      <w:ind w:left="200" w:leftChars="200" w:right="0" w:firstLine="0"/>
      <w:jc w:val="both"/>
      <w:textAlignment w:val="auto"/>
      <w:outlineLvl w:val="9"/>
    </w:pPr>
    <w:rPr>
      <w:rFonts w:ascii="Times New Roman" w:hAnsi="Times New Roman" w:eastAsia="宋体" w:cs="Times New Roman"/>
      <w:snapToGrid/>
      <w:color w:val="auto"/>
      <w:spacing w:val="0"/>
      <w:w w:val="100"/>
      <w:kern w:val="2"/>
      <w:position w:val="0"/>
      <w:sz w:val="21"/>
      <w:szCs w:val="21"/>
      <w:u w:val="none" w:color="auto"/>
      <w:vertAlign w:val="baseline"/>
      <w:lang w:val="en-US" w:eastAsia="zh-CN" w:bidi="ar-SA"/>
    </w:rPr>
  </w:style>
  <w:style w:type="paragraph" w:styleId="14">
    <w:name w:val="footer"/>
    <w:basedOn w:val="1"/>
    <w:qFormat/>
    <w:uiPriority w:val="0"/>
    <w:pPr>
      <w:tabs>
        <w:tab w:val="center" w:pos="4153"/>
        <w:tab w:val="right" w:pos="8306"/>
      </w:tabs>
      <w:adjustRightInd/>
      <w:snapToGrid w:val="0"/>
      <w:jc w:val="left"/>
    </w:pPr>
    <w:rPr>
      <w:sz w:val="18"/>
    </w:rPr>
  </w:style>
  <w:style w:type="paragraph" w:styleId="15">
    <w:name w:val="toc 1"/>
    <w:basedOn w:val="1"/>
    <w:next w:val="1"/>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20" w:beforeAutospacing="0" w:after="120" w:afterAutospacing="0" w:line="240" w:lineRule="auto"/>
      <w:ind w:left="0" w:right="0" w:firstLine="0"/>
      <w:jc w:val="left"/>
      <w:textAlignment w:val="auto"/>
      <w:outlineLvl w:val="9"/>
    </w:pPr>
    <w:rPr>
      <w:rFonts w:ascii="Calibri" w:hAnsi="Calibri" w:eastAsia="宋体" w:cs="Times New Roman"/>
      <w:b/>
      <w:bCs/>
      <w:caps/>
      <w:snapToGrid/>
      <w:color w:val="auto"/>
      <w:spacing w:val="0"/>
      <w:w w:val="100"/>
      <w:kern w:val="2"/>
      <w:position w:val="0"/>
      <w:sz w:val="20"/>
      <w:szCs w:val="20"/>
      <w:u w:val="none" w:color="auto"/>
      <w:vertAlign w:val="baseline"/>
      <w:lang w:val="en-US" w:eastAsia="zh-CN" w:bidi="ar-SA"/>
    </w:rPr>
  </w:style>
  <w:style w:type="paragraph" w:styleId="16">
    <w:name w:val="index heading"/>
    <w:basedOn w:val="1"/>
    <w:next w:val="12"/>
    <w:qFormat/>
    <w:uiPriority w:val="0"/>
    <w:rPr>
      <w:rFonts w:ascii="Times New Roman" w:hAnsi="Times New Roman"/>
      <w:b/>
    </w:rPr>
  </w:style>
  <w:style w:type="paragraph" w:styleId="17">
    <w:name w:val="List Number 5"/>
    <w:basedOn w:val="1"/>
    <w:next w:val="12"/>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00" w:afterAutospacing="1" w:line="240" w:lineRule="auto"/>
      <w:ind w:left="2040" w:right="0" w:hanging="360"/>
      <w:jc w:val="both"/>
      <w:textAlignment w:val="auto"/>
      <w:outlineLvl w:val="9"/>
    </w:pPr>
    <w:rPr>
      <w:rFonts w:ascii="Times New Roman" w:hAnsi="Times New Roman" w:eastAsia="宋体"/>
      <w:snapToGrid/>
      <w:color w:val="auto"/>
      <w:spacing w:val="0"/>
      <w:w w:val="100"/>
      <w:kern w:val="2"/>
      <w:position w:val="0"/>
      <w:sz w:val="21"/>
      <w:szCs w:val="21"/>
      <w:u w:val="none" w:color="auto"/>
      <w:vertAlign w:val="baseline"/>
      <w:lang w:val="en-US" w:eastAsia="zh-CN"/>
    </w:rPr>
  </w:style>
  <w:style w:type="paragraph" w:styleId="18">
    <w:name w:val="footnote text"/>
    <w:basedOn w:val="1"/>
    <w:qFormat/>
    <w:uiPriority w:val="0"/>
    <w:pPr>
      <w:adjustRightInd/>
      <w:snapToGrid w:val="0"/>
      <w:jc w:val="left"/>
    </w:pPr>
    <w:rPr>
      <w:sz w:val="18"/>
    </w:rPr>
  </w:style>
  <w:style w:type="paragraph" w:styleId="19">
    <w:name w:val="toc 2"/>
    <w:basedOn w:val="1"/>
    <w:next w:val="1"/>
    <w:qFormat/>
    <w:uiPriority w:val="0"/>
    <w:pPr>
      <w:ind w:left="420"/>
    </w:pPr>
  </w:style>
  <w:style w:type="paragraph" w:styleId="20">
    <w:name w:val="Normal (Web)"/>
    <w:basedOn w:val="1"/>
    <w:next w:val="17"/>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00" w:afterAutospacing="1" w:line="240" w:lineRule="auto"/>
      <w:ind w:left="0" w:right="0" w:firstLine="0"/>
      <w:jc w:val="left"/>
      <w:textAlignment w:val="auto"/>
      <w:outlineLvl w:val="9"/>
    </w:pPr>
    <w:rPr>
      <w:rFonts w:ascii="宋体" w:eastAsia="宋体" w:cs="Times New Roman"/>
      <w:snapToGrid/>
      <w:color w:val="auto"/>
      <w:spacing w:val="0"/>
      <w:w w:val="100"/>
      <w:kern w:val="0"/>
      <w:position w:val="0"/>
      <w:sz w:val="18"/>
      <w:szCs w:val="18"/>
      <w:u w:val="none" w:color="auto"/>
      <w:vertAlign w:val="baseline"/>
      <w:lang w:val="en-US" w:eastAsia="zh-CN" w:bidi="ar-SA"/>
    </w:rPr>
  </w:style>
  <w:style w:type="paragraph" w:styleId="21">
    <w:name w:val="Body Text First Indent"/>
    <w:basedOn w:val="1"/>
    <w:next w:val="22"/>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20" w:afterAutospacing="0" w:line="240" w:lineRule="auto"/>
      <w:ind w:left="0" w:right="0" w:firstLine="100" w:firstLineChars="100"/>
      <w:jc w:val="both"/>
      <w:textAlignment w:val="auto"/>
      <w:outlineLvl w:val="9"/>
    </w:pPr>
    <w:rPr>
      <w:rFonts w:ascii="Times New Roman" w:hAnsi="Times New Roman" w:eastAsia="宋体"/>
      <w:snapToGrid/>
      <w:color w:val="auto"/>
      <w:spacing w:val="0"/>
      <w:w w:val="100"/>
      <w:kern w:val="2"/>
      <w:position w:val="0"/>
      <w:sz w:val="21"/>
      <w:szCs w:val="21"/>
      <w:u w:val="none" w:color="auto"/>
      <w:vertAlign w:val="baseline"/>
      <w:lang w:val="en-US" w:eastAsia="zh-CN"/>
    </w:rPr>
  </w:style>
  <w:style w:type="paragraph" w:styleId="22">
    <w:name w:val="Body Text First Indent 2"/>
    <w:basedOn w:val="1"/>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20" w:afterAutospacing="0" w:line="240" w:lineRule="auto"/>
      <w:ind w:left="200" w:leftChars="200" w:right="0" w:firstLine="200" w:firstLineChars="200"/>
      <w:jc w:val="both"/>
      <w:textAlignment w:val="auto"/>
      <w:outlineLvl w:val="9"/>
    </w:pPr>
    <w:rPr>
      <w:rFonts w:ascii="宋体" w:eastAsia="宋体" w:cs="Times New Roman"/>
      <w:snapToGrid/>
      <w:color w:val="auto"/>
      <w:spacing w:val="0"/>
      <w:w w:val="100"/>
      <w:kern w:val="2"/>
      <w:position w:val="0"/>
      <w:sz w:val="34"/>
      <w:szCs w:val="34"/>
      <w:u w:val="none" w:color="auto"/>
      <w:vertAlign w:val="baseline"/>
      <w:lang w:val="en-US" w:eastAsia="zh-CN" w:bidi="ar-SA"/>
    </w:rPr>
  </w:style>
  <w:style w:type="character" w:styleId="25">
    <w:name w:val="Hyperlink"/>
    <w:qFormat/>
    <w:uiPriority w:val="0"/>
    <w:rPr>
      <w:color w:val="0000FF"/>
      <w:u w:val="single"/>
    </w:rPr>
  </w:style>
  <w:style w:type="character" w:customStyle="1" w:styleId="26">
    <w:name w:val="heading 1 Char"/>
    <w:basedOn w:val="24"/>
    <w:link w:val="2"/>
    <w:qFormat/>
    <w:uiPriority w:val="0"/>
    <w:rPr>
      <w:rFonts w:ascii="Times New Roman" w:hAnsi="Times New Roman" w:eastAsia="宋体" w:cs="Times New Roman"/>
      <w:b/>
      <w:bCs/>
      <w:snapToGrid/>
      <w:color w:val="auto"/>
      <w:spacing w:val="0"/>
      <w:w w:val="100"/>
      <w:kern w:val="44"/>
      <w:position w:val="0"/>
      <w:sz w:val="44"/>
      <w:szCs w:val="44"/>
      <w:u w:val="none" w:color="auto"/>
      <w:vertAlign w:val="baseline"/>
      <w:lang w:val="en-US" w:eastAsia="zh-CN" w:bidi="ar-SA"/>
    </w:rPr>
  </w:style>
  <w:style w:type="character" w:customStyle="1" w:styleId="27">
    <w:name w:val="heading 2 Char"/>
    <w:basedOn w:val="24"/>
    <w:link w:val="3"/>
    <w:qFormat/>
    <w:uiPriority w:val="0"/>
    <w:rPr>
      <w:rFonts w:ascii="Arial" w:hAnsi="Arial" w:eastAsia="黑体" w:cs="Times New Roman"/>
      <w:b/>
      <w:bCs/>
      <w:snapToGrid/>
      <w:color w:val="auto"/>
      <w:spacing w:val="0"/>
      <w:w w:val="100"/>
      <w:kern w:val="2"/>
      <w:position w:val="0"/>
      <w:sz w:val="32"/>
      <w:szCs w:val="32"/>
      <w:u w:val="none" w:color="auto"/>
      <w:vertAlign w:val="baseline"/>
      <w:lang w:val="en-US" w:eastAsia="zh-CN" w:bidi="ar-SA"/>
    </w:rPr>
  </w:style>
  <w:style w:type="character" w:customStyle="1" w:styleId="28">
    <w:name w:val="heading 3 Char"/>
    <w:basedOn w:val="24"/>
    <w:link w:val="4"/>
    <w:qFormat/>
    <w:uiPriority w:val="0"/>
    <w:rPr>
      <w:rFonts w:ascii="Times New Roman" w:hAnsi="Times New Roman" w:eastAsia="宋体" w:cs="Times New Roman"/>
      <w:b/>
      <w:bCs/>
      <w:snapToGrid/>
      <w:color w:val="auto"/>
      <w:spacing w:val="0"/>
      <w:w w:val="100"/>
      <w:kern w:val="2"/>
      <w:position w:val="0"/>
      <w:sz w:val="32"/>
      <w:szCs w:val="32"/>
      <w:u w:val="none" w:color="auto"/>
      <w:vertAlign w:val="baseline"/>
      <w:lang w:val="en-US" w:eastAsia="zh-CN" w:bidi="ar-SA"/>
    </w:rPr>
  </w:style>
  <w:style w:type="character" w:customStyle="1" w:styleId="29">
    <w:name w:val="heading 4 Char"/>
    <w:basedOn w:val="24"/>
    <w:link w:val="5"/>
    <w:uiPriority w:val="0"/>
    <w:rPr>
      <w:rFonts w:ascii="宋体" w:hAnsi="Times New Roman" w:eastAsia="宋体" w:cs="Times New Roman"/>
      <w:b/>
      <w:bCs/>
      <w:snapToGrid/>
      <w:color w:val="auto"/>
      <w:spacing w:val="0"/>
      <w:w w:val="100"/>
      <w:kern w:val="0"/>
      <w:position w:val="0"/>
      <w:sz w:val="24"/>
      <w:szCs w:val="24"/>
      <w:u w:val="none" w:color="auto"/>
      <w:vertAlign w:val="baseline"/>
      <w:lang w:val="en-US" w:eastAsia="zh-CN" w:bidi="ar-SA"/>
    </w:rPr>
  </w:style>
  <w:style w:type="paragraph" w:customStyle="1" w:styleId="30">
    <w:name w:val="NormalIndent"/>
    <w:basedOn w:val="1"/>
    <w:qFormat/>
    <w:uiPriority w:val="0"/>
    <w:pPr>
      <w:spacing w:line="240" w:lineRule="auto"/>
      <w:ind w:firstLine="200" w:firstLineChars="200"/>
      <w:jc w:val="both"/>
    </w:pPr>
  </w:style>
  <w:style w:type="character" w:customStyle="1" w:styleId="31">
    <w:name w:val="15"/>
    <w:qFormat/>
    <w:uiPriority w:val="0"/>
    <w:rPr>
      <w:rFonts w:ascii="Times New Roman" w:hAnsi="Times New Roman"/>
      <w:color w:val="0000FF"/>
      <w:u w:val="single"/>
    </w:rPr>
  </w:style>
  <w:style w:type="paragraph" w:customStyle="1" w:styleId="32">
    <w:name w:val="样式"/>
    <w:basedOn w:val="1"/>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val="0"/>
      <w:snapToGrid/>
      <w:spacing w:before="0" w:beforeAutospacing="0" w:after="0" w:afterAutospacing="0" w:line="240" w:lineRule="auto"/>
      <w:ind w:left="0" w:right="0" w:firstLine="0"/>
      <w:jc w:val="left"/>
      <w:textAlignment w:val="auto"/>
      <w:outlineLvl w:val="9"/>
    </w:pPr>
    <w:rPr>
      <w:rFonts w:ascii="宋体" w:eastAsia="宋体" w:cs="Times New Roman"/>
      <w:snapToGrid/>
      <w:color w:val="auto"/>
      <w:spacing w:val="0"/>
      <w:w w:val="100"/>
      <w:kern w:val="0"/>
      <w:position w:val="0"/>
      <w:sz w:val="24"/>
      <w:szCs w:val="24"/>
      <w:u w:val="none" w:color="auto"/>
      <w:vertAlign w:val="baseline"/>
      <w:lang w:val="en-US" w:eastAsia="zh-CN" w:bidi="ar-SA"/>
    </w:rPr>
  </w:style>
  <w:style w:type="paragraph" w:customStyle="1" w:styleId="33">
    <w:name w:val="正文1"/>
    <w:basedOn w:val="1"/>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val="0"/>
      <w:snapToGrid/>
      <w:spacing w:before="0" w:beforeAutospacing="0" w:after="0" w:afterAutospacing="0" w:line="312" w:lineRule="atLeast"/>
      <w:ind w:left="0" w:right="0" w:firstLine="0"/>
      <w:jc w:val="both"/>
      <w:textAlignment w:val="baseline"/>
      <w:outlineLvl w:val="9"/>
    </w:pPr>
    <w:rPr>
      <w:rFonts w:ascii="宋体" w:eastAsia="宋体" w:cs="Times New Roman"/>
      <w:snapToGrid/>
      <w:color w:val="auto"/>
      <w:spacing w:val="0"/>
      <w:w w:val="100"/>
      <w:kern w:val="0"/>
      <w:position w:val="0"/>
      <w:sz w:val="34"/>
      <w:szCs w:val="34"/>
      <w:u w:val="none" w:color="auto"/>
      <w:vertAlign w:val="baseline"/>
      <w:lang w:val="en-US" w:eastAsia="zh-CN" w:bidi="ar-SA"/>
    </w:rPr>
  </w:style>
  <w:style w:type="paragraph" w:customStyle="1" w:styleId="34">
    <w:name w:val="CD正文"/>
    <w:basedOn w:val="1"/>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0" w:beforeAutospacing="0" w:after="0" w:afterAutospacing="0" w:line="360" w:lineRule="auto"/>
      <w:ind w:left="0" w:right="0" w:firstLine="493"/>
      <w:jc w:val="both"/>
      <w:textAlignment w:val="auto"/>
      <w:outlineLvl w:val="9"/>
    </w:pPr>
    <w:rPr>
      <w:rFonts w:ascii="Times New Roman" w:hAnsi="Times New Roman" w:eastAsia="宋体"/>
      <w:snapToGrid/>
      <w:color w:val="auto"/>
      <w:spacing w:val="0"/>
      <w:w w:val="100"/>
      <w:kern w:val="2"/>
      <w:position w:val="0"/>
      <w:sz w:val="30"/>
      <w:szCs w:val="30"/>
      <w:u w:val="none" w:color="auto"/>
      <w:vertAlign w:val="baseline"/>
      <w:lang w:val="en-US" w:eastAsia="zh-CN"/>
    </w:rPr>
  </w:style>
  <w:style w:type="paragraph" w:customStyle="1" w:styleId="35">
    <w:name w:val="null3"/>
    <w:basedOn w:val="1"/>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0" w:beforeAutospacing="0" w:after="0" w:afterAutospacing="0" w:line="240" w:lineRule="auto"/>
      <w:ind w:left="0" w:right="0" w:firstLine="0"/>
      <w:jc w:val="left"/>
      <w:textAlignment w:val="auto"/>
      <w:outlineLvl w:val="9"/>
    </w:pPr>
    <w:rPr>
      <w:rFonts w:ascii="Calibri" w:hAnsi="Calibri" w:eastAsia="宋体" w:cs="Times New Roman"/>
      <w:snapToGrid/>
      <w:color w:val="auto"/>
      <w:spacing w:val="0"/>
      <w:w w:val="100"/>
      <w:kern w:val="0"/>
      <w:position w:val="0"/>
      <w:sz w:val="24"/>
      <w:szCs w:val="21"/>
      <w:u w:val="none" w:color="auto"/>
      <w:vertAlign w:val="baseline"/>
      <w:lang w:val="en-US" w:eastAsia="zh-CN" w:bidi="ar-SA"/>
    </w:rPr>
  </w:style>
  <w:style w:type="paragraph" w:customStyle="1" w:styleId="36">
    <w:name w:val="Normal_1"/>
    <w:basedOn w:val="1"/>
    <w:qFormat/>
    <w:uiPriority w:val="0"/>
    <w:rPr>
      <w:rFonts w:ascii="Calibri" w:hAnsi="Calibri" w:cs="Calibri"/>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
        <a:ea typeface=""/>
        <a:cs typeface=""/>
      </a:majorFont>
      <a:minorFont>
        <a:latin typefac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1"/>
        </a:gradFill>
      </a:fillStyleLst>
      <a:lnStyleLst>
        <a:ln w="9525" cap="flat" cmpd="sng">
          <a:solidFill>
            <a:schemeClr val="phClr">
              <a:shade val="95000"/>
              <a:satMod val="105000"/>
            </a:schemeClr>
          </a:solidFill>
          <a:prstDash val="solid"/>
          <a:round/>
        </a:ln>
        <a:ln w="25400" cap="flat" cmpd="sng">
          <a:solidFill>
            <a:schemeClr val="phClr"/>
          </a:solidFill>
          <a:prstDash val="solid"/>
          <a:round/>
        </a:ln>
        <a:ln w="38100" cap="flat" cmpd="sng">
          <a:solidFill>
            <a:schemeClr val="phClr"/>
          </a:solidFill>
          <a:prstDash val="solid"/>
          <a:round/>
        </a:ln>
      </a:lnStyleLst>
      <a:effectStyleLst>
        <a:effectStyle>
          <a:effectLst>
            <a:outerShdw blurRad="40000" dist="20000" dir="5400000" rotWithShape="0">
              <a:srgbClr val="000000">
                <a:alpha val="37647"/>
              </a:srgbClr>
            </a:outerShdw>
          </a:effectLst>
        </a:effectStyle>
        <a:effectStyle>
          <a:effectLst>
            <a:outerShdw blurRad="40000" dist="23000" dir="5400000" rotWithShape="0">
              <a:srgbClr val="000000">
                <a:alpha val="34509"/>
              </a:srgbClr>
            </a:outerShdw>
          </a:effectLst>
        </a:effectStyle>
        <a:effectStyle>
          <a:effectLst>
            <a:outerShdw blurRad="40000" dist="23000" dir="5400000" rotWithShape="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50000" r="50000" b="5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xmlns="http://www.yozosoft.com.cn/officeDocument/2016/customData">
    <docPr xmlns="http://www.yozosoft.com.cn/officeDocument/2016/customData" revisions="3 0 5 0 0 0 1 0 0 0 26650 1 1 1 1 1"/>
    <sectPr xmlns="http://www.yozosoft.com.cn/officeDocument/2016/customData"/>
    <sectPr xmlns="http://www.yozosoft.com.cn/officeDocument/2016/customData"/>
    <sectPr xmlns="http://www.yozosoft.com.cn/officeDocument/2016/customData"/>
  </customProps>
</customData>
</file>

<file path=customXml/itemProps1.xml><?xml version="1.0" encoding="utf-8"?>
<ds:datastoreItem xmlns:ds="http://schemas.openxmlformats.org/officeDocument/2006/customXml" ds:itemID="{7ADDF704-4BE9-4E7E-A855-0FAE90C98A2D}">
  <ds:schemaRefs/>
</ds:datastoreItem>
</file>

<file path=docProps/app.xml><?xml version="1.0" encoding="utf-8"?>
<Properties xmlns="http://schemas.openxmlformats.org/officeDocument/2006/extended-properties" xmlns:vt="http://schemas.openxmlformats.org/officeDocument/2006/docPropsVTypes">
  <Template>Normal.eit</Template>
  <Pages>39</Pages>
  <Words>0</Words>
  <Characters>18123</Characters>
  <Lines>0</Lines>
  <Paragraphs>589</Paragraphs>
  <TotalTime>106</TotalTime>
  <ScaleCrop>false</ScaleCrop>
  <LinksUpToDate>false</LinksUpToDate>
  <CharactersWithSpaces>24165</CharactersWithSpaces>
  <Application>WPS Office_12.8.2.1115_F1E327BC-269C-435d-A152-05C5408002CA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2025-04-17T10:54:00Z</dcterms:created>
  <dc:creator>刘文星</dc:creator>
  <cp:lastModifiedBy>user</cp:lastModifiedBy>
  <dcterms:modified xsi:type="dcterms:W3CDTF">2026-06-12T09:24:33Z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2052-12.8.2.1115</vt:lpwstr>
  </property>
  <property fmtid="{D5CDD505-2E9C-101B-9397-08002B2CF9AE}" pid="3" name="ICV">
    <vt:lpwstr>7C31809CBA6DE650A706F369D1005179</vt:lpwstr>
  </property>
</Properties>
</file>