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B4CE5">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3E8617A"/>
    <w:p w14:paraId="32933A57"/>
    <w:p w14:paraId="0289A805"/>
    <w:p w14:paraId="1717AB51">
      <w:pPr>
        <w:ind w:firstLine="1050" w:firstLineChars="500"/>
      </w:pPr>
    </w:p>
    <w:p w14:paraId="2873ED7F">
      <w:pPr>
        <w:ind w:firstLine="1050" w:firstLineChars="500"/>
      </w:pPr>
    </w:p>
    <w:p w14:paraId="3BCBA13C">
      <w:pPr>
        <w:ind w:firstLine="1760" w:firstLineChars="400"/>
        <w:rPr>
          <w:rFonts w:ascii="黑体" w:eastAsia="黑体"/>
          <w:sz w:val="44"/>
          <w:szCs w:val="44"/>
        </w:rPr>
      </w:pPr>
    </w:p>
    <w:p w14:paraId="6DA1C6FC">
      <w:pPr>
        <w:ind w:firstLine="1760" w:firstLineChars="400"/>
        <w:rPr>
          <w:rFonts w:ascii="黑体" w:eastAsia="黑体"/>
          <w:sz w:val="44"/>
          <w:szCs w:val="44"/>
        </w:rPr>
      </w:pPr>
    </w:p>
    <w:p w14:paraId="464EAD03">
      <w:pPr>
        <w:jc w:val="center"/>
        <w:rPr>
          <w:rFonts w:hint="eastAsia" w:ascii="黑体" w:eastAsia="黑体"/>
          <w:sz w:val="44"/>
          <w:szCs w:val="44"/>
          <w:lang w:eastAsia="zh-CN"/>
        </w:rPr>
      </w:pPr>
      <w:r>
        <w:rPr>
          <w:rFonts w:hint="eastAsia" w:ascii="黑体" w:eastAsia="黑体"/>
          <w:sz w:val="44"/>
          <w:szCs w:val="44"/>
          <w:lang w:eastAsia="zh-CN"/>
        </w:rPr>
        <w:t>阿坝州经济合作和外事局</w:t>
      </w:r>
    </w:p>
    <w:p w14:paraId="22E6A2AB">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5236F778">
      <w:pPr>
        <w:ind w:firstLine="1760" w:firstLineChars="400"/>
        <w:rPr>
          <w:rFonts w:ascii="黑体" w:eastAsia="黑体"/>
          <w:sz w:val="44"/>
          <w:szCs w:val="44"/>
        </w:rPr>
      </w:pPr>
    </w:p>
    <w:p w14:paraId="6ECB771D">
      <w:pPr>
        <w:ind w:firstLine="1760" w:firstLineChars="400"/>
        <w:rPr>
          <w:rFonts w:ascii="黑体" w:eastAsia="黑体"/>
          <w:sz w:val="44"/>
          <w:szCs w:val="44"/>
        </w:rPr>
      </w:pPr>
    </w:p>
    <w:p w14:paraId="6D470E3E">
      <w:pPr>
        <w:ind w:firstLine="1760" w:firstLineChars="400"/>
        <w:rPr>
          <w:rFonts w:ascii="黑体" w:eastAsia="黑体"/>
          <w:sz w:val="44"/>
          <w:szCs w:val="44"/>
        </w:rPr>
      </w:pPr>
    </w:p>
    <w:p w14:paraId="1C62724B">
      <w:pPr>
        <w:ind w:firstLine="1760" w:firstLineChars="400"/>
        <w:rPr>
          <w:rFonts w:ascii="黑体" w:eastAsia="黑体"/>
          <w:sz w:val="44"/>
          <w:szCs w:val="44"/>
        </w:rPr>
      </w:pPr>
    </w:p>
    <w:p w14:paraId="4AEA6218">
      <w:pPr>
        <w:ind w:firstLine="1760" w:firstLineChars="400"/>
        <w:rPr>
          <w:rFonts w:ascii="黑体" w:eastAsia="黑体"/>
          <w:sz w:val="44"/>
          <w:szCs w:val="44"/>
        </w:rPr>
      </w:pPr>
    </w:p>
    <w:p w14:paraId="74DD72B8">
      <w:pPr>
        <w:ind w:firstLine="1760" w:firstLineChars="400"/>
        <w:rPr>
          <w:rFonts w:ascii="黑体" w:eastAsia="黑体"/>
          <w:sz w:val="44"/>
          <w:szCs w:val="44"/>
        </w:rPr>
      </w:pPr>
    </w:p>
    <w:p w14:paraId="5A44C72A">
      <w:pPr>
        <w:ind w:firstLine="1760" w:firstLineChars="400"/>
        <w:rPr>
          <w:rFonts w:ascii="黑体" w:eastAsia="黑体"/>
          <w:sz w:val="44"/>
          <w:szCs w:val="44"/>
        </w:rPr>
      </w:pPr>
    </w:p>
    <w:p w14:paraId="074D3661">
      <w:pPr>
        <w:ind w:firstLine="1760" w:firstLineChars="400"/>
        <w:rPr>
          <w:rFonts w:ascii="黑体" w:eastAsia="黑体"/>
          <w:sz w:val="44"/>
          <w:szCs w:val="44"/>
        </w:rPr>
      </w:pPr>
    </w:p>
    <w:p w14:paraId="622CDCB2">
      <w:pPr>
        <w:ind w:firstLine="1760" w:firstLineChars="400"/>
        <w:rPr>
          <w:rFonts w:ascii="黑体" w:eastAsia="黑体"/>
          <w:sz w:val="44"/>
          <w:szCs w:val="44"/>
        </w:rPr>
      </w:pPr>
    </w:p>
    <w:p w14:paraId="3681D0BC">
      <w:pPr>
        <w:ind w:firstLine="1760" w:firstLineChars="400"/>
        <w:rPr>
          <w:rFonts w:ascii="黑体" w:eastAsia="黑体"/>
          <w:sz w:val="44"/>
          <w:szCs w:val="44"/>
        </w:rPr>
      </w:pPr>
    </w:p>
    <w:p w14:paraId="757F8DA9">
      <w:pPr>
        <w:ind w:firstLine="1760" w:firstLineChars="400"/>
        <w:rPr>
          <w:rFonts w:ascii="黑体" w:eastAsia="黑体"/>
          <w:sz w:val="44"/>
          <w:szCs w:val="44"/>
        </w:rPr>
      </w:pPr>
    </w:p>
    <w:p w14:paraId="1E2046A3">
      <w:pPr>
        <w:ind w:firstLine="1760" w:firstLineChars="400"/>
        <w:rPr>
          <w:rFonts w:ascii="黑体" w:eastAsia="黑体"/>
          <w:sz w:val="44"/>
          <w:szCs w:val="44"/>
        </w:rPr>
      </w:pPr>
    </w:p>
    <w:p w14:paraId="58967BE3">
      <w:pPr>
        <w:ind w:firstLine="1760" w:firstLineChars="400"/>
        <w:rPr>
          <w:rFonts w:ascii="黑体" w:eastAsia="黑体"/>
          <w:sz w:val="44"/>
          <w:szCs w:val="44"/>
        </w:rPr>
      </w:pPr>
    </w:p>
    <w:p w14:paraId="0FF22FD2">
      <w:pPr>
        <w:ind w:firstLine="1760" w:firstLineChars="400"/>
        <w:rPr>
          <w:rFonts w:ascii="黑体" w:eastAsia="黑体"/>
          <w:sz w:val="44"/>
          <w:szCs w:val="44"/>
        </w:rPr>
      </w:pPr>
    </w:p>
    <w:p w14:paraId="27123E9F">
      <w:pPr>
        <w:rPr>
          <w:rFonts w:ascii="黑体" w:eastAsia="黑体"/>
          <w:sz w:val="44"/>
          <w:szCs w:val="44"/>
        </w:rPr>
      </w:pPr>
    </w:p>
    <w:p w14:paraId="1E6EFFD8">
      <w:pPr>
        <w:ind w:firstLine="3120" w:firstLineChars="600"/>
        <w:rPr>
          <w:rFonts w:ascii="黑体" w:eastAsia="黑体"/>
          <w:sz w:val="52"/>
          <w:szCs w:val="52"/>
        </w:rPr>
      </w:pPr>
      <w:r>
        <w:rPr>
          <w:rFonts w:hint="eastAsia" w:ascii="黑体" w:eastAsia="黑体"/>
          <w:sz w:val="52"/>
          <w:szCs w:val="52"/>
        </w:rPr>
        <w:t>目录</w:t>
      </w:r>
    </w:p>
    <w:p w14:paraId="3AE6542B">
      <w:pPr>
        <w:ind w:firstLine="3080" w:firstLineChars="700"/>
        <w:rPr>
          <w:rFonts w:ascii="黑体" w:eastAsia="黑体"/>
          <w:sz w:val="44"/>
          <w:szCs w:val="44"/>
        </w:rPr>
      </w:pPr>
    </w:p>
    <w:p w14:paraId="6AA50572">
      <w:pPr>
        <w:pStyle w:val="9"/>
        <w:ind w:firstLine="0" w:firstLineChars="0"/>
        <w:rPr>
          <w:rFonts w:ascii="黑体" w:eastAsia="黑体"/>
          <w:sz w:val="32"/>
          <w:szCs w:val="32"/>
        </w:rPr>
      </w:pPr>
      <w:r>
        <w:rPr>
          <w:rFonts w:hint="eastAsia" w:ascii="黑体" w:eastAsia="黑体"/>
          <w:sz w:val="32"/>
          <w:szCs w:val="32"/>
        </w:rPr>
        <w:t>一、基本职能及主要工作</w:t>
      </w:r>
    </w:p>
    <w:p w14:paraId="438F8DC3">
      <w:pPr>
        <w:rPr>
          <w:rFonts w:ascii="楷体" w:eastAsia="楷体"/>
          <w:sz w:val="32"/>
          <w:szCs w:val="32"/>
        </w:rPr>
      </w:pPr>
      <w:r>
        <w:rPr>
          <w:rFonts w:hint="eastAsia" w:ascii="楷体" w:eastAsia="楷体"/>
          <w:sz w:val="32"/>
          <w:szCs w:val="32"/>
        </w:rPr>
        <w:t>（一）部门职能简介</w:t>
      </w:r>
    </w:p>
    <w:p w14:paraId="53E68763">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3594EDF7">
      <w:pPr>
        <w:rPr>
          <w:rFonts w:ascii="黑体" w:eastAsia="黑体"/>
          <w:sz w:val="32"/>
          <w:szCs w:val="32"/>
        </w:rPr>
      </w:pPr>
      <w:r>
        <w:rPr>
          <w:rFonts w:hint="eastAsia" w:ascii="黑体" w:eastAsia="黑体"/>
          <w:sz w:val="32"/>
          <w:szCs w:val="32"/>
        </w:rPr>
        <w:t>二、部门预算单位构成</w:t>
      </w:r>
    </w:p>
    <w:p w14:paraId="6228185A">
      <w:pPr>
        <w:rPr>
          <w:rFonts w:ascii="黑体" w:eastAsia="黑体"/>
          <w:sz w:val="32"/>
          <w:szCs w:val="32"/>
        </w:rPr>
      </w:pPr>
      <w:r>
        <w:rPr>
          <w:rFonts w:hint="eastAsia" w:ascii="黑体" w:eastAsia="黑体"/>
          <w:sz w:val="32"/>
          <w:szCs w:val="32"/>
        </w:rPr>
        <w:t>三、收支预算情况说明</w:t>
      </w:r>
    </w:p>
    <w:p w14:paraId="121265DC">
      <w:pPr>
        <w:rPr>
          <w:rFonts w:ascii="楷体" w:eastAsia="楷体"/>
          <w:sz w:val="32"/>
          <w:szCs w:val="32"/>
        </w:rPr>
      </w:pPr>
      <w:r>
        <w:rPr>
          <w:rFonts w:hint="eastAsia" w:ascii="楷体" w:eastAsia="楷体"/>
          <w:sz w:val="32"/>
          <w:szCs w:val="32"/>
        </w:rPr>
        <w:t>（一）收入预算情况</w:t>
      </w:r>
    </w:p>
    <w:p w14:paraId="68D34B3E">
      <w:pPr>
        <w:rPr>
          <w:rFonts w:ascii="楷体" w:eastAsia="楷体"/>
          <w:sz w:val="32"/>
          <w:szCs w:val="32"/>
        </w:rPr>
      </w:pPr>
      <w:r>
        <w:rPr>
          <w:rFonts w:hint="eastAsia" w:ascii="楷体" w:eastAsia="楷体"/>
          <w:sz w:val="32"/>
          <w:szCs w:val="32"/>
        </w:rPr>
        <w:t>（二）支出预算情况</w:t>
      </w:r>
    </w:p>
    <w:p w14:paraId="6B3101D8">
      <w:pPr>
        <w:rPr>
          <w:rFonts w:ascii="黑体" w:eastAsia="黑体"/>
          <w:sz w:val="32"/>
          <w:szCs w:val="32"/>
        </w:rPr>
      </w:pPr>
      <w:r>
        <w:rPr>
          <w:rFonts w:hint="eastAsia" w:ascii="黑体" w:eastAsia="黑体"/>
          <w:sz w:val="32"/>
          <w:szCs w:val="32"/>
        </w:rPr>
        <w:t>四、财政拨款收支预算情况说明</w:t>
      </w:r>
    </w:p>
    <w:p w14:paraId="3F0E152C">
      <w:pPr>
        <w:rPr>
          <w:rFonts w:ascii="黑体" w:eastAsia="黑体"/>
          <w:sz w:val="32"/>
          <w:szCs w:val="32"/>
        </w:rPr>
      </w:pPr>
      <w:r>
        <w:rPr>
          <w:rFonts w:hint="eastAsia" w:ascii="黑体" w:eastAsia="黑体"/>
          <w:sz w:val="32"/>
          <w:szCs w:val="32"/>
        </w:rPr>
        <w:t>五、一般公共预算当年拨款情况说明</w:t>
      </w:r>
    </w:p>
    <w:p w14:paraId="1C85AE62">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155C748">
      <w:pPr>
        <w:rPr>
          <w:rFonts w:ascii="黑体" w:eastAsia="黑体"/>
          <w:sz w:val="32"/>
          <w:szCs w:val="32"/>
        </w:rPr>
      </w:pPr>
    </w:p>
    <w:p w14:paraId="2B543C5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FBD7FCC">
      <w:pPr>
        <w:pStyle w:val="9"/>
        <w:rPr>
          <w:rFonts w:ascii="黑体" w:eastAsia="黑体"/>
          <w:sz w:val="32"/>
          <w:szCs w:val="32"/>
        </w:rPr>
      </w:pPr>
      <w:r>
        <w:rPr>
          <w:rFonts w:hint="eastAsia" w:ascii="黑体" w:eastAsia="黑体"/>
          <w:sz w:val="32"/>
          <w:szCs w:val="32"/>
        </w:rPr>
        <w:t>一、基本职能及主要工作</w:t>
      </w:r>
    </w:p>
    <w:p w14:paraId="27796C5D">
      <w:pPr>
        <w:ind w:firstLine="640" w:firstLineChars="200"/>
        <w:rPr>
          <w:rFonts w:ascii="楷体" w:eastAsia="楷体"/>
          <w:sz w:val="32"/>
          <w:szCs w:val="32"/>
        </w:rPr>
      </w:pPr>
      <w:r>
        <w:rPr>
          <w:rFonts w:hint="eastAsia" w:ascii="楷体" w:eastAsia="楷体"/>
          <w:sz w:val="32"/>
          <w:szCs w:val="32"/>
        </w:rPr>
        <w:t>（一）部门职能简介</w:t>
      </w:r>
    </w:p>
    <w:p w14:paraId="3C8B7464">
      <w:pPr>
        <w:adjustRightInd w:val="0"/>
        <w:snapToGrid w:val="0"/>
        <w:spacing w:line="560" w:lineRule="exact"/>
        <w:ind w:firstLine="640" w:firstLineChars="200"/>
        <w:rPr>
          <w:rFonts w:hint="default" w:ascii="Times New Roman" w:hAnsi="Times New Roman" w:eastAsia="方正仿宋_GBK" w:cs="Times New Roman"/>
          <w:b w:val="0"/>
          <w:bCs/>
          <w:color w:val="000000"/>
          <w:sz w:val="32"/>
          <w:szCs w:val="32"/>
          <w:u w:val="none" w:color="auto"/>
        </w:rPr>
      </w:pPr>
      <w:r>
        <w:rPr>
          <w:rFonts w:hint="eastAsia" w:eastAsia="方正仿宋_GBK" w:cs="Times New Roman"/>
          <w:b w:val="0"/>
          <w:bCs/>
          <w:color w:val="000000"/>
          <w:sz w:val="32"/>
          <w:szCs w:val="32"/>
          <w:u w:val="none" w:color="auto"/>
          <w:lang w:val="en-US" w:eastAsia="zh-CN"/>
        </w:rPr>
        <w:t>1.</w:t>
      </w:r>
      <w:r>
        <w:rPr>
          <w:rFonts w:hint="default" w:eastAsia="方正仿宋_GBK" w:cs="Times New Roman"/>
          <w:b w:val="0"/>
          <w:bCs/>
          <w:color w:val="000000"/>
          <w:sz w:val="32"/>
          <w:szCs w:val="32"/>
          <w:u w:val="none" w:color="auto"/>
          <w:lang w:eastAsia="zh-CN"/>
        </w:rPr>
        <w:t>责</w:t>
      </w:r>
      <w:r>
        <w:rPr>
          <w:rFonts w:hint="eastAsia" w:eastAsia="方正仿宋_GBK" w:cs="Times New Roman"/>
          <w:b w:val="0"/>
          <w:bCs/>
          <w:color w:val="000000"/>
          <w:sz w:val="32"/>
          <w:szCs w:val="32"/>
          <w:u w:val="none" w:color="auto"/>
          <w:lang w:eastAsia="zh-CN"/>
        </w:rPr>
        <w:t>拟订</w:t>
      </w:r>
      <w:r>
        <w:rPr>
          <w:rFonts w:hint="default" w:eastAsia="方正仿宋_GBK" w:cs="Times New Roman"/>
          <w:b w:val="0"/>
          <w:bCs/>
          <w:color w:val="000000"/>
          <w:sz w:val="32"/>
          <w:szCs w:val="32"/>
          <w:u w:val="none" w:color="auto"/>
          <w:lang w:eastAsia="zh-CN"/>
        </w:rPr>
        <w:t>并组织实施全州经济合作、投资促进、</w:t>
      </w:r>
      <w:r>
        <w:rPr>
          <w:rFonts w:hint="eastAsia" w:eastAsia="方正仿宋_GBK" w:cs="Times New Roman"/>
          <w:b w:val="0"/>
          <w:bCs/>
          <w:color w:val="000000"/>
          <w:sz w:val="32"/>
          <w:szCs w:val="32"/>
          <w:u w:val="none" w:color="auto"/>
          <w:lang w:eastAsia="zh-CN"/>
        </w:rPr>
        <w:t>博览</w:t>
      </w:r>
      <w:r>
        <w:rPr>
          <w:rFonts w:hint="default" w:eastAsia="方正仿宋_GBK" w:cs="Times New Roman"/>
          <w:b w:val="0"/>
          <w:bCs/>
          <w:color w:val="000000"/>
          <w:sz w:val="32"/>
          <w:szCs w:val="32"/>
          <w:u w:val="none" w:color="auto"/>
          <w:lang w:eastAsia="zh-CN"/>
        </w:rPr>
        <w:t>发展政策、中长期规划、年度计划和规范性文件。推动全州</w:t>
      </w:r>
      <w:r>
        <w:rPr>
          <w:rFonts w:hint="eastAsia" w:eastAsia="方正仿宋_GBK" w:cs="Times New Roman"/>
          <w:b w:val="0"/>
          <w:bCs/>
          <w:color w:val="000000"/>
          <w:sz w:val="32"/>
          <w:szCs w:val="32"/>
          <w:u w:val="none" w:color="auto"/>
          <w:lang w:eastAsia="zh-CN"/>
        </w:rPr>
        <w:t>博览</w:t>
      </w:r>
      <w:r>
        <w:rPr>
          <w:rFonts w:hint="default" w:eastAsia="方正仿宋_GBK" w:cs="Times New Roman"/>
          <w:b w:val="0"/>
          <w:bCs/>
          <w:color w:val="000000"/>
          <w:sz w:val="32"/>
          <w:szCs w:val="32"/>
          <w:u w:val="none" w:color="auto"/>
          <w:lang w:eastAsia="zh-CN"/>
        </w:rPr>
        <w:t>发展促进工</w:t>
      </w:r>
      <w:r>
        <w:rPr>
          <w:rFonts w:hint="default" w:ascii="Times New Roman" w:hAnsi="Times New Roman" w:eastAsia="方正仿宋_GBK" w:cs="Times New Roman"/>
          <w:b w:val="0"/>
          <w:bCs/>
          <w:color w:val="000000"/>
          <w:sz w:val="32"/>
          <w:szCs w:val="32"/>
          <w:u w:val="none" w:color="auto"/>
          <w:lang w:eastAsia="zh-CN"/>
        </w:rPr>
        <w:t>作</w:t>
      </w:r>
      <w:r>
        <w:rPr>
          <w:rFonts w:hint="eastAsia" w:ascii="Times New Roman" w:hAnsi="Times New Roman" w:eastAsia="方正仿宋_GBK" w:cs="Times New Roman"/>
          <w:b w:val="0"/>
          <w:bCs/>
          <w:color w:val="000000"/>
          <w:sz w:val="32"/>
          <w:szCs w:val="32"/>
          <w:u w:val="none" w:color="auto"/>
          <w:lang w:eastAsia="zh-CN"/>
        </w:rPr>
        <w:t>，参与</w:t>
      </w:r>
      <w:r>
        <w:rPr>
          <w:rFonts w:hint="eastAsia" w:eastAsia="方正仿宋_GBK" w:cs="Times New Roman"/>
          <w:b w:val="0"/>
          <w:bCs/>
          <w:color w:val="000000"/>
          <w:sz w:val="32"/>
          <w:szCs w:val="32"/>
          <w:u w:val="none" w:color="auto"/>
          <w:lang w:eastAsia="zh-CN"/>
        </w:rPr>
        <w:t>拟订</w:t>
      </w:r>
      <w:r>
        <w:rPr>
          <w:rFonts w:hint="eastAsia" w:ascii="Times New Roman" w:hAnsi="Times New Roman" w:eastAsia="方正仿宋_GBK" w:cs="Times New Roman"/>
          <w:b w:val="0"/>
          <w:bCs/>
          <w:color w:val="000000"/>
          <w:sz w:val="32"/>
          <w:szCs w:val="32"/>
          <w:u w:val="none" w:color="auto"/>
          <w:lang w:eastAsia="zh-CN"/>
        </w:rPr>
        <w:t>全州会展业发展规划和相关政策，承担州委州政府交办的会展活动</w:t>
      </w:r>
      <w:r>
        <w:rPr>
          <w:rFonts w:hint="default" w:ascii="Times New Roman" w:hAnsi="Times New Roman" w:eastAsia="方正仿宋_GBK" w:cs="Times New Roman"/>
          <w:b w:val="0"/>
          <w:bCs/>
          <w:color w:val="000000"/>
          <w:sz w:val="32"/>
          <w:szCs w:val="32"/>
          <w:u w:val="none" w:color="auto"/>
          <w:lang w:eastAsia="zh-CN"/>
        </w:rPr>
        <w:t>。</w:t>
      </w:r>
      <w:r>
        <w:rPr>
          <w:rFonts w:hint="default" w:ascii="Times New Roman" w:hAnsi="Times New Roman" w:eastAsia="方正仿宋_GBK" w:cs="Times New Roman"/>
          <w:b w:val="0"/>
          <w:bCs/>
          <w:color w:val="000000"/>
          <w:sz w:val="32"/>
          <w:szCs w:val="32"/>
          <w:u w:val="none" w:color="auto"/>
        </w:rPr>
        <w:t>统筹</w:t>
      </w:r>
      <w:r>
        <w:rPr>
          <w:rFonts w:hint="default" w:ascii="Times New Roman" w:hAnsi="Times New Roman" w:eastAsia="方正仿宋_GBK" w:cs="Times New Roman"/>
          <w:b w:val="0"/>
          <w:bCs/>
          <w:color w:val="000000"/>
          <w:sz w:val="32"/>
          <w:szCs w:val="32"/>
          <w:u w:val="none" w:color="auto"/>
          <w:lang w:eastAsia="zh-CN"/>
        </w:rPr>
        <w:t>全</w:t>
      </w:r>
      <w:r>
        <w:rPr>
          <w:rFonts w:hint="default" w:ascii="Times New Roman" w:hAnsi="Times New Roman" w:eastAsia="方正仿宋_GBK" w:cs="Times New Roman"/>
          <w:b w:val="0"/>
          <w:bCs/>
          <w:color w:val="000000"/>
          <w:sz w:val="32"/>
          <w:szCs w:val="32"/>
          <w:u w:val="none" w:color="auto"/>
        </w:rPr>
        <w:t>州重大投资促进活动</w:t>
      </w:r>
      <w:r>
        <w:rPr>
          <w:rFonts w:hint="default" w:ascii="Times New Roman" w:hAnsi="Times New Roman" w:eastAsia="方正仿宋_GBK" w:cs="Times New Roman"/>
          <w:b w:val="0"/>
          <w:bCs/>
          <w:color w:val="000000"/>
          <w:sz w:val="32"/>
          <w:szCs w:val="32"/>
          <w:u w:val="none" w:color="auto"/>
          <w:lang w:eastAsia="zh-CN"/>
        </w:rPr>
        <w:t>，</w:t>
      </w:r>
      <w:r>
        <w:rPr>
          <w:rFonts w:hint="default" w:ascii="Times New Roman" w:hAnsi="Times New Roman" w:eastAsia="方正仿宋_GBK" w:cs="Times New Roman"/>
          <w:b w:val="0"/>
          <w:bCs/>
          <w:color w:val="000000"/>
          <w:sz w:val="32"/>
          <w:szCs w:val="32"/>
          <w:u w:val="none" w:color="auto"/>
        </w:rPr>
        <w:t>牵头全州重大招商引资项目的促进落实和跟踪服务。负责对全州投资促进工作和项目情况进行统计分析。负责全州投资环境推介以及投资促进和管理服务网络体系建设。</w:t>
      </w:r>
      <w:r>
        <w:rPr>
          <w:rFonts w:hint="default" w:ascii="Times New Roman" w:hAnsi="Times New Roman" w:eastAsia="方正仿宋_GBK" w:cs="Times New Roman"/>
          <w:b w:val="0"/>
          <w:bCs/>
          <w:color w:val="000000"/>
          <w:sz w:val="32"/>
          <w:szCs w:val="32"/>
          <w:u w:val="none" w:color="auto"/>
          <w:lang w:eastAsia="zh-CN"/>
        </w:rPr>
        <w:t>完善州级重大引进项目激励机制。</w:t>
      </w:r>
    </w:p>
    <w:p w14:paraId="2EE13A59">
      <w:pPr>
        <w:adjustRightInd w:val="0"/>
        <w:snapToGrid w:val="0"/>
        <w:spacing w:line="576" w:lineRule="exact"/>
        <w:ind w:firstLine="640" w:firstLineChars="200"/>
        <w:rPr>
          <w:rFonts w:hint="eastAsia" w:eastAsia="方正仿宋_GBK" w:cs="Times New Roman"/>
          <w:b w:val="0"/>
          <w:bCs/>
          <w:color w:val="000000"/>
          <w:sz w:val="32"/>
          <w:szCs w:val="32"/>
          <w:u w:val="none" w:color="auto"/>
          <w:lang w:eastAsia="zh-CN" w:bidi="ar-SA"/>
        </w:rPr>
      </w:pPr>
      <w:r>
        <w:rPr>
          <w:rFonts w:hint="eastAsia" w:ascii="Times New Roman" w:hAnsi="Times New Roman" w:eastAsia="方正仿宋_GBK" w:cs="Times New Roman"/>
          <w:b w:val="0"/>
          <w:bCs/>
          <w:color w:val="000000"/>
          <w:sz w:val="32"/>
          <w:szCs w:val="32"/>
          <w:u w:val="none" w:color="auto"/>
          <w:lang w:val="en-US" w:eastAsia="zh-CN"/>
        </w:rPr>
        <w:t>2.</w:t>
      </w:r>
      <w:r>
        <w:rPr>
          <w:rFonts w:hint="eastAsia" w:eastAsia="方正仿宋_GBK" w:cs="Times New Roman"/>
          <w:b w:val="0"/>
          <w:bCs/>
          <w:color w:val="000000"/>
          <w:sz w:val="32"/>
          <w:szCs w:val="32"/>
          <w:u w:val="none" w:color="auto"/>
          <w:lang w:eastAsia="zh-CN"/>
        </w:rPr>
        <w:t>指导</w:t>
      </w:r>
      <w:r>
        <w:rPr>
          <w:rFonts w:hint="default" w:ascii="Times New Roman" w:hAnsi="Times New Roman" w:eastAsia="方正仿宋_GBK" w:cs="Times New Roman"/>
          <w:b w:val="0"/>
          <w:bCs/>
          <w:color w:val="000000"/>
          <w:sz w:val="32"/>
          <w:szCs w:val="32"/>
          <w:u w:val="none" w:color="auto"/>
        </w:rPr>
        <w:t>外商投资促进和管理工作。研究落实外商投资政策和改革方案。承担我州与国（境）内外相关区域经济合作的有关工作。依法监督检查外商投资企业执行有关法律法规、合同</w:t>
      </w:r>
      <w:r>
        <w:rPr>
          <w:rFonts w:hint="default" w:eastAsia="方正仿宋_GBK" w:cs="Times New Roman"/>
          <w:b w:val="0"/>
          <w:bCs/>
          <w:color w:val="000000"/>
          <w:sz w:val="32"/>
          <w:szCs w:val="32"/>
          <w:u w:val="none" w:color="auto"/>
          <w:lang w:eastAsia="zh-CN" w:bidi="ar-SA"/>
        </w:rPr>
        <w:t>章程的情况并协调解决有关问题。统计分析全州外商投资情况。</w:t>
      </w:r>
      <w:r>
        <w:rPr>
          <w:rFonts w:hint="default" w:eastAsia="方正仿宋_GBK" w:cs="Times New Roman"/>
          <w:b w:val="0"/>
          <w:bCs/>
          <w:color w:val="000000"/>
          <w:sz w:val="32"/>
          <w:szCs w:val="32"/>
          <w:u w:val="none" w:color="auto"/>
          <w:lang w:eastAsia="zh-CN" w:bidi="ar-SA"/>
        </w:rPr>
        <w:br w:type="textWrapping"/>
      </w:r>
      <w:r>
        <w:rPr>
          <w:rFonts w:hint="default" w:eastAsia="方正仿宋_GBK" w:cs="Times New Roman"/>
          <w:b w:val="0"/>
          <w:bCs/>
          <w:color w:val="000000"/>
          <w:sz w:val="32"/>
          <w:szCs w:val="32"/>
          <w:u w:val="none" w:color="auto"/>
          <w:lang w:eastAsia="zh-CN" w:bidi="ar-SA"/>
        </w:rPr>
        <w:t xml:space="preserve">    </w:t>
      </w:r>
      <w:r>
        <w:rPr>
          <w:rFonts w:hint="eastAsia" w:eastAsia="方正仿宋_GBK" w:cs="Times New Roman"/>
          <w:b w:val="0"/>
          <w:bCs/>
          <w:color w:val="000000"/>
          <w:sz w:val="32"/>
          <w:szCs w:val="32"/>
          <w:u w:val="none" w:color="auto"/>
          <w:lang w:val="en-US" w:eastAsia="zh-CN" w:bidi="ar-SA"/>
        </w:rPr>
        <w:t>3.</w:t>
      </w:r>
      <w:r>
        <w:rPr>
          <w:rFonts w:hint="eastAsia" w:eastAsia="方正仿宋_GBK" w:cs="Times New Roman"/>
          <w:b w:val="0"/>
          <w:bCs/>
          <w:color w:val="000000"/>
          <w:sz w:val="32"/>
          <w:szCs w:val="32"/>
          <w:u w:val="none" w:color="auto"/>
          <w:lang w:eastAsia="zh-CN" w:bidi="ar-SA"/>
        </w:rPr>
        <w:t>外事工作</w:t>
      </w:r>
      <w:r>
        <w:rPr>
          <w:rFonts w:hint="default" w:eastAsia="方正仿宋_GBK" w:cs="Times New Roman"/>
          <w:b w:val="0"/>
          <w:bCs/>
          <w:color w:val="000000"/>
          <w:sz w:val="32"/>
          <w:szCs w:val="32"/>
          <w:u w:val="none" w:color="auto"/>
          <w:lang w:eastAsia="zh-CN" w:bidi="ar-SA"/>
        </w:rPr>
        <w:t>（略）。</w:t>
      </w:r>
    </w:p>
    <w:p w14:paraId="6E383FFB">
      <w:pPr>
        <w:adjustRightInd w:val="0"/>
        <w:snapToGrid w:val="0"/>
        <w:spacing w:line="576" w:lineRule="exact"/>
        <w:ind w:firstLine="640" w:firstLineChars="200"/>
        <w:rPr>
          <w:rFonts w:hint="default" w:eastAsia="方正仿宋_GBK" w:cs="Times New Roman"/>
          <w:b w:val="0"/>
          <w:bCs/>
          <w:color w:val="000000"/>
          <w:sz w:val="32"/>
          <w:szCs w:val="32"/>
          <w:u w:val="none" w:color="auto"/>
          <w:lang w:eastAsia="zh-CN" w:bidi="ar-SA"/>
        </w:rPr>
      </w:pPr>
      <w:r>
        <w:rPr>
          <w:rFonts w:hint="eastAsia" w:eastAsia="方正仿宋_GBK" w:cs="Times New Roman"/>
          <w:b w:val="0"/>
          <w:bCs/>
          <w:color w:val="000000"/>
          <w:sz w:val="32"/>
          <w:szCs w:val="32"/>
          <w:u w:val="none" w:color="auto"/>
          <w:lang w:val="en-US" w:eastAsia="zh-CN" w:bidi="ar-SA"/>
        </w:rPr>
        <w:t>4.</w:t>
      </w:r>
      <w:r>
        <w:rPr>
          <w:rFonts w:hint="eastAsia" w:eastAsia="方正仿宋_GBK" w:cs="Times New Roman"/>
          <w:b w:val="0"/>
          <w:bCs/>
          <w:color w:val="000000"/>
          <w:sz w:val="32"/>
          <w:szCs w:val="32"/>
          <w:u w:val="none" w:color="auto"/>
          <w:lang w:eastAsia="zh-CN" w:bidi="ar-SA"/>
        </w:rPr>
        <w:t>外事工作</w:t>
      </w:r>
      <w:r>
        <w:rPr>
          <w:rFonts w:hint="default" w:eastAsia="方正仿宋_GBK" w:cs="Times New Roman"/>
          <w:b w:val="0"/>
          <w:bCs/>
          <w:color w:val="000000"/>
          <w:sz w:val="32"/>
          <w:szCs w:val="32"/>
          <w:u w:val="none" w:color="auto"/>
          <w:lang w:eastAsia="zh-CN" w:bidi="ar-SA"/>
        </w:rPr>
        <w:t>（略）。</w:t>
      </w:r>
    </w:p>
    <w:p w14:paraId="2F68FDF3">
      <w:pPr>
        <w:adjustRightInd w:val="0"/>
        <w:snapToGrid w:val="0"/>
        <w:spacing w:line="576" w:lineRule="exact"/>
        <w:ind w:firstLine="640" w:firstLineChars="200"/>
        <w:rPr>
          <w:rFonts w:hint="default" w:ascii="Times New Roman" w:hAnsi="Times New Roman" w:eastAsia="方正仿宋_GBK" w:cs="Times New Roman"/>
          <w:b w:val="0"/>
          <w:bCs/>
          <w:color w:val="000000"/>
          <w:sz w:val="32"/>
          <w:szCs w:val="32"/>
          <w:u w:val="none" w:color="auto"/>
        </w:rPr>
      </w:pPr>
      <w:r>
        <w:rPr>
          <w:rFonts w:hint="eastAsia" w:eastAsia="方正仿宋_GBK" w:cs="Times New Roman"/>
          <w:b w:val="0"/>
          <w:bCs/>
          <w:color w:val="000000"/>
          <w:sz w:val="32"/>
          <w:szCs w:val="32"/>
          <w:u w:val="none" w:color="auto"/>
          <w:lang w:val="en-US" w:eastAsia="zh-CN" w:bidi="ar-SA"/>
        </w:rPr>
        <w:t>5.</w:t>
      </w:r>
      <w:r>
        <w:rPr>
          <w:rFonts w:hint="default" w:eastAsia="方正仿宋_GBK" w:cs="Times New Roman"/>
          <w:b w:val="0"/>
          <w:bCs/>
          <w:color w:val="000000"/>
          <w:sz w:val="32"/>
          <w:szCs w:val="32"/>
          <w:u w:val="none" w:color="auto"/>
          <w:lang w:eastAsia="zh-CN" w:bidi="ar-SA"/>
        </w:rPr>
        <w:t>牵头对各县（市）各部门经济合作、投资促进、</w:t>
      </w:r>
      <w:r>
        <w:rPr>
          <w:rFonts w:hint="eastAsia" w:eastAsia="方正仿宋_GBK" w:cs="Times New Roman"/>
          <w:b w:val="0"/>
          <w:bCs/>
          <w:color w:val="000000"/>
          <w:sz w:val="32"/>
          <w:szCs w:val="32"/>
          <w:u w:val="none" w:color="auto"/>
          <w:lang w:eastAsia="zh-CN" w:bidi="ar-SA"/>
        </w:rPr>
        <w:t>博览</w:t>
      </w:r>
      <w:r>
        <w:rPr>
          <w:rFonts w:hint="default" w:eastAsia="方正仿宋_GBK" w:cs="Times New Roman"/>
          <w:b w:val="0"/>
          <w:bCs/>
          <w:color w:val="000000"/>
          <w:sz w:val="32"/>
          <w:szCs w:val="32"/>
          <w:u w:val="none" w:color="auto"/>
          <w:lang w:eastAsia="zh-CN" w:bidi="ar-SA"/>
        </w:rPr>
        <w:t>、外事</w:t>
      </w:r>
      <w:r>
        <w:rPr>
          <w:rFonts w:hint="eastAsia" w:eastAsia="方正仿宋_GBK" w:cs="Times New Roman"/>
          <w:b w:val="0"/>
          <w:bCs/>
          <w:color w:val="000000"/>
          <w:sz w:val="32"/>
          <w:szCs w:val="32"/>
          <w:u w:val="none" w:color="auto"/>
          <w:lang w:eastAsia="zh-CN" w:bidi="ar-SA"/>
        </w:rPr>
        <w:t>（港澳）和民间外交工作</w:t>
      </w:r>
      <w:r>
        <w:rPr>
          <w:rFonts w:hint="default" w:ascii="Times New Roman" w:hAnsi="Times New Roman" w:eastAsia="方正仿宋_GBK" w:cs="Times New Roman"/>
          <w:b w:val="0"/>
          <w:bCs/>
          <w:color w:val="000000"/>
          <w:sz w:val="32"/>
          <w:szCs w:val="32"/>
          <w:u w:val="none" w:color="auto"/>
        </w:rPr>
        <w:t>进行目标绩效考核管理。负责本部门依法行政工作。</w:t>
      </w:r>
      <w:r>
        <w:rPr>
          <w:rFonts w:hint="default" w:ascii="Times New Roman" w:hAnsi="Times New Roman" w:eastAsia="方正仿宋_GBK" w:cs="Times New Roman"/>
          <w:b w:val="0"/>
          <w:bCs/>
          <w:color w:val="000000"/>
          <w:sz w:val="32"/>
          <w:szCs w:val="32"/>
          <w:u w:val="none" w:color="auto"/>
        </w:rPr>
        <w:br w:type="textWrapping"/>
      </w:r>
      <w:r>
        <w:rPr>
          <w:rFonts w:hint="default" w:ascii="Times New Roman" w:hAnsi="Times New Roman" w:eastAsia="方正仿宋_GBK" w:cs="Times New Roman"/>
          <w:b w:val="0"/>
          <w:bCs/>
          <w:color w:val="000000"/>
          <w:sz w:val="32"/>
          <w:szCs w:val="32"/>
          <w:u w:val="none" w:color="auto"/>
        </w:rPr>
        <w:t xml:space="preserve">    </w:t>
      </w:r>
      <w:r>
        <w:rPr>
          <w:rFonts w:hint="eastAsia" w:ascii="Times New Roman" w:hAnsi="Times New Roman" w:eastAsia="方正仿宋_GBK" w:cs="Times New Roman"/>
          <w:b w:val="0"/>
          <w:bCs/>
          <w:color w:val="000000"/>
          <w:sz w:val="32"/>
          <w:szCs w:val="32"/>
          <w:u w:val="none" w:color="auto"/>
          <w:lang w:val="en-US" w:eastAsia="zh-CN"/>
        </w:rPr>
        <w:t>6.</w:t>
      </w:r>
      <w:r>
        <w:rPr>
          <w:rFonts w:hint="default" w:ascii="Times New Roman" w:hAnsi="Times New Roman" w:eastAsia="方正仿宋_GBK" w:cs="Times New Roman"/>
          <w:b w:val="0"/>
          <w:bCs/>
          <w:color w:val="000000"/>
          <w:sz w:val="32"/>
          <w:szCs w:val="32"/>
          <w:u w:val="none" w:color="auto"/>
        </w:rPr>
        <w:t>负责职责范围内的安全生产监管、生态环境保护等工作。</w:t>
      </w:r>
      <w:r>
        <w:rPr>
          <w:rFonts w:hint="default" w:ascii="Times New Roman" w:hAnsi="Times New Roman" w:eastAsia="方正仿宋_GBK" w:cs="Times New Roman"/>
          <w:b w:val="0"/>
          <w:bCs/>
          <w:color w:val="000000"/>
          <w:sz w:val="32"/>
          <w:szCs w:val="32"/>
          <w:u w:val="none" w:color="auto"/>
        </w:rPr>
        <w:br w:type="textWrapping"/>
      </w:r>
      <w:r>
        <w:rPr>
          <w:rFonts w:hint="default" w:ascii="Times New Roman" w:hAnsi="Times New Roman" w:eastAsia="方正仿宋_GBK" w:cs="Times New Roman"/>
          <w:b w:val="0"/>
          <w:bCs/>
          <w:color w:val="000000"/>
          <w:sz w:val="32"/>
          <w:szCs w:val="32"/>
          <w:u w:val="none" w:color="auto"/>
        </w:rPr>
        <w:t xml:space="preserve">    </w:t>
      </w:r>
      <w:r>
        <w:rPr>
          <w:rFonts w:hint="eastAsia" w:ascii="Times New Roman" w:hAnsi="Times New Roman" w:eastAsia="方正仿宋_GBK" w:cs="Times New Roman"/>
          <w:b w:val="0"/>
          <w:bCs/>
          <w:color w:val="000000"/>
          <w:sz w:val="32"/>
          <w:szCs w:val="32"/>
          <w:u w:val="none" w:color="auto"/>
          <w:lang w:val="en-US" w:eastAsia="zh-CN"/>
        </w:rPr>
        <w:t>7.</w:t>
      </w:r>
      <w:r>
        <w:rPr>
          <w:rFonts w:hint="default" w:ascii="Times New Roman" w:hAnsi="Times New Roman" w:eastAsia="方正仿宋_GBK" w:cs="Times New Roman"/>
          <w:b w:val="0"/>
          <w:bCs/>
          <w:color w:val="000000"/>
          <w:sz w:val="32"/>
          <w:szCs w:val="32"/>
          <w:u w:val="none" w:color="auto"/>
        </w:rPr>
        <w:t>完成州委、州政府交办的其他任务。</w:t>
      </w:r>
    </w:p>
    <w:p w14:paraId="2CE3604F">
      <w:pPr>
        <w:ind w:firstLine="640" w:firstLineChars="200"/>
        <w:rPr>
          <w:rFonts w:ascii="楷体" w:eastAsia="楷体"/>
          <w:b w:val="0"/>
          <w:bCs/>
          <w:sz w:val="32"/>
          <w:szCs w:val="32"/>
        </w:rPr>
      </w:pPr>
      <w:r>
        <w:rPr>
          <w:rFonts w:hint="eastAsia" w:ascii="楷体" w:eastAsia="楷体"/>
          <w:b w:val="0"/>
          <w:bCs/>
          <w:sz w:val="32"/>
          <w:szCs w:val="32"/>
        </w:rPr>
        <w:t>（二）</w:t>
      </w:r>
      <w:r>
        <w:rPr>
          <w:rFonts w:ascii="楷体" w:eastAsia="楷体"/>
          <w:b w:val="0"/>
          <w:bCs/>
          <w:sz w:val="32"/>
          <w:szCs w:val="32"/>
        </w:rPr>
        <w:t>2026</w:t>
      </w:r>
      <w:r>
        <w:rPr>
          <w:rFonts w:hint="eastAsia" w:ascii="楷体" w:eastAsia="楷体"/>
          <w:b w:val="0"/>
          <w:bCs/>
          <w:sz w:val="32"/>
          <w:szCs w:val="32"/>
        </w:rPr>
        <w:t>年重点工作</w:t>
      </w:r>
    </w:p>
    <w:p w14:paraId="7AB2DC1F">
      <w:pPr>
        <w:keepNext w:val="0"/>
        <w:keepLines w:val="0"/>
        <w:pageBreakBefore w:val="0"/>
        <w:widowControl w:val="0"/>
        <w:suppressAutoHyphens/>
        <w:kinsoku/>
        <w:wordWrap/>
        <w:overflowPunct/>
        <w:topLinePunct w:val="0"/>
        <w:autoSpaceDE/>
        <w:autoSpaceDN/>
        <w:bidi w:val="0"/>
        <w:adjustRightInd/>
        <w:snapToGrid/>
        <w:spacing w:line="536" w:lineRule="exact"/>
        <w:ind w:left="0" w:firstLine="640" w:firstLineChars="200"/>
        <w:jc w:val="left"/>
        <w:textAlignment w:val="auto"/>
        <w:rPr>
          <w:rFonts w:hint="eastAsia" w:ascii="Times New Roman" w:hAnsi="Times New Roman" w:eastAsia="楷体_GB2312" w:cs="Times New Roman"/>
          <w:b/>
          <w:bCs w:val="0"/>
          <w:sz w:val="32"/>
          <w:szCs w:val="32"/>
          <w:lang w:val="en-US" w:eastAsia="zh-CN" w:bidi="ar-SA"/>
        </w:rPr>
      </w:pPr>
      <w:r>
        <w:rPr>
          <w:rFonts w:hint="eastAsia" w:ascii="Times New Roman" w:hAnsi="Times New Roman" w:eastAsia="楷体_GB2312" w:cs="Times New Roman"/>
          <w:b w:val="0"/>
          <w:bCs/>
          <w:sz w:val="32"/>
          <w:szCs w:val="32"/>
          <w:lang w:val="en-US" w:eastAsia="zh-CN" w:bidi="ar-SA"/>
        </w:rPr>
        <w:t>1.</w:t>
      </w:r>
      <w:r>
        <w:rPr>
          <w:rFonts w:hint="eastAsia" w:ascii="Times New Roman" w:hAnsi="Times New Roman" w:eastAsia="楷体_GB2312" w:cs="Times New Roman"/>
          <w:b/>
          <w:bCs w:val="0"/>
          <w:sz w:val="32"/>
          <w:szCs w:val="32"/>
          <w:lang w:val="en-US" w:eastAsia="zh-CN" w:bidi="ar-SA"/>
        </w:rPr>
        <w:t>招商引资方面：</w:t>
      </w:r>
    </w:p>
    <w:p w14:paraId="320FA1C8">
      <w:pPr>
        <w:keepNext w:val="0"/>
        <w:keepLines w:val="0"/>
        <w:pageBreakBefore w:val="0"/>
        <w:widowControl w:val="0"/>
        <w:suppressAutoHyphens/>
        <w:kinsoku/>
        <w:wordWrap/>
        <w:overflowPunct/>
        <w:topLinePunct w:val="0"/>
        <w:autoSpaceDE/>
        <w:autoSpaceDN/>
        <w:bidi w:val="0"/>
        <w:adjustRightInd/>
        <w:snapToGrid/>
        <w:spacing w:line="536" w:lineRule="exact"/>
        <w:ind w:left="0" w:firstLine="640" w:firstLineChars="200"/>
        <w:jc w:val="left"/>
        <w:textAlignment w:val="auto"/>
        <w:rPr>
          <w:rFonts w:hint="default" w:ascii="Times New Roman" w:hAnsi="Times New Roman" w:eastAsia="仿宋_GB2312" w:cs="Times New Roman"/>
          <w:color w:val="000000"/>
          <w:sz w:val="32"/>
          <w:szCs w:val="32"/>
          <w:lang w:val="en-US" w:eastAsia="zh-CN" w:bidi="ar-SA"/>
        </w:rPr>
      </w:pPr>
      <w:r>
        <w:rPr>
          <w:rFonts w:hint="eastAsia" w:ascii="Times New Roman" w:hAnsi="Times New Roman" w:eastAsia="楷体_GB2312" w:cs="Times New Roman"/>
          <w:b w:val="0"/>
          <w:bCs/>
          <w:sz w:val="32"/>
          <w:szCs w:val="32"/>
          <w:lang w:val="en-US" w:eastAsia="zh-CN" w:bidi="ar-SA"/>
        </w:rPr>
        <w:t>（</w:t>
      </w:r>
      <w:r>
        <w:rPr>
          <w:rFonts w:hint="default" w:ascii="Times New Roman" w:hAnsi="Times New Roman" w:eastAsia="楷体_GB2312" w:cs="Times New Roman"/>
          <w:b w:val="0"/>
          <w:bCs/>
          <w:sz w:val="32"/>
          <w:szCs w:val="32"/>
          <w:lang w:val="en-US" w:eastAsia="zh-CN" w:bidi="ar-SA"/>
        </w:rPr>
        <w:t>1</w:t>
      </w:r>
      <w:r>
        <w:rPr>
          <w:rFonts w:hint="eastAsia" w:ascii="Times New Roman" w:hAnsi="Times New Roman" w:eastAsia="楷体_GB2312" w:cs="Times New Roman"/>
          <w:b w:val="0"/>
          <w:bCs/>
          <w:sz w:val="32"/>
          <w:szCs w:val="32"/>
          <w:lang w:val="en-US" w:eastAsia="zh-CN" w:bidi="ar-SA"/>
        </w:rPr>
        <w:t>）</w:t>
      </w:r>
      <w:r>
        <w:rPr>
          <w:rFonts w:hint="default" w:ascii="Times New Roman" w:hAnsi="Times New Roman" w:eastAsia="楷体_GB2312" w:cs="Times New Roman"/>
          <w:b w:val="0"/>
          <w:bCs/>
          <w:sz w:val="32"/>
          <w:szCs w:val="32"/>
          <w:lang w:val="en-US" w:eastAsia="zh-CN" w:bidi="ar-SA"/>
        </w:rPr>
        <w:t>聚焦机制和队伍建设。</w:t>
      </w:r>
      <w:r>
        <w:rPr>
          <w:rFonts w:hint="default" w:ascii="Times New Roman" w:hAnsi="Times New Roman" w:eastAsia="仿宋_GB2312" w:cs="Times New Roman"/>
          <w:b w:val="0"/>
          <w:bCs/>
          <w:color w:val="000000"/>
          <w:sz w:val="32"/>
          <w:szCs w:val="32"/>
          <w:lang w:val="en-US" w:eastAsia="zh-CN" w:bidi="ar-SA"/>
        </w:rPr>
        <w:t>督促各县（市）建强招商引资工作专班，充实专职招商引资队伍并完善招商引资专班工作机制。举办2026年招商引资专题培训，继续办好开放创新讲堂，围绕项目包装、财税金融土地环保政策、实践案例等开展培训。制定《贯彻落实进一步促进招商引资高质量发展六条措施实施方案</w:t>
      </w:r>
      <w:r>
        <w:rPr>
          <w:rFonts w:hint="default" w:ascii="Times New Roman" w:hAnsi="Times New Roman" w:eastAsia="仿宋_GB2312" w:cs="Times New Roman"/>
          <w:color w:val="000000"/>
          <w:sz w:val="32"/>
          <w:szCs w:val="32"/>
          <w:lang w:val="en-US" w:eastAsia="zh-CN" w:bidi="ar-SA"/>
        </w:rPr>
        <w:t>》</w:t>
      </w:r>
      <w:r>
        <w:rPr>
          <w:rFonts w:hint="default" w:ascii="Times New Roman" w:hAnsi="Times New Roman" w:eastAsia="仿宋_GB2312" w:cs="Times New Roman"/>
          <w:spacing w:val="0"/>
          <w:sz w:val="32"/>
          <w:szCs w:val="32"/>
          <w:lang w:val="en-US" w:eastAsia="zh-CN" w:bidi="ar-SA"/>
        </w:rPr>
        <w:t>《阿坝州产业链招商引资工作机制》等系列文件规范开展招商引资。</w:t>
      </w:r>
    </w:p>
    <w:p w14:paraId="338AFDFE">
      <w:pPr>
        <w:keepNext w:val="0"/>
        <w:keepLines w:val="0"/>
        <w:pageBreakBefore w:val="0"/>
        <w:widowControl w:val="0"/>
        <w:pBdr>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仿宋_GB2312" w:cs="Times New Roman"/>
          <w:sz w:val="32"/>
          <w:szCs w:val="32"/>
          <w:lang w:val="en-US" w:eastAsia="zh-CN" w:bidi="ar-SA"/>
        </w:rPr>
      </w:pPr>
      <w:r>
        <w:rPr>
          <w:rFonts w:hint="eastAsia" w:ascii="Times New Roman" w:hAnsi="Times New Roman" w:eastAsia="楷体_GB2312" w:cs="Times New Roman"/>
          <w:b w:val="0"/>
          <w:bCs/>
          <w:sz w:val="32"/>
          <w:szCs w:val="32"/>
          <w:lang w:val="en-US" w:eastAsia="zh-CN" w:bidi="ar-SA"/>
        </w:rPr>
        <w:t>（2）</w:t>
      </w:r>
      <w:r>
        <w:rPr>
          <w:rFonts w:hint="default" w:ascii="Times New Roman" w:hAnsi="Times New Roman" w:eastAsia="楷体_GB2312" w:cs="Times New Roman"/>
          <w:b/>
          <w:bCs/>
          <w:sz w:val="32"/>
          <w:szCs w:val="32"/>
          <w:lang w:val="en-US" w:eastAsia="zh-CN" w:bidi="ar-SA"/>
        </w:rPr>
        <w:t>聚焦项目论证质量提升。</w:t>
      </w:r>
      <w:r>
        <w:rPr>
          <w:rFonts w:hint="default" w:ascii="Times New Roman" w:hAnsi="Times New Roman" w:eastAsia="仿宋_GB2312" w:cs="Times New Roman"/>
          <w:sz w:val="32"/>
          <w:szCs w:val="32"/>
          <w:lang w:val="en-US" w:eastAsia="zh-CN" w:bidi="ar-SA"/>
        </w:rPr>
        <w:t>聚焦生态文化旅游、能源矿产开发利用、现代农牧产业优势资源，树立系统思维，组织州、县（市）和园区力量综合分析产业基础、发展规划、承载条件、市场前景、要素保障等，提前开展用地匹配、环评预审等前期工作，由州招商引资工作专班组长组织要素保障等相关部门综合评审后，推出2026年100个重点招商引资项目，并</w:t>
      </w:r>
      <w:r>
        <w:rPr>
          <w:rFonts w:hint="default" w:ascii="Times New Roman" w:hAnsi="Times New Roman" w:eastAsia="仿宋_GB2312" w:cs="Times New Roman"/>
          <w:spacing w:val="0"/>
          <w:sz w:val="32"/>
          <w:szCs w:val="32"/>
          <w:lang w:val="en-US" w:eastAsia="zh-CN" w:bidi="ar-SA"/>
        </w:rPr>
        <w:t>采取“即引即退、优进劣退、退一进一”管理机制动态更新。</w:t>
      </w:r>
      <w:r>
        <w:rPr>
          <w:rFonts w:hint="default" w:ascii="Times New Roman" w:hAnsi="Times New Roman" w:eastAsia="仿宋_GB2312" w:cs="Times New Roman"/>
          <w:sz w:val="32"/>
          <w:szCs w:val="32"/>
          <w:lang w:val="en-US" w:eastAsia="zh-CN" w:bidi="ar-SA"/>
        </w:rPr>
        <w:t>各县（市）因地制宜推出年度县（市）级重点招商引资项目。支持有条件的县（市）依托国有投资平台公司对重点项目先期开展建设用地收储、相关要件办理等工作。</w:t>
      </w:r>
    </w:p>
    <w:p w14:paraId="06122500">
      <w:pPr>
        <w:keepNext w:val="0"/>
        <w:keepLines w:val="0"/>
        <w:pageBreakBefore w:val="0"/>
        <w:widowControl w:val="0"/>
        <w:suppressAutoHyphens/>
        <w:kinsoku/>
        <w:wordWrap/>
        <w:overflowPunct/>
        <w:topLinePunct w:val="0"/>
        <w:autoSpaceDE/>
        <w:autoSpaceDN/>
        <w:bidi w:val="0"/>
        <w:adjustRightInd/>
        <w:snapToGrid/>
        <w:spacing w:line="536" w:lineRule="exact"/>
        <w:ind w:firstLine="640" w:firstLineChars="200"/>
        <w:jc w:val="both"/>
        <w:textAlignment w:val="auto"/>
        <w:rPr>
          <w:rFonts w:hint="default" w:ascii="Times New Roman" w:hAnsi="Times New Roman" w:eastAsia="仿宋_GB2312" w:cs="Times New Roman"/>
          <w:sz w:val="32"/>
          <w:szCs w:val="32"/>
          <w:lang w:val="en-US" w:eastAsia="zh-CN" w:bidi="ar-SA"/>
        </w:rPr>
      </w:pPr>
      <w:r>
        <w:rPr>
          <w:rFonts w:hint="eastAsia" w:ascii="Times New Roman" w:hAnsi="Times New Roman" w:eastAsia="楷体_GB2312" w:cs="Times New Roman"/>
          <w:b w:val="0"/>
          <w:bCs/>
          <w:sz w:val="32"/>
          <w:szCs w:val="32"/>
          <w:lang w:val="en-US" w:eastAsia="zh-CN" w:bidi="ar-SA"/>
        </w:rPr>
        <w:t>（3）</w:t>
      </w:r>
      <w:r>
        <w:rPr>
          <w:rFonts w:hint="default" w:ascii="Times New Roman" w:hAnsi="Times New Roman" w:eastAsia="楷体_GB2312" w:cs="Times New Roman"/>
          <w:b/>
          <w:bCs/>
          <w:sz w:val="32"/>
          <w:szCs w:val="32"/>
          <w:lang w:val="en-US" w:eastAsia="zh-CN" w:bidi="ar-SA"/>
        </w:rPr>
        <w:t>聚焦项目服务促落地。</w:t>
      </w:r>
      <w:r>
        <w:rPr>
          <w:rFonts w:hint="default" w:ascii="Times New Roman" w:hAnsi="Times New Roman" w:eastAsia="仿宋_GB2312" w:cs="Times New Roman"/>
          <w:sz w:val="32"/>
          <w:szCs w:val="32"/>
          <w:lang w:val="en-US" w:eastAsia="zh-CN" w:bidi="ar-SA"/>
        </w:rPr>
        <w:t>制定施行《阿坝州招商引资在谈、</w:t>
      </w:r>
      <w:r>
        <w:rPr>
          <w:rFonts w:hint="default" w:ascii="Times New Roman" w:hAnsi="Times New Roman" w:eastAsia="仿宋_GB2312" w:cs="Times New Roman"/>
          <w:spacing w:val="-6"/>
          <w:sz w:val="32"/>
          <w:szCs w:val="32"/>
          <w:lang w:val="en-US" w:eastAsia="zh-CN" w:bidi="ar-SA"/>
        </w:rPr>
        <w:t>签约项目落地服务机制》，对三次产业单体投资分别为0.5亿元、3亿元、5亿元以上的项目投资主体施行州级提级服务。持续开展“进企业、问需求、解难题、促发展”活动，走访招商引资企业协调解决项目推进过程中存在的问题。争取将2026年招商引资项目履约落地检查纳入全州督检考计划，常态化开展履约落地检查。</w:t>
      </w:r>
    </w:p>
    <w:p w14:paraId="41D5E19B">
      <w:pPr>
        <w:keepNext w:val="0"/>
        <w:keepLines w:val="0"/>
        <w:pageBreakBefore w:val="0"/>
        <w:widowControl w:val="0"/>
        <w:suppressAutoHyphens/>
        <w:kinsoku/>
        <w:wordWrap/>
        <w:overflowPunct/>
        <w:topLinePunct w:val="0"/>
        <w:autoSpaceDE/>
        <w:autoSpaceDN/>
        <w:bidi w:val="0"/>
        <w:adjustRightInd/>
        <w:snapToGrid/>
        <w:spacing w:line="536" w:lineRule="exact"/>
        <w:ind w:firstLine="640"/>
        <w:jc w:val="both"/>
        <w:textAlignment w:val="auto"/>
        <w:rPr>
          <w:rFonts w:hint="default" w:ascii="Times New Roman" w:hAnsi="Times New Roman" w:eastAsia="楷体_GB2312" w:cs="Times New Roman"/>
          <w:b/>
          <w:bCs/>
          <w:sz w:val="32"/>
          <w:szCs w:val="32"/>
          <w:lang w:val="en-US" w:eastAsia="zh-CN" w:bidi="ar-SA"/>
        </w:rPr>
      </w:pPr>
      <w:r>
        <w:rPr>
          <w:rFonts w:hint="eastAsia" w:ascii="Times New Roman" w:hAnsi="Times New Roman" w:eastAsia="楷体_GB2312" w:cs="Times New Roman"/>
          <w:b w:val="0"/>
          <w:bCs/>
          <w:sz w:val="32"/>
          <w:szCs w:val="32"/>
          <w:lang w:val="en-US" w:eastAsia="zh-CN" w:bidi="ar-SA"/>
        </w:rPr>
        <w:t>（4）</w:t>
      </w:r>
      <w:r>
        <w:rPr>
          <w:rFonts w:hint="default" w:ascii="Times New Roman" w:hAnsi="Times New Roman" w:eastAsia="楷体_GB2312" w:cs="Times New Roman"/>
          <w:b/>
          <w:bCs/>
          <w:sz w:val="32"/>
          <w:szCs w:val="32"/>
          <w:lang w:val="en-US" w:eastAsia="zh-CN" w:bidi="ar-SA"/>
        </w:rPr>
        <w:t>聚焦招商活动组织。</w:t>
      </w:r>
      <w:r>
        <w:rPr>
          <w:rFonts w:hint="default" w:ascii="Times New Roman" w:hAnsi="Times New Roman" w:eastAsia="仿宋_GB2312" w:cs="Times New Roman"/>
          <w:color w:val="auto"/>
          <w:spacing w:val="0"/>
          <w:sz w:val="32"/>
          <w:szCs w:val="32"/>
          <w:u w:val="none"/>
          <w:lang w:val="en-US" w:eastAsia="zh-CN" w:bidi="ar-SA"/>
        </w:rPr>
        <w:t>制定《小分队招商引资工作规则和分发派单机制》，组建州经合系统招商小分队、州级重点产业链招商小分队、县（市）招商小分队，年内拜访三类500强企业、专精特新企业300户以上。统筹开展“天下九寨沟·大美阿坝州”招商引客全国行活动4场次以上。</w:t>
      </w:r>
      <w:r>
        <w:rPr>
          <w:rFonts w:hint="default" w:ascii="Times New Roman" w:hAnsi="Times New Roman" w:eastAsia="仿宋_GB2312" w:cs="Times New Roman"/>
          <w:color w:val="000000"/>
          <w:kern w:val="2"/>
          <w:sz w:val="32"/>
          <w:szCs w:val="32"/>
          <w:lang w:val="en-US" w:eastAsia="zh-CN" w:bidi="ar-SA"/>
        </w:rPr>
        <w:t>依托成渝地区双城经济圈、浙江对口支援、省内对口帮扶</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中外知名企业四川行等重大经贸活动平台，广泛开展投资环境和项目推介收集信息。突出以商招商，加强与各级驻外机构、商协会、校友会以及已在州投资大企业等联系沟通，</w:t>
      </w:r>
      <w:r>
        <w:rPr>
          <w:rFonts w:hint="default" w:ascii="Times New Roman" w:hAnsi="Times New Roman" w:eastAsia="仿宋_GB2312" w:cs="Times New Roman"/>
          <w:sz w:val="32"/>
          <w:szCs w:val="32"/>
          <w:lang w:val="en-US" w:eastAsia="zh-CN" w:bidi="ar-SA"/>
        </w:rPr>
        <w:t>推动“招大引强”破局发展</w:t>
      </w:r>
      <w:r>
        <w:rPr>
          <w:rFonts w:hint="default"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sz w:val="32"/>
          <w:szCs w:val="32"/>
          <w:lang w:val="en-US" w:eastAsia="zh-CN" w:bidi="ar-SA"/>
        </w:rPr>
        <w:t>探索招商引资与产业基金、应用场景等互动，坚持事前评估审查、事后绩效评价、完善目标考核机制等，全面提升招引质效。</w:t>
      </w:r>
    </w:p>
    <w:p w14:paraId="65CDB577">
      <w:pPr>
        <w:keepNext w:val="0"/>
        <w:keepLines w:val="0"/>
        <w:pageBreakBefore w:val="0"/>
        <w:widowControl w:val="0"/>
        <w:suppressAutoHyphens/>
        <w:kinsoku/>
        <w:wordWrap/>
        <w:overflowPunct/>
        <w:topLinePunct w:val="0"/>
        <w:autoSpaceDE/>
        <w:autoSpaceDN/>
        <w:bidi w:val="0"/>
        <w:adjustRightInd w:val="0"/>
        <w:snapToGrid w:val="0"/>
        <w:spacing w:line="536"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楷体_GB2312" w:cs="Times New Roman"/>
          <w:b w:val="0"/>
          <w:bCs/>
          <w:sz w:val="32"/>
          <w:szCs w:val="32"/>
          <w:lang w:val="en-US" w:eastAsia="zh-CN" w:bidi="ar-SA"/>
        </w:rPr>
        <w:t>（5）</w:t>
      </w:r>
      <w:r>
        <w:rPr>
          <w:rFonts w:hint="default" w:ascii="Times New Roman" w:hAnsi="Times New Roman" w:eastAsia="仿宋_GB2312" w:cs="Times New Roman"/>
          <w:b/>
          <w:bCs/>
          <w:sz w:val="32"/>
          <w:szCs w:val="32"/>
          <w:lang w:val="en-US" w:eastAsia="zh-CN" w:bidi="ar-SA"/>
        </w:rPr>
        <w:t>聚焦营商环境提升。</w:t>
      </w:r>
      <w:r>
        <w:rPr>
          <w:rFonts w:hint="default" w:ascii="Times New Roman" w:hAnsi="Times New Roman" w:eastAsia="仿宋_GB2312" w:cs="Times New Roman"/>
          <w:spacing w:val="0"/>
          <w:sz w:val="32"/>
          <w:szCs w:val="32"/>
          <w:lang w:val="en-US" w:eastAsia="zh-CN" w:bidi="ar-SA"/>
        </w:rPr>
        <w:t>实施营商环境改进提升行动，把“高效办成一件事”作为服务企业的重要抓手，完善“最多跑一次”等服务模式。落实“管资源必须保障招商、管审批必须服务招商”要求，落实《进一步优化营商环境更好服务市场主体七条措施》《招商引资项目跟踪服务机制》，运用好“天府通办”中创新推出的“阿坝惠企通”特色专栏，梳理发布爱商亲商护商政策清单，致力于打造“无事不扰、有求必应、及时响应”的营商环境，为投资企业提供全生命周期服务。</w:t>
      </w:r>
      <w:r>
        <w:rPr>
          <w:rFonts w:hint="eastAsia" w:ascii="Times New Roman" w:hAnsi="Times New Roman" w:eastAsia="仿宋_GB2312" w:cs="Times New Roman"/>
          <w:spacing w:val="0"/>
          <w:sz w:val="32"/>
          <w:szCs w:val="32"/>
          <w:lang w:val="en-US" w:eastAsia="zh-CN" w:bidi="ar-SA"/>
        </w:rPr>
        <w:t>适时通报</w:t>
      </w:r>
      <w:r>
        <w:rPr>
          <w:rFonts w:hint="default" w:ascii="Times New Roman" w:hAnsi="Times New Roman" w:eastAsia="仿宋_GB2312" w:cs="Times New Roman"/>
          <w:sz w:val="32"/>
          <w:szCs w:val="32"/>
        </w:rPr>
        <w:t>招商引资不作为、乱作为、慢作为等损害营商环境行为，营造亲商重商良好氛围</w:t>
      </w:r>
      <w:r>
        <w:rPr>
          <w:rFonts w:hint="eastAsia" w:ascii="Times New Roman" w:hAnsi="Times New Roman" w:eastAsia="仿宋_GB2312" w:cs="Times New Roman"/>
          <w:sz w:val="32"/>
          <w:szCs w:val="32"/>
          <w:lang w:eastAsia="zh-CN"/>
        </w:rPr>
        <w:t>。</w:t>
      </w:r>
    </w:p>
    <w:p w14:paraId="2A46C8DC">
      <w:pPr>
        <w:keepNext w:val="0"/>
        <w:keepLines w:val="0"/>
        <w:pageBreakBefore w:val="0"/>
        <w:widowControl w:val="0"/>
        <w:suppressAutoHyphens/>
        <w:kinsoku/>
        <w:wordWrap/>
        <w:overflowPunct/>
        <w:topLinePunct w:val="0"/>
        <w:autoSpaceDE/>
        <w:autoSpaceDN/>
        <w:bidi w:val="0"/>
        <w:adjustRightInd/>
        <w:snapToGrid/>
        <w:spacing w:line="536" w:lineRule="exact"/>
        <w:ind w:left="0" w:firstLine="640" w:firstLineChars="200"/>
        <w:jc w:val="left"/>
        <w:textAlignment w:val="auto"/>
        <w:rPr>
          <w:rFonts w:hint="eastAsia" w:ascii="Times New Roman" w:hAnsi="Times New Roman" w:eastAsia="楷体_GB2312" w:cs="Times New Roman"/>
          <w:b/>
          <w:bCs w:val="0"/>
          <w:sz w:val="32"/>
          <w:szCs w:val="32"/>
          <w:lang w:val="en-US" w:eastAsia="zh-CN" w:bidi="ar-SA"/>
        </w:rPr>
      </w:pPr>
      <w:r>
        <w:rPr>
          <w:rFonts w:hint="eastAsia" w:ascii="Times New Roman" w:hAnsi="Times New Roman" w:eastAsia="楷体_GB2312" w:cs="Times New Roman"/>
          <w:b w:val="0"/>
          <w:bCs/>
          <w:sz w:val="32"/>
          <w:szCs w:val="32"/>
          <w:lang w:val="en-US" w:eastAsia="zh-CN" w:bidi="ar-SA"/>
        </w:rPr>
        <w:t>2.</w:t>
      </w:r>
      <w:r>
        <w:rPr>
          <w:rFonts w:hint="eastAsia" w:ascii="Times New Roman" w:hAnsi="Times New Roman" w:eastAsia="楷体_GB2312" w:cs="Times New Roman"/>
          <w:b/>
          <w:bCs w:val="0"/>
          <w:sz w:val="32"/>
          <w:szCs w:val="32"/>
          <w:lang w:val="en-US" w:eastAsia="zh-CN" w:bidi="ar-SA"/>
        </w:rPr>
        <w:t>外事与港澳事务方面：</w:t>
      </w:r>
    </w:p>
    <w:p w14:paraId="6E0E462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方正仿宋_GBK" w:cs="Times New Roman"/>
          <w:kern w:val="0"/>
          <w:sz w:val="32"/>
          <w:szCs w:val="32"/>
        </w:rPr>
        <w:t>（略）。</w:t>
      </w:r>
    </w:p>
    <w:p w14:paraId="16716FB7">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564AEE7E">
      <w:pPr>
        <w:spacing w:line="560" w:lineRule="exact"/>
        <w:ind w:firstLine="640" w:firstLineChars="200"/>
        <w:rPr>
          <w:rFonts w:ascii="仿宋_GB2312" w:eastAsia="仿宋_GB2312"/>
          <w:sz w:val="32"/>
          <w:szCs w:val="32"/>
        </w:rPr>
      </w:pP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hint="eastAsia" w:ascii="Times New Roman" w:hAnsi="Times New Roman" w:eastAsia="仿宋_GB2312" w:cs="仿宋_GB2312"/>
          <w:sz w:val="32"/>
          <w:szCs w:val="32"/>
        </w:rPr>
        <w:t>属一级预算单位，无下属二级预算单位。</w:t>
      </w:r>
    </w:p>
    <w:p w14:paraId="169F2632">
      <w:pPr>
        <w:pStyle w:val="9"/>
        <w:ind w:left="720" w:firstLine="0" w:firstLineChars="0"/>
        <w:rPr>
          <w:rFonts w:ascii="黑体" w:eastAsia="黑体"/>
          <w:sz w:val="32"/>
          <w:szCs w:val="32"/>
        </w:rPr>
      </w:pPr>
      <w:r>
        <w:rPr>
          <w:rFonts w:hint="eastAsia" w:ascii="黑体" w:eastAsia="黑体"/>
          <w:sz w:val="32"/>
          <w:szCs w:val="32"/>
        </w:rPr>
        <w:t>三、收支预算情况说明</w:t>
      </w:r>
    </w:p>
    <w:p w14:paraId="0536EC9F">
      <w:pPr>
        <w:ind w:firstLine="640" w:firstLineChars="200"/>
        <w:rPr>
          <w:rFonts w:hint="eastAsia" w:ascii="楷体" w:eastAsia="楷体"/>
          <w:sz w:val="32"/>
          <w:szCs w:val="32"/>
          <w:lang w:eastAsia="zh-CN"/>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仿宋_GB2312"/>
          <w:sz w:val="32"/>
          <w:szCs w:val="32"/>
        </w:rPr>
        <w:t>年收入预算</w:t>
      </w:r>
      <w:r>
        <w:rPr>
          <w:rFonts w:hint="eastAsia" w:ascii="Times New Roman" w:hAnsi="Times New Roman" w:eastAsia="仿宋_GB2312" w:cs="Times New Roman"/>
          <w:sz w:val="32"/>
          <w:szCs w:val="32"/>
        </w:rPr>
        <w:t>8364393.4</w:t>
      </w:r>
      <w:r>
        <w:rPr>
          <w:rFonts w:hint="eastAsia" w:ascii="Times New Roman" w:hAnsi="Times New Roman" w:eastAsia="仿宋_GB2312" w:cs="仿宋_GB2312"/>
          <w:sz w:val="32"/>
          <w:szCs w:val="32"/>
        </w:rPr>
        <w:t>元，其中：一般公共预算拨款收入</w:t>
      </w:r>
      <w:r>
        <w:rPr>
          <w:rFonts w:hint="eastAsia" w:ascii="Times New Roman" w:hAnsi="Times New Roman" w:eastAsia="仿宋_GB2312" w:cs="Times New Roman"/>
          <w:sz w:val="32"/>
          <w:szCs w:val="32"/>
        </w:rPr>
        <w:t>8364393.4</w:t>
      </w:r>
      <w:r>
        <w:rPr>
          <w:rFonts w:hint="eastAsia" w:ascii="Times New Roman" w:hAnsi="Times New Roman" w:eastAsia="仿宋_GB2312" w:cs="仿宋_GB2312"/>
          <w:sz w:val="32"/>
          <w:szCs w:val="32"/>
        </w:rPr>
        <w:t>元，占</w:t>
      </w:r>
      <w:r>
        <w:rPr>
          <w:rFonts w:ascii="Times New Roman" w:hAnsi="Times New Roman" w:eastAsia="仿宋_GB2312" w:cs="Times New Roman"/>
          <w:sz w:val="32"/>
          <w:szCs w:val="32"/>
        </w:rPr>
        <w:t>100%</w:t>
      </w:r>
      <w:r>
        <w:rPr>
          <w:rFonts w:hint="eastAsia" w:ascii="Times New Roman" w:hAnsi="Times New Roman" w:eastAsia="仿宋_GB2312" w:cs="仿宋_GB2312"/>
          <w:sz w:val="32"/>
          <w:szCs w:val="32"/>
        </w:rPr>
        <w:t>。</w:t>
      </w:r>
    </w:p>
    <w:p w14:paraId="27FC7170">
      <w:pPr>
        <w:jc w:val="left"/>
        <w:rPr>
          <w:rFonts w:hint="eastAsia" w:ascii="楷体" w:eastAsia="楷体"/>
          <w:sz w:val="32"/>
          <w:szCs w:val="32"/>
          <w:lang w:eastAsia="zh-CN"/>
        </w:rPr>
      </w:pPr>
      <w:r>
        <w:rPr>
          <w:rFonts w:hint="eastAsia" w:ascii="楷体" w:eastAsia="楷体" w:cs="仿宋_GB2312"/>
          <w:sz w:val="32"/>
          <w:szCs w:val="32"/>
        </w:rPr>
        <w:t>　　（二）支出预算情况</w:t>
      </w:r>
      <w:r>
        <w:rPr>
          <w:rFonts w:hint="eastAsia" w:ascii="楷体" w:eastAsia="楷体" w:cs="仿宋_GB2312"/>
          <w:sz w:val="32"/>
          <w:szCs w:val="32"/>
          <w:lang w:eastAsia="zh-CN"/>
        </w:rPr>
        <w:t>：</w:t>
      </w: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仿宋_GB2312"/>
          <w:sz w:val="32"/>
          <w:szCs w:val="32"/>
        </w:rPr>
        <w:t>年支出预算</w:t>
      </w:r>
      <w:r>
        <w:rPr>
          <w:rFonts w:hint="eastAsia" w:ascii="Times New Roman" w:hAnsi="Times New Roman" w:eastAsia="仿宋_GB2312" w:cs="Times New Roman"/>
          <w:sz w:val="32"/>
          <w:szCs w:val="32"/>
        </w:rPr>
        <w:t>8364393.4</w:t>
      </w:r>
      <w:r>
        <w:rPr>
          <w:rFonts w:hint="eastAsia" w:ascii="Times New Roman" w:hAnsi="Times New Roman" w:eastAsia="仿宋_GB2312" w:cs="仿宋_GB2312"/>
          <w:sz w:val="32"/>
          <w:szCs w:val="32"/>
        </w:rPr>
        <w:t>元，其中：基本支出</w:t>
      </w:r>
      <w:r>
        <w:rPr>
          <w:rFonts w:hint="eastAsia" w:ascii="Times New Roman" w:hAnsi="Times New Roman" w:eastAsia="仿宋_GB2312" w:cs="Times New Roman"/>
          <w:sz w:val="32"/>
          <w:szCs w:val="32"/>
          <w:lang w:val="en-US" w:eastAsia="zh-CN"/>
        </w:rPr>
        <w:t>4974393.4</w:t>
      </w:r>
      <w:r>
        <w:rPr>
          <w:rFonts w:hint="eastAsia" w:ascii="Times New Roman" w:hAnsi="Times New Roman" w:eastAsia="仿宋_GB2312" w:cs="仿宋_GB2312"/>
          <w:sz w:val="32"/>
          <w:szCs w:val="32"/>
        </w:rPr>
        <w:t>元，占</w:t>
      </w:r>
      <w:r>
        <w:rPr>
          <w:rFonts w:hint="eastAsia" w:ascii="Times New Roman" w:hAnsi="Times New Roman" w:eastAsia="仿宋_GB2312" w:cs="仿宋_GB2312"/>
          <w:sz w:val="32"/>
          <w:szCs w:val="32"/>
          <w:lang w:val="en-US" w:eastAsia="zh-CN"/>
        </w:rPr>
        <w:t>59.47</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；项目支出3</w:t>
      </w:r>
      <w:r>
        <w:rPr>
          <w:rFonts w:hint="eastAsia" w:ascii="Times New Roman" w:hAnsi="Times New Roman" w:eastAsia="仿宋_GB2312" w:cs="仿宋_GB2312"/>
          <w:sz w:val="32"/>
          <w:szCs w:val="32"/>
          <w:lang w:val="en-US" w:eastAsia="zh-CN"/>
        </w:rPr>
        <w:t>39</w:t>
      </w:r>
      <w:r>
        <w:rPr>
          <w:rFonts w:hint="eastAsia" w:ascii="Times New Roman" w:hAnsi="Times New Roman" w:eastAsia="仿宋_GB2312" w:cs="仿宋_GB2312"/>
          <w:sz w:val="32"/>
          <w:szCs w:val="32"/>
        </w:rPr>
        <w:t>000</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元，占</w:t>
      </w:r>
      <w:r>
        <w:rPr>
          <w:rFonts w:hint="eastAsia" w:ascii="Times New Roman" w:hAnsi="Times New Roman" w:eastAsia="仿宋_GB2312" w:cs="Times New Roman"/>
          <w:sz w:val="32"/>
          <w:szCs w:val="32"/>
          <w:lang w:val="en-US" w:eastAsia="zh-CN"/>
        </w:rPr>
        <w:t>40.53</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w:t>
      </w:r>
    </w:p>
    <w:p w14:paraId="23C5CF6A">
      <w:pPr>
        <w:ind w:left="638" w:leftChars="304"/>
        <w:rPr>
          <w:rFonts w:hint="eastAsia" w:ascii="仿宋_GB2312" w:eastAsia="仿宋_GB2312"/>
          <w:sz w:val="32"/>
          <w:szCs w:val="32"/>
        </w:rPr>
      </w:pPr>
      <w:r>
        <w:rPr>
          <w:rFonts w:hint="eastAsia" w:ascii="黑体" w:eastAsia="黑体"/>
          <w:sz w:val="32"/>
          <w:szCs w:val="32"/>
        </w:rPr>
        <w:t>四、财政拨款收支预算情况说明</w:t>
      </w:r>
      <w:bookmarkStart w:id="0" w:name="_GoBack"/>
      <w:bookmarkEnd w:id="0"/>
      <w:r>
        <w:rPr>
          <w:rFonts w:ascii="ˎ̥" w:hAnsi="ˎ̥" w:cs="宋体"/>
          <w:sz w:val="16"/>
        </w:rPr>
        <w:br w:type="textWrapping"/>
      </w: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hint="eastAsia" w:ascii="仿宋_GB2312" w:eastAsia="仿宋_GB2312"/>
          <w:sz w:val="32"/>
          <w:szCs w:val="32"/>
        </w:rPr>
        <w:t>2026年财政拨款收支总预算</w:t>
      </w:r>
    </w:p>
    <w:p w14:paraId="08E5B223">
      <w:pPr>
        <w:keepNext w:val="0"/>
        <w:keepLines w:val="0"/>
        <w:pageBreakBefore w:val="0"/>
        <w:widowControl/>
        <w:kinsoku/>
        <w:wordWrap/>
        <w:overflowPunct/>
        <w:topLinePunct w:val="0"/>
        <w:autoSpaceDE w:val="0"/>
        <w:autoSpaceDN/>
        <w:bidi w:val="0"/>
        <w:adjustRightInd/>
        <w:snapToGrid/>
        <w:spacing w:line="576" w:lineRule="exact"/>
        <w:textAlignment w:val="auto"/>
        <w:rPr>
          <w:rFonts w:hint="default" w:ascii="Times New Roman" w:hAnsi="Times New Roman" w:eastAsia="方正仿宋_GBK" w:cs="Times New Roman"/>
          <w:kern w:val="0"/>
          <w:sz w:val="32"/>
          <w:szCs w:val="32"/>
        </w:rPr>
      </w:pPr>
      <w:r>
        <w:rPr>
          <w:rFonts w:hint="eastAsia" w:ascii="Times New Roman" w:hAnsi="Times New Roman" w:eastAsia="仿宋_GB2312" w:cs="Times New Roman"/>
          <w:sz w:val="32"/>
          <w:szCs w:val="32"/>
        </w:rPr>
        <w:t>836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4393</w:t>
      </w:r>
      <w:r>
        <w:rPr>
          <w:rFonts w:hint="eastAsia" w:ascii="Times New Roman" w:hAnsi="Times New Roman" w:eastAsia="仿宋_GB2312" w:cs="Times New Roman"/>
          <w:sz w:val="32"/>
          <w:szCs w:val="32"/>
          <w:lang w:val="en-US" w:eastAsia="zh-CN"/>
        </w:rPr>
        <w:t>4</w:t>
      </w:r>
      <w:r>
        <w:rPr>
          <w:rFonts w:hint="eastAsia" w:ascii="仿宋_GB2312" w:eastAsia="仿宋_GB2312"/>
          <w:sz w:val="32"/>
          <w:szCs w:val="32"/>
        </w:rPr>
        <w:t>万元,比2025年财政拨款收支总预算增加</w:t>
      </w:r>
      <w:r>
        <w:rPr>
          <w:rFonts w:hint="eastAsia" w:ascii="仿宋_GB2312" w:eastAsia="仿宋_GB2312"/>
          <w:sz w:val="32"/>
          <w:szCs w:val="32"/>
          <w:lang w:val="en-US" w:eastAsia="zh-CN"/>
        </w:rPr>
        <w:t>550.550209</w:t>
      </w:r>
      <w:r>
        <w:rPr>
          <w:rFonts w:hint="eastAsia" w:ascii="仿宋_GB2312" w:eastAsia="仿宋_GB2312"/>
          <w:sz w:val="32"/>
          <w:szCs w:val="32"/>
        </w:rPr>
        <w:t>万元，主要原因:</w:t>
      </w:r>
      <w:r>
        <w:rPr>
          <w:rFonts w:hint="eastAsia" w:ascii="仿宋_GB2312" w:eastAsia="仿宋_GB2312"/>
          <w:sz w:val="32"/>
          <w:szCs w:val="32"/>
          <w:lang w:val="en-US" w:eastAsia="zh-CN"/>
        </w:rPr>
        <w:t>2025年机构改革，</w:t>
      </w:r>
      <w:r>
        <w:rPr>
          <w:rFonts w:hint="eastAsia" w:ascii="Times New Roman" w:hAnsi="Times New Roman" w:eastAsia="方正仿宋_GBK" w:cs="Times New Roman"/>
          <w:kern w:val="0"/>
          <w:sz w:val="32"/>
          <w:szCs w:val="32"/>
          <w:lang w:val="en-US" w:eastAsia="zh-CN"/>
        </w:rPr>
        <w:t>人员增加</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导致</w:t>
      </w:r>
      <w:r>
        <w:rPr>
          <w:rFonts w:hint="default" w:ascii="Times New Roman" w:hAnsi="Times New Roman" w:eastAsia="方正仿宋_GBK" w:cs="Times New Roman"/>
          <w:kern w:val="0"/>
          <w:sz w:val="32"/>
          <w:szCs w:val="32"/>
        </w:rPr>
        <w:t>工资福利支出增加</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项常规项目经费</w:t>
      </w:r>
      <w:r>
        <w:rPr>
          <w:rFonts w:hint="eastAsia" w:ascii="Times New Roman" w:hAnsi="Times New Roman" w:eastAsia="方正仿宋_GBK" w:cs="Times New Roman"/>
          <w:kern w:val="0"/>
          <w:sz w:val="32"/>
          <w:szCs w:val="32"/>
          <w:lang w:val="en-US" w:eastAsia="zh-CN"/>
        </w:rPr>
        <w:t>252万元，</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lang w:val="en-US" w:eastAsia="zh-CN"/>
        </w:rPr>
        <w:t>项</w:t>
      </w:r>
      <w:r>
        <w:rPr>
          <w:rFonts w:hint="eastAsia" w:ascii="Times New Roman" w:hAnsi="Times New Roman" w:eastAsia="方正仿宋_GBK" w:cs="Times New Roman"/>
          <w:kern w:val="0"/>
          <w:sz w:val="32"/>
          <w:szCs w:val="32"/>
          <w:lang w:val="en-US" w:eastAsia="zh-CN"/>
        </w:rPr>
        <w:t>阶段</w:t>
      </w:r>
      <w:r>
        <w:rPr>
          <w:rFonts w:hint="default" w:ascii="Times New Roman" w:hAnsi="Times New Roman" w:eastAsia="方正仿宋_GBK" w:cs="Times New Roman"/>
          <w:kern w:val="0"/>
          <w:sz w:val="32"/>
          <w:szCs w:val="32"/>
          <w:lang w:val="en-US" w:eastAsia="zh-CN"/>
        </w:rPr>
        <w:t>项目经费</w:t>
      </w:r>
      <w:r>
        <w:rPr>
          <w:rFonts w:hint="eastAsia" w:ascii="Times New Roman" w:hAnsi="Times New Roman" w:eastAsia="方正仿宋_GBK" w:cs="Times New Roman"/>
          <w:kern w:val="0"/>
          <w:sz w:val="32"/>
          <w:szCs w:val="32"/>
          <w:lang w:val="en-US" w:eastAsia="zh-CN"/>
        </w:rPr>
        <w:t>58万元，</w:t>
      </w:r>
      <w:r>
        <w:rPr>
          <w:rFonts w:hint="default" w:ascii="Times New Roman" w:hAnsi="Times New Roman" w:eastAsia="方正仿宋_GBK" w:cs="Times New Roman"/>
          <w:kern w:val="0"/>
          <w:sz w:val="32"/>
          <w:szCs w:val="32"/>
          <w:lang w:val="en-US" w:eastAsia="zh-CN"/>
        </w:rPr>
        <w:t>相应经费增加</w:t>
      </w:r>
      <w:r>
        <w:rPr>
          <w:rFonts w:hint="default" w:ascii="Times New Roman" w:hAnsi="Times New Roman" w:eastAsia="方正仿宋_GBK" w:cs="Times New Roman"/>
          <w:kern w:val="0"/>
          <w:sz w:val="32"/>
          <w:szCs w:val="32"/>
        </w:rPr>
        <w:t>。</w:t>
      </w:r>
    </w:p>
    <w:p w14:paraId="10BCD79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Times New Roman" w:hAnsi="Times New Roman" w:eastAsia="仿宋_GB2312" w:cs="仿宋_GB2312"/>
          <w:sz w:val="32"/>
          <w:szCs w:val="32"/>
        </w:rPr>
        <w:t>本年一般公共预算拨款收入</w:t>
      </w:r>
      <w:r>
        <w:rPr>
          <w:rFonts w:hint="eastAsia" w:ascii="Times New Roman" w:hAnsi="Times New Roman" w:eastAsia="仿宋_GB2312" w:cs="Times New Roman"/>
          <w:sz w:val="32"/>
          <w:szCs w:val="32"/>
        </w:rPr>
        <w:t>836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4393</w:t>
      </w:r>
      <w:r>
        <w:rPr>
          <w:rFonts w:hint="eastAsia" w:ascii="Times New Roman" w:hAnsi="Times New Roman" w:eastAsia="仿宋_GB2312" w:cs="Times New Roman"/>
          <w:sz w:val="32"/>
          <w:szCs w:val="32"/>
          <w:lang w:val="en-US" w:eastAsia="zh-CN"/>
        </w:rPr>
        <w:t>4</w:t>
      </w:r>
      <w:r>
        <w:rPr>
          <w:rFonts w:hint="eastAsia" w:ascii="仿宋_GB2312" w:eastAsia="仿宋_GB2312"/>
          <w:sz w:val="32"/>
          <w:szCs w:val="32"/>
        </w:rPr>
        <w:t>万元</w:t>
      </w:r>
    </w:p>
    <w:p w14:paraId="63608F72">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default" w:ascii="Times New Roman" w:hAnsi="Times New Roman" w:eastAsia="方正仿宋_GBK" w:cs="Times New Roman"/>
          <w:kern w:val="0"/>
          <w:sz w:val="32"/>
          <w:szCs w:val="32"/>
        </w:rPr>
        <w:t>行政运行</w:t>
      </w:r>
      <w:r>
        <w:rPr>
          <w:rFonts w:hint="eastAsia" w:ascii="Times New Roman" w:hAnsi="Times New Roman" w:eastAsia="方正仿宋_GBK" w:cs="Times New Roman"/>
          <w:kern w:val="0"/>
          <w:sz w:val="32"/>
          <w:szCs w:val="32"/>
          <w:lang w:val="en-US" w:eastAsia="zh-CN"/>
        </w:rPr>
        <w:t>497.43934</w:t>
      </w:r>
      <w:r>
        <w:rPr>
          <w:rFonts w:hint="default" w:ascii="Times New Roman" w:hAnsi="Times New Roman" w:eastAsia="方正仿宋_GBK" w:cs="Times New Roman"/>
          <w:kern w:val="0"/>
          <w:sz w:val="32"/>
          <w:szCs w:val="32"/>
        </w:rPr>
        <w:t>万元，一般行政管理事务</w:t>
      </w:r>
      <w:r>
        <w:rPr>
          <w:rFonts w:hint="eastAsia" w:ascii="Times New Roman" w:hAnsi="Times New Roman" w:eastAsia="方正仿宋_GBK" w:cs="Times New Roman"/>
          <w:kern w:val="0"/>
          <w:sz w:val="32"/>
          <w:szCs w:val="32"/>
          <w:lang w:val="en-US" w:eastAsia="zh-CN"/>
        </w:rPr>
        <w:t>339</w:t>
      </w:r>
      <w:r>
        <w:rPr>
          <w:rFonts w:hint="default" w:ascii="Times New Roman" w:hAnsi="Times New Roman" w:eastAsia="方正仿宋_GBK" w:cs="Times New Roman"/>
          <w:kern w:val="0"/>
          <w:sz w:val="32"/>
          <w:szCs w:val="32"/>
        </w:rPr>
        <w:t>万元，机关事业单位基本养老保险缴费支出</w:t>
      </w:r>
      <w:r>
        <w:rPr>
          <w:rFonts w:hint="eastAsia" w:ascii="Times New Roman" w:hAnsi="Times New Roman" w:eastAsia="方正仿宋_GBK" w:cs="Times New Roman"/>
          <w:kern w:val="0"/>
          <w:sz w:val="32"/>
          <w:szCs w:val="32"/>
          <w:lang w:val="en-US" w:eastAsia="zh-CN"/>
        </w:rPr>
        <w:t>39.641648</w:t>
      </w:r>
      <w:r>
        <w:rPr>
          <w:rFonts w:hint="default" w:ascii="Times New Roman" w:hAnsi="Times New Roman" w:eastAsia="方正仿宋_GBK" w:cs="Times New Roman"/>
          <w:kern w:val="0"/>
          <w:sz w:val="32"/>
          <w:szCs w:val="32"/>
        </w:rPr>
        <w:t>万元，机关事业单位职业年金缴费支出</w:t>
      </w:r>
      <w:r>
        <w:rPr>
          <w:rFonts w:hint="eastAsia" w:ascii="Times New Roman" w:hAnsi="Times New Roman" w:eastAsia="方正仿宋_GBK" w:cs="Times New Roman"/>
          <w:kern w:val="0"/>
          <w:sz w:val="32"/>
          <w:szCs w:val="32"/>
          <w:lang w:val="en-US" w:eastAsia="zh-CN"/>
        </w:rPr>
        <w:t>19.820824</w:t>
      </w:r>
      <w:r>
        <w:rPr>
          <w:rFonts w:hint="default" w:ascii="Times New Roman" w:hAnsi="Times New Roman" w:eastAsia="方正仿宋_GBK" w:cs="Times New Roman"/>
          <w:kern w:val="0"/>
          <w:sz w:val="32"/>
          <w:szCs w:val="32"/>
        </w:rPr>
        <w:t>万元，行政单位医疗17</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345573万元，公务员医疗补助</w:t>
      </w:r>
      <w:r>
        <w:rPr>
          <w:rFonts w:hint="eastAsia" w:ascii="Times New Roman" w:hAnsi="Times New Roman" w:eastAsia="方正仿宋_GBK" w:cs="Times New Roman"/>
          <w:kern w:val="0"/>
          <w:sz w:val="32"/>
          <w:szCs w:val="32"/>
          <w:lang w:val="en-US" w:eastAsia="zh-CN"/>
        </w:rPr>
        <w:t>4.54356</w:t>
      </w:r>
      <w:r>
        <w:rPr>
          <w:rFonts w:hint="default" w:ascii="Times New Roman" w:hAnsi="Times New Roman" w:eastAsia="方正仿宋_GBK" w:cs="Times New Roman"/>
          <w:kern w:val="0"/>
          <w:sz w:val="32"/>
          <w:szCs w:val="32"/>
        </w:rPr>
        <w:t>万元，住房公积金</w:t>
      </w:r>
      <w:r>
        <w:rPr>
          <w:rFonts w:hint="eastAsia" w:ascii="Times New Roman" w:hAnsi="Times New Roman" w:eastAsia="方正仿宋_GBK" w:cs="Times New Roman"/>
          <w:kern w:val="0"/>
          <w:sz w:val="32"/>
          <w:szCs w:val="32"/>
          <w:lang w:val="en-US" w:eastAsia="zh-CN"/>
        </w:rPr>
        <w:t>28.9152</w:t>
      </w:r>
      <w:r>
        <w:rPr>
          <w:rFonts w:hint="default" w:ascii="Times New Roman" w:hAnsi="Times New Roman" w:eastAsia="方正仿宋_GBK" w:cs="Times New Roman"/>
          <w:kern w:val="0"/>
          <w:sz w:val="32"/>
          <w:szCs w:val="32"/>
        </w:rPr>
        <w:t>万元。</w:t>
      </w:r>
    </w:p>
    <w:p w14:paraId="7855BD23">
      <w:pPr>
        <w:ind w:firstLine="640" w:firstLineChars="200"/>
        <w:rPr>
          <w:rFonts w:ascii="黑体" w:eastAsia="黑体"/>
          <w:sz w:val="32"/>
          <w:szCs w:val="32"/>
        </w:rPr>
      </w:pPr>
      <w:r>
        <w:rPr>
          <w:rFonts w:hint="eastAsia" w:ascii="黑体" w:eastAsia="黑体"/>
          <w:sz w:val="32"/>
          <w:szCs w:val="32"/>
        </w:rPr>
        <w:t>五、一般公共预算当年拨款情况说明</w:t>
      </w:r>
    </w:p>
    <w:p w14:paraId="4E32C5A9">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0A9CA52">
      <w:pPr>
        <w:pStyle w:val="10"/>
        <w:spacing w:before="0" w:line="360" w:lineRule="auto"/>
        <w:ind w:firstLine="660"/>
        <w:rPr>
          <w:rFonts w:cs="仿宋_GB2312"/>
          <w:kern w:val="2"/>
          <w:sz w:val="32"/>
          <w:szCs w:val="32"/>
        </w:rPr>
      </w:pP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hint="eastAsia" w:cs="宋体"/>
          <w:sz w:val="32"/>
          <w:szCs w:val="32"/>
        </w:rPr>
        <w:t>2026年一般公共预算当年拨款</w:t>
      </w:r>
      <w:r>
        <w:rPr>
          <w:rFonts w:hint="eastAsia" w:ascii="Times New Roman" w:hAnsi="Times New Roman" w:eastAsia="仿宋_GB2312" w:cs="Times New Roman"/>
          <w:sz w:val="32"/>
          <w:szCs w:val="32"/>
        </w:rPr>
        <w:t>836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4393</w:t>
      </w:r>
      <w:r>
        <w:rPr>
          <w:rFonts w:hint="eastAsia" w:ascii="Times New Roman" w:hAnsi="Times New Roman" w:eastAsia="仿宋_GB2312" w:cs="Times New Roman"/>
          <w:sz w:val="32"/>
          <w:szCs w:val="32"/>
          <w:lang w:val="en-US" w:eastAsia="zh-CN"/>
        </w:rPr>
        <w:t>4</w:t>
      </w:r>
      <w:r>
        <w:rPr>
          <w:rFonts w:hint="eastAsia" w:cs="宋体"/>
          <w:sz w:val="32"/>
          <w:szCs w:val="32"/>
        </w:rPr>
        <w:t>万元，比2025年预算数增加</w:t>
      </w:r>
      <w:r>
        <w:rPr>
          <w:rFonts w:hint="eastAsia" w:ascii="仿宋_GB2312" w:eastAsia="仿宋_GB2312"/>
          <w:sz w:val="32"/>
          <w:szCs w:val="32"/>
          <w:lang w:val="en-US" w:eastAsia="zh-CN"/>
        </w:rPr>
        <w:t>550.550209</w:t>
      </w:r>
      <w:r>
        <w:rPr>
          <w:rFonts w:hint="eastAsia" w:cs="宋体"/>
          <w:sz w:val="32"/>
          <w:szCs w:val="32"/>
        </w:rPr>
        <w:t>万元，主要原因:</w:t>
      </w:r>
      <w:r>
        <w:rPr>
          <w:rFonts w:hint="eastAsia" w:ascii="仿宋_GB2312" w:eastAsia="仿宋_GB2312"/>
          <w:sz w:val="32"/>
          <w:szCs w:val="32"/>
          <w:lang w:val="en-US" w:eastAsia="zh-CN"/>
        </w:rPr>
        <w:t>2025年机构改革，</w:t>
      </w:r>
      <w:r>
        <w:rPr>
          <w:rFonts w:hint="eastAsia" w:ascii="Times New Roman" w:hAnsi="Times New Roman" w:eastAsia="方正仿宋_GBK" w:cs="Times New Roman"/>
          <w:kern w:val="0"/>
          <w:sz w:val="32"/>
          <w:szCs w:val="32"/>
          <w:lang w:val="en-US" w:eastAsia="zh-CN"/>
        </w:rPr>
        <w:t>人员增加</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导致</w:t>
      </w:r>
      <w:r>
        <w:rPr>
          <w:rFonts w:hint="default" w:ascii="Times New Roman" w:hAnsi="Times New Roman" w:eastAsia="方正仿宋_GBK" w:cs="Times New Roman"/>
          <w:kern w:val="0"/>
          <w:sz w:val="32"/>
          <w:szCs w:val="32"/>
        </w:rPr>
        <w:t>工资福利支出增加</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项常规项目经费</w:t>
      </w:r>
      <w:r>
        <w:rPr>
          <w:rFonts w:hint="eastAsia" w:ascii="Times New Roman" w:hAnsi="Times New Roman" w:eastAsia="方正仿宋_GBK" w:cs="Times New Roman"/>
          <w:kern w:val="0"/>
          <w:sz w:val="32"/>
          <w:szCs w:val="32"/>
          <w:lang w:val="en-US" w:eastAsia="zh-CN"/>
        </w:rPr>
        <w:t>252万元，</w:t>
      </w:r>
      <w:r>
        <w:rPr>
          <w:rFonts w:hint="default" w:ascii="Times New Roman" w:hAnsi="Times New Roman" w:eastAsia="方正仿宋_GBK" w:cs="Times New Roman"/>
          <w:kern w:val="0"/>
          <w:sz w:val="32"/>
          <w:szCs w:val="32"/>
          <w:lang w:val="en-US" w:eastAsia="zh-CN"/>
        </w:rPr>
        <w:t>新增</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lang w:val="en-US" w:eastAsia="zh-CN"/>
        </w:rPr>
        <w:t>项</w:t>
      </w:r>
      <w:r>
        <w:rPr>
          <w:rFonts w:hint="eastAsia" w:ascii="Times New Roman" w:hAnsi="Times New Roman" w:eastAsia="方正仿宋_GBK" w:cs="Times New Roman"/>
          <w:kern w:val="0"/>
          <w:sz w:val="32"/>
          <w:szCs w:val="32"/>
          <w:lang w:val="en-US" w:eastAsia="zh-CN"/>
        </w:rPr>
        <w:t>阶段</w:t>
      </w:r>
      <w:r>
        <w:rPr>
          <w:rFonts w:hint="default" w:ascii="Times New Roman" w:hAnsi="Times New Roman" w:eastAsia="方正仿宋_GBK" w:cs="Times New Roman"/>
          <w:kern w:val="0"/>
          <w:sz w:val="32"/>
          <w:szCs w:val="32"/>
          <w:lang w:val="en-US" w:eastAsia="zh-CN"/>
        </w:rPr>
        <w:t>项目经费</w:t>
      </w:r>
      <w:r>
        <w:rPr>
          <w:rFonts w:hint="eastAsia" w:ascii="Times New Roman" w:hAnsi="Times New Roman" w:eastAsia="方正仿宋_GBK" w:cs="Times New Roman"/>
          <w:kern w:val="0"/>
          <w:sz w:val="32"/>
          <w:szCs w:val="32"/>
          <w:lang w:val="en-US" w:eastAsia="zh-CN"/>
        </w:rPr>
        <w:t>58万元，</w:t>
      </w:r>
      <w:r>
        <w:rPr>
          <w:rFonts w:hint="default" w:ascii="Times New Roman" w:hAnsi="Times New Roman" w:eastAsia="方正仿宋_GBK" w:cs="Times New Roman"/>
          <w:kern w:val="0"/>
          <w:sz w:val="32"/>
          <w:szCs w:val="32"/>
          <w:lang w:val="en-US" w:eastAsia="zh-CN"/>
        </w:rPr>
        <w:t>相应经费增加</w:t>
      </w:r>
      <w:r>
        <w:rPr>
          <w:rFonts w:hint="default" w:ascii="Times New Roman" w:hAnsi="Times New Roman" w:eastAsia="方正仿宋_GBK" w:cs="Times New Roman"/>
          <w:kern w:val="0"/>
          <w:sz w:val="32"/>
          <w:szCs w:val="32"/>
        </w:rPr>
        <w:t>。</w:t>
      </w:r>
      <w:r>
        <w:rPr>
          <w:rFonts w:hint="eastAsia" w:cs="仿宋_GB2312"/>
          <w:kern w:val="2"/>
          <w:sz w:val="32"/>
          <w:szCs w:val="32"/>
        </w:rPr>
        <w:t>　</w:t>
      </w:r>
    </w:p>
    <w:p w14:paraId="6E6ABBBD">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left="638" w:leftChars="304" w:firstLine="0" w:firstLineChars="0"/>
        <w:textAlignment w:val="auto"/>
        <w:rPr>
          <w:rFonts w:hint="eastAsia" w:ascii="楷体" w:eastAsia="楷体" w:cs="宋体"/>
          <w:sz w:val="32"/>
          <w:szCs w:val="32"/>
        </w:rPr>
      </w:pPr>
      <w:r>
        <w:rPr>
          <w:rFonts w:hint="eastAsia" w:ascii="楷体" w:eastAsia="楷体" w:cs="宋体"/>
          <w:sz w:val="32"/>
          <w:szCs w:val="32"/>
        </w:rPr>
        <w:t>一般公共预算当年拨款结构情况</w:t>
      </w:r>
    </w:p>
    <w:p w14:paraId="673F5E7B">
      <w:pPr>
        <w:keepNext w:val="0"/>
        <w:keepLines w:val="0"/>
        <w:pageBreakBefore w:val="0"/>
        <w:widowControl/>
        <w:numPr>
          <w:ilvl w:val="0"/>
          <w:numId w:val="0"/>
        </w:numPr>
        <w:kinsoku/>
        <w:wordWrap/>
        <w:overflowPunct/>
        <w:topLinePunct w:val="0"/>
        <w:autoSpaceDE w:val="0"/>
        <w:autoSpaceDN/>
        <w:bidi w:val="0"/>
        <w:adjustRightInd/>
        <w:snapToGrid/>
        <w:spacing w:line="576" w:lineRule="exact"/>
        <w:ind w:firstLine="640" w:firstLineChars="200"/>
        <w:textAlignment w:val="auto"/>
        <w:rPr>
          <w:rFonts w:cs="仿宋_GB2312"/>
          <w:color w:val="auto"/>
          <w:kern w:val="2"/>
          <w:sz w:val="32"/>
          <w:szCs w:val="32"/>
        </w:rPr>
      </w:pPr>
      <w:r>
        <w:rPr>
          <w:rFonts w:hint="default" w:ascii="Times New Roman" w:hAnsi="Times New Roman" w:eastAsia="方正仿宋_GBK" w:cs="Times New Roman"/>
          <w:color w:val="auto"/>
          <w:kern w:val="0"/>
          <w:sz w:val="32"/>
          <w:szCs w:val="32"/>
        </w:rPr>
        <w:t>一般公共服务支出</w:t>
      </w:r>
      <w:r>
        <w:rPr>
          <w:rFonts w:hint="eastAsia" w:ascii="Times New Roman" w:hAnsi="Times New Roman" w:eastAsia="仿宋_GB2312" w:cs="Times New Roman"/>
          <w:color w:val="auto"/>
          <w:sz w:val="32"/>
          <w:szCs w:val="32"/>
          <w:lang w:val="en-US" w:eastAsia="zh-CN"/>
        </w:rPr>
        <w:t>726.172535</w:t>
      </w:r>
      <w:r>
        <w:rPr>
          <w:rFonts w:hint="default" w:ascii="Times New Roman" w:hAnsi="Times New Roman" w:eastAsia="方正仿宋_GBK" w:cs="Times New Roman"/>
          <w:color w:val="auto"/>
          <w:kern w:val="0"/>
          <w:sz w:val="32"/>
          <w:szCs w:val="32"/>
        </w:rPr>
        <w:t>万元，占</w:t>
      </w:r>
      <w:r>
        <w:rPr>
          <w:rFonts w:hint="eastAsia" w:ascii="Times New Roman" w:hAnsi="Times New Roman" w:eastAsia="方正仿宋_GBK" w:cs="Times New Roman"/>
          <w:color w:val="auto"/>
          <w:kern w:val="0"/>
          <w:sz w:val="32"/>
          <w:szCs w:val="32"/>
          <w:lang w:val="en-US" w:eastAsia="zh-CN"/>
        </w:rPr>
        <w:t>86.82</w:t>
      </w:r>
      <w:r>
        <w:rPr>
          <w:rFonts w:hint="default" w:ascii="Times New Roman" w:hAnsi="Times New Roman" w:eastAsia="方正仿宋_GBK" w:cs="Times New Roman"/>
          <w:color w:val="auto"/>
          <w:kern w:val="0"/>
          <w:sz w:val="32"/>
          <w:szCs w:val="32"/>
        </w:rPr>
        <w:t>%；社会保障和就业支出</w:t>
      </w:r>
      <w:r>
        <w:rPr>
          <w:rFonts w:hint="eastAsia" w:ascii="Times New Roman" w:hAnsi="Times New Roman" w:eastAsia="仿宋_GB2312" w:cs="仿宋_GB2312"/>
          <w:color w:val="auto"/>
          <w:sz w:val="32"/>
          <w:szCs w:val="32"/>
          <w:lang w:val="en-US" w:eastAsia="zh-CN"/>
        </w:rPr>
        <w:t>59.462472</w:t>
      </w:r>
      <w:r>
        <w:rPr>
          <w:rFonts w:hint="default" w:ascii="Times New Roman" w:hAnsi="Times New Roman" w:eastAsia="方正仿宋_GBK" w:cs="Times New Roman"/>
          <w:color w:val="auto"/>
          <w:kern w:val="0"/>
          <w:sz w:val="32"/>
          <w:szCs w:val="32"/>
        </w:rPr>
        <w:t>万元，占</w:t>
      </w:r>
      <w:r>
        <w:rPr>
          <w:rFonts w:hint="eastAsia" w:ascii="Times New Roman" w:hAnsi="Times New Roman" w:eastAsia="方正仿宋_GBK" w:cs="Times New Roman"/>
          <w:color w:val="auto"/>
          <w:kern w:val="0"/>
          <w:sz w:val="32"/>
          <w:szCs w:val="32"/>
          <w:lang w:val="en-US" w:eastAsia="zh-CN"/>
        </w:rPr>
        <w:t>7.11</w:t>
      </w:r>
      <w:r>
        <w:rPr>
          <w:rFonts w:hint="default" w:ascii="Times New Roman" w:hAnsi="Times New Roman" w:eastAsia="方正仿宋_GBK" w:cs="Times New Roman"/>
          <w:color w:val="auto"/>
          <w:kern w:val="0"/>
          <w:sz w:val="32"/>
          <w:szCs w:val="32"/>
        </w:rPr>
        <w:t>%；医疗卫生与计划生育支出</w:t>
      </w:r>
      <w:r>
        <w:rPr>
          <w:rFonts w:hint="eastAsia" w:ascii="Times New Roman" w:hAnsi="Times New Roman" w:eastAsia="方正仿宋_GBK" w:cs="Times New Roman"/>
          <w:color w:val="auto"/>
          <w:kern w:val="0"/>
          <w:sz w:val="32"/>
          <w:szCs w:val="32"/>
          <w:lang w:val="en-US" w:eastAsia="zh-CN"/>
        </w:rPr>
        <w:t>21.889133</w:t>
      </w:r>
      <w:r>
        <w:rPr>
          <w:rFonts w:hint="default" w:ascii="Times New Roman" w:hAnsi="Times New Roman" w:eastAsia="方正仿宋_GBK" w:cs="Times New Roman"/>
          <w:color w:val="auto"/>
          <w:kern w:val="0"/>
          <w:sz w:val="32"/>
          <w:szCs w:val="32"/>
        </w:rPr>
        <w:t>万元，占</w:t>
      </w:r>
      <w:r>
        <w:rPr>
          <w:rFonts w:hint="eastAsia" w:ascii="Times New Roman" w:hAnsi="Times New Roman" w:eastAsia="方正仿宋_GBK" w:cs="Times New Roman"/>
          <w:color w:val="auto"/>
          <w:kern w:val="0"/>
          <w:sz w:val="32"/>
          <w:szCs w:val="32"/>
          <w:lang w:val="en-US" w:eastAsia="zh-CN"/>
        </w:rPr>
        <w:t>2.62</w:t>
      </w:r>
      <w:r>
        <w:rPr>
          <w:rFonts w:hint="default" w:ascii="Times New Roman" w:hAnsi="Times New Roman" w:eastAsia="方正仿宋_GBK" w:cs="Times New Roman"/>
          <w:color w:val="auto"/>
          <w:kern w:val="0"/>
          <w:sz w:val="32"/>
          <w:szCs w:val="32"/>
        </w:rPr>
        <w:t>%；住房保障支出</w:t>
      </w:r>
      <w:r>
        <w:rPr>
          <w:rFonts w:hint="eastAsia" w:ascii="Times New Roman" w:hAnsi="Times New Roman" w:cs="仿宋_GB2312"/>
          <w:color w:val="auto"/>
          <w:sz w:val="32"/>
          <w:szCs w:val="32"/>
          <w:lang w:val="en-US" w:eastAsia="zh-CN"/>
        </w:rPr>
        <w:t>28.9152</w:t>
      </w:r>
      <w:r>
        <w:rPr>
          <w:rFonts w:hint="default" w:ascii="Times New Roman" w:hAnsi="Times New Roman" w:eastAsia="方正仿宋_GBK" w:cs="Times New Roman"/>
          <w:color w:val="auto"/>
          <w:kern w:val="0"/>
          <w:sz w:val="32"/>
          <w:szCs w:val="32"/>
        </w:rPr>
        <w:t>万元，占</w:t>
      </w:r>
      <w:r>
        <w:rPr>
          <w:rFonts w:hint="eastAsia" w:ascii="Times New Roman" w:hAnsi="Times New Roman" w:eastAsia="方正仿宋_GBK" w:cs="Times New Roman"/>
          <w:color w:val="auto"/>
          <w:kern w:val="0"/>
          <w:sz w:val="32"/>
          <w:szCs w:val="32"/>
          <w:lang w:val="en-US" w:eastAsia="zh-CN"/>
        </w:rPr>
        <w:t>3.45</w:t>
      </w:r>
      <w:r>
        <w:rPr>
          <w:rFonts w:hint="default" w:ascii="Times New Roman" w:hAnsi="Times New Roman" w:eastAsia="方正仿宋_GBK" w:cs="Times New Roman"/>
          <w:color w:val="auto"/>
          <w:kern w:val="0"/>
          <w:sz w:val="32"/>
          <w:szCs w:val="32"/>
        </w:rPr>
        <w:t>%。</w:t>
      </w:r>
    </w:p>
    <w:p w14:paraId="004FB5C6">
      <w:pPr>
        <w:pStyle w:val="10"/>
        <w:spacing w:before="0" w:line="360" w:lineRule="auto"/>
        <w:ind w:firstLine="660"/>
        <w:rPr>
          <w:rFonts w:ascii="楷体" w:eastAsia="楷体" w:cs="仿宋_GB2312"/>
          <w:color w:val="auto"/>
          <w:kern w:val="2"/>
          <w:sz w:val="32"/>
          <w:szCs w:val="32"/>
        </w:rPr>
      </w:pPr>
      <w:r>
        <w:rPr>
          <w:rFonts w:hint="eastAsia" w:ascii="楷体" w:eastAsia="楷体" w:cs="仿宋_GB2312"/>
          <w:color w:val="auto"/>
          <w:kern w:val="2"/>
          <w:sz w:val="32"/>
          <w:szCs w:val="32"/>
        </w:rPr>
        <w:t>（三）一般公共预算当年拨款具体使用情况</w:t>
      </w:r>
    </w:p>
    <w:p w14:paraId="4E7926EC">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仿宋_GB2312"/>
          <w:color w:val="auto"/>
          <w:sz w:val="32"/>
          <w:szCs w:val="32"/>
        </w:rPr>
        <w:t>．一般公共服务（</w:t>
      </w:r>
      <w:r>
        <w:rPr>
          <w:rFonts w:ascii="Times New Roman" w:hAnsi="Times New Roman" w:eastAsia="仿宋_GB2312" w:cs="Times New Roman"/>
          <w:color w:val="auto"/>
          <w:sz w:val="32"/>
          <w:szCs w:val="32"/>
        </w:rPr>
        <w:t>20125</w:t>
      </w:r>
      <w:r>
        <w:rPr>
          <w:rFonts w:hint="eastAsia" w:ascii="Times New Roman" w:hAnsi="Times New Roman" w:eastAsia="仿宋_GB2312" w:cs="Times New Roman"/>
          <w:color w:val="auto"/>
          <w:sz w:val="32"/>
          <w:szCs w:val="32"/>
          <w:lang w:val="en-US" w:eastAsia="zh-CN"/>
        </w:rPr>
        <w:t>01</w:t>
      </w:r>
      <w:r>
        <w:rPr>
          <w:rFonts w:hint="eastAsia" w:ascii="Times New Roman" w:hAnsi="Times New Roman" w:eastAsia="仿宋_GB2312" w:cs="仿宋_GB2312"/>
          <w:color w:val="auto"/>
          <w:sz w:val="32"/>
          <w:szCs w:val="32"/>
        </w:rPr>
        <w:t>）行政运行</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eastAsia="仿宋_GB2312" w:cs="仿宋_GB2312"/>
          <w:color w:val="auto"/>
          <w:sz w:val="32"/>
          <w:szCs w:val="32"/>
          <w:lang w:val="en-US" w:eastAsia="zh-CN"/>
        </w:rPr>
        <w:t>387.172535</w:t>
      </w:r>
      <w:r>
        <w:rPr>
          <w:rFonts w:hint="eastAsia" w:ascii="Times New Roman" w:hAnsi="Times New Roman" w:eastAsia="仿宋_GB2312" w:cs="仿宋_GB2312"/>
          <w:color w:val="auto"/>
          <w:sz w:val="32"/>
          <w:szCs w:val="32"/>
        </w:rPr>
        <w:t>万元，主要用于保障履行我</w:t>
      </w:r>
      <w:r>
        <w:rPr>
          <w:rFonts w:hint="eastAsia" w:ascii="Times New Roman" w:hAnsi="Times New Roman" w:eastAsia="仿宋_GB2312" w:cs="仿宋_GB2312"/>
          <w:color w:val="auto"/>
          <w:sz w:val="32"/>
          <w:szCs w:val="32"/>
          <w:lang w:eastAsia="zh-CN"/>
        </w:rPr>
        <w:t>局</w:t>
      </w:r>
      <w:r>
        <w:rPr>
          <w:rFonts w:hint="eastAsia" w:ascii="Times New Roman" w:hAnsi="Times New Roman" w:eastAsia="仿宋_GB2312" w:cs="仿宋_GB2312"/>
          <w:color w:val="auto"/>
          <w:sz w:val="32"/>
          <w:szCs w:val="32"/>
        </w:rPr>
        <w:t>职能所需的人员工资、单位基本运行等基本支出。</w:t>
      </w:r>
    </w:p>
    <w:p w14:paraId="0B3EF32C">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仿宋_GB2312"/>
          <w:color w:val="auto"/>
          <w:sz w:val="32"/>
          <w:szCs w:val="32"/>
        </w:rPr>
        <w:t>．一般公共服务（</w:t>
      </w:r>
      <w:r>
        <w:rPr>
          <w:rFonts w:hint="eastAsia" w:ascii="Times New Roman" w:hAnsi="Times New Roman" w:eastAsia="仿宋_GB2312" w:cs="Times New Roman"/>
          <w:color w:val="auto"/>
          <w:sz w:val="32"/>
          <w:szCs w:val="32"/>
          <w:lang w:val="en-US" w:eastAsia="zh-CN"/>
        </w:rPr>
        <w:t>2012502</w:t>
      </w:r>
      <w:r>
        <w:rPr>
          <w:rFonts w:hint="eastAsia" w:ascii="Times New Roman" w:hAnsi="Times New Roman" w:eastAsia="仿宋_GB2312" w:cs="仿宋_GB2312"/>
          <w:color w:val="auto"/>
          <w:sz w:val="32"/>
          <w:szCs w:val="32"/>
        </w:rPr>
        <w:t>）一般行政管理事务</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eastAsia="仿宋_GB2312" w:cs="仿宋_GB2312"/>
          <w:color w:val="auto"/>
          <w:sz w:val="32"/>
          <w:szCs w:val="32"/>
          <w:lang w:val="en-US" w:eastAsia="zh-CN"/>
        </w:rPr>
        <w:t>339</w:t>
      </w:r>
      <w:r>
        <w:rPr>
          <w:rFonts w:hint="eastAsia" w:ascii="Times New Roman" w:hAnsi="Times New Roman" w:eastAsia="仿宋_GB2312" w:cs="仿宋_GB2312"/>
          <w:color w:val="auto"/>
          <w:sz w:val="32"/>
          <w:szCs w:val="32"/>
        </w:rPr>
        <w:t>万元，主要用于</w:t>
      </w:r>
      <w:r>
        <w:rPr>
          <w:rFonts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招商引资宣传片摄制</w:t>
      </w:r>
      <w:r>
        <w:rPr>
          <w:rFonts w:hint="eastAsia" w:ascii="Times New Roman" w:hAnsi="Times New Roman" w:eastAsia="仿宋_GB2312" w:cs="仿宋_GB2312"/>
          <w:color w:val="auto"/>
          <w:sz w:val="32"/>
          <w:szCs w:val="32"/>
          <w:lang w:eastAsia="zh-CN"/>
        </w:rPr>
        <w:t>、办公用房维修、办公设备采购、阿坝州驻深圳联络处、州经济合作外事局成都办公点工作经费、州经济合作外事局成都办公点场地租金及管理费、招商引资推介活动、小分队精准招商项目经费、外事与港澳工作专项经费、物业管理费、法律顾问费</w:t>
      </w:r>
      <w:r>
        <w:rPr>
          <w:rFonts w:hint="eastAsia" w:ascii="Times New Roman" w:hAnsi="Times New Roman" w:eastAsia="仿宋_GB2312" w:cs="仿宋_GB2312"/>
          <w:color w:val="auto"/>
          <w:sz w:val="32"/>
          <w:szCs w:val="32"/>
        </w:rPr>
        <w:t>。</w:t>
      </w:r>
    </w:p>
    <w:p w14:paraId="7B1783E6">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w:t>
      </w:r>
      <w:r>
        <w:rPr>
          <w:rFonts w:hint="eastAsia" w:ascii="Times New Roman" w:hAnsi="Times New Roman" w:eastAsia="仿宋_GB2312" w:cs="仿宋_GB2312"/>
          <w:color w:val="auto"/>
          <w:sz w:val="32"/>
          <w:szCs w:val="32"/>
        </w:rPr>
        <w:t>．社会保障和就业（</w:t>
      </w:r>
      <w:r>
        <w:rPr>
          <w:rFonts w:hint="eastAsia" w:ascii="Times New Roman" w:hAnsi="Times New Roman" w:eastAsia="仿宋_GB2312" w:cs="Times New Roman"/>
          <w:color w:val="auto"/>
          <w:sz w:val="32"/>
          <w:szCs w:val="32"/>
          <w:lang w:val="en-US" w:eastAsia="zh-CN"/>
        </w:rPr>
        <w:t>30108</w:t>
      </w:r>
      <w:r>
        <w:rPr>
          <w:rFonts w:hint="eastAsia" w:ascii="Times New Roman" w:hAnsi="Times New Roman" w:eastAsia="仿宋_GB2312" w:cs="仿宋_GB2312"/>
          <w:color w:val="auto"/>
          <w:sz w:val="32"/>
          <w:szCs w:val="32"/>
        </w:rPr>
        <w:t>）机关事业单位基本养老保险缴费</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eastAsia="仿宋_GB2312" w:cs="仿宋_GB2312"/>
          <w:color w:val="auto"/>
          <w:sz w:val="32"/>
          <w:szCs w:val="32"/>
          <w:lang w:val="en-US" w:eastAsia="zh-CN"/>
        </w:rPr>
        <w:t>39.641648</w:t>
      </w:r>
      <w:r>
        <w:rPr>
          <w:rFonts w:hint="eastAsia" w:ascii="Times New Roman" w:hAnsi="Times New Roman" w:eastAsia="仿宋_GB2312" w:cs="仿宋_GB2312"/>
          <w:color w:val="auto"/>
          <w:sz w:val="32"/>
          <w:szCs w:val="32"/>
        </w:rPr>
        <w:t>万元，主要用于按照机关事业养老保险制度单位实际缴纳的基本养老保险费。</w:t>
      </w:r>
    </w:p>
    <w:p w14:paraId="4ACAD7F3">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 </w:t>
      </w:r>
      <w:r>
        <w:rPr>
          <w:rFonts w:hint="eastAsia" w:ascii="Times New Roman" w:hAnsi="Times New Roman" w:eastAsia="仿宋_GB2312" w:cs="仿宋_GB2312"/>
          <w:color w:val="auto"/>
          <w:sz w:val="32"/>
          <w:szCs w:val="32"/>
        </w:rPr>
        <w:t>社会保障和就业（</w:t>
      </w:r>
      <w:r>
        <w:rPr>
          <w:rFonts w:hint="eastAsia" w:ascii="Times New Roman" w:hAnsi="Times New Roman" w:eastAsia="仿宋_GB2312" w:cs="Times New Roman"/>
          <w:color w:val="auto"/>
          <w:sz w:val="32"/>
          <w:szCs w:val="32"/>
          <w:lang w:val="en-US" w:eastAsia="zh-CN"/>
        </w:rPr>
        <w:t>30109</w:t>
      </w:r>
      <w:r>
        <w:rPr>
          <w:rFonts w:hint="eastAsia" w:ascii="Times New Roman" w:hAnsi="Times New Roman" w:eastAsia="仿宋_GB2312" w:cs="仿宋_GB2312"/>
          <w:color w:val="auto"/>
          <w:sz w:val="32"/>
          <w:szCs w:val="32"/>
        </w:rPr>
        <w:t>）机关事业单位职业年金缴费</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eastAsia="仿宋_GB2312" w:cs="仿宋_GB2312"/>
          <w:color w:val="auto"/>
          <w:sz w:val="32"/>
          <w:szCs w:val="32"/>
          <w:lang w:val="en-US" w:eastAsia="zh-CN"/>
        </w:rPr>
        <w:t>19.820824</w:t>
      </w:r>
      <w:r>
        <w:rPr>
          <w:rFonts w:hint="eastAsia" w:ascii="Times New Roman" w:hAnsi="Times New Roman" w:eastAsia="仿宋_GB2312" w:cs="仿宋_GB2312"/>
          <w:color w:val="auto"/>
          <w:sz w:val="32"/>
          <w:szCs w:val="32"/>
        </w:rPr>
        <w:t>万元，主要用于</w:t>
      </w:r>
      <w:r>
        <w:rPr>
          <w:rFonts w:hint="eastAsia" w:ascii="Times New Roman" w:hAnsi="Times New Roman" w:eastAsia="方正仿宋_GBK" w:cs="Times New Roman"/>
          <w:color w:val="auto"/>
          <w:kern w:val="0"/>
          <w:sz w:val="32"/>
          <w:szCs w:val="32"/>
          <w:lang w:val="en-US" w:eastAsia="zh-CN"/>
        </w:rPr>
        <w:t>单位缴纳职工职业年金</w:t>
      </w:r>
      <w:r>
        <w:rPr>
          <w:rFonts w:hint="eastAsia" w:ascii="Times New Roman" w:hAnsi="Times New Roman" w:eastAsia="仿宋_GB2312" w:cs="仿宋_GB2312"/>
          <w:color w:val="auto"/>
          <w:sz w:val="32"/>
          <w:szCs w:val="32"/>
        </w:rPr>
        <w:t>。</w:t>
      </w:r>
    </w:p>
    <w:p w14:paraId="611EAF14">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 </w:t>
      </w:r>
      <w:r>
        <w:rPr>
          <w:rFonts w:hint="eastAsia" w:ascii="Times New Roman" w:hAnsi="Times New Roman" w:eastAsia="仿宋_GB2312" w:cs="仿宋_GB2312"/>
          <w:color w:val="auto"/>
          <w:sz w:val="32"/>
          <w:szCs w:val="32"/>
        </w:rPr>
        <w:t>医疗卫生与计划生育（</w:t>
      </w:r>
      <w:r>
        <w:rPr>
          <w:rFonts w:hint="eastAsia" w:ascii="Times New Roman" w:hAnsi="Times New Roman" w:eastAsia="仿宋_GB2312" w:cs="Times New Roman"/>
          <w:color w:val="auto"/>
          <w:sz w:val="32"/>
          <w:szCs w:val="32"/>
          <w:lang w:val="en-US" w:eastAsia="zh-CN"/>
        </w:rPr>
        <w:t>30110</w:t>
      </w:r>
      <w:r>
        <w:rPr>
          <w:rFonts w:hint="eastAsia" w:ascii="Times New Roman" w:hAnsi="Times New Roman" w:eastAsia="仿宋_GB2312" w:cs="仿宋_GB2312"/>
          <w:color w:val="auto"/>
          <w:sz w:val="32"/>
          <w:szCs w:val="32"/>
        </w:rPr>
        <w:t>）行政单位医疗补助</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eastAsia="仿宋_GB2312" w:cs="仿宋_GB2312"/>
          <w:color w:val="auto"/>
          <w:sz w:val="32"/>
          <w:szCs w:val="32"/>
          <w:lang w:val="en-US" w:eastAsia="zh-CN"/>
        </w:rPr>
        <w:t>17.345573</w:t>
      </w:r>
      <w:r>
        <w:rPr>
          <w:rFonts w:hint="eastAsia" w:ascii="Times New Roman" w:hAnsi="Times New Roman" w:eastAsia="仿宋_GB2312" w:cs="仿宋_GB2312"/>
          <w:color w:val="auto"/>
          <w:sz w:val="32"/>
          <w:szCs w:val="32"/>
        </w:rPr>
        <w:t>万元，主要用于</w:t>
      </w:r>
      <w:r>
        <w:rPr>
          <w:rFonts w:hint="eastAsia" w:ascii="Times New Roman" w:hAnsi="Times New Roman" w:eastAsia="方正仿宋_GBK" w:cs="Times New Roman"/>
          <w:color w:val="auto"/>
          <w:kern w:val="0"/>
          <w:sz w:val="32"/>
          <w:szCs w:val="32"/>
          <w:lang w:val="en-US" w:eastAsia="zh-CN"/>
        </w:rPr>
        <w:t>单位缴纳职工基本医疗保险</w:t>
      </w:r>
      <w:r>
        <w:rPr>
          <w:rFonts w:hint="eastAsia" w:ascii="Times New Roman" w:hAnsi="Times New Roman" w:eastAsia="仿宋_GB2312" w:cs="仿宋_GB2312"/>
          <w:color w:val="auto"/>
          <w:sz w:val="32"/>
          <w:szCs w:val="32"/>
        </w:rPr>
        <w:t>。</w:t>
      </w:r>
    </w:p>
    <w:p w14:paraId="6A28361F">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w:t>
      </w:r>
      <w:r>
        <w:rPr>
          <w:rFonts w:hint="eastAsia" w:ascii="Times New Roman" w:hAnsi="Times New Roman" w:eastAsia="仿宋_GB2312" w:cs="仿宋_GB2312"/>
          <w:color w:val="auto"/>
          <w:sz w:val="32"/>
          <w:szCs w:val="32"/>
        </w:rPr>
        <w:t>．医疗卫生与计划生育（</w:t>
      </w:r>
      <w:r>
        <w:rPr>
          <w:rFonts w:hint="eastAsia" w:ascii="Times New Roman" w:hAnsi="Times New Roman" w:eastAsia="仿宋_GB2312" w:cs="Times New Roman"/>
          <w:color w:val="auto"/>
          <w:sz w:val="32"/>
          <w:szCs w:val="32"/>
          <w:lang w:val="en-US" w:eastAsia="zh-CN"/>
        </w:rPr>
        <w:t>30111</w:t>
      </w:r>
      <w:r>
        <w:rPr>
          <w:rFonts w:hint="eastAsia" w:ascii="Times New Roman" w:hAnsi="Times New Roman" w:eastAsia="仿宋_GB2312" w:cs="仿宋_GB2312"/>
          <w:color w:val="auto"/>
          <w:sz w:val="32"/>
          <w:szCs w:val="32"/>
        </w:rPr>
        <w:t>）公务员医疗补助</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eastAsia="仿宋_GB2312" w:cs="仿宋_GB2312"/>
          <w:color w:val="auto"/>
          <w:sz w:val="32"/>
          <w:szCs w:val="32"/>
          <w:lang w:val="en-US" w:eastAsia="zh-CN"/>
        </w:rPr>
        <w:t>4.54356</w:t>
      </w:r>
      <w:r>
        <w:rPr>
          <w:rFonts w:hint="eastAsia" w:ascii="Times New Roman" w:hAnsi="Times New Roman" w:eastAsia="仿宋_GB2312" w:cs="仿宋_GB2312"/>
          <w:color w:val="auto"/>
          <w:sz w:val="32"/>
          <w:szCs w:val="32"/>
        </w:rPr>
        <w:t>万元，主要用于</w:t>
      </w:r>
      <w:r>
        <w:rPr>
          <w:rFonts w:hint="eastAsia" w:ascii="Times New Roman" w:hAnsi="Times New Roman" w:eastAsia="方正仿宋_GBK" w:cs="Times New Roman"/>
          <w:color w:val="auto"/>
          <w:kern w:val="0"/>
          <w:sz w:val="32"/>
          <w:szCs w:val="32"/>
          <w:lang w:val="en-US" w:eastAsia="zh-CN"/>
        </w:rPr>
        <w:t>单位缴纳职工公务员医疗补助</w:t>
      </w:r>
      <w:r>
        <w:rPr>
          <w:rFonts w:hint="eastAsia" w:ascii="Times New Roman" w:hAnsi="Times New Roman" w:eastAsia="仿宋_GB2312" w:cs="仿宋_GB2312"/>
          <w:color w:val="auto"/>
          <w:sz w:val="32"/>
          <w:szCs w:val="32"/>
        </w:rPr>
        <w:t>。</w:t>
      </w:r>
    </w:p>
    <w:p w14:paraId="68448EC7">
      <w:pPr>
        <w:pStyle w:val="10"/>
        <w:spacing w:before="0" w:line="360" w:lineRule="auto"/>
        <w:ind w:firstLine="660"/>
        <w:rPr>
          <w:rFonts w:hint="eastAsia" w:ascii="Times New Roman" w:hAnsi="Times New Roman" w:eastAsia="仿宋_GB2312" w:cs="仿宋_GB2312"/>
          <w:color w:val="auto"/>
          <w:sz w:val="32"/>
          <w:szCs w:val="32"/>
        </w:rPr>
      </w:pPr>
      <w:r>
        <w:rPr>
          <w:rFonts w:ascii="Times New Roman" w:hAnsi="Times New Roman" w:eastAsia="仿宋_GB2312" w:cs="Times New Roman"/>
          <w:color w:val="auto"/>
          <w:sz w:val="32"/>
          <w:szCs w:val="32"/>
        </w:rPr>
        <w:t xml:space="preserve">7. </w:t>
      </w:r>
      <w:r>
        <w:rPr>
          <w:rFonts w:hint="eastAsia" w:ascii="Times New Roman" w:hAnsi="Times New Roman" w:eastAsia="仿宋_GB2312" w:cs="仿宋_GB2312"/>
          <w:color w:val="auto"/>
          <w:sz w:val="32"/>
          <w:szCs w:val="32"/>
        </w:rPr>
        <w:t>住房保障（</w:t>
      </w:r>
      <w:r>
        <w:rPr>
          <w:rFonts w:hint="eastAsia" w:ascii="Times New Roman" w:hAnsi="Times New Roman" w:cs="Times New Roman"/>
          <w:color w:val="auto"/>
          <w:sz w:val="32"/>
          <w:szCs w:val="32"/>
          <w:lang w:val="en-US" w:eastAsia="zh-CN"/>
        </w:rPr>
        <w:t>30113</w:t>
      </w:r>
      <w:r>
        <w:rPr>
          <w:rFonts w:hint="eastAsia" w:ascii="Times New Roman" w:hAnsi="Times New Roman" w:eastAsia="仿宋_GB2312" w:cs="仿宋_GB2312"/>
          <w:color w:val="auto"/>
          <w:sz w:val="32"/>
          <w:szCs w:val="32"/>
        </w:rPr>
        <w:t>）住房公积金</w:t>
      </w:r>
      <w:r>
        <w:rPr>
          <w:rFonts w:ascii="Times New Roman" w:hAnsi="Times New Roman" w:eastAsia="仿宋_GB2312" w:cs="Times New Roman"/>
          <w:color w:val="auto"/>
          <w:sz w:val="32"/>
          <w:szCs w:val="32"/>
        </w:rPr>
        <w:t>202</w:t>
      </w:r>
      <w:r>
        <w:rPr>
          <w:rFonts w:hint="eastAsia" w:ascii="Times New Roman" w:hAnsi="Times New Roman" w:cs="Times New Roman"/>
          <w:color w:val="auto"/>
          <w:sz w:val="32"/>
          <w:szCs w:val="32"/>
          <w:lang w:val="en-US" w:eastAsia="zh-CN"/>
        </w:rPr>
        <w:t>6</w:t>
      </w:r>
      <w:r>
        <w:rPr>
          <w:rFonts w:hint="eastAsia" w:ascii="Times New Roman" w:hAnsi="Times New Roman" w:eastAsia="仿宋_GB2312" w:cs="仿宋_GB2312"/>
          <w:color w:val="auto"/>
          <w:sz w:val="32"/>
          <w:szCs w:val="32"/>
        </w:rPr>
        <w:t>年预算数为</w:t>
      </w:r>
      <w:r>
        <w:rPr>
          <w:rFonts w:hint="eastAsia" w:ascii="Times New Roman" w:hAnsi="Times New Roman" w:cs="仿宋_GB2312"/>
          <w:color w:val="auto"/>
          <w:sz w:val="32"/>
          <w:szCs w:val="32"/>
          <w:lang w:val="en-US" w:eastAsia="zh-CN"/>
        </w:rPr>
        <w:t>28.9152</w:t>
      </w:r>
      <w:r>
        <w:rPr>
          <w:rFonts w:hint="eastAsia" w:ascii="Times New Roman" w:hAnsi="Times New Roman" w:eastAsia="仿宋_GB2312" w:cs="仿宋_GB2312"/>
          <w:color w:val="auto"/>
          <w:sz w:val="32"/>
          <w:szCs w:val="32"/>
        </w:rPr>
        <w:t>万元，主要用于：按人社、财政部门规定的基本工资和津贴补贴以及规定的比例为职工缴纳的住房公积金。</w:t>
      </w:r>
    </w:p>
    <w:p w14:paraId="5752173B">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7AA2B9D">
      <w:pPr>
        <w:pStyle w:val="10"/>
        <w:spacing w:before="0" w:line="360" w:lineRule="auto"/>
        <w:ind w:firstLine="640" w:firstLineChars="200"/>
        <w:rPr>
          <w:rFonts w:cs="仿宋_GB2312"/>
          <w:kern w:val="2"/>
          <w:sz w:val="32"/>
          <w:szCs w:val="32"/>
        </w:rPr>
      </w:pP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hint="eastAsia" w:cs="仿宋_GB2312"/>
          <w:kern w:val="2"/>
          <w:sz w:val="32"/>
          <w:szCs w:val="32"/>
        </w:rPr>
        <w:t>2026年一般公共预算基本支出</w:t>
      </w:r>
      <w:r>
        <w:rPr>
          <w:rFonts w:hint="eastAsia" w:ascii="Times New Roman" w:hAnsi="Times New Roman" w:cs="Times New Roman"/>
          <w:sz w:val="32"/>
          <w:szCs w:val="32"/>
          <w:lang w:val="en-US" w:eastAsia="zh-CN"/>
        </w:rPr>
        <w:t>497.43934</w:t>
      </w:r>
      <w:r>
        <w:rPr>
          <w:rFonts w:hint="eastAsia" w:cs="仿宋_GB2312"/>
          <w:kern w:val="2"/>
          <w:sz w:val="32"/>
          <w:szCs w:val="32"/>
        </w:rPr>
        <w:t>万元，其中：人员经费</w:t>
      </w:r>
      <w:r>
        <w:rPr>
          <w:rFonts w:hint="eastAsia" w:cs="仿宋_GB2312"/>
          <w:kern w:val="2"/>
          <w:sz w:val="32"/>
          <w:szCs w:val="32"/>
          <w:lang w:val="en-US" w:eastAsia="zh-CN"/>
        </w:rPr>
        <w:t>430.961803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89D811C">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66.477537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32F995B">
      <w:pPr>
        <w:pStyle w:val="10"/>
        <w:spacing w:before="0" w:line="360" w:lineRule="auto"/>
        <w:ind w:firstLine="640" w:firstLineChars="200"/>
        <w:rPr>
          <w:rFonts w:cs="仿宋_GB2312"/>
          <w:kern w:val="2"/>
          <w:sz w:val="32"/>
          <w:szCs w:val="32"/>
        </w:rPr>
      </w:pP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hint="eastAsia" w:cs="仿宋_GB2312"/>
          <w:kern w:val="2"/>
          <w:sz w:val="32"/>
          <w:szCs w:val="32"/>
        </w:rPr>
        <w:t>2026年“三公”经费财政拨款预算数</w:t>
      </w:r>
      <w:r>
        <w:rPr>
          <w:rFonts w:hint="eastAsia" w:cs="仿宋_GB2312"/>
          <w:kern w:val="2"/>
          <w:sz w:val="32"/>
          <w:szCs w:val="32"/>
          <w:lang w:val="en-US" w:eastAsia="zh-CN"/>
        </w:rPr>
        <w:t>22.708697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color w:val="000000"/>
          <w:kern w:val="2"/>
          <w:sz w:val="32"/>
          <w:szCs w:val="32"/>
        </w:rPr>
        <w:t>1</w:t>
      </w:r>
      <w:r>
        <w:rPr>
          <w:rFonts w:hint="eastAsia" w:cs="仿宋_GB2312"/>
          <w:color w:val="000000"/>
          <w:kern w:val="2"/>
          <w:sz w:val="32"/>
          <w:szCs w:val="32"/>
          <w:lang w:val="en-US" w:eastAsia="zh-CN"/>
        </w:rPr>
        <w:t>.</w:t>
      </w:r>
      <w:r>
        <w:rPr>
          <w:rFonts w:hint="eastAsia" w:cs="仿宋_GB2312"/>
          <w:color w:val="000000"/>
          <w:kern w:val="2"/>
          <w:sz w:val="32"/>
          <w:szCs w:val="32"/>
        </w:rPr>
        <w:t>108697</w:t>
      </w:r>
      <w:r>
        <w:rPr>
          <w:rFonts w:hint="eastAsia" w:cs="仿宋_GB2312"/>
          <w:kern w:val="2"/>
          <w:sz w:val="32"/>
          <w:szCs w:val="32"/>
        </w:rPr>
        <w:t>万元，公务用车购置及运行维护费21</w:t>
      </w:r>
      <w:r>
        <w:rPr>
          <w:rFonts w:hint="eastAsia" w:cs="仿宋_GB2312"/>
          <w:kern w:val="2"/>
          <w:sz w:val="32"/>
          <w:szCs w:val="32"/>
          <w:lang w:val="en-US" w:eastAsia="zh-CN"/>
        </w:rPr>
        <w:t>.</w:t>
      </w:r>
      <w:r>
        <w:rPr>
          <w:rFonts w:hint="eastAsia" w:cs="仿宋_GB2312"/>
          <w:kern w:val="2"/>
          <w:sz w:val="32"/>
          <w:szCs w:val="32"/>
        </w:rPr>
        <w:t>6万元。</w:t>
      </w:r>
    </w:p>
    <w:p w14:paraId="62F74867">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2A336382">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2026年公务接待经费1</w:t>
      </w:r>
      <w:r>
        <w:rPr>
          <w:rFonts w:hint="eastAsia" w:cs="仿宋_GB2312"/>
          <w:color w:val="000000"/>
          <w:kern w:val="2"/>
          <w:sz w:val="32"/>
          <w:szCs w:val="32"/>
          <w:lang w:val="en-US" w:eastAsia="zh-CN"/>
        </w:rPr>
        <w:t>.</w:t>
      </w:r>
      <w:r>
        <w:rPr>
          <w:rFonts w:hint="eastAsia" w:cs="仿宋_GB2312"/>
          <w:color w:val="000000"/>
          <w:kern w:val="2"/>
          <w:sz w:val="32"/>
          <w:szCs w:val="32"/>
        </w:rPr>
        <w:t>108697万元。较2025年预算经费</w:t>
      </w:r>
      <w:r>
        <w:rPr>
          <w:rFonts w:hint="eastAsia" w:cs="宋体"/>
          <w:sz w:val="32"/>
          <w:szCs w:val="32"/>
        </w:rPr>
        <w:t>增加</w:t>
      </w:r>
      <w:r>
        <w:rPr>
          <w:rFonts w:hint="eastAsia" w:cs="仿宋_GB2312"/>
          <w:color w:val="000000"/>
          <w:kern w:val="2"/>
          <w:sz w:val="32"/>
          <w:szCs w:val="32"/>
          <w:lang w:val="en-US" w:eastAsia="zh-CN"/>
        </w:rPr>
        <w:t>0.538697</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94.51</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ascii="仿宋_GB2312" w:eastAsia="仿宋_GB2312"/>
          <w:sz w:val="32"/>
          <w:szCs w:val="32"/>
          <w:lang w:val="en-US" w:eastAsia="zh-CN"/>
        </w:rPr>
        <w:t>2025年机构改革</w:t>
      </w:r>
      <w:r>
        <w:rPr>
          <w:rFonts w:hint="eastAsia"/>
          <w:sz w:val="32"/>
          <w:szCs w:val="32"/>
          <w:lang w:val="en-US" w:eastAsia="zh-CN"/>
        </w:rPr>
        <w:t>后</w:t>
      </w:r>
      <w:r>
        <w:rPr>
          <w:rFonts w:hint="eastAsia" w:ascii="仿宋_GB2312" w:eastAsia="仿宋_GB2312"/>
          <w:sz w:val="32"/>
          <w:szCs w:val="32"/>
          <w:lang w:val="en-US" w:eastAsia="zh-CN"/>
        </w:rPr>
        <w:t>，</w:t>
      </w:r>
      <w:r>
        <w:rPr>
          <w:rFonts w:hint="eastAsia" w:ascii="Times New Roman" w:hAnsi="Times New Roman" w:eastAsia="方正仿宋_GBK" w:cs="Times New Roman"/>
          <w:kern w:val="0"/>
          <w:sz w:val="32"/>
          <w:szCs w:val="32"/>
          <w:lang w:val="en-US" w:eastAsia="zh-CN"/>
        </w:rPr>
        <w:t>人员增加</w:t>
      </w:r>
      <w:r>
        <w:rPr>
          <w:rFonts w:hint="eastAsia" w:ascii="Times New Roman" w:hAnsi="Times New Roman" w:eastAsia="方正仿宋_GBK" w:cs="Times New Roman"/>
          <w:kern w:val="0"/>
          <w:sz w:val="32"/>
          <w:szCs w:val="32"/>
          <w:lang w:eastAsia="zh-CN"/>
        </w:rPr>
        <w:t>。</w:t>
      </w:r>
    </w:p>
    <w:p w14:paraId="4F5C05B6">
      <w:pPr>
        <w:pStyle w:val="10"/>
        <w:spacing w:before="0" w:line="360" w:lineRule="auto"/>
        <w:ind w:firstLine="640" w:firstLineChars="200"/>
        <w:rPr>
          <w:rFonts w:hint="eastAsia" w:ascii="Times New Roman" w:hAnsi="Times New Roman" w:eastAsia="方正仿宋_GBK" w:cs="Times New Roman"/>
          <w:kern w:val="0"/>
          <w:sz w:val="32"/>
          <w:szCs w:val="32"/>
          <w:lang w:eastAsia="zh-CN"/>
        </w:rPr>
      </w:pPr>
      <w:r>
        <w:rPr>
          <w:rFonts w:hint="eastAsia" w:cs="仿宋_GB2312"/>
          <w:color w:val="000000"/>
          <w:kern w:val="2"/>
          <w:sz w:val="32"/>
          <w:szCs w:val="32"/>
        </w:rPr>
        <w:t>（三）2026年公务用车购置及运行维护费</w:t>
      </w:r>
      <w:r>
        <w:rPr>
          <w:rFonts w:hint="eastAsia" w:cs="仿宋_GB2312"/>
          <w:kern w:val="2"/>
          <w:sz w:val="32"/>
          <w:szCs w:val="32"/>
        </w:rPr>
        <w:t>21</w:t>
      </w:r>
      <w:r>
        <w:rPr>
          <w:rFonts w:hint="eastAsia" w:cs="仿宋_GB2312"/>
          <w:kern w:val="2"/>
          <w:sz w:val="32"/>
          <w:szCs w:val="32"/>
          <w:lang w:val="en-US" w:eastAsia="zh-CN"/>
        </w:rPr>
        <w:t>.</w:t>
      </w:r>
      <w:r>
        <w:rPr>
          <w:rFonts w:hint="eastAsia" w:cs="仿宋_GB2312"/>
          <w:kern w:val="2"/>
          <w:sz w:val="32"/>
          <w:szCs w:val="32"/>
        </w:rPr>
        <w:t>6</w:t>
      </w:r>
      <w:r>
        <w:rPr>
          <w:rFonts w:hint="eastAsia" w:cs="仿宋_GB2312"/>
          <w:color w:val="000000"/>
          <w:kern w:val="2"/>
          <w:sz w:val="32"/>
          <w:szCs w:val="32"/>
        </w:rPr>
        <w:t>万元。较2025年预算经费</w:t>
      </w:r>
      <w:r>
        <w:rPr>
          <w:rFonts w:hint="eastAsia" w:cs="宋体"/>
          <w:sz w:val="32"/>
          <w:szCs w:val="32"/>
        </w:rPr>
        <w:t>增加</w:t>
      </w:r>
      <w:r>
        <w:rPr>
          <w:rFonts w:hint="eastAsia" w:cs="仿宋_GB2312"/>
          <w:color w:val="000000"/>
          <w:kern w:val="2"/>
          <w:sz w:val="32"/>
          <w:szCs w:val="32"/>
          <w:lang w:val="en-US" w:eastAsia="zh-CN"/>
        </w:rPr>
        <w:t>0.58</w:t>
      </w:r>
      <w:r>
        <w:rPr>
          <w:rFonts w:hint="eastAsia" w:cs="仿宋_GB2312"/>
          <w:color w:val="000000"/>
          <w:kern w:val="2"/>
          <w:sz w:val="32"/>
          <w:szCs w:val="32"/>
        </w:rPr>
        <w:t>万元，增长</w:t>
      </w:r>
      <w:r>
        <w:rPr>
          <w:rFonts w:hint="eastAsia" w:cs="仿宋_GB2312"/>
          <w:color w:val="000000"/>
          <w:kern w:val="2"/>
          <w:sz w:val="32"/>
          <w:szCs w:val="32"/>
          <w:lang w:val="en-US" w:eastAsia="zh-CN"/>
        </w:rPr>
        <w:t>2.76</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ascii="仿宋_GB2312" w:eastAsia="仿宋_GB2312"/>
          <w:sz w:val="32"/>
          <w:szCs w:val="32"/>
          <w:lang w:val="en-US" w:eastAsia="zh-CN"/>
        </w:rPr>
        <w:t>2025年机构改革</w:t>
      </w:r>
      <w:r>
        <w:rPr>
          <w:rFonts w:hint="eastAsia"/>
          <w:sz w:val="32"/>
          <w:szCs w:val="32"/>
          <w:lang w:val="en-US" w:eastAsia="zh-CN"/>
        </w:rPr>
        <w:t>后</w:t>
      </w:r>
      <w:r>
        <w:rPr>
          <w:rFonts w:hint="eastAsia" w:ascii="仿宋_GB2312" w:eastAsia="仿宋_GB2312"/>
          <w:sz w:val="32"/>
          <w:szCs w:val="32"/>
          <w:lang w:val="en-US" w:eastAsia="zh-CN"/>
        </w:rPr>
        <w:t>，</w:t>
      </w:r>
      <w:r>
        <w:rPr>
          <w:rFonts w:hint="eastAsia" w:ascii="Times New Roman" w:hAnsi="Times New Roman" w:eastAsia="方正仿宋_GBK" w:cs="Times New Roman"/>
          <w:kern w:val="0"/>
          <w:sz w:val="32"/>
          <w:szCs w:val="32"/>
          <w:lang w:val="en-US" w:eastAsia="zh-CN"/>
        </w:rPr>
        <w:t>车辆增加</w:t>
      </w:r>
      <w:r>
        <w:rPr>
          <w:rFonts w:hint="eastAsia" w:ascii="Times New Roman" w:hAnsi="Times New Roman" w:eastAsia="方正仿宋_GBK" w:cs="Times New Roman"/>
          <w:kern w:val="0"/>
          <w:sz w:val="32"/>
          <w:szCs w:val="32"/>
          <w:lang w:eastAsia="zh-CN"/>
        </w:rPr>
        <w:t>。</w:t>
      </w:r>
    </w:p>
    <w:p w14:paraId="4AE8A5B8">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9D2404A">
      <w:pPr>
        <w:pStyle w:val="10"/>
        <w:spacing w:before="0" w:line="360" w:lineRule="auto"/>
        <w:ind w:firstLine="640" w:firstLineChars="200"/>
        <w:rPr>
          <w:rFonts w:cs="仿宋_GB2312"/>
          <w:kern w:val="2"/>
          <w:sz w:val="32"/>
          <w:szCs w:val="32"/>
        </w:rPr>
      </w:pPr>
      <w:r>
        <w:rPr>
          <w:rFonts w:hint="eastAsia" w:ascii="Times New Roman" w:hAnsi="Times New Roman" w:eastAsia="仿宋_GB2312" w:cs="仿宋_GB2312"/>
          <w:sz w:val="32"/>
          <w:szCs w:val="32"/>
        </w:rPr>
        <w:t>阿坝州</w:t>
      </w:r>
      <w:r>
        <w:rPr>
          <w:rFonts w:hint="eastAsia" w:ascii="Times New Roman" w:hAnsi="Times New Roman" w:eastAsia="仿宋_GB2312" w:cs="仿宋_GB2312"/>
          <w:sz w:val="32"/>
          <w:szCs w:val="32"/>
          <w:lang w:eastAsia="zh-CN"/>
        </w:rPr>
        <w:t>经济合作和外事局</w:t>
      </w:r>
      <w:r>
        <w:rPr>
          <w:rFonts w:hint="eastAsia" w:cs="仿宋_GB2312"/>
          <w:kern w:val="2"/>
          <w:sz w:val="32"/>
          <w:szCs w:val="32"/>
        </w:rPr>
        <w:t>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rPr>
        <w:t>增加</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53A279C1">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9657F88">
      <w:pPr>
        <w:pStyle w:val="10"/>
        <w:spacing w:before="0" w:line="360" w:lineRule="auto"/>
        <w:ind w:firstLine="640" w:firstLineChars="200"/>
        <w:rPr>
          <w:rFonts w:cs="仿宋_GB2312"/>
          <w:color w:val="auto"/>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Times New Roman" w:hAnsi="Times New Roman" w:eastAsia="仿宋_GB2312" w:cs="仿宋_GB2312"/>
          <w:color w:val="auto"/>
          <w:sz w:val="32"/>
          <w:szCs w:val="32"/>
        </w:rPr>
        <w:t>阿坝州</w:t>
      </w:r>
      <w:r>
        <w:rPr>
          <w:rFonts w:hint="eastAsia" w:ascii="Times New Roman" w:hAnsi="Times New Roman" w:eastAsia="仿宋_GB2312" w:cs="仿宋_GB2312"/>
          <w:color w:val="auto"/>
          <w:sz w:val="32"/>
          <w:szCs w:val="32"/>
          <w:lang w:eastAsia="zh-CN"/>
        </w:rPr>
        <w:t>经济合作和外事局</w:t>
      </w:r>
      <w:r>
        <w:rPr>
          <w:rFonts w:hint="eastAsia" w:cs="仿宋_GB2312"/>
          <w:color w:val="auto"/>
          <w:kern w:val="2"/>
          <w:sz w:val="32"/>
          <w:szCs w:val="32"/>
        </w:rPr>
        <w:t>2026年机关运行经费财政拨款预算为</w:t>
      </w:r>
      <w:r>
        <w:rPr>
          <w:rFonts w:hint="eastAsia" w:ascii="Times New Roman" w:hAnsi="Times New Roman" w:cs="Times New Roman"/>
          <w:color w:val="auto"/>
          <w:sz w:val="32"/>
          <w:szCs w:val="32"/>
          <w:lang w:val="en-US" w:eastAsia="zh-CN"/>
        </w:rPr>
        <w:t>66.477537</w:t>
      </w:r>
      <w:r>
        <w:rPr>
          <w:rFonts w:hint="eastAsia" w:cs="仿宋_GB2312"/>
          <w:color w:val="auto"/>
          <w:kern w:val="2"/>
          <w:sz w:val="32"/>
          <w:szCs w:val="32"/>
        </w:rPr>
        <w:t>万元，比2025年预算</w:t>
      </w:r>
      <w:r>
        <w:rPr>
          <w:rFonts w:hint="eastAsia" w:cs="宋体"/>
          <w:color w:val="auto"/>
          <w:sz w:val="32"/>
          <w:szCs w:val="32"/>
        </w:rPr>
        <w:t>增加</w:t>
      </w:r>
      <w:r>
        <w:rPr>
          <w:rFonts w:hint="eastAsia" w:cs="仿宋_GB2312"/>
          <w:color w:val="auto"/>
          <w:kern w:val="2"/>
          <w:sz w:val="32"/>
          <w:szCs w:val="32"/>
          <w:lang w:val="en-US" w:eastAsia="zh-CN"/>
        </w:rPr>
        <w:t>29.097537</w:t>
      </w:r>
      <w:r>
        <w:rPr>
          <w:rFonts w:hint="eastAsia" w:cs="仿宋_GB2312"/>
          <w:color w:val="auto"/>
          <w:kern w:val="2"/>
          <w:sz w:val="32"/>
          <w:szCs w:val="32"/>
        </w:rPr>
        <w:t>万元，</w:t>
      </w:r>
      <w:r>
        <w:rPr>
          <w:rFonts w:hint="eastAsia" w:cs="仿宋_GB2312"/>
          <w:color w:val="auto"/>
          <w:kern w:val="2"/>
          <w:sz w:val="32"/>
          <w:szCs w:val="32"/>
          <w:lang w:eastAsia="zh-CN"/>
        </w:rPr>
        <w:t>增加</w:t>
      </w:r>
      <w:r>
        <w:rPr>
          <w:rFonts w:hint="eastAsia" w:cs="仿宋_GB2312"/>
          <w:color w:val="auto"/>
          <w:kern w:val="2"/>
          <w:sz w:val="32"/>
          <w:szCs w:val="32"/>
          <w:lang w:val="en-US" w:eastAsia="zh-CN"/>
        </w:rPr>
        <w:t>77.84</w:t>
      </w:r>
      <w:r>
        <w:rPr>
          <w:rFonts w:hint="eastAsia" w:cs="仿宋_GB2312"/>
          <w:color w:val="auto"/>
          <w:kern w:val="2"/>
          <w:sz w:val="32"/>
          <w:szCs w:val="32"/>
        </w:rPr>
        <w:t xml:space="preserve">%。 </w:t>
      </w:r>
    </w:p>
    <w:p w14:paraId="4E7539F6">
      <w:pPr>
        <w:pStyle w:val="10"/>
        <w:spacing w:before="0" w:line="360" w:lineRule="auto"/>
        <w:ind w:firstLine="640" w:firstLineChars="200"/>
        <w:rPr>
          <w:rFonts w:hint="default" w:eastAsia="仿宋_GB2312" w:cs="仿宋_GB2312"/>
          <w:color w:val="auto"/>
          <w:kern w:val="2"/>
          <w:sz w:val="32"/>
          <w:szCs w:val="32"/>
          <w:lang w:val="en-US" w:eastAsia="zh-CN"/>
        </w:rPr>
      </w:pPr>
      <w:r>
        <w:rPr>
          <w:rFonts w:hint="eastAsia" w:ascii="楷体" w:eastAsia="楷体" w:cs="仿宋_GB2312"/>
          <w:color w:val="auto"/>
          <w:kern w:val="2"/>
          <w:sz w:val="32"/>
          <w:szCs w:val="32"/>
        </w:rPr>
        <w:t>（二）政府采购情况</w:t>
      </w:r>
      <w:r>
        <w:rPr>
          <w:rFonts w:hint="eastAsia" w:cs="仿宋_GB2312"/>
          <w:color w:val="auto"/>
          <w:kern w:val="2"/>
          <w:sz w:val="32"/>
          <w:szCs w:val="32"/>
        </w:rPr>
        <w:br w:type="textWrapping"/>
      </w:r>
      <w:r>
        <w:rPr>
          <w:rFonts w:hint="eastAsia" w:cs="仿宋_GB2312"/>
          <w:color w:val="auto"/>
          <w:kern w:val="2"/>
          <w:sz w:val="32"/>
          <w:szCs w:val="32"/>
        </w:rPr>
        <w:t>　　 2026年部门（单位）安排政府采购预算</w:t>
      </w:r>
      <w:r>
        <w:rPr>
          <w:rFonts w:hint="eastAsia" w:cs="仿宋_GB2312"/>
          <w:color w:val="auto"/>
          <w:kern w:val="2"/>
          <w:sz w:val="32"/>
          <w:szCs w:val="32"/>
          <w:lang w:val="en-US" w:eastAsia="zh-CN"/>
        </w:rPr>
        <w:t>58</w:t>
      </w:r>
      <w:r>
        <w:rPr>
          <w:rFonts w:hint="eastAsia" w:cs="仿宋_GB2312"/>
          <w:color w:val="auto"/>
          <w:kern w:val="2"/>
          <w:sz w:val="32"/>
          <w:szCs w:val="32"/>
        </w:rPr>
        <w:t>万元，主要用于办公用房维修</w:t>
      </w:r>
      <w:r>
        <w:rPr>
          <w:rFonts w:hint="eastAsia" w:cs="仿宋_GB2312"/>
          <w:color w:val="auto"/>
          <w:kern w:val="2"/>
          <w:sz w:val="32"/>
          <w:szCs w:val="32"/>
          <w:lang w:eastAsia="zh-CN"/>
        </w:rPr>
        <w:t>和办公设备采购。</w:t>
      </w:r>
    </w:p>
    <w:p w14:paraId="68E7DD33">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34BF92AD">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200.630257</w:t>
      </w:r>
      <w:r>
        <w:rPr>
          <w:rFonts w:hint="eastAsia" w:cs="仿宋_GB2312"/>
          <w:kern w:val="2"/>
          <w:sz w:val="32"/>
          <w:szCs w:val="32"/>
        </w:rPr>
        <w:t>万元</w:t>
      </w:r>
      <w:r>
        <w:rPr>
          <w:rFonts w:hint="eastAsia" w:cs="仿宋_GB2312"/>
          <w:kern w:val="2"/>
          <w:sz w:val="32"/>
          <w:szCs w:val="32"/>
          <w:lang w:eastAsia="zh-CN"/>
        </w:rPr>
        <w:t>，</w:t>
      </w:r>
      <w:r>
        <w:rPr>
          <w:rFonts w:hint="eastAsia" w:ascii="Times New Roman" w:hAnsi="Times New Roman" w:eastAsia="方正仿宋_GBK" w:cs="Times New Roman"/>
          <w:kern w:val="0"/>
          <w:sz w:val="32"/>
          <w:szCs w:val="32"/>
          <w:lang w:val="en-US" w:eastAsia="zh-CN"/>
        </w:rPr>
        <w:t>新增调拨固定资产16.405637万元</w:t>
      </w:r>
      <w:r>
        <w:rPr>
          <w:rFonts w:hint="default" w:ascii="Times New Roman" w:hAnsi="Times New Roman" w:eastAsia="方正仿宋_GBK" w:cs="Times New Roman"/>
          <w:kern w:val="0"/>
          <w:sz w:val="32"/>
          <w:szCs w:val="32"/>
        </w:rPr>
        <w:t>。</w:t>
      </w:r>
      <w:r>
        <w:rPr>
          <w:rFonts w:hint="eastAsia" w:cs="仿宋_GB2312"/>
          <w:kern w:val="2"/>
          <w:sz w:val="32"/>
          <w:szCs w:val="32"/>
        </w:rPr>
        <w:t>。</w:t>
      </w:r>
    </w:p>
    <w:p w14:paraId="538E1DE4">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2026年通用项目和专用项目均按要求实行绩效目标管理，涉及一般公共预算当年拨款</w:t>
      </w:r>
      <w:r>
        <w:rPr>
          <w:rFonts w:hint="eastAsia" w:ascii="Times New Roman" w:hAnsi="Times New Roman" w:eastAsia="仿宋_GB2312" w:cs="Times New Roman"/>
          <w:sz w:val="32"/>
          <w:szCs w:val="32"/>
        </w:rPr>
        <w:t>836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4393</w:t>
      </w:r>
      <w:r>
        <w:rPr>
          <w:rFonts w:hint="eastAsia" w:ascii="Times New Roman" w:hAnsi="Times New Roman" w:eastAsia="仿宋_GB2312" w:cs="Times New Roman"/>
          <w:sz w:val="32"/>
          <w:szCs w:val="32"/>
          <w:lang w:val="en-US" w:eastAsia="zh-CN"/>
        </w:rPr>
        <w:t>4</w:t>
      </w:r>
      <w:r>
        <w:rPr>
          <w:rFonts w:hint="eastAsia" w:cs="仿宋_GB2312"/>
          <w:kern w:val="2"/>
          <w:sz w:val="32"/>
          <w:szCs w:val="32"/>
        </w:rPr>
        <w:t>万元。</w:t>
      </w:r>
    </w:p>
    <w:p w14:paraId="52D967AC">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A451B3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楷体_GB2312">
    <w:altName w:val="方正楷体_GBK"/>
    <w:panose1 w:val="02010609030101010101"/>
    <w:charset w:val="86"/>
    <w:family w:val="auto"/>
    <w:pitch w:val="default"/>
    <w:sig w:usb0="00000000" w:usb1="00000000" w:usb2="00000000" w:usb3="00000000" w:csb0="00040000" w:csb1="00000000"/>
  </w:font>
  <w:font w:name="ˎ̥">
    <w:altName w:val="C059"/>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6F88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45D6F"/>
    <w:multiLevelType w:val="singleLevel"/>
    <w:tmpl w:val="FBB45D6F"/>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FBB82B8"/>
    <w:rsid w:val="B2BD79B1"/>
    <w:rsid w:val="BDDDCDE4"/>
    <w:rsid w:val="FBAEBC28"/>
    <w:rsid w:val="FF37EF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next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1635</Words>
  <Characters>1739</Characters>
  <Lines>124</Lines>
  <Paragraphs>51</Paragraphs>
  <TotalTime>1</TotalTime>
  <ScaleCrop>false</ScaleCrop>
  <LinksUpToDate>false</LinksUpToDate>
  <CharactersWithSpaces>1800</CharactersWithSpaces>
  <Application>WPS Office_12.1.2.23578_F1E327BC-269C-435d-A152-05C5408002CA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2022-12-31T09:44:00Z</dcterms:created>
  <dc:creator>疯丫头。。</dc:creator>
  <cp:lastModifiedBy>huawei</cp:lastModifiedBy>
  <cp:lastPrinted>2026-01-21T10:19:00Z</cp:lastPrinted>
  <dcterms:modified xsi:type="dcterms:W3CDTF">2026-01-21T17:11:12Z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FE305838B0D48AC3FC386F6992D07F72_42</vt:lpwstr>
  </property>
</Properties>
</file>