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8"/>
        <w:rPr>
          <w:rFonts w:hint="eastAsia" w:ascii="黑体" w:hAnsi="黑体" w:eastAsia="黑体" w:cs="黑体"/>
          <w:color w:val="auto"/>
          <w:kern w:val="2"/>
          <w:sz w:val="32"/>
          <w:szCs w:val="32"/>
          <w:highlight w:val="none"/>
          <w:lang w:val="en-US" w:eastAsia="zh-CN" w:bidi="ar-SA"/>
        </w:rPr>
      </w:pPr>
      <w:bookmarkStart w:id="0" w:name="_Toc15377193"/>
      <w:bookmarkStart w:id="1" w:name="_Toc15306267"/>
      <w:bookmarkStart w:id="2" w:name="_Toc15378441"/>
      <w:bookmarkStart w:id="3" w:name="_Toc15396475"/>
      <w:bookmarkStart w:id="4" w:name="_Toc15377425"/>
      <w:bookmarkStart w:id="5" w:name="_Toc15396597"/>
    </w:p>
    <w:p w14:paraId="48439689">
      <w:pPr>
        <w:pStyle w:val="8"/>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8"/>
        <w:rPr>
          <w:rFonts w:hint="eastAsia" w:ascii="Times New Roman" w:hAnsi="Times New Roman" w:eastAsia="方正小标宋简体" w:cs="Times New Roman"/>
          <w:color w:val="auto"/>
          <w:kern w:val="2"/>
          <w:sz w:val="72"/>
          <w:szCs w:val="72"/>
          <w:highlight w:val="none"/>
          <w:lang w:val="en-US" w:eastAsia="zh-CN" w:bidi="ar-SA"/>
        </w:rPr>
      </w:pPr>
    </w:p>
    <w:p w14:paraId="326DD3D2">
      <w:pPr>
        <w:pStyle w:val="8"/>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8"/>
        <w:rPr>
          <w:rFonts w:hint="eastAsia" w:ascii="Times New Roman" w:hAnsi="Times New Roman" w:eastAsia="方正小标宋简体" w:cs="Times New Roman"/>
          <w:color w:val="auto"/>
          <w:kern w:val="2"/>
          <w:sz w:val="72"/>
          <w:szCs w:val="72"/>
          <w:highlight w:val="none"/>
          <w:lang w:val="en-US" w:eastAsia="zh-CN" w:bidi="ar-SA"/>
        </w:rPr>
      </w:pPr>
    </w:p>
    <w:p w14:paraId="0444F6DA">
      <w:pPr>
        <w:pStyle w:val="8"/>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阿坝州不动产登记中心和修护防治研究所</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公开报告</w:t>
      </w:r>
      <w:bookmarkEnd w:id="0"/>
      <w:bookmarkEnd w:id="1"/>
      <w:bookmarkEnd w:id="2"/>
      <w:bookmarkEnd w:id="3"/>
      <w:bookmarkEnd w:id="4"/>
      <w:bookmarkEnd w:id="5"/>
    </w:p>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E8F96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w:t>
      </w:r>
      <w:bookmarkStart w:id="65" w:name="_GoBack"/>
      <w:bookmarkEnd w:id="65"/>
      <w:r>
        <w:rPr>
          <w:rFonts w:hint="eastAsia" w:ascii="Times New Roman" w:hAnsi="Times New Roman" w:eastAsia="仿宋_GB2312" w:cs="仿宋_GB2312"/>
          <w:color w:val="auto"/>
          <w:sz w:val="32"/>
          <w:szCs w:val="32"/>
          <w:highlight w:val="none"/>
        </w:rPr>
        <w:t>算表</w:t>
      </w:r>
    </w:p>
    <w:p w14:paraId="1967589B">
      <w:pPr>
        <w:pStyle w:val="5"/>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14:paraId="5E7063D0">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00CBD749">
      <w:pPr>
        <w:widowControl/>
        <w:jc w:val="left"/>
        <w:rPr>
          <w:rFonts w:ascii="Times New Roman" w:hAnsi="Times New Roman" w:eastAsia="黑体"/>
          <w:color w:val="auto"/>
          <w:sz w:val="32"/>
          <w:szCs w:val="32"/>
          <w:highlight w:val="none"/>
        </w:rPr>
      </w:pPr>
    </w:p>
    <w:p w14:paraId="3E79FC6C">
      <w:pPr>
        <w:pStyle w:val="6"/>
        <w:numPr>
          <w:ilvl w:val="0"/>
          <w:numId w:val="0"/>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一</w:t>
      </w:r>
      <w:r>
        <w:rPr>
          <w:rFonts w:hint="eastAsia" w:ascii="Times New Roman" w:hAnsi="Times New Roman" w:eastAsia="黑体"/>
          <w:b w:val="0"/>
          <w:color w:val="auto"/>
          <w:highlight w:val="none"/>
        </w:rPr>
        <w:t>、</w:t>
      </w:r>
      <w:r>
        <w:rPr>
          <w:rFonts w:hint="eastAsia" w:ascii="Times New Roman" w:hAnsi="Times New Roman" w:eastAsia="黑体"/>
          <w:b w:val="0"/>
          <w:color w:val="auto"/>
          <w:highlight w:val="none"/>
          <w:lang w:eastAsia="zh-CN"/>
        </w:rPr>
        <w:t>部门职责</w:t>
      </w:r>
    </w:p>
    <w:p w14:paraId="0767403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lang w:val="en-US" w:eastAsia="zh-CN"/>
        </w:rPr>
        <w:t xml:space="preserve"> </w:t>
      </w:r>
      <w:r>
        <w:rPr>
          <w:rFonts w:hint="eastAsia" w:ascii="Times New Roman" w:hAnsi="Times New Roman" w:eastAsia="仿宋_GB2312" w:cs="仿宋_GB2312"/>
          <w:color w:val="auto"/>
          <w:sz w:val="32"/>
          <w:szCs w:val="32"/>
          <w:highlight w:val="none"/>
          <w:lang w:val="en-US" w:eastAsia="zh-CN"/>
        </w:rPr>
        <w:t>阿坝州不动产登记中心和修护防治研究所账套用于核算我局全部事业单位资金使用情况，统一编制预决算报表。其下总共三个事业单位：</w:t>
      </w:r>
    </w:p>
    <w:p w14:paraId="5B061B3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1.州不动产登记中心，</w:t>
      </w:r>
      <w:r>
        <w:rPr>
          <w:rFonts w:hint="eastAsia" w:eastAsia="仿宋_GB2312" w:cs="仿宋_GB2312"/>
          <w:color w:val="auto"/>
          <w:sz w:val="32"/>
          <w:szCs w:val="32"/>
          <w:highlight w:val="none"/>
          <w:lang w:val="en-US" w:eastAsia="zh-CN"/>
        </w:rPr>
        <w:t>主要</w:t>
      </w:r>
      <w:r>
        <w:rPr>
          <w:rFonts w:hint="eastAsia" w:ascii="Times New Roman" w:hAnsi="Times New Roman" w:eastAsia="仿宋_GB2312" w:cs="仿宋_GB2312"/>
          <w:color w:val="auto"/>
          <w:sz w:val="32"/>
          <w:szCs w:val="32"/>
          <w:highlight w:val="none"/>
          <w:lang w:val="en-US" w:eastAsia="zh-CN"/>
        </w:rPr>
        <w:t>职责为：履行州本级不动产登记经办职责。</w:t>
      </w:r>
    </w:p>
    <w:p w14:paraId="7AE7FFD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州国土空间生态修复和地质灾害防治研究所，主要职责是：承担我州地质灾害防治自然资源调查、监测、评价等相关规划及实施方案的论证、编制工作；承担地质灾害调查评价、监测预警、综合防治及应急抢险救援相关技术支撑服务工作；承担国土空间生态修复综合整治、矿山地质环境恢复治理及生态环境保护等相关技术支撑服务工作；开展全州水资源等自然资源和矿产资源开发及地下水过量开采引发的地质环境问题的调</w:t>
      </w:r>
      <w:r>
        <w:rPr>
          <w:rFonts w:hint="eastAsia" w:eastAsia="仿宋_GB2312" w:cs="仿宋_GB2312"/>
          <w:color w:val="auto"/>
          <w:sz w:val="32"/>
          <w:szCs w:val="32"/>
          <w:highlight w:val="none"/>
          <w:lang w:val="en-US" w:eastAsia="zh-CN"/>
        </w:rPr>
        <w:t>查</w:t>
      </w:r>
      <w:r>
        <w:rPr>
          <w:rFonts w:hint="eastAsia" w:ascii="Times New Roman" w:hAnsi="Times New Roman" w:eastAsia="仿宋_GB2312" w:cs="仿宋_GB2312"/>
          <w:color w:val="auto"/>
          <w:sz w:val="32"/>
          <w:szCs w:val="32"/>
          <w:highlight w:val="none"/>
          <w:lang w:val="en-US" w:eastAsia="zh-CN"/>
        </w:rPr>
        <w:t>、监测与评价工作；开展地质灾害防治、国土空间生态修复、自然资源调查、监测、评价等业务培训、交流合作；指导县（市)开展地质灾害防治，国土空间生态修复，自然资源调查、监测、评价相关业务；承担州地质灾害防治信息系统建设及运行维护。</w:t>
      </w:r>
    </w:p>
    <w:p w14:paraId="36BA582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lang w:val="en-US" w:eastAsia="zh-CN"/>
        </w:rPr>
      </w:pPr>
      <w:r>
        <w:rPr>
          <w:rFonts w:hint="eastAsia" w:ascii="Times New Roman" w:hAnsi="Times New Roman" w:eastAsia="仿宋_GB2312" w:cs="仿宋_GB2312"/>
          <w:color w:val="auto"/>
          <w:sz w:val="32"/>
          <w:szCs w:val="32"/>
          <w:highlight w:val="none"/>
          <w:lang w:val="en-US" w:eastAsia="zh-CN"/>
        </w:rPr>
        <w:t>3.阿坝州耕地保护中心，负责耕地保护、田长制办公室的技术支撑工作</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负责国土空间规划编制、实施、监管和相关决策等技术支撑和服务工作；负责国土空间综合整治、土地开发整理的技术支撑和服务工作</w:t>
      </w:r>
      <w:r>
        <w:rPr>
          <w:rFonts w:hint="eastAsia" w:eastAsia="仿宋_GB2312" w:cs="仿宋_GB2312"/>
          <w:color w:val="auto"/>
          <w:sz w:val="32"/>
          <w:szCs w:val="32"/>
          <w:highlight w:val="none"/>
          <w:lang w:val="en-US" w:eastAsia="zh-CN"/>
        </w:rPr>
        <w:t>。</w:t>
      </w:r>
    </w:p>
    <w:p w14:paraId="74A5CECB">
      <w:pPr>
        <w:pStyle w:val="6"/>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5BEF6C7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10" w:name="_Toc15377201"/>
      <w:bookmarkStart w:id="11" w:name="_Toc15378448"/>
      <w:bookmarkStart w:id="12" w:name="_Toc15306275"/>
      <w:bookmarkStart w:id="13" w:name="_Toc15377432"/>
      <w:r>
        <w:rPr>
          <w:rFonts w:hint="eastAsia" w:ascii="Times New Roman" w:hAnsi="Times New Roman" w:eastAsia="仿宋_GB2312" w:cs="仿宋_GB2312"/>
          <w:color w:val="auto"/>
          <w:sz w:val="32"/>
          <w:szCs w:val="32"/>
          <w:highlight w:val="none"/>
          <w:lang w:eastAsia="zh-CN"/>
        </w:rPr>
        <w:t>纳入四川省阿坝藏族羌族自治州不动产登记中心和修护防治研究所202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年度部门决算编制范围的二级预算单位包括：</w:t>
      </w:r>
    </w:p>
    <w:p w14:paraId="1C3633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1.州不动产登记中心，核事业编制</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lang w:val="en-US" w:eastAsia="zh-CN"/>
        </w:rPr>
        <w:t>名，设主任1名（</w:t>
      </w:r>
      <w:r>
        <w:rPr>
          <w:rFonts w:hint="eastAsia" w:eastAsia="仿宋_GB2312" w:cs="仿宋_GB2312"/>
          <w:color w:val="auto"/>
          <w:sz w:val="32"/>
          <w:szCs w:val="32"/>
          <w:highlight w:val="none"/>
          <w:lang w:val="en-US" w:eastAsia="zh-CN"/>
        </w:rPr>
        <w:t>副县</w:t>
      </w:r>
      <w:r>
        <w:rPr>
          <w:rFonts w:hint="eastAsia" w:ascii="Times New Roman" w:hAnsi="Times New Roman" w:eastAsia="仿宋_GB2312" w:cs="仿宋_GB2312"/>
          <w:color w:val="auto"/>
          <w:sz w:val="32"/>
          <w:szCs w:val="32"/>
          <w:highlight w:val="none"/>
          <w:lang w:val="en-US" w:eastAsia="zh-CN"/>
        </w:rPr>
        <w:t>级），副主任2名（正科级）</w:t>
      </w:r>
      <w:r>
        <w:rPr>
          <w:rFonts w:hint="eastAsia" w:eastAsia="仿宋_GB2312" w:cs="仿宋_GB2312"/>
          <w:color w:val="auto"/>
          <w:sz w:val="32"/>
          <w:szCs w:val="32"/>
          <w:highlight w:val="none"/>
          <w:lang w:val="en-US" w:eastAsia="zh-CN"/>
        </w:rPr>
        <w:t>；内设不动产登记科、测绘科、权籍调查科3个机构，核正科级领导职数3名，副科级领导职数2名。</w:t>
      </w:r>
    </w:p>
    <w:p w14:paraId="1EDC83A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2.州国土空间生态修复和地质灾害防治研究所，核事业编制</w:t>
      </w:r>
      <w:r>
        <w:rPr>
          <w:rFonts w:hint="eastAsia"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lang w:val="en-US" w:eastAsia="zh-CN"/>
        </w:rPr>
        <w:t>名，设</w:t>
      </w:r>
      <w:r>
        <w:rPr>
          <w:rFonts w:hint="eastAsia" w:eastAsia="仿宋_GB2312" w:cs="仿宋_GB2312"/>
          <w:color w:val="auto"/>
          <w:sz w:val="32"/>
          <w:szCs w:val="32"/>
          <w:highlight w:val="none"/>
          <w:lang w:val="en-US" w:eastAsia="zh-CN"/>
        </w:rPr>
        <w:t>主任1名，副主任1名</w:t>
      </w:r>
      <w:r>
        <w:rPr>
          <w:rFonts w:hint="eastAsia" w:ascii="Times New Roman" w:hAnsi="Times New Roman" w:eastAsia="仿宋_GB2312" w:cs="仿宋_GB2312"/>
          <w:color w:val="auto"/>
          <w:sz w:val="32"/>
          <w:szCs w:val="32"/>
          <w:highlight w:val="none"/>
          <w:lang w:val="en-US" w:eastAsia="zh-CN"/>
        </w:rPr>
        <w:t>。</w:t>
      </w:r>
    </w:p>
    <w:p w14:paraId="3D8F1BBB">
      <w:pPr>
        <w:pStyle w:val="8"/>
        <w:numPr>
          <w:ilvl w:val="0"/>
          <w:numId w:val="0"/>
        </w:numPr>
        <w:adjustRightInd w:val="0"/>
        <w:snapToGrid w:val="0"/>
        <w:spacing w:before="93" w:line="600" w:lineRule="exact"/>
        <w:ind w:left="672" w:leftChars="0"/>
        <w:jc w:val="left"/>
        <w:outlineLvl w:val="2"/>
        <w:rPr>
          <w:rFonts w:ascii="Times New Roman" w:hAnsi="Times New Roman" w:eastAsia="仿宋"/>
          <w:color w:val="FF0000"/>
          <w:kern w:val="0"/>
          <w:sz w:val="32"/>
          <w:szCs w:val="32"/>
          <w:highlight w:val="none"/>
        </w:rPr>
      </w:pPr>
      <w:r>
        <w:rPr>
          <w:rFonts w:hint="eastAsia" w:ascii="Times New Roman" w:hAnsi="Times New Roman" w:eastAsia="仿宋_GB2312" w:cs="仿宋_GB2312"/>
          <w:color w:val="auto"/>
          <w:sz w:val="32"/>
          <w:szCs w:val="32"/>
          <w:highlight w:val="none"/>
          <w:lang w:val="en-US" w:eastAsia="zh-CN"/>
        </w:rPr>
        <w:t>3.阿坝州耕地保护中心，核事业编制9名，设主任（所长）1名，副主任（副所长）1名</w:t>
      </w:r>
      <w:bookmarkEnd w:id="10"/>
      <w:bookmarkEnd w:id="11"/>
      <w:bookmarkEnd w:id="12"/>
      <w:bookmarkEnd w:id="13"/>
      <w:r>
        <w:rPr>
          <w:rFonts w:hint="eastAsia" w:ascii="Times New Roman" w:cs="仿宋_GB2312"/>
          <w:color w:val="auto"/>
          <w:sz w:val="32"/>
          <w:szCs w:val="32"/>
          <w:highlight w:val="none"/>
          <w:lang w:val="en-US" w:eastAsia="zh-CN"/>
        </w:rPr>
        <w:t>。</w:t>
      </w:r>
      <w:r>
        <w:rPr>
          <w:rFonts w:ascii="Times New Roman" w:hAnsi="Times New Roman" w:eastAsia="仿宋"/>
          <w:color w:val="FF0000"/>
          <w:sz w:val="32"/>
          <w:szCs w:val="32"/>
          <w:highlight w:val="none"/>
        </w:rPr>
        <w:br w:type="page"/>
      </w:r>
    </w:p>
    <w:p w14:paraId="2DDDF530">
      <w:pPr>
        <w:pStyle w:val="5"/>
        <w:jc w:val="center"/>
        <w:rPr>
          <w:rFonts w:hint="eastAsia" w:ascii="Times New Roman" w:hAnsi="Times New Roman" w:eastAsia="方正小标宋简体" w:cs="方正小标宋简体"/>
          <w:b w:val="0"/>
          <w:color w:val="auto"/>
          <w:highlight w:val="none"/>
        </w:rPr>
      </w:pPr>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3"/>
      <w:bookmarkStart w:id="1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14:paraId="2A3DCA0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 w:eastAsia="仿宋_GB2312"/>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度491.37</w:t>
      </w:r>
      <w:r>
        <w:rPr>
          <w:rFonts w:hint="eastAsia" w:ascii="Times New Roman" w:hAnsi="Times New Roman" w:eastAsia="仿宋_GB2312" w:cs="仿宋_GB2312"/>
          <w:color w:val="auto"/>
          <w:sz w:val="32"/>
          <w:szCs w:val="32"/>
          <w:highlight w:val="none"/>
        </w:rPr>
        <w:t>万元相比，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总计各增加109.89万元，增长</w:t>
      </w:r>
      <w:r>
        <w:rPr>
          <w:rFonts w:hint="eastAsia" w:eastAsia="仿宋_GB2312" w:cs="仿宋_GB2312"/>
          <w:color w:val="auto"/>
          <w:sz w:val="32"/>
          <w:szCs w:val="32"/>
          <w:highlight w:val="none"/>
          <w:lang w:val="en-US" w:eastAsia="zh-CN"/>
        </w:rPr>
        <w:t>22.4</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highlight w:val="none"/>
          <w:lang w:val="en-US" w:eastAsia="zh-CN"/>
        </w:rPr>
        <w:t>2025年事业单位新进9人，退休1人，人员经费相应增加。</w:t>
      </w:r>
    </w:p>
    <w:p w14:paraId="0347A7B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eastAsia="宋体"/>
          <w:lang w:val="en-US" w:eastAsia="zh-CN"/>
        </w:rPr>
        <w:pict>
          <v:shape id="Object 5" o:spid="_x0000_s1026" o:spt="75" type="#_x0000_t75" style="position:absolute;left:0pt;margin-left:80.6pt;margin-top:10.75pt;height:222.75pt;width:258.75pt;mso-wrap-distance-bottom:0pt;mso-wrap-distance-top:0pt;z-index:251659264;mso-width-relative:page;mso-height-relative:page;" o:ole="t" filled="f" o:preferrelative="t" stroked="f" coordsize="21600,21600">
            <v:path/>
            <v:fill on="f" focussize="0,0"/>
            <v:stroke on="f"/>
            <v:imagedata r:id="rId11" o:title=""/>
            <o:lock v:ext="edit" aspectratio="t"/>
            <w10:wrap type="topAndBottom"/>
          </v:shape>
          <o:OLEObject Type="Embed" ProgID="Excel.Sheet.8" ShapeID="Object 5" DrawAspect="Content" ObjectID="_1468075725" r:id="rId10">
            <o:LockedField>false</o:LockedField>
          </o:OLEObject>
        </w:pic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8"/>
      <w:bookmarkEnd w:id="19"/>
    </w:p>
    <w:p w14:paraId="5CDF451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2172484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645795</wp:posOffset>
            </wp:positionH>
            <wp:positionV relativeFrom="paragraph">
              <wp:posOffset>73660</wp:posOffset>
            </wp:positionV>
            <wp:extent cx="3916680" cy="2021840"/>
            <wp:effectExtent l="4445" t="4445" r="22225" b="1206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图2：收入决算结构图</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14:paraId="651002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6765508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default"/>
          <w:lang w:val="en-US" w:eastAsia="zh-CN"/>
        </w:rPr>
        <w:pict>
          <v:shape id="_x0000_s1028" o:spid="_x0000_s1028" o:spt="75" type="#_x0000_t75" style="position:absolute;left:0pt;margin-left:57.35pt;margin-top:9.1pt;height:222.75pt;width:258.75pt;mso-wrap-distance-bottom:0pt;mso-wrap-distance-top:0pt;z-index:251661312;mso-width-relative:page;mso-height-relative:page;" o:ole="t" filled="f" o:preferrelative="t" stroked="f" coordsize="21600,21600">
            <v:path/>
            <v:fill on="f" focussize="0,0"/>
            <v:stroke on="f"/>
            <v:imagedata r:id="rId14" o:title=""/>
            <o:lock v:ext="edit" aspectratio="t"/>
            <w10:wrap type="topAndBottom"/>
          </v:shape>
          <o:OLEObject Type="Embed" ProgID="Excel.Chart.8" ShapeID="_x0000_s1028" DrawAspect="Content" ObjectID="_1468075726" r:id="rId13">
            <o:LockedField>false</o:LockedField>
          </o:OLEObject>
        </w:pict>
      </w:r>
      <w:r>
        <w:rPr>
          <w:rFonts w:hint="eastAsia" w:ascii="Times New Roman" w:hAnsi="Times New Roman" w:eastAsia="仿宋_GB2312" w:cs="仿宋_GB2312"/>
          <w:color w:val="auto"/>
          <w:sz w:val="32"/>
          <w:szCs w:val="32"/>
          <w:highlight w:val="none"/>
          <w:lang w:eastAsia="zh-CN"/>
        </w:rPr>
        <w:t>图3：支出决算结构图</w:t>
      </w:r>
    </w:p>
    <w:p w14:paraId="466ACD89">
      <w:pPr>
        <w:spacing w:line="600" w:lineRule="exact"/>
        <w:ind w:firstLine="640" w:firstLineChars="200"/>
        <w:outlineLvl w:val="1"/>
        <w:rPr>
          <w:rStyle w:val="29"/>
          <w:rFonts w:ascii="Times New Roman" w:hAnsi="Times New Roman" w:eastAsia="黑体"/>
          <w:b w:val="0"/>
          <w:color w:val="auto"/>
          <w:highlight w:val="none"/>
        </w:rPr>
      </w:pPr>
      <w:bookmarkStart w:id="22" w:name="_Toc15396606"/>
      <w:bookmarkStart w:id="23"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14:paraId="7A856617">
      <w:pPr>
        <w:spacing w:line="600" w:lineRule="exact"/>
        <w:ind w:firstLine="640"/>
        <w:rPr>
          <w:rFonts w:hint="eastAsia" w:ascii="仿宋_GB2312" w:hAnsi="仿宋" w:eastAsia="仿宋_GB2312"/>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Times New Roman" w:hAnsi="Times New Roman" w:eastAsia="仿宋_GB2312" w:cs="仿宋_GB2312"/>
          <w:color w:val="auto"/>
          <w:sz w:val="32"/>
          <w:szCs w:val="32"/>
          <w:highlight w:val="none"/>
        </w:rPr>
        <w:t>109.89万元，增长</w:t>
      </w:r>
      <w:r>
        <w:rPr>
          <w:rFonts w:hint="eastAsia" w:eastAsia="仿宋_GB2312" w:cs="仿宋_GB2312"/>
          <w:color w:val="auto"/>
          <w:sz w:val="32"/>
          <w:szCs w:val="32"/>
          <w:highlight w:val="none"/>
          <w:lang w:val="en-US" w:eastAsia="zh-CN"/>
        </w:rPr>
        <w:t>22.4</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highlight w:val="none"/>
          <w:lang w:val="en-US" w:eastAsia="zh-CN"/>
        </w:rPr>
        <w:t>2025年事业单位新进9人，退休1人，人员经费相应增加。</w:t>
      </w:r>
    </w:p>
    <w:p w14:paraId="30C96D2A">
      <w:pPr>
        <w:pStyle w:val="2"/>
        <w:jc w:val="center"/>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val="en-US" w:eastAsia="zh-CN"/>
        </w:rPr>
        <w:pict>
          <v:shape id="_x0000_s1029" o:spid="_x0000_s1029" o:spt="75" type="#_x0000_t75" style="position:absolute;left:0pt;margin-left:62.75pt;margin-top:1.65pt;height:216.35pt;width:252.5pt;mso-wrap-distance-bottom:0pt;mso-wrap-distance-top:0pt;z-index:251662336;mso-width-relative:page;mso-height-relative:page;" o:ole="t" filled="f" o:preferrelative="t" stroked="f" coordsize="21600,21600">
            <v:path/>
            <v:fill on="f" focussize="0,0"/>
            <v:stroke on="f"/>
            <v:imagedata r:id="rId16" croptop="16631f" cropright="4417f" cropbottom="1405f" o:title="oleetimg_1789475318064850_187651673056000"/>
            <o:lock v:ext="edit" aspectratio="t"/>
            <w10:wrap type="topAndBottom"/>
          </v:shape>
          <o:OLEObject Type="Embed" ProgID="Excel.Sheet.8" ShapeID="_x0000_s1029" DrawAspect="Content" ObjectID="_1468075727" r:id="rId15">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14:paraId="68563E6A">
      <w:pPr>
        <w:spacing w:line="600" w:lineRule="exact"/>
        <w:ind w:firstLine="640"/>
        <w:rPr>
          <w:rFonts w:hint="eastAsia" w:ascii="仿宋_GB2312" w:hAnsi="仿宋" w:eastAsia="仿宋_GB2312"/>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Times New Roman" w:hAnsi="Times New Roman" w:eastAsia="仿宋_GB2312" w:cs="仿宋_GB2312"/>
          <w:color w:val="auto"/>
          <w:sz w:val="32"/>
          <w:szCs w:val="32"/>
          <w:highlight w:val="none"/>
        </w:rPr>
        <w:t>109.89万元，增长</w:t>
      </w:r>
      <w:r>
        <w:rPr>
          <w:rFonts w:hint="eastAsia" w:eastAsia="仿宋_GB2312" w:cs="仿宋_GB2312"/>
          <w:color w:val="auto"/>
          <w:sz w:val="32"/>
          <w:szCs w:val="32"/>
          <w:highlight w:val="none"/>
          <w:lang w:val="en-US" w:eastAsia="zh-CN"/>
        </w:rPr>
        <w:t>22.4</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highlight w:val="none"/>
          <w:lang w:val="en-US" w:eastAsia="zh-CN"/>
        </w:rPr>
        <w:t>2025年事业单位新进9人，退休1人，人员经费相应增加。</w:t>
      </w:r>
    </w:p>
    <w:p w14:paraId="5CAEAAD3">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val="en-US" w:eastAsia="zh-CN"/>
        </w:rPr>
        <w:pict>
          <v:shape id="_x0000_s1030" o:spid="_x0000_s1030" o:spt="75" alt="oleetimg_1789475318064850_187651673056000" type="#_x0000_t75" style="position:absolute;left:0pt;margin-left:103.15pt;margin-top:11.85pt;height:214.65pt;width:203.45pt;mso-wrap-distance-bottom:0pt;mso-wrap-distance-top:0pt;z-index:251663360;mso-width-relative:page;mso-height-relative:page;" o:ole="t" filled="f" o:preferrelative="t" stroked="f" coordsize="21600,21600">
            <v:path/>
            <v:fill on="f" focussize="0,0"/>
            <v:stroke on="f"/>
            <v:imagedata r:id="rId18" croptop="16357f" cropright="17227f" cropbottom="2053f" o:title="oleetimg_1789475409613580_187650626241280"/>
            <o:lock v:ext="edit" aspectratio="t"/>
            <w10:wrap type="topAndBottom"/>
          </v:shape>
          <o:OLEObject Type="Embed" ProgID="Excel.Sheet.8" ShapeID="_x0000_s1030" DrawAspect="Content" ObjectID="_1468075728" r:id="rId17">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14:paraId="5C35B3C5">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_GB2312" w:hAnsi="仿宋" w:eastAsia="仿宋_GB2312"/>
          <w:sz w:val="32"/>
          <w:szCs w:val="32"/>
          <w:highlight w:val="none"/>
          <w:lang w:val="en-US" w:eastAsia="zh-CN"/>
        </w:rPr>
        <w:t>81.34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_GB2312" w:hAnsi="仿宋" w:eastAsia="仿宋_GB2312"/>
          <w:sz w:val="32"/>
          <w:szCs w:val="32"/>
          <w:highlight w:val="none"/>
          <w:lang w:val="en-US" w:eastAsia="zh-CN"/>
        </w:rPr>
        <w:t>30.62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sz w:val="32"/>
          <w:szCs w:val="32"/>
          <w:highlight w:val="none"/>
          <w:lang w:val="en-US" w:eastAsia="zh-CN"/>
        </w:rPr>
        <w:t>自然资源海洋气象等支出444.85万元，占总支出的</w:t>
      </w:r>
      <w:r>
        <w:rPr>
          <w:rFonts w:hint="eastAsia" w:eastAsia="仿宋_GB2312" w:cs="仿宋_GB2312"/>
          <w:color w:val="auto"/>
          <w:kern w:val="2"/>
          <w:sz w:val="32"/>
          <w:szCs w:val="32"/>
          <w:highlight w:val="none"/>
          <w:lang w:val="en-US" w:eastAsia="zh-CN" w:bidi="ar-SA"/>
        </w:rPr>
        <w:t>74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_GB2312" w:hAnsi="仿宋" w:eastAsia="仿宋_GB2312"/>
          <w:sz w:val="32"/>
          <w:szCs w:val="32"/>
          <w:highlight w:val="none"/>
          <w:lang w:val="en-US" w:eastAsia="zh-CN"/>
        </w:rPr>
        <w:t>44.45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7F51E8D">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sz w:val="32"/>
          <w:szCs w:val="32"/>
          <w:highlight w:val="none"/>
          <w:lang w:val="en-US" w:eastAsia="zh-CN"/>
        </w:rPr>
        <w:pict>
          <v:shape id="_x0000_s1031" o:spid="_x0000_s1031" o:spt="75" type="#_x0000_t75" style="position:absolute;left:0pt;margin-left:70.4pt;margin-top:8.1pt;height:222.75pt;width:258.75pt;mso-wrap-distance-bottom:0pt;mso-wrap-distance-top:0pt;z-index:251661312;mso-width-relative:page;mso-height-relative:page;" o:ole="t" filled="f" o:preferrelative="t" stroked="f" coordsize="21600,21600">
            <v:path/>
            <v:fill on="f" focussize="0,0"/>
            <v:stroke on="f"/>
            <v:imagedata r:id="rId20" o:title=""/>
            <o:lock v:ext="edit" aspectratio="t"/>
            <w10:wrap type="topAndBottom"/>
          </v:shape>
          <o:OLEObject Type="Embed" ProgID="Excel.Chart.8" ShapeID="_x0000_s1031" DrawAspect="Content" ObjectID="_1468075729" r:id="rId19">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444"/>
      <w:bookmarkStart w:id="31"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14:paraId="0EC2AD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eastAsia="仿宋_GB2312" w:cs="仿宋_GB2312"/>
          <w:color w:val="auto"/>
          <w:kern w:val="2"/>
          <w:sz w:val="32"/>
          <w:szCs w:val="32"/>
          <w:highlight w:val="none"/>
          <w:lang w:val="en-US" w:eastAsia="zh-CN" w:bidi="ar-SA"/>
        </w:rPr>
        <w:t>社会保障和就业支出，机关事业单位基本养老保险缴费支出</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54.23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93375D8">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2.卫生健康支出</w:t>
      </w:r>
      <w:r>
        <w:rPr>
          <w:rFonts w:hint="eastAsia" w:eastAsia="仿宋_GB2312" w:cs="仿宋_GB2312"/>
          <w:color w:val="auto"/>
          <w:kern w:val="2"/>
          <w:sz w:val="32"/>
          <w:szCs w:val="32"/>
          <w:highlight w:val="none"/>
          <w:lang w:val="en-US" w:eastAsia="zh-CN" w:bidi="ar-SA"/>
        </w:rPr>
        <w:t>，事业单位医疗210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25.85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；其他行政事业单位医疗支出210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7A2AB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3.自然资源海洋气象等支出</w:t>
      </w:r>
      <w:r>
        <w:rPr>
          <w:rFonts w:hint="eastAsia" w:eastAsia="仿宋_GB2312" w:cs="仿宋_GB2312"/>
          <w:color w:val="auto"/>
          <w:kern w:val="2"/>
          <w:sz w:val="32"/>
          <w:szCs w:val="32"/>
          <w:highlight w:val="none"/>
          <w:lang w:val="en-US" w:eastAsia="zh-CN" w:bidi="ar-SA"/>
        </w:rPr>
        <w:t>，事业运行220（类）01（款）50（项）：支出决算为444.85万元，完成预算100%。</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4.住房保障支出</w:t>
      </w:r>
      <w:r>
        <w:rPr>
          <w:rFonts w:hint="eastAsia" w:eastAsia="仿宋_GB2312" w:cs="仿宋_GB2312"/>
          <w:color w:val="auto"/>
          <w:kern w:val="2"/>
          <w:sz w:val="32"/>
          <w:szCs w:val="32"/>
          <w:highlight w:val="none"/>
          <w:lang w:val="en-US" w:eastAsia="zh-CN" w:bidi="ar-SA"/>
        </w:rPr>
        <w:t>，住房公积金221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5EF764D">
      <w:pPr>
        <w:tabs>
          <w:tab w:val="right" w:pos="8306"/>
        </w:tabs>
        <w:spacing w:line="600" w:lineRule="exact"/>
        <w:ind w:firstLine="640"/>
        <w:outlineLvl w:val="1"/>
        <w:rPr>
          <w:rStyle w:val="29"/>
          <w:rFonts w:ascii="Times New Roman" w:hAnsi="Times New Roman"/>
          <w:color w:val="auto"/>
          <w:highlight w:val="none"/>
        </w:rPr>
      </w:pPr>
      <w:bookmarkStart w:id="32" w:name="_Toc15377214"/>
      <w:bookmarkStart w:id="3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Times New Roman" w:hAnsi="Times New Roman" w:eastAsia="仿宋_GB2312" w:cs="仿宋_GB2312"/>
          <w:color w:val="auto"/>
          <w:sz w:val="32"/>
          <w:szCs w:val="32"/>
          <w:highlight w:val="none"/>
          <w:lang w:val="en-US" w:eastAsia="zh-CN"/>
        </w:rPr>
        <w:t>601.26</w:t>
      </w:r>
      <w:r>
        <w:rPr>
          <w:rFonts w:hint="eastAsia" w:ascii="Times New Roman" w:hAnsi="Times New Roman" w:eastAsia="仿宋_GB2312" w:cs="仿宋_GB2312"/>
          <w:color w:val="auto"/>
          <w:kern w:val="2"/>
          <w:sz w:val="32"/>
          <w:szCs w:val="32"/>
          <w:highlight w:val="none"/>
          <w:lang w:val="en-US" w:eastAsia="zh-CN" w:bidi="ar-SA"/>
        </w:rPr>
        <w:t>万元，其中：</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552.11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49.15万元，主要包括：办公费、印刷费、咨询费、手续费、水费、电费、邮电费、取暖费、物业管理费、差旅费、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A455ECF">
      <w:pPr>
        <w:pStyle w:val="2"/>
        <w:rPr>
          <w:rFonts w:hint="eastAsia"/>
          <w:lang w:val="en-US" w:eastAsia="zh-CN"/>
        </w:rPr>
      </w:pPr>
    </w:p>
    <w:p w14:paraId="75A1DDF0">
      <w:pPr>
        <w:spacing w:line="600" w:lineRule="exact"/>
        <w:ind w:firstLine="640"/>
        <w:outlineLvl w:val="1"/>
        <w:rPr>
          <w:rStyle w:val="29"/>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14:paraId="14D1B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6D5CF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A893B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A5E78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38" w:name="_Toc15396610"/>
      <w:bookmarkStart w:id="39" w:name="_Toc15377218"/>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E244C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83B20F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DBEFEF1">
      <w:pPr>
        <w:pStyle w:val="2"/>
        <w:rPr>
          <w:rFonts w:hint="eastAsia"/>
          <w:lang w:val="en-US" w:eastAsia="zh-CN"/>
        </w:rPr>
      </w:pPr>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0" w:name="_Toc15377219"/>
      <w:bookmarkStart w:id="41"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2" w:name="_Toc15377221"/>
      <w:bookmarkStart w:id="43"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四川省阿坝藏族羌族自治州不动产登记中心和修护防治研究所</w:t>
      </w:r>
      <w:r>
        <w:rPr>
          <w:rFonts w:hint="eastAsia" w:ascii="Times New Roman" w:hAnsi="Times New Roman" w:eastAsia="仿宋_GB2312" w:cs="仿宋_GB2312"/>
          <w:color w:val="auto"/>
          <w:kern w:val="2"/>
          <w:sz w:val="32"/>
          <w:szCs w:val="32"/>
          <w:highlight w:val="none"/>
          <w:lang w:val="en-US" w:eastAsia="zh-CN" w:bidi="ar-SA"/>
        </w:rPr>
        <w:t>机关运行经费支出49.15万元，比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年度增加4.71万元，增长</w:t>
      </w:r>
      <w:r>
        <w:rPr>
          <w:rFonts w:hint="eastAsia" w:eastAsia="仿宋_GB2312" w:cs="仿宋_GB2312"/>
          <w:color w:val="auto"/>
          <w:kern w:val="2"/>
          <w:sz w:val="32"/>
          <w:szCs w:val="32"/>
          <w:highlight w:val="none"/>
          <w:lang w:val="en-US" w:eastAsia="zh-CN" w:bidi="ar-SA"/>
        </w:rPr>
        <w:t>10.6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sz w:val="32"/>
          <w:szCs w:val="32"/>
          <w:highlight w:val="none"/>
          <w:lang w:val="en-US" w:eastAsia="zh-CN"/>
        </w:rPr>
        <w:t>2025年事业单位新进9人，退休1人，公用经费相应增加。</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四川省阿坝藏族羌族自治州不动产登记中心和修护防治研究所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四川省阿坝藏族羌族自治州不动产登记中心和修护防治研究所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53474D">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我局</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年度预算编制阶段，组织对工资性支出、目标绩效奖</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单位缴费、日常公用经费</w:t>
      </w:r>
      <w:r>
        <w:rPr>
          <w:rFonts w:hint="eastAsia" w:eastAsia="仿宋_GB2312" w:cs="仿宋_GB2312"/>
          <w:color w:val="auto"/>
          <w:kern w:val="2"/>
          <w:sz w:val="32"/>
          <w:szCs w:val="32"/>
          <w:highlight w:val="none"/>
          <w:lang w:val="en-US" w:eastAsia="zh-CN" w:bidi="ar-SA"/>
        </w:rPr>
        <w:t>、退休人员经费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因事业账套不涉及项目资金且资金量较小，我局将事业绩效预算管理评价并入整体支出评价，形成阿坝州自然资源局</w:t>
      </w:r>
      <w:r>
        <w:rPr>
          <w:rFonts w:hint="eastAsia" w:ascii="Times New Roman" w:hAnsi="Times New Roman" w:eastAsia="仿宋_GB2312" w:cs="仿宋_GB2312"/>
          <w:color w:val="auto"/>
          <w:kern w:val="2"/>
          <w:sz w:val="32"/>
          <w:szCs w:val="32"/>
          <w:highlight w:val="none"/>
          <w:lang w:val="en-US" w:eastAsia="zh-CN" w:bidi="ar-SA"/>
        </w:rPr>
        <w:t>部门整体绩效自评报告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w:t>
      </w:r>
      <w:r>
        <w:rPr>
          <w:rFonts w:hint="eastAsia" w:eastAsia="仿宋_GB2312" w:cs="仿宋_GB2312"/>
          <w:color w:val="auto"/>
          <w:kern w:val="2"/>
          <w:sz w:val="32"/>
          <w:szCs w:val="32"/>
          <w:highlight w:val="none"/>
          <w:lang w:val="en-US" w:eastAsia="zh-CN" w:bidi="ar-SA"/>
        </w:rPr>
        <w:t>部门决算公开内容</w:t>
      </w:r>
      <w:r>
        <w:rPr>
          <w:rFonts w:hint="eastAsia" w:ascii="Times New Roman" w:hAnsi="Times New Roman" w:eastAsia="仿宋_GB2312" w:cs="仿宋_GB2312"/>
          <w:color w:val="auto"/>
          <w:kern w:val="2"/>
          <w:sz w:val="32"/>
          <w:szCs w:val="32"/>
          <w:highlight w:val="none"/>
          <w:lang w:val="en-US" w:eastAsia="zh-CN" w:bidi="ar-SA"/>
        </w:rPr>
        <w:t>。</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77225"/>
      <w:bookmarkStart w:id="4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14:paraId="38C013ED">
      <w:pPr>
        <w:spacing w:line="600" w:lineRule="exact"/>
        <w:jc w:val="left"/>
        <w:rPr>
          <w:rFonts w:ascii="Times New Roman" w:hAnsi="Times New Roman"/>
          <w:b/>
          <w:color w:val="auto"/>
          <w:sz w:val="44"/>
          <w:szCs w:val="44"/>
          <w:highlight w:val="none"/>
        </w:rPr>
      </w:pPr>
    </w:p>
    <w:p w14:paraId="68A98D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9E0D6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737967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5BC138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E5C7C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97B04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BE692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B038C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68C01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9.社会保障和就业（类）……（款）……（项）：指</w:t>
      </w:r>
      <w:r>
        <w:rPr>
          <w:rFonts w:hint="eastAsia" w:eastAsia="仿宋_GB2312" w:cs="仿宋_GB2312"/>
          <w:color w:val="auto"/>
          <w:kern w:val="2"/>
          <w:sz w:val="32"/>
          <w:szCs w:val="32"/>
          <w:highlight w:val="none"/>
          <w:lang w:val="en-US" w:eastAsia="zh-CN" w:bidi="ar-SA"/>
        </w:rPr>
        <w:t>政府在社会保障与就业方面的支出。</w:t>
      </w:r>
    </w:p>
    <w:p w14:paraId="5DDFD1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.卫生健康（类）……（款）……（项）：指</w:t>
      </w:r>
      <w:r>
        <w:rPr>
          <w:rFonts w:hint="eastAsia" w:eastAsia="仿宋_GB2312" w:cs="仿宋_GB2312"/>
          <w:color w:val="auto"/>
          <w:kern w:val="2"/>
          <w:sz w:val="32"/>
          <w:szCs w:val="32"/>
          <w:highlight w:val="none"/>
          <w:lang w:val="en-US" w:eastAsia="zh-CN" w:bidi="ar-SA"/>
        </w:rPr>
        <w:t>政府卫生健康方面的支出。</w:t>
      </w:r>
    </w:p>
    <w:p w14:paraId="0793BB0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政府节能环保支出。</w:t>
      </w:r>
    </w:p>
    <w:p w14:paraId="5C4AC9E1">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.自然资源海洋气象等（类）……（款）……（项）：指</w:t>
      </w:r>
      <w:r>
        <w:rPr>
          <w:rFonts w:hint="eastAsia" w:eastAsia="仿宋_GB2312" w:cs="仿宋_GB2312"/>
          <w:color w:val="auto"/>
          <w:kern w:val="2"/>
          <w:sz w:val="32"/>
          <w:szCs w:val="32"/>
          <w:highlight w:val="none"/>
          <w:lang w:val="en-US" w:eastAsia="zh-CN" w:bidi="ar-SA"/>
        </w:rPr>
        <w:t>政府用于自然资源、海洋、测绘、气象等公益服务事业方面的支出。</w:t>
      </w:r>
    </w:p>
    <w:p w14:paraId="7ACEAD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.住房保障（类）……（款）……（项）：指</w:t>
      </w:r>
      <w:r>
        <w:rPr>
          <w:rFonts w:hint="eastAsia" w:eastAsia="仿宋_GB2312" w:cs="仿宋_GB2312"/>
          <w:color w:val="auto"/>
          <w:kern w:val="2"/>
          <w:sz w:val="32"/>
          <w:szCs w:val="32"/>
          <w:highlight w:val="none"/>
          <w:lang w:val="en-US" w:eastAsia="zh-CN" w:bidi="ar-SA"/>
        </w:rPr>
        <w:t>政府用于住房方面的支出。</w:t>
      </w:r>
    </w:p>
    <w:p w14:paraId="169176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（类）……（款）……（项）：指</w:t>
      </w:r>
      <w:r>
        <w:rPr>
          <w:rFonts w:hint="eastAsia" w:eastAsia="仿宋_GB2312" w:cs="仿宋_GB2312"/>
          <w:color w:val="auto"/>
          <w:kern w:val="2"/>
          <w:sz w:val="32"/>
          <w:szCs w:val="32"/>
          <w:highlight w:val="none"/>
          <w:lang w:val="en-US" w:eastAsia="zh-CN" w:bidi="ar-SA"/>
        </w:rPr>
        <w:t>政府用于自然灾害防治、安全生产监管及应急管理等方面的支出。</w:t>
      </w:r>
    </w:p>
    <w:p w14:paraId="23DD06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CBED4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FBDB3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1571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07BE49">
      <w:pPr>
        <w:spacing w:line="600" w:lineRule="exact"/>
        <w:jc w:val="center"/>
        <w:rPr>
          <w:rStyle w:val="28"/>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AEDB44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33DE46D6">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因事业账套不涉及项目资金且资金量较小，我局将事业绩效预算管理评价并入整体支出评价，形成阿坝州自然资源局</w:t>
      </w:r>
      <w:r>
        <w:rPr>
          <w:rFonts w:hint="eastAsia" w:ascii="Times New Roman" w:hAnsi="Times New Roman" w:eastAsia="仿宋_GB2312" w:cs="仿宋_GB2312"/>
          <w:color w:val="auto"/>
          <w:kern w:val="2"/>
          <w:sz w:val="32"/>
          <w:szCs w:val="32"/>
          <w:highlight w:val="none"/>
          <w:lang w:val="en-US" w:eastAsia="zh-CN" w:bidi="ar-SA"/>
        </w:rPr>
        <w:t>部门整体绩效自评报告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w:t>
      </w:r>
      <w:r>
        <w:rPr>
          <w:rFonts w:hint="eastAsia" w:eastAsia="仿宋_GB2312" w:cs="仿宋_GB2312"/>
          <w:color w:val="auto"/>
          <w:kern w:val="2"/>
          <w:sz w:val="32"/>
          <w:szCs w:val="32"/>
          <w:highlight w:val="none"/>
          <w:lang w:val="en-US" w:eastAsia="zh-CN" w:bidi="ar-SA"/>
        </w:rPr>
        <w:t>部门决算公开内容</w:t>
      </w:r>
    </w:p>
    <w:p w14:paraId="4E9CCF21">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816DDA3">
      <w:pPr>
        <w:pStyle w:val="8"/>
        <w:rPr>
          <w:rFonts w:hint="eastAsia" w:ascii="Times New Roman" w:hAnsi="Times New Roman" w:cs="宋体"/>
          <w:color w:val="FF0000"/>
          <w:kern w:val="0"/>
          <w:sz w:val="32"/>
          <w:szCs w:val="32"/>
          <w:highlight w:val="yellow"/>
          <w:shd w:val="clear" w:color="auto" w:fill="FFFFFF"/>
          <w:lang w:val="zh-CN"/>
        </w:rPr>
      </w:pPr>
    </w:p>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AC00259">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10421CA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2025年度</w:t>
      </w:r>
      <w:r>
        <w:rPr>
          <w:rFonts w:hint="eastAsia" w:ascii="仿宋_GB2312" w:hAnsi="仿宋_GB2312" w:eastAsia="仿宋_GB2312" w:cs="仿宋_GB2312"/>
          <w:sz w:val="32"/>
          <w:szCs w:val="32"/>
        </w:rPr>
        <w:t>四川省阿坝藏族羌族自治州不动产登记中心和修护防治研究所</w:t>
      </w:r>
      <w:r>
        <w:rPr>
          <w:rFonts w:hint="eastAsia" w:eastAsia="仿宋_GB2312" w:cs="仿宋_GB2312"/>
          <w:b w:val="0"/>
          <w:bCs w:val="0"/>
          <w:kern w:val="0"/>
          <w:position w:val="0"/>
          <w:sz w:val="32"/>
          <w:szCs w:val="32"/>
          <w:highlight w:val="none"/>
          <w:lang w:val="en-US" w:eastAsia="zh-CN" w:bidi="ar-SA"/>
        </w:rPr>
        <w:t>无专项预算项目安排</w:t>
      </w:r>
      <w:r>
        <w:rPr>
          <w:rFonts w:hint="eastAsia" w:ascii="Times New Roman" w:hAnsi="Times New Roman" w:eastAsia="仿宋_GB2312" w:cs="仿宋_GB2312"/>
          <w:b w:val="0"/>
          <w:bCs w:val="0"/>
          <w:kern w:val="0"/>
          <w:position w:val="0"/>
          <w:sz w:val="32"/>
          <w:szCs w:val="32"/>
          <w:highlight w:val="none"/>
          <w:lang w:val="en-US" w:eastAsia="zh-CN" w:bidi="ar-SA"/>
        </w:rPr>
        <w:t>。</w:t>
      </w:r>
    </w:p>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1"/>
      <w:bookmarkStart w:id="52"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CB647">
    <w:pPr>
      <w:pStyle w:val="11"/>
      <w:jc w:val="center"/>
    </w:pPr>
  </w:p>
  <w:p w14:paraId="117BB1B9">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C4B43">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66D1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8766D1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1E901B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9FD1060"/>
    <w:rsid w:val="1B7D550C"/>
    <w:rsid w:val="1BE8440E"/>
    <w:rsid w:val="1D155CEE"/>
    <w:rsid w:val="1E740ACF"/>
    <w:rsid w:val="1EFFBCEE"/>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EB4D4E9"/>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EB2292"/>
    <w:rsid w:val="3FF4CAE0"/>
    <w:rsid w:val="3FF7B227"/>
    <w:rsid w:val="3FFE8226"/>
    <w:rsid w:val="40E54C45"/>
    <w:rsid w:val="43A407DF"/>
    <w:rsid w:val="44515BEA"/>
    <w:rsid w:val="44E268DA"/>
    <w:rsid w:val="453F7E5B"/>
    <w:rsid w:val="486A6C7A"/>
    <w:rsid w:val="49176D9B"/>
    <w:rsid w:val="4A627F82"/>
    <w:rsid w:val="4AAEB4E8"/>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BF2254"/>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FA090"/>
    <w:rsid w:val="62BF3928"/>
    <w:rsid w:val="647F5392"/>
    <w:rsid w:val="664B1D71"/>
    <w:rsid w:val="67AA3209"/>
    <w:rsid w:val="681C4F0D"/>
    <w:rsid w:val="69046D0F"/>
    <w:rsid w:val="698A7230"/>
    <w:rsid w:val="698D0931"/>
    <w:rsid w:val="6A993CED"/>
    <w:rsid w:val="6B053271"/>
    <w:rsid w:val="6BCE6674"/>
    <w:rsid w:val="6BD941AE"/>
    <w:rsid w:val="6C4A05C8"/>
    <w:rsid w:val="6C8742B8"/>
    <w:rsid w:val="6C8A170F"/>
    <w:rsid w:val="6CB54609"/>
    <w:rsid w:val="6DBF5E93"/>
    <w:rsid w:val="6DFF077E"/>
    <w:rsid w:val="6E7E3605"/>
    <w:rsid w:val="6E7FDCC7"/>
    <w:rsid w:val="6ED6A62E"/>
    <w:rsid w:val="6EE00B15"/>
    <w:rsid w:val="6F544B20"/>
    <w:rsid w:val="6F6FB3EB"/>
    <w:rsid w:val="6F784160"/>
    <w:rsid w:val="6F8731EA"/>
    <w:rsid w:val="6FBB6047"/>
    <w:rsid w:val="6FCE6052"/>
    <w:rsid w:val="6FD57C00"/>
    <w:rsid w:val="6FDF5104"/>
    <w:rsid w:val="6FEFFFD8"/>
    <w:rsid w:val="6FF5CC65"/>
    <w:rsid w:val="6FFB47EC"/>
    <w:rsid w:val="6FFF034A"/>
    <w:rsid w:val="70496804"/>
    <w:rsid w:val="712A28F1"/>
    <w:rsid w:val="715C0E4B"/>
    <w:rsid w:val="72233669"/>
    <w:rsid w:val="72734D90"/>
    <w:rsid w:val="72FBE323"/>
    <w:rsid w:val="7332FE48"/>
    <w:rsid w:val="73AB61DA"/>
    <w:rsid w:val="73AD73D5"/>
    <w:rsid w:val="73B6EB34"/>
    <w:rsid w:val="73BBB8F8"/>
    <w:rsid w:val="73FA497D"/>
    <w:rsid w:val="744731E5"/>
    <w:rsid w:val="74527205"/>
    <w:rsid w:val="74BBD01D"/>
    <w:rsid w:val="74ED5379"/>
    <w:rsid w:val="74FC2395"/>
    <w:rsid w:val="75BFC12D"/>
    <w:rsid w:val="75DEEEC2"/>
    <w:rsid w:val="75FFA8D5"/>
    <w:rsid w:val="76E3355F"/>
    <w:rsid w:val="76FF5125"/>
    <w:rsid w:val="776F6FFA"/>
    <w:rsid w:val="778769C8"/>
    <w:rsid w:val="77DC22F5"/>
    <w:rsid w:val="77EF0619"/>
    <w:rsid w:val="77FBA7C2"/>
    <w:rsid w:val="79086DAD"/>
    <w:rsid w:val="79751BA9"/>
    <w:rsid w:val="79974F09"/>
    <w:rsid w:val="79D7FD79"/>
    <w:rsid w:val="79EE5BA4"/>
    <w:rsid w:val="7A894339"/>
    <w:rsid w:val="7AFF7572"/>
    <w:rsid w:val="7B6C7DFB"/>
    <w:rsid w:val="7BBFBED0"/>
    <w:rsid w:val="7BC3E394"/>
    <w:rsid w:val="7BC76CFF"/>
    <w:rsid w:val="7BFD2062"/>
    <w:rsid w:val="7C1F3737"/>
    <w:rsid w:val="7CBF0C3D"/>
    <w:rsid w:val="7CBFC87B"/>
    <w:rsid w:val="7CFE0F48"/>
    <w:rsid w:val="7D7E7392"/>
    <w:rsid w:val="7D7EC23E"/>
    <w:rsid w:val="7D916348"/>
    <w:rsid w:val="7DBF6FA3"/>
    <w:rsid w:val="7DC9DBD2"/>
    <w:rsid w:val="7DDEBF67"/>
    <w:rsid w:val="7E7FAB20"/>
    <w:rsid w:val="7E8ADEBF"/>
    <w:rsid w:val="7EAD2A46"/>
    <w:rsid w:val="7EEF11D3"/>
    <w:rsid w:val="7EFF559E"/>
    <w:rsid w:val="7F0971A6"/>
    <w:rsid w:val="7F3F679B"/>
    <w:rsid w:val="7F4FC4EF"/>
    <w:rsid w:val="7F5E4D54"/>
    <w:rsid w:val="7F6E0135"/>
    <w:rsid w:val="7F7EBF52"/>
    <w:rsid w:val="7F954DBA"/>
    <w:rsid w:val="7FA30C79"/>
    <w:rsid w:val="7FAF8ABF"/>
    <w:rsid w:val="7FB7269E"/>
    <w:rsid w:val="7FBC066F"/>
    <w:rsid w:val="7FBF1CCC"/>
    <w:rsid w:val="7FC96657"/>
    <w:rsid w:val="7FDA9588"/>
    <w:rsid w:val="7FDF220F"/>
    <w:rsid w:val="7FEDC5F7"/>
    <w:rsid w:val="7FEDD9DE"/>
    <w:rsid w:val="7FF5890D"/>
    <w:rsid w:val="7FF7444E"/>
    <w:rsid w:val="7FF93490"/>
    <w:rsid w:val="99FF2014"/>
    <w:rsid w:val="A6DD0D7F"/>
    <w:rsid w:val="ADC6F725"/>
    <w:rsid w:val="AFFF3B99"/>
    <w:rsid w:val="B6D70386"/>
    <w:rsid w:val="B7CF06AB"/>
    <w:rsid w:val="B7CFA926"/>
    <w:rsid w:val="B7F8786B"/>
    <w:rsid w:val="B7FECA33"/>
    <w:rsid w:val="B7FFFE9D"/>
    <w:rsid w:val="B97F794A"/>
    <w:rsid w:val="BABB6AA1"/>
    <w:rsid w:val="BB2F4199"/>
    <w:rsid w:val="BB524A7D"/>
    <w:rsid w:val="BBBD51FD"/>
    <w:rsid w:val="BBFB9C12"/>
    <w:rsid w:val="BC79F210"/>
    <w:rsid w:val="BCFEDEE7"/>
    <w:rsid w:val="BD079C78"/>
    <w:rsid w:val="BD733540"/>
    <w:rsid w:val="BE3E4270"/>
    <w:rsid w:val="BE9D5C37"/>
    <w:rsid w:val="BF3735D5"/>
    <w:rsid w:val="BF7F09AC"/>
    <w:rsid w:val="BF7F316D"/>
    <w:rsid w:val="BFD475C3"/>
    <w:rsid w:val="BFDE5EA6"/>
    <w:rsid w:val="C7F733EB"/>
    <w:rsid w:val="CBECDB8C"/>
    <w:rsid w:val="CCEF44C1"/>
    <w:rsid w:val="CF6FC6F3"/>
    <w:rsid w:val="CF8FC0A4"/>
    <w:rsid w:val="CFD3D3D7"/>
    <w:rsid w:val="CFDF1009"/>
    <w:rsid w:val="D4AE9E36"/>
    <w:rsid w:val="D74FEDA3"/>
    <w:rsid w:val="D7D7B16A"/>
    <w:rsid w:val="D8D6DB89"/>
    <w:rsid w:val="DB6F4CAB"/>
    <w:rsid w:val="DB777682"/>
    <w:rsid w:val="DD1FB521"/>
    <w:rsid w:val="DD9B8A5B"/>
    <w:rsid w:val="DD9F64BE"/>
    <w:rsid w:val="DDF64C97"/>
    <w:rsid w:val="DEFBFEAE"/>
    <w:rsid w:val="DF1F3B80"/>
    <w:rsid w:val="DF6F9789"/>
    <w:rsid w:val="DFFFA9E8"/>
    <w:rsid w:val="E5F4E9DC"/>
    <w:rsid w:val="E70FE695"/>
    <w:rsid w:val="EB7F3AC2"/>
    <w:rsid w:val="ECFED1BC"/>
    <w:rsid w:val="ED1D69BB"/>
    <w:rsid w:val="ED7FD312"/>
    <w:rsid w:val="EDEDA7E1"/>
    <w:rsid w:val="EE775C90"/>
    <w:rsid w:val="EEBFFCE9"/>
    <w:rsid w:val="EF53993F"/>
    <w:rsid w:val="EF5E4F4D"/>
    <w:rsid w:val="EF6FD633"/>
    <w:rsid w:val="EFBFB2F4"/>
    <w:rsid w:val="EFBFFA21"/>
    <w:rsid w:val="EFED0302"/>
    <w:rsid w:val="F2BEBCB8"/>
    <w:rsid w:val="F2FECFC2"/>
    <w:rsid w:val="F36FB518"/>
    <w:rsid w:val="F3DE1A04"/>
    <w:rsid w:val="F3F722E5"/>
    <w:rsid w:val="F4EB0E35"/>
    <w:rsid w:val="F736D69E"/>
    <w:rsid w:val="F7F79F58"/>
    <w:rsid w:val="F9430B03"/>
    <w:rsid w:val="F9FE67F3"/>
    <w:rsid w:val="F9FFA23A"/>
    <w:rsid w:val="FA5F1E70"/>
    <w:rsid w:val="FA5FDB97"/>
    <w:rsid w:val="FB7F05D1"/>
    <w:rsid w:val="FB7F486A"/>
    <w:rsid w:val="FBFF5B2E"/>
    <w:rsid w:val="FCFB6FE3"/>
    <w:rsid w:val="FD66D95E"/>
    <w:rsid w:val="FD7FFE2B"/>
    <w:rsid w:val="FDEE196B"/>
    <w:rsid w:val="FDFE6575"/>
    <w:rsid w:val="FEDFDDC2"/>
    <w:rsid w:val="FEED32F6"/>
    <w:rsid w:val="FEF781DD"/>
    <w:rsid w:val="FF3F7E3F"/>
    <w:rsid w:val="FF4DFCB5"/>
    <w:rsid w:val="FF6E81EA"/>
    <w:rsid w:val="FFBA12D7"/>
    <w:rsid w:val="FFBBAA7F"/>
    <w:rsid w:val="FFDFFAEE"/>
    <w:rsid w:val="FFDFFF41"/>
    <w:rsid w:val="FFF074F6"/>
    <w:rsid w:val="FFF9B57B"/>
    <w:rsid w:val="FFFA55A7"/>
    <w:rsid w:val="FFFC897C"/>
    <w:rsid w:val="FFFCE128"/>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png"/><Relationship Id="rId17" Type="http://schemas.openxmlformats.org/officeDocument/2006/relationships/oleObject" Target="embeddings/oleObject4.bin"/><Relationship Id="rId16" Type="http://schemas.openxmlformats.org/officeDocument/2006/relationships/image" Target="media/image3.png"/><Relationship Id="rId15" Type="http://schemas.openxmlformats.org/officeDocument/2006/relationships/oleObject" Target="embeddings/oleObject3.bin"/><Relationship Id="rId14" Type="http://schemas.openxmlformats.org/officeDocument/2006/relationships/image" Target="media/image2.png"/><Relationship Id="rId13" Type="http://schemas.openxmlformats.org/officeDocument/2006/relationships/oleObject" Target="embeddings/oleObject2.bin"/><Relationship Id="rId12" Type="http://schemas.openxmlformats.org/officeDocument/2006/relationships/chart" Target="charts/chart1.xml"/><Relationship Id="rId11" Type="http://schemas.openxmlformats.org/officeDocument/2006/relationships/image" Target="media/image1.png"/><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2025年度收入决算结构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总收入 = 一般公共预算财政拨款收入</c:v>
                </c:pt>
              </c:strCache>
            </c:strRef>
          </c:cat>
          <c:val>
            <c:numRef>
              <c:f>Sheet1!$B$2:$B$5</c:f>
              <c:numCache>
                <c:formatCode>General</c:formatCode>
                <c:ptCount val="4"/>
                <c:pt idx="0">
                  <c:v>601.26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1"/>
        <c:delete val="1"/>
      </c:legendEntry>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566a97-e0db-44d0-992b-ba6bcc0755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5133</Words>
  <Characters>5497</Characters>
  <Lines>61</Lines>
  <Paragraphs>17</Paragraphs>
  <TotalTime>2</TotalTime>
  <ScaleCrop>false</ScaleCrop>
  <LinksUpToDate>false</LinksUpToDate>
  <CharactersWithSpaces>5521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2026-09-17T09:26:49Z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3BF536824C220DA3E40E8B68BA118B1C_42</vt:lpwstr>
  </property>
  <property fmtid="{D5CDD505-2E9C-101B-9397-08002B2CF9AE}" pid="4" name="KSOTemplateDocerSaveRecord">
    <vt:lpwstr>eyJoZGlkIjoiZDY5ZjMxMDVkMjA3MDNkMTg0NDIyYmI2OGJmMGMzODUiLCJ1c2VySWQiOiI2MTU0NDAyNDAifQ==</vt:lpwstr>
  </property>
</Properties>
</file>