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9EC909">
      <w:pPr>
        <w:pStyle w:val="5"/>
        <w:rPr>
          <w:rFonts w:hint="eastAsia" w:ascii="黑体" w:hAnsi="黑体" w:eastAsia="黑体" w:cs="黑体"/>
          <w:color w:val="auto"/>
          <w:kern w:val="2"/>
          <w:sz w:val="32"/>
          <w:szCs w:val="32"/>
          <w:highlight w:val="none"/>
          <w:lang w:val="en-US" w:eastAsia="zh-CN" w:bidi="ar-SA"/>
        </w:rPr>
      </w:pPr>
      <w:bookmarkStart w:id="0" w:name="_Toc15396475"/>
      <w:bookmarkStart w:id="1" w:name="_Toc15377425"/>
      <w:bookmarkStart w:id="2" w:name="_Toc15396597"/>
      <w:bookmarkStart w:id="3" w:name="_Toc15377193"/>
      <w:bookmarkStart w:id="4" w:name="_Toc15306267"/>
      <w:bookmarkStart w:id="5" w:name="_Toc15378441"/>
    </w:p>
    <w:p w14:paraId="48439689">
      <w:pPr>
        <w:pStyle w:val="5"/>
        <w:rPr>
          <w:rFonts w:hint="eastAsia" w:ascii="Times New Roman" w:hAnsi="Times New Roman" w:eastAsia="方正小标宋简体" w:cs="Times New Roman"/>
          <w:color w:val="auto"/>
          <w:kern w:val="2"/>
          <w:sz w:val="72"/>
          <w:szCs w:val="72"/>
          <w:highlight w:val="none"/>
          <w:lang w:val="en-US" w:eastAsia="zh-CN" w:bidi="ar-SA"/>
        </w:rPr>
      </w:pPr>
    </w:p>
    <w:p w14:paraId="6E71B645">
      <w:pPr>
        <w:pStyle w:val="5"/>
        <w:rPr>
          <w:rFonts w:hint="eastAsia" w:ascii="Times New Roman" w:hAnsi="Times New Roman" w:eastAsia="方正小标宋简体" w:cs="Times New Roman"/>
          <w:color w:val="auto"/>
          <w:kern w:val="2"/>
          <w:sz w:val="72"/>
          <w:szCs w:val="72"/>
          <w:highlight w:val="none"/>
          <w:lang w:val="en-US" w:eastAsia="zh-CN" w:bidi="ar-SA"/>
        </w:rPr>
      </w:pPr>
    </w:p>
    <w:p w14:paraId="326DD3D2">
      <w:pPr>
        <w:pStyle w:val="5"/>
        <w:rPr>
          <w:rFonts w:hint="eastAsia" w:ascii="Times New Roman" w:hAnsi="Times New Roman" w:eastAsia="方正小标宋简体" w:cs="Times New Roman"/>
          <w:color w:val="auto"/>
          <w:kern w:val="2"/>
          <w:sz w:val="72"/>
          <w:szCs w:val="72"/>
          <w:highlight w:val="none"/>
          <w:lang w:val="en-US" w:eastAsia="zh-CN" w:bidi="ar-SA"/>
        </w:rPr>
      </w:pPr>
    </w:p>
    <w:p w14:paraId="70E85226">
      <w:pPr>
        <w:pStyle w:val="5"/>
        <w:rPr>
          <w:rFonts w:hint="eastAsia" w:ascii="Times New Roman" w:hAnsi="Times New Roman" w:eastAsia="方正小标宋简体" w:cs="Times New Roman"/>
          <w:color w:val="auto"/>
          <w:kern w:val="2"/>
          <w:sz w:val="72"/>
          <w:szCs w:val="72"/>
          <w:highlight w:val="none"/>
          <w:lang w:val="en-US" w:eastAsia="zh-CN" w:bidi="ar-SA"/>
        </w:rPr>
      </w:pPr>
    </w:p>
    <w:p w14:paraId="0444F6DA">
      <w:pPr>
        <w:pStyle w:val="5"/>
        <w:jc w:val="center"/>
        <w:rPr>
          <w:rFonts w:hint="eastAsia" w:ascii="Times New Roman" w:hAnsi="Times New Roman" w:eastAsia="黑体"/>
          <w:color w:val="auto"/>
          <w:sz w:val="48"/>
          <w:szCs w:val="48"/>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r>
        <w:rPr>
          <w:rFonts w:hint="eastAsia" w:ascii="Times New Roman" w:eastAsia="方正小标宋简体" w:cs="Times New Roman"/>
          <w:color w:val="auto"/>
          <w:kern w:val="2"/>
          <w:sz w:val="44"/>
          <w:szCs w:val="44"/>
          <w:highlight w:val="none"/>
          <w:lang w:val="en-US" w:eastAsia="zh-CN" w:bidi="ar-SA"/>
        </w:rPr>
        <w:t>阿坝藏族羌族自治州自然资源局（机关）</w:t>
      </w:r>
      <w:r>
        <w:rPr>
          <w:rFonts w:hint="eastAsia" w:ascii="Times New Roman" w:hAnsi="Times New Roman" w:eastAsia="方正小标宋简体" w:cs="Times New Roman"/>
          <w:color w:val="auto"/>
          <w:kern w:val="2"/>
          <w:sz w:val="44"/>
          <w:szCs w:val="44"/>
          <w:highlight w:val="none"/>
          <w:lang w:val="en-US" w:eastAsia="zh-CN" w:bidi="ar-SA"/>
        </w:rPr>
        <w:t>决算</w:t>
      </w:r>
      <w:r>
        <w:rPr>
          <w:rFonts w:hint="eastAsia" w:ascii="Times New Roman" w:eastAsia="方正小标宋简体" w:cs="Times New Roman"/>
          <w:color w:val="auto"/>
          <w:kern w:val="2"/>
          <w:sz w:val="44"/>
          <w:szCs w:val="44"/>
          <w:highlight w:val="none"/>
          <w:lang w:val="en-US" w:eastAsia="zh-CN" w:bidi="ar-SA"/>
        </w:rPr>
        <w:t>公开报告</w:t>
      </w:r>
      <w:bookmarkEnd w:id="0"/>
      <w:bookmarkEnd w:id="1"/>
      <w:bookmarkEnd w:id="2"/>
      <w:bookmarkEnd w:id="3"/>
      <w:bookmarkEnd w:id="4"/>
      <w:bookmarkEnd w:id="5"/>
    </w:p>
    <w:p w14:paraId="72B89E4D">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50F94C13">
      <w:pPr>
        <w:widowControl/>
        <w:jc w:val="center"/>
        <w:rPr>
          <w:rFonts w:ascii="Times New Roman" w:hAnsi="Times New Roman" w:eastAsia="黑体" w:cstheme="minorBidi"/>
          <w:color w:val="auto"/>
          <w:sz w:val="28"/>
          <w:szCs w:val="28"/>
          <w:highlight w:val="none"/>
        </w:rPr>
      </w:pPr>
    </w:p>
    <w:p w14:paraId="7EEA1B10">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18</w:t>
      </w:r>
      <w:r>
        <w:rPr>
          <w:rFonts w:hint="eastAsia" w:ascii="Times New Roman" w:hAnsi="Times New Roman" w:eastAsia="仿宋_GB2312" w:cs="仿宋_GB2312"/>
          <w:color w:val="auto"/>
          <w:sz w:val="32"/>
          <w:szCs w:val="32"/>
          <w:highlight w:val="none"/>
        </w:rPr>
        <w:t>日</w:t>
      </w:r>
    </w:p>
    <w:p w14:paraId="26D0F943">
      <w:pPr>
        <w:rPr>
          <w:rFonts w:ascii="Times New Roman" w:hAnsi="Times New Roman"/>
          <w:color w:val="auto"/>
          <w:highlight w:val="none"/>
        </w:rPr>
      </w:pPr>
    </w:p>
    <w:p w14:paraId="42E987A8">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7400536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50935E9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6F9B4863">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2D8BFCF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62DCB55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4A598DC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5AD8835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586916F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0388FD1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48A7BE2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566BD3D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6F0365D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19F7EAC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550CE2F7">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7D986B9C">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51CF04FD">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26D46CD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2B05146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47D975C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111B080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p>
    <w:p w14:paraId="3B0FCE3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12A53D5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29F718F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394F21A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1A3B2AC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666C4BC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436D1C9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620024A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2441A26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7073B6F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6FCA51BD">
      <w:pPr>
        <w:pStyle w:val="2"/>
        <w:jc w:val="center"/>
        <w:rPr>
          <w:rFonts w:hint="eastAsia" w:ascii="Times New Roman" w:hAnsi="Times New Roman" w:eastAsia="方正小标宋简体" w:cs="方正小标宋简体"/>
          <w:b w:val="0"/>
          <w:color w:val="auto"/>
          <w:highlight w:val="none"/>
        </w:rPr>
        <w:sectPr>
          <w:footerReference r:id="rId7" w:type="default"/>
          <w:pgSz w:w="11906" w:h="16838"/>
          <w:pgMar w:top="1440" w:right="1800" w:bottom="1440" w:left="1800" w:header="851" w:footer="992" w:gutter="0"/>
          <w:pgNumType w:fmt="decimal" w:start="1"/>
          <w:cols w:space="425" w:num="1"/>
          <w:docGrid w:type="lines" w:linePitch="312" w:charSpace="0"/>
        </w:sectPr>
      </w:pPr>
      <w:bookmarkStart w:id="6" w:name="_Toc15377196"/>
      <w:bookmarkStart w:id="7" w:name="_Toc15396599"/>
    </w:p>
    <w:p w14:paraId="5E7063D0">
      <w:pPr>
        <w:pStyle w:val="2"/>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p>
    <w:p w14:paraId="00CBD749">
      <w:pPr>
        <w:widowControl/>
        <w:jc w:val="left"/>
        <w:rPr>
          <w:rFonts w:ascii="Times New Roman" w:hAnsi="Times New Roman" w:eastAsia="黑体"/>
          <w:color w:val="auto"/>
          <w:sz w:val="32"/>
          <w:szCs w:val="32"/>
          <w:highlight w:val="none"/>
        </w:rPr>
      </w:pPr>
    </w:p>
    <w:p w14:paraId="3E79FC6C">
      <w:pPr>
        <w:pStyle w:val="3"/>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230E0963">
      <w:pPr>
        <w:keepNext w:val="0"/>
        <w:keepLines w:val="0"/>
        <w:pageBreakBefore w:val="0"/>
        <w:widowControl w:val="0"/>
        <w:kinsoku/>
        <w:wordWrap/>
        <w:overflowPunct/>
        <w:topLinePunct w:val="0"/>
        <w:autoSpaceDE/>
        <w:autoSpaceDN/>
        <w:bidi w:val="0"/>
        <w:adjustRightInd/>
        <w:snapToGrid/>
        <w:spacing w:line="576" w:lineRule="exact"/>
        <w:ind w:firstLine="420" w:firstLineChars="200"/>
        <w:textAlignment w:val="auto"/>
        <w:rPr>
          <w:rFonts w:hint="eastAsia" w:ascii="仿宋_GB2312" w:hAnsi="仿宋_GB2312" w:eastAsia="仿宋_GB2312" w:cs="仿宋_GB2312"/>
          <w:sz w:val="32"/>
          <w:szCs w:val="32"/>
          <w:lang w:eastAsia="zh-CN"/>
        </w:rPr>
      </w:pPr>
      <w:r>
        <w:rPr>
          <w:rFonts w:hint="eastAsia"/>
          <w:lang w:val="en-US" w:eastAsia="zh-CN"/>
        </w:rPr>
        <w:t xml:space="preserve"> </w:t>
      </w:r>
      <w:r>
        <w:rPr>
          <w:rFonts w:hint="eastAsia" w:ascii="仿宋_GB2312" w:hAnsi="仿宋_GB2312" w:eastAsia="仿宋_GB2312" w:cs="仿宋_GB2312"/>
          <w:sz w:val="32"/>
          <w:szCs w:val="32"/>
          <w:lang w:eastAsia="zh-CN"/>
        </w:rPr>
        <w:t>阿坝州自然资源局机关内设机构和职责如下：</w:t>
      </w:r>
    </w:p>
    <w:p w14:paraId="531822F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（一）办公室。负责文电、会务、档案、机要等机关日常运</w:t>
      </w:r>
      <w:r>
        <w:rPr>
          <w:rFonts w:hint="eastAsia" w:ascii="仿宋_GB2312" w:hAnsi="仿宋_GB2312" w:eastAsia="仿宋_GB2312" w:cs="仿宋_GB2312"/>
          <w:sz w:val="32"/>
          <w:szCs w:val="32"/>
          <w:lang w:val="en-US" w:eastAsia="zh-CN"/>
        </w:rPr>
        <w:t>转工作。承担保密、信息、绩效管理、政务公开等工作。组织办</w:t>
      </w:r>
      <w:r>
        <w:rPr>
          <w:rFonts w:hint="eastAsia" w:ascii="仿宋_GB2312" w:hAnsi="仿宋_GB2312" w:eastAsia="仿宋_GB2312" w:cs="仿宋_GB2312"/>
          <w:sz w:val="32"/>
          <w:szCs w:val="32"/>
        </w:rPr>
        <w:t>理人大代表建议、政协委员提案。拟订全州自然资源领域科技发展规划和计划。组织执行国家有关技术标准、规程规范，组织实施重大科技专项及创新能力建设。承担国际、港澳台及跨省、跨州合作交流和有关外事事务。组织编制自然资源发展战略、中长期规划和年度计划工作。开展重大问题调查研究，负责起草本单位重要文件文稿，协调自然资源领域综合改革有关工作。协助开展自然资源领域军民融合深度发展工作。牵头综合统计和本单位专业统计归口管理。承担国家和省、州财政安排的有关工作经费、专项资金的管理工作。拟订有关财务、资产管理的规章，负责本单位和所属单位财务及国有资产监管，负责本单位预决算、政府采购、国库集中支付工作。承担基本建设及重大专项投资、重大装备资金的拨付工作。承担财政和社会资金的结构优化和监测工作，拟订合理利用社会资金的政策措施。</w:t>
      </w:r>
    </w:p>
    <w:p w14:paraId="7F70D71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信访法规科（行政审批科）。起草有关全州自然资源等地方性法规和规范性文件草案。组织开展全州自然资源系统规范性文件合法性审查和清理工作。承担法治政府建设有关工作，组织开展法治宣传教育。承担行政复议、行政应诉、行政调解有关工作，组织重大处罚案件、许可事项听证。承担本系统权责清单制度建设、动态调整等工作。牵头协调推进本系统政府职能转变、优化政府服务提升行政效能、行政审批制度改革，优化营商环境，承担审批服务便民化有关工作。集中承担州本级有关审批</w:t>
      </w:r>
      <w:r>
        <w:rPr>
          <w:rFonts w:hint="eastAsia" w:ascii="仿宋_GB2312" w:hAnsi="仿宋_GB2312" w:eastAsia="仿宋_GB2312" w:cs="仿宋_GB2312"/>
          <w:sz w:val="32"/>
          <w:szCs w:val="32"/>
          <w:lang w:val="en-US" w:eastAsia="zh-CN"/>
        </w:rPr>
        <w:t>服务事项的受理、审批等工作，推进纳入一体化政务服务平台。</w:t>
      </w:r>
      <w:r>
        <w:rPr>
          <w:rFonts w:hint="eastAsia" w:ascii="仿宋_GB2312" w:hAnsi="仿宋_GB2312" w:eastAsia="仿宋_GB2312" w:cs="仿宋_GB2312"/>
          <w:sz w:val="32"/>
          <w:szCs w:val="32"/>
        </w:rPr>
        <w:t>负责指导、办理全州自然资源系统重大信访事项，协调处置涉及</w:t>
      </w:r>
      <w:r>
        <w:rPr>
          <w:rFonts w:hint="eastAsia" w:ascii="仿宋_GB2312" w:hAnsi="仿宋_GB2312" w:eastAsia="仿宋_GB2312" w:cs="仿宋_GB2312"/>
          <w:sz w:val="32"/>
          <w:szCs w:val="32"/>
          <w:lang w:val="en-US" w:eastAsia="zh-CN"/>
        </w:rPr>
        <w:t>自然资源的群体性突发事件及维稳工作，分析全州自然资源系统</w:t>
      </w:r>
      <w:r>
        <w:rPr>
          <w:rFonts w:hint="eastAsia" w:ascii="仿宋_GB2312" w:hAnsi="仿宋_GB2312" w:eastAsia="仿宋_GB2312" w:cs="仿宋_GB2312"/>
          <w:sz w:val="32"/>
          <w:szCs w:val="32"/>
        </w:rPr>
        <w:t>信访工作情况。拟订全州自然资源系统内部审计制度并组织实施。负责内部审计、各类专项资金、重大项目等审计监督工作。</w:t>
      </w:r>
    </w:p>
    <w:p w14:paraId="72C84BA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综合执法监督科（督察室）。拟订全州国土空间规划和自然资源综合执法工作标准和规范并监督实施，负责全州国土空间规划和自然资源重大违法案件查处、督办和跨区域执法的组织协调。承担法律法规规章赋予州级国土空间规划和自然资源执法职责，协调各科室行使州自然资源局的行政处罚、行政强制职能。负责本行业执法规范化建设工作。监督、指导县（市）开展国土空间规划和自然资源综合执法。指导全州自然资源执法队伍建设。组织实施自然资源督察相关政策和工作规则。配合国家、省对县（市）政府落实党中央、国务院、省委、省政府关于自然资源和国土空间规划的重大方针政策、决策部署及法律法规执行情况进行督察。按照州委、州政府安排，组织实施自然资源督察相关工作。承担全州自然资源系统行政效能、行风政风建设相关工作。</w:t>
      </w:r>
    </w:p>
    <w:p w14:paraId="59D39E7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自然资源调查确权科（测绘管理办公室）。组织实施全州各类自然资源和不动产统一确权登记、权籍调查、不动产测绘、争议调处、成果应用的制度、标准、规范的实施意见。承担指导监督全州自然资源和不动产确权登记工作。负责全州自然资</w:t>
      </w:r>
      <w:r>
        <w:rPr>
          <w:rFonts w:hint="eastAsia" w:ascii="仿宋_GB2312" w:hAnsi="仿宋_GB2312" w:eastAsia="仿宋_GB2312" w:cs="仿宋_GB2312"/>
          <w:sz w:val="32"/>
          <w:szCs w:val="32"/>
          <w:lang w:val="en-US" w:eastAsia="zh-CN"/>
        </w:rPr>
        <w:t>源和不动产登记信息管理基础平台工作，管理登记资料。负责由</w:t>
      </w:r>
      <w:r>
        <w:rPr>
          <w:rFonts w:hint="eastAsia" w:ascii="仿宋_GB2312" w:hAnsi="仿宋_GB2312" w:eastAsia="仿宋_GB2312" w:cs="仿宋_GB2312"/>
          <w:sz w:val="32"/>
          <w:szCs w:val="32"/>
        </w:rPr>
        <w:t>州本级承担的自然资源确权登记。依照国家评价的指标体系和统计标准，负责全州自然资源定期调查监测评价工作。组织实施全州性自然资源基础调查、变更调查、动态监测和分析评价。开展水、森林、草原、湿地资源等专项调查监测评价工作。承担自然资源调查监测评价成果的汇交、管理、维护、发布、共享和利用监督。统一监督管理全州基础测绘地理信息工作，负责全州勘察设计、咨询、测绘单位资格管理，指导测绘标志的管理与保护，管理全州各级行政区域测绘工作。</w:t>
      </w:r>
    </w:p>
    <w:p w14:paraId="2DA2CC2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自然资源开发利用与用途管制科。监督实施自然资源资产有偿使用制度，负责全州自然资源市场交易规则和交易平台工作，组织开展自然资源市场调控。负责全州自然资源市场监督管理和动态监测，建立自然资源市场信用体系。建立政府公示自然资源价格体系，组织开展全州自然资源分等定级价格评估。拟订全州自然资源开发利用地方标准，开展评价考核，指导节约集约利用。组织实施全民所有自然资源资产管理政策，负责全民所有自然资源资产统计，承担自然资源资产价值评估和资产核算工作。依照国家相关要求编制全民所有自然资源资产负债表，负责全民所有自然资源资产考核工作。组织实施全民所有自然资源资产划拨、出让、租赁、作价出资和土地储备政策。承担州属事业单位、改制企业的国有土地资产处置相关工作。组织执行国土空间用途管制制度规范和技术标准。提出全州土地年度利用计划并</w:t>
      </w:r>
      <w:r>
        <w:rPr>
          <w:rFonts w:hint="eastAsia" w:ascii="仿宋_GB2312" w:hAnsi="仿宋_GB2312" w:eastAsia="仿宋_GB2312" w:cs="仿宋_GB2312"/>
          <w:sz w:val="32"/>
          <w:szCs w:val="32"/>
          <w:lang w:val="en-US" w:eastAsia="zh-CN"/>
        </w:rPr>
        <w:t>组织实施。组织实施耕地、林地、草地、湿地等国土空间用途转</w:t>
      </w:r>
      <w:r>
        <w:rPr>
          <w:rFonts w:hint="eastAsia" w:ascii="仿宋_GB2312" w:hAnsi="仿宋_GB2312" w:eastAsia="仿宋_GB2312" w:cs="仿宋_GB2312"/>
          <w:sz w:val="32"/>
          <w:szCs w:val="32"/>
        </w:rPr>
        <w:t>用政策和管理规定，指导全州建设项目用地预审工作。拟订开展城乡规划管理等用途管制政策并监督实施。承担报国务院、省政府、州政府审批的各类土地用途转用的审核、报批工作。</w:t>
      </w:r>
    </w:p>
    <w:p w14:paraId="7940D11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国土空间规划科。拟订全州国土空间规划相关政策，承担建立空间规划体系工作并监督实施。组织编制全州国土空间规划和相关专项规划并监督实施。承担报省政府和州政府审批的国土空间规划的审核、报批工作，指导和审核涉及国土空间开发利用的全州重大专项规划。开展国土空间开发适宜性评价，建立国土空间规划实施监测、评估和预警体系。</w:t>
      </w:r>
    </w:p>
    <w:p w14:paraId="1C31866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耕地保护监督科。拟订并实施全州耕地保护政策，组织实施耕地保护责任目标考核和永久基本农田特殊保护，负责永久基本农田划定、占用和补划的监督管理。承担耕地占补平衡管理工作。承担土地征收征用管理工作。负责耕地保护政策与林地、草地、湿地等土地资源保护政策的衔接。</w:t>
      </w:r>
    </w:p>
    <w:p w14:paraId="6741276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国土空间生态修复科。承担国土空间生态修复政策研究工作，拟订全州国土空间生态修复规划。承担国土空间综合整治、土地整理复垦、矿山地质环境恢复治理等工作。承担生态保护补偿相关工作。指导国土空间生态修复工作。负责职责范围内的生态环境保护工作。</w:t>
      </w:r>
    </w:p>
    <w:p w14:paraId="40D10FB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（九）地质灾害防治科。承担全州地质灾害的预防和治理工作，拟订地质灾害防治规划并组织实施。负责全州地质灾害调查</w:t>
      </w:r>
      <w:r>
        <w:rPr>
          <w:rFonts w:hint="eastAsia" w:ascii="仿宋_GB2312" w:hAnsi="仿宋_GB2312" w:eastAsia="仿宋_GB2312" w:cs="仿宋_GB2312"/>
          <w:sz w:val="32"/>
          <w:szCs w:val="32"/>
          <w:lang w:val="en-US" w:eastAsia="zh-CN"/>
        </w:rPr>
        <w:t>评价工作。组织协调和监督实施地质灾害隐患的普查、详查、排</w:t>
      </w:r>
      <w:r>
        <w:rPr>
          <w:rFonts w:hint="eastAsia" w:ascii="仿宋_GB2312" w:hAnsi="仿宋_GB2312" w:eastAsia="仿宋_GB2312" w:cs="仿宋_GB2312"/>
          <w:sz w:val="32"/>
          <w:szCs w:val="32"/>
        </w:rPr>
        <w:t>查，组织、指导地质灾害群测群防、专业监测和预报预警等工作。监督管理地下水过量开采及引发的地面沉降等地质问题。承担地质灾害应急救援的技术保障工作。</w:t>
      </w:r>
    </w:p>
    <w:p w14:paraId="16777FE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矿产资源管理科。拟订全州矿业权管理政策并组织实施，负责州级发证的矿产资源矿业权出让及审批登记。统计分析并指导全州探矿权、采矿权审批登记，调处重大矿权权属纠纷。承担保护性开采的特定矿种、优势矿产的开采总量控制及相关管理工作。负责职责范围内的安全生产和职业健康工作。拟订全州矿产资源战略、政策和规划并组织实施，监督指导矿产资源合理利用和保护。承担矿产资源储量评审、备案、登记、统计和信息发布及压覆矿产资源审批管理、矿产地战略储备工作。实施矿山储量动态管理，建立矿产资源安全监测预警体系。监督地质资料汇交、保管和利用，监督管理古生物化石。管理全州地质勘查行业和地质工作，拟订全州地质勘查规划并监督检查执行情况。管理州级地质勘查项目，组织实施重大地质矿产勘查专项工作。负责全州公益性地质调查和矿产资源调查评价。承担全州地质勘查行业统计和成果统计，监督管理矿产资源勘查行为。</w:t>
      </w:r>
    </w:p>
    <w:p w14:paraId="0693FED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lang w:eastAsia="zh-CN"/>
        </w:rPr>
      </w:pPr>
      <w:r>
        <w:rPr>
          <w:rFonts w:hint="eastAsia" w:ascii="仿宋_GB2312" w:hAnsi="仿宋_GB2312" w:eastAsia="仿宋_GB2312" w:cs="仿宋_GB2312"/>
          <w:sz w:val="32"/>
          <w:szCs w:val="32"/>
        </w:rPr>
        <w:t>（十一）人事科。承担本单位和所属单位的人事管理、机构编制、工资和教育培训等工作，指导全州自然资源系统人才队伍建设工作。负责本单位和所属单位离退休人员管理工作。负责本单位党建工作，承担本单位党风廉政建设工作，负责指导本单位基层党组织做好党的建设工作。</w:t>
      </w:r>
    </w:p>
    <w:p w14:paraId="74A5CECB">
      <w:pPr>
        <w:pStyle w:val="3"/>
        <w:rPr>
          <w:rStyle w:val="29"/>
          <w:rFonts w:ascii="Times New Roman" w:hAnsi="Times New Roman"/>
          <w:b w:val="0"/>
          <w:bCs w:val="0"/>
          <w:color w:val="auto"/>
          <w:highlight w:val="none"/>
        </w:rPr>
      </w:pPr>
      <w:bookmarkStart w:id="8" w:name="_Toc15377200"/>
      <w:bookmarkStart w:id="9"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8"/>
      <w:bookmarkEnd w:id="9"/>
    </w:p>
    <w:p w14:paraId="479429CD">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sz w:val="32"/>
          <w:szCs w:val="32"/>
          <w:lang w:eastAsia="zh-CN"/>
        </w:rPr>
        <w:t>阿坝州自然资源局机关</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14:paraId="77FBF12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阿坝州自然资源局机关</w:t>
      </w:r>
      <w:r>
        <w:rPr>
          <w:rFonts w:hint="eastAsia" w:ascii="仿宋_GB2312" w:hAnsi="仿宋_GB2312" w:eastAsia="仿宋_GB2312" w:cs="仿宋_GB2312"/>
          <w:sz w:val="32"/>
          <w:szCs w:val="32"/>
        </w:rPr>
        <w:t>内设机构</w:t>
      </w:r>
      <w:r>
        <w:rPr>
          <w:rFonts w:hint="eastAsia" w:ascii="仿宋_GB2312" w:hAnsi="仿宋_GB2312" w:eastAsia="仿宋_GB2312" w:cs="仿宋_GB2312"/>
          <w:sz w:val="32"/>
          <w:szCs w:val="32"/>
          <w:lang w:eastAsia="zh-CN"/>
        </w:rPr>
        <w:t>共</w:t>
      </w:r>
      <w:r>
        <w:rPr>
          <w:rFonts w:hint="eastAsia" w:ascii="仿宋_GB2312" w:hAnsi="仿宋_GB2312" w:eastAsia="仿宋_GB2312" w:cs="仿宋_GB2312"/>
          <w:sz w:val="32"/>
          <w:szCs w:val="32"/>
          <w:lang w:val="en-US" w:eastAsia="zh-CN"/>
        </w:rPr>
        <w:t>11 个，</w:t>
      </w:r>
      <w:r>
        <w:rPr>
          <w:rFonts w:hint="eastAsia" w:ascii="仿宋_GB2312" w:hAnsi="仿宋_GB2312" w:eastAsia="仿宋_GB2312" w:cs="仿宋_GB2312"/>
          <w:sz w:val="32"/>
          <w:szCs w:val="32"/>
        </w:rPr>
        <w:t>行政编制28名。设局长1名，副局长3名；正科级领导职数13名（含总工程师1名、总规划师1名），副科级领导职数6名。保留机关工勤人员控制数4名</w:t>
      </w:r>
      <w:r>
        <w:rPr>
          <w:rFonts w:hint="eastAsia" w:ascii="仿宋_GB2312" w:hAnsi="仿宋_GB2312" w:eastAsia="仿宋_GB2312" w:cs="仿宋_GB2312"/>
          <w:sz w:val="32"/>
          <w:szCs w:val="32"/>
          <w:lang w:eastAsia="zh-CN"/>
        </w:rPr>
        <w:t>。</w:t>
      </w:r>
    </w:p>
    <w:p w14:paraId="3D8F1BBB">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2DDDF530">
      <w:pPr>
        <w:pStyle w:val="2"/>
        <w:jc w:val="center"/>
        <w:rPr>
          <w:rFonts w:hint="eastAsia" w:ascii="Times New Roman" w:hAnsi="Times New Roman" w:eastAsia="方正小标宋简体" w:cs="方正小标宋简体"/>
          <w:b w:val="0"/>
          <w:color w:val="auto"/>
          <w:highlight w:val="none"/>
        </w:rPr>
      </w:pPr>
      <w:bookmarkStart w:id="10" w:name="_Toc15396602"/>
      <w:bookmarkStart w:id="11"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0"/>
      <w:bookmarkEnd w:id="11"/>
    </w:p>
    <w:p w14:paraId="60536CE4">
      <w:pPr>
        <w:rPr>
          <w:rFonts w:ascii="Times New Roman" w:hAnsi="Times New Roman"/>
          <w:color w:val="auto"/>
          <w:highlight w:val="none"/>
        </w:rPr>
      </w:pPr>
    </w:p>
    <w:p w14:paraId="032582E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2" w:name="_Toc15377205"/>
      <w:bookmarkStart w:id="13"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2"/>
      <w:bookmarkEnd w:id="13"/>
    </w:p>
    <w:p w14:paraId="546D772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eastAsia="仿宋_GB2312" w:cs="宋体"/>
          <w:sz w:val="32"/>
          <w:szCs w:val="32"/>
          <w:lang w:eastAsia="zh-CN" w:bidi="ar-SA"/>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eastAsia="仿宋_GB2312"/>
          <w:sz w:val="32"/>
          <w:szCs w:val="32"/>
          <w:lang w:val="en-US" w:eastAsia="zh-CN"/>
        </w:rPr>
        <w:t>7025.29</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val="en-US" w:eastAsia="zh-CN"/>
        </w:rPr>
        <w:t>2024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仿宋_GB2312" w:eastAsia="仿宋_GB2312"/>
          <w:sz w:val="32"/>
          <w:szCs w:val="32"/>
          <w:lang w:val="en-US" w:eastAsia="zh-CN"/>
        </w:rPr>
        <w:t>4026.61</w:t>
      </w:r>
      <w:r>
        <w:rPr>
          <w:rFonts w:hint="eastAsia" w:ascii="仿宋_GB2312" w:eastAsia="仿宋_GB2312"/>
          <w:sz w:val="32"/>
          <w:szCs w:val="32"/>
        </w:rPr>
        <w:t>万元</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ascii="仿宋_GB2312" w:eastAsia="仿宋_GB2312"/>
          <w:sz w:val="32"/>
          <w:szCs w:val="32"/>
          <w:lang w:val="en-US" w:eastAsia="zh-CN"/>
        </w:rPr>
        <w:t>2998.68</w:t>
      </w:r>
      <w:r>
        <w:rPr>
          <w:rFonts w:hint="eastAsia" w:ascii="Times New Roman" w:hAnsi="Times New Roman" w:eastAsia="仿宋_GB2312" w:cs="仿宋_GB2312"/>
          <w:color w:val="auto"/>
          <w:sz w:val="32"/>
          <w:szCs w:val="32"/>
          <w:highlight w:val="none"/>
        </w:rPr>
        <w:t>万元，增长</w:t>
      </w:r>
      <w:r>
        <w:rPr>
          <w:rFonts w:hint="eastAsia" w:ascii="仿宋_GB2312" w:eastAsia="仿宋_GB2312"/>
          <w:sz w:val="32"/>
          <w:szCs w:val="32"/>
          <w:lang w:val="en-US" w:eastAsia="zh-CN"/>
        </w:rPr>
        <w:t>74.5</w:t>
      </w:r>
      <w:r>
        <w:rPr>
          <w:rFonts w:hint="eastAsia" w:ascii="Times New Roman" w:hAnsi="Times New Roman" w:eastAsia="仿宋_GB2312" w:cs="仿宋_GB2312"/>
          <w:color w:val="auto"/>
          <w:sz w:val="32"/>
          <w:szCs w:val="32"/>
          <w:highlight w:val="none"/>
        </w:rPr>
        <w:t>%。主要变动原因是</w:t>
      </w:r>
      <w:r>
        <w:rPr>
          <w:rFonts w:hint="eastAsia" w:ascii="仿宋_GB2312" w:eastAsia="仿宋_GB2312"/>
          <w:sz w:val="32"/>
          <w:szCs w:val="32"/>
        </w:rPr>
        <w:t>人员变动、公务用车更新和年中增加中省重大建设项目</w:t>
      </w:r>
      <w:r>
        <w:rPr>
          <w:rFonts w:hint="eastAsia" w:ascii="仿宋_GB2312" w:eastAsia="仿宋_GB2312"/>
          <w:sz w:val="32"/>
          <w:szCs w:val="32"/>
          <w:lang w:eastAsia="zh-CN"/>
        </w:rPr>
        <w:t>，</w:t>
      </w:r>
      <w:r>
        <w:rPr>
          <w:rFonts w:hint="eastAsia" w:ascii="仿宋_GB2312" w:eastAsia="仿宋_GB2312" w:cs="宋体"/>
          <w:sz w:val="32"/>
          <w:szCs w:val="32"/>
          <w:lang w:bidi="ar-SA"/>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仿宋_GB2312" w:eastAsia="仿宋_GB2312" w:cs="宋体"/>
          <w:sz w:val="32"/>
          <w:szCs w:val="32"/>
          <w:lang w:bidi="ar-SA"/>
        </w:rPr>
        <w:t>大幅</w:t>
      </w:r>
      <w:r>
        <w:rPr>
          <w:rFonts w:hint="eastAsia" w:ascii="仿宋_GB2312" w:eastAsia="仿宋_GB2312" w:cs="宋体"/>
          <w:sz w:val="32"/>
          <w:szCs w:val="32"/>
          <w:lang w:eastAsia="zh-CN" w:bidi="ar-SA"/>
        </w:rPr>
        <w:t>增加。</w:t>
      </w:r>
    </w:p>
    <w:p w14:paraId="0347A7B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rPr>
      </w:pPr>
      <w:r>
        <w:rPr>
          <w:rFonts w:hint="eastAsia" w:ascii="仿宋_GB2312" w:eastAsia="仿宋_GB2312" w:cs="宋体"/>
          <w:sz w:val="32"/>
          <w:szCs w:val="32"/>
          <w:lang w:eastAsia="zh-CN" w:bidi="ar-SA"/>
        </w:rPr>
        <w:pict>
          <v:shape id="Object 5" o:spid="_x0000_s1026" o:spt="75" alt="olechartimg_1768810638341930_187651406044672" type="#_x0000_t75" style="position:absolute;left:0pt;margin-left:77.8pt;margin-top:14.2pt;height:227.25pt;width:306.75pt;mso-wrap-distance-bottom:0pt;mso-wrap-distance-top:0pt;z-index:251659264;mso-width-relative:page;mso-height-relative:page;" o:ole="t" filled="f" o:preferrelative="t" stroked="f" coordsize="21600,21600">
            <v:path/>
            <v:fill on="f" focussize="0,0"/>
            <v:stroke on="f"/>
            <v:imagedata r:id="rId11" o:title="olechartimg_1768810638341930_187651406044672"/>
            <o:lock v:ext="edit" aspectratio="t"/>
            <w10:wrap type="topAndBottom"/>
          </v:shape>
          <o:OLEObject Type="Embed" ProgID="Excel.Sheet.8" ShapeID="Object 5" DrawAspect="Content" ObjectID="_1468075725" r:id="rId10">
            <o:LockedField>false</o:LockedField>
          </o:OLEObject>
        </w:pict>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14:paraId="2913116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77206"/>
      <w:bookmarkStart w:id="15" w:name="_Toc15396604"/>
      <w:r>
        <w:rPr>
          <w:rFonts w:hint="eastAsia" w:ascii="Times New Roman" w:hAnsi="Times New Roman" w:eastAsia="黑体"/>
          <w:color w:val="auto"/>
          <w:sz w:val="32"/>
          <w:szCs w:val="32"/>
          <w:highlight w:val="none"/>
          <w:lang w:eastAsia="zh-CN"/>
        </w:rPr>
        <w:t>二、收入决算情况说明</w:t>
      </w:r>
      <w:bookmarkEnd w:id="14"/>
      <w:bookmarkEnd w:id="15"/>
    </w:p>
    <w:p w14:paraId="5CDF451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eastAsia="仿宋_GB2312"/>
          <w:sz w:val="32"/>
          <w:szCs w:val="32"/>
          <w:lang w:val="en-US" w:eastAsia="zh-CN"/>
        </w:rPr>
        <w:t>7025.29</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eastAsia="仿宋_GB2312"/>
          <w:sz w:val="32"/>
          <w:szCs w:val="32"/>
          <w:lang w:val="en-US" w:eastAsia="zh-CN"/>
        </w:rPr>
        <w:t>7025.29</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r>
        <w:rPr>
          <w:rFonts w:hint="eastAsia" w:ascii="仿宋_GB2312" w:eastAsia="仿宋_GB2312"/>
          <w:sz w:val="32"/>
          <w:szCs w:val="32"/>
        </w:rPr>
        <w:t>202</w:t>
      </w:r>
      <w:r>
        <w:rPr>
          <w:rFonts w:hint="eastAsia" w:ascii="仿宋_GB2312" w:eastAsia="仿宋_GB2312"/>
          <w:sz w:val="32"/>
          <w:szCs w:val="32"/>
          <w:lang w:val="en-US" w:eastAsia="zh-CN"/>
        </w:rPr>
        <w:t>4</w:t>
      </w:r>
      <w:r>
        <w:rPr>
          <w:rFonts w:hint="eastAsia" w:ascii="仿宋_GB2312" w:eastAsia="仿宋_GB2312"/>
          <w:sz w:val="32"/>
          <w:szCs w:val="32"/>
        </w:rPr>
        <w:t>年总收入</w:t>
      </w:r>
      <w:r>
        <w:rPr>
          <w:rFonts w:hint="eastAsia" w:ascii="仿宋_GB2312" w:eastAsia="仿宋_GB2312"/>
          <w:sz w:val="32"/>
          <w:szCs w:val="32"/>
          <w:lang w:val="en-US" w:eastAsia="zh-CN"/>
        </w:rPr>
        <w:t>4026.61</w:t>
      </w:r>
      <w:r>
        <w:rPr>
          <w:rFonts w:hint="eastAsia" w:ascii="仿宋_GB2312" w:eastAsia="仿宋_GB2312"/>
          <w:sz w:val="32"/>
          <w:szCs w:val="32"/>
        </w:rPr>
        <w:t>万元,其中财政拨款收入</w:t>
      </w:r>
      <w:r>
        <w:rPr>
          <w:rFonts w:hint="eastAsia" w:ascii="仿宋_GB2312" w:eastAsia="仿宋_GB2312"/>
          <w:sz w:val="32"/>
          <w:szCs w:val="32"/>
          <w:lang w:val="en-US" w:eastAsia="zh-CN"/>
        </w:rPr>
        <w:t>4026.61</w:t>
      </w:r>
      <w:r>
        <w:rPr>
          <w:rFonts w:hint="eastAsia" w:ascii="仿宋_GB2312" w:eastAsia="仿宋_GB2312"/>
          <w:sz w:val="32"/>
          <w:szCs w:val="32"/>
        </w:rPr>
        <w:t>万元，占总收入的100%。较202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ascii="仿宋_GB2312" w:eastAsia="仿宋_GB2312"/>
          <w:sz w:val="32"/>
          <w:szCs w:val="32"/>
          <w:lang w:eastAsia="zh-CN"/>
        </w:rPr>
        <w:t>增加</w:t>
      </w:r>
      <w:r>
        <w:rPr>
          <w:rFonts w:hint="eastAsia" w:ascii="仿宋_GB2312" w:eastAsia="仿宋_GB2312"/>
          <w:sz w:val="32"/>
          <w:szCs w:val="32"/>
          <w:lang w:val="en-US" w:eastAsia="zh-CN"/>
        </w:rPr>
        <w:t>2998.68</w:t>
      </w:r>
      <w:r>
        <w:rPr>
          <w:rFonts w:hint="eastAsia" w:ascii="仿宋_GB2312" w:eastAsia="仿宋_GB2312"/>
          <w:sz w:val="32"/>
          <w:szCs w:val="32"/>
        </w:rPr>
        <w:t>万元，</w:t>
      </w:r>
      <w:r>
        <w:rPr>
          <w:rFonts w:hint="eastAsia" w:ascii="仿宋_GB2312" w:eastAsia="仿宋_GB2312"/>
          <w:sz w:val="32"/>
          <w:szCs w:val="32"/>
          <w:lang w:eastAsia="zh-CN"/>
        </w:rPr>
        <w:t>增加</w:t>
      </w:r>
      <w:r>
        <w:rPr>
          <w:rFonts w:hint="eastAsia" w:ascii="仿宋_GB2312" w:eastAsia="仿宋_GB2312"/>
          <w:sz w:val="32"/>
          <w:szCs w:val="32"/>
          <w:lang w:val="en-US" w:eastAsia="zh-CN"/>
        </w:rPr>
        <w:t>74.5</w:t>
      </w:r>
      <w:r>
        <w:rPr>
          <w:rFonts w:hint="eastAsia" w:ascii="仿宋_GB2312" w:eastAsia="仿宋_GB2312"/>
          <w:sz w:val="32"/>
          <w:szCs w:val="32"/>
        </w:rPr>
        <w:t>%。</w:t>
      </w:r>
      <w:r>
        <w:rPr>
          <w:rFonts w:hint="eastAsia" w:ascii="仿宋_GB2312" w:eastAsia="仿宋_GB2312"/>
          <w:sz w:val="32"/>
          <w:szCs w:val="32"/>
          <w:lang w:val="en-US" w:eastAsia="zh-CN"/>
        </w:rPr>
        <w:t>增加</w:t>
      </w:r>
      <w:r>
        <w:rPr>
          <w:rFonts w:hint="eastAsia" w:ascii="仿宋_GB2312" w:eastAsia="仿宋_GB2312"/>
          <w:sz w:val="32"/>
          <w:szCs w:val="32"/>
        </w:rPr>
        <w:t>原因：年中增加中省重大建设项目</w:t>
      </w:r>
      <w:r>
        <w:rPr>
          <w:rFonts w:hint="eastAsia" w:ascii="仿宋_GB2312" w:eastAsia="仿宋_GB2312"/>
          <w:sz w:val="32"/>
          <w:szCs w:val="32"/>
          <w:lang w:eastAsia="zh-CN"/>
        </w:rPr>
        <w:t>收入</w:t>
      </w:r>
      <w:r>
        <w:rPr>
          <w:rFonts w:hint="eastAsia" w:ascii="仿宋_GB2312" w:eastAsia="仿宋_GB2312" w:cs="宋体"/>
          <w:sz w:val="32"/>
          <w:szCs w:val="32"/>
          <w:lang w:bidi="ar-SA"/>
        </w:rPr>
        <w:t>大幅</w:t>
      </w:r>
      <w:r>
        <w:rPr>
          <w:rFonts w:hint="eastAsia" w:ascii="仿宋_GB2312" w:eastAsia="仿宋_GB2312" w:cs="宋体"/>
          <w:sz w:val="32"/>
          <w:szCs w:val="32"/>
          <w:lang w:eastAsia="zh-CN" w:bidi="ar-SA"/>
        </w:rPr>
        <w:t>增加</w:t>
      </w:r>
      <w:r>
        <w:rPr>
          <w:rFonts w:hint="eastAsia" w:ascii="Times New Roman" w:hAnsi="Times New Roman" w:eastAsia="仿宋_GB2312" w:cs="仿宋_GB2312"/>
          <w:color w:val="auto"/>
          <w:sz w:val="32"/>
          <w:szCs w:val="32"/>
          <w:highlight w:val="none"/>
          <w:lang w:eastAsia="zh-CN"/>
        </w:rPr>
        <w:t>。</w:t>
      </w:r>
    </w:p>
    <w:p w14:paraId="2172484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960" w:firstLineChars="300"/>
        <w:jc w:val="center"/>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685165</wp:posOffset>
            </wp:positionH>
            <wp:positionV relativeFrom="paragraph">
              <wp:posOffset>306070</wp:posOffset>
            </wp:positionV>
            <wp:extent cx="4128135" cy="2628900"/>
            <wp:effectExtent l="4445" t="4445" r="20320" b="1460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color w:val="auto"/>
          <w:sz w:val="32"/>
          <w:szCs w:val="32"/>
          <w:highlight w:val="none"/>
          <w:lang w:eastAsia="zh-CN"/>
        </w:rPr>
        <w:t>图2：收入决算结构图</w:t>
      </w:r>
    </w:p>
    <w:p w14:paraId="6BFFDF1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6" w:name="_Toc15396605"/>
      <w:bookmarkStart w:id="17"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16"/>
      <w:bookmarkEnd w:id="17"/>
    </w:p>
    <w:p w14:paraId="1DC1190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eastAsia="仿宋_GB2312"/>
          <w:sz w:val="32"/>
          <w:szCs w:val="32"/>
          <w:lang w:val="en-US" w:eastAsia="zh-CN"/>
        </w:rPr>
        <w:t>7025.29</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 w:eastAsia="仿宋_GB2312" w:cs="Times New Roman"/>
          <w:sz w:val="32"/>
          <w:szCs w:val="32"/>
          <w:highlight w:val="none"/>
          <w:lang w:val="en-US" w:eastAsia="zh-CN"/>
        </w:rPr>
        <w:t>1061.93</w:t>
      </w:r>
      <w:r>
        <w:rPr>
          <w:rFonts w:hint="eastAsia" w:ascii="Times New Roman" w:hAnsi="Times New Roman" w:eastAsia="仿宋_GB2312" w:cs="仿宋_GB2312"/>
          <w:color w:val="auto"/>
          <w:sz w:val="32"/>
          <w:szCs w:val="32"/>
          <w:highlight w:val="none"/>
          <w:lang w:eastAsia="zh-CN"/>
        </w:rPr>
        <w:t>万元</w:t>
      </w:r>
      <w:r>
        <w:rPr>
          <w:rFonts w:hint="eastAsia" w:ascii="仿宋_GB2312" w:hAnsi="仿宋" w:eastAsia="仿宋_GB2312" w:cs="Times New Roman"/>
          <w:sz w:val="32"/>
          <w:szCs w:val="32"/>
          <w:highlight w:val="none"/>
        </w:rPr>
        <w:t>（人员经费</w:t>
      </w:r>
      <w:r>
        <w:rPr>
          <w:rFonts w:hint="eastAsia" w:ascii="仿宋_GB2312" w:hAnsi="仿宋" w:eastAsia="仿宋_GB2312" w:cs="Times New Roman"/>
          <w:sz w:val="32"/>
          <w:szCs w:val="32"/>
          <w:highlight w:val="none"/>
          <w:lang w:val="en-US" w:eastAsia="zh-CN"/>
        </w:rPr>
        <w:t>938.54</w:t>
      </w:r>
      <w:r>
        <w:rPr>
          <w:rFonts w:hint="eastAsia" w:ascii="仿宋_GB2312" w:hAnsi="仿宋" w:eastAsia="仿宋_GB2312" w:cs="Times New Roman"/>
          <w:sz w:val="32"/>
          <w:szCs w:val="32"/>
          <w:highlight w:val="none"/>
        </w:rPr>
        <w:t>万元、公用经费</w:t>
      </w:r>
      <w:r>
        <w:rPr>
          <w:rFonts w:hint="eastAsia" w:ascii="仿宋_GB2312" w:hAnsi="仿宋" w:eastAsia="仿宋_GB2312" w:cs="Times New Roman"/>
          <w:sz w:val="32"/>
          <w:szCs w:val="32"/>
          <w:highlight w:val="none"/>
          <w:lang w:val="en-US" w:eastAsia="zh-CN"/>
        </w:rPr>
        <w:t>123.39</w:t>
      </w:r>
      <w:r>
        <w:rPr>
          <w:rFonts w:hint="eastAsia" w:ascii="仿宋_GB2312" w:hAnsi="仿宋" w:eastAsia="仿宋_GB2312" w:cs="Times New Roman"/>
          <w:sz w:val="32"/>
          <w:szCs w:val="32"/>
          <w:highlight w:val="none"/>
        </w:rPr>
        <w:t>万元），</w:t>
      </w:r>
      <w:r>
        <w:rPr>
          <w:rFonts w:hint="eastAsia" w:ascii="Times New Roman" w:hAnsi="Times New Roman" w:eastAsia="仿宋_GB2312" w:cs="仿宋_GB2312"/>
          <w:color w:val="auto"/>
          <w:sz w:val="32"/>
          <w:szCs w:val="32"/>
          <w:highlight w:val="none"/>
          <w:lang w:eastAsia="zh-CN"/>
        </w:rPr>
        <w:t>占</w:t>
      </w:r>
      <w:r>
        <w:rPr>
          <w:rFonts w:hint="eastAsia" w:eastAsia="仿宋_GB2312" w:cs="仿宋_GB2312"/>
          <w:color w:val="auto"/>
          <w:sz w:val="32"/>
          <w:szCs w:val="32"/>
          <w:highlight w:val="none"/>
          <w:lang w:val="en-US" w:eastAsia="zh-CN"/>
        </w:rPr>
        <w:t>15.1</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 w:eastAsia="仿宋_GB2312" w:cs="Times New Roman"/>
          <w:sz w:val="32"/>
          <w:szCs w:val="32"/>
          <w:highlight w:val="none"/>
          <w:lang w:val="en-US" w:eastAsia="zh-CN"/>
        </w:rPr>
        <w:t>5963.36</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84.9</w:t>
      </w:r>
      <w:r>
        <w:rPr>
          <w:rFonts w:hint="eastAsia" w:ascii="Times New Roman" w:hAnsi="Times New Roman" w:eastAsia="仿宋_GB2312" w:cs="仿宋_GB2312"/>
          <w:color w:val="auto"/>
          <w:sz w:val="32"/>
          <w:szCs w:val="32"/>
          <w:highlight w:val="none"/>
          <w:lang w:eastAsia="zh-CN"/>
        </w:rPr>
        <w:t>%。</w:t>
      </w:r>
    </w:p>
    <w:p w14:paraId="6765508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_GB2312" w:hAnsi="仿宋" w:eastAsia="仿宋_GB2312" w:cs="Times New Roman"/>
          <w:sz w:val="32"/>
          <w:szCs w:val="32"/>
          <w:highlight w:val="none"/>
          <w:lang w:eastAsia="zh-CN"/>
        </w:rPr>
        <w:pict>
          <v:shape id="Object 10" o:spid="_x0000_s1027" o:spt="75" type="#_x0000_t75" style="position:absolute;left:0pt;margin-left:59.65pt;margin-top:6.65pt;height:198.05pt;width:325.4pt;mso-wrap-distance-bottom:0pt;mso-wrap-distance-top:0pt;z-index:251662336;mso-width-relative:page;mso-height-relative:page;" o:ole="t" filled="f" o:preferrelative="t" stroked="f" coordsize="21600,21600">
            <v:path/>
            <v:fill on="f" focussize="0,0"/>
            <v:stroke on="f"/>
            <v:imagedata r:id="rId14" o:title=""/>
            <o:lock v:ext="edit" aspectratio="t"/>
            <w10:wrap type="topAndBottom"/>
          </v:shape>
          <o:OLEObject Type="Embed" ProgID="Excel.Sheet.8" ShapeID="Object 10" DrawAspect="Content" ObjectID="_1468075726" r:id="rId13">
            <o:LockedField>false</o:LockedField>
          </o:OLEObject>
        </w:pict>
      </w:r>
      <w:r>
        <w:rPr>
          <w:rFonts w:hint="eastAsia" w:ascii="Times New Roman" w:hAnsi="Times New Roman" w:eastAsia="仿宋_GB2312" w:cs="仿宋_GB2312"/>
          <w:color w:val="auto"/>
          <w:sz w:val="32"/>
          <w:szCs w:val="32"/>
          <w:highlight w:val="none"/>
          <w:lang w:eastAsia="zh-CN"/>
        </w:rPr>
        <w:t>图3：支出决算结构图</w:t>
      </w:r>
    </w:p>
    <w:p w14:paraId="466ACD89">
      <w:pPr>
        <w:spacing w:line="600" w:lineRule="exact"/>
        <w:ind w:firstLine="640" w:firstLineChars="200"/>
        <w:outlineLvl w:val="1"/>
        <w:rPr>
          <w:rStyle w:val="29"/>
          <w:rFonts w:ascii="Times New Roman" w:hAnsi="Times New Roman" w:eastAsia="黑体"/>
          <w:b w:val="0"/>
          <w:color w:val="auto"/>
          <w:highlight w:val="none"/>
        </w:rPr>
      </w:pPr>
      <w:bookmarkStart w:id="18" w:name="_Toc15396606"/>
      <w:bookmarkStart w:id="19"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18"/>
      <w:bookmarkEnd w:id="19"/>
    </w:p>
    <w:p w14:paraId="7F007519">
      <w:pPr>
        <w:spacing w:line="600" w:lineRule="exact"/>
        <w:ind w:firstLine="640"/>
        <w:rPr>
          <w:rFonts w:hint="eastAsia"/>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eastAsia="仿宋_GB2312"/>
          <w:sz w:val="32"/>
          <w:szCs w:val="32"/>
          <w:lang w:val="en-US" w:eastAsia="zh-CN"/>
        </w:rPr>
        <w:t>7025.29</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ascii="仿宋_GB2312" w:eastAsia="仿宋_GB2312"/>
          <w:sz w:val="32"/>
          <w:szCs w:val="32"/>
          <w:lang w:val="en-US" w:eastAsia="zh-CN"/>
        </w:rPr>
        <w:t>2998.68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eastAsia="仿宋_GB2312"/>
          <w:sz w:val="32"/>
          <w:szCs w:val="32"/>
          <w:lang w:val="en-US" w:eastAsia="zh-CN"/>
        </w:rPr>
        <w:t>74.5</w:t>
      </w:r>
      <w:r>
        <w:rPr>
          <w:rFonts w:hint="eastAsia" w:ascii="Times New Roman" w:hAnsi="Times New Roman" w:eastAsia="仿宋_GB2312" w:cs="仿宋_GB2312"/>
          <w:color w:val="auto"/>
          <w:kern w:val="2"/>
          <w:sz w:val="32"/>
          <w:szCs w:val="32"/>
          <w:highlight w:val="none"/>
          <w:lang w:val="en-US" w:eastAsia="zh-CN" w:bidi="ar-SA"/>
        </w:rPr>
        <w:t>%。主要变动原因</w:t>
      </w:r>
      <w:r>
        <w:rPr>
          <w:rFonts w:hint="eastAsia" w:ascii="Times New Roman" w:hAnsi="Times New Roman" w:eastAsia="仿宋_GB2312" w:cs="仿宋_GB2312"/>
          <w:color w:val="auto"/>
          <w:sz w:val="32"/>
          <w:szCs w:val="32"/>
          <w:highlight w:val="none"/>
        </w:rPr>
        <w:t>是</w:t>
      </w:r>
      <w:r>
        <w:rPr>
          <w:rFonts w:hint="eastAsia" w:ascii="仿宋_GB2312" w:eastAsia="仿宋_GB2312"/>
          <w:sz w:val="32"/>
          <w:szCs w:val="32"/>
        </w:rPr>
        <w:t>人员变动、公务用车更新和年中增加中省重大建设项目</w:t>
      </w:r>
      <w:r>
        <w:rPr>
          <w:rFonts w:hint="eastAsia" w:ascii="仿宋_GB2312" w:eastAsia="仿宋_GB2312"/>
          <w:sz w:val="32"/>
          <w:szCs w:val="32"/>
          <w:lang w:eastAsia="zh-CN"/>
        </w:rPr>
        <w:t>，</w:t>
      </w:r>
      <w:r>
        <w:rPr>
          <w:rFonts w:hint="eastAsia" w:ascii="仿宋_GB2312" w:eastAsia="仿宋_GB2312" w:cs="宋体"/>
          <w:sz w:val="32"/>
          <w:szCs w:val="32"/>
          <w:lang w:bidi="ar-SA"/>
        </w:rPr>
        <w:t>收入</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ascii="仿宋_GB2312" w:eastAsia="仿宋_GB2312" w:cs="宋体"/>
          <w:sz w:val="32"/>
          <w:szCs w:val="32"/>
          <w:lang w:bidi="ar-SA"/>
        </w:rPr>
        <w:t>大幅</w:t>
      </w:r>
      <w:r>
        <w:rPr>
          <w:rFonts w:hint="eastAsia" w:ascii="仿宋_GB2312" w:eastAsia="仿宋_GB2312" w:cs="宋体"/>
          <w:sz w:val="32"/>
          <w:szCs w:val="32"/>
          <w:lang w:eastAsia="zh-CN" w:bidi="ar-SA"/>
        </w:rPr>
        <w:t>增加。</w:t>
      </w:r>
    </w:p>
    <w:p w14:paraId="30C96D2A">
      <w:pPr>
        <w:pStyle w:val="7"/>
        <w:jc w:val="center"/>
        <w:rPr>
          <w:rFonts w:hint="eastAsia" w:ascii="Times New Roman" w:hAnsi="Times New Roman" w:eastAsia="仿宋_GB2312" w:cs="仿宋_GB2312"/>
          <w:color w:val="auto"/>
          <w:kern w:val="2"/>
          <w:sz w:val="32"/>
          <w:szCs w:val="32"/>
          <w:highlight w:val="none"/>
          <w:lang w:val="en-US" w:eastAsia="zh-CN" w:bidi="ar-SA"/>
        </w:rPr>
      </w:pPr>
      <w:r>
        <w:rPr>
          <w:rFonts w:hint="eastAsia"/>
          <w:lang w:val="en-US" w:eastAsia="zh-CN"/>
        </w:rPr>
        <w:drawing>
          <wp:inline distT="0" distB="0" distL="114300" distR="114300">
            <wp:extent cx="4906010" cy="2747010"/>
            <wp:effectExtent l="4445" t="4445" r="23495" b="1079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14:paraId="6083FCA9">
      <w:pPr>
        <w:spacing w:line="600" w:lineRule="exact"/>
        <w:ind w:firstLine="640" w:firstLineChars="200"/>
        <w:outlineLvl w:val="1"/>
        <w:rPr>
          <w:rStyle w:val="29"/>
          <w:rFonts w:ascii="Times New Roman" w:hAnsi="Times New Roman" w:eastAsia="黑体"/>
          <w:b w:val="0"/>
          <w:color w:val="auto"/>
          <w:highlight w:val="none"/>
        </w:rPr>
      </w:pPr>
      <w:bookmarkStart w:id="20" w:name="_Toc15396607"/>
      <w:bookmarkStart w:id="2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0"/>
      <w:bookmarkEnd w:id="21"/>
    </w:p>
    <w:p w14:paraId="256148C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14:paraId="2B079AB6">
      <w:pPr>
        <w:spacing w:line="600" w:lineRule="exact"/>
        <w:ind w:firstLine="640"/>
        <w:rPr>
          <w:rFonts w:hint="eastAsia" w:ascii="仿宋_GB2312" w:eastAsia="仿宋_GB2312" w:cs="宋体"/>
          <w:sz w:val="32"/>
          <w:szCs w:val="32"/>
          <w:lang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eastAsia="仿宋_GB2312"/>
          <w:sz w:val="32"/>
          <w:szCs w:val="32"/>
          <w:lang w:val="en-US" w:eastAsia="zh-CN"/>
        </w:rPr>
        <w:t>7025.29</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ascii="仿宋_GB2312" w:eastAsia="仿宋_GB2312"/>
          <w:sz w:val="32"/>
          <w:szCs w:val="32"/>
          <w:lang w:val="en-US" w:eastAsia="zh-CN"/>
        </w:rPr>
        <w:t>2998.68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eastAsia="仿宋_GB2312"/>
          <w:sz w:val="32"/>
          <w:szCs w:val="32"/>
          <w:lang w:val="en-US" w:eastAsia="zh-CN"/>
        </w:rPr>
        <w:t>74.5</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Times New Roman" w:hAnsi="Times New Roman" w:eastAsia="仿宋_GB2312" w:cs="仿宋_GB2312"/>
          <w:color w:val="auto"/>
          <w:sz w:val="32"/>
          <w:szCs w:val="32"/>
          <w:highlight w:val="none"/>
        </w:rPr>
        <w:t>是</w:t>
      </w:r>
      <w:r>
        <w:rPr>
          <w:rFonts w:hint="eastAsia" w:ascii="仿宋_GB2312" w:eastAsia="仿宋_GB2312"/>
          <w:sz w:val="32"/>
          <w:szCs w:val="32"/>
        </w:rPr>
        <w:t>人员变动、公务用车更新和年中增加中省重大建设项目</w:t>
      </w:r>
      <w:r>
        <w:rPr>
          <w:rFonts w:hint="eastAsia" w:ascii="Times New Roman" w:hAnsi="Times New Roman" w:eastAsia="仿宋_GB2312" w:cs="仿宋_GB2312"/>
          <w:color w:val="auto"/>
          <w:sz w:val="32"/>
          <w:szCs w:val="32"/>
          <w:highlight w:val="none"/>
          <w:lang w:eastAsia="zh-CN"/>
        </w:rPr>
        <w:t>支出</w:t>
      </w:r>
      <w:r>
        <w:rPr>
          <w:rFonts w:hint="eastAsia" w:ascii="仿宋_GB2312" w:eastAsia="仿宋_GB2312" w:cs="宋体"/>
          <w:sz w:val="32"/>
          <w:szCs w:val="32"/>
          <w:lang w:bidi="ar-SA"/>
        </w:rPr>
        <w:t>大幅</w:t>
      </w:r>
      <w:r>
        <w:rPr>
          <w:rFonts w:hint="eastAsia" w:ascii="仿宋_GB2312" w:eastAsia="仿宋_GB2312" w:cs="宋体"/>
          <w:sz w:val="32"/>
          <w:szCs w:val="32"/>
          <w:lang w:eastAsia="zh-CN" w:bidi="ar-SA"/>
        </w:rPr>
        <w:t>增加。</w:t>
      </w:r>
    </w:p>
    <w:p w14:paraId="615302A9">
      <w:pPr>
        <w:pStyle w:val="13"/>
        <w:jc w:val="center"/>
        <w:rPr>
          <w:rFonts w:hint="eastAsia" w:ascii="仿宋_GB2312" w:eastAsia="仿宋_GB2312" w:cs="宋体"/>
          <w:sz w:val="32"/>
          <w:szCs w:val="32"/>
          <w:lang w:eastAsia="zh-CN" w:bidi="ar-SA"/>
        </w:rPr>
      </w:pPr>
      <w:r>
        <w:rPr>
          <w:rFonts w:hint="eastAsia" w:ascii="仿宋_GB2312" w:eastAsia="仿宋_GB2312" w:cs="宋体"/>
          <w:sz w:val="32"/>
          <w:szCs w:val="32"/>
          <w:lang w:eastAsia="zh-CN" w:bidi="ar-SA"/>
        </w:rPr>
        <w:drawing>
          <wp:inline distT="0" distB="0" distL="114300" distR="114300">
            <wp:extent cx="4428490" cy="2286000"/>
            <wp:effectExtent l="4445" t="4445" r="5715" b="1460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CAEAAD3">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14:paraId="6337C57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14:paraId="4C333290">
      <w:pPr>
        <w:ind w:firstLine="800" w:firstLineChars="250"/>
        <w:rPr>
          <w:rFonts w:hint="eastAsia" w:ascii="仿宋_GB2312" w:hAnsi="Times New Roman" w:eastAsia="仿宋_GB2312" w:cs="宋体"/>
          <w:sz w:val="32"/>
          <w:szCs w:val="32"/>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eastAsia="仿宋_GB2312"/>
          <w:sz w:val="32"/>
          <w:szCs w:val="32"/>
          <w:lang w:val="en-US" w:eastAsia="zh-CN"/>
        </w:rPr>
        <w:t>7025.29</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ascii="仿宋_GB2312" w:eastAsia="仿宋_GB2312" w:cs="宋体"/>
          <w:sz w:val="32"/>
          <w:szCs w:val="32"/>
          <w:lang w:val="en-US" w:eastAsia="zh-CN" w:bidi="ar-SA"/>
        </w:rPr>
        <w:t>137.37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ascii="仿宋_GB2312" w:eastAsia="仿宋_GB2312" w:cs="宋体"/>
          <w:sz w:val="32"/>
          <w:szCs w:val="32"/>
          <w:lang w:val="en-US" w:eastAsia="zh-CN" w:bidi="ar-SA"/>
        </w:rPr>
        <w:t>47.06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0.7</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cs="宋体"/>
          <w:sz w:val="32"/>
          <w:szCs w:val="32"/>
          <w:lang w:val="en-US" w:eastAsia="zh-CN" w:bidi="ar-SA"/>
        </w:rPr>
        <w:t>节能环保</w:t>
      </w:r>
      <w:r>
        <w:rPr>
          <w:rFonts w:hint="eastAsia" w:ascii="仿宋_GB2312" w:eastAsia="仿宋_GB2312" w:cs="宋体"/>
          <w:sz w:val="32"/>
          <w:szCs w:val="32"/>
          <w:lang w:bidi="ar-SA"/>
        </w:rPr>
        <w:t>支出数为</w:t>
      </w:r>
      <w:r>
        <w:rPr>
          <w:rFonts w:hint="eastAsia" w:ascii="仿宋_GB2312" w:eastAsia="仿宋_GB2312" w:cs="宋体"/>
          <w:sz w:val="32"/>
          <w:szCs w:val="32"/>
          <w:lang w:val="en-US" w:eastAsia="zh-CN" w:bidi="ar-SA"/>
        </w:rPr>
        <w:t>45万元，</w:t>
      </w:r>
      <w:r>
        <w:rPr>
          <w:rFonts w:hint="eastAsia" w:ascii="Times New Roman" w:hAnsi="Times New Roman" w:eastAsia="仿宋_GB2312" w:cs="仿宋_GB2312"/>
          <w:color w:val="auto"/>
          <w:kern w:val="2"/>
          <w:sz w:val="32"/>
          <w:szCs w:val="32"/>
          <w:highlight w:val="none"/>
          <w:lang w:val="en-US" w:eastAsia="zh-CN" w:bidi="ar-SA"/>
        </w:rPr>
        <w:t>占</w:t>
      </w:r>
      <w:r>
        <w:rPr>
          <w:rFonts w:hint="eastAsia" w:eastAsia="仿宋_GB2312" w:cs="仿宋_GB2312"/>
          <w:color w:val="auto"/>
          <w:kern w:val="2"/>
          <w:sz w:val="32"/>
          <w:szCs w:val="32"/>
          <w:highlight w:val="none"/>
          <w:lang w:val="en-US" w:eastAsia="zh-CN" w:bidi="ar-SA"/>
        </w:rPr>
        <w:t>0.6</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cs="宋体"/>
          <w:sz w:val="32"/>
          <w:szCs w:val="32"/>
          <w:lang w:bidi="ar-SA"/>
        </w:rPr>
        <w:t>自然资源海洋气象支出数为</w:t>
      </w:r>
      <w:r>
        <w:rPr>
          <w:rFonts w:hint="eastAsia" w:ascii="仿宋_GB2312" w:eastAsia="仿宋_GB2312" w:cs="宋体"/>
          <w:sz w:val="32"/>
          <w:szCs w:val="32"/>
          <w:lang w:val="en-US" w:eastAsia="zh-CN" w:bidi="ar-SA"/>
        </w:rPr>
        <w:t>6691万</w:t>
      </w:r>
      <w:r>
        <w:rPr>
          <w:rFonts w:hint="eastAsia" w:ascii="仿宋_GB2312" w:eastAsia="仿宋_GB2312" w:cs="宋体"/>
          <w:sz w:val="32"/>
          <w:szCs w:val="32"/>
          <w:lang w:bidi="ar-SA"/>
        </w:rPr>
        <w:t>元，</w:t>
      </w:r>
      <w:r>
        <w:rPr>
          <w:rFonts w:hint="eastAsia" w:ascii="Times New Roman" w:hAnsi="Times New Roman" w:eastAsia="仿宋_GB2312" w:cs="仿宋_GB2312"/>
          <w:color w:val="auto"/>
          <w:kern w:val="2"/>
          <w:sz w:val="32"/>
          <w:szCs w:val="32"/>
          <w:highlight w:val="none"/>
          <w:lang w:val="en-US" w:eastAsia="zh-CN" w:bidi="ar-SA"/>
        </w:rPr>
        <w:t>占</w:t>
      </w:r>
      <w:r>
        <w:rPr>
          <w:rFonts w:hint="eastAsia" w:eastAsia="仿宋_GB2312" w:cs="仿宋_GB2312"/>
          <w:color w:val="auto"/>
          <w:kern w:val="2"/>
          <w:sz w:val="32"/>
          <w:szCs w:val="32"/>
          <w:highlight w:val="none"/>
          <w:lang w:val="en-US" w:eastAsia="zh-CN" w:bidi="ar-SA"/>
        </w:rPr>
        <w:t>95.2</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ascii="仿宋_GB2312" w:eastAsia="仿宋_GB2312" w:cs="宋体"/>
          <w:sz w:val="32"/>
          <w:szCs w:val="32"/>
          <w:lang w:val="en-US" w:eastAsia="zh-CN" w:bidi="ar-SA"/>
        </w:rPr>
        <w:t>64.49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0.9</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Times New Roman" w:eastAsia="仿宋_GB2312" w:cs="宋体"/>
          <w:sz w:val="32"/>
          <w:szCs w:val="32"/>
          <w:lang w:bidi="ar-SA"/>
        </w:rPr>
        <w:t>灾害防治及应急管理支出数为</w:t>
      </w:r>
      <w:r>
        <w:rPr>
          <w:rFonts w:hint="eastAsia" w:ascii="仿宋_GB2312" w:hAnsi="Times New Roman" w:eastAsia="仿宋_GB2312" w:cs="宋体"/>
          <w:sz w:val="32"/>
          <w:szCs w:val="32"/>
          <w:lang w:val="en-US" w:eastAsia="zh-CN" w:bidi="ar-SA"/>
        </w:rPr>
        <w:t>40.37</w:t>
      </w:r>
      <w:r>
        <w:rPr>
          <w:rFonts w:hint="eastAsia" w:ascii="仿宋_GB2312" w:hAnsi="Times New Roman" w:eastAsia="仿宋_GB2312" w:cs="宋体"/>
          <w:sz w:val="32"/>
          <w:szCs w:val="32"/>
          <w:lang w:bidi="ar-SA"/>
        </w:rPr>
        <w:t>万元</w:t>
      </w:r>
      <w:r>
        <w:rPr>
          <w:rFonts w:hint="eastAsia" w:ascii="Times New Roman" w:hAnsi="Times New Roman" w:eastAsia="仿宋_GB2312" w:cs="仿宋_GB2312"/>
          <w:color w:val="auto"/>
          <w:kern w:val="2"/>
          <w:sz w:val="32"/>
          <w:szCs w:val="32"/>
          <w:highlight w:val="none"/>
          <w:lang w:val="en-US" w:eastAsia="zh-CN" w:bidi="ar-SA"/>
        </w:rPr>
        <w:t>，占</w:t>
      </w:r>
      <w:r>
        <w:rPr>
          <w:rFonts w:hint="eastAsia" w:eastAsia="仿宋_GB2312" w:cs="仿宋_GB2312"/>
          <w:color w:val="auto"/>
          <w:kern w:val="2"/>
          <w:sz w:val="32"/>
          <w:szCs w:val="32"/>
          <w:highlight w:val="none"/>
          <w:lang w:val="en-US" w:eastAsia="zh-CN" w:bidi="ar-SA"/>
        </w:rPr>
        <w:t>0.6</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Times New Roman" w:eastAsia="仿宋_GB2312" w:cs="宋体"/>
          <w:sz w:val="32"/>
          <w:szCs w:val="32"/>
          <w:lang w:val="en-US" w:eastAsia="zh-CN" w:bidi="ar-SA"/>
        </w:rPr>
        <w:t>。</w:t>
      </w:r>
    </w:p>
    <w:p w14:paraId="57F51E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1312" behindDoc="0" locked="0" layoutInCell="1" allowOverlap="1">
            <wp:simplePos x="0" y="0"/>
            <wp:positionH relativeFrom="column">
              <wp:posOffset>370840</wp:posOffset>
            </wp:positionH>
            <wp:positionV relativeFrom="paragraph">
              <wp:posOffset>119380</wp:posOffset>
            </wp:positionV>
            <wp:extent cx="4925695" cy="2776855"/>
            <wp:effectExtent l="4445" t="4445" r="22860" b="19050"/>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14:paraId="2FEA1CF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14:paraId="678EF2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7213"/>
      <w:bookmarkStart w:id="26" w:name="_Toc15378460"/>
      <w:bookmarkStart w:id="27"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eastAsia="仿宋_GB2312"/>
          <w:sz w:val="32"/>
          <w:szCs w:val="32"/>
          <w:lang w:val="en-US" w:eastAsia="zh-CN"/>
        </w:rPr>
        <w:t>7025.29</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14:paraId="4A3CBF8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社会保障和就业支出：机关事业单位基本养老保险缴费支出208（类）05（款）05（项）：支出决算为</w:t>
      </w:r>
      <w:r>
        <w:rPr>
          <w:rFonts w:hint="eastAsia" w:eastAsia="仿宋_GB2312" w:cs="仿宋_GB2312"/>
          <w:color w:val="auto"/>
          <w:kern w:val="2"/>
          <w:sz w:val="32"/>
          <w:szCs w:val="32"/>
          <w:highlight w:val="none"/>
          <w:lang w:val="en-US" w:eastAsia="zh-CN" w:bidi="ar-SA"/>
        </w:rPr>
        <w:t>77</w:t>
      </w:r>
      <w:r>
        <w:rPr>
          <w:rFonts w:hint="eastAsia" w:ascii="Times New Roman" w:hAnsi="Times New Roman" w:eastAsia="仿宋_GB2312" w:cs="仿宋_GB2312"/>
          <w:color w:val="auto"/>
          <w:kern w:val="2"/>
          <w:sz w:val="32"/>
          <w:szCs w:val="32"/>
          <w:highlight w:val="none"/>
          <w:lang w:val="en-US" w:eastAsia="zh-CN" w:bidi="ar-SA"/>
        </w:rPr>
        <w:t>万元，完成预算100%；机关事业单位职业年金缴费支出208（类）05（款）06（项）支出决算为</w:t>
      </w:r>
      <w:r>
        <w:rPr>
          <w:rFonts w:hint="eastAsia" w:eastAsia="仿宋_GB2312" w:cs="仿宋_GB2312"/>
          <w:color w:val="auto"/>
          <w:kern w:val="2"/>
          <w:sz w:val="32"/>
          <w:szCs w:val="32"/>
          <w:highlight w:val="none"/>
          <w:lang w:val="en-US" w:eastAsia="zh-CN" w:bidi="ar-SA"/>
        </w:rPr>
        <w:t>38.5</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1136931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卫生健康支出，行政单位医疗210（类）11（款）01（项）: 支出决算为</w:t>
      </w:r>
      <w:r>
        <w:rPr>
          <w:rFonts w:hint="eastAsia" w:eastAsia="仿宋_GB2312" w:cs="仿宋_GB2312"/>
          <w:color w:val="auto"/>
          <w:kern w:val="2"/>
          <w:sz w:val="32"/>
          <w:szCs w:val="32"/>
          <w:highlight w:val="none"/>
          <w:lang w:val="en-US" w:eastAsia="zh-CN" w:bidi="ar-SA"/>
        </w:rPr>
        <w:t>47.06</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3D86D26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3.节能环保支出</w:t>
      </w:r>
      <w:r>
        <w:rPr>
          <w:rFonts w:hint="eastAsia" w:eastAsia="仿宋_GB2312" w:cs="仿宋_GB2312"/>
          <w:color w:val="auto"/>
          <w:kern w:val="2"/>
          <w:sz w:val="32"/>
          <w:szCs w:val="32"/>
          <w:highlight w:val="none"/>
          <w:lang w:val="en-US" w:eastAsia="zh-CN" w:bidi="ar-SA"/>
        </w:rPr>
        <w:t>，大气211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373ECBD">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4.自然资源海洋气象等支出</w:t>
      </w:r>
      <w:r>
        <w:rPr>
          <w:rFonts w:hint="eastAsia" w:eastAsia="仿宋_GB2312" w:cs="仿宋_GB2312"/>
          <w:color w:val="auto"/>
          <w:kern w:val="2"/>
          <w:sz w:val="32"/>
          <w:szCs w:val="32"/>
          <w:highlight w:val="none"/>
          <w:lang w:val="en-US" w:eastAsia="zh-CN" w:bidi="ar-SA"/>
        </w:rPr>
        <w:t>，行政运行220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813.01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；一般行政管理事务220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436.77</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自然资源规划及管理</w:t>
      </w:r>
      <w:r>
        <w:rPr>
          <w:rFonts w:hint="eastAsia" w:eastAsia="仿宋_GB2312" w:cs="仿宋_GB2312"/>
          <w:color w:val="auto"/>
          <w:kern w:val="2"/>
          <w:sz w:val="32"/>
          <w:szCs w:val="32"/>
          <w:highlight w:val="none"/>
          <w:lang w:val="en-US" w:eastAsia="zh-CN" w:bidi="ar-SA"/>
        </w:rPr>
        <w:t>220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04</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114.08万元，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；自然资源利用与保护220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06</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5099.92万元，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；自然资源行业业务管理220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08</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支出41.55万元，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；自然资源调查与确权登记220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09</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支出152.07万元，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；地质矿产资源与环境调查220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9.8万元，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3AE3AF2">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5.住房保障支出</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eastAsia"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63.29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；购房补贴221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支出决算为1.2万元，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2DA43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6.灾害防治及应急管理支出</w:t>
      </w:r>
      <w:r>
        <w:rPr>
          <w:rFonts w:hint="eastAsia" w:eastAsia="仿宋_GB2312" w:cs="仿宋_GB2312"/>
          <w:color w:val="auto"/>
          <w:kern w:val="2"/>
          <w:sz w:val="32"/>
          <w:szCs w:val="32"/>
          <w:highlight w:val="none"/>
          <w:lang w:val="en-US" w:eastAsia="zh-CN" w:bidi="ar-SA"/>
        </w:rPr>
        <w:t>224</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06（</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40.37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5EF764D">
      <w:pPr>
        <w:tabs>
          <w:tab w:val="right" w:pos="8306"/>
        </w:tabs>
        <w:spacing w:line="600" w:lineRule="exact"/>
        <w:ind w:firstLine="640"/>
        <w:outlineLvl w:val="1"/>
        <w:rPr>
          <w:rStyle w:val="29"/>
          <w:rFonts w:ascii="Times New Roman" w:hAnsi="Times New Roman"/>
          <w:color w:val="auto"/>
          <w:highlight w:val="none"/>
        </w:rPr>
      </w:pPr>
      <w:bookmarkStart w:id="28" w:name="_Toc15396608"/>
      <w:bookmarkStart w:id="29"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28"/>
      <w:bookmarkEnd w:id="29"/>
      <w:r>
        <w:rPr>
          <w:rStyle w:val="29"/>
          <w:rFonts w:ascii="Times New Roman" w:hAnsi="Times New Roman" w:eastAsia="黑体"/>
          <w:b w:val="0"/>
          <w:color w:val="auto"/>
          <w:highlight w:val="none"/>
        </w:rPr>
        <w:tab/>
      </w:r>
    </w:p>
    <w:p w14:paraId="4FCFA2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 w:eastAsia="仿宋_GB2312" w:cs="Times New Roman"/>
          <w:sz w:val="32"/>
          <w:szCs w:val="32"/>
          <w:highlight w:val="none"/>
          <w:lang w:val="en-US" w:eastAsia="zh-CN"/>
        </w:rPr>
        <w:t>1061.93</w:t>
      </w:r>
      <w:r>
        <w:rPr>
          <w:rFonts w:hint="eastAsia" w:ascii="Times New Roman" w:hAnsi="Times New Roman" w:eastAsia="仿宋_GB2312" w:cs="仿宋_GB2312"/>
          <w:color w:val="auto"/>
          <w:kern w:val="2"/>
          <w:sz w:val="32"/>
          <w:szCs w:val="32"/>
          <w:highlight w:val="none"/>
          <w:lang w:val="en-US" w:eastAsia="zh-CN" w:bidi="ar-SA"/>
        </w:rPr>
        <w:t>万元，其中：</w:t>
      </w:r>
    </w:p>
    <w:p w14:paraId="2C26BF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 w:eastAsia="仿宋_GB2312" w:cs="Times New Roman"/>
          <w:sz w:val="32"/>
          <w:szCs w:val="32"/>
          <w:highlight w:val="none"/>
          <w:lang w:val="en-US" w:eastAsia="zh-CN"/>
        </w:rPr>
        <w:t>938.54</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 w:eastAsia="仿宋_GB2312" w:cs="Times New Roman"/>
          <w:sz w:val="32"/>
          <w:szCs w:val="32"/>
          <w:highlight w:val="none"/>
          <w:lang w:val="en-US" w:eastAsia="zh-CN"/>
        </w:rPr>
        <w:t>123.39</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75A1DDF0">
      <w:pPr>
        <w:spacing w:line="600" w:lineRule="exact"/>
        <w:ind w:firstLine="640"/>
        <w:outlineLvl w:val="1"/>
        <w:rPr>
          <w:rStyle w:val="29"/>
          <w:rFonts w:ascii="Times New Roman" w:hAnsi="Times New Roman" w:eastAsia="黑体"/>
          <w:b w:val="0"/>
          <w:color w:val="auto"/>
          <w:highlight w:val="none"/>
        </w:rPr>
      </w:pPr>
      <w:bookmarkStart w:id="30" w:name="_Toc15396609"/>
      <w:bookmarkStart w:id="31"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0"/>
      <w:bookmarkEnd w:id="31"/>
    </w:p>
    <w:p w14:paraId="6062CDC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14:paraId="411F3B81">
      <w:pPr>
        <w:snapToGrid w:val="0"/>
        <w:spacing w:line="520" w:lineRule="exact"/>
        <w:ind w:firstLine="640" w:firstLineChars="200"/>
        <w:rPr>
          <w:rFonts w:hint="eastAsia" w:ascii="仿宋_GB2312" w:hAnsi="仿宋" w:eastAsia="仿宋_GB2312" w:cs="仿宋"/>
          <w:sz w:val="32"/>
          <w:szCs w:val="32"/>
        </w:rPr>
      </w:pPr>
      <w:bookmarkStart w:id="33" w:name="_Toc15377217"/>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eastAsia="仿宋_GB2312"/>
          <w:b w:val="0"/>
          <w:bCs w:val="0"/>
          <w:color w:val="auto"/>
          <w:sz w:val="32"/>
          <w:szCs w:val="32"/>
          <w:lang w:val="en-US" w:eastAsia="zh-CN"/>
        </w:rPr>
        <w:t>215.41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98.8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仿宋_GB2312" w:eastAsia="仿宋_GB2312"/>
          <w:sz w:val="32"/>
          <w:szCs w:val="32"/>
        </w:rPr>
        <w:t>202</w:t>
      </w:r>
      <w:r>
        <w:rPr>
          <w:rFonts w:hint="eastAsia" w:ascii="仿宋_GB2312" w:eastAsia="仿宋_GB2312"/>
          <w:sz w:val="32"/>
          <w:szCs w:val="32"/>
          <w:lang w:val="en-US" w:eastAsia="zh-CN"/>
        </w:rPr>
        <w:t>4</w:t>
      </w:r>
      <w:r>
        <w:rPr>
          <w:rFonts w:hint="eastAsia" w:ascii="仿宋_GB2312" w:eastAsia="仿宋_GB2312"/>
          <w:sz w:val="32"/>
          <w:szCs w:val="32"/>
        </w:rPr>
        <w:t>年“三公”经费支出为</w:t>
      </w:r>
      <w:r>
        <w:rPr>
          <w:rFonts w:hint="eastAsia" w:ascii="仿宋_GB2312" w:eastAsia="仿宋_GB2312"/>
          <w:sz w:val="32"/>
          <w:szCs w:val="32"/>
          <w:lang w:val="en-US" w:eastAsia="zh-CN"/>
        </w:rPr>
        <w:t>106.44</w:t>
      </w:r>
      <w:r>
        <w:rPr>
          <w:rFonts w:hint="eastAsia" w:ascii="仿宋_GB2312" w:eastAsia="仿宋_GB2312"/>
          <w:sz w:val="32"/>
          <w:szCs w:val="32"/>
        </w:rPr>
        <w:t>万元</w:t>
      </w:r>
      <w:r>
        <w:rPr>
          <w:rFonts w:hint="eastAsia" w:ascii="仿宋_GB2312" w:eastAsia="仿宋_GB2312"/>
          <w:sz w:val="32"/>
          <w:szCs w:val="32"/>
          <w:lang w:eastAsia="zh-CN"/>
        </w:rPr>
        <w:t>。本年度</w:t>
      </w:r>
      <w:r>
        <w:rPr>
          <w:rFonts w:hint="eastAsia" w:ascii="Times New Roman" w:hAnsi="Times New Roman" w:eastAsia="仿宋_GB2312" w:cs="仿宋_GB2312"/>
          <w:color w:val="auto"/>
          <w:kern w:val="2"/>
          <w:sz w:val="32"/>
          <w:szCs w:val="32"/>
          <w:highlight w:val="none"/>
          <w:lang w:val="en-US" w:eastAsia="zh-CN" w:bidi="ar-SA"/>
        </w:rPr>
        <w:t>较</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ascii="仿宋_GB2312" w:eastAsia="仿宋_GB2312"/>
          <w:sz w:val="32"/>
          <w:szCs w:val="32"/>
          <w:lang w:val="en-US" w:eastAsia="zh-CN"/>
        </w:rPr>
        <w:t>108.97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eastAsia="仿宋_GB2312"/>
          <w:sz w:val="32"/>
          <w:szCs w:val="32"/>
          <w:lang w:val="en-US" w:eastAsia="zh-CN"/>
        </w:rPr>
        <w:t>102.4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仿宋_GB2312" w:hAnsi="Times New Roman" w:eastAsia="仿宋_GB2312" w:cs="Times New Roman"/>
          <w:sz w:val="32"/>
          <w:szCs w:val="32"/>
        </w:rPr>
        <w:t>主要原因是：本年采购更新公务用车两辆</w:t>
      </w:r>
      <w:r>
        <w:rPr>
          <w:rFonts w:hint="eastAsia" w:ascii="仿宋_GB2312" w:hAnsi="仿宋" w:eastAsia="仿宋_GB2312" w:cs="仿宋"/>
          <w:sz w:val="32"/>
          <w:szCs w:val="32"/>
        </w:rPr>
        <w:t>。</w:t>
      </w:r>
    </w:p>
    <w:p w14:paraId="144BC4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决算数</w:t>
      </w:r>
      <w:r>
        <w:rPr>
          <w:rFonts w:hint="eastAsia" w:eastAsia="仿宋_GB2312" w:cs="仿宋_GB2312"/>
          <w:color w:val="auto"/>
          <w:kern w:val="2"/>
          <w:sz w:val="32"/>
          <w:szCs w:val="32"/>
          <w:highlight w:val="none"/>
          <w:lang w:val="en-US" w:eastAsia="zh-CN" w:bidi="ar-SA"/>
        </w:rPr>
        <w:t>小于</w:t>
      </w:r>
      <w:r>
        <w:rPr>
          <w:rFonts w:hint="eastAsia" w:ascii="Times New Roman" w:hAnsi="Times New Roman" w:eastAsia="仿宋_GB2312" w:cs="仿宋_GB2312"/>
          <w:color w:val="auto"/>
          <w:kern w:val="2"/>
          <w:sz w:val="32"/>
          <w:szCs w:val="32"/>
          <w:highlight w:val="none"/>
          <w:lang w:val="en-US" w:eastAsia="zh-CN" w:bidi="ar-SA"/>
        </w:rPr>
        <w:t>预算数的主要原因是</w:t>
      </w:r>
      <w:r>
        <w:rPr>
          <w:rFonts w:hint="eastAsia" w:eastAsia="仿宋_GB2312" w:cs="仿宋_GB2312"/>
          <w:color w:val="auto"/>
          <w:kern w:val="2"/>
          <w:sz w:val="32"/>
          <w:szCs w:val="32"/>
          <w:highlight w:val="none"/>
          <w:lang w:val="en-US" w:eastAsia="zh-CN" w:bidi="ar-SA"/>
        </w:rPr>
        <w:t>公务用车购置环节控制支出、节约使用资金，实际支付金额低于全年预算。</w:t>
      </w:r>
    </w:p>
    <w:p w14:paraId="7EFC015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（二）财政拨款“三公”经费支出决算具体情况说明</w:t>
      </w:r>
      <w:bookmarkEnd w:id="33"/>
    </w:p>
    <w:p w14:paraId="5C1A93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3360" behindDoc="0" locked="0" layoutInCell="1" allowOverlap="1">
            <wp:simplePos x="0" y="0"/>
            <wp:positionH relativeFrom="column">
              <wp:posOffset>345440</wp:posOffset>
            </wp:positionH>
            <wp:positionV relativeFrom="paragraph">
              <wp:posOffset>1658620</wp:posOffset>
            </wp:positionV>
            <wp:extent cx="4692015" cy="2395220"/>
            <wp:effectExtent l="4445" t="4445" r="8890" b="1968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eastAsia="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ascii="仿宋_GB2312" w:eastAsia="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eastAsia="仿宋_GB2312"/>
          <w:b w:val="0"/>
          <w:bCs w:val="0"/>
          <w:color w:val="auto"/>
          <w:sz w:val="32"/>
          <w:szCs w:val="32"/>
          <w:lang w:val="en-US" w:eastAsia="zh-CN"/>
        </w:rPr>
        <w:t>215.41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49B73592">
      <w:pPr>
        <w:spacing w:line="600" w:lineRule="exact"/>
        <w:ind w:firstLine="640"/>
        <w:jc w:val="center"/>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w:t>
      </w:r>
    </w:p>
    <w:p w14:paraId="4CE911D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减少0万元，下降0%。</w:t>
      </w:r>
    </w:p>
    <w:p w14:paraId="6F39B247">
      <w:pPr>
        <w:snapToGrid w:val="0"/>
        <w:spacing w:line="520" w:lineRule="exact"/>
        <w:ind w:firstLine="643" w:firstLineChars="200"/>
        <w:rPr>
          <w:rFonts w:hint="eastAsia" w:ascii="仿宋_GB2312" w:hAnsi="仿宋" w:eastAsia="仿宋_GB2312" w:cs="仿宋"/>
          <w:sz w:val="32"/>
          <w:szCs w:val="32"/>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eastAsia="仿宋_GB2312"/>
          <w:b w:val="0"/>
          <w:bCs w:val="0"/>
          <w:color w:val="auto"/>
          <w:sz w:val="32"/>
          <w:szCs w:val="32"/>
          <w:lang w:val="en-US" w:eastAsia="zh-CN"/>
        </w:rPr>
        <w:t>215.41</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98.8</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ascii="仿宋_GB2312" w:eastAsia="仿宋_GB2312"/>
          <w:sz w:val="32"/>
          <w:szCs w:val="32"/>
          <w:lang w:val="en-US" w:eastAsia="zh-CN"/>
        </w:rPr>
        <w:t>108.97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eastAsia="仿宋_GB2312"/>
          <w:sz w:val="32"/>
          <w:szCs w:val="32"/>
          <w:lang w:val="en-US" w:eastAsia="zh-CN"/>
        </w:rPr>
        <w:t>102.4</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Times New Roman" w:eastAsia="仿宋_GB2312" w:cs="Times New Roman"/>
          <w:sz w:val="32"/>
          <w:szCs w:val="32"/>
        </w:rPr>
        <w:t>本年采购更新公务用车两辆</w:t>
      </w:r>
      <w:r>
        <w:rPr>
          <w:rFonts w:hint="eastAsia" w:ascii="仿宋_GB2312" w:hAnsi="仿宋" w:eastAsia="仿宋_GB2312" w:cs="仿宋"/>
          <w:sz w:val="32"/>
          <w:szCs w:val="32"/>
        </w:rPr>
        <w:t>。</w:t>
      </w:r>
    </w:p>
    <w:p w14:paraId="72B3660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117.42</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辆，其中：越野车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117.42</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保障自然资源领域地质灾害防治、执法巡查、耕地保护及各类外业调查核实等工作开展</w:t>
      </w: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辆，其中：越野车</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辆。</w:t>
      </w:r>
    </w:p>
    <w:p w14:paraId="44A75C9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98</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保障自然资源领域地质灾害防治、执法巡查、耕地保护、土地调查、国土空间规划及日常公务出行等</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26FC9B2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ascii="仿宋_GB2312" w:hAnsi="仿宋_GB2312" w:eastAsia="仿宋_GB2312" w:cs="仿宋_GB2312"/>
          <w:sz w:val="32"/>
          <w:szCs w:val="32"/>
        </w:rPr>
        <w:t>0.36</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%。主要原因是2025年</w:t>
      </w:r>
      <w:r>
        <w:rPr>
          <w:rFonts w:hint="eastAsia" w:eastAsia="仿宋_GB2312" w:cs="仿宋_GB2312"/>
          <w:color w:val="auto"/>
          <w:kern w:val="2"/>
          <w:sz w:val="32"/>
          <w:szCs w:val="32"/>
          <w:highlight w:val="none"/>
          <w:lang w:val="en-US" w:eastAsia="zh-CN" w:bidi="ar-SA"/>
        </w:rPr>
        <w:t>度</w:t>
      </w:r>
      <w:r>
        <w:rPr>
          <w:rFonts w:hint="eastAsia" w:ascii="Times New Roman" w:hAnsi="Times New Roman" w:eastAsia="仿宋_GB2312" w:cs="仿宋_GB2312"/>
          <w:color w:val="auto"/>
          <w:kern w:val="2"/>
          <w:sz w:val="32"/>
          <w:szCs w:val="32"/>
          <w:highlight w:val="none"/>
          <w:lang w:val="en-US" w:eastAsia="zh-CN" w:bidi="ar-SA"/>
        </w:rPr>
        <w:t>无公函接待。其中：</w:t>
      </w:r>
    </w:p>
    <w:p w14:paraId="6D14772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万元。国内公务接待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34CEB01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34" w:name="_Toc15396610"/>
      <w:bookmarkStart w:id="35" w:name="_Toc15377218"/>
    </w:p>
    <w:p w14:paraId="75DA8B58">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34"/>
      <w:bookmarkEnd w:id="35"/>
    </w:p>
    <w:p w14:paraId="53148A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，与上年持平。</w:t>
      </w:r>
    </w:p>
    <w:p w14:paraId="6EDF50E5">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36" w:name="_Toc15396611"/>
      <w:bookmarkStart w:id="37"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36"/>
      <w:bookmarkEnd w:id="37"/>
    </w:p>
    <w:p w14:paraId="09193D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%，与上年持平</w:t>
      </w:r>
      <w:r>
        <w:rPr>
          <w:rFonts w:hint="eastAsia" w:eastAsia="仿宋_GB2312" w:cs="仿宋_GB2312"/>
          <w:color w:val="auto"/>
          <w:kern w:val="2"/>
          <w:sz w:val="32"/>
          <w:szCs w:val="32"/>
          <w:highlight w:val="none"/>
          <w:lang w:val="en-US" w:eastAsia="zh-CN" w:bidi="ar-SA"/>
        </w:rPr>
        <w:t>。</w:t>
      </w:r>
    </w:p>
    <w:p w14:paraId="7603ABEE">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38" w:name="_Toc15396612"/>
      <w:bookmarkStart w:id="39"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38"/>
      <w:bookmarkEnd w:id="39"/>
    </w:p>
    <w:p w14:paraId="49EB38D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14:paraId="1F4924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四川省阿坝藏族羌族自治州自然资源局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 w:eastAsia="仿宋_GB2312" w:cs="Times New Roman"/>
          <w:sz w:val="32"/>
          <w:szCs w:val="32"/>
          <w:highlight w:val="none"/>
          <w:lang w:val="en-US" w:eastAsia="zh-CN"/>
        </w:rPr>
        <w:t>123.39</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31.49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20.3</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eastAsia="仿宋_GB2312" w:cs="宋体"/>
          <w:color w:val="auto"/>
          <w:sz w:val="32"/>
          <w:szCs w:val="32"/>
          <w:lang w:eastAsia="zh-CN" w:bidi="ar-SA"/>
        </w:rPr>
        <w:t>厉</w:t>
      </w:r>
      <w:r>
        <w:rPr>
          <w:rFonts w:hint="eastAsia" w:ascii="仿宋_GB2312" w:eastAsia="仿宋_GB2312" w:cs="宋体"/>
          <w:sz w:val="32"/>
          <w:szCs w:val="32"/>
          <w:lang w:eastAsia="zh-CN" w:bidi="ar-SA"/>
        </w:rPr>
        <w:t>行节约大力压减公用经费支出。</w:t>
      </w:r>
    </w:p>
    <w:p w14:paraId="7F66184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14:paraId="74EF22C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四川省阿坝藏族羌族自治州自然资源局</w:t>
      </w:r>
      <w:r>
        <w:rPr>
          <w:rFonts w:hint="eastAsia" w:ascii="Times New Roman" w:hAnsi="Times New Roman" w:eastAsia="仿宋_GB2312" w:cs="仿宋_GB2312"/>
          <w:color w:val="auto"/>
          <w:kern w:val="2"/>
          <w:sz w:val="32"/>
          <w:szCs w:val="32"/>
          <w:highlight w:val="none"/>
          <w:lang w:val="en-US" w:eastAsia="zh-CN" w:bidi="ar-SA"/>
        </w:rPr>
        <w:t>政府采购支出总额309.57万元，其中：政府采购货物支出</w:t>
      </w:r>
      <w:r>
        <w:rPr>
          <w:rFonts w:hint="eastAsia" w:eastAsia="仿宋_GB2312" w:cs="仿宋_GB2312"/>
          <w:color w:val="auto"/>
          <w:kern w:val="2"/>
          <w:sz w:val="32"/>
          <w:szCs w:val="32"/>
          <w:highlight w:val="none"/>
          <w:lang w:val="en-US" w:eastAsia="zh-CN" w:bidi="ar-SA"/>
        </w:rPr>
        <w:t>2.64</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306.93</w:t>
      </w:r>
      <w:r>
        <w:rPr>
          <w:rFonts w:hint="eastAsia" w:ascii="Times New Roman" w:hAnsi="Times New Roman" w:eastAsia="仿宋_GB2312" w:cs="仿宋_GB2312"/>
          <w:color w:val="auto"/>
          <w:kern w:val="2"/>
          <w:sz w:val="32"/>
          <w:szCs w:val="32"/>
          <w:highlight w:val="none"/>
          <w:lang w:val="en-US" w:eastAsia="zh-CN" w:bidi="ar-SA"/>
        </w:rPr>
        <w:t>万元。主要用于阿坝州耕地林地园地空间治理“一张图”建设</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州级地质灾害自动化实时监测项目运行维护</w:t>
      </w:r>
      <w:r>
        <w:rPr>
          <w:rFonts w:hint="eastAsia" w:eastAsia="仿宋_GB2312" w:cs="仿宋_GB2312"/>
          <w:color w:val="auto"/>
          <w:kern w:val="2"/>
          <w:sz w:val="32"/>
          <w:szCs w:val="32"/>
          <w:highlight w:val="none"/>
          <w:lang w:val="en-US" w:eastAsia="zh-CN" w:bidi="ar-SA"/>
        </w:rPr>
        <w:t>、卫片执法监督检查及技术服务以及国土资源掌上一张图系统维护、阿坝州“十五五”地质灾害防治专项规划编制、阿坝州自然资源局水资源基础调查州级汇总、阿坝州第五轮矿产资源总体规划（2026-2030年）编制、2025年建设项目用地预审、用地报批和国土空间规划审查、州级耕地流入流出汇总及方案编制技术服务、2025年全民所有自然资源资产清查工作、卫片执法监督检查及技术服务等自然资源管理相关专项工作</w:t>
      </w:r>
      <w:r>
        <w:rPr>
          <w:rFonts w:hint="eastAsia" w:ascii="Times New Roman" w:hAnsi="Times New Roman" w:eastAsia="仿宋_GB2312" w:cs="仿宋_GB2312"/>
          <w:color w:val="auto"/>
          <w:kern w:val="2"/>
          <w:sz w:val="32"/>
          <w:szCs w:val="32"/>
          <w:highlight w:val="none"/>
          <w:lang w:val="en-US" w:eastAsia="zh-CN" w:bidi="ar-SA"/>
        </w:rPr>
        <w:t>。授予中小企业合同金额69.1万元，占政府采购支出总额的</w:t>
      </w:r>
      <w:r>
        <w:rPr>
          <w:rFonts w:hint="eastAsia" w:eastAsia="仿宋_GB2312" w:cs="仿宋_GB2312"/>
          <w:color w:val="auto"/>
          <w:kern w:val="2"/>
          <w:sz w:val="32"/>
          <w:szCs w:val="32"/>
          <w:highlight w:val="none"/>
          <w:lang w:val="en-US" w:eastAsia="zh-CN" w:bidi="ar-SA"/>
        </w:rPr>
        <w:t>22.3</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4D17ED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925F3B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14:paraId="5941BDA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四川省阿坝藏族羌族自治州自然资源局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保障自然资源领域地质灾害防治、执法巡查、耕地保护、土地调查、国土空间规划及日常公务出行等。</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14:paraId="62F749E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291FF3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ascii="仿宋_GB2312" w:hAnsi="仿宋_GB2312" w:eastAsia="仿宋_GB2312" w:cs="仿宋_GB2312"/>
          <w:sz w:val="32"/>
          <w:szCs w:val="32"/>
        </w:rPr>
        <w:t>四川省阿坝藏族羌族自治州自然资源局</w:t>
      </w:r>
      <w:r>
        <w:rPr>
          <w:rFonts w:hint="eastAsia" w:ascii="Times New Roman" w:hAnsi="Times New Roman" w:eastAsia="仿宋_GB2312" w:cs="仿宋_GB2312"/>
          <w:color w:val="auto"/>
          <w:kern w:val="2"/>
          <w:sz w:val="32"/>
          <w:szCs w:val="32"/>
          <w:highlight w:val="none"/>
          <w:lang w:val="en-US" w:eastAsia="zh-CN" w:bidi="ar-SA"/>
        </w:rPr>
        <w:t>在2025年度，组织对阿坝州耕地林地园地空间治理“一张图”建设</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州级地质灾害自动化实时监测项目运行维护</w:t>
      </w:r>
      <w:r>
        <w:rPr>
          <w:rFonts w:hint="eastAsia" w:eastAsia="仿宋_GB2312" w:cs="仿宋_GB2312"/>
          <w:color w:val="auto"/>
          <w:kern w:val="2"/>
          <w:sz w:val="32"/>
          <w:szCs w:val="32"/>
          <w:highlight w:val="none"/>
          <w:lang w:val="en-US" w:eastAsia="zh-CN" w:bidi="ar-SA"/>
        </w:rPr>
        <w:t>、卫片执法监督检查及技术服务以及国土资源掌上一张图系统维护</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32</w:t>
      </w:r>
      <w:r>
        <w:rPr>
          <w:rFonts w:hint="eastAsia" w:ascii="Times New Roman" w:hAnsi="Times New Roman" w:eastAsia="仿宋_GB2312" w:cs="仿宋_GB2312"/>
          <w:color w:val="auto"/>
          <w:kern w:val="2"/>
          <w:sz w:val="32"/>
          <w:szCs w:val="32"/>
          <w:highlight w:val="none"/>
          <w:lang w:val="en-US" w:eastAsia="zh-CN" w:bidi="ar-SA"/>
        </w:rPr>
        <w:t>个项目涉及</w:t>
      </w:r>
      <w:r>
        <w:rPr>
          <w:rFonts w:hint="eastAsia" w:eastAsia="仿宋_GB2312" w:cs="仿宋_GB2312"/>
          <w:color w:val="auto"/>
          <w:kern w:val="2"/>
          <w:sz w:val="32"/>
          <w:szCs w:val="32"/>
          <w:highlight w:val="none"/>
          <w:lang w:val="en-US" w:eastAsia="zh-CN" w:bidi="ar-SA"/>
        </w:rPr>
        <w:t>预算</w:t>
      </w:r>
      <w:r>
        <w:rPr>
          <w:rFonts w:hint="eastAsia" w:ascii="Times New Roman" w:hAnsi="Times New Roman" w:eastAsia="仿宋_GB2312" w:cs="仿宋_GB2312"/>
          <w:color w:val="auto"/>
          <w:kern w:val="2"/>
          <w:sz w:val="32"/>
          <w:szCs w:val="32"/>
          <w:highlight w:val="none"/>
          <w:lang w:val="en-US" w:eastAsia="zh-CN" w:bidi="ar-SA"/>
        </w:rPr>
        <w:t>金额</w:t>
      </w:r>
      <w:r>
        <w:rPr>
          <w:rFonts w:hint="eastAsia" w:ascii="仿宋_GB2312" w:hAnsi="仿宋" w:eastAsia="仿宋_GB2312" w:cs="Times New Roman"/>
          <w:sz w:val="32"/>
          <w:szCs w:val="32"/>
          <w:highlight w:val="none"/>
          <w:lang w:val="en-US" w:eastAsia="zh-CN"/>
        </w:rPr>
        <w:t>5976.14</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32</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5F1A75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阿坝州自然资源局</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部门预算（含部门预算项目）绩效自评报告等专项预算项目绩效自评报告，其中，</w:t>
      </w:r>
      <w:r>
        <w:rPr>
          <w:rFonts w:hint="eastAsia" w:eastAsia="仿宋_GB2312" w:cs="仿宋_GB2312"/>
          <w:color w:val="auto"/>
          <w:kern w:val="2"/>
          <w:sz w:val="32"/>
          <w:szCs w:val="32"/>
          <w:highlight w:val="none"/>
          <w:lang w:val="en-US" w:eastAsia="zh-CN" w:bidi="ar-SA"/>
        </w:rPr>
        <w:t>阿坝州自然资源局</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部门预算（含部门预算项目）绩效自评得分为</w:t>
      </w:r>
      <w:r>
        <w:rPr>
          <w:rFonts w:hint="eastAsia" w:eastAsia="仿宋_GB2312" w:cs="仿宋_GB2312"/>
          <w:color w:val="auto"/>
          <w:kern w:val="2"/>
          <w:sz w:val="32"/>
          <w:szCs w:val="32"/>
          <w:highlight w:val="none"/>
          <w:lang w:val="en-US" w:eastAsia="zh-CN" w:bidi="ar-SA"/>
        </w:rPr>
        <w:t>84</w:t>
      </w:r>
      <w:r>
        <w:rPr>
          <w:rFonts w:hint="eastAsia" w:ascii="Times New Roman" w:hAnsi="Times New Roman" w:eastAsia="仿宋_GB2312" w:cs="仿宋_GB2312"/>
          <w:color w:val="auto"/>
          <w:kern w:val="2"/>
          <w:sz w:val="32"/>
          <w:szCs w:val="32"/>
          <w:highlight w:val="none"/>
          <w:lang w:val="en-US" w:eastAsia="zh-CN" w:bidi="ar-SA"/>
        </w:rPr>
        <w:t>分。绩效自评报告详见附件</w:t>
      </w:r>
      <w:r>
        <w:rPr>
          <w:rFonts w:hint="eastAsia" w:eastAsia="仿宋_GB2312" w:cs="仿宋_GB2312"/>
          <w:color w:val="auto"/>
          <w:kern w:val="2"/>
          <w:sz w:val="32"/>
          <w:szCs w:val="32"/>
          <w:highlight w:val="none"/>
          <w:lang w:val="en-US" w:eastAsia="zh-CN" w:bidi="ar-SA"/>
        </w:rPr>
        <w:t>。</w:t>
      </w:r>
    </w:p>
    <w:p w14:paraId="7D672F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D07751C">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77225"/>
      <w:bookmarkStart w:id="44"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14:paraId="38C013ED">
      <w:pPr>
        <w:spacing w:line="600" w:lineRule="exact"/>
        <w:jc w:val="left"/>
        <w:rPr>
          <w:rFonts w:ascii="Times New Roman" w:hAnsi="Times New Roman"/>
          <w:b/>
          <w:color w:val="auto"/>
          <w:sz w:val="44"/>
          <w:szCs w:val="44"/>
          <w:highlight w:val="none"/>
        </w:rPr>
      </w:pPr>
    </w:p>
    <w:p w14:paraId="68A98D3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49E0D6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7379671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5BC1386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 </w:t>
      </w:r>
    </w:p>
    <w:p w14:paraId="0E5C7C5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197B044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5BE692B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1B038C7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068C01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9.社会保障和就业（类）……（款）……（项）：指</w:t>
      </w:r>
      <w:r>
        <w:rPr>
          <w:rFonts w:hint="eastAsia" w:eastAsia="仿宋_GB2312" w:cs="仿宋_GB2312"/>
          <w:color w:val="auto"/>
          <w:kern w:val="2"/>
          <w:sz w:val="32"/>
          <w:szCs w:val="32"/>
          <w:highlight w:val="none"/>
          <w:lang w:val="en-US" w:eastAsia="zh-CN" w:bidi="ar-SA"/>
        </w:rPr>
        <w:t>政府在社会保障与就业方面的支出。</w:t>
      </w:r>
    </w:p>
    <w:p w14:paraId="5DDFD1A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.卫生健康（类）……（款）……（项）：指</w:t>
      </w:r>
      <w:r>
        <w:rPr>
          <w:rFonts w:hint="eastAsia" w:eastAsia="仿宋_GB2312" w:cs="仿宋_GB2312"/>
          <w:color w:val="auto"/>
          <w:kern w:val="2"/>
          <w:sz w:val="32"/>
          <w:szCs w:val="32"/>
          <w:highlight w:val="none"/>
          <w:lang w:val="en-US" w:eastAsia="zh-CN" w:bidi="ar-SA"/>
        </w:rPr>
        <w:t>政府卫生健康方面的支出。</w:t>
      </w:r>
    </w:p>
    <w:p w14:paraId="0793BB0F">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r>
        <w:rPr>
          <w:rFonts w:hint="eastAsia" w:eastAsia="仿宋_GB2312" w:cs="仿宋_GB2312"/>
          <w:color w:val="auto"/>
          <w:kern w:val="2"/>
          <w:sz w:val="32"/>
          <w:szCs w:val="32"/>
          <w:highlight w:val="none"/>
          <w:lang w:val="en-US" w:eastAsia="zh-CN" w:bidi="ar-SA"/>
        </w:rPr>
        <w:t>政府节能环保支出。</w:t>
      </w:r>
    </w:p>
    <w:p w14:paraId="5C4AC9E1">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.自然资源海洋气象等（类）……（款）……（项）：指</w:t>
      </w:r>
      <w:r>
        <w:rPr>
          <w:rFonts w:hint="eastAsia" w:eastAsia="仿宋_GB2312" w:cs="仿宋_GB2312"/>
          <w:color w:val="auto"/>
          <w:kern w:val="2"/>
          <w:sz w:val="32"/>
          <w:szCs w:val="32"/>
          <w:highlight w:val="none"/>
          <w:lang w:val="en-US" w:eastAsia="zh-CN" w:bidi="ar-SA"/>
        </w:rPr>
        <w:t>政府用于自然资源、海洋、测绘、气象等公益服务事业方面的支出。</w:t>
      </w:r>
    </w:p>
    <w:p w14:paraId="7ACEAD1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.住房保障（类）……（款）……（项）：指</w:t>
      </w:r>
      <w:r>
        <w:rPr>
          <w:rFonts w:hint="eastAsia" w:eastAsia="仿宋_GB2312" w:cs="仿宋_GB2312"/>
          <w:color w:val="auto"/>
          <w:kern w:val="2"/>
          <w:sz w:val="32"/>
          <w:szCs w:val="32"/>
          <w:highlight w:val="none"/>
          <w:lang w:val="en-US" w:eastAsia="zh-CN" w:bidi="ar-SA"/>
        </w:rPr>
        <w:t>政府用于住房方面的支出。</w:t>
      </w:r>
    </w:p>
    <w:p w14:paraId="1691763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4.</w:t>
      </w:r>
      <w:r>
        <w:rPr>
          <w:rFonts w:hint="eastAsia" w:eastAsia="仿宋_GB2312" w:cs="仿宋_GB2312"/>
          <w:color w:val="auto"/>
          <w:kern w:val="2"/>
          <w:sz w:val="32"/>
          <w:szCs w:val="32"/>
          <w:highlight w:val="none"/>
          <w:lang w:val="en-US" w:eastAsia="zh-CN" w:bidi="ar-SA"/>
        </w:rPr>
        <w:t>灾害防治及应急管理</w:t>
      </w:r>
      <w:r>
        <w:rPr>
          <w:rFonts w:hint="eastAsia" w:ascii="Times New Roman" w:hAnsi="Times New Roman" w:eastAsia="仿宋_GB2312" w:cs="仿宋_GB2312"/>
          <w:color w:val="auto"/>
          <w:kern w:val="2"/>
          <w:sz w:val="32"/>
          <w:szCs w:val="32"/>
          <w:highlight w:val="none"/>
          <w:lang w:val="en-US" w:eastAsia="zh-CN" w:bidi="ar-SA"/>
        </w:rPr>
        <w:t>（类）……（款）……（项）：指</w:t>
      </w:r>
      <w:r>
        <w:rPr>
          <w:rFonts w:hint="eastAsia" w:eastAsia="仿宋_GB2312" w:cs="仿宋_GB2312"/>
          <w:color w:val="auto"/>
          <w:kern w:val="2"/>
          <w:sz w:val="32"/>
          <w:szCs w:val="32"/>
          <w:highlight w:val="none"/>
          <w:lang w:val="en-US" w:eastAsia="zh-CN" w:bidi="ar-SA"/>
        </w:rPr>
        <w:t>政府用于自然灾害防治、安全生产监管及应急管理等方面的支出。</w:t>
      </w:r>
    </w:p>
    <w:p w14:paraId="23DD069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4CBED4E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6FBDB3A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51571C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134137F">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eastAsia="仿宋_GB2312" w:cs="仿宋_GB2312"/>
          <w:color w:val="auto"/>
          <w:kern w:val="2"/>
          <w:sz w:val="32"/>
          <w:szCs w:val="32"/>
          <w:highlight w:val="none"/>
          <w:lang w:val="en-US" w:eastAsia="zh-CN" w:bidi="ar-SA"/>
        </w:rPr>
        <w:t>。</w:t>
      </w:r>
      <w:bookmarkStart w:id="62" w:name="_GoBack"/>
      <w:bookmarkEnd w:id="62"/>
    </w:p>
    <w:p w14:paraId="0D07BE49">
      <w:pPr>
        <w:spacing w:line="600" w:lineRule="exact"/>
        <w:jc w:val="center"/>
        <w:rPr>
          <w:rStyle w:val="28"/>
          <w:rFonts w:hint="eastAsia" w:ascii="Times New Roman" w:hAnsi="Times New Roman" w:eastAsia="黑体"/>
          <w:b w:val="0"/>
          <w:color w:val="auto"/>
          <w:highlight w:val="none"/>
          <w:lang w:eastAsia="zh-CN"/>
        </w:rPr>
      </w:pPr>
      <w:bookmarkStart w:id="4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6"/>
    </w:p>
    <w:p w14:paraId="410C4E68">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6EF45E51">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73CAE771">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73625497">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64ABB5BF">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rPr>
        <w:t>（报告范围包括机关和下属单位）</w:t>
      </w:r>
    </w:p>
    <w:p w14:paraId="1BFB8626">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3E837431">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2498C975">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p>
    <w:p w14:paraId="2DD01912">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szCs w:val="32"/>
        </w:rPr>
      </w:pPr>
      <w:r>
        <w:rPr>
          <w:rFonts w:hint="eastAsia" w:ascii="仿宋_GB2312" w:hAnsi="Times New Roman" w:eastAsia="仿宋_GB2312" w:cs="Times New Roman"/>
          <w:kern w:val="2"/>
          <w:sz w:val="32"/>
          <w:szCs w:val="32"/>
          <w:u w:val="none"/>
        </w:rPr>
        <w:t>阿坝藏族羌族自治州自然资源局</w:t>
      </w:r>
      <w:r>
        <w:rPr>
          <w:rFonts w:hint="default" w:ascii="仿宋_GB2312" w:hAnsi="Times New Roman" w:eastAsia="仿宋_GB2312" w:cs="Times New Roman"/>
          <w:kern w:val="2"/>
          <w:sz w:val="32"/>
          <w:szCs w:val="32"/>
          <w:u w:val="none"/>
        </w:rPr>
        <w:t>属一级预算单位，下属二级预算单位</w:t>
      </w:r>
      <w:r>
        <w:rPr>
          <w:rFonts w:hint="eastAsia" w:ascii="仿宋_GB2312" w:hAnsi="Times New Roman" w:eastAsia="仿宋_GB2312" w:cs="Times New Roman"/>
          <w:kern w:val="2"/>
          <w:sz w:val="32"/>
          <w:szCs w:val="32"/>
          <w:u w:val="none"/>
          <w:lang w:val="en-US" w:eastAsia="zh-CN"/>
        </w:rPr>
        <w:t>3</w:t>
      </w:r>
      <w:r>
        <w:rPr>
          <w:rFonts w:hint="default" w:ascii="仿宋_GB2312" w:hAnsi="Times New Roman" w:eastAsia="仿宋_GB2312" w:cs="Times New Roman"/>
          <w:kern w:val="2"/>
          <w:sz w:val="32"/>
          <w:szCs w:val="32"/>
          <w:u w:val="none"/>
        </w:rPr>
        <w:t>个：阿坝州国土空间生态修复与地质灾害防治研究所</w:t>
      </w:r>
      <w:r>
        <w:rPr>
          <w:rFonts w:hint="eastAsia" w:ascii="仿宋_GB2312" w:hAnsi="Times New Roman" w:eastAsia="仿宋_GB2312" w:cs="Times New Roman"/>
          <w:kern w:val="2"/>
          <w:sz w:val="32"/>
          <w:szCs w:val="32"/>
          <w:u w:val="none"/>
        </w:rPr>
        <w:t>（简称修防所）</w:t>
      </w:r>
      <w:r>
        <w:rPr>
          <w:rFonts w:hint="eastAsia" w:ascii="仿宋_GB2312" w:hAnsi="Times New Roman" w:eastAsia="仿宋_GB2312" w:cs="Times New Roman"/>
          <w:kern w:val="2"/>
          <w:sz w:val="32"/>
          <w:szCs w:val="32"/>
          <w:u w:val="none"/>
          <w:lang w:eastAsia="zh-CN"/>
        </w:rPr>
        <w:t>、</w:t>
      </w:r>
      <w:r>
        <w:rPr>
          <w:rFonts w:hint="default" w:ascii="仿宋_GB2312" w:hAnsi="Times New Roman" w:eastAsia="仿宋_GB2312" w:cs="Times New Roman"/>
          <w:kern w:val="2"/>
          <w:sz w:val="32"/>
          <w:szCs w:val="32"/>
          <w:u w:val="none"/>
        </w:rPr>
        <w:t>阿坝州不动产登记中心</w:t>
      </w:r>
      <w:r>
        <w:rPr>
          <w:rFonts w:hint="eastAsia" w:ascii="仿宋_GB2312" w:hAnsi="Times New Roman" w:eastAsia="仿宋_GB2312" w:cs="Times New Roman"/>
          <w:kern w:val="2"/>
          <w:sz w:val="32"/>
          <w:szCs w:val="32"/>
          <w:u w:val="none"/>
        </w:rPr>
        <w:t>（简称不动产登记中心）</w:t>
      </w:r>
      <w:r>
        <w:rPr>
          <w:rFonts w:hint="eastAsia" w:ascii="仿宋_GB2312" w:hAnsi="Times New Roman" w:eastAsia="仿宋_GB2312" w:cs="Times New Roman"/>
          <w:kern w:val="2"/>
          <w:sz w:val="32"/>
          <w:szCs w:val="32"/>
          <w:u w:val="none"/>
          <w:lang w:eastAsia="zh-CN"/>
        </w:rPr>
        <w:t>、</w:t>
      </w:r>
      <w:r>
        <w:rPr>
          <w:rFonts w:hint="eastAsia" w:ascii="仿宋_GB2312" w:hAnsi="Times New Roman" w:eastAsia="仿宋_GB2312" w:cs="Times New Roman"/>
          <w:kern w:val="2"/>
          <w:sz w:val="32"/>
          <w:szCs w:val="32"/>
          <w:u w:val="none"/>
          <w:lang w:val="en-US" w:eastAsia="zh-CN"/>
        </w:rPr>
        <w:t>阿坝州耕地保护中心</w:t>
      </w:r>
      <w:r>
        <w:rPr>
          <w:rFonts w:hint="eastAsia" w:ascii="仿宋_GB2312" w:hAnsi="Times New Roman" w:eastAsia="仿宋_GB2312" w:cs="Times New Roman"/>
          <w:kern w:val="2"/>
          <w:sz w:val="32"/>
          <w:szCs w:val="32"/>
          <w:u w:val="none"/>
        </w:rPr>
        <w:t>（简称</w:t>
      </w:r>
      <w:r>
        <w:rPr>
          <w:rFonts w:hint="eastAsia" w:ascii="仿宋_GB2312" w:hAnsi="Times New Roman" w:eastAsia="仿宋_GB2312" w:cs="Times New Roman"/>
          <w:kern w:val="2"/>
          <w:sz w:val="32"/>
          <w:szCs w:val="32"/>
          <w:u w:val="none"/>
          <w:lang w:val="en-US" w:eastAsia="zh-CN"/>
        </w:rPr>
        <w:t>耕保中心</w:t>
      </w:r>
      <w:r>
        <w:rPr>
          <w:rFonts w:hint="eastAsia" w:ascii="仿宋_GB2312" w:hAnsi="Times New Roman" w:eastAsia="仿宋_GB2312" w:cs="Times New Roman"/>
          <w:kern w:val="2"/>
          <w:sz w:val="32"/>
          <w:szCs w:val="32"/>
          <w:u w:val="none"/>
        </w:rPr>
        <w:t>）</w:t>
      </w:r>
      <w:r>
        <w:rPr>
          <w:rFonts w:hint="eastAsia" w:ascii="仿宋_GB2312" w:hAnsi="Times New Roman" w:eastAsia="仿宋_GB2312" w:cs="Times New Roman"/>
          <w:kern w:val="2"/>
          <w:sz w:val="32"/>
          <w:szCs w:val="32"/>
          <w:u w:val="none"/>
          <w:lang w:eastAsia="zh-CN"/>
        </w:rPr>
        <w:t>，均</w:t>
      </w:r>
      <w:r>
        <w:rPr>
          <w:rFonts w:hint="eastAsia" w:ascii="仿宋_GB2312" w:hAnsi="Times New Roman" w:cs="Times New Roman"/>
          <w:kern w:val="2"/>
          <w:sz w:val="32"/>
          <w:szCs w:val="32"/>
          <w:u w:val="none"/>
          <w:lang w:eastAsia="zh-CN"/>
        </w:rPr>
        <w:t>属</w:t>
      </w:r>
      <w:r>
        <w:rPr>
          <w:rFonts w:hint="default" w:ascii="仿宋_GB2312" w:hAnsi="Times New Roman" w:eastAsia="仿宋_GB2312" w:cs="Times New Roman"/>
          <w:kern w:val="2"/>
          <w:sz w:val="32"/>
          <w:szCs w:val="32"/>
          <w:u w:val="none"/>
        </w:rPr>
        <w:t>财政全额拨款事业单位</w:t>
      </w:r>
      <w:r>
        <w:rPr>
          <w:rFonts w:hint="default" w:ascii="Times New Roman" w:hAnsi="Times New Roman" w:eastAsia="仿宋_GB2312" w:cs="仿宋_GB2312"/>
          <w:color w:val="auto"/>
          <w:kern w:val="2"/>
          <w:sz w:val="32"/>
          <w:szCs w:val="32"/>
          <w:highlight w:val="none"/>
          <w:lang w:val="en-US" w:eastAsia="zh-CN" w:bidi="ar-SA"/>
        </w:rPr>
        <w:t>。</w:t>
      </w:r>
    </w:p>
    <w:p w14:paraId="29BF42EB">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p>
    <w:p w14:paraId="6E603D04">
      <w:pPr>
        <w:keepNext w:val="0"/>
        <w:keepLines w:val="0"/>
        <w:pageBreakBefore w:val="0"/>
        <w:widowControl w:val="0"/>
        <w:numPr>
          <w:ilvl w:val="0"/>
          <w:numId w:val="0"/>
        </w:numPr>
        <w:kinsoku/>
        <w:wordWrap/>
        <w:overflowPunct/>
        <w:topLinePunct w:val="0"/>
        <w:autoSpaceDE w:val="0"/>
        <w:autoSpaceDN w:val="0"/>
        <w:bidi w:val="0"/>
        <w:adjustRightInd/>
        <w:snapToGrid/>
        <w:spacing w:line="578" w:lineRule="exact"/>
        <w:ind w:left="-11" w:leftChars="0" w:firstLine="640" w:firstLineChars="200"/>
        <w:jc w:val="left"/>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按照中共阿坝州委办公室 阿坝州人民政府办公室关于印发《阿坝州自然资源局</w:t>
      </w:r>
      <w:r>
        <w:rPr>
          <w:rFonts w:hint="eastAsia" w:ascii="仿宋_GB2312" w:hAnsi="Times New Roman" w:eastAsia="仿宋_GB2312" w:cs="Times New Roman"/>
          <w:kern w:val="2"/>
          <w:sz w:val="32"/>
          <w:szCs w:val="32"/>
          <w:u w:val="none"/>
          <w:lang w:val="zh-CN" w:eastAsia="zh-CN"/>
        </w:rPr>
        <w:t>职能配置、内设机构和人员编制规定》的通知</w:t>
      </w:r>
      <w:r>
        <w:rPr>
          <w:rFonts w:hint="eastAsia" w:ascii="仿宋_GB2312" w:hAnsi="Times New Roman" w:eastAsia="仿宋_GB2312" w:cs="Times New Roman"/>
          <w:color w:val="auto"/>
          <w:kern w:val="2"/>
          <w:sz w:val="32"/>
          <w:szCs w:val="32"/>
          <w:highlight w:val="none"/>
          <w:u w:val="none"/>
          <w:lang w:val="zh-CN" w:eastAsia="zh-CN"/>
        </w:rPr>
        <w:t>（阿委办〔2024〕58号）规定，阿坝藏族羌族自治州自然资源局负责</w:t>
      </w:r>
      <w:r>
        <w:rPr>
          <w:rFonts w:hint="eastAsia" w:ascii="仿宋_GB2312" w:hAnsi="Times New Roman" w:eastAsia="仿宋_GB2312" w:cs="Times New Roman"/>
          <w:kern w:val="2"/>
          <w:sz w:val="32"/>
          <w:szCs w:val="32"/>
          <w:highlight w:val="none"/>
          <w:u w:val="none"/>
          <w:lang w:val="zh-CN" w:eastAsia="zh-CN"/>
        </w:rPr>
        <w:t>贯彻落实党中央关于自</w:t>
      </w:r>
      <w:r>
        <w:rPr>
          <w:rFonts w:hint="eastAsia" w:ascii="仿宋_GB2312" w:hAnsi="仿宋_GB2312" w:eastAsia="仿宋_GB2312" w:cs="仿宋_GB2312"/>
          <w:sz w:val="32"/>
          <w:szCs w:val="32"/>
          <w:highlight w:val="none"/>
          <w:lang w:val="zh-CN" w:eastAsia="zh-CN"/>
        </w:rPr>
        <w:t>然资源工作的方</w:t>
      </w:r>
      <w:r>
        <w:rPr>
          <w:rFonts w:hint="eastAsia" w:ascii="仿宋_GB2312" w:hAnsi="仿宋_GB2312" w:eastAsia="仿宋_GB2312" w:cs="仿宋_GB2312"/>
          <w:sz w:val="32"/>
          <w:szCs w:val="32"/>
          <w:lang w:val="zh-CN" w:eastAsia="zh-CN"/>
        </w:rPr>
        <w:t>针政策和省委、州委决策部署，把坚持和加强党中央对自然资源工作的集中统一领导落实到履行职责过程中。主要职责是：</w:t>
      </w:r>
    </w:p>
    <w:p w14:paraId="063446EA">
      <w:pPr>
        <w:keepNext w:val="0"/>
        <w:keepLines w:val="0"/>
        <w:pageBreakBefore w:val="0"/>
        <w:widowControl w:val="0"/>
        <w:numPr>
          <w:ilvl w:val="0"/>
          <w:numId w:val="2"/>
        </w:numPr>
        <w:kinsoku/>
        <w:wordWrap/>
        <w:overflowPunct/>
        <w:topLinePunct w:val="0"/>
        <w:autoSpaceDE w:val="0"/>
        <w:autoSpaceDN w:val="0"/>
        <w:bidi w:val="0"/>
        <w:adjustRightInd/>
        <w:snapToGrid/>
        <w:spacing w:line="578" w:lineRule="exact"/>
        <w:ind w:left="-11" w:leftChars="0" w:firstLine="640" w:firstLineChars="200"/>
        <w:jc w:val="left"/>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按照规定权限，履行全民所有土地、矿产、森林、草原、湿地、水等自然资源资产所有者职责和所有国土空间用途管制职责。组织起草、拟订全州自然资源和国土空间规划等地方性法规、规章草案，制定有关政策措施并监督检查执行情况。</w:t>
      </w:r>
    </w:p>
    <w:p w14:paraId="0668CF4E">
      <w:pPr>
        <w:keepNext w:val="0"/>
        <w:keepLines w:val="0"/>
        <w:pageBreakBefore w:val="0"/>
        <w:widowControl w:val="0"/>
        <w:numPr>
          <w:ilvl w:val="0"/>
          <w:numId w:val="2"/>
        </w:numPr>
        <w:kinsoku/>
        <w:wordWrap/>
        <w:overflowPunct/>
        <w:topLinePunct w:val="0"/>
        <w:autoSpaceDE w:val="0"/>
        <w:autoSpaceDN w:val="0"/>
        <w:bidi w:val="0"/>
        <w:adjustRightInd/>
        <w:snapToGrid/>
        <w:spacing w:line="578" w:lineRule="exact"/>
        <w:ind w:left="-11" w:leftChars="0" w:firstLine="640" w:firstLineChars="200"/>
        <w:jc w:val="left"/>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负责全州自然资源调查监测评价。依照自然资源调查监测评价的指标体系和统计标准，建立统一规范的自然资源调查监测评价制度。实施自然资源基础调查、专项调查和监测。负责自然资源调查监测评价成果的监督管理和信息发布。指导县（市）自然资源调查监测评价工作。</w:t>
      </w:r>
    </w:p>
    <w:p w14:paraId="34776457">
      <w:pPr>
        <w:keepNext w:val="0"/>
        <w:keepLines w:val="0"/>
        <w:pageBreakBefore w:val="0"/>
        <w:widowControl w:val="0"/>
        <w:numPr>
          <w:ilvl w:val="0"/>
          <w:numId w:val="2"/>
        </w:numPr>
        <w:kinsoku/>
        <w:wordWrap/>
        <w:overflowPunct/>
        <w:topLinePunct w:val="0"/>
        <w:autoSpaceDE w:val="0"/>
        <w:autoSpaceDN w:val="0"/>
        <w:bidi w:val="0"/>
        <w:adjustRightInd/>
        <w:snapToGrid/>
        <w:spacing w:line="578" w:lineRule="exact"/>
        <w:ind w:left="-11" w:leftChars="0" w:firstLine="640" w:firstLineChars="200"/>
        <w:jc w:val="left"/>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负责全州自然资源统一确权登记工作。组织实施各类自然资源和不动产统一确权登记、权籍调查、不动产测绘、争议调处、成果应用的制度、标准、规范。建立健全全州自然资源和不动产登记信息管理基础平台。负责自然资源和不动产登记资料收集、整理、共享、汇交管理等。指导监督自然资源和不动产确权登记工作。</w:t>
      </w:r>
    </w:p>
    <w:p w14:paraId="349C4091">
      <w:pPr>
        <w:keepNext w:val="0"/>
        <w:keepLines w:val="0"/>
        <w:pageBreakBefore w:val="0"/>
        <w:widowControl w:val="0"/>
        <w:numPr>
          <w:ilvl w:val="0"/>
          <w:numId w:val="2"/>
        </w:numPr>
        <w:kinsoku/>
        <w:wordWrap/>
        <w:overflowPunct/>
        <w:topLinePunct w:val="0"/>
        <w:autoSpaceDE w:val="0"/>
        <w:autoSpaceDN w:val="0"/>
        <w:bidi w:val="0"/>
        <w:adjustRightInd/>
        <w:snapToGrid/>
        <w:spacing w:line="578" w:lineRule="exact"/>
        <w:ind w:left="-11" w:leftChars="0" w:firstLine="640" w:firstLineChars="200"/>
        <w:jc w:val="left"/>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负责全州自然资源资产有偿使用工作。建立全民所有自然资源资产统计制度，负责全民所有自然资源资产核算。编制全民所有自然资源资产负债表，依照有关标准组织考核。按照规定权限，制定全民所有自然资源资产划拨、出让、租赁、作价出资和土地储备政策，合理配置全民所有自然资源资产。负责自然资源资产价值评估管理，依法收缴相关资产收益。</w:t>
      </w:r>
    </w:p>
    <w:p w14:paraId="083BEEFC">
      <w:pPr>
        <w:keepNext w:val="0"/>
        <w:keepLines w:val="0"/>
        <w:pageBreakBefore w:val="0"/>
        <w:widowControl w:val="0"/>
        <w:numPr>
          <w:ilvl w:val="0"/>
          <w:numId w:val="2"/>
        </w:numPr>
        <w:kinsoku/>
        <w:wordWrap/>
        <w:overflowPunct/>
        <w:topLinePunct w:val="0"/>
        <w:autoSpaceDE w:val="0"/>
        <w:autoSpaceDN w:val="0"/>
        <w:bidi w:val="0"/>
        <w:adjustRightInd/>
        <w:snapToGrid/>
        <w:spacing w:line="578" w:lineRule="exact"/>
        <w:ind w:left="-11" w:leftChars="0" w:firstLine="640" w:firstLineChars="200"/>
        <w:jc w:val="left"/>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负责全州自然资源的合理开发利用。组织拟订自然资源发展规划和战略，制定自然资源开发利用地方标准并组织实施，建立政府公示自然资源价格体系，组织开展自然资源分等定级价格评估，开展自然资源利用评价考核，指导节约集约利用。负责自然资源市场监管。组织研究自然资源管理涉及宏观调控、区域协调和城乡统筹的政策措施。</w:t>
      </w:r>
    </w:p>
    <w:p w14:paraId="38D182EE">
      <w:pPr>
        <w:keepNext w:val="0"/>
        <w:keepLines w:val="0"/>
        <w:pageBreakBefore w:val="0"/>
        <w:widowControl w:val="0"/>
        <w:numPr>
          <w:ilvl w:val="0"/>
          <w:numId w:val="2"/>
        </w:numPr>
        <w:kinsoku/>
        <w:wordWrap/>
        <w:overflowPunct/>
        <w:topLinePunct w:val="0"/>
        <w:autoSpaceDE w:val="0"/>
        <w:autoSpaceDN w:val="0"/>
        <w:bidi w:val="0"/>
        <w:adjustRightInd/>
        <w:snapToGrid/>
        <w:spacing w:line="578" w:lineRule="exact"/>
        <w:ind w:left="-11" w:leftChars="0" w:firstLine="640" w:firstLineChars="200"/>
        <w:jc w:val="left"/>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负责建立全州空间规划体系并监督实施，推进主体功能区战略和制度，组织编制并监督实施国土空间规划和相关专项规划。开展国土空间开发适宜性评价，建立国土空间规划实施监测、评估和预警体系。组织划定生态保护红线、永久基本农田、城镇开发边界等控制线，构建节约资源和保护环境的生产、生活、生态空间布局。建立健全国土空间用途管制制度，研究拟订城乡规划政策并监督实施。组织拟订并实施土地等自然资源年度利用计划。负责土地等国土空间用途转用工作。负责土地征收征用管理。</w:t>
      </w:r>
    </w:p>
    <w:p w14:paraId="15232D5F">
      <w:pPr>
        <w:keepNext w:val="0"/>
        <w:keepLines w:val="0"/>
        <w:pageBreakBefore w:val="0"/>
        <w:widowControl w:val="0"/>
        <w:numPr>
          <w:ilvl w:val="0"/>
          <w:numId w:val="2"/>
        </w:numPr>
        <w:kinsoku/>
        <w:wordWrap/>
        <w:overflowPunct/>
        <w:topLinePunct w:val="0"/>
        <w:autoSpaceDE w:val="0"/>
        <w:autoSpaceDN w:val="0"/>
        <w:bidi w:val="0"/>
        <w:adjustRightInd/>
        <w:snapToGrid/>
        <w:spacing w:line="578" w:lineRule="exact"/>
        <w:ind w:left="-11" w:leftChars="0" w:firstLine="640" w:firstLineChars="200"/>
        <w:jc w:val="left"/>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负责统筹全州国土空间生态修复。牵头组织编制全州国土空间生态修复规划并实施有关生态修复重大工程。负责开展国土空间综合整治、土地整理复垦、矿山地质环境恢复治理等工作。牵头建立和实施生态保护补偿制度，制定合理利用社会资金进行生态修复的政策措施，提出重大备选项目。</w:t>
      </w:r>
    </w:p>
    <w:p w14:paraId="7CE91F34">
      <w:pPr>
        <w:keepNext w:val="0"/>
        <w:keepLines w:val="0"/>
        <w:pageBreakBefore w:val="0"/>
        <w:widowControl w:val="0"/>
        <w:numPr>
          <w:ilvl w:val="0"/>
          <w:numId w:val="2"/>
        </w:numPr>
        <w:kinsoku/>
        <w:wordWrap/>
        <w:overflowPunct/>
        <w:topLinePunct w:val="0"/>
        <w:autoSpaceDE w:val="0"/>
        <w:autoSpaceDN w:val="0"/>
        <w:bidi w:val="0"/>
        <w:adjustRightInd/>
        <w:snapToGrid/>
        <w:spacing w:line="578" w:lineRule="exact"/>
        <w:ind w:left="-11" w:leftChars="0" w:firstLine="640" w:firstLineChars="200"/>
        <w:jc w:val="left"/>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负责组织实施最严格的耕地保护制度。牵头拟订并实施全州耕地保护政策，负责耕地数量、质量、生态保护。组织实施耕地保护责任目标考核和永久基本农田特殊保护。完善耕地占补平衡制度，监督占用耕地补偿制度执行情况。</w:t>
      </w:r>
    </w:p>
    <w:p w14:paraId="2A4FE5D8">
      <w:pPr>
        <w:keepNext w:val="0"/>
        <w:keepLines w:val="0"/>
        <w:pageBreakBefore w:val="0"/>
        <w:widowControl w:val="0"/>
        <w:numPr>
          <w:ilvl w:val="0"/>
          <w:numId w:val="2"/>
        </w:numPr>
        <w:kinsoku/>
        <w:wordWrap/>
        <w:overflowPunct/>
        <w:topLinePunct w:val="0"/>
        <w:autoSpaceDE w:val="0"/>
        <w:autoSpaceDN w:val="0"/>
        <w:bidi w:val="0"/>
        <w:adjustRightInd/>
        <w:snapToGrid/>
        <w:spacing w:line="578" w:lineRule="exact"/>
        <w:ind w:left="-11" w:leftChars="0" w:firstLine="640" w:firstLineChars="200"/>
        <w:jc w:val="left"/>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负责管理全州地质勘查行业和地质工作。拟订全州地质勘查规划并监督检查执行情况。管理州级地质勘查项目。组织实施重大地质矿产勘查专项。负责地质灾害预防和治理，监督管理地下水过量开采及引发的地面沉降等地质问题。负责古生物化石的监督管理。</w:t>
      </w:r>
    </w:p>
    <w:p w14:paraId="758C1CC9">
      <w:pPr>
        <w:keepNext w:val="0"/>
        <w:keepLines w:val="0"/>
        <w:pageBreakBefore w:val="0"/>
        <w:widowControl w:val="0"/>
        <w:numPr>
          <w:ilvl w:val="0"/>
          <w:numId w:val="2"/>
        </w:numPr>
        <w:kinsoku/>
        <w:wordWrap/>
        <w:overflowPunct/>
        <w:topLinePunct w:val="0"/>
        <w:autoSpaceDE w:val="0"/>
        <w:autoSpaceDN w:val="0"/>
        <w:bidi w:val="0"/>
        <w:adjustRightInd/>
        <w:snapToGrid/>
        <w:spacing w:line="578" w:lineRule="exact"/>
        <w:ind w:left="-11" w:leftChars="0" w:firstLine="640" w:firstLineChars="200"/>
        <w:jc w:val="left"/>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负责落实综合防灾减灾规划相关要求，组织编制并实施地质灾害防治规划。组织、指导、协调和监督地质灾害调查评价及隐患的普查、详查、排查。组织、指导开展群测群防、专业监测和预报预警等工作，组织、指导开展地质灾害工程治理工作。承担地质灾害应急救援的技术保障工作。</w:t>
      </w:r>
    </w:p>
    <w:p w14:paraId="3E741EA5">
      <w:pPr>
        <w:keepNext w:val="0"/>
        <w:keepLines w:val="0"/>
        <w:pageBreakBefore w:val="0"/>
        <w:widowControl w:val="0"/>
        <w:numPr>
          <w:ilvl w:val="0"/>
          <w:numId w:val="2"/>
        </w:numPr>
        <w:kinsoku/>
        <w:wordWrap/>
        <w:overflowPunct/>
        <w:topLinePunct w:val="0"/>
        <w:autoSpaceDE w:val="0"/>
        <w:autoSpaceDN w:val="0"/>
        <w:bidi w:val="0"/>
        <w:adjustRightInd/>
        <w:snapToGrid/>
        <w:spacing w:line="578" w:lineRule="exact"/>
        <w:ind w:left="-11" w:leftChars="0" w:firstLine="640" w:firstLineChars="200"/>
        <w:jc w:val="left"/>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负责全州矿产资源管理工作。负责矿产资源查明、占用储量的核实、登记、备案。负责压覆矿产资源核实工作。负责矿业权管理。会同有关部门承担保护性开采的特定矿种、优势矿产的调控及相关管理工作。监督指导矿产资源合理利用和保护。</w:t>
      </w:r>
    </w:p>
    <w:p w14:paraId="42B45BA6">
      <w:pPr>
        <w:keepNext w:val="0"/>
        <w:keepLines w:val="0"/>
        <w:pageBreakBefore w:val="0"/>
        <w:widowControl w:val="0"/>
        <w:numPr>
          <w:ilvl w:val="0"/>
          <w:numId w:val="2"/>
        </w:numPr>
        <w:kinsoku/>
        <w:wordWrap/>
        <w:overflowPunct/>
        <w:topLinePunct w:val="0"/>
        <w:autoSpaceDE w:val="0"/>
        <w:autoSpaceDN w:val="0"/>
        <w:bidi w:val="0"/>
        <w:adjustRightInd/>
        <w:snapToGrid/>
        <w:spacing w:line="578" w:lineRule="exact"/>
        <w:ind w:left="-11" w:leftChars="0" w:firstLine="640" w:firstLineChars="200"/>
        <w:jc w:val="left"/>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负责全州测绘地理信息工作。负责基础测绘地理信息工作的统一监督管理，负责全州测绘单位的测绘资格审查、测绘工作证件、测绘任务备案管理，指导测量标志的管理和保护，管理全州各级行政区域测绘工作。</w:t>
      </w:r>
    </w:p>
    <w:p w14:paraId="3F49BF3C">
      <w:pPr>
        <w:keepNext w:val="0"/>
        <w:keepLines w:val="0"/>
        <w:pageBreakBefore w:val="0"/>
        <w:widowControl w:val="0"/>
        <w:numPr>
          <w:ilvl w:val="0"/>
          <w:numId w:val="2"/>
        </w:numPr>
        <w:kinsoku/>
        <w:wordWrap/>
        <w:overflowPunct/>
        <w:topLinePunct w:val="0"/>
        <w:autoSpaceDE w:val="0"/>
        <w:autoSpaceDN w:val="0"/>
        <w:bidi w:val="0"/>
        <w:adjustRightInd/>
        <w:snapToGrid/>
        <w:spacing w:line="578" w:lineRule="exact"/>
        <w:ind w:left="-11" w:leftChars="0" w:firstLine="640" w:firstLineChars="200"/>
        <w:jc w:val="left"/>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推动全州自然资源领域科技发展和对外合作。制定并实施全州自然资源领域科技创新发展和人才培养规划、计划。组织实施重大科技专项及创新能力建设，推进自然资源信息化和信息资料的公共服务。组织开展全州自然资源系统对外交流合作。</w:t>
      </w:r>
    </w:p>
    <w:p w14:paraId="14720558">
      <w:pPr>
        <w:keepNext w:val="0"/>
        <w:keepLines w:val="0"/>
        <w:pageBreakBefore w:val="0"/>
        <w:widowControl w:val="0"/>
        <w:numPr>
          <w:ilvl w:val="0"/>
          <w:numId w:val="2"/>
        </w:numPr>
        <w:kinsoku/>
        <w:wordWrap/>
        <w:overflowPunct/>
        <w:topLinePunct w:val="0"/>
        <w:autoSpaceDE w:val="0"/>
        <w:autoSpaceDN w:val="0"/>
        <w:bidi w:val="0"/>
        <w:adjustRightInd/>
        <w:snapToGrid/>
        <w:spacing w:line="578" w:lineRule="exact"/>
        <w:ind w:left="-11" w:leftChars="0" w:firstLine="640" w:firstLineChars="200"/>
        <w:jc w:val="left"/>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配合国家、省对县（市）政府落实党中央、国务院关于自然资源和国土空间规划的重大方针政策、决策部署及法律法规执行情况进行</w:t>
      </w:r>
      <w:r>
        <w:rPr>
          <w:rFonts w:hint="eastAsia" w:ascii="仿宋_GB2312" w:hAnsi="仿宋_GB2312" w:eastAsia="仿宋_GB2312" w:cs="仿宋_GB2312"/>
          <w:sz w:val="32"/>
          <w:szCs w:val="32"/>
          <w:u w:val="none"/>
          <w:lang w:val="zh-CN" w:eastAsia="zh-CN"/>
        </w:rPr>
        <w:t>督察</w:t>
      </w:r>
      <w:r>
        <w:rPr>
          <w:rFonts w:hint="eastAsia" w:ascii="仿宋_GB2312" w:hAnsi="仿宋_GB2312" w:eastAsia="仿宋_GB2312" w:cs="仿宋_GB2312"/>
          <w:sz w:val="32"/>
          <w:szCs w:val="32"/>
          <w:lang w:val="zh-CN" w:eastAsia="zh-CN"/>
        </w:rPr>
        <w:t>。按照州委、州政府安排，组织实施自然资源督察相关工作。查处、督办全州国土空间规划和自然资源重大违法案件，组织协调跨区域执法。指导县（市）有关行政执法工作。</w:t>
      </w:r>
    </w:p>
    <w:p w14:paraId="40A18AC0">
      <w:pPr>
        <w:keepNext w:val="0"/>
        <w:keepLines w:val="0"/>
        <w:pageBreakBefore w:val="0"/>
        <w:widowControl w:val="0"/>
        <w:numPr>
          <w:ilvl w:val="0"/>
          <w:numId w:val="2"/>
        </w:numPr>
        <w:kinsoku/>
        <w:wordWrap/>
        <w:overflowPunct/>
        <w:topLinePunct w:val="0"/>
        <w:autoSpaceDE w:val="0"/>
        <w:autoSpaceDN w:val="0"/>
        <w:bidi w:val="0"/>
        <w:adjustRightInd/>
        <w:snapToGrid/>
        <w:spacing w:line="578" w:lineRule="exact"/>
        <w:ind w:left="-11" w:leftChars="0" w:firstLine="640" w:firstLineChars="200"/>
        <w:jc w:val="left"/>
        <w:textAlignment w:val="auto"/>
        <w:rPr>
          <w:rFonts w:ascii="Times New Roman" w:hAnsi="Times New Roman" w:eastAsia="楷体_GB2312" w:cs="Times New Roman"/>
          <w:b/>
          <w:bCs/>
          <w:color w:val="000000"/>
          <w:kern w:val="0"/>
          <w:sz w:val="32"/>
          <w:szCs w:val="32"/>
          <w:shd w:val="clear" w:color="auto" w:fill="FFFFFF"/>
          <w:lang w:val="zh-CN"/>
        </w:rPr>
      </w:pPr>
      <w:r>
        <w:rPr>
          <w:rFonts w:hint="eastAsia" w:ascii="仿宋_GB2312" w:hAnsi="仿宋_GB2312" w:eastAsia="仿宋_GB2312" w:cs="仿宋_GB2312"/>
          <w:sz w:val="32"/>
          <w:szCs w:val="32"/>
          <w:lang w:val="zh-CN" w:eastAsia="zh-CN"/>
        </w:rPr>
        <w:t>负责职责范围内的安全生产和职业健康、生态环境保护、审批服务便民化等工作。</w:t>
      </w:r>
    </w:p>
    <w:p w14:paraId="05A3D74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仿宋_GB2312" w:cs="Times New Roman"/>
          <w:sz w:val="32"/>
          <w:szCs w:val="32"/>
          <w:lang w:val="en-US" w:eastAsia="zh-CN"/>
        </w:rPr>
        <w:t>16.</w:t>
      </w:r>
      <w:r>
        <w:rPr>
          <w:rFonts w:hint="eastAsia" w:ascii="Times New Roman" w:hAnsi="Times New Roman" w:eastAsia="仿宋_GB2312" w:cs="Times New Roman"/>
          <w:sz w:val="32"/>
          <w:szCs w:val="32"/>
          <w:lang w:val="en-US" w:eastAsia="zh-CN"/>
        </w:rPr>
        <w:t xml:space="preserve"> </w:t>
      </w:r>
      <w:r>
        <w:rPr>
          <w:rFonts w:hint="eastAsia" w:ascii="仿宋_GB2312" w:hAnsi="仿宋_GB2312" w:eastAsia="仿宋_GB2312" w:cs="仿宋_GB2312"/>
          <w:sz w:val="32"/>
          <w:szCs w:val="32"/>
          <w:lang w:val="zh-CN" w:eastAsia="zh-CN"/>
        </w:rPr>
        <w:t>完成州委、州政府交办的其他任务</w:t>
      </w:r>
      <w:r>
        <w:rPr>
          <w:rFonts w:hint="eastAsia" w:ascii="Times New Roman" w:hAnsi="Times New Roman" w:eastAsia="仿宋_GB2312" w:cs="Times New Roman"/>
          <w:sz w:val="32"/>
          <w:szCs w:val="32"/>
          <w:lang w:val="en-US" w:eastAsia="zh-CN"/>
        </w:rPr>
        <w:t>。</w:t>
      </w:r>
    </w:p>
    <w:p w14:paraId="4813325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p>
    <w:p w14:paraId="6AB3E08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cs="Times New Roman"/>
          <w:szCs w:val="32"/>
        </w:rPr>
      </w:pPr>
      <w:r>
        <w:rPr>
          <w:rFonts w:hint="eastAsia" w:ascii="Times New Roman" w:hAnsi="Times New Roman" w:eastAsia="仿宋_GB2312" w:cs="Times New Roman"/>
          <w:sz w:val="32"/>
          <w:szCs w:val="32"/>
          <w:lang w:val="en-US" w:eastAsia="zh-CN"/>
        </w:rPr>
        <w:t>截至2025年末，阿坝州自然资源局及下属单位编制情况：局机关：行政编制28个，行政工勤编制4个；州国土空间生态修复与地质灾害防治研究所事业编制1</w:t>
      </w:r>
      <w:r>
        <w:rPr>
          <w:rFonts w:hint="eastAsia"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个，州不动产登记中心事业编制1</w:t>
      </w:r>
      <w:r>
        <w:rPr>
          <w:rFonts w:hint="eastAsia" w:eastAsia="仿宋_GB2312" w:cs="Times New Roman"/>
          <w:sz w:val="32"/>
          <w:szCs w:val="32"/>
          <w:lang w:val="en-US" w:eastAsia="zh-CN"/>
        </w:rPr>
        <w:t>6</w:t>
      </w:r>
      <w:r>
        <w:rPr>
          <w:rFonts w:hint="eastAsia" w:ascii="Times New Roman" w:hAnsi="Times New Roman" w:eastAsia="仿宋_GB2312" w:cs="Times New Roman"/>
          <w:sz w:val="32"/>
          <w:szCs w:val="32"/>
          <w:lang w:val="en-US" w:eastAsia="zh-CN"/>
        </w:rPr>
        <w:t>个，州耕地保护中心事业编制9个。截至2025年末，阿坝州自然资源局及下属单位实有人数59人，其中行政人员26人，行政工勤4人，较上年新增行政人员5人，退休1人。事业人员29名，含3名事业工勤人员。本年新增事业人员9名，退休1名。</w:t>
      </w:r>
    </w:p>
    <w:p w14:paraId="316D93A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1B501582">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p>
    <w:p w14:paraId="22E509B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eastAsia" w:ascii="Times New Roman" w:hAnsi="Times New Roman" w:eastAsia="仿宋_GB2312" w:cs="Times New Roman"/>
          <w:sz w:val="32"/>
          <w:szCs w:val="32"/>
          <w:lang w:val="en-US" w:eastAsia="zh-CN"/>
        </w:rPr>
        <w:t>2025年部门预算总收入为1830.16万元，均为财政拨款收入，其中：一般公共预算拨款收入1830.16万元，占收入预算的百分比为100%；事业收入0万元；其他收入0万元。2025年部门决算总收入为7626.55万元，均为财政拨款收入，其中：一般公共预算拨款收入7626.55万元，占收入预算的百分比为100%；事业收入0万元；其他收入0万元。</w:t>
      </w:r>
    </w:p>
    <w:p w14:paraId="6718B898">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p>
    <w:p w14:paraId="5982DB0A">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2025年部门预算总支出为1830.16万元，其中：基本运行支出年初预算数为1310.53万元，占预算支出的71.61%（人员经费1130.05万元、日常公用经费180.48万元），项目运行支出预算数为519.63万元，占预算支出的28.39%。</w:t>
      </w:r>
    </w:p>
    <w:p w14:paraId="4866467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2025部门决算总支出为7626.55万元,其中基本运行支出数为1663.18万元，占预算支出的21.81%（人员经费1490.65万元、公用经费172.54万元），项目运行支出数为5963.36万元，占预算支出的78.19%。我局一般公共预算收支与决算收支差异较大，主要原因是年中增加中省重大建设项目，资金安排增加。     </w:t>
      </w:r>
    </w:p>
    <w:p w14:paraId="414242AA">
      <w:pPr>
        <w:keepNext w:val="0"/>
        <w:keepLines w:val="0"/>
        <w:pageBreakBefore w:val="0"/>
        <w:widowControl/>
        <w:numPr>
          <w:ilvl w:val="0"/>
          <w:numId w:val="3"/>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人员经费保障支出</w:t>
      </w:r>
    </w:p>
    <w:p w14:paraId="24C7331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2025年我局下达工资性支出预算、社会保障缴费等人员经费类预算项目1490.65万元，截至12月实现支出1490.65万元，达到预算金额100%。</w:t>
      </w:r>
    </w:p>
    <w:p w14:paraId="59D848F6">
      <w:pPr>
        <w:keepNext w:val="0"/>
        <w:keepLines w:val="0"/>
        <w:pageBreakBefore w:val="0"/>
        <w:widowControl/>
        <w:numPr>
          <w:ilvl w:val="0"/>
          <w:numId w:val="3"/>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定额公用经费支出（含公务用车购置费）</w:t>
      </w:r>
    </w:p>
    <w:p w14:paraId="5E8BC86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2025年我局共下达定额公用经费172.54万元，实现支付172.54万元，支付进度达到100%。</w:t>
      </w:r>
    </w:p>
    <w:p w14:paraId="6EA10D99">
      <w:pPr>
        <w:keepNext w:val="0"/>
        <w:keepLines w:val="0"/>
        <w:pageBreakBefore w:val="0"/>
        <w:widowControl/>
        <w:numPr>
          <w:ilvl w:val="0"/>
          <w:numId w:val="3"/>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项目经费支出</w:t>
      </w:r>
    </w:p>
    <w:p w14:paraId="6A473572">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项目运行全年预算数为5963.36万元，实现支出5963.36万元。其中30万及以上项目10个,总金额5498.49万元，支付5395.66万元。支出率98.13%。</w:t>
      </w:r>
    </w:p>
    <w:p w14:paraId="76CA0D6E">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szCs w:val="32"/>
          <w:lang w:val="zh-CN" w:eastAsia="zh-CN"/>
        </w:rPr>
      </w:pPr>
      <w:r>
        <w:rPr>
          <w:rFonts w:hint="eastAsia" w:ascii="Times New Roman" w:hAnsi="Times New Roman" w:eastAsia="仿宋_GB2312" w:cs="Times New Roman"/>
          <w:sz w:val="32"/>
          <w:szCs w:val="32"/>
          <w:lang w:val="en-US" w:eastAsia="zh-CN"/>
        </w:rPr>
        <w:t>我局当年新增若尔盖山水工程提质增效项目，总金额5000万元，该项目全额支出;地质灾害防治和耕地林地园地空间治理“一张图”建设项目支出88.87万元；阿坝州耕地林地园地空间治理“一张图”建设项目预算资金75.73万元，招标价格74.15万元，当年实际支出74.15万元；阿坝州规划展览馆陈列展览项目支出50.72万元。</w:t>
      </w:r>
    </w:p>
    <w:p w14:paraId="31B46B83">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p>
    <w:p w14:paraId="1F36AD1B">
      <w:pPr>
        <w:widowControl/>
        <w:adjustRightInd w:val="0"/>
        <w:snapToGrid w:val="0"/>
        <w:spacing w:line="578" w:lineRule="exact"/>
        <w:ind w:firstLine="960" w:firstLineChars="300"/>
        <w:contextualSpacing/>
        <w:jc w:val="left"/>
        <w:rPr>
          <w:rFonts w:hint="eastAsia" w:ascii="Times New Roman" w:hAnsi="Times New Roman" w:eastAsia="仿宋_GB2312" w:cs="Times New Roman"/>
          <w:b/>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年决算报表</w:t>
      </w:r>
      <w:r>
        <w:rPr>
          <w:rFonts w:ascii="Times New Roman" w:hAnsi="Times New Roman" w:eastAsia="仿宋_GB2312" w:cs="Times New Roman"/>
          <w:color w:val="000000"/>
          <w:kern w:val="0"/>
          <w:sz w:val="32"/>
          <w:szCs w:val="32"/>
          <w:shd w:val="clear" w:color="auto" w:fill="FFFFFF"/>
        </w:rPr>
        <w:t>结转结余情况</w:t>
      </w:r>
      <w:r>
        <w:rPr>
          <w:rFonts w:hint="eastAsia" w:ascii="Times New Roman" w:hAnsi="Times New Roman" w:eastAsia="仿宋_GB2312" w:cs="Times New Roman"/>
          <w:color w:val="000000"/>
          <w:kern w:val="0"/>
          <w:sz w:val="32"/>
          <w:szCs w:val="32"/>
          <w:shd w:val="clear" w:color="auto" w:fill="FFFFFF"/>
          <w:lang w:eastAsia="zh-CN"/>
        </w:rPr>
        <w:t>：</w:t>
      </w:r>
    </w:p>
    <w:tbl>
      <w:tblPr>
        <w:tblStyle w:val="15"/>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77"/>
        <w:gridCol w:w="539"/>
        <w:gridCol w:w="603"/>
        <w:gridCol w:w="573"/>
        <w:gridCol w:w="689"/>
        <w:gridCol w:w="1015"/>
        <w:gridCol w:w="549"/>
        <w:gridCol w:w="406"/>
        <w:gridCol w:w="781"/>
        <w:gridCol w:w="700"/>
        <w:gridCol w:w="700"/>
        <w:gridCol w:w="614"/>
        <w:gridCol w:w="969"/>
      </w:tblGrid>
      <w:tr w14:paraId="0CC6E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8" w:hRule="atLeast"/>
        </w:trPr>
        <w:tc>
          <w:tcPr>
            <w:tcW w:w="206" w:type="pct"/>
            <w:tcBorders>
              <w:top w:val="single" w:color="000000" w:sz="4" w:space="0"/>
              <w:left w:val="single" w:color="000000" w:sz="4" w:space="0"/>
              <w:bottom w:val="single" w:color="000000" w:sz="4" w:space="0"/>
              <w:right w:val="single" w:color="000000" w:sz="4" w:space="0"/>
            </w:tcBorders>
            <w:noWrap w:val="0"/>
            <w:vAlign w:val="center"/>
          </w:tcPr>
          <w:p w14:paraId="4FACA4E5">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序号</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4F8B3935">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资金性质</w:t>
            </w:r>
          </w:p>
        </w:tc>
        <w:tc>
          <w:tcPr>
            <w:tcW w:w="360" w:type="pct"/>
            <w:tcBorders>
              <w:top w:val="single" w:color="000000" w:sz="4" w:space="0"/>
              <w:left w:val="single" w:color="000000" w:sz="4" w:space="0"/>
              <w:bottom w:val="single" w:color="000000" w:sz="4" w:space="0"/>
              <w:right w:val="single" w:color="000000" w:sz="4" w:space="0"/>
            </w:tcBorders>
            <w:noWrap w:val="0"/>
            <w:vAlign w:val="center"/>
          </w:tcPr>
          <w:p w14:paraId="6BA0C846">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功能科目名称</w:t>
            </w:r>
          </w:p>
        </w:tc>
        <w:tc>
          <w:tcPr>
            <w:tcW w:w="342" w:type="pct"/>
            <w:tcBorders>
              <w:top w:val="single" w:color="000000" w:sz="4" w:space="0"/>
              <w:left w:val="single" w:color="000000" w:sz="4" w:space="0"/>
              <w:bottom w:val="single" w:color="000000" w:sz="4" w:space="0"/>
              <w:right w:val="single" w:color="000000" w:sz="4" w:space="0"/>
            </w:tcBorders>
            <w:noWrap w:val="0"/>
            <w:vAlign w:val="center"/>
          </w:tcPr>
          <w:p w14:paraId="01964F4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政府经济科目名称</w:t>
            </w:r>
          </w:p>
        </w:tc>
        <w:tc>
          <w:tcPr>
            <w:tcW w:w="410" w:type="pct"/>
            <w:tcBorders>
              <w:top w:val="single" w:color="000000" w:sz="4" w:space="0"/>
              <w:left w:val="single" w:color="000000" w:sz="4" w:space="0"/>
              <w:bottom w:val="single" w:color="000000" w:sz="4" w:space="0"/>
              <w:right w:val="single" w:color="000000" w:sz="4" w:space="0"/>
            </w:tcBorders>
            <w:noWrap w:val="0"/>
            <w:vAlign w:val="center"/>
          </w:tcPr>
          <w:p w14:paraId="13FD936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文件依据</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1EB4B88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摘要</w:t>
            </w:r>
          </w:p>
        </w:tc>
        <w:tc>
          <w:tcPr>
            <w:tcW w:w="328" w:type="pct"/>
            <w:tcBorders>
              <w:top w:val="single" w:color="000000" w:sz="4" w:space="0"/>
              <w:left w:val="single" w:color="000000" w:sz="4" w:space="0"/>
              <w:bottom w:val="single" w:color="000000" w:sz="4" w:space="0"/>
              <w:right w:val="single" w:color="000000" w:sz="4" w:space="0"/>
            </w:tcBorders>
            <w:noWrap w:val="0"/>
            <w:vAlign w:val="center"/>
          </w:tcPr>
          <w:p w14:paraId="58C0E5AD">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资金年度</w:t>
            </w:r>
          </w:p>
        </w:tc>
        <w:tc>
          <w:tcPr>
            <w:tcW w:w="244" w:type="pct"/>
            <w:tcBorders>
              <w:top w:val="single" w:color="000000" w:sz="4" w:space="0"/>
              <w:left w:val="single" w:color="000000" w:sz="4" w:space="0"/>
              <w:bottom w:val="single" w:color="000000" w:sz="4" w:space="0"/>
              <w:right w:val="single" w:color="000000" w:sz="4" w:space="0"/>
            </w:tcBorders>
            <w:noWrap w:val="0"/>
            <w:vAlign w:val="center"/>
          </w:tcPr>
          <w:p w14:paraId="6D9E17C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结转类型</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452F36B0">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初始金额</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459ECCE5">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已分配资金</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12118353">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结转额度</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2070A48F">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结转原因</w:t>
            </w: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6D469CD5">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备注</w:t>
            </w:r>
          </w:p>
        </w:tc>
      </w:tr>
      <w:tr w14:paraId="49DF4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206" w:type="pct"/>
            <w:tcBorders>
              <w:top w:val="single" w:color="000000" w:sz="4" w:space="0"/>
              <w:left w:val="single" w:color="000000" w:sz="4" w:space="0"/>
              <w:bottom w:val="single" w:color="000000" w:sz="4" w:space="0"/>
              <w:right w:val="single" w:color="000000" w:sz="4" w:space="0"/>
            </w:tcBorders>
            <w:noWrap w:val="0"/>
            <w:vAlign w:val="center"/>
          </w:tcPr>
          <w:p w14:paraId="2B8BC26B">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780FECF9">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111-一般公共预算资金</w:t>
            </w:r>
          </w:p>
        </w:tc>
        <w:tc>
          <w:tcPr>
            <w:tcW w:w="360" w:type="pct"/>
            <w:tcBorders>
              <w:top w:val="single" w:color="000000" w:sz="4" w:space="0"/>
              <w:left w:val="single" w:color="000000" w:sz="4" w:space="0"/>
              <w:bottom w:val="single" w:color="000000" w:sz="4" w:space="0"/>
              <w:right w:val="single" w:color="000000" w:sz="4" w:space="0"/>
            </w:tcBorders>
            <w:noWrap w:val="0"/>
            <w:vAlign w:val="center"/>
          </w:tcPr>
          <w:p w14:paraId="13E4FA90">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地质灾害防治</w:t>
            </w:r>
          </w:p>
        </w:tc>
        <w:tc>
          <w:tcPr>
            <w:tcW w:w="342" w:type="pct"/>
            <w:tcBorders>
              <w:top w:val="single" w:color="000000" w:sz="4" w:space="0"/>
              <w:left w:val="single" w:color="000000" w:sz="4" w:space="0"/>
              <w:bottom w:val="single" w:color="000000" w:sz="4" w:space="0"/>
              <w:right w:val="single" w:color="000000" w:sz="4" w:space="0"/>
            </w:tcBorders>
            <w:noWrap w:val="0"/>
            <w:vAlign w:val="center"/>
          </w:tcPr>
          <w:p w14:paraId="43529EE0">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委托业务费</w:t>
            </w:r>
          </w:p>
        </w:tc>
        <w:tc>
          <w:tcPr>
            <w:tcW w:w="410" w:type="pct"/>
            <w:tcBorders>
              <w:top w:val="single" w:color="000000" w:sz="4" w:space="0"/>
              <w:left w:val="single" w:color="000000" w:sz="4" w:space="0"/>
              <w:bottom w:val="single" w:color="000000" w:sz="4" w:space="0"/>
              <w:right w:val="single" w:color="000000" w:sz="4" w:space="0"/>
            </w:tcBorders>
            <w:noWrap w:val="0"/>
            <w:vAlign w:val="center"/>
          </w:tcPr>
          <w:p w14:paraId="4856C1E8">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追加州本级信息化项目资金-A129</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7425889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州级地质灾害自动化实时监测项目运行维护</w:t>
            </w:r>
          </w:p>
        </w:tc>
        <w:tc>
          <w:tcPr>
            <w:tcW w:w="328" w:type="pct"/>
            <w:tcBorders>
              <w:top w:val="single" w:color="000000" w:sz="4" w:space="0"/>
              <w:left w:val="single" w:color="000000" w:sz="4" w:space="0"/>
              <w:bottom w:val="single" w:color="000000" w:sz="4" w:space="0"/>
              <w:right w:val="single" w:color="000000" w:sz="4" w:space="0"/>
            </w:tcBorders>
            <w:noWrap w:val="0"/>
            <w:vAlign w:val="center"/>
          </w:tcPr>
          <w:p w14:paraId="5C634A08">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2025年度</w:t>
            </w:r>
          </w:p>
        </w:tc>
        <w:tc>
          <w:tcPr>
            <w:tcW w:w="244" w:type="pct"/>
            <w:tcBorders>
              <w:top w:val="single" w:color="000000" w:sz="4" w:space="0"/>
              <w:left w:val="single" w:color="000000" w:sz="4" w:space="0"/>
              <w:bottom w:val="single" w:color="000000" w:sz="4" w:space="0"/>
              <w:right w:val="single" w:color="000000" w:sz="4" w:space="0"/>
            </w:tcBorders>
            <w:noWrap w:val="0"/>
            <w:vAlign w:val="center"/>
          </w:tcPr>
          <w:p w14:paraId="56218F73">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州级结转</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14DA1BB8">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300000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3CB417CC">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118400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57A7D8D7">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181600</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0F9886DF">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在建项目</w:t>
            </w: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17EE321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2025年10月31日下达该经费，时间较紧无法全额支出</w:t>
            </w:r>
          </w:p>
        </w:tc>
      </w:tr>
      <w:tr w14:paraId="7EA8F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206" w:type="pct"/>
            <w:tcBorders>
              <w:top w:val="single" w:color="000000" w:sz="4" w:space="0"/>
              <w:left w:val="single" w:color="000000" w:sz="4" w:space="0"/>
              <w:bottom w:val="single" w:color="000000" w:sz="4" w:space="0"/>
              <w:right w:val="single" w:color="000000" w:sz="4" w:space="0"/>
            </w:tcBorders>
            <w:noWrap w:val="0"/>
            <w:vAlign w:val="center"/>
          </w:tcPr>
          <w:p w14:paraId="238C3FA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56F5D9AF">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111-一般公共预算资金</w:t>
            </w:r>
          </w:p>
        </w:tc>
        <w:tc>
          <w:tcPr>
            <w:tcW w:w="360" w:type="pct"/>
            <w:tcBorders>
              <w:top w:val="single" w:color="000000" w:sz="4" w:space="0"/>
              <w:left w:val="single" w:color="000000" w:sz="4" w:space="0"/>
              <w:bottom w:val="single" w:color="000000" w:sz="4" w:space="0"/>
              <w:right w:val="single" w:color="000000" w:sz="4" w:space="0"/>
            </w:tcBorders>
            <w:noWrap w:val="0"/>
            <w:vAlign w:val="center"/>
          </w:tcPr>
          <w:p w14:paraId="14C18A53">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一般行政管理事务</w:t>
            </w:r>
          </w:p>
        </w:tc>
        <w:tc>
          <w:tcPr>
            <w:tcW w:w="342" w:type="pct"/>
            <w:tcBorders>
              <w:top w:val="single" w:color="000000" w:sz="4" w:space="0"/>
              <w:left w:val="single" w:color="000000" w:sz="4" w:space="0"/>
              <w:bottom w:val="single" w:color="000000" w:sz="4" w:space="0"/>
              <w:right w:val="single" w:color="000000" w:sz="4" w:space="0"/>
            </w:tcBorders>
            <w:noWrap w:val="0"/>
            <w:vAlign w:val="center"/>
          </w:tcPr>
          <w:p w14:paraId="68B368F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委托业务费</w:t>
            </w:r>
          </w:p>
        </w:tc>
        <w:tc>
          <w:tcPr>
            <w:tcW w:w="410" w:type="pct"/>
            <w:tcBorders>
              <w:top w:val="single" w:color="000000" w:sz="4" w:space="0"/>
              <w:left w:val="single" w:color="000000" w:sz="4" w:space="0"/>
              <w:bottom w:val="single" w:color="000000" w:sz="4" w:space="0"/>
              <w:right w:val="single" w:color="000000" w:sz="4" w:space="0"/>
            </w:tcBorders>
            <w:noWrap w:val="0"/>
            <w:vAlign w:val="center"/>
          </w:tcPr>
          <w:p w14:paraId="07A9AC20">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阿州财预A045</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08879A36">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地质灾害防治和耕地林地园地空间治理“一张图”建设项目</w:t>
            </w:r>
          </w:p>
        </w:tc>
        <w:tc>
          <w:tcPr>
            <w:tcW w:w="328" w:type="pct"/>
            <w:tcBorders>
              <w:top w:val="single" w:color="000000" w:sz="4" w:space="0"/>
              <w:left w:val="single" w:color="000000" w:sz="4" w:space="0"/>
              <w:bottom w:val="single" w:color="000000" w:sz="4" w:space="0"/>
              <w:right w:val="single" w:color="000000" w:sz="4" w:space="0"/>
            </w:tcBorders>
            <w:noWrap w:val="0"/>
            <w:vAlign w:val="center"/>
          </w:tcPr>
          <w:p w14:paraId="4B79F58D">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2025年度</w:t>
            </w:r>
          </w:p>
        </w:tc>
        <w:tc>
          <w:tcPr>
            <w:tcW w:w="244" w:type="pct"/>
            <w:tcBorders>
              <w:top w:val="single" w:color="000000" w:sz="4" w:space="0"/>
              <w:left w:val="single" w:color="000000" w:sz="4" w:space="0"/>
              <w:bottom w:val="single" w:color="000000" w:sz="4" w:space="0"/>
              <w:right w:val="single" w:color="000000" w:sz="4" w:space="0"/>
            </w:tcBorders>
            <w:noWrap w:val="0"/>
            <w:vAlign w:val="center"/>
          </w:tcPr>
          <w:p w14:paraId="07FC073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州级结转</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30FBA7E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1242800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74141602">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888700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79B2C712">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354100</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0629F22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在建项目</w:t>
            </w: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7BF10D70">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项目尾款需在2026年支出</w:t>
            </w:r>
          </w:p>
        </w:tc>
      </w:tr>
      <w:tr w14:paraId="3A9E2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trPr>
        <w:tc>
          <w:tcPr>
            <w:tcW w:w="206" w:type="pct"/>
            <w:tcBorders>
              <w:top w:val="single" w:color="000000" w:sz="4" w:space="0"/>
              <w:left w:val="single" w:color="000000" w:sz="4" w:space="0"/>
              <w:bottom w:val="single" w:color="000000" w:sz="4" w:space="0"/>
              <w:right w:val="single" w:color="000000" w:sz="4" w:space="0"/>
            </w:tcBorders>
            <w:noWrap w:val="0"/>
            <w:vAlign w:val="center"/>
          </w:tcPr>
          <w:p w14:paraId="71374317">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3</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3C82B19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111-一般公共预算资金</w:t>
            </w:r>
          </w:p>
        </w:tc>
        <w:tc>
          <w:tcPr>
            <w:tcW w:w="360" w:type="pct"/>
            <w:tcBorders>
              <w:top w:val="single" w:color="000000" w:sz="4" w:space="0"/>
              <w:left w:val="single" w:color="000000" w:sz="4" w:space="0"/>
              <w:bottom w:val="single" w:color="000000" w:sz="4" w:space="0"/>
              <w:right w:val="single" w:color="000000" w:sz="4" w:space="0"/>
            </w:tcBorders>
            <w:noWrap w:val="0"/>
            <w:vAlign w:val="center"/>
          </w:tcPr>
          <w:p w14:paraId="3C53E983">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自然资源调查与确权登记</w:t>
            </w:r>
          </w:p>
        </w:tc>
        <w:tc>
          <w:tcPr>
            <w:tcW w:w="342" w:type="pct"/>
            <w:tcBorders>
              <w:top w:val="single" w:color="000000" w:sz="4" w:space="0"/>
              <w:left w:val="single" w:color="000000" w:sz="4" w:space="0"/>
              <w:bottom w:val="single" w:color="000000" w:sz="4" w:space="0"/>
              <w:right w:val="single" w:color="000000" w:sz="4" w:space="0"/>
            </w:tcBorders>
            <w:noWrap w:val="0"/>
            <w:vAlign w:val="center"/>
          </w:tcPr>
          <w:p w14:paraId="37CA986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委托业务费</w:t>
            </w:r>
          </w:p>
        </w:tc>
        <w:tc>
          <w:tcPr>
            <w:tcW w:w="410" w:type="pct"/>
            <w:tcBorders>
              <w:top w:val="single" w:color="000000" w:sz="4" w:space="0"/>
              <w:left w:val="single" w:color="000000" w:sz="4" w:space="0"/>
              <w:bottom w:val="single" w:color="000000" w:sz="4" w:space="0"/>
              <w:right w:val="single" w:color="000000" w:sz="4" w:space="0"/>
            </w:tcBorders>
            <w:noWrap w:val="0"/>
            <w:vAlign w:val="center"/>
          </w:tcPr>
          <w:p w14:paraId="152171E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2025年预算大本</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78E6BCE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阿坝州自然资源局2025年“房地一体”州级验收技术服务</w:t>
            </w:r>
          </w:p>
        </w:tc>
        <w:tc>
          <w:tcPr>
            <w:tcW w:w="328" w:type="pct"/>
            <w:tcBorders>
              <w:top w:val="single" w:color="000000" w:sz="4" w:space="0"/>
              <w:left w:val="single" w:color="000000" w:sz="4" w:space="0"/>
              <w:bottom w:val="single" w:color="000000" w:sz="4" w:space="0"/>
              <w:right w:val="single" w:color="000000" w:sz="4" w:space="0"/>
            </w:tcBorders>
            <w:noWrap w:val="0"/>
            <w:vAlign w:val="center"/>
          </w:tcPr>
          <w:p w14:paraId="6410128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2025年度</w:t>
            </w:r>
          </w:p>
        </w:tc>
        <w:tc>
          <w:tcPr>
            <w:tcW w:w="244" w:type="pct"/>
            <w:tcBorders>
              <w:top w:val="single" w:color="000000" w:sz="4" w:space="0"/>
              <w:left w:val="single" w:color="000000" w:sz="4" w:space="0"/>
              <w:bottom w:val="single" w:color="000000" w:sz="4" w:space="0"/>
              <w:right w:val="single" w:color="000000" w:sz="4" w:space="0"/>
            </w:tcBorders>
            <w:noWrap w:val="0"/>
            <w:vAlign w:val="center"/>
          </w:tcPr>
          <w:p w14:paraId="18E7E40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州级结转</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10B37662">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250000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6F39DCC8">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214200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7EA6179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35800</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599A49F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在建项目</w:t>
            </w: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73425FD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待省自然资源厅批复通过后支付尾款</w:t>
            </w:r>
          </w:p>
        </w:tc>
      </w:tr>
      <w:tr w14:paraId="577E1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0" w:hRule="atLeast"/>
        </w:trPr>
        <w:tc>
          <w:tcPr>
            <w:tcW w:w="206" w:type="pct"/>
            <w:tcBorders>
              <w:top w:val="single" w:color="000000" w:sz="4" w:space="0"/>
              <w:left w:val="single" w:color="000000" w:sz="4" w:space="0"/>
              <w:bottom w:val="single" w:color="000000" w:sz="4" w:space="0"/>
              <w:right w:val="single" w:color="000000" w:sz="4" w:space="0"/>
            </w:tcBorders>
            <w:noWrap w:val="0"/>
            <w:vAlign w:val="center"/>
          </w:tcPr>
          <w:p w14:paraId="26676DF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4</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39128757">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111-一般公共预算资金</w:t>
            </w:r>
          </w:p>
        </w:tc>
        <w:tc>
          <w:tcPr>
            <w:tcW w:w="360" w:type="pct"/>
            <w:tcBorders>
              <w:top w:val="single" w:color="000000" w:sz="4" w:space="0"/>
              <w:left w:val="single" w:color="000000" w:sz="4" w:space="0"/>
              <w:bottom w:val="single" w:color="000000" w:sz="4" w:space="0"/>
              <w:right w:val="single" w:color="000000" w:sz="4" w:space="0"/>
            </w:tcBorders>
            <w:noWrap w:val="0"/>
            <w:vAlign w:val="center"/>
          </w:tcPr>
          <w:p w14:paraId="31C35E8C">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一般行政管理事务</w:t>
            </w:r>
          </w:p>
        </w:tc>
        <w:tc>
          <w:tcPr>
            <w:tcW w:w="342" w:type="pct"/>
            <w:tcBorders>
              <w:top w:val="single" w:color="000000" w:sz="4" w:space="0"/>
              <w:left w:val="single" w:color="000000" w:sz="4" w:space="0"/>
              <w:bottom w:val="single" w:color="000000" w:sz="4" w:space="0"/>
              <w:right w:val="single" w:color="000000" w:sz="4" w:space="0"/>
            </w:tcBorders>
            <w:noWrap w:val="0"/>
            <w:vAlign w:val="center"/>
          </w:tcPr>
          <w:p w14:paraId="5732C65A">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委托业务费</w:t>
            </w:r>
          </w:p>
        </w:tc>
        <w:tc>
          <w:tcPr>
            <w:tcW w:w="410" w:type="pct"/>
            <w:tcBorders>
              <w:top w:val="single" w:color="000000" w:sz="4" w:space="0"/>
              <w:left w:val="single" w:color="000000" w:sz="4" w:space="0"/>
              <w:bottom w:val="single" w:color="000000" w:sz="4" w:space="0"/>
              <w:right w:val="single" w:color="000000" w:sz="4" w:space="0"/>
            </w:tcBorders>
            <w:noWrap w:val="0"/>
            <w:vAlign w:val="center"/>
          </w:tcPr>
          <w:p w14:paraId="02F4745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项目前期002</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68ECE323">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阿坝州“十五五”地质灾害防治专项规划编制</w:t>
            </w:r>
          </w:p>
        </w:tc>
        <w:tc>
          <w:tcPr>
            <w:tcW w:w="328" w:type="pct"/>
            <w:tcBorders>
              <w:top w:val="single" w:color="000000" w:sz="4" w:space="0"/>
              <w:left w:val="single" w:color="000000" w:sz="4" w:space="0"/>
              <w:bottom w:val="single" w:color="000000" w:sz="4" w:space="0"/>
              <w:right w:val="single" w:color="000000" w:sz="4" w:space="0"/>
            </w:tcBorders>
            <w:noWrap w:val="0"/>
            <w:vAlign w:val="center"/>
          </w:tcPr>
          <w:p w14:paraId="4A3CAD17">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2025年度</w:t>
            </w:r>
          </w:p>
        </w:tc>
        <w:tc>
          <w:tcPr>
            <w:tcW w:w="244" w:type="pct"/>
            <w:tcBorders>
              <w:top w:val="single" w:color="000000" w:sz="4" w:space="0"/>
              <w:left w:val="single" w:color="000000" w:sz="4" w:space="0"/>
              <w:bottom w:val="single" w:color="000000" w:sz="4" w:space="0"/>
              <w:right w:val="single" w:color="000000" w:sz="4" w:space="0"/>
            </w:tcBorders>
            <w:noWrap w:val="0"/>
            <w:vAlign w:val="center"/>
          </w:tcPr>
          <w:p w14:paraId="157593D2">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州级结转</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2A1672F0">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555900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523F47A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324000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2BC7F47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231900</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05C4FBFF">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在建项目</w:t>
            </w: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391585C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需州人民政府批准按规定程序印发，2026年支付尾款</w:t>
            </w:r>
          </w:p>
        </w:tc>
      </w:tr>
      <w:tr w14:paraId="62D6C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206" w:type="pct"/>
            <w:tcBorders>
              <w:top w:val="single" w:color="000000" w:sz="4" w:space="0"/>
              <w:left w:val="single" w:color="000000" w:sz="4" w:space="0"/>
              <w:bottom w:val="single" w:color="000000" w:sz="4" w:space="0"/>
              <w:right w:val="single" w:color="000000" w:sz="4" w:space="0"/>
            </w:tcBorders>
            <w:noWrap w:val="0"/>
            <w:vAlign w:val="center"/>
          </w:tcPr>
          <w:p w14:paraId="2B3E3388">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5</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7D2D72B8">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111-一般公共预算资金</w:t>
            </w:r>
          </w:p>
        </w:tc>
        <w:tc>
          <w:tcPr>
            <w:tcW w:w="360" w:type="pct"/>
            <w:tcBorders>
              <w:top w:val="single" w:color="000000" w:sz="4" w:space="0"/>
              <w:left w:val="single" w:color="000000" w:sz="4" w:space="0"/>
              <w:bottom w:val="single" w:color="000000" w:sz="4" w:space="0"/>
              <w:right w:val="single" w:color="000000" w:sz="4" w:space="0"/>
            </w:tcBorders>
            <w:noWrap w:val="0"/>
            <w:vAlign w:val="center"/>
          </w:tcPr>
          <w:p w14:paraId="4FAE180D">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地质灾害防治</w:t>
            </w:r>
          </w:p>
        </w:tc>
        <w:tc>
          <w:tcPr>
            <w:tcW w:w="342" w:type="pct"/>
            <w:tcBorders>
              <w:top w:val="single" w:color="000000" w:sz="4" w:space="0"/>
              <w:left w:val="single" w:color="000000" w:sz="4" w:space="0"/>
              <w:bottom w:val="single" w:color="000000" w:sz="4" w:space="0"/>
              <w:right w:val="single" w:color="000000" w:sz="4" w:space="0"/>
            </w:tcBorders>
            <w:noWrap w:val="0"/>
            <w:vAlign w:val="center"/>
          </w:tcPr>
          <w:p w14:paraId="3806295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委托业务费</w:t>
            </w:r>
          </w:p>
        </w:tc>
        <w:tc>
          <w:tcPr>
            <w:tcW w:w="410" w:type="pct"/>
            <w:tcBorders>
              <w:top w:val="single" w:color="000000" w:sz="4" w:space="0"/>
              <w:left w:val="single" w:color="000000" w:sz="4" w:space="0"/>
              <w:bottom w:val="single" w:color="000000" w:sz="4" w:space="0"/>
              <w:right w:val="single" w:color="000000" w:sz="4" w:space="0"/>
            </w:tcBorders>
            <w:noWrap w:val="0"/>
            <w:vAlign w:val="center"/>
          </w:tcPr>
          <w:p w14:paraId="016C9C88">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追加州本级信息化项目资金-A129</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31D48DE0">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地质灾害防治应急视频调度系统运行维护维修</w:t>
            </w:r>
          </w:p>
        </w:tc>
        <w:tc>
          <w:tcPr>
            <w:tcW w:w="328" w:type="pct"/>
            <w:tcBorders>
              <w:top w:val="single" w:color="000000" w:sz="4" w:space="0"/>
              <w:left w:val="single" w:color="000000" w:sz="4" w:space="0"/>
              <w:bottom w:val="single" w:color="000000" w:sz="4" w:space="0"/>
              <w:right w:val="single" w:color="000000" w:sz="4" w:space="0"/>
            </w:tcBorders>
            <w:noWrap w:val="0"/>
            <w:vAlign w:val="center"/>
          </w:tcPr>
          <w:p w14:paraId="54DDCA49">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2025年度</w:t>
            </w:r>
          </w:p>
        </w:tc>
        <w:tc>
          <w:tcPr>
            <w:tcW w:w="244" w:type="pct"/>
            <w:tcBorders>
              <w:top w:val="single" w:color="000000" w:sz="4" w:space="0"/>
              <w:left w:val="single" w:color="000000" w:sz="4" w:space="0"/>
              <w:bottom w:val="single" w:color="000000" w:sz="4" w:space="0"/>
              <w:right w:val="single" w:color="000000" w:sz="4" w:space="0"/>
            </w:tcBorders>
            <w:noWrap w:val="0"/>
            <w:vAlign w:val="center"/>
          </w:tcPr>
          <w:p w14:paraId="522BD9FC">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州级结转</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6FD012A2">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188000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1D1914FF">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88300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6CB59F0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99700</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1D6AA38B">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在建项目</w:t>
            </w: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5401A33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2025年10月31日下达该经费，时间较紧无法全额支出</w:t>
            </w:r>
          </w:p>
        </w:tc>
      </w:tr>
      <w:tr w14:paraId="7FD17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0" w:hRule="atLeast"/>
        </w:trPr>
        <w:tc>
          <w:tcPr>
            <w:tcW w:w="206" w:type="pct"/>
            <w:tcBorders>
              <w:top w:val="single" w:color="000000" w:sz="4" w:space="0"/>
              <w:left w:val="single" w:color="000000" w:sz="4" w:space="0"/>
              <w:bottom w:val="single" w:color="000000" w:sz="4" w:space="0"/>
              <w:right w:val="single" w:color="000000" w:sz="4" w:space="0"/>
            </w:tcBorders>
            <w:noWrap w:val="0"/>
            <w:vAlign w:val="center"/>
          </w:tcPr>
          <w:p w14:paraId="423D09D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6</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2BEB4B0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111-一般公共预算资金</w:t>
            </w:r>
          </w:p>
        </w:tc>
        <w:tc>
          <w:tcPr>
            <w:tcW w:w="360" w:type="pct"/>
            <w:tcBorders>
              <w:top w:val="single" w:color="000000" w:sz="4" w:space="0"/>
              <w:left w:val="single" w:color="000000" w:sz="4" w:space="0"/>
              <w:bottom w:val="single" w:color="000000" w:sz="4" w:space="0"/>
              <w:right w:val="single" w:color="000000" w:sz="4" w:space="0"/>
            </w:tcBorders>
            <w:noWrap w:val="0"/>
            <w:vAlign w:val="center"/>
          </w:tcPr>
          <w:p w14:paraId="22DEA23D">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自然资源利用与保护</w:t>
            </w:r>
          </w:p>
        </w:tc>
        <w:tc>
          <w:tcPr>
            <w:tcW w:w="342" w:type="pct"/>
            <w:tcBorders>
              <w:top w:val="single" w:color="000000" w:sz="4" w:space="0"/>
              <w:left w:val="single" w:color="000000" w:sz="4" w:space="0"/>
              <w:bottom w:val="single" w:color="000000" w:sz="4" w:space="0"/>
              <w:right w:val="single" w:color="000000" w:sz="4" w:space="0"/>
            </w:tcBorders>
            <w:noWrap w:val="0"/>
            <w:vAlign w:val="center"/>
          </w:tcPr>
          <w:p w14:paraId="0ACD773C">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委托业务费</w:t>
            </w:r>
          </w:p>
        </w:tc>
        <w:tc>
          <w:tcPr>
            <w:tcW w:w="410" w:type="pct"/>
            <w:tcBorders>
              <w:top w:val="single" w:color="000000" w:sz="4" w:space="0"/>
              <w:left w:val="single" w:color="000000" w:sz="4" w:space="0"/>
              <w:bottom w:val="single" w:color="000000" w:sz="4" w:space="0"/>
              <w:right w:val="single" w:color="000000" w:sz="4" w:space="0"/>
            </w:tcBorders>
            <w:noWrap w:val="0"/>
            <w:vAlign w:val="center"/>
          </w:tcPr>
          <w:p w14:paraId="14AC1DD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部门预算</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41C305D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若尔盖山水工程宣传推广项目</w:t>
            </w:r>
          </w:p>
        </w:tc>
        <w:tc>
          <w:tcPr>
            <w:tcW w:w="328" w:type="pct"/>
            <w:tcBorders>
              <w:top w:val="single" w:color="000000" w:sz="4" w:space="0"/>
              <w:left w:val="single" w:color="000000" w:sz="4" w:space="0"/>
              <w:bottom w:val="single" w:color="000000" w:sz="4" w:space="0"/>
              <w:right w:val="single" w:color="000000" w:sz="4" w:space="0"/>
            </w:tcBorders>
            <w:noWrap w:val="0"/>
            <w:vAlign w:val="center"/>
          </w:tcPr>
          <w:p w14:paraId="327FCEC7">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2025年度</w:t>
            </w:r>
          </w:p>
        </w:tc>
        <w:tc>
          <w:tcPr>
            <w:tcW w:w="244" w:type="pct"/>
            <w:tcBorders>
              <w:top w:val="single" w:color="000000" w:sz="4" w:space="0"/>
              <w:left w:val="single" w:color="000000" w:sz="4" w:space="0"/>
              <w:bottom w:val="single" w:color="000000" w:sz="4" w:space="0"/>
              <w:right w:val="single" w:color="000000" w:sz="4" w:space="0"/>
            </w:tcBorders>
            <w:noWrap w:val="0"/>
            <w:vAlign w:val="center"/>
          </w:tcPr>
          <w:p w14:paraId="3CBB826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州级结转</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32FEF72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900000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2CA904E5">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135200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0785A7DD">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764800</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1EE1F92D">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在建项目</w:t>
            </w: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5F56F60C">
            <w:pPr>
              <w:jc w:val="center"/>
              <w:rPr>
                <w:rFonts w:hint="eastAsia" w:ascii="宋体" w:hAnsi="宋体" w:eastAsia="宋体" w:cs="宋体"/>
                <w:b/>
                <w:bCs/>
                <w:i w:val="0"/>
                <w:iCs w:val="0"/>
                <w:color w:val="000000"/>
                <w:sz w:val="16"/>
                <w:szCs w:val="16"/>
                <w:u w:val="none"/>
              </w:rPr>
            </w:pPr>
          </w:p>
        </w:tc>
      </w:tr>
      <w:tr w14:paraId="58441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1" w:hRule="atLeast"/>
        </w:trPr>
        <w:tc>
          <w:tcPr>
            <w:tcW w:w="206" w:type="pct"/>
            <w:tcBorders>
              <w:top w:val="single" w:color="000000" w:sz="4" w:space="0"/>
              <w:left w:val="single" w:color="000000" w:sz="4" w:space="0"/>
              <w:bottom w:val="single" w:color="000000" w:sz="4" w:space="0"/>
              <w:right w:val="single" w:color="000000" w:sz="4" w:space="0"/>
            </w:tcBorders>
            <w:noWrap w:val="0"/>
            <w:vAlign w:val="center"/>
          </w:tcPr>
          <w:p w14:paraId="5CEBE91A">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7</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0E0B9D70">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111-一般公共预算资金</w:t>
            </w:r>
          </w:p>
        </w:tc>
        <w:tc>
          <w:tcPr>
            <w:tcW w:w="360" w:type="pct"/>
            <w:tcBorders>
              <w:top w:val="single" w:color="000000" w:sz="4" w:space="0"/>
              <w:left w:val="single" w:color="000000" w:sz="4" w:space="0"/>
              <w:bottom w:val="single" w:color="000000" w:sz="4" w:space="0"/>
              <w:right w:val="single" w:color="000000" w:sz="4" w:space="0"/>
            </w:tcBorders>
            <w:noWrap w:val="0"/>
            <w:vAlign w:val="center"/>
          </w:tcPr>
          <w:p w14:paraId="5A020377">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自然资源利用与保护</w:t>
            </w:r>
          </w:p>
        </w:tc>
        <w:tc>
          <w:tcPr>
            <w:tcW w:w="342" w:type="pct"/>
            <w:tcBorders>
              <w:top w:val="single" w:color="000000" w:sz="4" w:space="0"/>
              <w:left w:val="single" w:color="000000" w:sz="4" w:space="0"/>
              <w:bottom w:val="single" w:color="000000" w:sz="4" w:space="0"/>
              <w:right w:val="single" w:color="000000" w:sz="4" w:space="0"/>
            </w:tcBorders>
            <w:noWrap w:val="0"/>
            <w:vAlign w:val="center"/>
          </w:tcPr>
          <w:p w14:paraId="7D58042B">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委托业务费</w:t>
            </w:r>
          </w:p>
        </w:tc>
        <w:tc>
          <w:tcPr>
            <w:tcW w:w="410" w:type="pct"/>
            <w:tcBorders>
              <w:top w:val="single" w:color="000000" w:sz="4" w:space="0"/>
              <w:left w:val="single" w:color="000000" w:sz="4" w:space="0"/>
              <w:bottom w:val="single" w:color="000000" w:sz="4" w:space="0"/>
              <w:right w:val="single" w:color="000000" w:sz="4" w:space="0"/>
            </w:tcBorders>
            <w:noWrap w:val="0"/>
            <w:vAlign w:val="center"/>
          </w:tcPr>
          <w:p w14:paraId="286DAD83">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2025年预算大本</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1BE00FA8">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2025年度阿坝州历史遗留矿山图斑变更核查技术服务项目</w:t>
            </w:r>
          </w:p>
        </w:tc>
        <w:tc>
          <w:tcPr>
            <w:tcW w:w="328" w:type="pct"/>
            <w:tcBorders>
              <w:top w:val="single" w:color="000000" w:sz="4" w:space="0"/>
              <w:left w:val="single" w:color="000000" w:sz="4" w:space="0"/>
              <w:bottom w:val="single" w:color="000000" w:sz="4" w:space="0"/>
              <w:right w:val="single" w:color="000000" w:sz="4" w:space="0"/>
            </w:tcBorders>
            <w:noWrap w:val="0"/>
            <w:vAlign w:val="center"/>
          </w:tcPr>
          <w:p w14:paraId="58516F3F">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2025年度</w:t>
            </w:r>
          </w:p>
        </w:tc>
        <w:tc>
          <w:tcPr>
            <w:tcW w:w="244" w:type="pct"/>
            <w:tcBorders>
              <w:top w:val="single" w:color="000000" w:sz="4" w:space="0"/>
              <w:left w:val="single" w:color="000000" w:sz="4" w:space="0"/>
              <w:bottom w:val="single" w:color="000000" w:sz="4" w:space="0"/>
              <w:right w:val="single" w:color="000000" w:sz="4" w:space="0"/>
            </w:tcBorders>
            <w:noWrap w:val="0"/>
            <w:vAlign w:val="center"/>
          </w:tcPr>
          <w:p w14:paraId="2895146D">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州级结转</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73BE3AC3">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200000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734AC6F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45000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6173D1FA">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155000</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20D9B2DB">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在建项目</w:t>
            </w: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4692CACC">
            <w:pPr>
              <w:jc w:val="center"/>
              <w:rPr>
                <w:rFonts w:hint="eastAsia" w:ascii="宋体" w:hAnsi="宋体" w:eastAsia="宋体" w:cs="宋体"/>
                <w:b/>
                <w:bCs/>
                <w:i w:val="0"/>
                <w:iCs w:val="0"/>
                <w:color w:val="000000"/>
                <w:sz w:val="16"/>
                <w:szCs w:val="16"/>
                <w:u w:val="none"/>
              </w:rPr>
            </w:pPr>
          </w:p>
        </w:tc>
      </w:tr>
      <w:tr w14:paraId="5BB63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06" w:type="pct"/>
            <w:tcBorders>
              <w:top w:val="single" w:color="000000" w:sz="4" w:space="0"/>
              <w:left w:val="single" w:color="000000" w:sz="4" w:space="0"/>
              <w:bottom w:val="single" w:color="000000" w:sz="4" w:space="0"/>
              <w:right w:val="single" w:color="000000" w:sz="4" w:space="0"/>
            </w:tcBorders>
            <w:noWrap w:val="0"/>
            <w:vAlign w:val="center"/>
          </w:tcPr>
          <w:p w14:paraId="40E6E53C">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8</w:t>
            </w:r>
          </w:p>
        </w:tc>
        <w:tc>
          <w:tcPr>
            <w:tcW w:w="305" w:type="pct"/>
            <w:tcBorders>
              <w:top w:val="single" w:color="000000" w:sz="4" w:space="0"/>
              <w:left w:val="single" w:color="000000" w:sz="4" w:space="0"/>
              <w:bottom w:val="single" w:color="000000" w:sz="4" w:space="0"/>
              <w:right w:val="single" w:color="000000" w:sz="4" w:space="0"/>
            </w:tcBorders>
            <w:noWrap w:val="0"/>
            <w:vAlign w:val="center"/>
          </w:tcPr>
          <w:p w14:paraId="267ED00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111-一般公共预算资金</w:t>
            </w:r>
          </w:p>
        </w:tc>
        <w:tc>
          <w:tcPr>
            <w:tcW w:w="360" w:type="pct"/>
            <w:tcBorders>
              <w:top w:val="single" w:color="000000" w:sz="4" w:space="0"/>
              <w:left w:val="single" w:color="000000" w:sz="4" w:space="0"/>
              <w:bottom w:val="single" w:color="000000" w:sz="4" w:space="0"/>
              <w:right w:val="single" w:color="000000" w:sz="4" w:space="0"/>
            </w:tcBorders>
            <w:noWrap w:val="0"/>
            <w:vAlign w:val="center"/>
          </w:tcPr>
          <w:p w14:paraId="002E8AF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自然资源规划及管理</w:t>
            </w:r>
          </w:p>
        </w:tc>
        <w:tc>
          <w:tcPr>
            <w:tcW w:w="342" w:type="pct"/>
            <w:tcBorders>
              <w:top w:val="single" w:color="000000" w:sz="4" w:space="0"/>
              <w:left w:val="single" w:color="000000" w:sz="4" w:space="0"/>
              <w:bottom w:val="single" w:color="000000" w:sz="4" w:space="0"/>
              <w:right w:val="single" w:color="000000" w:sz="4" w:space="0"/>
            </w:tcBorders>
            <w:noWrap w:val="0"/>
            <w:vAlign w:val="center"/>
          </w:tcPr>
          <w:p w14:paraId="6FD1ED56">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委托业务费</w:t>
            </w:r>
          </w:p>
        </w:tc>
        <w:tc>
          <w:tcPr>
            <w:tcW w:w="410" w:type="pct"/>
            <w:tcBorders>
              <w:top w:val="single" w:color="000000" w:sz="4" w:space="0"/>
              <w:left w:val="single" w:color="000000" w:sz="4" w:space="0"/>
              <w:bottom w:val="single" w:color="000000" w:sz="4" w:space="0"/>
              <w:right w:val="single" w:color="000000" w:sz="4" w:space="0"/>
            </w:tcBorders>
            <w:noWrap w:val="0"/>
            <w:vAlign w:val="center"/>
          </w:tcPr>
          <w:p w14:paraId="600C4C0A">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2025年预算大本</w:t>
            </w:r>
          </w:p>
        </w:tc>
        <w:tc>
          <w:tcPr>
            <w:tcW w:w="601" w:type="pct"/>
            <w:tcBorders>
              <w:top w:val="single" w:color="000000" w:sz="4" w:space="0"/>
              <w:left w:val="single" w:color="000000" w:sz="4" w:space="0"/>
              <w:bottom w:val="single" w:color="000000" w:sz="4" w:space="0"/>
              <w:right w:val="single" w:color="000000" w:sz="4" w:space="0"/>
            </w:tcBorders>
            <w:noWrap w:val="0"/>
            <w:vAlign w:val="center"/>
          </w:tcPr>
          <w:p w14:paraId="0000155F">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阿坝州国土空间总体规划城市体检评估</w:t>
            </w:r>
          </w:p>
        </w:tc>
        <w:tc>
          <w:tcPr>
            <w:tcW w:w="328" w:type="pct"/>
            <w:tcBorders>
              <w:top w:val="single" w:color="000000" w:sz="4" w:space="0"/>
              <w:left w:val="single" w:color="000000" w:sz="4" w:space="0"/>
              <w:bottom w:val="single" w:color="000000" w:sz="4" w:space="0"/>
              <w:right w:val="single" w:color="000000" w:sz="4" w:space="0"/>
            </w:tcBorders>
            <w:noWrap w:val="0"/>
            <w:vAlign w:val="center"/>
          </w:tcPr>
          <w:p w14:paraId="00AD917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2025年度</w:t>
            </w:r>
          </w:p>
        </w:tc>
        <w:tc>
          <w:tcPr>
            <w:tcW w:w="244" w:type="pct"/>
            <w:tcBorders>
              <w:top w:val="single" w:color="000000" w:sz="4" w:space="0"/>
              <w:left w:val="single" w:color="000000" w:sz="4" w:space="0"/>
              <w:bottom w:val="single" w:color="000000" w:sz="4" w:space="0"/>
              <w:right w:val="single" w:color="000000" w:sz="4" w:space="0"/>
            </w:tcBorders>
            <w:noWrap w:val="0"/>
            <w:vAlign w:val="center"/>
          </w:tcPr>
          <w:p w14:paraId="60D90004">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州级结转</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14:paraId="4A28FF0C">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250000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2A569179">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56700</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14:paraId="472C1B3D">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193300</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063CDA62">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在建项目</w:t>
            </w:r>
          </w:p>
        </w:tc>
        <w:tc>
          <w:tcPr>
            <w:tcW w:w="574" w:type="pct"/>
            <w:tcBorders>
              <w:top w:val="single" w:color="000000" w:sz="4" w:space="0"/>
              <w:left w:val="single" w:color="000000" w:sz="4" w:space="0"/>
              <w:bottom w:val="single" w:color="000000" w:sz="4" w:space="0"/>
              <w:right w:val="single" w:color="000000" w:sz="4" w:space="0"/>
            </w:tcBorders>
            <w:noWrap w:val="0"/>
            <w:vAlign w:val="center"/>
          </w:tcPr>
          <w:p w14:paraId="429F6988">
            <w:pPr>
              <w:jc w:val="center"/>
              <w:rPr>
                <w:rFonts w:hint="eastAsia" w:ascii="宋体" w:hAnsi="宋体" w:eastAsia="宋体" w:cs="宋体"/>
                <w:b/>
                <w:bCs/>
                <w:i w:val="0"/>
                <w:iCs w:val="0"/>
                <w:color w:val="000000"/>
                <w:sz w:val="16"/>
                <w:szCs w:val="16"/>
                <w:u w:val="none"/>
              </w:rPr>
            </w:pPr>
          </w:p>
        </w:tc>
      </w:tr>
    </w:tbl>
    <w:p w14:paraId="2DFB57BF">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p>
    <w:p w14:paraId="3A261477">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10742184">
      <w:pPr>
        <w:adjustRightInd w:val="0"/>
        <w:snapToGrid w:val="0"/>
        <w:spacing w:line="578" w:lineRule="exact"/>
        <w:ind w:firstLine="643" w:firstLineChars="200"/>
        <w:contextualSpacing/>
        <w:jc w:val="left"/>
        <w:rPr>
          <w:rFonts w:ascii="Times New Roman" w:hAnsi="Times New Roman" w:eastAsia="楷体_GB2312" w:cs="Times New Roman"/>
          <w:b/>
          <w:bCs/>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bookmarkStart w:id="47" w:name="_Hlk110546638"/>
    </w:p>
    <w:p w14:paraId="1CF6C419">
      <w:pPr>
        <w:adjustRightInd w:val="0"/>
        <w:snapToGrid w:val="0"/>
        <w:spacing w:line="578" w:lineRule="exact"/>
        <w:ind w:firstLine="643" w:firstLineChars="200"/>
        <w:contextualSpacing/>
        <w:jc w:val="left"/>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rPr>
        <w:t>1.</w:t>
      </w:r>
      <w:r>
        <w:rPr>
          <w:rFonts w:ascii="Times New Roman" w:hAnsi="Times New Roman" w:eastAsia="楷体_GB2312" w:cs="Times New Roman"/>
          <w:b/>
          <w:bCs/>
          <w:color w:val="000000"/>
          <w:kern w:val="0"/>
          <w:sz w:val="32"/>
          <w:szCs w:val="32"/>
          <w:shd w:val="clear" w:color="auto" w:fill="FFFFFF"/>
          <w:lang w:val="zh-CN"/>
        </w:rPr>
        <w:t>履职效能</w:t>
      </w:r>
    </w:p>
    <w:p w14:paraId="72B1C04A">
      <w:pPr>
        <w:adjustRightInd w:val="0"/>
        <w:snapToGrid w:val="0"/>
        <w:spacing w:line="578" w:lineRule="exact"/>
        <w:ind w:firstLine="640" w:firstLineChars="200"/>
        <w:contextualSpacing/>
        <w:jc w:val="left"/>
        <w:rPr>
          <w:rFonts w:hint="eastAsia" w:ascii="仿宋_GB2312" w:hAnsi="仿宋_GB2312" w:eastAsia="仿宋_GB2312" w:cs="仿宋_GB2312"/>
          <w:color w:val="auto"/>
          <w:kern w:val="2"/>
          <w:sz w:val="32"/>
          <w:szCs w:val="32"/>
          <w:u w:val="none"/>
          <w:lang w:val="en-US" w:eastAsia="zh-CN"/>
        </w:rPr>
      </w:pPr>
      <w:r>
        <w:rPr>
          <w:rFonts w:hint="eastAsia" w:ascii="Times New Roman" w:hAnsi="Times New Roman" w:eastAsia="仿宋_GB2312" w:cs="Times New Roman"/>
          <w:color w:val="000000"/>
          <w:kern w:val="0"/>
          <w:sz w:val="32"/>
          <w:szCs w:val="32"/>
          <w:shd w:val="clear" w:color="auto" w:fill="FFFFFF"/>
          <w:lang w:val="zh-CN"/>
        </w:rPr>
        <w:t>（</w:t>
      </w:r>
      <w:r>
        <w:rPr>
          <w:rFonts w:hint="eastAsia" w:ascii="Times New Roman" w:hAnsi="Times New Roman" w:eastAsia="仿宋_GB2312" w:cs="Times New Roman"/>
          <w:color w:val="000000"/>
          <w:kern w:val="0"/>
          <w:sz w:val="32"/>
          <w:szCs w:val="32"/>
          <w:shd w:val="clear" w:color="auto" w:fill="FFFFFF"/>
          <w:lang w:val="en-US" w:eastAsia="zh-CN"/>
        </w:rPr>
        <w:t>1</w:t>
      </w:r>
      <w:r>
        <w:rPr>
          <w:rFonts w:hint="eastAsia" w:ascii="Times New Roman" w:hAnsi="Times New Roman" w:eastAsia="仿宋_GB2312" w:cs="Times New Roman"/>
          <w:color w:val="000000"/>
          <w:kern w:val="0"/>
          <w:sz w:val="32"/>
          <w:szCs w:val="32"/>
          <w:shd w:val="clear" w:color="auto" w:fill="FFFFFF"/>
          <w:lang w:val="zh-CN"/>
        </w:rPr>
        <w:t>）</w:t>
      </w:r>
      <w:r>
        <w:rPr>
          <w:rFonts w:hint="eastAsia" w:ascii="仿宋_GB2312" w:hAnsi="仿宋_GB2312" w:eastAsia="仿宋_GB2312" w:cs="仿宋_GB2312"/>
          <w:color w:val="000000"/>
          <w:kern w:val="0"/>
          <w:sz w:val="32"/>
          <w:szCs w:val="32"/>
          <w:shd w:val="clear" w:color="auto" w:fill="FFFFFF"/>
          <w:lang w:val="en-US" w:eastAsia="zh-CN"/>
        </w:rPr>
        <w:t>产出指标中数量指标：</w:t>
      </w:r>
      <w:r>
        <w:rPr>
          <w:rFonts w:hint="eastAsia" w:ascii="仿宋_GB2312" w:hAnsi="仿宋_GB2312" w:eastAsia="仿宋_GB2312" w:cs="仿宋_GB2312"/>
          <w:kern w:val="2"/>
          <w:sz w:val="32"/>
          <w:szCs w:val="32"/>
          <w:u w:val="none"/>
        </w:rPr>
        <w:t>公用经费支出是我局日常运转重要的保障，尤其是在应对</w:t>
      </w:r>
      <w:r>
        <w:rPr>
          <w:rFonts w:hint="eastAsia" w:ascii="仿宋_GB2312" w:hAnsi="仿宋_GB2312" w:eastAsia="仿宋_GB2312" w:cs="仿宋_GB2312"/>
          <w:color w:val="auto"/>
          <w:kern w:val="2"/>
          <w:sz w:val="32"/>
          <w:szCs w:val="32"/>
          <w:u w:val="none"/>
        </w:rPr>
        <w:t>地质灾害处置，应急</w:t>
      </w:r>
      <w:r>
        <w:rPr>
          <w:rFonts w:hint="eastAsia" w:ascii="仿宋_GB2312" w:hAnsi="仿宋_GB2312" w:eastAsia="仿宋_GB2312" w:cs="仿宋_GB2312"/>
          <w:color w:val="auto"/>
          <w:kern w:val="2"/>
          <w:sz w:val="32"/>
          <w:szCs w:val="32"/>
          <w:u w:val="none"/>
          <w:lang w:val="en-US" w:eastAsia="zh-CN"/>
        </w:rPr>
        <w:t>抢</w:t>
      </w:r>
      <w:r>
        <w:rPr>
          <w:rFonts w:hint="eastAsia" w:ascii="仿宋_GB2312" w:hAnsi="仿宋_GB2312" w:eastAsia="仿宋_GB2312" w:cs="仿宋_GB2312"/>
          <w:color w:val="auto"/>
          <w:kern w:val="2"/>
          <w:sz w:val="32"/>
          <w:szCs w:val="32"/>
          <w:u w:val="none"/>
        </w:rPr>
        <w:t>险保障，国土空间规划编制、生态修复矿山管理和处理其他地质灾害突发情况等工作中发挥重要意义。</w:t>
      </w:r>
      <w:r>
        <w:rPr>
          <w:rFonts w:hint="eastAsia" w:ascii="仿宋_GB2312" w:hAnsi="仿宋_GB2312" w:eastAsia="仿宋_GB2312" w:cs="仿宋_GB2312"/>
          <w:color w:val="auto"/>
          <w:kern w:val="2"/>
          <w:sz w:val="32"/>
          <w:szCs w:val="32"/>
          <w:u w:val="none"/>
          <w:lang w:val="en-US" w:eastAsia="zh-CN"/>
        </w:rPr>
        <w:t>指标值“支出金额≤199.32万元”，2025年实际完成值172.54万元，做到了厉行节约，压减了经费支出。</w:t>
      </w:r>
    </w:p>
    <w:p w14:paraId="222592D9">
      <w:pPr>
        <w:keepNext w:val="0"/>
        <w:keepLines w:val="0"/>
        <w:pageBreakBefore w:val="0"/>
        <w:widowControl w:val="0"/>
        <w:suppressLineNumbers w:val="0"/>
        <w:suppressAutoHyphens w:val="0"/>
        <w:kinsoku/>
        <w:wordWrap/>
        <w:overflowPunct/>
        <w:topLinePunct w:val="0"/>
        <w:autoSpaceDE/>
        <w:autoSpaceDN/>
        <w:spacing w:before="0" w:beforeAutospacing="0" w:after="0" w:afterAutospacing="0" w:line="560" w:lineRule="exact"/>
        <w:ind w:right="0" w:firstLine="640" w:firstLineChars="200"/>
        <w:jc w:val="both"/>
        <w:rPr>
          <w:rFonts w:hint="eastAsia" w:ascii="仿宋_GB2312" w:hAnsi="仿宋_GB2312" w:eastAsia="仿宋_GB2312" w:cs="仿宋_GB2312"/>
          <w:kern w:val="2"/>
          <w:sz w:val="32"/>
          <w:szCs w:val="32"/>
          <w:u w:val="none"/>
          <w:lang w:val="en-US" w:eastAsia="zh-CN"/>
        </w:rPr>
      </w:pPr>
      <w:r>
        <w:rPr>
          <w:rFonts w:hint="eastAsia" w:ascii="仿宋_GB2312" w:hAnsi="仿宋_GB2312" w:eastAsia="仿宋_GB2312" w:cs="仿宋_GB2312"/>
          <w:color w:val="000000"/>
          <w:kern w:val="0"/>
          <w:sz w:val="32"/>
          <w:szCs w:val="32"/>
          <w:shd w:val="clear" w:color="auto" w:fill="FFFFFF"/>
          <w:lang w:val="en-US" w:eastAsia="zh-CN"/>
        </w:rPr>
        <w:t>（2）产出指标中数量指标：人员经费支出</w:t>
      </w:r>
      <w:r>
        <w:rPr>
          <w:rFonts w:hint="eastAsia" w:ascii="仿宋_GB2312" w:hAnsi="仿宋_GB2312" w:eastAsia="仿宋_GB2312" w:cs="仿宋_GB2312"/>
          <w:kern w:val="2"/>
          <w:sz w:val="32"/>
          <w:szCs w:val="32"/>
          <w:u w:val="none"/>
        </w:rPr>
        <w:t>实现了全额保障应缴尽缴，不存在工资发放和社保缴费不达标情况。实现了干部职工所有缴费，没有一人被落下，没有一人缺</w:t>
      </w:r>
      <w:r>
        <w:rPr>
          <w:rFonts w:hint="eastAsia" w:ascii="仿宋_GB2312" w:hAnsi="仿宋_GB2312" w:eastAsia="仿宋_GB2312" w:cs="仿宋_GB2312"/>
          <w:color w:val="auto"/>
          <w:kern w:val="2"/>
          <w:sz w:val="32"/>
          <w:szCs w:val="32"/>
          <w:u w:val="none"/>
        </w:rPr>
        <w:t>发工资。全面保障</w:t>
      </w:r>
      <w:r>
        <w:rPr>
          <w:rFonts w:hint="eastAsia" w:ascii="仿宋_GB2312" w:hAnsi="仿宋_GB2312" w:eastAsia="仿宋_GB2312" w:cs="仿宋_GB2312"/>
          <w:color w:val="auto"/>
          <w:kern w:val="2"/>
          <w:sz w:val="32"/>
          <w:szCs w:val="32"/>
          <w:u w:val="none"/>
          <w:lang w:val="en-US" w:eastAsia="zh-CN"/>
        </w:rPr>
        <w:t>了</w:t>
      </w:r>
      <w:r>
        <w:rPr>
          <w:rFonts w:hint="eastAsia" w:ascii="仿宋_GB2312" w:hAnsi="仿宋_GB2312" w:eastAsia="仿宋_GB2312" w:cs="仿宋_GB2312"/>
          <w:color w:val="auto"/>
          <w:kern w:val="2"/>
          <w:sz w:val="32"/>
          <w:szCs w:val="32"/>
          <w:u w:val="none"/>
        </w:rPr>
        <w:t>每一名干部</w:t>
      </w:r>
      <w:r>
        <w:rPr>
          <w:rFonts w:hint="eastAsia" w:ascii="仿宋_GB2312" w:hAnsi="仿宋_GB2312" w:eastAsia="仿宋_GB2312" w:cs="仿宋_GB2312"/>
          <w:color w:val="auto"/>
          <w:kern w:val="2"/>
          <w:sz w:val="32"/>
          <w:szCs w:val="32"/>
          <w:u w:val="none"/>
          <w:lang w:val="en-US" w:eastAsia="zh-CN"/>
        </w:rPr>
        <w:t>职工</w:t>
      </w:r>
      <w:r>
        <w:rPr>
          <w:rFonts w:hint="eastAsia" w:ascii="仿宋_GB2312" w:hAnsi="仿宋_GB2312" w:eastAsia="仿宋_GB2312" w:cs="仿宋_GB2312"/>
          <w:color w:val="auto"/>
          <w:kern w:val="2"/>
          <w:sz w:val="32"/>
          <w:szCs w:val="32"/>
          <w:u w:val="none"/>
        </w:rPr>
        <w:t>按政策要求准时发放工资，缴存社保福利，无拖沓延迟情况。</w:t>
      </w:r>
      <w:r>
        <w:rPr>
          <w:rFonts w:hint="eastAsia" w:ascii="仿宋_GB2312" w:hAnsi="仿宋_GB2312" w:eastAsia="仿宋_GB2312" w:cs="仿宋_GB2312"/>
          <w:color w:val="auto"/>
          <w:kern w:val="2"/>
          <w:sz w:val="32"/>
          <w:szCs w:val="32"/>
          <w:u w:val="none"/>
          <w:lang w:val="en-US" w:eastAsia="zh-CN"/>
        </w:rPr>
        <w:t>指标值“支出金额≤1401.38万元”</w:t>
      </w:r>
      <w:r>
        <w:rPr>
          <w:rFonts w:hint="eastAsia" w:ascii="仿宋_GB2312" w:hAnsi="仿宋_GB2312" w:eastAsia="仿宋_GB2312" w:cs="仿宋_GB2312"/>
          <w:kern w:val="2"/>
          <w:sz w:val="32"/>
          <w:szCs w:val="32"/>
          <w:u w:val="none"/>
          <w:lang w:val="en-US" w:eastAsia="zh-CN"/>
        </w:rPr>
        <w:t>，2025年实际完成值1490.65万元。2025年新增公务员5人退休1人。事业单位新进9人，退休1人，导致实际完成值高于绩效设定指标值。</w:t>
      </w:r>
    </w:p>
    <w:p w14:paraId="2B6172E0">
      <w:pPr>
        <w:keepNext w:val="0"/>
        <w:keepLines w:val="0"/>
        <w:pageBreakBefore w:val="0"/>
        <w:widowControl w:val="0"/>
        <w:suppressLineNumbers w:val="0"/>
        <w:suppressAutoHyphens w:val="0"/>
        <w:kinsoku/>
        <w:wordWrap/>
        <w:overflowPunct/>
        <w:topLinePunct w:val="0"/>
        <w:autoSpaceDE/>
        <w:autoSpaceDN/>
        <w:spacing w:before="0" w:beforeAutospacing="0" w:after="0" w:afterAutospacing="0" w:line="560" w:lineRule="exact"/>
        <w:ind w:right="0" w:firstLine="640" w:firstLineChars="200"/>
        <w:jc w:val="both"/>
        <w:rPr>
          <w:rFonts w:hint="eastAsia" w:ascii="仿宋_GB2312" w:hAnsi="仿宋_GB2312" w:eastAsia="仿宋_GB2312" w:cs="仿宋_GB2312"/>
          <w:kern w:val="2"/>
          <w:sz w:val="32"/>
          <w:szCs w:val="32"/>
          <w:u w:val="none"/>
          <w:lang w:val="en-US" w:eastAsia="zh-CN"/>
        </w:rPr>
      </w:pPr>
      <w:r>
        <w:rPr>
          <w:rFonts w:hint="eastAsia" w:ascii="仿宋_GB2312" w:hAnsi="仿宋_GB2312" w:eastAsia="仿宋_GB2312" w:cs="仿宋_GB2312"/>
          <w:kern w:val="2"/>
          <w:sz w:val="32"/>
          <w:szCs w:val="32"/>
          <w:u w:val="none"/>
          <w:lang w:val="en-US" w:eastAsia="zh-CN"/>
        </w:rPr>
        <w:t>（3）我局项目支出进度较缓，资金进度未达到预期效果和绩效目标，尤其是个别大金额项目支付进度较缓，较大程度的迟滞了绩效目标的实现。</w:t>
      </w:r>
    </w:p>
    <w:p w14:paraId="1D01A4CA">
      <w:pPr>
        <w:keepNext w:val="0"/>
        <w:keepLines w:val="0"/>
        <w:pageBreakBefore w:val="0"/>
        <w:widowControl w:val="0"/>
        <w:suppressLineNumbers w:val="0"/>
        <w:suppressAutoHyphens w:val="0"/>
        <w:kinsoku/>
        <w:wordWrap/>
        <w:overflowPunct/>
        <w:topLinePunct w:val="0"/>
        <w:autoSpaceDE/>
        <w:autoSpaceDN/>
        <w:spacing w:before="0" w:beforeAutospacing="0" w:after="0" w:afterAutospacing="0" w:line="560" w:lineRule="exact"/>
        <w:ind w:right="0" w:firstLine="640" w:firstLineChars="200"/>
        <w:jc w:val="both"/>
        <w:rPr>
          <w:rFonts w:hint="eastAsia" w:ascii="仿宋_GB2312" w:hAnsi="仿宋_GB2312" w:eastAsia="仿宋_GB2312" w:cs="仿宋_GB2312"/>
          <w:kern w:val="2"/>
          <w:sz w:val="32"/>
          <w:szCs w:val="32"/>
          <w:u w:val="none"/>
          <w:lang w:val="en-US" w:eastAsia="zh-CN"/>
        </w:rPr>
      </w:pPr>
      <w:r>
        <w:rPr>
          <w:rFonts w:hint="eastAsia" w:ascii="仿宋_GB2312" w:hAnsi="仿宋_GB2312" w:eastAsia="仿宋_GB2312" w:cs="仿宋_GB2312"/>
          <w:kern w:val="2"/>
          <w:sz w:val="32"/>
          <w:szCs w:val="32"/>
          <w:u w:val="none"/>
          <w:lang w:val="en-US" w:eastAsia="zh-CN"/>
        </w:rPr>
        <w:t>质量指标，我局项目开工较早，但按照政府采购相关制度严格落实采购程序，目前未发现违规操作，徇私舞弊情况，质量达标100%。</w:t>
      </w:r>
    </w:p>
    <w:p w14:paraId="4CB4831B">
      <w:pPr>
        <w:keepNext w:val="0"/>
        <w:keepLines w:val="0"/>
        <w:pageBreakBefore w:val="0"/>
        <w:widowControl w:val="0"/>
        <w:suppressLineNumbers w:val="0"/>
        <w:suppressAutoHyphens w:val="0"/>
        <w:kinsoku/>
        <w:wordWrap/>
        <w:overflowPunct/>
        <w:topLinePunct w:val="0"/>
        <w:autoSpaceDE/>
        <w:autoSpaceDN/>
        <w:spacing w:before="0" w:beforeAutospacing="0" w:after="0" w:afterAutospacing="0" w:line="560" w:lineRule="exact"/>
        <w:ind w:right="0" w:firstLine="640" w:firstLineChars="200"/>
        <w:jc w:val="both"/>
        <w:rPr>
          <w:rFonts w:hint="eastAsia" w:ascii="仿宋_GB2312" w:hAnsi="仿宋_GB2312" w:eastAsia="仿宋_GB2312" w:cs="仿宋_GB2312"/>
          <w:kern w:val="2"/>
          <w:sz w:val="32"/>
          <w:szCs w:val="32"/>
          <w:u w:val="none"/>
          <w:lang w:val="en-US" w:eastAsia="zh-CN"/>
        </w:rPr>
      </w:pPr>
      <w:r>
        <w:rPr>
          <w:rFonts w:hint="eastAsia" w:ascii="仿宋_GB2312" w:hAnsi="仿宋_GB2312" w:eastAsia="仿宋_GB2312" w:cs="仿宋_GB2312"/>
          <w:kern w:val="2"/>
          <w:sz w:val="32"/>
          <w:szCs w:val="32"/>
          <w:u w:val="none"/>
          <w:lang w:val="en-US" w:eastAsia="zh-CN"/>
        </w:rPr>
        <w:t>数量指标，项目支出进度达到全年目标60%，指标值“支出金额≥3578.02万元”，2025年实际完成值5963.36万元，严格按项目进</w:t>
      </w:r>
      <w:r>
        <w:rPr>
          <w:rFonts w:hint="eastAsia" w:ascii="仿宋_GB2312" w:hAnsi="仿宋_GB2312" w:eastAsia="仿宋_GB2312" w:cs="仿宋_GB2312"/>
          <w:color w:val="auto"/>
          <w:kern w:val="2"/>
          <w:sz w:val="32"/>
          <w:szCs w:val="32"/>
          <w:u w:val="none"/>
          <w:lang w:val="en-US" w:eastAsia="zh-CN"/>
        </w:rPr>
        <w:t>度支付了资金</w:t>
      </w:r>
      <w:r>
        <w:rPr>
          <w:rFonts w:hint="eastAsia" w:ascii="仿宋_GB2312" w:hAnsi="仿宋_GB2312" w:eastAsia="仿宋_GB2312" w:cs="仿宋_GB2312"/>
          <w:kern w:val="2"/>
          <w:sz w:val="32"/>
          <w:szCs w:val="32"/>
          <w:u w:val="none"/>
          <w:lang w:val="en-US" w:eastAsia="zh-CN"/>
        </w:rPr>
        <w:t>。</w:t>
      </w:r>
    </w:p>
    <w:p w14:paraId="068F2024">
      <w:pPr>
        <w:keepNext w:val="0"/>
        <w:keepLines w:val="0"/>
        <w:pageBreakBefore w:val="0"/>
        <w:widowControl w:val="0"/>
        <w:suppressLineNumbers w:val="0"/>
        <w:suppressAutoHyphens w:val="0"/>
        <w:kinsoku/>
        <w:wordWrap/>
        <w:overflowPunct/>
        <w:topLinePunct w:val="0"/>
        <w:autoSpaceDE/>
        <w:autoSpaceDN/>
        <w:spacing w:before="0" w:beforeAutospacing="0" w:after="0" w:afterAutospacing="0" w:line="560" w:lineRule="exact"/>
        <w:ind w:right="0" w:firstLine="640" w:firstLineChars="200"/>
        <w:jc w:val="both"/>
        <w:rPr>
          <w:rFonts w:ascii="Times New Roman" w:hAnsi="Times New Roman" w:eastAsia="仿宋_GB2312" w:cs="Times New Roman"/>
          <w:color w:val="000000"/>
          <w:kern w:val="0"/>
          <w:sz w:val="32"/>
          <w:szCs w:val="32"/>
          <w:shd w:val="clear" w:color="auto" w:fill="FFFFFF"/>
          <w:lang w:val="zh-CN"/>
        </w:rPr>
      </w:pPr>
      <w:r>
        <w:rPr>
          <w:rFonts w:hint="eastAsia" w:ascii="仿宋_GB2312" w:hAnsi="仿宋_GB2312" w:eastAsia="仿宋_GB2312" w:cs="仿宋_GB2312"/>
          <w:kern w:val="2"/>
          <w:sz w:val="32"/>
          <w:szCs w:val="32"/>
          <w:u w:val="none"/>
          <w:lang w:val="en-US" w:eastAsia="zh-CN"/>
        </w:rPr>
        <w:t>社会效益指标，项目推进有力，资金支出能有效转化为社会生产力，达到预期效果，地质灾害隐患处置率达95%，设计行业管理指导工作成效高，该指标</w:t>
      </w:r>
      <w:r>
        <w:rPr>
          <w:rFonts w:hint="eastAsia" w:ascii="仿宋_GB2312" w:hAnsi="仿宋_GB2312" w:eastAsia="仿宋_GB2312" w:cs="仿宋_GB2312"/>
          <w:color w:val="auto"/>
          <w:kern w:val="2"/>
          <w:sz w:val="32"/>
          <w:szCs w:val="32"/>
          <w:u w:val="none"/>
          <w:lang w:val="en-US" w:eastAsia="zh-CN"/>
        </w:rPr>
        <w:t>能</w:t>
      </w:r>
      <w:r>
        <w:rPr>
          <w:rFonts w:hint="eastAsia" w:ascii="仿宋_GB2312" w:hAnsi="Times New Roman" w:eastAsia="仿宋_GB2312" w:cs="Times New Roman"/>
          <w:kern w:val="2"/>
          <w:sz w:val="32"/>
          <w:szCs w:val="32"/>
          <w:u w:val="none"/>
        </w:rPr>
        <w:t>达标</w:t>
      </w:r>
      <w:r>
        <w:rPr>
          <w:rFonts w:hint="eastAsia" w:ascii="仿宋_GB2312" w:hAnsi="Times New Roman" w:eastAsia="仿宋_GB2312" w:cs="Times New Roman"/>
          <w:kern w:val="2"/>
          <w:sz w:val="32"/>
          <w:szCs w:val="32"/>
          <w:u w:val="none"/>
          <w:lang w:eastAsia="zh-CN"/>
        </w:rPr>
        <w:t>。</w:t>
      </w:r>
    </w:p>
    <w:p w14:paraId="42643ADD">
      <w:pPr>
        <w:keepNext w:val="0"/>
        <w:keepLines w:val="0"/>
        <w:pageBreakBefore w:val="0"/>
        <w:widowControl w:val="0"/>
        <w:suppressLineNumbers w:val="0"/>
        <w:suppressAutoHyphens w:val="0"/>
        <w:kinsoku/>
        <w:wordWrap/>
        <w:overflowPunct/>
        <w:topLinePunct w:val="0"/>
        <w:autoSpaceDE/>
        <w:autoSpaceDN/>
        <w:spacing w:before="0" w:beforeAutospacing="0" w:after="0" w:afterAutospacing="0" w:line="560" w:lineRule="exact"/>
        <w:ind w:right="0" w:firstLine="643" w:firstLineChars="200"/>
        <w:jc w:val="both"/>
        <w:rPr>
          <w:rFonts w:hint="eastAsia" w:ascii="仿宋_GB2312" w:hAnsi="仿宋_GB2312" w:eastAsia="仿宋_GB2312" w:cs="仿宋_GB2312"/>
          <w:b/>
          <w:bCs/>
          <w:color w:val="FF0000"/>
          <w:kern w:val="2"/>
          <w:sz w:val="32"/>
          <w:szCs w:val="32"/>
          <w:u w:val="none"/>
          <w:lang w:val="zh-CN" w:eastAsia="zh-CN"/>
        </w:rPr>
      </w:pPr>
      <w:r>
        <w:rPr>
          <w:rFonts w:ascii="Times New Roman" w:hAnsi="Times New Roman" w:eastAsia="楷体_GB2312" w:cs="Times New Roman"/>
          <w:b/>
          <w:bCs/>
          <w:color w:val="000000"/>
          <w:kern w:val="0"/>
          <w:sz w:val="32"/>
          <w:szCs w:val="32"/>
          <w:shd w:val="clear" w:color="auto" w:fill="FFFFFF"/>
        </w:rPr>
        <w:t>2</w:t>
      </w:r>
      <w:r>
        <w:rPr>
          <w:rFonts w:hint="eastAsia" w:ascii="仿宋_GB2312" w:hAnsi="仿宋_GB2312" w:eastAsia="仿宋_GB2312" w:cs="仿宋_GB2312"/>
          <w:b/>
          <w:bCs/>
          <w:kern w:val="2"/>
          <w:sz w:val="32"/>
          <w:szCs w:val="32"/>
          <w:u w:val="none"/>
          <w:lang w:val="en-US" w:eastAsia="zh-CN"/>
        </w:rPr>
        <w:t>.</w:t>
      </w:r>
      <w:r>
        <w:rPr>
          <w:rFonts w:hint="eastAsia" w:ascii="仿宋_GB2312" w:hAnsi="仿宋_GB2312" w:eastAsia="仿宋_GB2312" w:cs="仿宋_GB2312"/>
          <w:b/>
          <w:bCs/>
          <w:color w:val="auto"/>
          <w:kern w:val="2"/>
          <w:sz w:val="32"/>
          <w:szCs w:val="32"/>
          <w:u w:val="none"/>
          <w:lang w:val="zh-CN" w:eastAsia="zh-CN"/>
        </w:rPr>
        <w:t>预算管理</w:t>
      </w:r>
    </w:p>
    <w:p w14:paraId="3BF7AC06">
      <w:pPr>
        <w:keepNext w:val="0"/>
        <w:keepLines w:val="0"/>
        <w:pageBreakBefore w:val="0"/>
        <w:widowControl w:val="0"/>
        <w:suppressLineNumbers w:val="0"/>
        <w:suppressAutoHyphens w:val="0"/>
        <w:kinsoku/>
        <w:wordWrap/>
        <w:overflowPunct/>
        <w:topLinePunct w:val="0"/>
        <w:autoSpaceDE/>
        <w:autoSpaceDN/>
        <w:spacing w:before="0" w:beforeAutospacing="0" w:after="0" w:afterAutospacing="0" w:line="560" w:lineRule="exact"/>
        <w:ind w:right="0" w:firstLine="640" w:firstLineChars="200"/>
        <w:jc w:val="both"/>
        <w:rPr>
          <w:rFonts w:hint="eastAsia" w:ascii="仿宋_GB2312" w:hAnsi="仿宋_GB2312" w:eastAsia="仿宋_GB2312" w:cs="仿宋_GB2312"/>
          <w:kern w:val="2"/>
          <w:sz w:val="32"/>
          <w:szCs w:val="32"/>
          <w:u w:val="none"/>
          <w:lang w:val="en-US" w:eastAsia="zh-CN"/>
        </w:rPr>
      </w:pPr>
      <w:r>
        <w:rPr>
          <w:rFonts w:hint="eastAsia" w:ascii="仿宋_GB2312" w:hAnsi="仿宋_GB2312" w:eastAsia="仿宋_GB2312" w:cs="仿宋_GB2312"/>
          <w:kern w:val="2"/>
          <w:sz w:val="32"/>
          <w:szCs w:val="32"/>
          <w:u w:val="none"/>
          <w:lang w:val="en-US" w:eastAsia="zh-CN"/>
        </w:rPr>
        <w:t>（1）财政拨款预算编制偏离度：本年度该指标实际完成值为323.33%，远超142.48%的控制值。该指标数值偏高，反映出预算编制与实际执行存在较大偏差，将进一步优化预算编制流程，强化业务与财务的协同衔接。</w:t>
      </w:r>
    </w:p>
    <w:p w14:paraId="18B0FBBF">
      <w:pPr>
        <w:keepNext w:val="0"/>
        <w:keepLines w:val="0"/>
        <w:pageBreakBefore w:val="0"/>
        <w:widowControl w:val="0"/>
        <w:suppressLineNumbers w:val="0"/>
        <w:suppressAutoHyphens w:val="0"/>
        <w:kinsoku/>
        <w:wordWrap/>
        <w:overflowPunct/>
        <w:topLinePunct w:val="0"/>
        <w:autoSpaceDE/>
        <w:autoSpaceDN/>
        <w:spacing w:before="0" w:beforeAutospacing="0" w:after="0" w:afterAutospacing="0" w:line="560" w:lineRule="exact"/>
        <w:ind w:right="0" w:firstLine="640" w:firstLineChars="200"/>
        <w:jc w:val="both"/>
        <w:rPr>
          <w:rFonts w:hint="eastAsia" w:ascii="仿宋_GB2312" w:hAnsi="仿宋_GB2312" w:eastAsia="仿宋_GB2312" w:cs="仿宋_GB2312"/>
          <w:kern w:val="2"/>
          <w:sz w:val="32"/>
          <w:szCs w:val="32"/>
          <w:u w:val="none"/>
          <w:lang w:val="en-US" w:eastAsia="zh-CN"/>
        </w:rPr>
      </w:pPr>
      <w:r>
        <w:rPr>
          <w:rFonts w:hint="eastAsia" w:ascii="仿宋_GB2312" w:hAnsi="仿宋_GB2312" w:eastAsia="仿宋_GB2312" w:cs="仿宋_GB2312"/>
          <w:kern w:val="2"/>
          <w:sz w:val="32"/>
          <w:szCs w:val="32"/>
          <w:u w:val="none"/>
          <w:lang w:val="en-US" w:eastAsia="zh-CN"/>
        </w:rPr>
        <w:t xml:space="preserve"> （2）预算年终结余率：实际完成值为1.56%，低于1.86%的控制值，达到三年均值1.86%的水平。此指标达标且优于控制标准，本年度财政资金使用效率较高，年末结余资金控制合理，资金盘活与使用效益良好，有效保障了财政资金的高效运转。</w:t>
      </w:r>
    </w:p>
    <w:p w14:paraId="447AB498">
      <w:pPr>
        <w:keepNext w:val="0"/>
        <w:keepLines w:val="0"/>
        <w:pageBreakBefore w:val="0"/>
        <w:widowControl w:val="0"/>
        <w:suppressLineNumbers w:val="0"/>
        <w:suppressAutoHyphens w:val="0"/>
        <w:kinsoku/>
        <w:wordWrap/>
        <w:overflowPunct/>
        <w:topLinePunct w:val="0"/>
        <w:autoSpaceDE/>
        <w:autoSpaceDN/>
        <w:spacing w:before="0" w:beforeAutospacing="0" w:after="0" w:afterAutospacing="0" w:line="560" w:lineRule="exact"/>
        <w:ind w:right="0" w:firstLine="640" w:firstLineChars="200"/>
        <w:jc w:val="both"/>
        <w:rPr>
          <w:rFonts w:hint="eastAsia" w:ascii="仿宋_GB2312" w:hAnsi="仿宋_GB2312" w:eastAsia="仿宋_GB2312" w:cs="仿宋_GB2312"/>
          <w:kern w:val="2"/>
          <w:sz w:val="32"/>
          <w:szCs w:val="32"/>
          <w:u w:val="none"/>
          <w:lang w:val="en-US" w:eastAsia="zh-CN"/>
        </w:rPr>
      </w:pPr>
      <w:r>
        <w:rPr>
          <w:rFonts w:hint="eastAsia" w:ascii="仿宋_GB2312" w:hAnsi="仿宋_GB2312" w:eastAsia="仿宋_GB2312" w:cs="仿宋_GB2312"/>
          <w:kern w:val="2"/>
          <w:sz w:val="32"/>
          <w:szCs w:val="32"/>
          <w:u w:val="none"/>
          <w:lang w:val="en-US" w:eastAsia="zh-CN"/>
        </w:rPr>
        <w:t>（3）一般性支出金额：实际支出金额为238.47万元，超出205.14万元的控制目标。一般性支出未实现压减目标，主要原因是：2025年新增公务员5人，事业单位9人，导致相关公用经费增加。</w:t>
      </w:r>
    </w:p>
    <w:p w14:paraId="4212AE08">
      <w:pPr>
        <w:adjustRightInd w:val="0"/>
        <w:snapToGrid w:val="0"/>
        <w:spacing w:line="578" w:lineRule="exact"/>
        <w:ind w:firstLine="643" w:firstLineChars="200"/>
        <w:contextualSpacing/>
        <w:jc w:val="left"/>
        <w:rPr>
          <w:rFonts w:ascii="Times New Roman" w:hAnsi="Times New Roman" w:eastAsia="楷体_GB2312" w:cs="Times New Roman"/>
          <w:b/>
          <w:bCs/>
          <w:color w:val="000000"/>
          <w:kern w:val="0"/>
          <w:sz w:val="32"/>
          <w:szCs w:val="32"/>
          <w:highlight w:val="none"/>
          <w:shd w:val="clear" w:color="auto" w:fill="FFFFFF"/>
          <w:lang w:val="zh-CN"/>
        </w:rPr>
      </w:pPr>
      <w:r>
        <w:rPr>
          <w:rFonts w:ascii="Times New Roman" w:hAnsi="Times New Roman" w:eastAsia="楷体_GB2312" w:cs="Times New Roman"/>
          <w:b/>
          <w:bCs/>
          <w:color w:val="000000"/>
          <w:kern w:val="0"/>
          <w:sz w:val="32"/>
          <w:szCs w:val="32"/>
          <w:highlight w:val="none"/>
          <w:shd w:val="clear" w:color="auto" w:fill="FFFFFF"/>
        </w:rPr>
        <w:t>3.</w:t>
      </w:r>
      <w:r>
        <w:rPr>
          <w:rFonts w:ascii="Times New Roman" w:hAnsi="Times New Roman" w:eastAsia="楷体_GB2312" w:cs="Times New Roman"/>
          <w:b/>
          <w:bCs/>
          <w:color w:val="000000"/>
          <w:kern w:val="0"/>
          <w:sz w:val="32"/>
          <w:szCs w:val="32"/>
          <w:highlight w:val="none"/>
          <w:shd w:val="clear" w:color="auto" w:fill="FFFFFF"/>
          <w:lang w:val="zh-CN"/>
        </w:rPr>
        <w:t>财务管理</w:t>
      </w:r>
    </w:p>
    <w:p w14:paraId="3818D3A3">
      <w:pPr>
        <w:keepNext w:val="0"/>
        <w:keepLines w:val="0"/>
        <w:pageBreakBefore w:val="0"/>
        <w:widowControl w:val="0"/>
        <w:suppressLineNumbers w:val="0"/>
        <w:suppressAutoHyphens w:val="0"/>
        <w:kinsoku/>
        <w:wordWrap/>
        <w:overflowPunct/>
        <w:topLinePunct w:val="0"/>
        <w:autoSpaceDE/>
        <w:autoSpaceDN/>
        <w:spacing w:before="0" w:beforeAutospacing="0" w:after="0" w:afterAutospacing="0" w:line="560" w:lineRule="exact"/>
        <w:ind w:right="0" w:firstLine="640" w:firstLineChars="200"/>
        <w:jc w:val="both"/>
        <w:rPr>
          <w:rFonts w:ascii="Times New Roman" w:hAnsi="Times New Roman" w:eastAsia="楷体_GB2312" w:cs="Times New Roman"/>
          <w:color w:val="000000"/>
          <w:kern w:val="0"/>
          <w:sz w:val="32"/>
          <w:szCs w:val="32"/>
          <w:highlight w:val="none"/>
          <w:shd w:val="clear" w:color="auto" w:fill="FFFFFF"/>
          <w:lang w:val="zh-CN"/>
        </w:rPr>
      </w:pPr>
      <w:r>
        <w:rPr>
          <w:rFonts w:hint="eastAsia" w:ascii="仿宋_GB2312" w:hAnsi="仿宋_GB2312" w:eastAsia="仿宋_GB2312" w:cs="仿宋_GB2312"/>
          <w:kern w:val="2"/>
          <w:sz w:val="32"/>
          <w:szCs w:val="32"/>
          <w:u w:val="none"/>
          <w:lang w:val="en-US" w:eastAsia="zh-CN"/>
        </w:rPr>
        <w:t>本年度财务管理规范指标获评“优”，高于“良”的控制要求。在财务制度执行、账务处理、内控管理等方面工作扎实，财务核算精准、流程合规，财务管理水平处于优秀层级，为单位整体运营提供了坚实的财务保障。</w:t>
      </w:r>
    </w:p>
    <w:p w14:paraId="7B7A2FFF">
      <w:pPr>
        <w:adjustRightInd w:val="0"/>
        <w:snapToGrid w:val="0"/>
        <w:spacing w:line="578" w:lineRule="exact"/>
        <w:ind w:firstLine="643" w:firstLineChars="200"/>
        <w:contextualSpacing/>
        <w:jc w:val="left"/>
        <w:rPr>
          <w:rFonts w:ascii="Times New Roman" w:hAnsi="Times New Roman" w:eastAsia="楷体_GB2312" w:cs="Times New Roman"/>
          <w:b/>
          <w:bCs/>
          <w:color w:val="000000"/>
          <w:kern w:val="0"/>
          <w:sz w:val="32"/>
          <w:szCs w:val="32"/>
          <w:highlight w:val="none"/>
          <w:shd w:val="clear" w:color="auto" w:fill="FFFFFF"/>
          <w:lang w:val="zh-CN"/>
        </w:rPr>
      </w:pPr>
      <w:r>
        <w:rPr>
          <w:rFonts w:ascii="Times New Roman" w:hAnsi="Times New Roman" w:eastAsia="楷体_GB2312" w:cs="Times New Roman"/>
          <w:b/>
          <w:bCs/>
          <w:color w:val="000000"/>
          <w:kern w:val="0"/>
          <w:sz w:val="32"/>
          <w:szCs w:val="32"/>
          <w:highlight w:val="none"/>
          <w:shd w:val="clear" w:color="auto" w:fill="FFFFFF"/>
        </w:rPr>
        <w:t>4.</w:t>
      </w:r>
      <w:r>
        <w:rPr>
          <w:rFonts w:ascii="Times New Roman" w:hAnsi="Times New Roman" w:eastAsia="楷体_GB2312" w:cs="Times New Roman"/>
          <w:b/>
          <w:bCs/>
          <w:color w:val="000000"/>
          <w:kern w:val="0"/>
          <w:sz w:val="32"/>
          <w:szCs w:val="32"/>
          <w:highlight w:val="none"/>
          <w:shd w:val="clear" w:color="auto" w:fill="FFFFFF"/>
          <w:lang w:val="zh-CN"/>
        </w:rPr>
        <w:t>资产管理</w:t>
      </w:r>
    </w:p>
    <w:p w14:paraId="6FD11E6A">
      <w:pPr>
        <w:adjustRightInd w:val="0"/>
        <w:snapToGrid w:val="0"/>
        <w:spacing w:line="578" w:lineRule="exact"/>
        <w:ind w:firstLine="640" w:firstLineChars="200"/>
        <w:contextualSpacing/>
        <w:jc w:val="left"/>
        <w:rPr>
          <w:rFonts w:ascii="Times New Roman" w:hAnsi="Times New Roman" w:eastAsia="楷体_GB2312" w:cs="Times New Roman"/>
          <w:color w:val="000000"/>
          <w:kern w:val="0"/>
          <w:sz w:val="32"/>
          <w:szCs w:val="32"/>
          <w:highlight w:val="none"/>
          <w:shd w:val="clear" w:color="auto" w:fill="FFFFFF"/>
          <w:lang w:val="zh-CN"/>
        </w:rPr>
      </w:pPr>
      <w:r>
        <w:rPr>
          <w:rFonts w:hint="eastAsia" w:ascii="Times New Roman" w:hAnsi="Times New Roman" w:eastAsia="仿宋_GB2312" w:cs="Times New Roman"/>
          <w:sz w:val="32"/>
        </w:rPr>
        <w:t>资产配置预算偏离度实际完成值为0，低于20%的控制要求。资产配置均严格按照预算执行，无超配、低配或违规配置资产的情况，资产预算管理规范、严谨，资产配置效率与合理性得到充分保障</w:t>
      </w:r>
      <w:r>
        <w:rPr>
          <w:rFonts w:ascii="Times New Roman" w:hAnsi="Times New Roman" w:eastAsia="仿宋_GB2312" w:cs="Times New Roman"/>
          <w:color w:val="000000"/>
          <w:kern w:val="0"/>
          <w:sz w:val="32"/>
          <w:szCs w:val="32"/>
          <w:highlight w:val="none"/>
          <w:shd w:val="clear" w:color="auto" w:fill="FFFFFF"/>
          <w:lang w:val="zh-CN"/>
        </w:rPr>
        <w:t>。</w:t>
      </w:r>
    </w:p>
    <w:p w14:paraId="28ADDE50">
      <w:pPr>
        <w:adjustRightInd w:val="0"/>
        <w:snapToGrid w:val="0"/>
        <w:spacing w:line="578" w:lineRule="exact"/>
        <w:ind w:firstLine="643" w:firstLineChars="200"/>
        <w:contextualSpacing/>
        <w:jc w:val="left"/>
        <w:rPr>
          <w:rFonts w:ascii="Times New Roman" w:hAnsi="Times New Roman" w:eastAsia="楷体_GB2312" w:cs="Times New Roman"/>
          <w:b/>
          <w:bCs/>
          <w:color w:val="000000"/>
          <w:kern w:val="0"/>
          <w:sz w:val="32"/>
          <w:szCs w:val="32"/>
          <w:highlight w:val="none"/>
          <w:shd w:val="clear" w:color="auto" w:fill="FFFFFF"/>
          <w:lang w:val="zh-CN"/>
        </w:rPr>
      </w:pPr>
      <w:r>
        <w:rPr>
          <w:rFonts w:ascii="Times New Roman" w:hAnsi="Times New Roman" w:eastAsia="楷体_GB2312" w:cs="Times New Roman"/>
          <w:b/>
          <w:bCs/>
          <w:color w:val="000000"/>
          <w:kern w:val="0"/>
          <w:sz w:val="32"/>
          <w:szCs w:val="32"/>
          <w:highlight w:val="none"/>
          <w:shd w:val="clear" w:color="auto" w:fill="FFFFFF"/>
        </w:rPr>
        <w:t>5.</w:t>
      </w:r>
      <w:r>
        <w:rPr>
          <w:rFonts w:ascii="Times New Roman" w:hAnsi="Times New Roman" w:eastAsia="楷体_GB2312" w:cs="Times New Roman"/>
          <w:b/>
          <w:bCs/>
          <w:color w:val="000000"/>
          <w:kern w:val="0"/>
          <w:sz w:val="32"/>
          <w:szCs w:val="32"/>
          <w:highlight w:val="none"/>
          <w:shd w:val="clear" w:color="auto" w:fill="FFFFFF"/>
          <w:lang w:val="zh-CN"/>
        </w:rPr>
        <w:t>采购管理</w:t>
      </w:r>
    </w:p>
    <w:p w14:paraId="51FD40F0">
      <w:pPr>
        <w:adjustRightInd w:val="0"/>
        <w:snapToGrid w:val="0"/>
        <w:spacing w:line="578" w:lineRule="exact"/>
        <w:ind w:firstLine="640" w:firstLineChars="200"/>
        <w:contextualSpacing/>
        <w:jc w:val="left"/>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rPr>
        <w:t>采购执行率实际完</w:t>
      </w:r>
      <w:r>
        <w:rPr>
          <w:rFonts w:hint="eastAsia" w:ascii="Times New Roman" w:hAnsi="Times New Roman" w:eastAsia="仿宋_GB2312" w:cs="Times New Roman"/>
          <w:color w:val="auto"/>
          <w:sz w:val="32"/>
        </w:rPr>
        <w:t>成值为80.89%，高于控制值80.75%，且优于三年均值及2023 - 2025年参考值。政府采购程序合规性落</w:t>
      </w:r>
      <w:r>
        <w:rPr>
          <w:rFonts w:hint="eastAsia" w:ascii="Times New Roman" w:hAnsi="Times New Roman" w:eastAsia="仿宋_GB2312" w:cs="Times New Roman"/>
          <w:sz w:val="32"/>
        </w:rPr>
        <w:t>实到位，采购计划执行率达标，采购工作的规范性、高效性良好，有效保障了单位物资、服务采购需求的顺利落地</w:t>
      </w:r>
      <w:r>
        <w:rPr>
          <w:rFonts w:hint="eastAsia" w:ascii="Times New Roman" w:hAnsi="Times New Roman" w:eastAsia="仿宋_GB2312" w:cs="Times New Roman"/>
          <w:sz w:val="32"/>
          <w:lang w:eastAsia="zh-CN"/>
        </w:rPr>
        <w:t>。</w:t>
      </w:r>
    </w:p>
    <w:p w14:paraId="35B2432D">
      <w:pPr>
        <w:widowControl/>
        <w:adjustRightInd w:val="0"/>
        <w:snapToGrid w:val="0"/>
        <w:spacing w:line="578" w:lineRule="exact"/>
        <w:ind w:firstLine="643" w:firstLineChars="200"/>
        <w:contextualSpacing/>
        <w:jc w:val="left"/>
        <w:rPr>
          <w:rFonts w:ascii="Times New Roman" w:hAnsi="Times New Roman" w:eastAsia="仿宋_GB2312" w:cs="Times New Roman"/>
          <w:color w:val="000000"/>
          <w:kern w:val="0"/>
          <w:sz w:val="32"/>
          <w:szCs w:val="32"/>
          <w:highlight w:val="none"/>
          <w:shd w:val="clear" w:color="auto" w:fill="FFFFFF"/>
        </w:rPr>
      </w:pPr>
      <w:r>
        <w:rPr>
          <w:rFonts w:ascii="Times New Roman" w:hAnsi="Times New Roman" w:eastAsia="楷体_GB2312" w:cs="Times New Roman"/>
          <w:b/>
          <w:bCs/>
          <w:color w:val="000000"/>
          <w:kern w:val="0"/>
          <w:sz w:val="32"/>
          <w:szCs w:val="32"/>
          <w:shd w:val="clear" w:color="auto" w:fill="FFFFFF"/>
          <w:lang w:val="zh-CN"/>
        </w:rPr>
        <w:t>（二</w:t>
      </w:r>
      <w:r>
        <w:rPr>
          <w:rFonts w:ascii="Times New Roman" w:hAnsi="Times New Roman" w:eastAsia="楷体_GB2312" w:cs="Times New Roman"/>
          <w:b/>
          <w:bCs/>
          <w:color w:val="000000"/>
          <w:kern w:val="0"/>
          <w:sz w:val="32"/>
          <w:szCs w:val="32"/>
          <w:highlight w:val="none"/>
          <w:shd w:val="clear" w:color="auto" w:fill="FFFFFF"/>
          <w:lang w:val="zh-CN"/>
        </w:rPr>
        <w:t>）</w:t>
      </w:r>
      <w:r>
        <w:rPr>
          <w:rFonts w:ascii="Times New Roman" w:hAnsi="Times New Roman" w:eastAsia="楷体_GB2312" w:cs="Times New Roman"/>
          <w:b/>
          <w:bCs/>
          <w:color w:val="auto"/>
          <w:kern w:val="0"/>
          <w:sz w:val="32"/>
          <w:szCs w:val="32"/>
          <w:highlight w:val="none"/>
          <w:shd w:val="clear" w:color="auto" w:fill="FFFFFF"/>
          <w:lang w:val="zh-CN"/>
        </w:rPr>
        <w:t>部门预算项目绩效分析</w:t>
      </w:r>
    </w:p>
    <w:p w14:paraId="1FAEA2A6">
      <w:pPr>
        <w:adjustRightInd w:val="0"/>
        <w:snapToGrid w:val="0"/>
        <w:spacing w:line="578" w:lineRule="exact"/>
        <w:ind w:firstLine="640" w:firstLineChars="200"/>
        <w:contextualSpacing/>
        <w:jc w:val="left"/>
        <w:rPr>
          <w:rFonts w:ascii="Times New Roman" w:hAnsi="Times New Roman" w:eastAsia="仿宋_GB2312" w:cs="Times New Roman"/>
          <w:color w:val="000000"/>
          <w:kern w:val="0"/>
          <w:sz w:val="32"/>
          <w:szCs w:val="32"/>
          <w:highlight w:val="none"/>
          <w:shd w:val="clear" w:color="auto" w:fill="FFFFFF"/>
          <w:lang w:val="zh-CN"/>
        </w:rPr>
      </w:pPr>
      <w:r>
        <w:rPr>
          <w:rFonts w:ascii="Times New Roman" w:hAnsi="Times New Roman" w:eastAsia="仿宋_GB2312" w:cs="Times New Roman"/>
          <w:color w:val="000000"/>
          <w:kern w:val="0"/>
          <w:sz w:val="32"/>
          <w:szCs w:val="32"/>
          <w:highlight w:val="none"/>
          <w:shd w:val="clear" w:color="auto" w:fill="FFFFFF"/>
        </w:rPr>
        <w:t>常年项目绩效分析</w:t>
      </w:r>
      <w:r>
        <w:rPr>
          <w:rFonts w:hint="eastAsia" w:ascii="Times New Roman" w:hAnsi="Times New Roman" w:eastAsia="仿宋_GB2312" w:cs="Times New Roman"/>
          <w:color w:val="000000"/>
          <w:kern w:val="0"/>
          <w:sz w:val="32"/>
          <w:szCs w:val="32"/>
          <w:highlight w:val="none"/>
          <w:shd w:val="clear" w:color="auto" w:fill="FFFFFF"/>
          <w:lang w:eastAsia="zh-CN"/>
        </w:rPr>
        <w:t>：</w:t>
      </w:r>
      <w:r>
        <w:rPr>
          <w:rFonts w:ascii="Times New Roman" w:hAnsi="Times New Roman" w:eastAsia="仿宋_GB2312" w:cs="Times New Roman"/>
          <w:color w:val="000000"/>
          <w:kern w:val="0"/>
          <w:sz w:val="32"/>
          <w:szCs w:val="32"/>
          <w:highlight w:val="none"/>
          <w:shd w:val="clear" w:color="auto" w:fill="FFFFFF"/>
          <w:lang w:val="zh-CN"/>
        </w:rPr>
        <w:t>该类项目总数</w:t>
      </w:r>
      <w:r>
        <w:rPr>
          <w:rFonts w:hint="eastAsia" w:ascii="Times New Roman" w:hAnsi="Times New Roman" w:eastAsia="仿宋_GB2312" w:cs="Times New Roman"/>
          <w:color w:val="000000"/>
          <w:kern w:val="0"/>
          <w:sz w:val="32"/>
          <w:szCs w:val="32"/>
          <w:highlight w:val="none"/>
          <w:shd w:val="clear" w:color="auto" w:fill="FFFFFF"/>
          <w:lang w:val="en-US" w:eastAsia="zh-CN"/>
        </w:rPr>
        <w:t>15</w:t>
      </w:r>
      <w:r>
        <w:rPr>
          <w:rFonts w:ascii="Times New Roman" w:hAnsi="Times New Roman" w:eastAsia="仿宋_GB2312" w:cs="Times New Roman"/>
          <w:color w:val="000000"/>
          <w:kern w:val="0"/>
          <w:sz w:val="32"/>
          <w:szCs w:val="32"/>
          <w:highlight w:val="none"/>
          <w:shd w:val="clear" w:color="auto" w:fill="FFFFFF"/>
          <w:lang w:val="zh-CN"/>
        </w:rPr>
        <w:t>个，涉及预算总金额</w:t>
      </w:r>
      <w:r>
        <w:rPr>
          <w:rFonts w:hint="eastAsia" w:ascii="Times New Roman" w:hAnsi="Times New Roman" w:eastAsia="仿宋_GB2312" w:cs="Times New Roman"/>
          <w:color w:val="000000"/>
          <w:kern w:val="0"/>
          <w:sz w:val="32"/>
          <w:szCs w:val="32"/>
          <w:highlight w:val="none"/>
          <w:shd w:val="clear" w:color="auto" w:fill="FFFFFF"/>
          <w:lang w:val="en-US" w:eastAsia="zh-CN"/>
        </w:rPr>
        <w:t>301.11</w:t>
      </w:r>
      <w:r>
        <w:rPr>
          <w:rFonts w:ascii="Times New Roman" w:hAnsi="Times New Roman" w:eastAsia="仿宋_GB2312" w:cs="Times New Roman"/>
          <w:color w:val="000000"/>
          <w:kern w:val="0"/>
          <w:sz w:val="32"/>
          <w:szCs w:val="32"/>
          <w:highlight w:val="none"/>
          <w:shd w:val="clear" w:color="auto" w:fill="FFFFFF"/>
          <w:lang w:val="zh-CN"/>
        </w:rPr>
        <w:t>万元，1</w:t>
      </w:r>
      <w:r>
        <w:rPr>
          <w:rFonts w:hint="eastAsia" w:ascii="Times New Roman" w:hAnsi="Times New Roman" w:eastAsia="仿宋_GB2312" w:cs="Times New Roman"/>
          <w:color w:val="000000"/>
          <w:kern w:val="0"/>
          <w:sz w:val="32"/>
          <w:szCs w:val="32"/>
          <w:highlight w:val="none"/>
          <w:shd w:val="clear" w:color="auto" w:fill="FFFFFF"/>
          <w:lang w:val="zh-CN"/>
        </w:rPr>
        <w:t>—</w:t>
      </w:r>
      <w:r>
        <w:rPr>
          <w:rFonts w:ascii="Times New Roman" w:hAnsi="Times New Roman" w:eastAsia="仿宋_GB2312" w:cs="Times New Roman"/>
          <w:color w:val="000000"/>
          <w:kern w:val="0"/>
          <w:sz w:val="32"/>
          <w:szCs w:val="32"/>
          <w:highlight w:val="none"/>
          <w:shd w:val="clear" w:color="auto" w:fill="FFFFFF"/>
          <w:lang w:val="zh-CN"/>
        </w:rPr>
        <w:t>1</w:t>
      </w:r>
      <w:r>
        <w:rPr>
          <w:rFonts w:ascii="Times New Roman" w:hAnsi="Times New Roman" w:eastAsia="仿宋_GB2312" w:cs="Times New Roman"/>
          <w:color w:val="000000"/>
          <w:kern w:val="0"/>
          <w:sz w:val="32"/>
          <w:szCs w:val="32"/>
          <w:highlight w:val="none"/>
          <w:shd w:val="clear" w:color="auto" w:fill="FFFFFF"/>
        </w:rPr>
        <w:t>2</w:t>
      </w:r>
      <w:r>
        <w:rPr>
          <w:rFonts w:ascii="Times New Roman" w:hAnsi="Times New Roman" w:eastAsia="仿宋_GB2312" w:cs="Times New Roman"/>
          <w:color w:val="000000"/>
          <w:kern w:val="0"/>
          <w:sz w:val="32"/>
          <w:szCs w:val="32"/>
          <w:highlight w:val="none"/>
          <w:shd w:val="clear" w:color="auto" w:fill="FFFFFF"/>
          <w:lang w:val="zh-CN"/>
        </w:rPr>
        <w:t>月预算执行总体进度为</w:t>
      </w:r>
      <w:r>
        <w:rPr>
          <w:rFonts w:hint="eastAsia" w:ascii="Times New Roman" w:hAnsi="Times New Roman" w:eastAsia="仿宋_GB2312" w:cs="Times New Roman"/>
          <w:color w:val="000000"/>
          <w:kern w:val="0"/>
          <w:sz w:val="32"/>
          <w:szCs w:val="32"/>
          <w:highlight w:val="none"/>
          <w:shd w:val="clear" w:color="auto" w:fill="FFFFFF"/>
          <w:lang w:val="en-US" w:eastAsia="zh-CN"/>
        </w:rPr>
        <w:t>83.91</w:t>
      </w:r>
      <w:r>
        <w:rPr>
          <w:rFonts w:ascii="Times New Roman" w:hAnsi="Times New Roman" w:eastAsia="仿宋_GB2312" w:cs="Times New Roman"/>
          <w:color w:val="000000"/>
          <w:kern w:val="0"/>
          <w:sz w:val="32"/>
          <w:szCs w:val="32"/>
          <w:highlight w:val="none"/>
          <w:shd w:val="clear" w:color="auto" w:fill="FFFFFF"/>
          <w:lang w:val="zh-CN"/>
        </w:rPr>
        <w:t>%，其中：预算结余率大于</w:t>
      </w:r>
      <w:r>
        <w:rPr>
          <w:rFonts w:ascii="Times New Roman" w:hAnsi="Times New Roman" w:eastAsia="仿宋_GB2312" w:cs="Times New Roman"/>
          <w:color w:val="000000"/>
          <w:kern w:val="0"/>
          <w:sz w:val="32"/>
          <w:szCs w:val="32"/>
          <w:highlight w:val="none"/>
          <w:shd w:val="clear" w:color="auto" w:fill="FFFFFF"/>
        </w:rPr>
        <w:t>10%</w:t>
      </w:r>
      <w:r>
        <w:rPr>
          <w:rFonts w:ascii="Times New Roman" w:hAnsi="Times New Roman" w:eastAsia="仿宋_GB2312" w:cs="Times New Roman"/>
          <w:color w:val="000000"/>
          <w:kern w:val="0"/>
          <w:sz w:val="32"/>
          <w:szCs w:val="32"/>
          <w:highlight w:val="none"/>
          <w:shd w:val="clear" w:color="auto" w:fill="FFFFFF"/>
          <w:lang w:val="zh-CN"/>
        </w:rPr>
        <w:t>的项目共计</w:t>
      </w:r>
      <w:r>
        <w:rPr>
          <w:rFonts w:hint="eastAsia" w:ascii="Times New Roman" w:hAnsi="Times New Roman" w:eastAsia="仿宋_GB2312" w:cs="Times New Roman"/>
          <w:color w:val="000000"/>
          <w:kern w:val="0"/>
          <w:sz w:val="32"/>
          <w:szCs w:val="32"/>
          <w:highlight w:val="none"/>
          <w:shd w:val="clear" w:color="auto" w:fill="FFFFFF"/>
          <w:lang w:val="en-US" w:eastAsia="zh-CN"/>
        </w:rPr>
        <w:t>2</w:t>
      </w:r>
      <w:r>
        <w:rPr>
          <w:rFonts w:ascii="Times New Roman" w:hAnsi="Times New Roman" w:eastAsia="仿宋_GB2312" w:cs="Times New Roman"/>
          <w:color w:val="000000"/>
          <w:kern w:val="0"/>
          <w:sz w:val="32"/>
          <w:szCs w:val="32"/>
          <w:highlight w:val="none"/>
          <w:shd w:val="clear" w:color="auto" w:fill="FFFFFF"/>
          <w:lang w:val="zh-CN"/>
        </w:rPr>
        <w:t>个。</w:t>
      </w:r>
    </w:p>
    <w:p w14:paraId="3DCCDD01">
      <w:pPr>
        <w:adjustRightInd w:val="0"/>
        <w:snapToGrid w:val="0"/>
        <w:spacing w:line="578" w:lineRule="exact"/>
        <w:ind w:firstLine="640" w:firstLineChars="200"/>
        <w:contextualSpacing/>
        <w:jc w:val="left"/>
        <w:rPr>
          <w:rFonts w:ascii="Times New Roman" w:hAnsi="Times New Roman" w:eastAsia="仿宋_GB2312" w:cs="Times New Roman"/>
          <w:color w:val="000000"/>
          <w:kern w:val="0"/>
          <w:sz w:val="32"/>
          <w:szCs w:val="32"/>
          <w:shd w:val="clear" w:color="auto" w:fill="FFFFFF"/>
          <w:lang w:val="zh-CN"/>
        </w:rPr>
      </w:pPr>
      <w:r>
        <w:rPr>
          <w:rFonts w:ascii="Times New Roman" w:hAnsi="Times New Roman" w:eastAsia="仿宋_GB2312" w:cs="Times New Roman"/>
          <w:color w:val="000000"/>
          <w:kern w:val="0"/>
          <w:sz w:val="32"/>
          <w:szCs w:val="32"/>
          <w:highlight w:val="none"/>
          <w:shd w:val="clear" w:color="auto" w:fill="FFFFFF"/>
        </w:rPr>
        <w:t>阶段（</w:t>
      </w:r>
      <w:r>
        <w:rPr>
          <w:rFonts w:hint="eastAsia" w:ascii="Times New Roman" w:hAnsi="Times New Roman" w:eastAsia="仿宋_GB2312" w:cs="Times New Roman"/>
          <w:color w:val="000000"/>
          <w:kern w:val="0"/>
          <w:sz w:val="32"/>
          <w:szCs w:val="32"/>
          <w:highlight w:val="none"/>
          <w:shd w:val="clear" w:color="auto" w:fill="FFFFFF"/>
        </w:rPr>
        <w:t>含</w:t>
      </w:r>
      <w:r>
        <w:rPr>
          <w:rFonts w:ascii="Times New Roman" w:hAnsi="Times New Roman" w:eastAsia="仿宋_GB2312" w:cs="Times New Roman"/>
          <w:color w:val="000000"/>
          <w:kern w:val="0"/>
          <w:sz w:val="32"/>
          <w:szCs w:val="32"/>
          <w:highlight w:val="none"/>
          <w:shd w:val="clear" w:color="auto" w:fill="FFFFFF"/>
        </w:rPr>
        <w:t>一次性）项目绩效分析</w:t>
      </w:r>
      <w:r>
        <w:rPr>
          <w:rFonts w:hint="eastAsia" w:ascii="Times New Roman" w:hAnsi="Times New Roman" w:eastAsia="仿宋_GB2312" w:cs="Times New Roman"/>
          <w:color w:val="000000"/>
          <w:kern w:val="0"/>
          <w:sz w:val="32"/>
          <w:szCs w:val="32"/>
          <w:highlight w:val="none"/>
          <w:shd w:val="clear" w:color="auto" w:fill="FFFFFF"/>
          <w:lang w:eastAsia="zh-CN"/>
        </w:rPr>
        <w:t>：</w:t>
      </w:r>
      <w:r>
        <w:rPr>
          <w:rFonts w:ascii="Times New Roman" w:hAnsi="Times New Roman" w:eastAsia="仿宋_GB2312" w:cs="Times New Roman"/>
          <w:color w:val="000000"/>
          <w:kern w:val="0"/>
          <w:sz w:val="32"/>
          <w:szCs w:val="32"/>
          <w:highlight w:val="none"/>
          <w:shd w:val="clear" w:color="auto" w:fill="FFFFFF"/>
          <w:lang w:val="zh-CN"/>
        </w:rPr>
        <w:t>该类项目总数</w:t>
      </w:r>
      <w:r>
        <w:rPr>
          <w:rFonts w:hint="eastAsia" w:ascii="Times New Roman" w:hAnsi="Times New Roman" w:eastAsia="仿宋_GB2312" w:cs="Times New Roman"/>
          <w:color w:val="000000"/>
          <w:kern w:val="0"/>
          <w:sz w:val="32"/>
          <w:szCs w:val="32"/>
          <w:highlight w:val="none"/>
          <w:shd w:val="clear" w:color="auto" w:fill="FFFFFF"/>
          <w:lang w:val="en-US" w:eastAsia="zh-CN"/>
        </w:rPr>
        <w:t>17</w:t>
      </w:r>
      <w:r>
        <w:rPr>
          <w:rFonts w:ascii="Times New Roman" w:hAnsi="Times New Roman" w:eastAsia="仿宋_GB2312" w:cs="Times New Roman"/>
          <w:color w:val="000000"/>
          <w:kern w:val="0"/>
          <w:sz w:val="32"/>
          <w:szCs w:val="32"/>
          <w:highlight w:val="none"/>
          <w:shd w:val="clear" w:color="auto" w:fill="FFFFFF"/>
          <w:lang w:val="zh-CN"/>
        </w:rPr>
        <w:t>个，涉及预算总金额</w:t>
      </w:r>
      <w:r>
        <w:rPr>
          <w:rFonts w:hint="eastAsia" w:ascii="Times New Roman" w:hAnsi="Times New Roman" w:eastAsia="仿宋_GB2312" w:cs="Times New Roman"/>
          <w:color w:val="000000"/>
          <w:kern w:val="0"/>
          <w:sz w:val="32"/>
          <w:szCs w:val="32"/>
          <w:highlight w:val="none"/>
          <w:shd w:val="clear" w:color="auto" w:fill="FFFFFF"/>
          <w:lang w:val="zh-CN"/>
        </w:rPr>
        <w:t>5675.03</w:t>
      </w:r>
      <w:r>
        <w:rPr>
          <w:rFonts w:ascii="Times New Roman" w:hAnsi="Times New Roman" w:eastAsia="仿宋_GB2312" w:cs="Times New Roman"/>
          <w:color w:val="000000"/>
          <w:kern w:val="0"/>
          <w:sz w:val="32"/>
          <w:szCs w:val="32"/>
          <w:highlight w:val="none"/>
          <w:shd w:val="clear" w:color="auto" w:fill="FFFFFF"/>
          <w:lang w:val="zh-CN"/>
        </w:rPr>
        <w:t>万元，1</w:t>
      </w:r>
      <w:r>
        <w:rPr>
          <w:rFonts w:hint="eastAsia" w:ascii="Times New Roman" w:hAnsi="Times New Roman" w:eastAsia="仿宋_GB2312" w:cs="Times New Roman"/>
          <w:color w:val="000000"/>
          <w:kern w:val="0"/>
          <w:sz w:val="32"/>
          <w:szCs w:val="32"/>
          <w:shd w:val="clear" w:color="auto" w:fill="FFFFFF"/>
          <w:lang w:val="zh-CN"/>
        </w:rPr>
        <w:t>—</w:t>
      </w:r>
      <w:r>
        <w:rPr>
          <w:rFonts w:ascii="Times New Roman" w:hAnsi="Times New Roman" w:eastAsia="仿宋_GB2312" w:cs="Times New Roman"/>
          <w:color w:val="000000"/>
          <w:kern w:val="0"/>
          <w:sz w:val="32"/>
          <w:szCs w:val="32"/>
          <w:shd w:val="clear" w:color="auto" w:fill="FFFFFF"/>
          <w:lang w:val="zh-CN"/>
        </w:rPr>
        <w:t>1</w:t>
      </w:r>
      <w:r>
        <w:rPr>
          <w:rFonts w:ascii="Times New Roman" w:hAnsi="Times New Roman" w:eastAsia="仿宋_GB2312" w:cs="Times New Roman"/>
          <w:color w:val="000000"/>
          <w:kern w:val="0"/>
          <w:sz w:val="32"/>
          <w:szCs w:val="32"/>
          <w:shd w:val="clear" w:color="auto" w:fill="FFFFFF"/>
        </w:rPr>
        <w:t>2</w:t>
      </w:r>
      <w:r>
        <w:rPr>
          <w:rFonts w:ascii="Times New Roman" w:hAnsi="Times New Roman" w:eastAsia="仿宋_GB2312" w:cs="Times New Roman"/>
          <w:color w:val="000000"/>
          <w:kern w:val="0"/>
          <w:sz w:val="32"/>
          <w:szCs w:val="32"/>
          <w:shd w:val="clear" w:color="auto" w:fill="FFFFFF"/>
          <w:lang w:val="zh-CN"/>
        </w:rPr>
        <w:t>月预算执行总体进度为</w:t>
      </w:r>
      <w:r>
        <w:rPr>
          <w:rFonts w:hint="eastAsia" w:ascii="Times New Roman" w:hAnsi="Times New Roman" w:eastAsia="仿宋_GB2312" w:cs="Times New Roman"/>
          <w:color w:val="000000"/>
          <w:kern w:val="0"/>
          <w:sz w:val="32"/>
          <w:szCs w:val="32"/>
          <w:shd w:val="clear" w:color="auto" w:fill="FFFFFF"/>
          <w:lang w:val="en-US" w:eastAsia="zh-CN"/>
        </w:rPr>
        <w:t>98.72</w:t>
      </w:r>
      <w:r>
        <w:rPr>
          <w:rFonts w:ascii="Times New Roman" w:hAnsi="Times New Roman" w:eastAsia="仿宋_GB2312" w:cs="Times New Roman"/>
          <w:color w:val="000000"/>
          <w:kern w:val="0"/>
          <w:sz w:val="32"/>
          <w:szCs w:val="32"/>
          <w:shd w:val="clear" w:color="auto" w:fill="FFFFFF"/>
          <w:lang w:val="zh-CN"/>
        </w:rPr>
        <w:t>%，其中：预算结余率大于</w:t>
      </w:r>
      <w:r>
        <w:rPr>
          <w:rFonts w:ascii="Times New Roman" w:hAnsi="Times New Roman" w:eastAsia="仿宋_GB2312" w:cs="Times New Roman"/>
          <w:color w:val="000000"/>
          <w:kern w:val="0"/>
          <w:sz w:val="32"/>
          <w:szCs w:val="32"/>
          <w:shd w:val="clear" w:color="auto" w:fill="FFFFFF"/>
        </w:rPr>
        <w:t>10%</w:t>
      </w:r>
      <w:r>
        <w:rPr>
          <w:rFonts w:ascii="Times New Roman" w:hAnsi="Times New Roman" w:eastAsia="仿宋_GB2312" w:cs="Times New Roman"/>
          <w:color w:val="000000"/>
          <w:kern w:val="0"/>
          <w:sz w:val="32"/>
          <w:szCs w:val="32"/>
          <w:shd w:val="clear" w:color="auto" w:fill="FFFFFF"/>
          <w:lang w:val="zh-CN"/>
        </w:rPr>
        <w:t>的项目共计</w:t>
      </w:r>
      <w:r>
        <w:rPr>
          <w:rFonts w:hint="eastAsia" w:ascii="Times New Roman" w:hAnsi="Times New Roman" w:eastAsia="仿宋_GB2312" w:cs="Times New Roman"/>
          <w:color w:val="000000"/>
          <w:kern w:val="0"/>
          <w:sz w:val="32"/>
          <w:szCs w:val="32"/>
          <w:shd w:val="clear" w:color="auto" w:fill="FFFFFF"/>
          <w:lang w:val="en-US" w:eastAsia="zh-CN"/>
        </w:rPr>
        <w:t>1</w:t>
      </w:r>
      <w:r>
        <w:rPr>
          <w:rFonts w:ascii="Times New Roman" w:hAnsi="Times New Roman" w:eastAsia="仿宋_GB2312" w:cs="Times New Roman"/>
          <w:color w:val="000000"/>
          <w:kern w:val="0"/>
          <w:sz w:val="32"/>
          <w:szCs w:val="32"/>
          <w:shd w:val="clear" w:color="auto" w:fill="FFFFFF"/>
          <w:lang w:val="zh-CN"/>
        </w:rPr>
        <w:t>个。</w:t>
      </w:r>
    </w:p>
    <w:p w14:paraId="54A00675">
      <w:pPr>
        <w:keepNext w:val="0"/>
        <w:keepLines w:val="0"/>
        <w:pageBreakBefore w:val="0"/>
        <w:widowControl w:val="0"/>
        <w:kinsoku/>
        <w:wordWrap/>
        <w:overflowPunct/>
        <w:topLinePunct w:val="0"/>
        <w:autoSpaceDE/>
        <w:autoSpaceDN/>
        <w:bidi w:val="0"/>
        <w:adjustRightInd w:val="0"/>
        <w:snapToGrid w:val="0"/>
        <w:spacing w:line="578" w:lineRule="exact"/>
        <w:ind w:firstLine="643" w:firstLineChars="200"/>
        <w:contextualSpacing/>
        <w:jc w:val="left"/>
        <w:textAlignment w:val="auto"/>
        <w:rPr>
          <w:rFonts w:ascii="Times New Roman" w:hAnsi="Times New Roman" w:eastAsia="楷体_GB2312" w:cs="Times New Roman"/>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rPr>
        <w:t>1.</w:t>
      </w:r>
      <w:r>
        <w:rPr>
          <w:rFonts w:ascii="Times New Roman" w:hAnsi="Times New Roman" w:eastAsia="楷体_GB2312" w:cs="Times New Roman"/>
          <w:b/>
          <w:bCs/>
          <w:color w:val="000000"/>
          <w:kern w:val="0"/>
          <w:sz w:val="32"/>
          <w:szCs w:val="32"/>
          <w:shd w:val="clear" w:color="auto" w:fill="FFFFFF"/>
          <w:lang w:val="zh-CN"/>
        </w:rPr>
        <w:t>项目决策</w:t>
      </w:r>
    </w:p>
    <w:p w14:paraId="093F88A9">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Times New Roman" w:hAnsi="Times New Roman" w:eastAsia="仿宋_GB2312" w:cs="Times New Roman"/>
          <w:color w:val="000000"/>
          <w:kern w:val="0"/>
          <w:sz w:val="32"/>
          <w:szCs w:val="32"/>
          <w:shd w:val="clear" w:color="auto" w:fill="FFFFFF"/>
          <w:lang w:val="zh-CN" w:eastAsia="zh-CN"/>
        </w:rPr>
      </w:pPr>
      <w:r>
        <w:rPr>
          <w:rFonts w:hint="eastAsia" w:ascii="Times New Roman" w:hAnsi="Times New Roman" w:eastAsia="仿宋_GB2312" w:cs="Times New Roman"/>
          <w:color w:val="000000"/>
          <w:kern w:val="0"/>
          <w:sz w:val="32"/>
          <w:szCs w:val="32"/>
          <w:shd w:val="clear" w:color="auto" w:fill="FFFFFF"/>
          <w:lang w:val="zh-CN" w:eastAsia="zh-CN"/>
        </w:rPr>
        <w:t>本单位各项目</w:t>
      </w:r>
      <w:r>
        <w:rPr>
          <w:rFonts w:hint="eastAsia" w:ascii="Times New Roman" w:hAnsi="Times New Roman" w:eastAsia="仿宋_GB2312" w:cs="Times New Roman"/>
          <w:color w:val="000000"/>
          <w:kern w:val="0"/>
          <w:sz w:val="32"/>
          <w:szCs w:val="32"/>
          <w:shd w:val="clear" w:color="auto" w:fill="FFFFFF"/>
          <w:lang w:val="en-US" w:eastAsia="zh-CN"/>
        </w:rPr>
        <w:t>开展均有相关文件支撑，严格按照单位内控管理制度要求进行</w:t>
      </w:r>
      <w:r>
        <w:rPr>
          <w:rFonts w:hint="eastAsia" w:ascii="Times New Roman" w:hAnsi="Times New Roman" w:eastAsia="仿宋_GB2312" w:cs="Times New Roman"/>
          <w:color w:val="000000"/>
          <w:kern w:val="0"/>
          <w:sz w:val="32"/>
          <w:szCs w:val="32"/>
          <w:shd w:val="clear" w:color="auto" w:fill="FFFFFF"/>
          <w:lang w:val="zh-CN" w:eastAsia="zh-CN"/>
        </w:rPr>
        <w:t>集体决策。紧扣地灾防治、国土空间规划、矿产资源管理、生态修复、调查确权等核心职能，在充分调研论证、广泛征求意见的基础上，科学设定可量化、可考核的</w:t>
      </w:r>
      <w:r>
        <w:rPr>
          <w:rFonts w:hint="eastAsia" w:ascii="Times New Roman" w:hAnsi="Times New Roman" w:eastAsia="仿宋_GB2312" w:cs="Times New Roman"/>
          <w:color w:val="000000"/>
          <w:kern w:val="0"/>
          <w:sz w:val="32"/>
          <w:szCs w:val="32"/>
          <w:shd w:val="clear" w:color="auto" w:fill="FFFFFF"/>
          <w:lang w:val="en-US" w:eastAsia="zh-CN"/>
        </w:rPr>
        <w:t>项目</w:t>
      </w:r>
      <w:r>
        <w:rPr>
          <w:rFonts w:hint="eastAsia" w:ascii="Times New Roman" w:hAnsi="Times New Roman" w:eastAsia="仿宋_GB2312" w:cs="Times New Roman"/>
          <w:color w:val="000000"/>
          <w:kern w:val="0"/>
          <w:sz w:val="32"/>
          <w:szCs w:val="32"/>
          <w:shd w:val="clear" w:color="auto" w:fill="FFFFFF"/>
          <w:lang w:val="zh-CN" w:eastAsia="zh-CN"/>
        </w:rPr>
        <w:t>绩效目标，确保</w:t>
      </w:r>
      <w:r>
        <w:rPr>
          <w:rFonts w:hint="eastAsia" w:ascii="Times New Roman" w:hAnsi="Times New Roman" w:eastAsia="仿宋_GB2312" w:cs="Times New Roman"/>
          <w:color w:val="000000"/>
          <w:kern w:val="0"/>
          <w:sz w:val="32"/>
          <w:szCs w:val="32"/>
          <w:shd w:val="clear" w:color="auto" w:fill="FFFFFF"/>
          <w:lang w:val="en-US" w:eastAsia="zh-CN"/>
        </w:rPr>
        <w:t>项目</w:t>
      </w:r>
      <w:r>
        <w:rPr>
          <w:rFonts w:hint="eastAsia" w:ascii="Times New Roman" w:hAnsi="Times New Roman" w:eastAsia="仿宋_GB2312" w:cs="Times New Roman"/>
          <w:color w:val="000000"/>
          <w:kern w:val="0"/>
          <w:sz w:val="32"/>
          <w:szCs w:val="32"/>
          <w:shd w:val="clear" w:color="auto" w:fill="FFFFFF"/>
          <w:lang w:val="zh-CN" w:eastAsia="zh-CN"/>
        </w:rPr>
        <w:t>目标与</w:t>
      </w:r>
      <w:r>
        <w:rPr>
          <w:rFonts w:hint="eastAsia" w:ascii="Times New Roman" w:hAnsi="Times New Roman" w:eastAsia="仿宋_GB2312" w:cs="Times New Roman"/>
          <w:color w:val="000000"/>
          <w:kern w:val="0"/>
          <w:sz w:val="32"/>
          <w:szCs w:val="32"/>
          <w:shd w:val="clear" w:color="auto" w:fill="FFFFFF"/>
          <w:lang w:val="en-US" w:eastAsia="zh-CN"/>
        </w:rPr>
        <w:t>中省</w:t>
      </w:r>
      <w:r>
        <w:rPr>
          <w:rFonts w:hint="eastAsia" w:ascii="Times New Roman" w:hAnsi="Times New Roman" w:eastAsia="仿宋_GB2312" w:cs="Times New Roman"/>
          <w:color w:val="000000"/>
          <w:kern w:val="0"/>
          <w:sz w:val="32"/>
          <w:szCs w:val="32"/>
          <w:shd w:val="clear" w:color="auto" w:fill="FFFFFF"/>
          <w:lang w:val="zh-CN" w:eastAsia="zh-CN"/>
        </w:rPr>
        <w:t>自然资源工作重点、</w:t>
      </w:r>
      <w:r>
        <w:rPr>
          <w:rFonts w:hint="eastAsia" w:ascii="Times New Roman" w:hAnsi="Times New Roman" w:eastAsia="仿宋_GB2312" w:cs="Times New Roman"/>
          <w:color w:val="000000"/>
          <w:kern w:val="0"/>
          <w:sz w:val="32"/>
          <w:szCs w:val="32"/>
          <w:shd w:val="clear" w:color="auto" w:fill="FFFFFF"/>
          <w:lang w:val="en-US" w:eastAsia="zh-CN"/>
        </w:rPr>
        <w:t>我州实际情况</w:t>
      </w:r>
      <w:r>
        <w:rPr>
          <w:rFonts w:hint="eastAsia" w:ascii="Times New Roman" w:hAnsi="Times New Roman" w:eastAsia="仿宋_GB2312" w:cs="Times New Roman"/>
          <w:color w:val="000000"/>
          <w:kern w:val="0"/>
          <w:sz w:val="32"/>
          <w:szCs w:val="32"/>
          <w:shd w:val="clear" w:color="auto" w:fill="FFFFFF"/>
          <w:lang w:val="zh-CN" w:eastAsia="zh-CN"/>
        </w:rPr>
        <w:t>高度契合。所有项目均</w:t>
      </w:r>
      <w:r>
        <w:rPr>
          <w:rFonts w:hint="eastAsia" w:ascii="Times New Roman" w:hAnsi="Times New Roman" w:eastAsia="仿宋_GB2312" w:cs="Times New Roman"/>
          <w:color w:val="000000"/>
          <w:kern w:val="0"/>
          <w:sz w:val="32"/>
          <w:szCs w:val="32"/>
          <w:shd w:val="clear" w:color="auto" w:fill="FFFFFF"/>
          <w:lang w:val="en-US" w:eastAsia="zh-CN"/>
        </w:rPr>
        <w:t>按照财政对项目预算绩效的编制要求</w:t>
      </w:r>
      <w:r>
        <w:rPr>
          <w:rFonts w:hint="eastAsia" w:ascii="Times New Roman" w:hAnsi="Times New Roman" w:eastAsia="仿宋_GB2312" w:cs="Times New Roman"/>
          <w:color w:val="000000"/>
          <w:kern w:val="0"/>
          <w:sz w:val="32"/>
          <w:szCs w:val="32"/>
          <w:shd w:val="clear" w:color="auto" w:fill="FFFFFF"/>
          <w:lang w:val="zh-CN" w:eastAsia="zh-CN"/>
        </w:rPr>
        <w:t>完成入库，决策流程合规、论证充分、导向精准，从源头上保障了项目实施的科学性与可行性，为后续高效推进奠定了坚实基础。</w:t>
      </w:r>
    </w:p>
    <w:p w14:paraId="175E104E">
      <w:pPr>
        <w:adjustRightInd w:val="0"/>
        <w:snapToGrid w:val="0"/>
        <w:spacing w:line="578" w:lineRule="exact"/>
        <w:ind w:firstLine="643" w:firstLineChars="200"/>
        <w:contextualSpacing/>
        <w:jc w:val="left"/>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rPr>
        <w:t>2.项目执行</w:t>
      </w:r>
    </w:p>
    <w:p w14:paraId="4AE41FD6">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Times New Roman" w:hAnsi="Times New Roman" w:eastAsia="仿宋_GB2312" w:cs="Times New Roman"/>
          <w:color w:val="000000"/>
          <w:kern w:val="0"/>
          <w:sz w:val="32"/>
          <w:szCs w:val="32"/>
          <w:shd w:val="clear" w:color="auto" w:fill="FFFFFF"/>
          <w:lang w:val="zh-CN" w:eastAsia="zh-CN"/>
        </w:rPr>
      </w:pPr>
      <w:r>
        <w:rPr>
          <w:rFonts w:hint="eastAsia" w:ascii="Times New Roman" w:hAnsi="Times New Roman" w:eastAsia="仿宋_GB2312" w:cs="Times New Roman"/>
          <w:color w:val="000000"/>
          <w:kern w:val="0"/>
          <w:sz w:val="32"/>
          <w:szCs w:val="32"/>
          <w:shd w:val="clear" w:color="auto" w:fill="FFFFFF"/>
          <w:lang w:val="zh-CN" w:eastAsia="zh-CN"/>
        </w:rPr>
        <w:t>各项目资金执行与预算安排同向推进，严格遵守财经纪律、国库集中支付管理及项目资金管理办法，未发生超范围支出、违规调整、资金滞留等问题。按</w:t>
      </w:r>
      <w:r>
        <w:rPr>
          <w:rFonts w:hint="eastAsia" w:ascii="Times New Roman" w:hAnsi="Times New Roman" w:eastAsia="仿宋_GB2312" w:cs="Times New Roman"/>
          <w:color w:val="000000"/>
          <w:kern w:val="0"/>
          <w:sz w:val="32"/>
          <w:szCs w:val="32"/>
          <w:shd w:val="clear" w:color="auto" w:fill="FFFFFF"/>
          <w:lang w:val="en-US" w:eastAsia="zh-CN"/>
        </w:rPr>
        <w:t>项目既定</w:t>
      </w:r>
      <w:r>
        <w:rPr>
          <w:rFonts w:hint="eastAsia" w:ascii="Times New Roman" w:hAnsi="Times New Roman" w:eastAsia="仿宋_GB2312" w:cs="Times New Roman"/>
          <w:color w:val="000000"/>
          <w:kern w:val="0"/>
          <w:sz w:val="32"/>
          <w:szCs w:val="32"/>
          <w:shd w:val="clear" w:color="auto" w:fill="FFFFFF"/>
          <w:lang w:val="zh-CN" w:eastAsia="zh-CN"/>
        </w:rPr>
        <w:t>进度高质量完成地灾隐患排查治理、卫片执法监督检查、全民所有自然资源资产清查、规划编制审查、</w:t>
      </w:r>
      <w:r>
        <w:rPr>
          <w:rFonts w:hint="eastAsia" w:ascii="Times New Roman" w:hAnsi="Times New Roman" w:eastAsia="仿宋_GB2312" w:cs="Times New Roman"/>
          <w:color w:val="000000"/>
          <w:kern w:val="0"/>
          <w:sz w:val="32"/>
          <w:szCs w:val="32"/>
          <w:shd w:val="clear" w:color="auto" w:fill="FFFFFF"/>
          <w:lang w:val="en-US" w:eastAsia="zh-CN"/>
        </w:rPr>
        <w:t>矿业权勘查（开采）信息公示</w:t>
      </w:r>
      <w:r>
        <w:rPr>
          <w:rFonts w:hint="eastAsia" w:ascii="Times New Roman" w:hAnsi="Times New Roman" w:eastAsia="仿宋_GB2312" w:cs="Times New Roman"/>
          <w:color w:val="000000"/>
          <w:kern w:val="0"/>
          <w:sz w:val="32"/>
          <w:szCs w:val="32"/>
          <w:shd w:val="clear" w:color="auto" w:fill="FFFFFF"/>
          <w:lang w:val="zh-CN" w:eastAsia="zh-CN"/>
        </w:rPr>
        <w:t>、</w:t>
      </w:r>
      <w:r>
        <w:rPr>
          <w:rFonts w:hint="eastAsia" w:ascii="Times New Roman" w:hAnsi="Times New Roman" w:eastAsia="仿宋_GB2312" w:cs="Times New Roman"/>
          <w:color w:val="000000"/>
          <w:kern w:val="0"/>
          <w:sz w:val="32"/>
          <w:szCs w:val="32"/>
          <w:shd w:val="clear" w:color="auto" w:fill="FFFFFF"/>
          <w:lang w:val="en-US" w:eastAsia="zh-CN"/>
        </w:rPr>
        <w:t>耕地保护、</w:t>
      </w:r>
      <w:r>
        <w:rPr>
          <w:rFonts w:hint="eastAsia" w:ascii="Times New Roman" w:hAnsi="Times New Roman" w:eastAsia="仿宋_GB2312" w:cs="Times New Roman"/>
          <w:color w:val="000000"/>
          <w:kern w:val="0"/>
          <w:sz w:val="32"/>
          <w:szCs w:val="32"/>
          <w:shd w:val="clear" w:color="auto" w:fill="FFFFFF"/>
          <w:lang w:val="zh-CN" w:eastAsia="zh-CN"/>
        </w:rPr>
        <w:t>生态修复工程实施及自然资源确权登记等核心任务，执行流程规范有序、管控措施有力，资金使用精准，全面保障了我</w:t>
      </w:r>
      <w:r>
        <w:rPr>
          <w:rFonts w:hint="eastAsia" w:ascii="Times New Roman" w:hAnsi="Times New Roman" w:eastAsia="仿宋_GB2312" w:cs="Times New Roman"/>
          <w:color w:val="000000"/>
          <w:kern w:val="0"/>
          <w:sz w:val="32"/>
          <w:szCs w:val="32"/>
          <w:shd w:val="clear" w:color="auto" w:fill="FFFFFF"/>
          <w:lang w:val="en-US" w:eastAsia="zh-CN"/>
        </w:rPr>
        <w:t>局</w:t>
      </w:r>
      <w:r>
        <w:rPr>
          <w:rFonts w:hint="eastAsia" w:ascii="Times New Roman" w:hAnsi="Times New Roman" w:eastAsia="仿宋_GB2312" w:cs="Times New Roman"/>
          <w:color w:val="000000"/>
          <w:kern w:val="0"/>
          <w:sz w:val="32"/>
          <w:szCs w:val="32"/>
          <w:shd w:val="clear" w:color="auto" w:fill="FFFFFF"/>
          <w:lang w:val="zh-CN" w:eastAsia="zh-CN"/>
        </w:rPr>
        <w:t>各项业务工作落地见效。</w:t>
      </w:r>
    </w:p>
    <w:p w14:paraId="496C5BF9">
      <w:pPr>
        <w:adjustRightInd w:val="0"/>
        <w:snapToGrid w:val="0"/>
        <w:spacing w:line="578" w:lineRule="exact"/>
        <w:ind w:firstLine="643" w:firstLineChars="200"/>
        <w:contextualSpacing/>
        <w:jc w:val="left"/>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rPr>
        <w:t>3.</w:t>
      </w:r>
      <w:r>
        <w:rPr>
          <w:rFonts w:ascii="Times New Roman" w:hAnsi="Times New Roman" w:eastAsia="楷体_GB2312" w:cs="Times New Roman"/>
          <w:b/>
          <w:bCs/>
          <w:color w:val="000000"/>
          <w:kern w:val="0"/>
          <w:sz w:val="32"/>
          <w:szCs w:val="32"/>
          <w:shd w:val="clear" w:color="auto" w:fill="FFFFFF"/>
          <w:lang w:val="zh-CN"/>
        </w:rPr>
        <w:t>目标实现</w:t>
      </w:r>
    </w:p>
    <w:p w14:paraId="13B92E50">
      <w:pPr>
        <w:adjustRightInd w:val="0"/>
        <w:snapToGrid w:val="0"/>
        <w:spacing w:line="578" w:lineRule="exact"/>
        <w:ind w:firstLine="640" w:firstLineChars="200"/>
        <w:contextualSpacing/>
        <w:jc w:val="left"/>
        <w:rPr>
          <w:rFonts w:hint="eastAsia" w:ascii="Times New Roman" w:hAnsi="Times New Roman" w:eastAsia="仿宋_GB2312" w:cs="Times New Roman"/>
          <w:color w:val="000000"/>
          <w:kern w:val="0"/>
          <w:sz w:val="32"/>
          <w:szCs w:val="32"/>
          <w:shd w:val="clear" w:color="auto" w:fill="FFFFFF"/>
          <w:lang w:val="zh-CN"/>
        </w:rPr>
      </w:pPr>
      <w:r>
        <w:rPr>
          <w:rFonts w:hint="eastAsia" w:ascii="Times New Roman" w:hAnsi="Times New Roman" w:eastAsia="仿宋_GB2312" w:cs="Times New Roman"/>
          <w:color w:val="000000"/>
          <w:kern w:val="0"/>
          <w:sz w:val="32"/>
          <w:szCs w:val="32"/>
          <w:shd w:val="clear" w:color="auto" w:fill="FFFFFF"/>
          <w:lang w:val="zh-CN"/>
        </w:rPr>
        <w:t>各项目均圆满完成年度目标任务，未出现重大目标偏离。通过项目实施，有效提升了地质灾害综合防治能力，筑牢了人民群众生命财产安全防线；强化了卫片执法监督与自然资源资产清查，规范了资源开发利用秩序；严格落实耕地保护田长制，牢牢守住耕地保护红线；完善了国土空间规划体系，为区域高质量发展提供了空间保障；推进了生态修复工程，筑牢了长江黄河上游生态屏障；规范了自然资源确权登记，维护了产权主体合法权益；同时保障了日常办公运转、后勤服务及业务培训等基础工作，为全局履职提供了坚实支撑。项目生态效益与社会效益显著，群众满意度及行业认可度较高。</w:t>
      </w:r>
    </w:p>
    <w:p w14:paraId="34A8D529">
      <w:pPr>
        <w:spacing w:line="578" w:lineRule="exact"/>
        <w:ind w:firstLine="640" w:firstLineChars="200"/>
        <w:jc w:val="left"/>
        <w:rPr>
          <w:rFonts w:hint="eastAsia" w:ascii="Times New Roman" w:hAnsi="Times New Roman" w:eastAsia="仿宋_GB2312" w:cs="Times New Roman"/>
          <w:sz w:val="32"/>
          <w:szCs w:val="32"/>
          <w:lang w:eastAsia="zh-CN"/>
        </w:rPr>
      </w:pPr>
      <w:r>
        <w:rPr>
          <w:rFonts w:hint="eastAsia" w:ascii="仿宋_GB2312" w:hAnsi="仿宋" w:eastAsia="仿宋_GB2312" w:cs="Times New Roman"/>
          <w:sz w:val="32"/>
          <w:szCs w:val="32"/>
          <w:lang w:val="en-US" w:eastAsia="zh-CN"/>
        </w:rPr>
        <w:t>我局</w:t>
      </w:r>
      <w:r>
        <w:rPr>
          <w:rFonts w:hint="eastAsia" w:ascii="仿宋_GB2312" w:hAnsi="仿宋" w:eastAsia="仿宋_GB2312" w:cs="Times New Roman"/>
          <w:sz w:val="32"/>
          <w:szCs w:val="32"/>
          <w:lang w:eastAsia="zh-CN"/>
        </w:rPr>
        <w:t>无</w:t>
      </w:r>
      <w:r>
        <w:rPr>
          <w:rFonts w:ascii="Times New Roman" w:hAnsi="Times New Roman" w:eastAsia="仿宋_GB2312" w:cs="Times New Roman"/>
          <w:sz w:val="32"/>
          <w:szCs w:val="32"/>
        </w:rPr>
        <w:t>政府性基金预算</w:t>
      </w:r>
      <w:r>
        <w:rPr>
          <w:rFonts w:hint="eastAsia" w:ascii="Times New Roman" w:hAnsi="Times New Roman" w:eastAsia="仿宋_GB2312" w:cs="Times New Roman"/>
          <w:sz w:val="32"/>
          <w:szCs w:val="32"/>
          <w:lang w:eastAsia="zh-CN"/>
        </w:rPr>
        <w:t>和</w:t>
      </w:r>
      <w:r>
        <w:rPr>
          <w:rFonts w:ascii="Times New Roman" w:hAnsi="Times New Roman" w:eastAsia="仿宋_GB2312" w:cs="Times New Roman"/>
          <w:sz w:val="32"/>
          <w:szCs w:val="32"/>
        </w:rPr>
        <w:t>国有资本经营预算安排的常年项目</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债券资金</w:t>
      </w:r>
      <w:r>
        <w:rPr>
          <w:rFonts w:hint="eastAsia" w:ascii="Times New Roman" w:hAnsi="Times New Roman" w:eastAsia="仿宋_GB2312" w:cs="Times New Roman"/>
          <w:sz w:val="32"/>
          <w:szCs w:val="32"/>
          <w:lang w:eastAsia="zh-CN"/>
        </w:rPr>
        <w:t>和</w:t>
      </w:r>
      <w:r>
        <w:rPr>
          <w:rFonts w:ascii="Times New Roman" w:hAnsi="Times New Roman" w:eastAsia="仿宋_GB2312" w:cs="Times New Roman"/>
          <w:sz w:val="32"/>
          <w:szCs w:val="32"/>
        </w:rPr>
        <w:t>政府购买服务</w:t>
      </w:r>
      <w:r>
        <w:rPr>
          <w:rFonts w:hint="eastAsia" w:ascii="Times New Roman" w:hAnsi="Times New Roman" w:eastAsia="仿宋_GB2312" w:cs="Times New Roman"/>
          <w:sz w:val="32"/>
          <w:szCs w:val="32"/>
          <w:lang w:eastAsia="zh-CN"/>
        </w:rPr>
        <w:t>。</w:t>
      </w:r>
    </w:p>
    <w:p w14:paraId="59170747">
      <w:pPr>
        <w:snapToGrid w:val="0"/>
        <w:spacing w:line="578" w:lineRule="exact"/>
        <w:ind w:firstLine="643" w:firstLineChars="200"/>
        <w:jc w:val="left"/>
        <w:rPr>
          <w:rFonts w:ascii="Times New Roman" w:hAnsi="Times New Roman" w:eastAsia="楷体_GB2312" w:cs="Times New Roman"/>
          <w:b/>
          <w:bCs/>
          <w:sz w:val="32"/>
          <w:szCs w:val="32"/>
          <w:highlight w:val="yellow"/>
          <w:lang w:val="zh-CN"/>
        </w:rPr>
      </w:pPr>
      <w:r>
        <w:rPr>
          <w:rFonts w:ascii="Times New Roman" w:hAnsi="Times New Roman" w:eastAsia="楷体_GB2312" w:cs="Times New Roman"/>
          <w:b/>
          <w:bCs/>
          <w:color w:val="000000"/>
          <w:kern w:val="0"/>
          <w:sz w:val="32"/>
          <w:szCs w:val="32"/>
          <w:shd w:val="clear" w:color="auto" w:fill="FFFFFF"/>
          <w:lang w:val="zh-CN"/>
        </w:rPr>
        <w:t>（三）</w:t>
      </w:r>
      <w:r>
        <w:rPr>
          <w:rFonts w:ascii="Times New Roman" w:hAnsi="Times New Roman" w:eastAsia="楷体_GB2312" w:cs="Times New Roman"/>
          <w:b/>
          <w:bCs/>
          <w:sz w:val="32"/>
          <w:szCs w:val="32"/>
          <w:highlight w:val="none"/>
          <w:lang w:val="zh-CN"/>
        </w:rPr>
        <w:t>绩效结果应用情况</w:t>
      </w:r>
    </w:p>
    <w:p w14:paraId="1FDB05A0">
      <w:pPr>
        <w:snapToGrid w:val="0"/>
        <w:spacing w:line="578" w:lineRule="exact"/>
        <w:ind w:firstLine="640" w:firstLineChars="200"/>
        <w:jc w:val="left"/>
        <w:rPr>
          <w:rFonts w:ascii="Times New Roman" w:hAnsi="Times New Roman" w:eastAsia="仿宋_GB2312" w:cs="Times New Roman"/>
          <w:color w:val="000000"/>
          <w:kern w:val="0"/>
          <w:sz w:val="32"/>
          <w:szCs w:val="32"/>
          <w:shd w:val="clear" w:color="auto" w:fill="FFFFFF"/>
          <w:lang w:val="zh-CN"/>
        </w:rPr>
      </w:pPr>
      <w:r>
        <w:rPr>
          <w:rFonts w:hint="eastAsia" w:ascii="Times New Roman" w:hAnsi="Times New Roman" w:eastAsia="仿宋_GB2312" w:cs="Times New Roman"/>
          <w:color w:val="000000"/>
          <w:kern w:val="0"/>
          <w:sz w:val="32"/>
          <w:szCs w:val="32"/>
          <w:shd w:val="clear" w:color="auto" w:fill="FFFFFF"/>
          <w:lang w:val="zh-CN"/>
        </w:rPr>
        <w:t>我局高度重视绩效结果的运用，将其作为优化资源配置、提升管理效能的重要抓手。将项目绩效结果与</w:t>
      </w:r>
      <w:r>
        <w:rPr>
          <w:rFonts w:hint="eastAsia" w:ascii="Times New Roman" w:hAnsi="Times New Roman" w:eastAsia="仿宋_GB2312" w:cs="Times New Roman"/>
          <w:color w:val="000000"/>
          <w:kern w:val="0"/>
          <w:sz w:val="32"/>
          <w:szCs w:val="32"/>
          <w:shd w:val="clear" w:color="auto" w:fill="FFFFFF"/>
          <w:lang w:val="en-US" w:eastAsia="zh-CN"/>
        </w:rPr>
        <w:t>来年项目预算</w:t>
      </w:r>
      <w:r>
        <w:rPr>
          <w:rFonts w:hint="eastAsia" w:ascii="Times New Roman" w:hAnsi="Times New Roman" w:eastAsia="仿宋_GB2312" w:cs="Times New Roman"/>
          <w:color w:val="000000"/>
          <w:kern w:val="0"/>
          <w:sz w:val="32"/>
          <w:szCs w:val="32"/>
          <w:shd w:val="clear" w:color="auto" w:fill="FFFFFF"/>
          <w:lang w:val="zh-CN"/>
        </w:rPr>
        <w:t>资金分配挂钩，优先保</w:t>
      </w:r>
      <w:r>
        <w:rPr>
          <w:rFonts w:hint="eastAsia" w:ascii="Times New Roman" w:hAnsi="Times New Roman" w:eastAsia="仿宋_GB2312" w:cs="Times New Roman"/>
          <w:color w:val="auto"/>
          <w:kern w:val="0"/>
          <w:sz w:val="32"/>
          <w:szCs w:val="32"/>
          <w:shd w:val="clear" w:color="auto" w:fill="FFFFFF"/>
          <w:lang w:val="zh-CN"/>
        </w:rPr>
        <w:t>障成效突出、</w:t>
      </w:r>
      <w:r>
        <w:rPr>
          <w:rFonts w:hint="eastAsia" w:ascii="Times New Roman" w:hAnsi="Times New Roman" w:eastAsia="仿宋_GB2312" w:cs="Times New Roman"/>
          <w:color w:val="auto"/>
          <w:kern w:val="0"/>
          <w:sz w:val="32"/>
          <w:szCs w:val="32"/>
          <w:shd w:val="clear" w:color="auto" w:fill="FFFFFF"/>
          <w:lang w:val="en-US" w:eastAsia="zh-CN"/>
        </w:rPr>
        <w:t>关系民生</w:t>
      </w:r>
      <w:r>
        <w:rPr>
          <w:rFonts w:hint="eastAsia" w:ascii="Times New Roman" w:hAnsi="Times New Roman" w:eastAsia="仿宋_GB2312" w:cs="Times New Roman"/>
          <w:color w:val="auto"/>
          <w:kern w:val="0"/>
          <w:sz w:val="32"/>
          <w:szCs w:val="32"/>
          <w:shd w:val="clear" w:color="auto" w:fill="FFFFFF"/>
          <w:lang w:val="zh-CN"/>
        </w:rPr>
        <w:t>的项目</w:t>
      </w:r>
      <w:r>
        <w:rPr>
          <w:rFonts w:hint="eastAsia" w:ascii="Times New Roman" w:hAnsi="Times New Roman" w:eastAsia="仿宋_GB2312" w:cs="Times New Roman"/>
          <w:color w:val="000000"/>
          <w:kern w:val="0"/>
          <w:sz w:val="32"/>
          <w:szCs w:val="32"/>
          <w:shd w:val="clear" w:color="auto" w:fill="FFFFFF"/>
          <w:lang w:val="zh-CN"/>
        </w:rPr>
        <w:t>，对薄弱环节及时调整优化，推动业务提质增效。按照财政信息公开要求，在规定渠道公开</w:t>
      </w:r>
      <w:r>
        <w:rPr>
          <w:rFonts w:hint="eastAsia" w:ascii="Times New Roman" w:hAnsi="Times New Roman" w:eastAsia="仿宋_GB2312" w:cs="Times New Roman"/>
          <w:color w:val="000000"/>
          <w:kern w:val="0"/>
          <w:sz w:val="32"/>
          <w:szCs w:val="32"/>
          <w:shd w:val="clear" w:color="auto" w:fill="FFFFFF"/>
          <w:lang w:val="en-US" w:eastAsia="zh-CN"/>
        </w:rPr>
        <w:t>部门整体绩效、</w:t>
      </w:r>
      <w:r>
        <w:rPr>
          <w:rFonts w:hint="eastAsia" w:ascii="Times New Roman" w:hAnsi="Times New Roman" w:eastAsia="仿宋_GB2312" w:cs="Times New Roman"/>
          <w:color w:val="000000"/>
          <w:kern w:val="0"/>
          <w:sz w:val="32"/>
          <w:szCs w:val="32"/>
          <w:shd w:val="clear" w:color="auto" w:fill="FFFFFF"/>
          <w:lang w:val="zh-CN"/>
        </w:rPr>
        <w:t>项目绩效、自评结果等内容，主动接受社会监督，提升工作透明度。针对绩效评价发现的问题，建立台账逐项整改，及时反馈整改落实情况，形成“评价—反馈—整改—提升”的</w:t>
      </w:r>
      <w:r>
        <w:rPr>
          <w:rFonts w:hint="eastAsia" w:ascii="Times New Roman" w:hAnsi="Times New Roman" w:eastAsia="仿宋_GB2312" w:cs="Times New Roman"/>
          <w:color w:val="000000"/>
          <w:kern w:val="0"/>
          <w:sz w:val="32"/>
          <w:szCs w:val="32"/>
          <w:shd w:val="clear" w:color="auto" w:fill="FFFFFF"/>
          <w:lang w:val="en-US" w:eastAsia="zh-CN"/>
        </w:rPr>
        <w:t>绩效</w:t>
      </w:r>
      <w:r>
        <w:rPr>
          <w:rFonts w:hint="eastAsia" w:ascii="Times New Roman" w:hAnsi="Times New Roman" w:eastAsia="仿宋_GB2312" w:cs="Times New Roman"/>
          <w:color w:val="000000"/>
          <w:kern w:val="0"/>
          <w:sz w:val="32"/>
          <w:szCs w:val="32"/>
          <w:shd w:val="clear" w:color="auto" w:fill="FFFFFF"/>
          <w:lang w:val="zh-CN"/>
        </w:rPr>
        <w:t>管理闭环机制。</w:t>
      </w:r>
    </w:p>
    <w:p w14:paraId="0F9A517C">
      <w:pPr>
        <w:snapToGrid w:val="0"/>
        <w:spacing w:line="578" w:lineRule="exact"/>
        <w:ind w:firstLine="643" w:firstLineChars="200"/>
        <w:jc w:val="left"/>
        <w:rPr>
          <w:rFonts w:hint="eastAsia" w:ascii="Times New Roman" w:hAnsi="Times New Roman" w:eastAsia="楷体_GB2312" w:cs="Times New Roman"/>
          <w:b/>
          <w:bCs/>
          <w:color w:val="000000"/>
          <w:kern w:val="0"/>
          <w:sz w:val="32"/>
          <w:szCs w:val="32"/>
          <w:shd w:val="clear" w:color="auto" w:fill="FFFFFF"/>
          <w:lang w:val="en-US" w:eastAsia="zh-CN"/>
        </w:rPr>
      </w:pPr>
      <w:r>
        <w:rPr>
          <w:rFonts w:ascii="Times New Roman" w:hAnsi="Times New Roman" w:eastAsia="楷体_GB2312" w:cs="Times New Roman"/>
          <w:b/>
          <w:bCs/>
          <w:color w:val="000000"/>
          <w:kern w:val="0"/>
          <w:sz w:val="32"/>
          <w:szCs w:val="32"/>
          <w:shd w:val="clear" w:color="auto" w:fill="FFFFFF"/>
          <w:lang w:val="zh-CN"/>
        </w:rPr>
        <w:t>（</w:t>
      </w:r>
      <w:r>
        <w:rPr>
          <w:rFonts w:hint="eastAsia" w:ascii="Times New Roman" w:hAnsi="Times New Roman" w:eastAsia="楷体_GB2312" w:cs="Times New Roman"/>
          <w:b/>
          <w:bCs/>
          <w:color w:val="000000"/>
          <w:kern w:val="0"/>
          <w:sz w:val="32"/>
          <w:szCs w:val="32"/>
          <w:shd w:val="clear" w:color="auto" w:fill="FFFFFF"/>
          <w:lang w:val="en-US" w:eastAsia="zh-CN"/>
        </w:rPr>
        <w:t>四</w:t>
      </w:r>
      <w:r>
        <w:rPr>
          <w:rFonts w:ascii="Times New Roman" w:hAnsi="Times New Roman" w:eastAsia="楷体_GB2312" w:cs="Times New Roman"/>
          <w:b/>
          <w:bCs/>
          <w:color w:val="000000"/>
          <w:kern w:val="0"/>
          <w:sz w:val="32"/>
          <w:szCs w:val="32"/>
          <w:shd w:val="clear" w:color="auto" w:fill="FFFFFF"/>
          <w:lang w:val="zh-CN"/>
        </w:rPr>
        <w:t>）</w:t>
      </w:r>
      <w:r>
        <w:rPr>
          <w:rFonts w:hint="eastAsia" w:ascii="Times New Roman" w:hAnsi="Times New Roman" w:eastAsia="楷体_GB2312" w:cs="Times New Roman"/>
          <w:b/>
          <w:bCs/>
          <w:color w:val="000000"/>
          <w:kern w:val="0"/>
          <w:sz w:val="32"/>
          <w:szCs w:val="32"/>
          <w:shd w:val="clear" w:color="auto" w:fill="FFFFFF"/>
          <w:lang w:val="en-US" w:eastAsia="zh-CN"/>
        </w:rPr>
        <w:t>专项预算项目自评</w:t>
      </w:r>
    </w:p>
    <w:p w14:paraId="678B66A1">
      <w:pPr>
        <w:snapToGrid w:val="0"/>
        <w:spacing w:line="578" w:lineRule="exact"/>
        <w:ind w:firstLine="640" w:firstLineChars="200"/>
        <w:jc w:val="left"/>
        <w:rPr>
          <w:rFonts w:ascii="Times New Roman" w:hAnsi="Times New Roman" w:eastAsia="仿宋_GB2312" w:cs="Times New Roman"/>
          <w:color w:val="000000"/>
          <w:kern w:val="0"/>
          <w:sz w:val="32"/>
          <w:szCs w:val="32"/>
          <w:shd w:val="clear" w:color="auto" w:fill="FFFFFF"/>
          <w:lang w:val="zh-CN"/>
        </w:rPr>
      </w:pPr>
      <w:r>
        <w:rPr>
          <w:rFonts w:hint="eastAsia" w:ascii="Times New Roman" w:hAnsi="Times New Roman" w:eastAsia="仿宋_GB2312" w:cs="Times New Roman"/>
          <w:color w:val="000000"/>
          <w:kern w:val="0"/>
          <w:sz w:val="32"/>
          <w:szCs w:val="32"/>
          <w:shd w:val="clear" w:color="auto" w:fill="FFFFFF"/>
          <w:lang w:val="en-US" w:eastAsia="zh-CN"/>
        </w:rPr>
        <w:t>我局专项预算项目已按中央、省级下发专项绩效评价通知及指标体系要求执行，相关数据报告已上报。</w:t>
      </w:r>
    </w:p>
    <w:p w14:paraId="0CFC59CA">
      <w:pPr>
        <w:widowControl/>
        <w:adjustRightInd w:val="0"/>
        <w:snapToGrid w:val="0"/>
        <w:spacing w:line="578" w:lineRule="exact"/>
        <w:ind w:firstLine="640" w:firstLineChars="200"/>
        <w:contextualSpacing/>
        <w:jc w:val="left"/>
        <w:rPr>
          <w:rFonts w:ascii="Times New Roman" w:hAnsi="Times New Roman" w:eastAsia="黑体" w:cs="Times New Roman"/>
          <w:color w:val="000000"/>
          <w:kern w:val="0"/>
          <w:sz w:val="32"/>
          <w:szCs w:val="32"/>
          <w:shd w:val="clear" w:color="auto" w:fill="FFFFFF"/>
        </w:rPr>
      </w:pPr>
      <w:r>
        <w:rPr>
          <w:rFonts w:ascii="Times New Roman" w:hAnsi="Times New Roman" w:eastAsia="黑体" w:cs="Times New Roman"/>
          <w:color w:val="000000"/>
          <w:kern w:val="0"/>
          <w:sz w:val="32"/>
          <w:szCs w:val="32"/>
          <w:shd w:val="clear" w:color="auto" w:fill="FFFFFF"/>
        </w:rPr>
        <w:t>四、评价结论及建议</w:t>
      </w:r>
    </w:p>
    <w:p w14:paraId="5FAE2905">
      <w:pPr>
        <w:widowControl/>
        <w:adjustRightInd w:val="0"/>
        <w:snapToGrid w:val="0"/>
        <w:spacing w:line="578" w:lineRule="exact"/>
        <w:ind w:firstLine="643" w:firstLineChars="200"/>
        <w:contextualSpacing/>
        <w:jc w:val="left"/>
        <w:rPr>
          <w:rFonts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（一）评价结论</w:t>
      </w:r>
    </w:p>
    <w:p w14:paraId="1A5D220A">
      <w:pPr>
        <w:widowControl/>
        <w:adjustRightInd w:val="0"/>
        <w:snapToGrid w:val="0"/>
        <w:spacing w:line="578" w:lineRule="exact"/>
        <w:ind w:firstLine="640" w:firstLineChars="200"/>
        <w:contextualSpacing/>
        <w:jc w:val="left"/>
        <w:rPr>
          <w:rFonts w:ascii="Times New Roman" w:hAnsi="Times New Roman" w:eastAsia="楷体_GB2312" w:cs="Times New Roman"/>
          <w:b/>
          <w:bCs/>
          <w:color w:val="auto"/>
          <w:kern w:val="0"/>
          <w:sz w:val="32"/>
          <w:szCs w:val="32"/>
          <w:shd w:val="clear" w:color="auto" w:fill="FFFFFF"/>
        </w:rPr>
      </w:pPr>
      <w:r>
        <w:rPr>
          <w:rFonts w:hint="eastAsia" w:ascii="仿宋_GB2312" w:hAnsi="仿宋_GB2312" w:eastAsia="仿宋_GB2312" w:cs="仿宋_GB2312"/>
          <w:kern w:val="0"/>
          <w:sz w:val="32"/>
          <w:szCs w:val="32"/>
        </w:rPr>
        <w:t>我局202</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年积极响应预算绩效管理评价，按照相关要求落实项目经费支出，全年整体支出情况良好，个别项目受国家政策调整影响</w:t>
      </w:r>
      <w:r>
        <w:rPr>
          <w:rFonts w:hint="eastAsia" w:ascii="仿宋_GB2312" w:hAnsi="仿宋_GB2312" w:eastAsia="仿宋_GB2312" w:cs="仿宋_GB2312"/>
          <w:color w:val="auto"/>
          <w:kern w:val="0"/>
          <w:sz w:val="32"/>
          <w:szCs w:val="32"/>
        </w:rPr>
        <w:t>无法</w:t>
      </w:r>
      <w:r>
        <w:rPr>
          <w:rFonts w:hint="eastAsia" w:ascii="仿宋_GB2312" w:hAnsi="仿宋_GB2312" w:eastAsia="仿宋_GB2312" w:cs="仿宋_GB2312"/>
          <w:color w:val="auto"/>
          <w:kern w:val="0"/>
          <w:sz w:val="32"/>
          <w:szCs w:val="32"/>
          <w:lang w:val="en-US" w:eastAsia="zh-CN"/>
        </w:rPr>
        <w:t>实施</w:t>
      </w:r>
      <w:r>
        <w:rPr>
          <w:rFonts w:hint="eastAsia" w:ascii="仿宋_GB2312" w:hAnsi="仿宋_GB2312" w:eastAsia="仿宋_GB2312" w:cs="仿宋_GB2312"/>
          <w:color w:val="auto"/>
          <w:kern w:val="0"/>
          <w:sz w:val="32"/>
          <w:szCs w:val="32"/>
        </w:rPr>
        <w:t>，或进度</w:t>
      </w:r>
      <w:r>
        <w:rPr>
          <w:rFonts w:hint="eastAsia" w:ascii="仿宋_GB2312" w:hAnsi="仿宋_GB2312" w:eastAsia="仿宋_GB2312" w:cs="仿宋_GB2312"/>
          <w:color w:val="auto"/>
          <w:kern w:val="0"/>
          <w:sz w:val="32"/>
          <w:szCs w:val="32"/>
          <w:lang w:val="en-US" w:eastAsia="zh-CN"/>
        </w:rPr>
        <w:t>较缓</w:t>
      </w:r>
      <w:r>
        <w:rPr>
          <w:rFonts w:hint="eastAsia" w:ascii="仿宋_GB2312" w:hAnsi="仿宋_GB2312" w:eastAsia="仿宋_GB2312" w:cs="仿宋_GB2312"/>
          <w:color w:val="auto"/>
          <w:kern w:val="0"/>
          <w:sz w:val="32"/>
          <w:szCs w:val="32"/>
        </w:rPr>
        <w:t>，现对我局项目绩效自评为</w:t>
      </w:r>
      <w:r>
        <w:rPr>
          <w:rFonts w:hint="eastAsia" w:ascii="仿宋_GB2312" w:hAnsi="仿宋_GB2312" w:eastAsia="仿宋_GB2312" w:cs="仿宋_GB2312"/>
          <w:color w:val="auto"/>
          <w:kern w:val="0"/>
          <w:sz w:val="32"/>
          <w:szCs w:val="32"/>
          <w:lang w:val="en-US" w:eastAsia="zh-CN"/>
        </w:rPr>
        <w:t>84</w:t>
      </w:r>
      <w:r>
        <w:rPr>
          <w:rFonts w:hint="eastAsia" w:ascii="仿宋_GB2312" w:hAnsi="仿宋_GB2312" w:eastAsia="仿宋_GB2312" w:cs="仿宋_GB2312"/>
          <w:color w:val="auto"/>
          <w:kern w:val="0"/>
          <w:sz w:val="32"/>
          <w:szCs w:val="32"/>
        </w:rPr>
        <w:t>分。</w:t>
      </w:r>
    </w:p>
    <w:p w14:paraId="24006344">
      <w:pPr>
        <w:widowControl/>
        <w:adjustRightInd w:val="0"/>
        <w:snapToGrid w:val="0"/>
        <w:spacing w:line="578" w:lineRule="exact"/>
        <w:ind w:firstLine="643" w:firstLineChars="200"/>
        <w:contextualSpacing/>
        <w:jc w:val="left"/>
        <w:rPr>
          <w:rFonts w:ascii="Times New Roman" w:hAnsi="Times New Roman" w:eastAsia="仿宋_GB2312" w:cs="Times New Roman"/>
          <w:color w:val="auto"/>
          <w:w w:val="95"/>
          <w:kern w:val="0"/>
          <w:sz w:val="32"/>
          <w:szCs w:val="32"/>
        </w:rPr>
      </w:pPr>
      <w:r>
        <w:rPr>
          <w:rFonts w:ascii="Times New Roman" w:hAnsi="Times New Roman" w:eastAsia="楷体_GB2312" w:cs="Times New Roman"/>
          <w:b/>
          <w:bCs/>
          <w:color w:val="auto"/>
          <w:kern w:val="0"/>
          <w:sz w:val="32"/>
          <w:szCs w:val="32"/>
          <w:shd w:val="clear" w:color="auto" w:fill="FFFFFF"/>
          <w:lang w:val="zh-CN"/>
        </w:rPr>
        <w:t>（二）存在问题</w:t>
      </w:r>
    </w:p>
    <w:p w14:paraId="2A8A75BF">
      <w:pPr>
        <w:widowControl/>
        <w:adjustRightInd w:val="0"/>
        <w:snapToGrid w:val="0"/>
        <w:spacing w:line="578" w:lineRule="exact"/>
        <w:ind w:firstLine="640" w:firstLineChars="200"/>
        <w:contextualSpacing/>
        <w:jc w:val="left"/>
        <w:rPr>
          <w:rFonts w:ascii="Times New Roman" w:hAnsi="Times New Roman" w:eastAsia="楷体_GB2312" w:cs="Times New Roman"/>
          <w:b/>
          <w:bCs/>
          <w:color w:val="000000"/>
          <w:kern w:val="0"/>
          <w:sz w:val="32"/>
          <w:szCs w:val="32"/>
          <w:shd w:val="clear" w:color="auto" w:fill="FFFFFF"/>
        </w:rPr>
      </w:pPr>
      <w:r>
        <w:rPr>
          <w:rFonts w:hint="eastAsia" w:ascii="仿宋_GB2312" w:hAnsi="Times New Roman" w:eastAsia="仿宋_GB2312" w:cs="Times New Roman"/>
          <w:color w:val="auto"/>
          <w:kern w:val="2"/>
          <w:sz w:val="32"/>
          <w:szCs w:val="32"/>
          <w:u w:val="none"/>
        </w:rPr>
        <w:t>我局个别项目存在进度滞后较为突出的问题。</w:t>
      </w:r>
      <w:r>
        <w:rPr>
          <w:rFonts w:hint="eastAsia" w:ascii="仿宋_GB2312" w:hAnsi="Times New Roman" w:eastAsia="仿宋_GB2312" w:cs="Times New Roman"/>
          <w:color w:val="auto"/>
          <w:kern w:val="2"/>
          <w:sz w:val="32"/>
          <w:szCs w:val="32"/>
          <w:u w:val="none"/>
          <w:lang w:val="en-US" w:eastAsia="zh-CN"/>
        </w:rPr>
        <w:t>项目</w:t>
      </w:r>
      <w:r>
        <w:rPr>
          <w:rFonts w:hint="eastAsia" w:ascii="仿宋_GB2312" w:hAnsi="Times New Roman" w:eastAsia="仿宋_GB2312" w:cs="Times New Roman"/>
          <w:color w:val="auto"/>
          <w:kern w:val="2"/>
          <w:sz w:val="32"/>
          <w:szCs w:val="32"/>
          <w:u w:val="none"/>
        </w:rPr>
        <w:t>前期推进迟缓，招标工作几经失败，导致项目推进效率低下，无法</w:t>
      </w:r>
      <w:r>
        <w:rPr>
          <w:rFonts w:hint="eastAsia" w:ascii="仿宋_GB2312" w:hAnsi="Times New Roman" w:eastAsia="仿宋_GB2312" w:cs="Times New Roman"/>
          <w:kern w:val="2"/>
          <w:sz w:val="32"/>
          <w:szCs w:val="32"/>
          <w:u w:val="none"/>
          <w:lang w:val="en-US" w:eastAsia="zh-CN"/>
        </w:rPr>
        <w:t>在规定时间内</w:t>
      </w:r>
      <w:r>
        <w:rPr>
          <w:rFonts w:hint="eastAsia" w:ascii="仿宋_GB2312" w:hAnsi="Times New Roman" w:eastAsia="仿宋_GB2312" w:cs="Times New Roman"/>
          <w:kern w:val="2"/>
          <w:sz w:val="32"/>
          <w:szCs w:val="32"/>
          <w:u w:val="none"/>
        </w:rPr>
        <w:t>完成项目任务</w:t>
      </w:r>
      <w:r>
        <w:rPr>
          <w:rFonts w:ascii="Times New Roman" w:hAnsi="Times New Roman" w:eastAsia="仿宋_GB2312" w:cs="Times New Roman"/>
          <w:w w:val="95"/>
          <w:kern w:val="0"/>
          <w:sz w:val="32"/>
          <w:szCs w:val="32"/>
        </w:rPr>
        <w:t>。</w:t>
      </w:r>
    </w:p>
    <w:p w14:paraId="1A33D712">
      <w:pPr>
        <w:widowControl/>
        <w:adjustRightInd w:val="0"/>
        <w:snapToGrid w:val="0"/>
        <w:spacing w:line="578" w:lineRule="exact"/>
        <w:ind w:firstLine="643" w:firstLineChars="200"/>
        <w:contextualSpacing/>
        <w:jc w:val="left"/>
        <w:rPr>
          <w:rFonts w:ascii="Times New Roman" w:hAnsi="Times New Roman" w:eastAsia="仿宋_GB2312" w:cs="Times New Roman"/>
          <w:kern w:val="0"/>
          <w:sz w:val="32"/>
          <w:szCs w:val="32"/>
        </w:rPr>
      </w:pPr>
      <w:r>
        <w:rPr>
          <w:rFonts w:ascii="Times New Roman" w:hAnsi="Times New Roman" w:eastAsia="楷体_GB2312" w:cs="Times New Roman"/>
          <w:b/>
          <w:bCs/>
          <w:color w:val="000000"/>
          <w:kern w:val="0"/>
          <w:sz w:val="32"/>
          <w:szCs w:val="32"/>
          <w:shd w:val="clear" w:color="auto" w:fill="FFFFFF"/>
          <w:lang w:val="zh-CN"/>
        </w:rPr>
        <w:t>（三）改进建议</w:t>
      </w:r>
    </w:p>
    <w:p w14:paraId="2FF97EFA">
      <w:pPr>
        <w:widowControl/>
        <w:adjustRightInd w:val="0"/>
        <w:snapToGrid w:val="0"/>
        <w:spacing w:line="578" w:lineRule="exact"/>
        <w:ind w:firstLine="640" w:firstLineChars="200"/>
        <w:contextualSpacing/>
        <w:jc w:val="lef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我局在202</w:t>
      </w:r>
      <w:r>
        <w:rPr>
          <w:rFonts w:hint="eastAsia" w:ascii="Times New Roman" w:hAnsi="Times New Roman" w:eastAsia="仿宋_GB2312" w:cs="Times New Roman"/>
          <w:kern w:val="0"/>
          <w:sz w:val="32"/>
          <w:szCs w:val="32"/>
          <w:lang w:val="en-US" w:eastAsia="zh-CN"/>
        </w:rPr>
        <w:t>5</w:t>
      </w:r>
      <w:r>
        <w:rPr>
          <w:rFonts w:hint="eastAsia" w:ascii="Times New Roman" w:hAnsi="Times New Roman" w:eastAsia="仿宋_GB2312" w:cs="Times New Roman"/>
          <w:kern w:val="0"/>
          <w:sz w:val="32"/>
          <w:szCs w:val="32"/>
        </w:rPr>
        <w:t>年下半年不断加强项目进度管理，一方面催促业务科室切实履行职能职责，另一方面修订完善了项目管理制度，规范项目工作的执行。</w:t>
      </w:r>
    </w:p>
    <w:p w14:paraId="3C066C13">
      <w:pPr>
        <w:widowControl/>
        <w:adjustRightInd w:val="0"/>
        <w:snapToGrid w:val="0"/>
        <w:spacing w:line="578" w:lineRule="exact"/>
        <w:ind w:firstLine="640" w:firstLineChars="200"/>
        <w:contextualSpacing/>
        <w:jc w:val="left"/>
        <w:rPr>
          <w:rFonts w:hint="eastAsia" w:ascii="Times New Roman" w:hAnsi="Times New Roman" w:eastAsia="仿宋_GB2312" w:cs="Times New Roman"/>
          <w:color w:val="auto"/>
          <w:kern w:val="0"/>
          <w:sz w:val="32"/>
          <w:szCs w:val="32"/>
        </w:rPr>
      </w:pPr>
      <w:r>
        <w:rPr>
          <w:rFonts w:hint="eastAsia" w:ascii="Times New Roman" w:hAnsi="Times New Roman" w:eastAsia="仿宋_GB2312" w:cs="Times New Roman"/>
          <w:kern w:val="0"/>
          <w:sz w:val="32"/>
          <w:szCs w:val="32"/>
          <w:lang w:val="en-US" w:eastAsia="zh-CN"/>
        </w:rPr>
        <w:t>1.</w:t>
      </w:r>
      <w:r>
        <w:rPr>
          <w:rFonts w:hint="eastAsia" w:ascii="Times New Roman" w:hAnsi="Times New Roman" w:eastAsia="仿宋_GB2312" w:cs="Times New Roman"/>
          <w:kern w:val="0"/>
          <w:sz w:val="32"/>
          <w:szCs w:val="32"/>
        </w:rPr>
        <w:t>落实任务责任，以问责倒逼进度。我局再次明确项目责任划分，建立</w:t>
      </w:r>
      <w:r>
        <w:rPr>
          <w:rFonts w:hint="eastAsia" w:ascii="Times New Roman" w:hAnsi="Times New Roman" w:eastAsia="仿宋_GB2312" w:cs="Times New Roman"/>
          <w:color w:val="auto"/>
          <w:kern w:val="0"/>
          <w:sz w:val="32"/>
          <w:szCs w:val="32"/>
          <w:lang w:val="en-US" w:eastAsia="zh-CN"/>
        </w:rPr>
        <w:t>项目资金</w:t>
      </w:r>
      <w:r>
        <w:rPr>
          <w:rFonts w:hint="eastAsia" w:ascii="Times New Roman" w:hAnsi="Times New Roman" w:eastAsia="仿宋_GB2312" w:cs="Times New Roman"/>
          <w:color w:val="auto"/>
          <w:kern w:val="0"/>
          <w:sz w:val="32"/>
          <w:szCs w:val="32"/>
        </w:rPr>
        <w:t>催拨台账，不定期要求各科室落实资金拨付。</w:t>
      </w:r>
    </w:p>
    <w:p w14:paraId="0398764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 w:eastAsia="zh-CN" w:bidi="ar"/>
        </w:rPr>
      </w:pPr>
      <w:r>
        <w:rPr>
          <w:rFonts w:hint="eastAsia" w:ascii="Times New Roman" w:hAnsi="Times New Roman" w:eastAsia="仿宋_GB2312" w:cs="Times New Roman"/>
          <w:color w:val="auto"/>
          <w:kern w:val="0"/>
          <w:sz w:val="32"/>
          <w:szCs w:val="32"/>
          <w:lang w:val="en-US" w:eastAsia="zh-CN"/>
        </w:rPr>
        <w:t>2.</w:t>
      </w:r>
      <w:r>
        <w:rPr>
          <w:rFonts w:hint="eastAsia" w:ascii="Times New Roman" w:hAnsi="Times New Roman" w:eastAsia="仿宋_GB2312" w:cs="Times New Roman"/>
          <w:color w:val="auto"/>
          <w:kern w:val="0"/>
          <w:sz w:val="32"/>
          <w:szCs w:val="32"/>
        </w:rPr>
        <w:t>加强制度完善，以制度促成果。我局持续修改完善并印发《阿坝州自然资源局政府采购内控管理制度》《阿坝州自然资源局公务出差和差旅费报销管理制度》等多</w:t>
      </w:r>
      <w:r>
        <w:rPr>
          <w:rFonts w:hint="eastAsia" w:ascii="Times New Roman" w:hAnsi="Times New Roman" w:eastAsia="仿宋_GB2312" w:cs="Times New Roman"/>
          <w:color w:val="auto"/>
          <w:kern w:val="0"/>
          <w:sz w:val="32"/>
          <w:szCs w:val="32"/>
          <w:lang w:val="en-US" w:eastAsia="zh-CN"/>
        </w:rPr>
        <w:t>项</w:t>
      </w:r>
      <w:r>
        <w:rPr>
          <w:rFonts w:hint="eastAsia" w:ascii="Times New Roman" w:hAnsi="Times New Roman" w:eastAsia="仿宋_GB2312" w:cs="Times New Roman"/>
          <w:color w:val="auto"/>
          <w:kern w:val="0"/>
          <w:sz w:val="32"/>
          <w:szCs w:val="32"/>
        </w:rPr>
        <w:t>制度，切实保障</w:t>
      </w:r>
      <w:r>
        <w:rPr>
          <w:rFonts w:hint="eastAsia" w:ascii="Times New Roman" w:hAnsi="Times New Roman" w:eastAsia="仿宋_GB2312" w:cs="Times New Roman"/>
          <w:color w:val="auto"/>
          <w:kern w:val="0"/>
          <w:sz w:val="32"/>
          <w:szCs w:val="32"/>
          <w:lang w:val="en-US" w:eastAsia="zh-CN"/>
        </w:rPr>
        <w:t>资金支付进度和</w:t>
      </w:r>
      <w:r>
        <w:rPr>
          <w:rFonts w:hint="eastAsia" w:ascii="Times New Roman" w:hAnsi="Times New Roman" w:eastAsia="仿宋_GB2312" w:cs="Times New Roman"/>
          <w:color w:val="auto"/>
          <w:kern w:val="0"/>
          <w:sz w:val="32"/>
          <w:szCs w:val="32"/>
        </w:rPr>
        <w:t>资金安全，加强项目管理，巩固政府采购程序，提升项目招标成功率</w:t>
      </w:r>
      <w:r>
        <w:rPr>
          <w:rFonts w:hint="eastAsia" w:ascii="Times New Roman" w:hAnsi="Times New Roman" w:eastAsia="仿宋_GB2312" w:cs="Times New Roman"/>
          <w:color w:val="auto"/>
          <w:kern w:val="0"/>
          <w:sz w:val="32"/>
          <w:szCs w:val="32"/>
          <w:lang w:eastAsia="zh-CN"/>
        </w:rPr>
        <w:t>、</w:t>
      </w:r>
      <w:r>
        <w:rPr>
          <w:rFonts w:hint="eastAsia" w:ascii="Times New Roman" w:hAnsi="Times New Roman" w:eastAsia="仿宋_GB2312" w:cs="Times New Roman"/>
          <w:color w:val="auto"/>
          <w:kern w:val="0"/>
          <w:sz w:val="32"/>
          <w:szCs w:val="32"/>
          <w:lang w:val="en-US" w:eastAsia="zh-CN"/>
        </w:rPr>
        <w:t>项目完成率和项目资金支付率</w:t>
      </w:r>
      <w:r>
        <w:rPr>
          <w:rFonts w:hint="eastAsia" w:ascii="Times New Roman" w:hAnsi="Times New Roman" w:eastAsia="仿宋_GB2312" w:cs="Times New Roman"/>
          <w:sz w:val="32"/>
          <w:szCs w:val="32"/>
          <w:u w:val="none"/>
          <w:lang w:val="en-US" w:eastAsia="zh-CN" w:bidi="ar"/>
        </w:rPr>
        <w:t>。</w:t>
      </w:r>
    </w:p>
    <w:bookmarkEnd w:id="47"/>
    <w:p w14:paraId="3B6D04EA">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1C05A2AE">
      <w:pPr>
        <w:spacing w:line="578"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color w:val="000000"/>
          <w:kern w:val="0"/>
          <w:sz w:val="32"/>
          <w:szCs w:val="32"/>
          <w:shd w:val="clear" w:color="auto" w:fill="FFFFFF"/>
        </w:rPr>
        <w:t>附表：</w:t>
      </w:r>
      <w:r>
        <w:rPr>
          <w:rFonts w:hint="eastAsia" w:ascii="Times New Roman" w:hAnsi="Times New Roman" w:eastAsia="仿宋_GB2312" w:cs="Times New Roman"/>
          <w:color w:val="000000"/>
          <w:kern w:val="0"/>
          <w:sz w:val="32"/>
          <w:szCs w:val="32"/>
          <w:shd w:val="clear" w:color="auto" w:fill="FFFFFF"/>
        </w:rPr>
        <w:t>1.</w:t>
      </w:r>
      <w:r>
        <w:rPr>
          <w:rFonts w:hint="eastAsia" w:ascii="Times New Roman" w:hAnsi="Times New Roman" w:eastAsia="仿宋_GB2312" w:cs="Times New Roman"/>
          <w:sz w:val="32"/>
          <w:szCs w:val="32"/>
        </w:rPr>
        <w:t>部门预算绩效自评打分表</w:t>
      </w:r>
    </w:p>
    <w:p w14:paraId="046E6591">
      <w:pPr>
        <w:spacing w:line="578" w:lineRule="exact"/>
        <w:ind w:firstLine="1600" w:firstLineChars="500"/>
        <w:jc w:val="left"/>
        <w:rPr>
          <w:rFonts w:ascii="Times New Roman" w:hAnsi="Times New Roman" w:eastAsia="仿宋_GB2312" w:cs="Times New Roman"/>
          <w:color w:val="000000"/>
          <w:kern w:val="0"/>
          <w:sz w:val="32"/>
          <w:szCs w:val="32"/>
          <w:shd w:val="clear" w:color="auto" w:fill="FFFFFF"/>
        </w:rPr>
      </w:pPr>
      <w:r>
        <w:rPr>
          <w:rFonts w:hint="eastAsia" w:ascii="Times New Roman" w:hAnsi="Times New Roman" w:eastAsia="仿宋_GB2312" w:cs="Times New Roman"/>
          <w:sz w:val="32"/>
          <w:szCs w:val="32"/>
        </w:rPr>
        <w:t>2.</w:t>
      </w:r>
      <w:r>
        <w:rPr>
          <w:rFonts w:ascii="Times New Roman" w:hAnsi="Times New Roman" w:eastAsia="仿宋_GB2312" w:cs="Times New Roman"/>
          <w:color w:val="000000"/>
          <w:kern w:val="0"/>
          <w:sz w:val="32"/>
          <w:szCs w:val="32"/>
          <w:shd w:val="clear" w:color="auto" w:fill="FFFFFF"/>
        </w:rPr>
        <w:t>部门整体</w:t>
      </w:r>
      <w:r>
        <w:rPr>
          <w:rFonts w:hint="eastAsia" w:ascii="Times New Roman" w:hAnsi="Times New Roman" w:eastAsia="仿宋_GB2312" w:cs="Times New Roman"/>
          <w:color w:val="000000"/>
          <w:kern w:val="0"/>
          <w:sz w:val="32"/>
          <w:szCs w:val="32"/>
          <w:shd w:val="clear" w:color="auto" w:fill="FFFFFF"/>
        </w:rPr>
        <w:t>支出</w:t>
      </w:r>
      <w:r>
        <w:rPr>
          <w:rFonts w:ascii="Times New Roman" w:hAnsi="Times New Roman" w:eastAsia="仿宋_GB2312" w:cs="Times New Roman"/>
          <w:color w:val="000000"/>
          <w:kern w:val="0"/>
          <w:sz w:val="32"/>
          <w:szCs w:val="32"/>
          <w:shd w:val="clear" w:color="auto" w:fill="FFFFFF"/>
        </w:rPr>
        <w:t>绩效目标完成情况自评表</w:t>
      </w:r>
    </w:p>
    <w:p w14:paraId="19B862CA">
      <w:pPr>
        <w:spacing w:line="578" w:lineRule="exact"/>
        <w:ind w:firstLine="1600" w:firstLineChars="500"/>
        <w:jc w:val="left"/>
        <w:rPr>
          <w:rFonts w:ascii="Times New Roman" w:hAnsi="Times New Roman" w:eastAsia="仿宋_GB2312" w:cs="Times New Roman"/>
          <w:sz w:val="32"/>
          <w:szCs w:val="32"/>
        </w:rPr>
      </w:pPr>
      <w:r>
        <w:rPr>
          <w:rFonts w:hint="eastAsia" w:ascii="Times New Roman" w:hAnsi="Times New Roman" w:eastAsia="仿宋_GB2312" w:cs="Times New Roman"/>
          <w:color w:val="000000"/>
          <w:kern w:val="0"/>
          <w:sz w:val="32"/>
          <w:szCs w:val="32"/>
          <w:shd w:val="clear" w:color="auto" w:fill="FFFFFF"/>
        </w:rPr>
        <w:t>3.</w:t>
      </w:r>
      <w:r>
        <w:rPr>
          <w:rFonts w:ascii="Times New Roman" w:hAnsi="Times New Roman" w:eastAsia="仿宋_GB2312" w:cs="Times New Roman"/>
          <w:sz w:val="32"/>
          <w:szCs w:val="32"/>
        </w:rPr>
        <w:t>部门预算项目支出绩效评价表（202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w:t>
      </w:r>
    </w:p>
    <w:p w14:paraId="13E9CD8E">
      <w:pPr>
        <w:rPr>
          <w:rFonts w:hint="eastAsia" w:ascii="Times New Roman" w:hAnsi="Times New Roman" w:eastAsia="仿宋_GB2312" w:cs="Times New Roman"/>
          <w:kern w:val="2"/>
          <w:sz w:val="32"/>
          <w:szCs w:val="32"/>
          <w:u w:val="none"/>
          <w:lang w:val="zh-CN" w:eastAsia="zh-CN" w:bidi="ar"/>
        </w:rPr>
      </w:pPr>
    </w:p>
    <w:p w14:paraId="7E1FA3D0">
      <w:pPr>
        <w:rPr>
          <w:rFonts w:hint="eastAsia" w:ascii="Times New Roman" w:hAnsi="Times New Roman" w:eastAsia="仿宋_GB2312" w:cs="Times New Roman"/>
          <w:kern w:val="2"/>
          <w:sz w:val="32"/>
          <w:szCs w:val="32"/>
          <w:u w:val="none"/>
          <w:lang w:val="zh-CN" w:eastAsia="zh-CN" w:bidi="ar"/>
        </w:rPr>
      </w:pPr>
    </w:p>
    <w:p w14:paraId="60F3CCE1">
      <w:pPr>
        <w:rPr>
          <w:rFonts w:hint="eastAsia" w:ascii="Times New Roman" w:hAnsi="Times New Roman" w:eastAsia="仿宋_GB2312" w:cs="Times New Roman"/>
          <w:kern w:val="2"/>
          <w:sz w:val="32"/>
          <w:szCs w:val="32"/>
          <w:u w:val="none"/>
          <w:lang w:val="zh-CN" w:eastAsia="zh-CN" w:bidi="ar"/>
        </w:rPr>
      </w:pPr>
    </w:p>
    <w:p w14:paraId="22BBD2AA">
      <w:pPr>
        <w:rPr>
          <w:rFonts w:hint="eastAsia" w:ascii="Times New Roman" w:hAnsi="Times New Roman" w:eastAsia="仿宋_GB2312" w:cs="Times New Roman"/>
          <w:kern w:val="2"/>
          <w:sz w:val="32"/>
          <w:szCs w:val="32"/>
          <w:u w:val="none"/>
          <w:lang w:val="zh-CN" w:eastAsia="zh-CN" w:bidi="ar"/>
        </w:rPr>
      </w:pPr>
    </w:p>
    <w:p w14:paraId="0B95B3B3">
      <w:pPr>
        <w:rPr>
          <w:rFonts w:hint="eastAsia" w:ascii="Times New Roman" w:hAnsi="Times New Roman" w:eastAsia="仿宋_GB2312" w:cs="Times New Roman"/>
          <w:kern w:val="2"/>
          <w:sz w:val="32"/>
          <w:szCs w:val="32"/>
          <w:u w:val="none"/>
          <w:lang w:val="zh-CN" w:eastAsia="zh-CN" w:bidi="ar"/>
        </w:rPr>
      </w:pPr>
    </w:p>
    <w:p w14:paraId="3CA8A23F">
      <w:pPr>
        <w:rPr>
          <w:rFonts w:hint="eastAsia" w:ascii="Times New Roman" w:hAnsi="Times New Roman" w:eastAsia="仿宋_GB2312" w:cs="Times New Roman"/>
          <w:kern w:val="2"/>
          <w:sz w:val="32"/>
          <w:szCs w:val="32"/>
          <w:u w:val="none"/>
          <w:lang w:val="zh-CN" w:eastAsia="zh-CN" w:bidi="ar"/>
        </w:rPr>
      </w:pPr>
    </w:p>
    <w:p w14:paraId="12C914AF">
      <w:pPr>
        <w:rPr>
          <w:rFonts w:hint="eastAsia" w:ascii="Times New Roman" w:hAnsi="Times New Roman" w:eastAsia="仿宋_GB2312" w:cs="Times New Roman"/>
          <w:kern w:val="2"/>
          <w:sz w:val="32"/>
          <w:szCs w:val="32"/>
          <w:u w:val="none"/>
          <w:lang w:val="zh-CN" w:eastAsia="zh-CN" w:bidi="ar"/>
        </w:rPr>
      </w:pPr>
    </w:p>
    <w:p w14:paraId="05A2A90A">
      <w:pPr>
        <w:rPr>
          <w:rFonts w:hint="eastAsia" w:ascii="Times New Roman" w:hAnsi="Times New Roman" w:eastAsia="仿宋_GB2312" w:cs="Times New Roman"/>
          <w:kern w:val="2"/>
          <w:sz w:val="32"/>
          <w:szCs w:val="32"/>
          <w:u w:val="none"/>
          <w:lang w:val="zh-CN" w:eastAsia="zh-CN" w:bidi="ar"/>
        </w:rPr>
      </w:pPr>
    </w:p>
    <w:p w14:paraId="605A4D19">
      <w:pPr>
        <w:rPr>
          <w:rFonts w:hint="eastAsia" w:ascii="Times New Roman" w:hAnsi="Times New Roman" w:eastAsia="仿宋_GB2312" w:cs="Times New Roman"/>
          <w:kern w:val="2"/>
          <w:sz w:val="32"/>
          <w:szCs w:val="32"/>
          <w:u w:val="none"/>
          <w:lang w:val="zh-CN" w:eastAsia="zh-CN" w:bidi="ar"/>
        </w:rPr>
      </w:pPr>
    </w:p>
    <w:p w14:paraId="328F4D20">
      <w:pPr>
        <w:rPr>
          <w:rFonts w:hint="eastAsia" w:ascii="Times New Roman" w:hAnsi="Times New Roman" w:eastAsia="仿宋_GB2312" w:cs="Times New Roman"/>
          <w:kern w:val="2"/>
          <w:sz w:val="32"/>
          <w:szCs w:val="32"/>
          <w:u w:val="none"/>
          <w:lang w:val="zh-CN" w:eastAsia="zh-CN" w:bidi="ar"/>
        </w:rPr>
      </w:pPr>
    </w:p>
    <w:p w14:paraId="3EA37669">
      <w:pPr>
        <w:spacing w:line="578" w:lineRule="exact"/>
        <w:jc w:val="left"/>
        <w:rPr>
          <w:rFonts w:ascii="Times New Roman" w:hAnsi="Times New Roman" w:eastAsia="黑体" w:cs="Times New Roman"/>
          <w:sz w:val="32"/>
        </w:rPr>
      </w:pPr>
      <w:r>
        <w:rPr>
          <w:rFonts w:ascii="Times New Roman" w:hAnsi="Times New Roman" w:eastAsia="黑体" w:cs="Times New Roman"/>
          <w:sz w:val="32"/>
        </w:rPr>
        <w:t>附表</w:t>
      </w:r>
      <w:r>
        <w:rPr>
          <w:rFonts w:hint="eastAsia" w:ascii="Times New Roman" w:hAnsi="Times New Roman" w:eastAsia="黑体" w:cs="Times New Roman"/>
          <w:sz w:val="32"/>
        </w:rPr>
        <w:t>1</w:t>
      </w:r>
    </w:p>
    <w:p w14:paraId="199DDA25">
      <w:pPr>
        <w:widowControl/>
        <w:spacing w:line="600" w:lineRule="exact"/>
        <w:jc w:val="center"/>
        <w:textAlignment w:val="center"/>
        <w:rPr>
          <w:rFonts w:hint="default" w:ascii="Times New Roman" w:hAnsi="Times New Roman" w:eastAsia="方正小标宋简体" w:cs="Times New Roman"/>
          <w:color w:val="000000"/>
          <w:kern w:val="0"/>
          <w:sz w:val="44"/>
          <w:szCs w:val="44"/>
          <w:lang w:val="en-US" w:eastAsia="zh-CN"/>
        </w:rPr>
      </w:pPr>
      <w:r>
        <w:rPr>
          <w:rFonts w:hint="eastAsia" w:ascii="Times New Roman" w:hAnsi="Times New Roman" w:eastAsia="方正小标宋简体" w:cs="Times New Roman"/>
          <w:color w:val="000000"/>
          <w:kern w:val="0"/>
          <w:sz w:val="44"/>
          <w:szCs w:val="44"/>
        </w:rPr>
        <w:t>部门预算绩效自评打分表</w:t>
      </w:r>
      <w:r>
        <w:rPr>
          <w:rFonts w:hint="eastAsia" w:ascii="Times New Roman" w:hAnsi="Times New Roman" w:eastAsia="方正小标宋简体" w:cs="Times New Roman"/>
          <w:color w:val="000000"/>
          <w:kern w:val="0"/>
          <w:sz w:val="44"/>
          <w:szCs w:val="44"/>
          <w:lang w:val="en-US" w:eastAsia="zh-CN"/>
        </w:rPr>
        <w:t xml:space="preserve"> </w:t>
      </w:r>
    </w:p>
    <w:tbl>
      <w:tblPr>
        <w:tblStyle w:val="15"/>
        <w:tblW w:w="10912" w:type="dxa"/>
        <w:jc w:val="center"/>
        <w:tblLayout w:type="fixed"/>
        <w:tblCellMar>
          <w:top w:w="0" w:type="dxa"/>
          <w:left w:w="108" w:type="dxa"/>
          <w:bottom w:w="0" w:type="dxa"/>
          <w:right w:w="108" w:type="dxa"/>
        </w:tblCellMar>
      </w:tblPr>
      <w:tblGrid>
        <w:gridCol w:w="1097"/>
        <w:gridCol w:w="1201"/>
        <w:gridCol w:w="1929"/>
        <w:gridCol w:w="717"/>
        <w:gridCol w:w="4760"/>
        <w:gridCol w:w="730"/>
        <w:gridCol w:w="478"/>
      </w:tblGrid>
      <w:tr w14:paraId="7B0C2DFB">
        <w:tblPrEx>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noWrap w:val="0"/>
            <w:vAlign w:val="center"/>
          </w:tcPr>
          <w:p w14:paraId="7F29AD2B">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绩效评价指标指标分值</w:t>
            </w:r>
          </w:p>
        </w:tc>
        <w:tc>
          <w:tcPr>
            <w:tcW w:w="4760" w:type="dxa"/>
            <w:vMerge w:val="restart"/>
            <w:tcBorders>
              <w:top w:val="single" w:color="000000" w:sz="4" w:space="0"/>
              <w:left w:val="single" w:color="000000" w:sz="4" w:space="0"/>
              <w:bottom w:val="single" w:color="000000" w:sz="4" w:space="0"/>
              <w:right w:val="single" w:color="000000" w:sz="4" w:space="0"/>
            </w:tcBorders>
            <w:noWrap w:val="0"/>
            <w:vAlign w:val="center"/>
          </w:tcPr>
          <w:p w14:paraId="754C3156">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730" w:type="dxa"/>
            <w:vMerge w:val="restart"/>
            <w:tcBorders>
              <w:top w:val="single" w:color="000000" w:sz="4" w:space="0"/>
              <w:left w:val="single" w:color="000000" w:sz="4" w:space="0"/>
              <w:right w:val="single" w:color="000000" w:sz="4" w:space="0"/>
            </w:tcBorders>
            <w:noWrap w:val="0"/>
            <w:vAlign w:val="center"/>
          </w:tcPr>
          <w:p w14:paraId="4FB69F42">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478" w:type="dxa"/>
            <w:vMerge w:val="restart"/>
            <w:tcBorders>
              <w:top w:val="single" w:color="000000" w:sz="4" w:space="0"/>
              <w:left w:val="single" w:color="000000" w:sz="4" w:space="0"/>
              <w:right w:val="single" w:color="000000" w:sz="4" w:space="0"/>
            </w:tcBorders>
            <w:noWrap w:val="0"/>
            <w:vAlign w:val="center"/>
          </w:tcPr>
          <w:p w14:paraId="47E26B78">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14:paraId="5F22B094">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noWrap w:val="0"/>
            <w:vAlign w:val="center"/>
          </w:tcPr>
          <w:p w14:paraId="6294C8E4">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0FF00AFB">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6F44977E">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7762056E">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47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C5E60E">
            <w:pPr>
              <w:widowControl/>
              <w:spacing w:line="240" w:lineRule="exact"/>
              <w:jc w:val="center"/>
              <w:rPr>
                <w:rFonts w:ascii="黑体" w:hAnsi="宋体" w:eastAsia="黑体" w:cs="黑体"/>
                <w:color w:val="000000"/>
                <w:sz w:val="24"/>
              </w:rPr>
            </w:pPr>
          </w:p>
        </w:tc>
        <w:tc>
          <w:tcPr>
            <w:tcW w:w="730" w:type="dxa"/>
            <w:vMerge w:val="continue"/>
            <w:tcBorders>
              <w:left w:val="single" w:color="000000" w:sz="4" w:space="0"/>
              <w:bottom w:val="single" w:color="000000" w:sz="4" w:space="0"/>
              <w:right w:val="single" w:color="000000" w:sz="4" w:space="0"/>
            </w:tcBorders>
            <w:noWrap w:val="0"/>
            <w:vAlign w:val="center"/>
          </w:tcPr>
          <w:p w14:paraId="2E3CF416">
            <w:pPr>
              <w:widowControl/>
              <w:spacing w:line="240" w:lineRule="exact"/>
              <w:jc w:val="center"/>
              <w:rPr>
                <w:rFonts w:ascii="黑体" w:hAnsi="宋体" w:eastAsia="黑体" w:cs="黑体"/>
                <w:color w:val="000000"/>
                <w:sz w:val="24"/>
              </w:rPr>
            </w:pPr>
          </w:p>
        </w:tc>
        <w:tc>
          <w:tcPr>
            <w:tcW w:w="478" w:type="dxa"/>
            <w:vMerge w:val="continue"/>
            <w:tcBorders>
              <w:left w:val="single" w:color="000000" w:sz="4" w:space="0"/>
              <w:bottom w:val="single" w:color="000000" w:sz="4" w:space="0"/>
              <w:right w:val="single" w:color="000000" w:sz="4" w:space="0"/>
            </w:tcBorders>
            <w:noWrap w:val="0"/>
            <w:vAlign w:val="center"/>
          </w:tcPr>
          <w:p w14:paraId="54F81ACE">
            <w:pPr>
              <w:widowControl/>
              <w:spacing w:line="240" w:lineRule="exact"/>
              <w:jc w:val="center"/>
              <w:rPr>
                <w:rFonts w:ascii="黑体" w:hAnsi="宋体" w:eastAsia="黑体" w:cs="黑体"/>
                <w:color w:val="000000"/>
                <w:sz w:val="24"/>
              </w:rPr>
            </w:pPr>
          </w:p>
        </w:tc>
      </w:tr>
      <w:tr w14:paraId="17593A77">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noWrap w:val="0"/>
            <w:vAlign w:val="center"/>
          </w:tcPr>
          <w:p w14:paraId="3D21F6C5">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总体绩效（65分）</w:t>
            </w: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6AEAE548">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履职效能</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（15分）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75F30E9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履职效果</w:t>
            </w:r>
          </w:p>
        </w:tc>
        <w:tc>
          <w:tcPr>
            <w:tcW w:w="717" w:type="dxa"/>
            <w:tcBorders>
              <w:top w:val="nil"/>
              <w:left w:val="single" w:color="000000" w:sz="4" w:space="0"/>
              <w:bottom w:val="single" w:color="000000" w:sz="4" w:space="0"/>
              <w:right w:val="single" w:color="000000" w:sz="4" w:space="0"/>
            </w:tcBorders>
            <w:noWrap w:val="0"/>
            <w:vAlign w:val="center"/>
          </w:tcPr>
          <w:p w14:paraId="2CE417B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15</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2C3C446D">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部门整体绩效目标中选定3-5个核心职能目标，反映该项职能目标完成效果情况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4C72192">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0A6D4DC2">
            <w:pPr>
              <w:widowControl/>
              <w:spacing w:line="240" w:lineRule="exact"/>
              <w:jc w:val="left"/>
              <w:textAlignment w:val="center"/>
              <w:rPr>
                <w:rFonts w:ascii="宋体" w:hAnsi="宋体" w:eastAsia="宋体" w:cs="宋体"/>
                <w:color w:val="000000"/>
                <w:kern w:val="0"/>
                <w:sz w:val="24"/>
              </w:rPr>
            </w:pPr>
          </w:p>
        </w:tc>
      </w:tr>
      <w:tr w14:paraId="67FC3468">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7D3FBAB6">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right w:val="single" w:color="000000" w:sz="4" w:space="0"/>
            </w:tcBorders>
            <w:noWrap w:val="0"/>
            <w:vAlign w:val="center"/>
          </w:tcPr>
          <w:p w14:paraId="4D622B61">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预算管理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（25分）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45B4D89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预算编制质量</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0B7DCAA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8</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706FEAE7">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部门是否严格按要求编制年初部门预算，年初预算编制的科学性和准确性</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609E2E6F">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648C7E4E">
            <w:pPr>
              <w:widowControl/>
              <w:spacing w:line="240" w:lineRule="exact"/>
              <w:jc w:val="left"/>
              <w:textAlignment w:val="center"/>
              <w:rPr>
                <w:rFonts w:ascii="宋体" w:hAnsi="宋体" w:eastAsia="宋体" w:cs="宋体"/>
                <w:color w:val="000000"/>
                <w:kern w:val="0"/>
                <w:sz w:val="24"/>
              </w:rPr>
            </w:pPr>
          </w:p>
        </w:tc>
      </w:tr>
      <w:tr w14:paraId="2C2D35A1">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671AC8BC">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noWrap w:val="0"/>
            <w:vAlign w:val="center"/>
          </w:tcPr>
          <w:p w14:paraId="4E8561CD">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4162432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单位收入统筹</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0F45D58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614C9399">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部门统筹自有收入努力程度</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28F83F40">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4256920">
            <w:pPr>
              <w:widowControl/>
              <w:spacing w:line="240" w:lineRule="exact"/>
              <w:jc w:val="left"/>
              <w:textAlignment w:val="center"/>
              <w:rPr>
                <w:rFonts w:ascii="宋体" w:hAnsi="宋体" w:eastAsia="宋体" w:cs="宋体"/>
                <w:color w:val="000000"/>
                <w:kern w:val="0"/>
                <w:sz w:val="24"/>
              </w:rPr>
            </w:pPr>
          </w:p>
        </w:tc>
      </w:tr>
      <w:tr w14:paraId="4CAFD19A">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0485CE9E">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noWrap w:val="0"/>
            <w:vAlign w:val="center"/>
          </w:tcPr>
          <w:p w14:paraId="64C3C610">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3B6A420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支出执行管理</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35A0179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6</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4670BACF">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56D4E57A">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056AF1D1">
            <w:pPr>
              <w:widowControl/>
              <w:spacing w:line="240" w:lineRule="exact"/>
              <w:jc w:val="left"/>
              <w:textAlignment w:val="center"/>
              <w:rPr>
                <w:rFonts w:ascii="宋体" w:hAnsi="宋体" w:eastAsia="宋体" w:cs="宋体"/>
                <w:color w:val="000000"/>
                <w:kern w:val="0"/>
                <w:sz w:val="24"/>
              </w:rPr>
            </w:pPr>
          </w:p>
        </w:tc>
      </w:tr>
      <w:tr w14:paraId="75E2B909">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6BE53FD4">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noWrap w:val="0"/>
            <w:vAlign w:val="center"/>
          </w:tcPr>
          <w:p w14:paraId="7AD5A95D">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180F6DD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预算年终结余</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27EED35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14753BDE">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1C9D0079">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4AE90ED">
            <w:pPr>
              <w:widowControl/>
              <w:spacing w:line="240" w:lineRule="exact"/>
              <w:jc w:val="left"/>
              <w:textAlignment w:val="center"/>
              <w:rPr>
                <w:rFonts w:ascii="宋体" w:hAnsi="宋体" w:eastAsia="宋体" w:cs="宋体"/>
                <w:color w:val="000000"/>
                <w:kern w:val="0"/>
                <w:sz w:val="24"/>
              </w:rPr>
            </w:pPr>
          </w:p>
        </w:tc>
      </w:tr>
      <w:tr w14:paraId="130123CF">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noWrap w:val="0"/>
            <w:vAlign w:val="center"/>
          </w:tcPr>
          <w:p w14:paraId="2BAF26A4">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noWrap w:val="0"/>
            <w:vAlign w:val="center"/>
          </w:tcPr>
          <w:p w14:paraId="4332C817">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2BEAE33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严控一般性支出</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7B8EB2F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5</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63278ED4">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部门严控“三公”经费、会议、培训、差旅、办节办展、办公设备购置、信息化建设和运维、课题经费、竞赛活动、规划编制一般性支出情况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13B24629">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DA779B2">
            <w:pPr>
              <w:widowControl/>
              <w:spacing w:line="240" w:lineRule="exact"/>
              <w:jc w:val="left"/>
              <w:textAlignment w:val="center"/>
              <w:rPr>
                <w:rFonts w:ascii="宋体" w:hAnsi="宋体" w:eastAsia="宋体" w:cs="宋体"/>
                <w:color w:val="000000"/>
                <w:kern w:val="0"/>
                <w:sz w:val="24"/>
              </w:rPr>
            </w:pPr>
          </w:p>
        </w:tc>
      </w:tr>
      <w:tr w14:paraId="32C7349B">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4F2AD252">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noWrap w:val="0"/>
            <w:vAlign w:val="center"/>
          </w:tcPr>
          <w:p w14:paraId="7DF6ED07">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财务管理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5E4A986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财务管理制度</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5CB4833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0D34FA3C">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52CAC845">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22D32076">
            <w:pPr>
              <w:widowControl/>
              <w:spacing w:line="240" w:lineRule="exact"/>
              <w:jc w:val="left"/>
              <w:textAlignment w:val="center"/>
              <w:rPr>
                <w:rFonts w:ascii="宋体" w:hAnsi="宋体" w:eastAsia="宋体" w:cs="宋体"/>
                <w:color w:val="000000"/>
                <w:kern w:val="0"/>
                <w:sz w:val="24"/>
              </w:rPr>
            </w:pPr>
          </w:p>
        </w:tc>
      </w:tr>
      <w:tr w14:paraId="3CEA53AB">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4883DD2B">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51C99F">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2239832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财务岗位设置</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4202956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6EDEEA13">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4F4D3EE">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7B04F5BA">
            <w:pPr>
              <w:widowControl/>
              <w:spacing w:line="240" w:lineRule="exact"/>
              <w:jc w:val="left"/>
              <w:textAlignment w:val="center"/>
              <w:rPr>
                <w:rFonts w:ascii="宋体" w:hAnsi="宋体" w:eastAsia="宋体" w:cs="宋体"/>
                <w:color w:val="000000"/>
                <w:kern w:val="0"/>
                <w:sz w:val="24"/>
              </w:rPr>
            </w:pPr>
          </w:p>
        </w:tc>
      </w:tr>
      <w:tr w14:paraId="2B1D8C4D">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451870F5">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E7E354">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3B8A1B0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资金使用规范</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0181547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1B2DA517">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173CB46D">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3A1284E2">
            <w:pPr>
              <w:widowControl/>
              <w:spacing w:line="240" w:lineRule="exact"/>
              <w:jc w:val="left"/>
              <w:textAlignment w:val="center"/>
              <w:rPr>
                <w:rFonts w:ascii="宋体" w:hAnsi="宋体" w:eastAsia="宋体" w:cs="宋体"/>
                <w:color w:val="000000"/>
                <w:kern w:val="0"/>
                <w:sz w:val="24"/>
              </w:rPr>
            </w:pPr>
          </w:p>
        </w:tc>
      </w:tr>
      <w:tr w14:paraId="0DCF3D87">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4662482D">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noWrap w:val="0"/>
            <w:vAlign w:val="center"/>
          </w:tcPr>
          <w:p w14:paraId="34ED4296">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2D47587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人均资产变化率</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6956A35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6A354123">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部门人均资产变化情况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7A3C5AF6">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1FFCDE0A">
            <w:pPr>
              <w:widowControl/>
              <w:spacing w:line="240" w:lineRule="exact"/>
              <w:jc w:val="left"/>
              <w:textAlignment w:val="center"/>
              <w:rPr>
                <w:rFonts w:ascii="宋体" w:hAnsi="宋体" w:eastAsia="宋体" w:cs="宋体"/>
                <w:color w:val="000000"/>
                <w:kern w:val="0"/>
                <w:sz w:val="24"/>
              </w:rPr>
            </w:pPr>
          </w:p>
        </w:tc>
      </w:tr>
      <w:tr w14:paraId="58B1ACE8">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223AEABF">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7F5375">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0BB1501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资产利用率</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6E76586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025D22FD">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2B47AE7C">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01F20ABC">
            <w:pPr>
              <w:widowControl/>
              <w:spacing w:line="240" w:lineRule="exact"/>
              <w:jc w:val="left"/>
              <w:textAlignment w:val="center"/>
              <w:rPr>
                <w:rFonts w:ascii="宋体" w:hAnsi="宋体" w:eastAsia="宋体" w:cs="宋体"/>
                <w:color w:val="000000"/>
                <w:kern w:val="0"/>
                <w:sz w:val="24"/>
              </w:rPr>
            </w:pPr>
          </w:p>
        </w:tc>
      </w:tr>
      <w:tr w14:paraId="0BC9403B">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428B7829">
            <w:pPr>
              <w:widowControl/>
              <w:spacing w:line="240" w:lineRule="exact"/>
              <w:jc w:val="center"/>
              <w:textAlignment w:val="center"/>
              <w:rPr>
                <w:rFonts w:ascii="宋体" w:hAnsi="宋体" w:eastAsia="宋体" w:cs="宋体"/>
                <w:b/>
                <w:color w:val="000000"/>
                <w:sz w:val="24"/>
              </w:rPr>
            </w:pP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76A6CAE7">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6EE5866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资产盘活率</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1DBFBC6B">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0FBC0386">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6BB66B3C">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D4E6176">
            <w:pPr>
              <w:widowControl/>
              <w:spacing w:line="240" w:lineRule="exact"/>
              <w:jc w:val="left"/>
              <w:textAlignment w:val="center"/>
              <w:rPr>
                <w:rFonts w:ascii="宋体" w:hAnsi="宋体" w:eastAsia="宋体" w:cs="宋体"/>
                <w:color w:val="000000"/>
                <w:kern w:val="0"/>
                <w:sz w:val="24"/>
              </w:rPr>
            </w:pPr>
          </w:p>
        </w:tc>
      </w:tr>
      <w:tr w14:paraId="4BAE5857">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476A88A6">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noWrap w:val="0"/>
            <w:vAlign w:val="center"/>
          </w:tcPr>
          <w:p w14:paraId="182BD72B">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采购管理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4D69D0F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支持中小企业发展</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500948D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5192FB14">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0867B16D">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C971B1E">
            <w:pPr>
              <w:widowControl/>
              <w:spacing w:line="240" w:lineRule="exact"/>
              <w:jc w:val="left"/>
              <w:textAlignment w:val="center"/>
              <w:rPr>
                <w:rFonts w:ascii="宋体" w:hAnsi="宋体" w:eastAsia="宋体" w:cs="宋体"/>
                <w:color w:val="000000"/>
                <w:kern w:val="0"/>
                <w:sz w:val="24"/>
              </w:rPr>
            </w:pPr>
          </w:p>
        </w:tc>
      </w:tr>
      <w:tr w14:paraId="3C9F7C9A">
        <w:tblPrEx>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noWrap w:val="0"/>
            <w:vAlign w:val="center"/>
          </w:tcPr>
          <w:p w14:paraId="08746D1F">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6F3F83">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54E5F50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采购执行率</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1119702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1D57A06B">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5B14A2B4">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13AEDFFE">
            <w:pPr>
              <w:widowControl/>
              <w:spacing w:line="240" w:lineRule="exact"/>
              <w:jc w:val="left"/>
              <w:textAlignment w:val="center"/>
              <w:rPr>
                <w:rFonts w:ascii="宋体" w:hAnsi="宋体" w:eastAsia="宋体" w:cs="宋体"/>
                <w:color w:val="000000"/>
                <w:kern w:val="0"/>
                <w:sz w:val="24"/>
              </w:rPr>
            </w:pPr>
          </w:p>
        </w:tc>
      </w:tr>
      <w:tr w14:paraId="2447F661">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noWrap w:val="0"/>
            <w:vAlign w:val="center"/>
          </w:tcPr>
          <w:p w14:paraId="7335E367">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noWrap w:val="0"/>
            <w:vAlign w:val="center"/>
          </w:tcPr>
          <w:p w14:paraId="303A6E73">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项目决策</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7CE522C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决策程序</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621E8DF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09503AB5">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67ADBDA6">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656FC610">
            <w:pPr>
              <w:widowControl/>
              <w:spacing w:line="240" w:lineRule="exact"/>
              <w:jc w:val="left"/>
              <w:textAlignment w:val="center"/>
              <w:rPr>
                <w:rFonts w:ascii="宋体" w:hAnsi="宋体" w:eastAsia="宋体" w:cs="宋体"/>
                <w:color w:val="000000"/>
                <w:kern w:val="0"/>
                <w:sz w:val="24"/>
              </w:rPr>
            </w:pPr>
          </w:p>
        </w:tc>
      </w:tr>
      <w:tr w14:paraId="34A40DC0">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913EE2">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noWrap w:val="0"/>
            <w:vAlign w:val="center"/>
          </w:tcPr>
          <w:p w14:paraId="05C14795">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32DCF37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目标设置</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084034A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08290E5D">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6C8597E">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7F00DF60">
            <w:pPr>
              <w:widowControl/>
              <w:spacing w:line="240" w:lineRule="exact"/>
              <w:jc w:val="left"/>
              <w:textAlignment w:val="center"/>
              <w:rPr>
                <w:rFonts w:ascii="宋体" w:hAnsi="宋体" w:eastAsia="宋体" w:cs="宋体"/>
                <w:color w:val="000000"/>
                <w:kern w:val="0"/>
                <w:sz w:val="24"/>
              </w:rPr>
            </w:pPr>
          </w:p>
        </w:tc>
      </w:tr>
      <w:tr w14:paraId="4C7B89E1">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E50E83">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noWrap w:val="0"/>
            <w:vAlign w:val="center"/>
          </w:tcPr>
          <w:p w14:paraId="653704CD">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7BE6A8C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项目入库</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1508510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3BB6AF5A">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部门预算项目是否在规定时间完成项目入库</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01768D9E">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2B71B052">
            <w:pPr>
              <w:widowControl/>
              <w:spacing w:line="240" w:lineRule="exact"/>
              <w:jc w:val="left"/>
              <w:textAlignment w:val="center"/>
              <w:rPr>
                <w:rFonts w:ascii="宋体" w:hAnsi="宋体" w:eastAsia="宋体" w:cs="宋体"/>
                <w:color w:val="000000"/>
                <w:kern w:val="0"/>
                <w:sz w:val="24"/>
              </w:rPr>
            </w:pPr>
          </w:p>
        </w:tc>
      </w:tr>
      <w:tr w14:paraId="587F304C">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012AB4">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nil"/>
              <w:right w:val="single" w:color="000000" w:sz="4" w:space="0"/>
            </w:tcBorders>
            <w:noWrap w:val="0"/>
            <w:vAlign w:val="center"/>
          </w:tcPr>
          <w:p w14:paraId="560967CC">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项目执行</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76698D0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执行同向</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3DF5018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1F796706">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014B5F69">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E9A1001">
            <w:pPr>
              <w:widowControl/>
              <w:spacing w:line="240" w:lineRule="exact"/>
              <w:jc w:val="left"/>
              <w:textAlignment w:val="center"/>
              <w:rPr>
                <w:rFonts w:ascii="宋体" w:hAnsi="宋体" w:eastAsia="宋体" w:cs="宋体"/>
                <w:color w:val="000000"/>
                <w:kern w:val="0"/>
                <w:sz w:val="24"/>
              </w:rPr>
            </w:pPr>
          </w:p>
        </w:tc>
      </w:tr>
      <w:tr w14:paraId="297CCCAE">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43FEEE">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noWrap w:val="0"/>
            <w:vAlign w:val="center"/>
          </w:tcPr>
          <w:p w14:paraId="10A494BA">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nil"/>
              <w:right w:val="single" w:color="000000" w:sz="4" w:space="0"/>
            </w:tcBorders>
            <w:noWrap w:val="0"/>
            <w:vAlign w:val="center"/>
          </w:tcPr>
          <w:p w14:paraId="0D5EBFB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项目调整</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6B376F5B">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35459BBA">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15DD008F">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7F2A0414">
            <w:pPr>
              <w:widowControl/>
              <w:spacing w:line="240" w:lineRule="exact"/>
              <w:jc w:val="left"/>
              <w:textAlignment w:val="center"/>
              <w:rPr>
                <w:rFonts w:ascii="宋体" w:hAnsi="宋体" w:eastAsia="宋体" w:cs="宋体"/>
                <w:color w:val="000000"/>
                <w:kern w:val="0"/>
                <w:sz w:val="24"/>
              </w:rPr>
            </w:pPr>
          </w:p>
        </w:tc>
      </w:tr>
      <w:tr w14:paraId="46150A27">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E16373">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noWrap w:val="0"/>
            <w:vAlign w:val="center"/>
          </w:tcPr>
          <w:p w14:paraId="3D1DD9ED">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461F217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执行结果</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69DB977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5D72061B">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0867F415">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631B87FA">
            <w:pPr>
              <w:widowControl/>
              <w:spacing w:line="240" w:lineRule="exact"/>
              <w:jc w:val="left"/>
              <w:textAlignment w:val="center"/>
              <w:rPr>
                <w:rFonts w:ascii="宋体" w:hAnsi="宋体" w:eastAsia="宋体" w:cs="宋体"/>
                <w:color w:val="000000"/>
                <w:kern w:val="0"/>
                <w:sz w:val="24"/>
              </w:rPr>
            </w:pPr>
          </w:p>
        </w:tc>
      </w:tr>
      <w:tr w14:paraId="1BE38595">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4C9242">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noWrap w:val="0"/>
            <w:vAlign w:val="center"/>
          </w:tcPr>
          <w:p w14:paraId="524205CF">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目标实现</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（11分）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2D167E9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目标完成</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6C1F8DB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7CDD3828">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3B1DA058">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FE1C4F6">
            <w:pPr>
              <w:widowControl/>
              <w:spacing w:line="240" w:lineRule="exact"/>
              <w:jc w:val="left"/>
              <w:textAlignment w:val="center"/>
              <w:rPr>
                <w:rFonts w:ascii="宋体" w:hAnsi="宋体" w:eastAsia="宋体" w:cs="宋体"/>
                <w:color w:val="000000"/>
                <w:kern w:val="0"/>
                <w:sz w:val="24"/>
              </w:rPr>
            </w:pPr>
          </w:p>
        </w:tc>
      </w:tr>
      <w:tr w14:paraId="643F56D8">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B3B7BA">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4DAEC6">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233AEF1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目标偏离</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3BB1B90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06B22B29">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51BF6B43">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10B76419">
            <w:pPr>
              <w:widowControl/>
              <w:spacing w:line="240" w:lineRule="exact"/>
              <w:jc w:val="left"/>
              <w:textAlignment w:val="center"/>
              <w:rPr>
                <w:rFonts w:ascii="宋体" w:hAnsi="宋体" w:eastAsia="宋体" w:cs="宋体"/>
                <w:color w:val="000000"/>
                <w:kern w:val="0"/>
                <w:sz w:val="24"/>
              </w:rPr>
            </w:pPr>
          </w:p>
        </w:tc>
      </w:tr>
      <w:tr w14:paraId="74DD2C22">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0DCA35">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32884B">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4666654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实现效果</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1EEDFA5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27FC055E">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250E035D">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E84252B">
            <w:pPr>
              <w:widowControl/>
              <w:spacing w:line="240" w:lineRule="exact"/>
              <w:jc w:val="left"/>
              <w:textAlignment w:val="center"/>
              <w:rPr>
                <w:rFonts w:ascii="宋体" w:hAnsi="宋体" w:eastAsia="宋体" w:cs="宋体"/>
                <w:color w:val="000000"/>
                <w:kern w:val="0"/>
                <w:sz w:val="24"/>
              </w:rPr>
            </w:pPr>
          </w:p>
        </w:tc>
      </w:tr>
      <w:tr w14:paraId="0368FDBF">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noWrap w:val="0"/>
            <w:vAlign w:val="center"/>
          </w:tcPr>
          <w:p w14:paraId="1B67CB9A">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扣分项</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3130" w:type="dxa"/>
            <w:gridSpan w:val="2"/>
            <w:tcBorders>
              <w:top w:val="single" w:color="000000" w:sz="4" w:space="0"/>
              <w:left w:val="single" w:color="000000" w:sz="4" w:space="0"/>
              <w:bottom w:val="single" w:color="000000" w:sz="4" w:space="0"/>
              <w:right w:val="single" w:color="000000" w:sz="4" w:space="0"/>
            </w:tcBorders>
            <w:noWrap w:val="0"/>
            <w:vAlign w:val="center"/>
          </w:tcPr>
          <w:p w14:paraId="6C98C32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被评价部门配合度</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70385D3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537B2906">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524CB267">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5298F41">
            <w:pPr>
              <w:widowControl/>
              <w:spacing w:line="240" w:lineRule="exact"/>
              <w:jc w:val="left"/>
              <w:textAlignment w:val="center"/>
              <w:rPr>
                <w:rFonts w:ascii="宋体" w:hAnsi="宋体" w:eastAsia="宋体" w:cs="宋体"/>
                <w:color w:val="000000"/>
                <w:kern w:val="0"/>
                <w:sz w:val="24"/>
              </w:rPr>
            </w:pPr>
          </w:p>
        </w:tc>
      </w:tr>
    </w:tbl>
    <w:p w14:paraId="2B77B3AC">
      <w:pPr>
        <w:keepNext/>
        <w:keepLines/>
        <w:widowControl w:val="0"/>
        <w:spacing w:before="280" w:after="156" w:line="20" w:lineRule="exact"/>
        <w:outlineLvl w:val="4"/>
        <w:rPr>
          <w:rFonts w:ascii="Arial" w:hAnsi="Arial" w:eastAsia="黑体" w:cs="Times New Roman"/>
          <w:b/>
          <w:kern w:val="2"/>
          <w:sz w:val="24"/>
          <w:szCs w:val="28"/>
          <w:lang w:val="en-US" w:eastAsia="zh-CN" w:bidi="ar-SA"/>
        </w:rPr>
      </w:pPr>
    </w:p>
    <w:p w14:paraId="2347A1FA">
      <w:pPr>
        <w:spacing w:line="20" w:lineRule="exact"/>
        <w:rPr>
          <w:rFonts w:ascii="Times New Roman" w:hAnsi="Times New Roman" w:eastAsia="黑体" w:cs="Times New Roman"/>
          <w:sz w:val="32"/>
        </w:rPr>
      </w:pPr>
      <w:r>
        <w:rPr>
          <w:rFonts w:ascii="Times New Roman" w:hAnsi="Times New Roman" w:eastAsia="黑体" w:cs="Times New Roman"/>
          <w:sz w:val="32"/>
        </w:rPr>
        <w:br w:type="page"/>
      </w:r>
    </w:p>
    <w:p w14:paraId="3ED400A8">
      <w:pPr>
        <w:spacing w:line="578" w:lineRule="exact"/>
        <w:jc w:val="left"/>
        <w:rPr>
          <w:rFonts w:ascii="Times New Roman" w:hAnsi="Times New Roman" w:eastAsia="黑体" w:cs="Times New Roman"/>
          <w:sz w:val="32"/>
        </w:rPr>
      </w:pPr>
      <w:r>
        <w:rPr>
          <w:rFonts w:ascii="Times New Roman" w:hAnsi="Times New Roman" w:eastAsia="黑体" w:cs="Times New Roman"/>
          <w:sz w:val="32"/>
        </w:rPr>
        <w:t>附表</w:t>
      </w:r>
      <w:r>
        <w:rPr>
          <w:rFonts w:hint="eastAsia" w:ascii="Times New Roman" w:hAnsi="Times New Roman" w:eastAsia="黑体" w:cs="Times New Roman"/>
          <w:sz w:val="32"/>
        </w:rPr>
        <w:t>2</w:t>
      </w:r>
    </w:p>
    <w:p w14:paraId="65FDB77C">
      <w:pPr>
        <w:widowControl/>
        <w:spacing w:line="578" w:lineRule="exact"/>
        <w:jc w:val="center"/>
        <w:textAlignment w:val="center"/>
        <w:rPr>
          <w:rFonts w:ascii="Times New Roman" w:hAnsi="Times New Roman" w:eastAsia="方正小标宋简体" w:cs="Times New Roman"/>
          <w:color w:val="000000"/>
          <w:kern w:val="0"/>
          <w:sz w:val="44"/>
          <w:szCs w:val="44"/>
        </w:rPr>
      </w:pPr>
      <w:r>
        <w:rPr>
          <w:rFonts w:ascii="Times New Roman" w:hAnsi="Times New Roman" w:eastAsia="方正小标宋简体" w:cs="Times New Roman"/>
          <w:color w:val="000000"/>
          <w:kern w:val="0"/>
          <w:sz w:val="44"/>
          <w:szCs w:val="44"/>
        </w:rPr>
        <w:t>部门整体</w:t>
      </w:r>
      <w:r>
        <w:rPr>
          <w:rFonts w:hint="eastAsia" w:ascii="Times New Roman" w:hAnsi="Times New Roman" w:eastAsia="方正小标宋简体" w:cs="Times New Roman"/>
          <w:color w:val="000000"/>
          <w:kern w:val="0"/>
          <w:sz w:val="44"/>
          <w:szCs w:val="44"/>
        </w:rPr>
        <w:t>支出</w:t>
      </w:r>
      <w:r>
        <w:rPr>
          <w:rFonts w:ascii="Times New Roman" w:hAnsi="Times New Roman" w:eastAsia="方正小标宋简体" w:cs="Times New Roman"/>
          <w:color w:val="000000"/>
          <w:kern w:val="0"/>
          <w:sz w:val="44"/>
          <w:szCs w:val="44"/>
        </w:rPr>
        <w:t>绩效目标完成情况自评表</w:t>
      </w:r>
    </w:p>
    <w:tbl>
      <w:tblPr>
        <w:tblStyle w:val="15"/>
        <w:tblW w:w="9805" w:type="dxa"/>
        <w:jc w:val="center"/>
        <w:tblLayout w:type="fixed"/>
        <w:tblCellMar>
          <w:top w:w="0" w:type="dxa"/>
          <w:left w:w="108" w:type="dxa"/>
          <w:bottom w:w="0" w:type="dxa"/>
          <w:right w:w="108" w:type="dxa"/>
        </w:tblCellMar>
      </w:tblPr>
      <w:tblGrid>
        <w:gridCol w:w="331"/>
        <w:gridCol w:w="593"/>
        <w:gridCol w:w="803"/>
        <w:gridCol w:w="1246"/>
        <w:gridCol w:w="1094"/>
        <w:gridCol w:w="1088"/>
        <w:gridCol w:w="975"/>
        <w:gridCol w:w="1075"/>
        <w:gridCol w:w="1087"/>
        <w:gridCol w:w="1513"/>
      </w:tblGrid>
      <w:tr w14:paraId="15287E64">
        <w:tblPrEx>
          <w:tblCellMar>
            <w:top w:w="0" w:type="dxa"/>
            <w:left w:w="108" w:type="dxa"/>
            <w:bottom w:w="0" w:type="dxa"/>
            <w:right w:w="108" w:type="dxa"/>
          </w:tblCellMar>
        </w:tblPrEx>
        <w:trPr>
          <w:trHeight w:val="60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14:paraId="6D8CECFE">
            <w:pPr>
              <w:rPr>
                <w:rFonts w:ascii="宋体" w:hAnsi="宋体" w:eastAsia="宋体" w:cs="宋体"/>
                <w:color w:val="000000"/>
                <w:kern w:val="0"/>
                <w:sz w:val="24"/>
              </w:rPr>
            </w:pPr>
            <w:r>
              <w:rPr>
                <w:rFonts w:ascii="Times New Roman" w:hAnsi="Times New Roman" w:eastAsia="黑体" w:cs="Times New Roman"/>
                <w:sz w:val="24"/>
              </w:rPr>
              <w:br w:type="page"/>
            </w:r>
            <w:r>
              <w:rPr>
                <w:rFonts w:hint="eastAsia" w:ascii="宋体" w:hAnsi="宋体" w:eastAsia="宋体" w:cs="宋体"/>
                <w:color w:val="000000"/>
                <w:kern w:val="0"/>
                <w:sz w:val="24"/>
              </w:rPr>
              <w:t>部门名称</w:t>
            </w:r>
          </w:p>
        </w:tc>
        <w:tc>
          <w:tcPr>
            <w:tcW w:w="8078" w:type="dxa"/>
            <w:gridSpan w:val="7"/>
            <w:tcBorders>
              <w:top w:val="single" w:color="000000" w:sz="4" w:space="0"/>
              <w:left w:val="single" w:color="000000" w:sz="4" w:space="0"/>
              <w:bottom w:val="single" w:color="000000" w:sz="4" w:space="0"/>
              <w:right w:val="single" w:color="000000" w:sz="4" w:space="0"/>
            </w:tcBorders>
            <w:noWrap/>
            <w:vAlign w:val="center"/>
          </w:tcPr>
          <w:p w14:paraId="32394212">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rPr>
              <w:t>阿坝州</w:t>
            </w:r>
            <w:r>
              <w:rPr>
                <w:rFonts w:hint="eastAsia" w:ascii="宋体" w:hAnsi="宋体" w:eastAsia="宋体" w:cs="宋体"/>
                <w:color w:val="000000"/>
                <w:kern w:val="0"/>
                <w:sz w:val="24"/>
                <w:lang w:eastAsia="zh-CN"/>
              </w:rPr>
              <w:t>自然资源局</w:t>
            </w:r>
          </w:p>
        </w:tc>
      </w:tr>
      <w:tr w14:paraId="7C9D9E44">
        <w:tblPrEx>
          <w:tblCellMar>
            <w:top w:w="0" w:type="dxa"/>
            <w:left w:w="108" w:type="dxa"/>
            <w:bottom w:w="0" w:type="dxa"/>
            <w:right w:w="108" w:type="dxa"/>
          </w:tblCellMar>
        </w:tblPrEx>
        <w:trPr>
          <w:trHeight w:val="50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5E21801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2340" w:type="dxa"/>
            <w:gridSpan w:val="2"/>
            <w:tcBorders>
              <w:top w:val="single" w:color="000000" w:sz="4" w:space="0"/>
              <w:left w:val="single" w:color="auto" w:sz="4" w:space="0"/>
              <w:bottom w:val="single" w:color="000000" w:sz="4" w:space="0"/>
              <w:right w:val="single" w:color="auto" w:sz="4" w:space="0"/>
            </w:tcBorders>
            <w:noWrap/>
            <w:vAlign w:val="center"/>
          </w:tcPr>
          <w:p w14:paraId="6D31B29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资金总额</w:t>
            </w:r>
          </w:p>
        </w:tc>
        <w:tc>
          <w:tcPr>
            <w:tcW w:w="2063" w:type="dxa"/>
            <w:gridSpan w:val="2"/>
            <w:tcBorders>
              <w:top w:val="single" w:color="auto" w:sz="4" w:space="0"/>
              <w:left w:val="single" w:color="auto" w:sz="4" w:space="0"/>
              <w:bottom w:val="single" w:color="auto" w:sz="4" w:space="0"/>
              <w:right w:val="single" w:color="auto" w:sz="4" w:space="0"/>
            </w:tcBorders>
            <w:noWrap/>
            <w:vAlign w:val="center"/>
          </w:tcPr>
          <w:p w14:paraId="3E7BA3D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p>
        </w:tc>
        <w:tc>
          <w:tcPr>
            <w:tcW w:w="3675" w:type="dxa"/>
            <w:gridSpan w:val="3"/>
            <w:tcBorders>
              <w:top w:val="single" w:color="auto" w:sz="4" w:space="0"/>
              <w:left w:val="single" w:color="auto" w:sz="4" w:space="0"/>
              <w:bottom w:val="single" w:color="auto" w:sz="4" w:space="0"/>
              <w:right w:val="single" w:color="auto" w:sz="4" w:space="0"/>
            </w:tcBorders>
            <w:noWrap/>
            <w:vAlign w:val="center"/>
          </w:tcPr>
          <w:p w14:paraId="650A02A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其他资金</w:t>
            </w:r>
          </w:p>
        </w:tc>
      </w:tr>
      <w:tr w14:paraId="3B4BACD5">
        <w:tblPrEx>
          <w:tblCellMar>
            <w:top w:w="0" w:type="dxa"/>
            <w:left w:w="108" w:type="dxa"/>
            <w:bottom w:w="0" w:type="dxa"/>
            <w:right w:w="108" w:type="dxa"/>
          </w:tblCellMar>
        </w:tblPrEx>
        <w:trPr>
          <w:trHeight w:val="405"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3A5D506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收入预算</w:t>
            </w:r>
          </w:p>
        </w:tc>
        <w:tc>
          <w:tcPr>
            <w:tcW w:w="2340" w:type="dxa"/>
            <w:gridSpan w:val="2"/>
            <w:tcBorders>
              <w:top w:val="single" w:color="000000" w:sz="4" w:space="0"/>
              <w:left w:val="single" w:color="auto" w:sz="4" w:space="0"/>
              <w:bottom w:val="single" w:color="000000" w:sz="4" w:space="0"/>
              <w:right w:val="single" w:color="auto" w:sz="4" w:space="0"/>
            </w:tcBorders>
            <w:noWrap/>
            <w:vAlign w:val="center"/>
          </w:tcPr>
          <w:p w14:paraId="7753DC73">
            <w:pPr>
              <w:widowControl/>
              <w:spacing w:line="240" w:lineRule="exact"/>
              <w:jc w:val="center"/>
              <w:textAlignment w:val="center"/>
              <w:rPr>
                <w:rFonts w:ascii="宋体" w:hAnsi="宋体" w:eastAsia="宋体" w:cs="宋体"/>
                <w:color w:val="000000"/>
                <w:kern w:val="0"/>
                <w:sz w:val="28"/>
                <w:szCs w:val="28"/>
              </w:rPr>
            </w:pPr>
            <w:r>
              <w:rPr>
                <w:rFonts w:hint="eastAsia" w:ascii="仿宋_GB2312" w:hAnsi="仿宋_GB2312" w:eastAsia="仿宋_GB2312" w:cs="仿宋_GB2312"/>
                <w:color w:val="000000"/>
                <w:kern w:val="0"/>
                <w:sz w:val="28"/>
                <w:szCs w:val="28"/>
                <w:lang w:val="en-US" w:eastAsia="zh-CN"/>
              </w:rPr>
              <w:t>1830.16</w:t>
            </w:r>
          </w:p>
        </w:tc>
        <w:tc>
          <w:tcPr>
            <w:tcW w:w="2063" w:type="dxa"/>
            <w:gridSpan w:val="2"/>
            <w:tcBorders>
              <w:top w:val="single" w:color="auto" w:sz="4" w:space="0"/>
              <w:left w:val="single" w:color="auto" w:sz="4" w:space="0"/>
              <w:bottom w:val="single" w:color="auto" w:sz="4" w:space="0"/>
              <w:right w:val="single" w:color="auto" w:sz="4" w:space="0"/>
            </w:tcBorders>
            <w:noWrap/>
            <w:vAlign w:val="center"/>
          </w:tcPr>
          <w:p w14:paraId="7B77D86C">
            <w:pPr>
              <w:widowControl/>
              <w:spacing w:line="240" w:lineRule="exact"/>
              <w:jc w:val="center"/>
              <w:textAlignment w:val="center"/>
              <w:rPr>
                <w:rFonts w:ascii="宋体" w:hAnsi="宋体" w:eastAsia="宋体" w:cs="宋体"/>
                <w:color w:val="auto"/>
                <w:kern w:val="0"/>
                <w:sz w:val="24"/>
              </w:rPr>
            </w:pPr>
            <w:r>
              <w:rPr>
                <w:rFonts w:hint="eastAsia" w:ascii="仿宋_GB2312" w:hAnsi="仿宋_GB2312" w:eastAsia="仿宋_GB2312" w:cs="仿宋_GB2312"/>
                <w:color w:val="000000"/>
                <w:kern w:val="2"/>
                <w:sz w:val="28"/>
                <w:szCs w:val="28"/>
                <w:lang w:val="en-US" w:eastAsia="zh-CN"/>
              </w:rPr>
              <w:t>1830.16</w:t>
            </w:r>
          </w:p>
        </w:tc>
        <w:tc>
          <w:tcPr>
            <w:tcW w:w="3675" w:type="dxa"/>
            <w:gridSpan w:val="3"/>
            <w:tcBorders>
              <w:top w:val="single" w:color="auto" w:sz="4" w:space="0"/>
              <w:left w:val="single" w:color="auto" w:sz="4" w:space="0"/>
              <w:bottom w:val="single" w:color="auto" w:sz="4" w:space="0"/>
              <w:right w:val="single" w:color="auto" w:sz="4" w:space="0"/>
            </w:tcBorders>
            <w:noWrap/>
            <w:vAlign w:val="center"/>
          </w:tcPr>
          <w:p w14:paraId="4E5FAD92">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0</w:t>
            </w:r>
          </w:p>
        </w:tc>
      </w:tr>
      <w:tr w14:paraId="7D9EE71C">
        <w:tblPrEx>
          <w:tblCellMar>
            <w:top w:w="0" w:type="dxa"/>
            <w:left w:w="108" w:type="dxa"/>
            <w:bottom w:w="0" w:type="dxa"/>
            <w:right w:w="108" w:type="dxa"/>
          </w:tblCellMar>
        </w:tblPrEx>
        <w:trPr>
          <w:trHeight w:val="436"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39A6B0D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支出预算</w:t>
            </w:r>
          </w:p>
        </w:tc>
        <w:tc>
          <w:tcPr>
            <w:tcW w:w="2340" w:type="dxa"/>
            <w:gridSpan w:val="2"/>
            <w:tcBorders>
              <w:top w:val="single" w:color="000000" w:sz="4" w:space="0"/>
              <w:left w:val="single" w:color="auto" w:sz="4" w:space="0"/>
              <w:bottom w:val="single" w:color="000000" w:sz="4" w:space="0"/>
              <w:right w:val="single" w:color="000000" w:sz="4" w:space="0"/>
            </w:tcBorders>
            <w:noWrap/>
            <w:vAlign w:val="center"/>
          </w:tcPr>
          <w:p w14:paraId="60161FEC">
            <w:pPr>
              <w:widowControl/>
              <w:spacing w:line="240" w:lineRule="exact"/>
              <w:jc w:val="center"/>
              <w:textAlignment w:val="center"/>
              <w:rPr>
                <w:rFonts w:ascii="宋体" w:hAnsi="宋体" w:eastAsia="宋体" w:cs="宋体"/>
                <w:color w:val="000000"/>
                <w:kern w:val="0"/>
                <w:sz w:val="24"/>
              </w:rPr>
            </w:pPr>
            <w:r>
              <w:rPr>
                <w:rFonts w:hint="eastAsia" w:ascii="仿宋_GB2312" w:hAnsi="仿宋_GB2312" w:eastAsia="仿宋_GB2312" w:cs="仿宋_GB2312"/>
                <w:color w:val="000000"/>
                <w:kern w:val="2"/>
                <w:sz w:val="28"/>
                <w:szCs w:val="28"/>
                <w:lang w:val="en-US" w:eastAsia="zh-CN"/>
              </w:rPr>
              <w:t>1830.16</w:t>
            </w:r>
          </w:p>
        </w:tc>
        <w:tc>
          <w:tcPr>
            <w:tcW w:w="2063" w:type="dxa"/>
            <w:gridSpan w:val="2"/>
            <w:tcBorders>
              <w:top w:val="single" w:color="auto" w:sz="4" w:space="0"/>
              <w:left w:val="single" w:color="000000" w:sz="4" w:space="0"/>
              <w:bottom w:val="single" w:color="000000" w:sz="4" w:space="0"/>
              <w:right w:val="single" w:color="000000" w:sz="4" w:space="0"/>
            </w:tcBorders>
            <w:noWrap/>
            <w:vAlign w:val="center"/>
          </w:tcPr>
          <w:p w14:paraId="723745E8">
            <w:pPr>
              <w:widowControl/>
              <w:spacing w:line="240" w:lineRule="exact"/>
              <w:jc w:val="center"/>
              <w:textAlignment w:val="center"/>
              <w:rPr>
                <w:rFonts w:ascii="宋体" w:hAnsi="宋体" w:eastAsia="宋体" w:cs="宋体"/>
                <w:color w:val="000000"/>
                <w:kern w:val="0"/>
                <w:sz w:val="24"/>
              </w:rPr>
            </w:pPr>
            <w:r>
              <w:rPr>
                <w:rFonts w:hint="eastAsia" w:ascii="仿宋_GB2312" w:hAnsi="仿宋_GB2312" w:eastAsia="仿宋_GB2312" w:cs="仿宋_GB2312"/>
                <w:color w:val="000000"/>
                <w:kern w:val="2"/>
                <w:sz w:val="28"/>
                <w:szCs w:val="28"/>
                <w:lang w:val="en-US" w:eastAsia="zh-CN"/>
              </w:rPr>
              <w:t>1830.16</w:t>
            </w:r>
          </w:p>
        </w:tc>
        <w:tc>
          <w:tcPr>
            <w:tcW w:w="3675" w:type="dxa"/>
            <w:gridSpan w:val="3"/>
            <w:tcBorders>
              <w:top w:val="single" w:color="auto" w:sz="4" w:space="0"/>
              <w:left w:val="single" w:color="000000" w:sz="4" w:space="0"/>
              <w:bottom w:val="single" w:color="000000" w:sz="4" w:space="0"/>
              <w:right w:val="single" w:color="000000" w:sz="4" w:space="0"/>
            </w:tcBorders>
            <w:noWrap/>
            <w:vAlign w:val="center"/>
          </w:tcPr>
          <w:p w14:paraId="0244DAD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p>
        </w:tc>
      </w:tr>
      <w:tr w14:paraId="47CC22D8">
        <w:tblPrEx>
          <w:tblCellMar>
            <w:top w:w="0" w:type="dxa"/>
            <w:left w:w="108" w:type="dxa"/>
            <w:bottom w:w="0" w:type="dxa"/>
            <w:right w:w="108" w:type="dxa"/>
          </w:tblCellMar>
        </w:tblPrEx>
        <w:trPr>
          <w:trHeight w:val="9400"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14:paraId="2601E5E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8078" w:type="dxa"/>
            <w:gridSpan w:val="7"/>
            <w:tcBorders>
              <w:top w:val="single" w:color="000000" w:sz="4" w:space="0"/>
              <w:left w:val="single" w:color="000000" w:sz="4" w:space="0"/>
              <w:bottom w:val="single" w:color="000000" w:sz="4" w:space="0"/>
              <w:right w:val="single" w:color="000000" w:sz="4" w:space="0"/>
            </w:tcBorders>
            <w:noWrap/>
            <w:vAlign w:val="center"/>
          </w:tcPr>
          <w:p w14:paraId="3B2C1EBA">
            <w:pPr>
              <w:widowControl/>
              <w:spacing w:line="240" w:lineRule="exact"/>
              <w:jc w:val="both"/>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rPr>
              <w:t>负责单位正常运行;组织拟订全州自然资源和国</w:t>
            </w:r>
            <w:r>
              <w:rPr>
                <w:rFonts w:hint="eastAsia" w:ascii="宋体" w:hAnsi="宋体" w:eastAsia="宋体" w:cs="宋体"/>
                <w:color w:val="auto"/>
                <w:kern w:val="0"/>
                <w:sz w:val="24"/>
              </w:rPr>
              <w:t>土空间规划有关</w:t>
            </w:r>
            <w:r>
              <w:rPr>
                <w:rFonts w:hint="eastAsia" w:ascii="宋体" w:hAnsi="宋体" w:eastAsia="宋体" w:cs="宋体"/>
                <w:color w:val="auto"/>
                <w:kern w:val="0"/>
                <w:sz w:val="24"/>
                <w:lang w:val="en-US" w:eastAsia="zh-CN"/>
              </w:rPr>
              <w:t>制度</w:t>
            </w:r>
            <w:r>
              <w:rPr>
                <w:rFonts w:hint="eastAsia" w:ascii="宋体" w:hAnsi="宋体" w:eastAsia="宋体" w:cs="宋体"/>
                <w:color w:val="auto"/>
                <w:kern w:val="0"/>
                <w:sz w:val="24"/>
              </w:rPr>
              <w:t>规章草案，制定有关政策措施并监督检查执行情况;依照自然资源调查监测评价的指标体系和统计标准，贯彻执行统一规范的自然资源调查监测评价制度。实施自然资源基础调查、专项调查和监测。负责自然资源调查监测评价成果的监督管理和信息发布。指导县（市）自然资源调查监测评价工作;组织实施各类自然资源和不动产统一确权登记、权籍调查、不动产测绘、争议调处、成果应用的制度、标准、规范。建立健全全州自然资源和不动产登记信息管理基础平台。负责自然资源和不动产登记资料收集、整理、共享、汇交管理等。指导监督自然资源和不动产确权登记工作。组织拟订自然资源发展规划和战略，制定自然资源开发利用地方标准并组织实施，建立政府公示自然资源价格体系，组织开展自然资源分等定级价格评估，开展自然资源利用评价考核，指导节约集约利用。负责自然资源市场监管。组织研究自然资源管理涉及宏观调控、区域协调和城乡统筹的政策措施;开展国土空间开发适宜性评价，建立国土空间规划实施监测、评估和预警体系。组织划定生态保护红线、永久基本农田、城镇开发边界等控制线，构建节约资源和保护环境的生产、生活、生态空间布局。建立健全</w:t>
            </w:r>
            <w:r>
              <w:rPr>
                <w:rFonts w:hint="eastAsia" w:ascii="宋体" w:hAnsi="宋体" w:eastAsia="宋体" w:cs="宋体"/>
                <w:color w:val="auto"/>
                <w:kern w:val="0"/>
                <w:sz w:val="24"/>
                <w:lang w:val="en-US" w:eastAsia="zh-CN"/>
              </w:rPr>
              <w:t>州</w:t>
            </w:r>
            <w:r>
              <w:rPr>
                <w:rFonts w:hint="eastAsia" w:ascii="宋体" w:hAnsi="宋体" w:eastAsia="宋体" w:cs="宋体"/>
                <w:color w:val="auto"/>
                <w:kern w:val="0"/>
                <w:sz w:val="24"/>
              </w:rPr>
              <w:t>国土空间用途管制制度，研究拟订城乡规划政策并监督实施。组织拟订</w:t>
            </w:r>
            <w:r>
              <w:rPr>
                <w:rFonts w:hint="eastAsia" w:ascii="宋体" w:hAnsi="宋体" w:eastAsia="宋体" w:cs="宋体"/>
                <w:color w:val="auto"/>
                <w:kern w:val="0"/>
                <w:sz w:val="24"/>
                <w:lang w:val="en-US" w:eastAsia="zh-CN"/>
              </w:rPr>
              <w:t>并实施土地等自</w:t>
            </w:r>
            <w:r>
              <w:rPr>
                <w:rFonts w:hint="eastAsia" w:ascii="宋体" w:hAnsi="宋体" w:eastAsia="宋体" w:cs="宋体"/>
                <w:color w:val="auto"/>
                <w:kern w:val="0"/>
                <w:sz w:val="24"/>
              </w:rPr>
              <w:t>然资源年度利用计划。负责土地等国土空间用途转用工作。负责土地征收征用管理;牵头组织编制全州国土空间生态修复规划并实施有关生态修复重大工程。负责开</w:t>
            </w:r>
            <w:r>
              <w:rPr>
                <w:rFonts w:hint="eastAsia" w:ascii="宋体" w:hAnsi="宋体" w:eastAsia="宋体" w:cs="宋体"/>
                <w:color w:val="000000"/>
                <w:kern w:val="0"/>
                <w:sz w:val="24"/>
              </w:rPr>
              <w:t>展国土空间综合整治、土地整理复垦、矿山地质环境恢复治理等工作。牵头建立和实施生态保护补偿制度，制定合理利用社会资金进行生态修复的政策措施，提出重大备选项目;牵头拟订并实施全州耕地保护政策，负责耕地数量、质量、生态保护。组织实施耕地保护责任目标考核和永久基本农田特殊保护;拟订全州地质勘查规划并监督检查执行情况。管理州级地质勘查项目。组织实施重大地质矿产勘查专项。负责地质灾害预防和治理，监督管理地下水过量开采及引发的地面沉降等地质问题。负责古生物化石的监督管理;组织、指导、协调和监督地质灾害调查评价及隐患的普查、详查、排查。组织、指导开展群测群防、专业监测和预报预警等工作，组织、指导开展地质灾害工程治理工作。承担地质灾害应急救援的技术保障工作;负责矿产资源查明、占用储量的核实、登记、备案;负责压覆矿产资源核实工作。负责矿业权管理。会同有关部门承担保护性开采的特定矿种、优势矿产的调控及相关管理工作。监督指导矿产资源合理利用和保护;负责基础测绘地理信息工作的统一监督管理，负责全州测绘单位的测绘资格审查、测绘工作证件、测绘任务登记管理，指导测量标志的管理和保护，管理全州各级行政区域测绘工作</w:t>
            </w:r>
            <w:r>
              <w:rPr>
                <w:rFonts w:hint="eastAsia" w:ascii="宋体" w:hAnsi="宋体" w:eastAsia="宋体" w:cs="宋体"/>
                <w:color w:val="000000"/>
                <w:kern w:val="0"/>
                <w:sz w:val="24"/>
                <w:lang w:eastAsia="zh-CN"/>
              </w:rPr>
              <w:t>；</w:t>
            </w:r>
            <w:r>
              <w:rPr>
                <w:rFonts w:hint="eastAsia" w:ascii="宋体" w:hAnsi="宋体" w:eastAsia="宋体" w:cs="宋体"/>
                <w:color w:val="000000"/>
                <w:kern w:val="0"/>
                <w:sz w:val="24"/>
              </w:rPr>
              <w:t>其他自然资源事务</w:t>
            </w:r>
            <w:r>
              <w:rPr>
                <w:rFonts w:hint="eastAsia" w:ascii="宋体" w:hAnsi="宋体" w:eastAsia="宋体" w:cs="宋体"/>
                <w:color w:val="000000"/>
                <w:kern w:val="0"/>
                <w:sz w:val="24"/>
                <w:lang w:eastAsia="zh-CN"/>
              </w:rPr>
              <w:t>。</w:t>
            </w:r>
          </w:p>
        </w:tc>
      </w:tr>
      <w:tr w14:paraId="1D4A5E99">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70B74B3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5C5C955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0905684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14:paraId="7D099C0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1094" w:type="dxa"/>
            <w:vMerge w:val="restart"/>
            <w:tcBorders>
              <w:top w:val="single" w:color="000000" w:sz="4" w:space="0"/>
              <w:left w:val="single" w:color="000000" w:sz="4" w:space="0"/>
              <w:bottom w:val="single" w:color="000000" w:sz="4" w:space="0"/>
              <w:right w:val="single" w:color="000000" w:sz="4" w:space="0"/>
            </w:tcBorders>
            <w:noWrap/>
            <w:vAlign w:val="center"/>
          </w:tcPr>
          <w:p w14:paraId="4AEBFA6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w:t>
            </w:r>
          </w:p>
        </w:tc>
        <w:tc>
          <w:tcPr>
            <w:tcW w:w="4225" w:type="dxa"/>
            <w:gridSpan w:val="4"/>
            <w:tcBorders>
              <w:top w:val="single" w:color="000000" w:sz="4" w:space="0"/>
              <w:left w:val="single" w:color="000000" w:sz="4" w:space="0"/>
              <w:bottom w:val="single" w:color="000000" w:sz="4" w:space="0"/>
              <w:right w:val="single" w:color="000000" w:sz="4" w:space="0"/>
            </w:tcBorders>
            <w:noWrap/>
            <w:vAlign w:val="center"/>
          </w:tcPr>
          <w:p w14:paraId="3ED9B6D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指标设置参考值</w:t>
            </w:r>
          </w:p>
        </w:tc>
        <w:tc>
          <w:tcPr>
            <w:tcW w:w="1513" w:type="dxa"/>
            <w:vMerge w:val="restart"/>
            <w:tcBorders>
              <w:top w:val="single" w:color="000000" w:sz="4" w:space="0"/>
              <w:left w:val="single" w:color="000000" w:sz="4" w:space="0"/>
              <w:right w:val="single" w:color="000000" w:sz="4" w:space="0"/>
            </w:tcBorders>
            <w:noWrap/>
            <w:vAlign w:val="center"/>
          </w:tcPr>
          <w:p w14:paraId="2B3EA9D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指标实际完成值</w:t>
            </w:r>
          </w:p>
        </w:tc>
      </w:tr>
      <w:tr w14:paraId="4363FC25">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33BBD2A">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4405B14">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6FD9F310">
            <w:pPr>
              <w:widowControl/>
              <w:spacing w:line="240" w:lineRule="exact"/>
              <w:jc w:val="center"/>
              <w:textAlignment w:val="center"/>
              <w:rPr>
                <w:rFonts w:ascii="宋体" w:hAnsi="宋体" w:eastAsia="宋体" w:cs="宋体"/>
                <w:color w:val="000000"/>
                <w:kern w:val="0"/>
                <w:sz w:val="24"/>
              </w:rPr>
            </w:p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14:paraId="55390DE4">
            <w:pPr>
              <w:widowControl/>
              <w:spacing w:line="240" w:lineRule="exact"/>
              <w:jc w:val="center"/>
              <w:textAlignment w:val="center"/>
              <w:rPr>
                <w:rFonts w:ascii="宋体" w:hAnsi="宋体" w:eastAsia="宋体" w:cs="宋体"/>
                <w:color w:val="000000"/>
                <w:kern w:val="0"/>
                <w:sz w:val="24"/>
              </w:rPr>
            </w:pPr>
          </w:p>
        </w:tc>
        <w:tc>
          <w:tcPr>
            <w:tcW w:w="1094" w:type="dxa"/>
            <w:vMerge w:val="continue"/>
            <w:tcBorders>
              <w:top w:val="single" w:color="000000" w:sz="4" w:space="0"/>
              <w:left w:val="single" w:color="000000" w:sz="4" w:space="0"/>
              <w:bottom w:val="single" w:color="000000" w:sz="4" w:space="0"/>
              <w:right w:val="single" w:color="000000" w:sz="4" w:space="0"/>
            </w:tcBorders>
            <w:noWrap/>
            <w:vAlign w:val="center"/>
          </w:tcPr>
          <w:p w14:paraId="3ABD4138">
            <w:pPr>
              <w:widowControl/>
              <w:spacing w:line="240" w:lineRule="exact"/>
              <w:jc w:val="center"/>
              <w:textAlignment w:val="center"/>
              <w:rPr>
                <w:rFonts w:ascii="宋体" w:hAnsi="宋体" w:eastAsia="宋体" w:cs="宋体"/>
                <w:color w:val="000000"/>
                <w:kern w:val="0"/>
                <w:sz w:val="24"/>
              </w:rPr>
            </w:pPr>
          </w:p>
        </w:tc>
        <w:tc>
          <w:tcPr>
            <w:tcW w:w="1088" w:type="dxa"/>
            <w:tcBorders>
              <w:top w:val="single" w:color="000000" w:sz="4" w:space="0"/>
              <w:left w:val="single" w:color="000000" w:sz="4" w:space="0"/>
              <w:right w:val="single" w:color="000000" w:sz="4" w:space="0"/>
            </w:tcBorders>
            <w:noWrap/>
            <w:vAlign w:val="center"/>
          </w:tcPr>
          <w:p w14:paraId="17B78C7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三年</w:t>
            </w:r>
          </w:p>
          <w:p w14:paraId="609C23F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均值</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765448E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2023</w:t>
            </w:r>
            <w:r>
              <w:rPr>
                <w:rFonts w:ascii="宋体" w:hAnsi="宋体" w:eastAsia="宋体" w:cs="宋体"/>
                <w:color w:val="000000"/>
                <w:kern w:val="0"/>
                <w:sz w:val="24"/>
              </w:rPr>
              <w:t>年</w:t>
            </w:r>
          </w:p>
        </w:tc>
        <w:tc>
          <w:tcPr>
            <w:tcW w:w="1075" w:type="dxa"/>
            <w:tcBorders>
              <w:top w:val="single" w:color="000000" w:sz="4" w:space="0"/>
              <w:left w:val="single" w:color="000000" w:sz="4" w:space="0"/>
              <w:bottom w:val="single" w:color="000000" w:sz="4" w:space="0"/>
              <w:right w:val="single" w:color="000000" w:sz="4" w:space="0"/>
            </w:tcBorders>
            <w:noWrap/>
            <w:vAlign w:val="center"/>
          </w:tcPr>
          <w:p w14:paraId="7AD3101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2024</w:t>
            </w:r>
            <w:r>
              <w:rPr>
                <w:rFonts w:ascii="宋体" w:hAnsi="宋体" w:eastAsia="宋体" w:cs="宋体"/>
                <w:color w:val="000000"/>
                <w:kern w:val="0"/>
                <w:sz w:val="24"/>
              </w:rPr>
              <w:t>年</w:t>
            </w:r>
          </w:p>
        </w:tc>
        <w:tc>
          <w:tcPr>
            <w:tcW w:w="1087" w:type="dxa"/>
            <w:tcBorders>
              <w:top w:val="single" w:color="000000" w:sz="4" w:space="0"/>
              <w:left w:val="single" w:color="000000" w:sz="4" w:space="0"/>
              <w:bottom w:val="single" w:color="000000" w:sz="4" w:space="0"/>
              <w:right w:val="single" w:color="000000" w:sz="4" w:space="0"/>
            </w:tcBorders>
            <w:noWrap/>
            <w:vAlign w:val="center"/>
          </w:tcPr>
          <w:p w14:paraId="4766E4F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2025</w:t>
            </w:r>
            <w:r>
              <w:rPr>
                <w:rFonts w:ascii="宋体" w:hAnsi="宋体" w:eastAsia="宋体" w:cs="宋体"/>
                <w:color w:val="000000"/>
                <w:kern w:val="0"/>
                <w:sz w:val="24"/>
              </w:rPr>
              <w:t>年</w:t>
            </w:r>
          </w:p>
        </w:tc>
        <w:tc>
          <w:tcPr>
            <w:tcW w:w="1513" w:type="dxa"/>
            <w:vMerge w:val="continue"/>
            <w:tcBorders>
              <w:left w:val="single" w:color="000000" w:sz="4" w:space="0"/>
              <w:right w:val="single" w:color="000000" w:sz="4" w:space="0"/>
            </w:tcBorders>
            <w:noWrap/>
            <w:vAlign w:val="center"/>
          </w:tcPr>
          <w:p w14:paraId="5194BE69">
            <w:pPr>
              <w:widowControl/>
              <w:spacing w:line="240" w:lineRule="exact"/>
              <w:jc w:val="center"/>
              <w:textAlignment w:val="center"/>
              <w:rPr>
                <w:rFonts w:ascii="宋体" w:hAnsi="宋体" w:eastAsia="宋体" w:cs="宋体"/>
                <w:color w:val="000000"/>
                <w:kern w:val="0"/>
                <w:sz w:val="24"/>
              </w:rPr>
            </w:pPr>
          </w:p>
        </w:tc>
      </w:tr>
      <w:tr w14:paraId="63C85B4C">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CB3D1B9">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5237D9C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735F308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D7C71B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r>
              <w:rPr>
                <w:rFonts w:ascii="宋体" w:hAnsi="宋体" w:eastAsia="宋体" w:cs="宋体"/>
                <w:color w:val="000000"/>
                <w:kern w:val="0"/>
                <w:sz w:val="24"/>
              </w:rPr>
              <w:t>预算编制偏离度</w:t>
            </w:r>
          </w:p>
        </w:tc>
        <w:tc>
          <w:tcPr>
            <w:tcW w:w="1094" w:type="dxa"/>
            <w:tcBorders>
              <w:top w:val="single" w:color="000000" w:sz="4" w:space="0"/>
              <w:left w:val="single" w:color="000000" w:sz="4" w:space="0"/>
              <w:bottom w:val="single" w:color="000000" w:sz="4" w:space="0"/>
              <w:right w:val="single" w:color="000000" w:sz="4" w:space="0"/>
            </w:tcBorders>
            <w:noWrap/>
            <w:vAlign w:val="center"/>
          </w:tcPr>
          <w:p w14:paraId="77FC776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142.48</w:t>
            </w:r>
            <w:r>
              <w:rPr>
                <w:rFonts w:hint="eastAsia" w:ascii="宋体" w:hAnsi="宋体" w:eastAsia="宋体" w:cs="宋体"/>
                <w:color w:val="000000"/>
                <w:kern w:val="0"/>
                <w:sz w:val="24"/>
              </w:rPr>
              <w:t>%</w:t>
            </w:r>
          </w:p>
        </w:tc>
        <w:tc>
          <w:tcPr>
            <w:tcW w:w="1088" w:type="dxa"/>
            <w:tcBorders>
              <w:top w:val="single" w:color="000000" w:sz="4" w:space="0"/>
              <w:left w:val="single" w:color="000000" w:sz="4" w:space="0"/>
              <w:bottom w:val="single" w:color="000000" w:sz="4" w:space="0"/>
              <w:right w:val="single" w:color="000000" w:sz="4" w:space="0"/>
            </w:tcBorders>
            <w:noWrap/>
            <w:vAlign w:val="center"/>
          </w:tcPr>
          <w:p w14:paraId="010C0E8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142.48</w:t>
            </w:r>
            <w:r>
              <w:rPr>
                <w:rFonts w:ascii="宋体" w:hAnsi="宋体" w:eastAsia="宋体" w:cs="宋体"/>
                <w:color w:val="000000"/>
                <w:kern w:val="0"/>
                <w:sz w:val="24"/>
              </w:rPr>
              <w:t>%</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02190EAC">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1.69%</w:t>
            </w:r>
          </w:p>
        </w:tc>
        <w:tc>
          <w:tcPr>
            <w:tcW w:w="1075" w:type="dxa"/>
            <w:tcBorders>
              <w:top w:val="single" w:color="000000" w:sz="4" w:space="0"/>
              <w:left w:val="single" w:color="000000" w:sz="4" w:space="0"/>
              <w:bottom w:val="single" w:color="000000" w:sz="4" w:space="0"/>
              <w:right w:val="single" w:color="000000" w:sz="4" w:space="0"/>
            </w:tcBorders>
            <w:noWrap/>
            <w:vAlign w:val="center"/>
          </w:tcPr>
          <w:p w14:paraId="5F968D54">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102.43%</w:t>
            </w:r>
          </w:p>
        </w:tc>
        <w:tc>
          <w:tcPr>
            <w:tcW w:w="1087" w:type="dxa"/>
            <w:tcBorders>
              <w:top w:val="single" w:color="000000" w:sz="4" w:space="0"/>
              <w:left w:val="single" w:color="000000" w:sz="4" w:space="0"/>
              <w:bottom w:val="single" w:color="000000" w:sz="4" w:space="0"/>
              <w:right w:val="single" w:color="000000" w:sz="4" w:space="0"/>
            </w:tcBorders>
            <w:noWrap/>
            <w:vAlign w:val="center"/>
          </w:tcPr>
          <w:p w14:paraId="730DE141">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323.33%</w:t>
            </w:r>
          </w:p>
        </w:tc>
        <w:tc>
          <w:tcPr>
            <w:tcW w:w="1513" w:type="dxa"/>
            <w:tcBorders>
              <w:top w:val="single" w:color="000000" w:sz="4" w:space="0"/>
              <w:left w:val="single" w:color="000000" w:sz="4" w:space="0"/>
              <w:bottom w:val="single" w:color="000000" w:sz="4" w:space="0"/>
              <w:right w:val="single" w:color="000000" w:sz="4" w:space="0"/>
            </w:tcBorders>
            <w:noWrap/>
            <w:vAlign w:val="center"/>
          </w:tcPr>
          <w:p w14:paraId="336AEE8A">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323.33%</w:t>
            </w:r>
          </w:p>
        </w:tc>
      </w:tr>
      <w:tr w14:paraId="03B29610">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63A4834">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A274ECA">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74E32E7C">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BAAF60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预算年终结余</w:t>
            </w:r>
            <w:r>
              <w:rPr>
                <w:rFonts w:ascii="宋体" w:hAnsi="宋体" w:eastAsia="宋体" w:cs="宋体"/>
                <w:color w:val="000000"/>
                <w:kern w:val="0"/>
                <w:sz w:val="24"/>
              </w:rPr>
              <w:t>率</w:t>
            </w:r>
          </w:p>
        </w:tc>
        <w:tc>
          <w:tcPr>
            <w:tcW w:w="1094" w:type="dxa"/>
            <w:tcBorders>
              <w:top w:val="single" w:color="000000" w:sz="4" w:space="0"/>
              <w:left w:val="single" w:color="000000" w:sz="4" w:space="0"/>
              <w:bottom w:val="single" w:color="000000" w:sz="4" w:space="0"/>
              <w:right w:val="single" w:color="000000" w:sz="4" w:space="0"/>
            </w:tcBorders>
            <w:noWrap/>
            <w:vAlign w:val="center"/>
          </w:tcPr>
          <w:p w14:paraId="72DDE20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1.86</w:t>
            </w:r>
            <w:r>
              <w:rPr>
                <w:rFonts w:hint="eastAsia" w:ascii="宋体" w:hAnsi="宋体" w:eastAsia="宋体" w:cs="宋体"/>
                <w:color w:val="000000"/>
                <w:kern w:val="0"/>
                <w:sz w:val="24"/>
              </w:rPr>
              <w:t>%</w:t>
            </w:r>
          </w:p>
        </w:tc>
        <w:tc>
          <w:tcPr>
            <w:tcW w:w="1088" w:type="dxa"/>
            <w:tcBorders>
              <w:top w:val="single" w:color="000000" w:sz="4" w:space="0"/>
              <w:left w:val="single" w:color="000000" w:sz="4" w:space="0"/>
              <w:bottom w:val="single" w:color="000000" w:sz="4" w:space="0"/>
              <w:right w:val="single" w:color="000000" w:sz="4" w:space="0"/>
            </w:tcBorders>
            <w:noWrap/>
            <w:vAlign w:val="center"/>
          </w:tcPr>
          <w:p w14:paraId="2F086CC4">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1.86%</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16762A3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2.17%</w:t>
            </w:r>
          </w:p>
        </w:tc>
        <w:tc>
          <w:tcPr>
            <w:tcW w:w="1075" w:type="dxa"/>
            <w:tcBorders>
              <w:top w:val="single" w:color="000000" w:sz="4" w:space="0"/>
              <w:left w:val="single" w:color="000000" w:sz="4" w:space="0"/>
              <w:bottom w:val="single" w:color="000000" w:sz="4" w:space="0"/>
              <w:right w:val="single" w:color="000000" w:sz="4" w:space="0"/>
            </w:tcBorders>
            <w:noWrap/>
            <w:vAlign w:val="center"/>
          </w:tcPr>
          <w:p w14:paraId="56C9B06D">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087" w:type="dxa"/>
            <w:tcBorders>
              <w:top w:val="single" w:color="000000" w:sz="4" w:space="0"/>
              <w:left w:val="single" w:color="000000" w:sz="4" w:space="0"/>
              <w:bottom w:val="single" w:color="000000" w:sz="4" w:space="0"/>
              <w:right w:val="single" w:color="000000" w:sz="4" w:space="0"/>
            </w:tcBorders>
            <w:noWrap/>
            <w:vAlign w:val="center"/>
          </w:tcPr>
          <w:p w14:paraId="2246C3CF">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1.56%</w:t>
            </w:r>
          </w:p>
        </w:tc>
        <w:tc>
          <w:tcPr>
            <w:tcW w:w="1513" w:type="dxa"/>
            <w:tcBorders>
              <w:top w:val="single" w:color="000000" w:sz="4" w:space="0"/>
              <w:left w:val="single" w:color="000000" w:sz="4" w:space="0"/>
              <w:bottom w:val="single" w:color="000000" w:sz="4" w:space="0"/>
              <w:right w:val="single" w:color="000000" w:sz="4" w:space="0"/>
            </w:tcBorders>
            <w:noWrap/>
            <w:vAlign w:val="center"/>
          </w:tcPr>
          <w:p w14:paraId="46354FF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1.56%</w:t>
            </w:r>
          </w:p>
        </w:tc>
      </w:tr>
      <w:tr w14:paraId="5B4AF31E">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C4DEB5E">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A813605">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1329E470">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673CB4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一般性支出</w:t>
            </w:r>
            <w:r>
              <w:rPr>
                <w:rFonts w:ascii="宋体" w:hAnsi="宋体" w:eastAsia="宋体" w:cs="宋体"/>
                <w:color w:val="000000"/>
                <w:kern w:val="0"/>
                <w:sz w:val="24"/>
              </w:rPr>
              <w:t>金额</w:t>
            </w:r>
          </w:p>
        </w:tc>
        <w:tc>
          <w:tcPr>
            <w:tcW w:w="1094" w:type="dxa"/>
            <w:tcBorders>
              <w:top w:val="single" w:color="000000" w:sz="4" w:space="0"/>
              <w:left w:val="single" w:color="000000" w:sz="4" w:space="0"/>
              <w:bottom w:val="single" w:color="000000" w:sz="4" w:space="0"/>
              <w:right w:val="single" w:color="000000" w:sz="4" w:space="0"/>
            </w:tcBorders>
            <w:noWrap/>
            <w:vAlign w:val="center"/>
          </w:tcPr>
          <w:p w14:paraId="34C084F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205.14</w:t>
            </w:r>
            <w:r>
              <w:rPr>
                <w:rFonts w:ascii="宋体" w:hAnsi="宋体" w:eastAsia="宋体" w:cs="宋体"/>
                <w:color w:val="000000"/>
                <w:kern w:val="0"/>
                <w:sz w:val="24"/>
              </w:rPr>
              <w:t>万元</w:t>
            </w:r>
          </w:p>
        </w:tc>
        <w:tc>
          <w:tcPr>
            <w:tcW w:w="4225" w:type="dxa"/>
            <w:gridSpan w:val="4"/>
            <w:tcBorders>
              <w:top w:val="single" w:color="000000" w:sz="4" w:space="0"/>
              <w:left w:val="single" w:color="000000" w:sz="4" w:space="0"/>
              <w:bottom w:val="single" w:color="000000" w:sz="4" w:space="0"/>
              <w:right w:val="single" w:color="000000" w:sz="4" w:space="0"/>
            </w:tcBorders>
            <w:noWrap/>
            <w:vAlign w:val="center"/>
          </w:tcPr>
          <w:p w14:paraId="243BCCA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为上年一般性支出金额</w:t>
            </w:r>
          </w:p>
        </w:tc>
        <w:tc>
          <w:tcPr>
            <w:tcW w:w="1513" w:type="dxa"/>
            <w:tcBorders>
              <w:top w:val="single" w:color="000000" w:sz="4" w:space="0"/>
              <w:left w:val="single" w:color="000000" w:sz="4" w:space="0"/>
              <w:bottom w:val="single" w:color="000000" w:sz="4" w:space="0"/>
              <w:right w:val="single" w:color="000000" w:sz="4" w:space="0"/>
            </w:tcBorders>
            <w:noWrap/>
            <w:vAlign w:val="center"/>
          </w:tcPr>
          <w:p w14:paraId="7D03405F">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238.47万元</w:t>
            </w:r>
          </w:p>
        </w:tc>
      </w:tr>
      <w:tr w14:paraId="6AA43194">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BAB0108">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30C2D573">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6F52EF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63E141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财务管理规范</w:t>
            </w:r>
          </w:p>
        </w:tc>
        <w:tc>
          <w:tcPr>
            <w:tcW w:w="1094" w:type="dxa"/>
            <w:tcBorders>
              <w:top w:val="single" w:color="000000" w:sz="4" w:space="0"/>
              <w:left w:val="single" w:color="000000" w:sz="4" w:space="0"/>
              <w:bottom w:val="single" w:color="000000" w:sz="4" w:space="0"/>
              <w:right w:val="single" w:color="000000" w:sz="4" w:space="0"/>
            </w:tcBorders>
            <w:noWrap/>
            <w:vAlign w:val="center"/>
          </w:tcPr>
          <w:p w14:paraId="055FD25F">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良</w:t>
            </w:r>
          </w:p>
        </w:tc>
        <w:tc>
          <w:tcPr>
            <w:tcW w:w="4225" w:type="dxa"/>
            <w:gridSpan w:val="4"/>
            <w:tcBorders>
              <w:top w:val="single" w:color="000000" w:sz="4" w:space="0"/>
              <w:left w:val="single" w:color="000000" w:sz="4" w:space="0"/>
              <w:bottom w:val="single" w:color="000000" w:sz="4" w:space="0"/>
              <w:right w:val="single" w:color="000000" w:sz="4" w:space="0"/>
            </w:tcBorders>
            <w:noWrap/>
            <w:vAlign w:val="center"/>
          </w:tcPr>
          <w:p w14:paraId="4F1BC9B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为“优”“良”“中”或“差”</w:t>
            </w:r>
          </w:p>
        </w:tc>
        <w:tc>
          <w:tcPr>
            <w:tcW w:w="1513" w:type="dxa"/>
            <w:tcBorders>
              <w:top w:val="single" w:color="000000" w:sz="4" w:space="0"/>
              <w:left w:val="single" w:color="000000" w:sz="4" w:space="0"/>
              <w:bottom w:val="single" w:color="000000" w:sz="4" w:space="0"/>
              <w:right w:val="single" w:color="000000" w:sz="4" w:space="0"/>
            </w:tcBorders>
            <w:noWrap/>
            <w:vAlign w:val="center"/>
          </w:tcPr>
          <w:p w14:paraId="028C7B56">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优</w:t>
            </w:r>
          </w:p>
        </w:tc>
      </w:tr>
      <w:tr w14:paraId="475DCFBF">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055B135">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7A6C5ECA">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186323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7F69ED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资产配置预算偏离度</w:t>
            </w:r>
          </w:p>
        </w:tc>
        <w:tc>
          <w:tcPr>
            <w:tcW w:w="1094" w:type="dxa"/>
            <w:tcBorders>
              <w:top w:val="single" w:color="000000" w:sz="4" w:space="0"/>
              <w:left w:val="single" w:color="000000" w:sz="4" w:space="0"/>
              <w:bottom w:val="single" w:color="000000" w:sz="4" w:space="0"/>
              <w:right w:val="single" w:color="000000" w:sz="4" w:space="0"/>
            </w:tcBorders>
            <w:noWrap/>
            <w:vAlign w:val="center"/>
          </w:tcPr>
          <w:p w14:paraId="1A7A2B2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20</w:t>
            </w:r>
            <w:r>
              <w:rPr>
                <w:rFonts w:ascii="宋体" w:hAnsi="宋体" w:eastAsia="宋体" w:cs="宋体"/>
                <w:color w:val="000000"/>
                <w:kern w:val="0"/>
                <w:sz w:val="24"/>
              </w:rPr>
              <w:t>%</w:t>
            </w:r>
          </w:p>
        </w:tc>
        <w:tc>
          <w:tcPr>
            <w:tcW w:w="1088" w:type="dxa"/>
            <w:tcBorders>
              <w:top w:val="single" w:color="000000" w:sz="4" w:space="0"/>
              <w:left w:val="single" w:color="000000" w:sz="4" w:space="0"/>
              <w:bottom w:val="single" w:color="000000" w:sz="4" w:space="0"/>
              <w:right w:val="single" w:color="000000" w:sz="4" w:space="0"/>
            </w:tcBorders>
            <w:noWrap/>
            <w:vAlign w:val="center"/>
          </w:tcPr>
          <w:p w14:paraId="396693C1">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0</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2544DD1A">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075" w:type="dxa"/>
            <w:tcBorders>
              <w:top w:val="single" w:color="000000" w:sz="4" w:space="0"/>
              <w:left w:val="single" w:color="000000" w:sz="4" w:space="0"/>
              <w:bottom w:val="single" w:color="000000" w:sz="4" w:space="0"/>
              <w:right w:val="single" w:color="000000" w:sz="4" w:space="0"/>
            </w:tcBorders>
            <w:noWrap/>
            <w:vAlign w:val="center"/>
          </w:tcPr>
          <w:p w14:paraId="4C88960B">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087" w:type="dxa"/>
            <w:tcBorders>
              <w:top w:val="single" w:color="000000" w:sz="4" w:space="0"/>
              <w:left w:val="single" w:color="000000" w:sz="4" w:space="0"/>
              <w:bottom w:val="single" w:color="000000" w:sz="4" w:space="0"/>
              <w:right w:val="single" w:color="000000" w:sz="4" w:space="0"/>
            </w:tcBorders>
            <w:noWrap/>
            <w:vAlign w:val="center"/>
          </w:tcPr>
          <w:p w14:paraId="235C51E1">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513" w:type="dxa"/>
            <w:tcBorders>
              <w:top w:val="single" w:color="000000" w:sz="4" w:space="0"/>
              <w:left w:val="single" w:color="000000" w:sz="4" w:space="0"/>
              <w:bottom w:val="single" w:color="000000" w:sz="4" w:space="0"/>
              <w:right w:val="single" w:color="000000" w:sz="4" w:space="0"/>
            </w:tcBorders>
            <w:noWrap/>
            <w:vAlign w:val="center"/>
          </w:tcPr>
          <w:p w14:paraId="4375F4AD">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r>
      <w:tr w14:paraId="6297F7C3">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AEB878F">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9F91FE3">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AAE30E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0C9633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采购执行率</w:t>
            </w:r>
          </w:p>
        </w:tc>
        <w:tc>
          <w:tcPr>
            <w:tcW w:w="1094" w:type="dxa"/>
            <w:tcBorders>
              <w:top w:val="single" w:color="000000" w:sz="4" w:space="0"/>
              <w:left w:val="single" w:color="000000" w:sz="4" w:space="0"/>
              <w:bottom w:val="single" w:color="000000" w:sz="4" w:space="0"/>
              <w:right w:val="single" w:color="000000" w:sz="4" w:space="0"/>
            </w:tcBorders>
            <w:noWrap/>
            <w:vAlign w:val="center"/>
          </w:tcPr>
          <w:p w14:paraId="6A59917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80.75</w:t>
            </w:r>
            <w:r>
              <w:rPr>
                <w:rFonts w:ascii="宋体" w:hAnsi="宋体" w:eastAsia="宋体" w:cs="宋体"/>
                <w:color w:val="000000"/>
                <w:kern w:val="0"/>
                <w:sz w:val="24"/>
              </w:rPr>
              <w:t>%</w:t>
            </w:r>
          </w:p>
        </w:tc>
        <w:tc>
          <w:tcPr>
            <w:tcW w:w="1088" w:type="dxa"/>
            <w:tcBorders>
              <w:top w:val="single" w:color="000000" w:sz="4" w:space="0"/>
              <w:left w:val="single" w:color="000000" w:sz="4" w:space="0"/>
              <w:bottom w:val="single" w:color="000000" w:sz="4" w:space="0"/>
              <w:right w:val="single" w:color="000000" w:sz="4" w:space="0"/>
            </w:tcBorders>
            <w:noWrap/>
            <w:vAlign w:val="center"/>
          </w:tcPr>
          <w:p w14:paraId="43F7FF2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80.75</w:t>
            </w:r>
            <w:r>
              <w:rPr>
                <w:rFonts w:ascii="宋体" w:hAnsi="宋体" w:eastAsia="宋体" w:cs="宋体"/>
                <w:color w:val="000000"/>
                <w:kern w:val="0"/>
                <w:sz w:val="24"/>
              </w:rPr>
              <w:t>%</w:t>
            </w:r>
          </w:p>
        </w:tc>
        <w:tc>
          <w:tcPr>
            <w:tcW w:w="975" w:type="dxa"/>
            <w:tcBorders>
              <w:top w:val="single" w:color="000000" w:sz="4" w:space="0"/>
              <w:left w:val="single" w:color="000000" w:sz="4" w:space="0"/>
              <w:bottom w:val="single" w:color="000000" w:sz="4" w:space="0"/>
              <w:right w:val="single" w:color="000000" w:sz="4" w:space="0"/>
            </w:tcBorders>
            <w:noWrap/>
            <w:vAlign w:val="center"/>
          </w:tcPr>
          <w:p w14:paraId="0A6A6104">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80.30%</w:t>
            </w:r>
          </w:p>
        </w:tc>
        <w:tc>
          <w:tcPr>
            <w:tcW w:w="1075" w:type="dxa"/>
            <w:tcBorders>
              <w:top w:val="single" w:color="000000" w:sz="4" w:space="0"/>
              <w:left w:val="single" w:color="000000" w:sz="4" w:space="0"/>
              <w:bottom w:val="single" w:color="000000" w:sz="4" w:space="0"/>
              <w:right w:val="single" w:color="000000" w:sz="4" w:space="0"/>
            </w:tcBorders>
            <w:noWrap/>
            <w:vAlign w:val="center"/>
          </w:tcPr>
          <w:p w14:paraId="072E4EBF">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81.05%</w:t>
            </w:r>
          </w:p>
        </w:tc>
        <w:tc>
          <w:tcPr>
            <w:tcW w:w="1087" w:type="dxa"/>
            <w:tcBorders>
              <w:top w:val="single" w:color="000000" w:sz="4" w:space="0"/>
              <w:left w:val="single" w:color="000000" w:sz="4" w:space="0"/>
              <w:bottom w:val="single" w:color="000000" w:sz="4" w:space="0"/>
              <w:right w:val="single" w:color="000000" w:sz="4" w:space="0"/>
            </w:tcBorders>
            <w:noWrap/>
            <w:vAlign w:val="center"/>
          </w:tcPr>
          <w:p w14:paraId="5CFFF4BA">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80.89%</w:t>
            </w:r>
          </w:p>
        </w:tc>
        <w:tc>
          <w:tcPr>
            <w:tcW w:w="1513" w:type="dxa"/>
            <w:tcBorders>
              <w:top w:val="single" w:color="000000" w:sz="4" w:space="0"/>
              <w:left w:val="single" w:color="000000" w:sz="4" w:space="0"/>
              <w:bottom w:val="single" w:color="000000" w:sz="4" w:space="0"/>
              <w:right w:val="single" w:color="000000" w:sz="4" w:space="0"/>
            </w:tcBorders>
            <w:noWrap/>
            <w:vAlign w:val="center"/>
          </w:tcPr>
          <w:p w14:paraId="268838C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80.89%</w:t>
            </w:r>
          </w:p>
        </w:tc>
      </w:tr>
      <w:tr w14:paraId="54B771B5">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1E59A62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5F66585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589950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612C97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5319" w:type="dxa"/>
            <w:gridSpan w:val="5"/>
            <w:tcBorders>
              <w:top w:val="single" w:color="000000" w:sz="4" w:space="0"/>
              <w:left w:val="single" w:color="000000" w:sz="4" w:space="0"/>
              <w:bottom w:val="single" w:color="000000" w:sz="4" w:space="0"/>
              <w:right w:val="single" w:color="000000" w:sz="4" w:space="0"/>
            </w:tcBorders>
            <w:noWrap/>
            <w:vAlign w:val="center"/>
          </w:tcPr>
          <w:p w14:paraId="1B354A1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指标值（包含数字及文字描述）</w:t>
            </w:r>
          </w:p>
        </w:tc>
        <w:tc>
          <w:tcPr>
            <w:tcW w:w="1513" w:type="dxa"/>
            <w:tcBorders>
              <w:top w:val="single" w:color="000000" w:sz="4" w:space="0"/>
              <w:left w:val="single" w:color="000000" w:sz="4" w:space="0"/>
              <w:bottom w:val="single" w:color="000000" w:sz="4" w:space="0"/>
              <w:right w:val="single" w:color="000000" w:sz="4" w:space="0"/>
            </w:tcBorders>
            <w:noWrap/>
            <w:vAlign w:val="center"/>
          </w:tcPr>
          <w:p w14:paraId="71FF0428">
            <w:pPr>
              <w:widowControl/>
              <w:spacing w:line="240" w:lineRule="exact"/>
              <w:jc w:val="center"/>
              <w:textAlignment w:val="center"/>
              <w:rPr>
                <w:rFonts w:ascii="宋体" w:hAnsi="宋体" w:eastAsia="宋体" w:cs="宋体"/>
                <w:color w:val="000000"/>
                <w:kern w:val="0"/>
                <w:sz w:val="24"/>
              </w:rPr>
            </w:pPr>
          </w:p>
        </w:tc>
      </w:tr>
      <w:tr w14:paraId="15D7B485">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57D00CE">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403F867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BDAAF71">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A78C6A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保障公用经费的全部支出</w:t>
            </w:r>
          </w:p>
        </w:tc>
        <w:tc>
          <w:tcPr>
            <w:tcW w:w="5319" w:type="dxa"/>
            <w:gridSpan w:val="5"/>
            <w:tcBorders>
              <w:top w:val="single" w:color="000000" w:sz="4" w:space="0"/>
              <w:left w:val="single" w:color="000000" w:sz="4" w:space="0"/>
              <w:bottom w:val="single" w:color="000000" w:sz="4" w:space="0"/>
              <w:right w:val="single" w:color="000000" w:sz="4" w:space="0"/>
            </w:tcBorders>
            <w:noWrap/>
            <w:vAlign w:val="center"/>
          </w:tcPr>
          <w:p w14:paraId="70CA64B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支出金额≤</w:t>
            </w:r>
            <w:r>
              <w:rPr>
                <w:rFonts w:hint="eastAsia" w:ascii="宋体" w:hAnsi="宋体" w:eastAsia="宋体" w:cs="宋体"/>
                <w:color w:val="000000"/>
                <w:kern w:val="0"/>
                <w:sz w:val="24"/>
                <w:lang w:val="en-US" w:eastAsia="zh-CN"/>
              </w:rPr>
              <w:t>199.32</w:t>
            </w:r>
            <w:r>
              <w:rPr>
                <w:rFonts w:hint="eastAsia" w:ascii="宋体" w:hAnsi="宋体" w:eastAsia="宋体" w:cs="宋体"/>
                <w:color w:val="000000"/>
                <w:kern w:val="0"/>
                <w:sz w:val="24"/>
              </w:rPr>
              <w:t>万元</w:t>
            </w:r>
          </w:p>
        </w:tc>
        <w:tc>
          <w:tcPr>
            <w:tcW w:w="1513" w:type="dxa"/>
            <w:tcBorders>
              <w:top w:val="single" w:color="000000" w:sz="4" w:space="0"/>
              <w:left w:val="single" w:color="000000" w:sz="4" w:space="0"/>
              <w:bottom w:val="single" w:color="000000" w:sz="4" w:space="0"/>
              <w:right w:val="single" w:color="000000" w:sz="4" w:space="0"/>
            </w:tcBorders>
            <w:noWrap/>
            <w:vAlign w:val="center"/>
          </w:tcPr>
          <w:p w14:paraId="7A627371">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172.54万元</w:t>
            </w:r>
          </w:p>
        </w:tc>
      </w:tr>
      <w:tr w14:paraId="6C988908">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88ADA8C">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EC78BFE">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3E864A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338FCF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实现人员费用的全额保障</w:t>
            </w:r>
          </w:p>
        </w:tc>
        <w:tc>
          <w:tcPr>
            <w:tcW w:w="5319" w:type="dxa"/>
            <w:gridSpan w:val="5"/>
            <w:tcBorders>
              <w:top w:val="single" w:color="000000" w:sz="4" w:space="0"/>
              <w:left w:val="single" w:color="000000" w:sz="4" w:space="0"/>
              <w:bottom w:val="single" w:color="000000" w:sz="4" w:space="0"/>
              <w:right w:val="single" w:color="000000" w:sz="4" w:space="0"/>
            </w:tcBorders>
            <w:noWrap/>
            <w:vAlign w:val="center"/>
          </w:tcPr>
          <w:p w14:paraId="16078C0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支出金额≤</w:t>
            </w:r>
            <w:r>
              <w:rPr>
                <w:rFonts w:hint="eastAsia" w:ascii="宋体" w:hAnsi="宋体" w:eastAsia="宋体" w:cs="宋体"/>
                <w:color w:val="000000"/>
                <w:kern w:val="0"/>
                <w:sz w:val="24"/>
                <w:lang w:val="en-US" w:eastAsia="zh-CN"/>
              </w:rPr>
              <w:t>1401.38</w:t>
            </w:r>
            <w:r>
              <w:rPr>
                <w:rFonts w:hint="eastAsia" w:ascii="宋体" w:hAnsi="宋体" w:eastAsia="宋体" w:cs="宋体"/>
                <w:color w:val="000000"/>
                <w:kern w:val="0"/>
                <w:sz w:val="24"/>
              </w:rPr>
              <w:t>万元</w:t>
            </w:r>
          </w:p>
        </w:tc>
        <w:tc>
          <w:tcPr>
            <w:tcW w:w="1513" w:type="dxa"/>
            <w:tcBorders>
              <w:top w:val="single" w:color="000000" w:sz="4" w:space="0"/>
              <w:left w:val="single" w:color="000000" w:sz="4" w:space="0"/>
              <w:bottom w:val="single" w:color="000000" w:sz="4" w:space="0"/>
              <w:right w:val="single" w:color="000000" w:sz="4" w:space="0"/>
            </w:tcBorders>
            <w:noWrap/>
            <w:vAlign w:val="center"/>
          </w:tcPr>
          <w:p w14:paraId="04269DC1">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1490.65万元</w:t>
            </w:r>
          </w:p>
        </w:tc>
      </w:tr>
      <w:tr w14:paraId="40ACCD1E">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BA9B638">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633A24C">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A5404F1">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31DD17D">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项目支出进度达到全年目标60%</w:t>
            </w:r>
          </w:p>
        </w:tc>
        <w:tc>
          <w:tcPr>
            <w:tcW w:w="5319" w:type="dxa"/>
            <w:gridSpan w:val="5"/>
            <w:tcBorders>
              <w:top w:val="single" w:color="000000" w:sz="4" w:space="0"/>
              <w:left w:val="single" w:color="000000" w:sz="4" w:space="0"/>
              <w:bottom w:val="single" w:color="000000" w:sz="4" w:space="0"/>
              <w:right w:val="single" w:color="000000" w:sz="4" w:space="0"/>
            </w:tcBorders>
            <w:noWrap/>
            <w:vAlign w:val="center"/>
          </w:tcPr>
          <w:p w14:paraId="196ACFFB">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支出金额≥</w:t>
            </w:r>
            <w:r>
              <w:rPr>
                <w:rFonts w:hint="eastAsia" w:ascii="宋体" w:hAnsi="宋体" w:eastAsia="宋体" w:cs="宋体"/>
                <w:color w:val="000000"/>
                <w:kern w:val="0"/>
                <w:sz w:val="24"/>
                <w:lang w:val="en-US" w:eastAsia="zh-CN"/>
              </w:rPr>
              <w:t>3578.02</w:t>
            </w:r>
            <w:r>
              <w:rPr>
                <w:rFonts w:hint="eastAsia" w:ascii="宋体" w:hAnsi="宋体" w:eastAsia="宋体" w:cs="宋体"/>
                <w:color w:val="000000"/>
                <w:kern w:val="0"/>
                <w:sz w:val="24"/>
              </w:rPr>
              <w:t>万元</w:t>
            </w:r>
          </w:p>
        </w:tc>
        <w:tc>
          <w:tcPr>
            <w:tcW w:w="1513" w:type="dxa"/>
            <w:tcBorders>
              <w:top w:val="single" w:color="000000" w:sz="4" w:space="0"/>
              <w:left w:val="single" w:color="000000" w:sz="4" w:space="0"/>
              <w:bottom w:val="single" w:color="000000" w:sz="4" w:space="0"/>
              <w:right w:val="single" w:color="000000" w:sz="4" w:space="0"/>
            </w:tcBorders>
            <w:noWrap/>
            <w:vAlign w:val="center"/>
          </w:tcPr>
          <w:p w14:paraId="3BD5F0E9">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5963.36万元</w:t>
            </w:r>
          </w:p>
        </w:tc>
      </w:tr>
      <w:tr w14:paraId="4AE9E8F1">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AB0E0B4">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F366343">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3E0AF76">
            <w:pPr>
              <w:widowControl/>
              <w:spacing w:line="240" w:lineRule="exact"/>
              <w:jc w:val="both"/>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C577303">
            <w:pPr>
              <w:widowControl/>
              <w:spacing w:line="240" w:lineRule="exact"/>
              <w:jc w:val="both"/>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年度项目验收合格率</w:t>
            </w:r>
          </w:p>
        </w:tc>
        <w:tc>
          <w:tcPr>
            <w:tcW w:w="5319" w:type="dxa"/>
            <w:gridSpan w:val="5"/>
            <w:tcBorders>
              <w:top w:val="single" w:color="000000" w:sz="4" w:space="0"/>
              <w:left w:val="single" w:color="000000" w:sz="4" w:space="0"/>
              <w:bottom w:val="single" w:color="000000" w:sz="4" w:space="0"/>
              <w:right w:val="single" w:color="000000" w:sz="4" w:space="0"/>
            </w:tcBorders>
            <w:noWrap/>
            <w:vAlign w:val="center"/>
          </w:tcPr>
          <w:p w14:paraId="075462EC">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513" w:type="dxa"/>
            <w:tcBorders>
              <w:top w:val="single" w:color="000000" w:sz="4" w:space="0"/>
              <w:left w:val="single" w:color="000000" w:sz="4" w:space="0"/>
              <w:bottom w:val="single" w:color="000000" w:sz="4" w:space="0"/>
              <w:right w:val="single" w:color="000000" w:sz="4" w:space="0"/>
            </w:tcBorders>
            <w:noWrap/>
            <w:vAlign w:val="center"/>
          </w:tcPr>
          <w:p w14:paraId="4389FB19">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785C47E6">
        <w:tblPrEx>
          <w:tblCellMar>
            <w:top w:w="0" w:type="dxa"/>
            <w:left w:w="108" w:type="dxa"/>
            <w:bottom w:w="0" w:type="dxa"/>
            <w:right w:w="108" w:type="dxa"/>
          </w:tblCellMar>
        </w:tblPrEx>
        <w:trPr>
          <w:trHeight w:val="723"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9D63C4F">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4BAC5D5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58B2BCC">
            <w:pPr>
              <w:widowControl/>
              <w:spacing w:line="240" w:lineRule="exact"/>
              <w:jc w:val="both"/>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DC7E51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地质灾害隐患处置率</w:t>
            </w:r>
          </w:p>
        </w:tc>
        <w:tc>
          <w:tcPr>
            <w:tcW w:w="5319" w:type="dxa"/>
            <w:gridSpan w:val="5"/>
            <w:tcBorders>
              <w:top w:val="single" w:color="000000" w:sz="4" w:space="0"/>
              <w:left w:val="single" w:color="000000" w:sz="4" w:space="0"/>
              <w:bottom w:val="single" w:color="000000" w:sz="4" w:space="0"/>
              <w:right w:val="single" w:color="000000" w:sz="4" w:space="0"/>
            </w:tcBorders>
            <w:noWrap/>
            <w:vAlign w:val="center"/>
          </w:tcPr>
          <w:p w14:paraId="4A08DDC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≥90%</w:t>
            </w:r>
          </w:p>
        </w:tc>
        <w:tc>
          <w:tcPr>
            <w:tcW w:w="1513" w:type="dxa"/>
            <w:tcBorders>
              <w:top w:val="single" w:color="000000" w:sz="4" w:space="0"/>
              <w:left w:val="single" w:color="000000" w:sz="4" w:space="0"/>
              <w:bottom w:val="single" w:color="000000" w:sz="4" w:space="0"/>
              <w:right w:val="single" w:color="000000" w:sz="4" w:space="0"/>
            </w:tcBorders>
            <w:noWrap/>
            <w:vAlign w:val="center"/>
          </w:tcPr>
          <w:p w14:paraId="56160124">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r>
      <w:tr w14:paraId="393D24F3">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BDF7509">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C41352C">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EFBEEC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DCFC88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设计行业管理指导工作成效</w:t>
            </w:r>
          </w:p>
        </w:tc>
        <w:tc>
          <w:tcPr>
            <w:tcW w:w="5319" w:type="dxa"/>
            <w:gridSpan w:val="5"/>
            <w:tcBorders>
              <w:top w:val="single" w:color="000000" w:sz="4" w:space="0"/>
              <w:left w:val="single" w:color="000000" w:sz="4" w:space="0"/>
              <w:bottom w:val="single" w:color="000000" w:sz="4" w:space="0"/>
              <w:right w:val="single" w:color="000000" w:sz="4" w:space="0"/>
            </w:tcBorders>
            <w:noWrap/>
            <w:vAlign w:val="center"/>
          </w:tcPr>
          <w:p w14:paraId="0C1B3EE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定性 高</w:t>
            </w:r>
          </w:p>
        </w:tc>
        <w:tc>
          <w:tcPr>
            <w:tcW w:w="1513" w:type="dxa"/>
            <w:tcBorders>
              <w:top w:val="single" w:color="000000" w:sz="4" w:space="0"/>
              <w:left w:val="single" w:color="000000" w:sz="4" w:space="0"/>
              <w:bottom w:val="single" w:color="000000" w:sz="4" w:space="0"/>
              <w:right w:val="single" w:color="000000" w:sz="4" w:space="0"/>
            </w:tcBorders>
            <w:noWrap/>
            <w:vAlign w:val="center"/>
          </w:tcPr>
          <w:p w14:paraId="5E065982">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高</w:t>
            </w:r>
          </w:p>
        </w:tc>
      </w:tr>
      <w:tr w14:paraId="4300B0F3">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E70BB84">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B216286">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5A31976">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0A353BA">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地质灾害管理工作成效</w:t>
            </w:r>
          </w:p>
        </w:tc>
        <w:tc>
          <w:tcPr>
            <w:tcW w:w="5319" w:type="dxa"/>
            <w:gridSpan w:val="5"/>
            <w:tcBorders>
              <w:top w:val="single" w:color="000000" w:sz="4" w:space="0"/>
              <w:left w:val="single" w:color="000000" w:sz="4" w:space="0"/>
              <w:bottom w:val="single" w:color="000000" w:sz="4" w:space="0"/>
              <w:right w:val="single" w:color="000000" w:sz="4" w:space="0"/>
            </w:tcBorders>
            <w:noWrap/>
            <w:vAlign w:val="center"/>
          </w:tcPr>
          <w:p w14:paraId="275365D0">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定性 高</w:t>
            </w:r>
          </w:p>
        </w:tc>
        <w:tc>
          <w:tcPr>
            <w:tcW w:w="1513" w:type="dxa"/>
            <w:tcBorders>
              <w:top w:val="single" w:color="000000" w:sz="4" w:space="0"/>
              <w:left w:val="single" w:color="000000" w:sz="4" w:space="0"/>
              <w:bottom w:val="single" w:color="000000" w:sz="4" w:space="0"/>
              <w:right w:val="single" w:color="000000" w:sz="4" w:space="0"/>
            </w:tcBorders>
            <w:noWrap/>
            <w:vAlign w:val="center"/>
          </w:tcPr>
          <w:p w14:paraId="13FFBB20">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高</w:t>
            </w:r>
          </w:p>
        </w:tc>
      </w:tr>
      <w:tr w14:paraId="377AF7D0">
        <w:tblPrEx>
          <w:tblCellMar>
            <w:top w:w="0" w:type="dxa"/>
            <w:left w:w="108" w:type="dxa"/>
            <w:bottom w:w="0" w:type="dxa"/>
            <w:right w:w="108" w:type="dxa"/>
          </w:tblCellMar>
        </w:tblPrEx>
        <w:trPr>
          <w:trHeight w:val="30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4E60B46">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5D4E476">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374023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eastAsia="zh-CN"/>
              </w:rPr>
              <w:t>经济效益指标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3BDE5A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项目建设及关联支出完成率</w:t>
            </w:r>
          </w:p>
        </w:tc>
        <w:tc>
          <w:tcPr>
            <w:tcW w:w="5319" w:type="dxa"/>
            <w:gridSpan w:val="5"/>
            <w:tcBorders>
              <w:top w:val="single" w:color="000000" w:sz="4" w:space="0"/>
              <w:left w:val="single" w:color="000000" w:sz="4" w:space="0"/>
              <w:bottom w:val="single" w:color="000000" w:sz="4" w:space="0"/>
              <w:right w:val="single" w:color="000000" w:sz="4" w:space="0"/>
            </w:tcBorders>
            <w:noWrap/>
            <w:vAlign w:val="center"/>
          </w:tcPr>
          <w:p w14:paraId="782CE52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≥90%</w:t>
            </w:r>
          </w:p>
        </w:tc>
        <w:tc>
          <w:tcPr>
            <w:tcW w:w="1513" w:type="dxa"/>
            <w:tcBorders>
              <w:top w:val="single" w:color="000000" w:sz="4" w:space="0"/>
              <w:left w:val="single" w:color="000000" w:sz="4" w:space="0"/>
              <w:bottom w:val="single" w:color="000000" w:sz="4" w:space="0"/>
              <w:right w:val="single" w:color="000000" w:sz="4" w:space="0"/>
            </w:tcBorders>
            <w:noWrap/>
            <w:vAlign w:val="center"/>
          </w:tcPr>
          <w:p w14:paraId="6ADEFFFF">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r>
    </w:tbl>
    <w:p w14:paraId="4E9CCF21">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2816DDA3">
      <w:pPr>
        <w:pStyle w:val="5"/>
        <w:rPr>
          <w:rFonts w:hint="eastAsia" w:ascii="Times New Roman" w:hAnsi="Times New Roman" w:cs="宋体"/>
          <w:color w:val="FF0000"/>
          <w:kern w:val="0"/>
          <w:sz w:val="32"/>
          <w:szCs w:val="32"/>
          <w:highlight w:val="yellow"/>
          <w:shd w:val="clear" w:color="auto" w:fill="FFFFFF"/>
          <w:lang w:val="zh-CN"/>
        </w:rPr>
      </w:pPr>
    </w:p>
    <w:p w14:paraId="1ED98E4E">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22B30746">
      <w:pPr>
        <w:widowControl w:val="0"/>
        <w:spacing w:after="0" w:line="578" w:lineRule="exact"/>
        <w:ind w:left="0" w:leftChars="0" w:firstLine="0" w:firstLineChars="0"/>
        <w:jc w:val="both"/>
        <w:rPr>
          <w:rFonts w:hint="eastAsia" w:ascii="Times New Roman" w:hAnsi="Times New Roman" w:eastAsia="黑体" w:cs="Times New Roman"/>
          <w:kern w:val="2"/>
          <w:sz w:val="32"/>
          <w:szCs w:val="24"/>
          <w:lang w:val="en-US" w:eastAsia="zh-CN" w:bidi="ar-SA"/>
        </w:rPr>
      </w:pPr>
      <w:r>
        <w:rPr>
          <w:rFonts w:ascii="Times New Roman" w:hAnsi="Times New Roman" w:eastAsia="黑体" w:cs="Times New Roman"/>
          <w:kern w:val="2"/>
          <w:sz w:val="32"/>
          <w:szCs w:val="24"/>
          <w:lang w:val="en-US" w:eastAsia="zh-CN" w:bidi="ar-SA"/>
        </w:rPr>
        <w:t>附表</w:t>
      </w:r>
      <w:r>
        <w:rPr>
          <w:rFonts w:hint="eastAsia" w:ascii="Times New Roman" w:hAnsi="Times New Roman" w:eastAsia="黑体" w:cs="Times New Roman"/>
          <w:kern w:val="2"/>
          <w:sz w:val="32"/>
          <w:szCs w:val="24"/>
          <w:lang w:val="en-US" w:eastAsia="zh-CN" w:bidi="ar-SA"/>
        </w:rPr>
        <w:t>3</w:t>
      </w:r>
    </w:p>
    <w:p w14:paraId="76E8E00A">
      <w:pPr>
        <w:widowControl w:val="0"/>
        <w:spacing w:after="0" w:line="578" w:lineRule="exact"/>
        <w:ind w:left="0" w:leftChars="0" w:firstLine="0" w:firstLineChars="0"/>
        <w:jc w:val="both"/>
        <w:rPr>
          <w:rFonts w:hint="eastAsia" w:ascii="Times New Roman" w:hAnsi="Times New Roman" w:eastAsia="黑体" w:cs="Times New Roman"/>
          <w:kern w:val="2"/>
          <w:sz w:val="32"/>
          <w:szCs w:val="24"/>
          <w:lang w:val="en-US" w:eastAsia="zh-CN" w:bidi="ar-SA"/>
        </w:rPr>
      </w:pPr>
    </w:p>
    <w:p w14:paraId="549857FC">
      <w:pPr>
        <w:widowControl/>
        <w:spacing w:line="578" w:lineRule="exact"/>
        <w:jc w:val="center"/>
        <w:textAlignment w:val="center"/>
        <w:rPr>
          <w:rFonts w:ascii="Times New Roman" w:hAnsi="Times New Roman" w:eastAsia="方正小标宋简体" w:cs="Times New Roman"/>
          <w:color w:val="000000"/>
          <w:kern w:val="0"/>
          <w:sz w:val="44"/>
          <w:szCs w:val="44"/>
        </w:rPr>
      </w:pPr>
      <w:r>
        <w:rPr>
          <w:rFonts w:ascii="Times New Roman" w:hAnsi="Times New Roman" w:eastAsia="方正小标宋简体" w:cs="Times New Roman"/>
          <w:color w:val="000000"/>
          <w:kern w:val="0"/>
          <w:sz w:val="44"/>
          <w:szCs w:val="44"/>
        </w:rPr>
        <w:t>部门预算项目支出绩效评价表</w:t>
      </w:r>
    </w:p>
    <w:p w14:paraId="0526BC5A">
      <w:pPr>
        <w:widowControl/>
        <w:spacing w:line="578" w:lineRule="exact"/>
        <w:jc w:val="center"/>
        <w:textAlignment w:val="center"/>
        <w:rPr>
          <w:rFonts w:ascii="Times New Roman" w:hAnsi="Times New Roman" w:eastAsia="方正小标宋简体" w:cs="Times New Roman"/>
          <w:color w:val="000000"/>
          <w:kern w:val="0"/>
          <w:sz w:val="32"/>
          <w:szCs w:val="32"/>
        </w:rPr>
      </w:pPr>
      <w:r>
        <w:rPr>
          <w:rFonts w:ascii="Times New Roman" w:hAnsi="Times New Roman" w:eastAsia="方正小标宋简体" w:cs="Times New Roman"/>
          <w:color w:val="000000"/>
          <w:kern w:val="0"/>
          <w:sz w:val="32"/>
          <w:szCs w:val="32"/>
        </w:rPr>
        <w:t>（202</w:t>
      </w:r>
      <w:r>
        <w:rPr>
          <w:rFonts w:hint="eastAsia" w:ascii="Times New Roman" w:hAnsi="Times New Roman" w:eastAsia="方正小标宋简体" w:cs="Times New Roman"/>
          <w:color w:val="000000"/>
          <w:kern w:val="0"/>
          <w:sz w:val="32"/>
          <w:szCs w:val="32"/>
        </w:rPr>
        <w:t>5</w:t>
      </w:r>
      <w:r>
        <w:rPr>
          <w:rFonts w:ascii="Times New Roman" w:hAnsi="Times New Roman" w:eastAsia="方正小标宋简体" w:cs="Times New Roman"/>
          <w:color w:val="000000"/>
          <w:kern w:val="0"/>
          <w:sz w:val="32"/>
          <w:szCs w:val="32"/>
        </w:rPr>
        <w:t>年度）</w:t>
      </w:r>
    </w:p>
    <w:p w14:paraId="163BC0E1">
      <w:pPr>
        <w:keepNext/>
        <w:keepLines/>
        <w:widowControl w:val="0"/>
        <w:spacing w:before="0" w:after="0" w:line="578" w:lineRule="exact"/>
        <w:ind w:firstLine="640" w:firstLineChars="200"/>
        <w:outlineLvl w:val="4"/>
        <w:rPr>
          <w:rFonts w:ascii="Times New Roman" w:hAnsi="Times New Roman" w:eastAsia="仿宋_GB2312" w:cs="Times New Roman"/>
          <w:b w:val="0"/>
          <w:color w:val="000000"/>
          <w:kern w:val="0"/>
          <w:sz w:val="32"/>
          <w:szCs w:val="32"/>
          <w:shd w:val="clear" w:color="auto" w:fill="FFFFFF"/>
          <w:lang w:val="en-US" w:eastAsia="zh-CN" w:bidi="ar-SA"/>
        </w:rPr>
      </w:pPr>
    </w:p>
    <w:p w14:paraId="3AD4BD5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lang w:val="en-US" w:eastAsia="zh-CN"/>
        </w:rPr>
      </w:pPr>
      <w:r>
        <w:rPr>
          <w:rFonts w:hint="eastAsia" w:ascii="Times New Roman" w:hAnsi="Times New Roman" w:eastAsia="仿宋_GB2312" w:cs="Times New Roman"/>
          <w:color w:val="auto"/>
          <w:kern w:val="0"/>
          <w:sz w:val="32"/>
          <w:szCs w:val="32"/>
        </w:rPr>
        <w:t>“部门预算项目支出绩效评价表”</w:t>
      </w:r>
      <w:r>
        <w:rPr>
          <w:rFonts w:hint="eastAsia" w:ascii="Times New Roman" w:hAnsi="Times New Roman" w:eastAsia="仿宋_GB2312" w:cs="Times New Roman"/>
          <w:color w:val="auto"/>
          <w:kern w:val="0"/>
          <w:sz w:val="32"/>
          <w:szCs w:val="32"/>
          <w:lang w:val="en-US" w:eastAsia="zh-CN"/>
        </w:rPr>
        <w:t>已</w:t>
      </w:r>
      <w:r>
        <w:rPr>
          <w:rFonts w:hint="eastAsia" w:ascii="Times New Roman" w:hAnsi="Times New Roman" w:eastAsia="仿宋_GB2312" w:cs="Times New Roman"/>
          <w:color w:val="auto"/>
          <w:kern w:val="0"/>
          <w:sz w:val="32"/>
          <w:szCs w:val="32"/>
        </w:rPr>
        <w:t>在预算管理一体化系统—综合报表查询—预算绩效报表模块中进行下载，</w:t>
      </w:r>
      <w:r>
        <w:rPr>
          <w:rFonts w:hint="eastAsia" w:ascii="Times New Roman" w:hAnsi="Times New Roman" w:eastAsia="仿宋_GB2312" w:cs="Times New Roman"/>
          <w:color w:val="auto"/>
          <w:kern w:val="0"/>
          <w:sz w:val="32"/>
          <w:szCs w:val="32"/>
          <w:lang w:val="en-US" w:eastAsia="zh-CN"/>
        </w:rPr>
        <w:t>已</w:t>
      </w:r>
      <w:r>
        <w:rPr>
          <w:rFonts w:hint="eastAsia" w:ascii="Times New Roman" w:hAnsi="Times New Roman" w:eastAsia="仿宋_GB2312" w:cs="Times New Roman"/>
          <w:color w:val="auto"/>
          <w:kern w:val="0"/>
          <w:sz w:val="32"/>
          <w:szCs w:val="32"/>
        </w:rPr>
        <w:t>完成相关内容填报</w:t>
      </w:r>
      <w:r>
        <w:rPr>
          <w:rFonts w:hint="eastAsia" w:ascii="Times New Roman" w:hAnsi="Times New Roman" w:eastAsia="仿宋_GB2312" w:cs="Times New Roman"/>
          <w:color w:val="auto"/>
          <w:kern w:val="0"/>
          <w:sz w:val="32"/>
          <w:szCs w:val="32"/>
          <w:lang w:eastAsia="zh-CN"/>
        </w:rPr>
        <w:t>，</w:t>
      </w:r>
      <w:r>
        <w:rPr>
          <w:rFonts w:hint="eastAsia" w:ascii="Times New Roman" w:hAnsi="Times New Roman" w:eastAsia="仿宋_GB2312" w:cs="Times New Roman"/>
          <w:color w:val="auto"/>
          <w:kern w:val="0"/>
          <w:sz w:val="32"/>
          <w:szCs w:val="32"/>
          <w:lang w:val="en-US" w:eastAsia="zh-CN"/>
        </w:rPr>
        <w:t>详见</w:t>
      </w:r>
      <w:r>
        <w:rPr>
          <w:rFonts w:hint="eastAsia" w:eastAsia="仿宋_GB2312" w:cs="Times New Roman"/>
          <w:color w:val="auto"/>
          <w:kern w:val="0"/>
          <w:sz w:val="32"/>
          <w:szCs w:val="32"/>
          <w:lang w:val="en-US" w:eastAsia="zh-CN"/>
        </w:rPr>
        <w:t>附件1内</w:t>
      </w:r>
      <w:r>
        <w:rPr>
          <w:rFonts w:hint="eastAsia" w:ascii="Times New Roman" w:hAnsi="Times New Roman" w:eastAsia="仿宋_GB2312" w:cs="Times New Roman"/>
          <w:color w:val="auto"/>
          <w:kern w:val="0"/>
          <w:sz w:val="32"/>
          <w:szCs w:val="32"/>
          <w:lang w:val="en-US" w:eastAsia="zh-CN"/>
        </w:rPr>
        <w:t>“</w:t>
      </w: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3</w:t>
      </w:r>
      <w:r>
        <w:rPr>
          <w:rFonts w:hint="eastAsia" w:ascii="Times New Roman" w:hAnsi="Times New Roman" w:eastAsia="仿宋_GB2312" w:cs="Times New Roman"/>
          <w:kern w:val="2"/>
          <w:sz w:val="32"/>
          <w:szCs w:val="32"/>
          <w:u w:val="none"/>
          <w:lang w:val="zh-CN" w:eastAsia="zh-CN" w:bidi="ar"/>
        </w:rPr>
        <w:t>：</w:t>
      </w:r>
      <w:r>
        <w:rPr>
          <w:rFonts w:hint="eastAsia" w:ascii="Times New Roman" w:hAnsi="Times New Roman" w:eastAsia="仿宋_GB2312" w:cs="Times New Roman"/>
          <w:kern w:val="2"/>
          <w:sz w:val="32"/>
          <w:szCs w:val="32"/>
          <w:u w:val="none"/>
          <w:lang w:val="en-US" w:eastAsia="zh-CN" w:bidi="ar"/>
        </w:rPr>
        <w:t>部门预算项目支出绩效自评表（2025年度）</w:t>
      </w:r>
      <w:r>
        <w:rPr>
          <w:rFonts w:hint="eastAsia" w:ascii="Times New Roman" w:hAnsi="Times New Roman" w:eastAsia="仿宋_GB2312" w:cs="Times New Roman"/>
          <w:color w:val="auto"/>
          <w:kern w:val="0"/>
          <w:sz w:val="32"/>
          <w:szCs w:val="32"/>
          <w:lang w:val="en-US" w:eastAsia="zh-CN"/>
        </w:rPr>
        <w:t>”。</w:t>
      </w:r>
    </w:p>
    <w:p w14:paraId="753C4731">
      <w:pPr>
        <w:rPr>
          <w:rFonts w:hint="eastAsia" w:ascii="Times New Roman" w:hAnsi="Times New Roman" w:eastAsia="黑体" w:cs="黑体"/>
          <w:color w:val="auto"/>
          <w:kern w:val="0"/>
          <w:sz w:val="32"/>
          <w:szCs w:val="32"/>
          <w:highlight w:val="none"/>
          <w:shd w:val="clear" w:color="auto" w:fill="FFFFFF"/>
          <w:lang w:val="zh-CN"/>
        </w:rPr>
      </w:pPr>
    </w:p>
    <w:p w14:paraId="0A7CD379">
      <w:pPr>
        <w:rPr>
          <w:rFonts w:hint="eastAsia" w:ascii="Times New Roman" w:hAnsi="Times New Roman" w:eastAsia="黑体" w:cs="黑体"/>
          <w:color w:val="auto"/>
          <w:kern w:val="0"/>
          <w:sz w:val="32"/>
          <w:szCs w:val="32"/>
          <w:highlight w:val="none"/>
          <w:shd w:val="clear" w:color="auto" w:fill="FFFFFF"/>
          <w:lang w:val="zh-CN"/>
        </w:rPr>
      </w:pPr>
    </w:p>
    <w:p w14:paraId="19C71BF0">
      <w:pPr>
        <w:rPr>
          <w:rFonts w:hint="eastAsia" w:ascii="Times New Roman" w:hAnsi="Times New Roman" w:eastAsia="黑体" w:cs="黑体"/>
          <w:color w:val="auto"/>
          <w:kern w:val="0"/>
          <w:sz w:val="32"/>
          <w:szCs w:val="32"/>
          <w:highlight w:val="none"/>
          <w:shd w:val="clear" w:color="auto" w:fill="FFFFFF"/>
          <w:lang w:val="zh-CN"/>
        </w:rPr>
      </w:pPr>
    </w:p>
    <w:p w14:paraId="78565D4E">
      <w:pPr>
        <w:rPr>
          <w:rFonts w:hint="eastAsia" w:ascii="Times New Roman" w:hAnsi="Times New Roman" w:eastAsia="黑体" w:cs="黑体"/>
          <w:color w:val="auto"/>
          <w:kern w:val="0"/>
          <w:sz w:val="32"/>
          <w:szCs w:val="32"/>
          <w:highlight w:val="none"/>
          <w:shd w:val="clear" w:color="auto" w:fill="FFFFFF"/>
          <w:lang w:val="zh-CN"/>
        </w:rPr>
      </w:pPr>
    </w:p>
    <w:p w14:paraId="0B0B6B42">
      <w:pPr>
        <w:rPr>
          <w:rFonts w:hint="eastAsia" w:ascii="Times New Roman" w:hAnsi="Times New Roman" w:eastAsia="黑体" w:cs="黑体"/>
          <w:color w:val="auto"/>
          <w:kern w:val="0"/>
          <w:sz w:val="32"/>
          <w:szCs w:val="32"/>
          <w:highlight w:val="none"/>
          <w:shd w:val="clear" w:color="auto" w:fill="FFFFFF"/>
          <w:lang w:val="zh-CN"/>
        </w:rPr>
      </w:pPr>
    </w:p>
    <w:p w14:paraId="66BC8A63">
      <w:pPr>
        <w:rPr>
          <w:rFonts w:hint="eastAsia" w:ascii="Times New Roman" w:hAnsi="Times New Roman" w:eastAsia="黑体" w:cs="黑体"/>
          <w:color w:val="auto"/>
          <w:kern w:val="0"/>
          <w:sz w:val="32"/>
          <w:szCs w:val="32"/>
          <w:highlight w:val="none"/>
          <w:shd w:val="clear" w:color="auto" w:fill="FFFFFF"/>
          <w:lang w:val="zh-CN"/>
        </w:rPr>
      </w:pPr>
    </w:p>
    <w:p w14:paraId="0FD2C122">
      <w:pPr>
        <w:rPr>
          <w:rFonts w:hint="eastAsia" w:ascii="Times New Roman" w:hAnsi="Times New Roman" w:eastAsia="黑体" w:cs="黑体"/>
          <w:color w:val="auto"/>
          <w:kern w:val="0"/>
          <w:sz w:val="32"/>
          <w:szCs w:val="32"/>
          <w:highlight w:val="none"/>
          <w:shd w:val="clear" w:color="auto" w:fill="FFFFFF"/>
          <w:lang w:val="zh-CN"/>
        </w:rPr>
      </w:pPr>
    </w:p>
    <w:p w14:paraId="6D0D8014">
      <w:pPr>
        <w:rPr>
          <w:rFonts w:hint="eastAsia" w:ascii="Times New Roman" w:hAnsi="Times New Roman" w:eastAsia="黑体" w:cs="黑体"/>
          <w:color w:val="auto"/>
          <w:kern w:val="0"/>
          <w:sz w:val="32"/>
          <w:szCs w:val="32"/>
          <w:highlight w:val="none"/>
          <w:shd w:val="clear" w:color="auto" w:fill="FFFFFF"/>
          <w:lang w:val="zh-CN"/>
        </w:rPr>
      </w:pPr>
    </w:p>
    <w:p w14:paraId="50D96CA3">
      <w:pPr>
        <w:rPr>
          <w:rFonts w:hint="eastAsia" w:ascii="Times New Roman" w:hAnsi="Times New Roman" w:eastAsia="黑体" w:cs="黑体"/>
          <w:color w:val="auto"/>
          <w:kern w:val="0"/>
          <w:sz w:val="32"/>
          <w:szCs w:val="32"/>
          <w:highlight w:val="none"/>
          <w:shd w:val="clear" w:color="auto" w:fill="FFFFFF"/>
          <w:lang w:val="zh-CN"/>
        </w:rPr>
      </w:pPr>
    </w:p>
    <w:p w14:paraId="37FFAD2C">
      <w:pPr>
        <w:rPr>
          <w:rFonts w:hint="eastAsia" w:ascii="Times New Roman" w:hAnsi="Times New Roman" w:eastAsia="黑体" w:cs="黑体"/>
          <w:color w:val="auto"/>
          <w:kern w:val="0"/>
          <w:sz w:val="32"/>
          <w:szCs w:val="32"/>
          <w:highlight w:val="none"/>
          <w:shd w:val="clear" w:color="auto" w:fill="FFFFFF"/>
          <w:lang w:val="zh-CN"/>
        </w:rPr>
      </w:pPr>
    </w:p>
    <w:p w14:paraId="712BD43F">
      <w:pPr>
        <w:rPr>
          <w:rFonts w:hint="eastAsia" w:ascii="Times New Roman" w:hAnsi="Times New Roman" w:eastAsia="黑体" w:cs="黑体"/>
          <w:color w:val="auto"/>
          <w:kern w:val="0"/>
          <w:sz w:val="32"/>
          <w:szCs w:val="32"/>
          <w:highlight w:val="none"/>
          <w:shd w:val="clear" w:color="auto" w:fill="FFFFFF"/>
          <w:lang w:val="zh-CN"/>
        </w:rPr>
      </w:pPr>
    </w:p>
    <w:p w14:paraId="1B562DCD">
      <w:pPr>
        <w:rPr>
          <w:rFonts w:hint="eastAsia" w:ascii="Times New Roman" w:hAnsi="Times New Roman" w:eastAsia="黑体" w:cs="黑体"/>
          <w:color w:val="auto"/>
          <w:kern w:val="0"/>
          <w:sz w:val="32"/>
          <w:szCs w:val="32"/>
          <w:highlight w:val="none"/>
          <w:shd w:val="clear" w:color="auto" w:fill="FFFFFF"/>
          <w:lang w:val="zh-CN"/>
        </w:rPr>
      </w:pPr>
    </w:p>
    <w:p w14:paraId="4972FE1E">
      <w:pPr>
        <w:rPr>
          <w:rFonts w:hint="eastAsia" w:ascii="Times New Roman" w:hAnsi="Times New Roman" w:eastAsia="黑体" w:cs="黑体"/>
          <w:color w:val="auto"/>
          <w:kern w:val="0"/>
          <w:sz w:val="32"/>
          <w:szCs w:val="32"/>
          <w:highlight w:val="none"/>
          <w:shd w:val="clear" w:color="auto" w:fill="FFFFFF"/>
          <w:lang w:val="zh-CN"/>
        </w:rPr>
      </w:pPr>
    </w:p>
    <w:p w14:paraId="09835892">
      <w:pPr>
        <w:pStyle w:val="5"/>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0A7D0BB0">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5258CB89">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w:t>
      </w:r>
    </w:p>
    <w:p w14:paraId="1AC00259">
      <w:pPr>
        <w:pStyle w:val="34"/>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14:paraId="3FEA708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bCs/>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2025年阿坝州自然资源局（机关）无专项预算项目安排。</w:t>
      </w:r>
    </w:p>
    <w:p w14:paraId="1603755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0CA5E4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A4860E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48"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29E4F2F7">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45"/>
      <w:bookmarkEnd w:id="48"/>
      <w:bookmarkStart w:id="49" w:name="_Toc15396619"/>
    </w:p>
    <w:p w14:paraId="35FBE7F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2280EA2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9"/>
    </w:p>
    <w:p w14:paraId="40EAB37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0"/>
      <w:r>
        <w:rPr>
          <w:rFonts w:hint="eastAsia" w:ascii="Times New Roman" w:hAnsi="Times New Roman" w:eastAsia="仿宋_GB2312" w:cs="仿宋_GB2312"/>
          <w:color w:val="auto"/>
          <w:sz w:val="32"/>
          <w:szCs w:val="32"/>
          <w:highlight w:val="none"/>
        </w:rPr>
        <w:t>二、收入决算表</w:t>
      </w:r>
      <w:bookmarkEnd w:id="50"/>
    </w:p>
    <w:p w14:paraId="4B99B85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1"/>
      <w:r>
        <w:rPr>
          <w:rFonts w:hint="eastAsia" w:ascii="Times New Roman" w:hAnsi="Times New Roman" w:eastAsia="仿宋_GB2312" w:cs="仿宋_GB2312"/>
          <w:color w:val="auto"/>
          <w:sz w:val="32"/>
          <w:szCs w:val="32"/>
          <w:highlight w:val="none"/>
        </w:rPr>
        <w:t>三、支出决算表</w:t>
      </w:r>
      <w:bookmarkEnd w:id="51"/>
    </w:p>
    <w:p w14:paraId="53C29BF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2"/>
      <w:r>
        <w:rPr>
          <w:rFonts w:hint="eastAsia" w:ascii="Times New Roman" w:hAnsi="Times New Roman" w:eastAsia="仿宋_GB2312" w:cs="仿宋_GB2312"/>
          <w:color w:val="auto"/>
          <w:sz w:val="32"/>
          <w:szCs w:val="32"/>
          <w:highlight w:val="none"/>
        </w:rPr>
        <w:t>四、财政拨款收入支出决算总表</w:t>
      </w:r>
      <w:bookmarkEnd w:id="52"/>
    </w:p>
    <w:p w14:paraId="43FBDB6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3"/>
      <w:r>
        <w:rPr>
          <w:rFonts w:hint="eastAsia" w:ascii="Times New Roman" w:hAnsi="Times New Roman" w:eastAsia="仿宋_GB2312" w:cs="仿宋_GB2312"/>
          <w:color w:val="auto"/>
          <w:sz w:val="32"/>
          <w:szCs w:val="32"/>
          <w:highlight w:val="none"/>
        </w:rPr>
        <w:t>五、财政拨款支出决算明细表</w:t>
      </w:r>
      <w:bookmarkEnd w:id="53"/>
      <w:bookmarkStart w:id="54" w:name="_Toc15396624"/>
    </w:p>
    <w:p w14:paraId="763171B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4"/>
    </w:p>
    <w:p w14:paraId="6C410C1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5"/>
      <w:r>
        <w:rPr>
          <w:rFonts w:hint="eastAsia" w:ascii="Times New Roman" w:hAnsi="Times New Roman" w:eastAsia="仿宋_GB2312" w:cs="仿宋_GB2312"/>
          <w:color w:val="auto"/>
          <w:sz w:val="32"/>
          <w:szCs w:val="32"/>
          <w:highlight w:val="none"/>
        </w:rPr>
        <w:t>七、一般公共预算财政拨款支出决算明细表</w:t>
      </w:r>
      <w:bookmarkEnd w:id="55"/>
    </w:p>
    <w:p w14:paraId="4EB5286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6"/>
      <w:r>
        <w:rPr>
          <w:rFonts w:hint="eastAsia" w:ascii="Times New Roman" w:hAnsi="Times New Roman" w:eastAsia="仿宋_GB2312" w:cs="仿宋_GB2312"/>
          <w:color w:val="auto"/>
          <w:sz w:val="32"/>
          <w:szCs w:val="32"/>
          <w:highlight w:val="none"/>
        </w:rPr>
        <w:t>八、一般公共预算财政拨款基本支出决算表</w:t>
      </w:r>
      <w:bookmarkEnd w:id="56"/>
    </w:p>
    <w:p w14:paraId="2550500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7"/>
      <w:r>
        <w:rPr>
          <w:rFonts w:hint="eastAsia" w:ascii="Times New Roman" w:hAnsi="Times New Roman" w:eastAsia="仿宋_GB2312" w:cs="仿宋_GB2312"/>
          <w:color w:val="auto"/>
          <w:sz w:val="32"/>
          <w:szCs w:val="32"/>
          <w:highlight w:val="none"/>
        </w:rPr>
        <w:t>九、一般公共预算财政拨款项目支出决算表</w:t>
      </w:r>
      <w:bookmarkEnd w:id="57"/>
    </w:p>
    <w:p w14:paraId="26362D4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8"/>
      <w:r>
        <w:rPr>
          <w:rFonts w:hint="eastAsia" w:ascii="Times New Roman" w:hAnsi="Times New Roman" w:eastAsia="仿宋_GB2312" w:cs="仿宋_GB2312"/>
          <w:color w:val="auto"/>
          <w:sz w:val="32"/>
          <w:szCs w:val="32"/>
          <w:highlight w:val="none"/>
        </w:rPr>
        <w:t>十、</w:t>
      </w:r>
      <w:bookmarkEnd w:id="58"/>
      <w:r>
        <w:rPr>
          <w:rFonts w:hint="eastAsia" w:ascii="Times New Roman" w:hAnsi="Times New Roman" w:eastAsia="仿宋_GB2312" w:cs="仿宋_GB2312"/>
          <w:color w:val="auto"/>
          <w:sz w:val="32"/>
          <w:szCs w:val="32"/>
          <w:highlight w:val="none"/>
        </w:rPr>
        <w:t>政府性基金预算财政拨款收入支出决算表</w:t>
      </w:r>
    </w:p>
    <w:p w14:paraId="7AC6FD7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9"/>
      <w:r>
        <w:rPr>
          <w:rFonts w:hint="eastAsia" w:ascii="Times New Roman" w:hAnsi="Times New Roman" w:eastAsia="仿宋_GB2312" w:cs="仿宋_GB2312"/>
          <w:color w:val="auto"/>
          <w:sz w:val="32"/>
          <w:szCs w:val="32"/>
          <w:highlight w:val="none"/>
        </w:rPr>
        <w:t>十一、</w:t>
      </w:r>
      <w:bookmarkEnd w:id="5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CB5AA5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30"/>
      <w:r>
        <w:rPr>
          <w:rFonts w:hint="eastAsia" w:ascii="Times New Roman" w:hAnsi="Times New Roman" w:eastAsia="仿宋_GB2312" w:cs="仿宋_GB2312"/>
          <w:color w:val="auto"/>
          <w:sz w:val="32"/>
          <w:szCs w:val="32"/>
          <w:highlight w:val="none"/>
        </w:rPr>
        <w:t>十二、</w:t>
      </w:r>
      <w:bookmarkEnd w:id="60"/>
      <w:r>
        <w:rPr>
          <w:rFonts w:hint="eastAsia" w:ascii="Times New Roman" w:hAnsi="Times New Roman" w:eastAsia="仿宋_GB2312" w:cs="仿宋_GB2312"/>
          <w:color w:val="auto"/>
          <w:sz w:val="32"/>
          <w:szCs w:val="32"/>
          <w:highlight w:val="none"/>
          <w:lang w:eastAsia="zh-CN"/>
        </w:rPr>
        <w:t>国有资本经营预算财政拨款支出决算表</w:t>
      </w:r>
    </w:p>
    <w:p w14:paraId="07B26F4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1" w:name="_Toc15396631"/>
      <w:r>
        <w:rPr>
          <w:rFonts w:hint="eastAsia" w:ascii="Times New Roman" w:hAnsi="Times New Roman" w:eastAsia="仿宋_GB2312" w:cs="仿宋_GB2312"/>
          <w:color w:val="auto"/>
          <w:sz w:val="32"/>
          <w:szCs w:val="32"/>
          <w:highlight w:val="none"/>
        </w:rPr>
        <w:t>十三、</w:t>
      </w:r>
      <w:bookmarkEnd w:id="61"/>
      <w:r>
        <w:rPr>
          <w:rFonts w:hint="eastAsia" w:ascii="Times New Roman" w:hAnsi="Times New Roman" w:eastAsia="仿宋_GB2312" w:cs="仿宋_GB2312"/>
          <w:color w:val="auto"/>
          <w:sz w:val="32"/>
          <w:szCs w:val="32"/>
          <w:highlight w:val="none"/>
          <w:lang w:eastAsia="zh-CN"/>
        </w:rPr>
        <w:t>财政拨款“三公”经费支出决算表</w:t>
      </w:r>
    </w:p>
    <w:p w14:paraId="63969D9B">
      <w:pPr>
        <w:rPr>
          <w:rFonts w:hint="eastAsia" w:ascii="Times New Roman" w:hAnsi="Times New Roman"/>
          <w:lang w:eastAsia="zh-CN"/>
        </w:rPr>
      </w:pPr>
    </w:p>
    <w:sectPr>
      <w:footerReference r:id="rId8"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078CE">
    <w:pPr>
      <w:pStyle w:val="10"/>
      <w:jc w:val="center"/>
    </w:pPr>
  </w:p>
  <w:p w14:paraId="3B0C36E4">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7FEF3">
    <w:pPr>
      <w:pStyle w:val="10"/>
      <w:jc w:val="center"/>
    </w:pPr>
  </w:p>
  <w:p w14:paraId="66082FB3">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DAD3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79391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D79391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D21FB">
    <w:pPr>
      <w:pStyle w:val="10"/>
      <w:jc w:val="center"/>
    </w:pPr>
  </w:p>
  <w:p w14:paraId="1640E052">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F9F19">
    <w:pPr>
      <w:pStyle w:val="10"/>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4461BB">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6A4461BB">
                    <w:pPr>
                      <w:pStyle w:val="10"/>
                    </w:pPr>
                    <w:r>
                      <w:fldChar w:fldCharType="begin"/>
                    </w:r>
                    <w:r>
                      <w:instrText xml:space="preserve"> PAGE  \* MERGEFORMAT </w:instrText>
                    </w:r>
                    <w:r>
                      <w:fldChar w:fldCharType="separate"/>
                    </w:r>
                    <w:r>
                      <w:t>1</w:t>
                    </w:r>
                    <w:r>
                      <w:fldChar w:fldCharType="end"/>
                    </w:r>
                  </w:p>
                </w:txbxContent>
              </v:textbox>
            </v:shape>
          </w:pict>
        </mc:Fallback>
      </mc:AlternateContent>
    </w:r>
  </w:p>
  <w:p w14:paraId="2DAC68D6">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E14E">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D96BD0"/>
    <w:multiLevelType w:val="singleLevel"/>
    <w:tmpl w:val="86D96BD0"/>
    <w:lvl w:ilvl="0" w:tentative="0">
      <w:start w:val="1"/>
      <w:numFmt w:val="decimal"/>
      <w:suff w:val="nothing"/>
      <w:lvlText w:val="%1．"/>
      <w:lvlJc w:val="left"/>
      <w:pPr>
        <w:ind w:left="0" w:firstLine="400"/>
      </w:pPr>
      <w:rPr>
        <w:rFonts w:hint="default"/>
        <w:b w:val="0"/>
        <w:bCs w:val="0"/>
      </w:rPr>
    </w:lvl>
  </w:abstractNum>
  <w:abstractNum w:abstractNumId="1">
    <w:nsid w:val="FF1F9151"/>
    <w:multiLevelType w:val="singleLevel"/>
    <w:tmpl w:val="FF1F9151"/>
    <w:lvl w:ilvl="0" w:tentative="0">
      <w:start w:val="1"/>
      <w:numFmt w:val="decimal"/>
      <w:lvlText w:val="%1."/>
      <w:lvlJc w:val="left"/>
      <w:pPr>
        <w:ind w:left="425" w:hanging="425"/>
      </w:pPr>
      <w:rPr>
        <w:rFonts w:hint="default"/>
      </w:rPr>
    </w:lvl>
  </w:abstractNum>
  <w:abstractNum w:abstractNumId="2">
    <w:nsid w:val="5DF61AA5"/>
    <w:multiLevelType w:val="singleLevel"/>
    <w:tmpl w:val="5DF61AA5"/>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62156A"/>
    <w:rsid w:val="1FF35744"/>
    <w:rsid w:val="1FF6BC77"/>
    <w:rsid w:val="1FF73273"/>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2FFF0778"/>
    <w:rsid w:val="2FFF25FD"/>
    <w:rsid w:val="319F7F4E"/>
    <w:rsid w:val="321B2544"/>
    <w:rsid w:val="3304709D"/>
    <w:rsid w:val="33EEFF16"/>
    <w:rsid w:val="34281836"/>
    <w:rsid w:val="349D6851"/>
    <w:rsid w:val="35BA6CAF"/>
    <w:rsid w:val="364D14C1"/>
    <w:rsid w:val="36AA5135"/>
    <w:rsid w:val="36BE0DA7"/>
    <w:rsid w:val="376B6AA6"/>
    <w:rsid w:val="376D39B2"/>
    <w:rsid w:val="37E16F03"/>
    <w:rsid w:val="37F53A3B"/>
    <w:rsid w:val="37FE4FD7"/>
    <w:rsid w:val="389B6C89"/>
    <w:rsid w:val="38D469F0"/>
    <w:rsid w:val="39627CCD"/>
    <w:rsid w:val="397BAF1F"/>
    <w:rsid w:val="399B980B"/>
    <w:rsid w:val="3AB79AF3"/>
    <w:rsid w:val="3ABD739E"/>
    <w:rsid w:val="3B7EF35A"/>
    <w:rsid w:val="3B9FDB6C"/>
    <w:rsid w:val="3BCDC686"/>
    <w:rsid w:val="3BF5BC2F"/>
    <w:rsid w:val="3CEBA265"/>
    <w:rsid w:val="3CF78491"/>
    <w:rsid w:val="3D98207C"/>
    <w:rsid w:val="3D9B0D99"/>
    <w:rsid w:val="3DEE7CF3"/>
    <w:rsid w:val="3DF02244"/>
    <w:rsid w:val="3DFB92DD"/>
    <w:rsid w:val="3E78745D"/>
    <w:rsid w:val="3FB62C71"/>
    <w:rsid w:val="3FDFD250"/>
    <w:rsid w:val="3FE746F5"/>
    <w:rsid w:val="3FF4CAE0"/>
    <w:rsid w:val="3FF7B227"/>
    <w:rsid w:val="40E54C45"/>
    <w:rsid w:val="43A407DF"/>
    <w:rsid w:val="44515BEA"/>
    <w:rsid w:val="44E268DA"/>
    <w:rsid w:val="453F7E5B"/>
    <w:rsid w:val="486A6C7A"/>
    <w:rsid w:val="49176D9B"/>
    <w:rsid w:val="4A627F82"/>
    <w:rsid w:val="4AAEB4E8"/>
    <w:rsid w:val="4B0E749A"/>
    <w:rsid w:val="4B4F25DA"/>
    <w:rsid w:val="4BDA0CFB"/>
    <w:rsid w:val="4BE068DB"/>
    <w:rsid w:val="4D3C0CCC"/>
    <w:rsid w:val="4D577224"/>
    <w:rsid w:val="4DBF1CEB"/>
    <w:rsid w:val="4EAB630A"/>
    <w:rsid w:val="4ECE2238"/>
    <w:rsid w:val="4F3FAECE"/>
    <w:rsid w:val="4F833267"/>
    <w:rsid w:val="4FE9BD67"/>
    <w:rsid w:val="4FFB052F"/>
    <w:rsid w:val="50211B47"/>
    <w:rsid w:val="53083A92"/>
    <w:rsid w:val="537E6D0A"/>
    <w:rsid w:val="53AF27A2"/>
    <w:rsid w:val="53F74C96"/>
    <w:rsid w:val="56E47B74"/>
    <w:rsid w:val="57BD3DD4"/>
    <w:rsid w:val="5AF92295"/>
    <w:rsid w:val="5BDD79E6"/>
    <w:rsid w:val="5BF561CA"/>
    <w:rsid w:val="5BFF5DFC"/>
    <w:rsid w:val="5CD71FC4"/>
    <w:rsid w:val="5D1F11B5"/>
    <w:rsid w:val="5D53EE42"/>
    <w:rsid w:val="5DAE1B18"/>
    <w:rsid w:val="5DCF2F2B"/>
    <w:rsid w:val="5DE7D9E5"/>
    <w:rsid w:val="5DEF9762"/>
    <w:rsid w:val="5ECEC941"/>
    <w:rsid w:val="5EE71AB5"/>
    <w:rsid w:val="5F493CB7"/>
    <w:rsid w:val="5F7F86D8"/>
    <w:rsid w:val="5FB762FB"/>
    <w:rsid w:val="5FBF9FF3"/>
    <w:rsid w:val="5FCD4E2C"/>
    <w:rsid w:val="5FD15F49"/>
    <w:rsid w:val="5FE67EB7"/>
    <w:rsid w:val="5FEF394A"/>
    <w:rsid w:val="5FF67715"/>
    <w:rsid w:val="5FF98F67"/>
    <w:rsid w:val="5FFFD4BB"/>
    <w:rsid w:val="623F1FE0"/>
    <w:rsid w:val="62BF3928"/>
    <w:rsid w:val="647F5392"/>
    <w:rsid w:val="664B1D71"/>
    <w:rsid w:val="67AA3209"/>
    <w:rsid w:val="681C4F0D"/>
    <w:rsid w:val="69046D0F"/>
    <w:rsid w:val="698D0931"/>
    <w:rsid w:val="6A993CED"/>
    <w:rsid w:val="6A9A6BB0"/>
    <w:rsid w:val="6B053271"/>
    <w:rsid w:val="6BCE6674"/>
    <w:rsid w:val="6C4A05C8"/>
    <w:rsid w:val="6C8742B8"/>
    <w:rsid w:val="6C8A170F"/>
    <w:rsid w:val="6CB54609"/>
    <w:rsid w:val="6DBF5E93"/>
    <w:rsid w:val="6DEFF3B9"/>
    <w:rsid w:val="6DFF077E"/>
    <w:rsid w:val="6E7E3605"/>
    <w:rsid w:val="6E7FDCC7"/>
    <w:rsid w:val="6ED6A62E"/>
    <w:rsid w:val="6EE00B15"/>
    <w:rsid w:val="6F544B20"/>
    <w:rsid w:val="6F6FB3EB"/>
    <w:rsid w:val="6F784160"/>
    <w:rsid w:val="6F8731EA"/>
    <w:rsid w:val="6FCE6052"/>
    <w:rsid w:val="6FD57C00"/>
    <w:rsid w:val="6FE73FC8"/>
    <w:rsid w:val="6FEFFFD8"/>
    <w:rsid w:val="6FF3C3FC"/>
    <w:rsid w:val="6FF5CC65"/>
    <w:rsid w:val="6FFB47EC"/>
    <w:rsid w:val="6FFF034A"/>
    <w:rsid w:val="70496804"/>
    <w:rsid w:val="70FF2D91"/>
    <w:rsid w:val="712A28F1"/>
    <w:rsid w:val="715C0E4B"/>
    <w:rsid w:val="72233669"/>
    <w:rsid w:val="72734D90"/>
    <w:rsid w:val="7332FE48"/>
    <w:rsid w:val="736A1DEB"/>
    <w:rsid w:val="73AB61DA"/>
    <w:rsid w:val="73AD73D5"/>
    <w:rsid w:val="73B6EB34"/>
    <w:rsid w:val="73FA497D"/>
    <w:rsid w:val="744731E5"/>
    <w:rsid w:val="74527205"/>
    <w:rsid w:val="74BBD01D"/>
    <w:rsid w:val="74ED5379"/>
    <w:rsid w:val="74FC2395"/>
    <w:rsid w:val="75DEEEC2"/>
    <w:rsid w:val="76BD0F2C"/>
    <w:rsid w:val="76E3355F"/>
    <w:rsid w:val="76FF5125"/>
    <w:rsid w:val="776F6FFA"/>
    <w:rsid w:val="778769C8"/>
    <w:rsid w:val="77DC22F5"/>
    <w:rsid w:val="77F3EEA3"/>
    <w:rsid w:val="77FEB0CA"/>
    <w:rsid w:val="78EF6FCD"/>
    <w:rsid w:val="79086DAD"/>
    <w:rsid w:val="79974F09"/>
    <w:rsid w:val="79D7FD79"/>
    <w:rsid w:val="79EE5BA4"/>
    <w:rsid w:val="7A894339"/>
    <w:rsid w:val="7AFF7572"/>
    <w:rsid w:val="7B3F9A39"/>
    <w:rsid w:val="7B6C7DFB"/>
    <w:rsid w:val="7BBFBED0"/>
    <w:rsid w:val="7BC3E394"/>
    <w:rsid w:val="7BC76CFF"/>
    <w:rsid w:val="7BFD8078"/>
    <w:rsid w:val="7C1F3737"/>
    <w:rsid w:val="7C7ED5CA"/>
    <w:rsid w:val="7CBFC87B"/>
    <w:rsid w:val="7CFE0F48"/>
    <w:rsid w:val="7D7EC23E"/>
    <w:rsid w:val="7D916348"/>
    <w:rsid w:val="7DBF6FA3"/>
    <w:rsid w:val="7DDEBF67"/>
    <w:rsid w:val="7E4FFA42"/>
    <w:rsid w:val="7E7FAB20"/>
    <w:rsid w:val="7E8ADEBF"/>
    <w:rsid w:val="7EEF11D3"/>
    <w:rsid w:val="7F0971A6"/>
    <w:rsid w:val="7F3F679B"/>
    <w:rsid w:val="7F4FC4EF"/>
    <w:rsid w:val="7F5E4D54"/>
    <w:rsid w:val="7F6E0135"/>
    <w:rsid w:val="7F7A3E97"/>
    <w:rsid w:val="7F7D714D"/>
    <w:rsid w:val="7F7EBF52"/>
    <w:rsid w:val="7F954DBA"/>
    <w:rsid w:val="7FA30C79"/>
    <w:rsid w:val="7FAF8ABF"/>
    <w:rsid w:val="7FB7269E"/>
    <w:rsid w:val="7FBF1CCC"/>
    <w:rsid w:val="7FC96657"/>
    <w:rsid w:val="7FDA9588"/>
    <w:rsid w:val="7FDF220F"/>
    <w:rsid w:val="7FEDC5F7"/>
    <w:rsid w:val="7FEDD9DE"/>
    <w:rsid w:val="7FF5890D"/>
    <w:rsid w:val="7FF7444E"/>
    <w:rsid w:val="7FF93490"/>
    <w:rsid w:val="7FFF830D"/>
    <w:rsid w:val="7FFF93C8"/>
    <w:rsid w:val="7FFFA346"/>
    <w:rsid w:val="8FBFA65C"/>
    <w:rsid w:val="8FE9B5C0"/>
    <w:rsid w:val="99FF2014"/>
    <w:rsid w:val="9DFF2001"/>
    <w:rsid w:val="9F5EA0BA"/>
    <w:rsid w:val="9F9FDBB3"/>
    <w:rsid w:val="A6BB3D82"/>
    <w:rsid w:val="A6DD0D7F"/>
    <w:rsid w:val="AB6CDCA2"/>
    <w:rsid w:val="ADC6F725"/>
    <w:rsid w:val="AFFF3B99"/>
    <w:rsid w:val="B6DFD71A"/>
    <w:rsid w:val="B7CF06AB"/>
    <w:rsid w:val="B7CFA926"/>
    <w:rsid w:val="B7F8786B"/>
    <w:rsid w:val="B7FFFE9D"/>
    <w:rsid w:val="BABB6AA1"/>
    <w:rsid w:val="BB2F4199"/>
    <w:rsid w:val="BBBFFE19"/>
    <w:rsid w:val="BCB7910B"/>
    <w:rsid w:val="BD079C78"/>
    <w:rsid w:val="BD733540"/>
    <w:rsid w:val="BF3735D5"/>
    <w:rsid w:val="BF7F09AC"/>
    <w:rsid w:val="BF8774A5"/>
    <w:rsid w:val="BFD475C3"/>
    <w:rsid w:val="BFDE5EA6"/>
    <w:rsid w:val="BFFE6E2B"/>
    <w:rsid w:val="C0AF6FB5"/>
    <w:rsid w:val="C7F733EB"/>
    <w:rsid w:val="C9F815EB"/>
    <w:rsid w:val="CB7DE56D"/>
    <w:rsid w:val="CCEF44C1"/>
    <w:rsid w:val="CF6FC6F3"/>
    <w:rsid w:val="CFD3D3D7"/>
    <w:rsid w:val="CFDF1009"/>
    <w:rsid w:val="D7D7B16A"/>
    <w:rsid w:val="D8D6DB89"/>
    <w:rsid w:val="DB6F4CAB"/>
    <w:rsid w:val="DB777682"/>
    <w:rsid w:val="DD1FB521"/>
    <w:rsid w:val="DD9F64BE"/>
    <w:rsid w:val="DEFBFEAE"/>
    <w:rsid w:val="DF1F3B80"/>
    <w:rsid w:val="DF6F9789"/>
    <w:rsid w:val="DFDF8022"/>
    <w:rsid w:val="DFE9863C"/>
    <w:rsid w:val="DFFFA9E8"/>
    <w:rsid w:val="E17B0FED"/>
    <w:rsid w:val="E3E73F73"/>
    <w:rsid w:val="E5F4E9DC"/>
    <w:rsid w:val="E70FE695"/>
    <w:rsid w:val="E7BEFF1F"/>
    <w:rsid w:val="E7BF445D"/>
    <w:rsid w:val="EBCFB201"/>
    <w:rsid w:val="ECFED1BC"/>
    <w:rsid w:val="ED1D69BB"/>
    <w:rsid w:val="ED5DF042"/>
    <w:rsid w:val="ED7FD312"/>
    <w:rsid w:val="EDCF3ECF"/>
    <w:rsid w:val="EDEDA7E1"/>
    <w:rsid w:val="EEBFFCE9"/>
    <w:rsid w:val="EF53993F"/>
    <w:rsid w:val="EF6F150B"/>
    <w:rsid w:val="EF6FD633"/>
    <w:rsid w:val="EFBFB2F4"/>
    <w:rsid w:val="EFBFFA21"/>
    <w:rsid w:val="EFED0302"/>
    <w:rsid w:val="F2BEBCB8"/>
    <w:rsid w:val="F36FB518"/>
    <w:rsid w:val="F3DE1A04"/>
    <w:rsid w:val="F3E5A747"/>
    <w:rsid w:val="F3F722E5"/>
    <w:rsid w:val="F5D61EEB"/>
    <w:rsid w:val="F5EB685D"/>
    <w:rsid w:val="F67DF4C1"/>
    <w:rsid w:val="F77547C2"/>
    <w:rsid w:val="F89FBEDD"/>
    <w:rsid w:val="F9FFA23A"/>
    <w:rsid w:val="FA5F1E70"/>
    <w:rsid w:val="FA5FDB97"/>
    <w:rsid w:val="FB7F486A"/>
    <w:rsid w:val="FBCF90B0"/>
    <w:rsid w:val="FBFF5B2E"/>
    <w:rsid w:val="FD7FFE2B"/>
    <w:rsid w:val="FDEE196B"/>
    <w:rsid w:val="FDFE6575"/>
    <w:rsid w:val="FDFED35A"/>
    <w:rsid w:val="FE2D249D"/>
    <w:rsid w:val="FEDFDDC2"/>
    <w:rsid w:val="FEED32F6"/>
    <w:rsid w:val="FEF781DD"/>
    <w:rsid w:val="FEFFD040"/>
    <w:rsid w:val="FF3F7E3F"/>
    <w:rsid w:val="FF9F8F19"/>
    <w:rsid w:val="FFBA12D7"/>
    <w:rsid w:val="FFBBAA7F"/>
    <w:rsid w:val="FFDFFAEE"/>
    <w:rsid w:val="FFF074F6"/>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image" Target="media/image2.png"/><Relationship Id="rId13" Type="http://schemas.openxmlformats.org/officeDocument/2006/relationships/oleObject" Target="embeddings/oleObject2.bin"/><Relationship Id="rId12" Type="http://schemas.openxmlformats.org/officeDocument/2006/relationships/chart" Target="charts/chart1.xml"/><Relationship Id="rId11" Type="http://schemas.openxmlformats.org/officeDocument/2006/relationships/image" Target="media/image1.png"/><Relationship Id="rId10" Type="http://schemas.openxmlformats.org/officeDocument/2006/relationships/oleObject" Target="embeddings/oleObject1.bin"/><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1" i="0" u="none" strike="noStrike" kern="1200" baseline="0">
                <a:solidFill>
                  <a:sysClr val="windowText" lastClr="000000">
                    <a:lumMod val="75000"/>
                    <a:lumOff val="25000"/>
                  </a:sysClr>
                </a:solidFill>
                <a:latin typeface="+mn-lt"/>
                <a:ea typeface="+mn-ea"/>
                <a:cs typeface="+mn-cs"/>
              </a:defRPr>
            </a:pPr>
            <a:r>
              <a:t>收入结构分析</a:t>
            </a:r>
          </a:p>
        </c:rich>
      </c:tx>
      <c:layout>
        <c:manualLayout>
          <c:xMode val="edge"/>
          <c:yMode val="edge"/>
          <c:x val="0.36786648207968"/>
          <c:y val="0.0483091787439614"/>
        </c:manualLayout>
      </c:layout>
      <c:overlay val="0"/>
      <c:spPr>
        <a:noFill/>
        <a:ln>
          <a:noFill/>
        </a:ln>
        <a:effectLst/>
      </c:spPr>
    </c:title>
    <c:autoTitleDeleted val="0"/>
    <c:plotArea>
      <c:layout/>
      <c:pieChart>
        <c:varyColors val="1"/>
        <c:ser>
          <c:idx val="0"/>
          <c:order val="0"/>
          <c:tx>
            <c:strRef>
              <c:f>Sheet1!$A$2</c:f>
              <c:strCache>
                <c:ptCount val="1"/>
                <c:pt idx="0">
                  <c:v>2025</c:v>
                </c:pt>
              </c:strCache>
            </c:strRef>
          </c:tx>
          <c:spPr/>
          <c:explosion val="0"/>
          <c:dPt>
            <c:idx val="0"/>
            <c:bubble3D val="0"/>
            <c:spPr>
              <a:solidFill>
                <a:srgbClr val="4F81BD"/>
              </a:solidFill>
              <a:ln>
                <a:solidFill>
                  <a:sysClr val="window" lastClr="FFFFFF"/>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Sheet1!$B$1</c:f>
              <c:strCache>
                <c:ptCount val="1"/>
                <c:pt idx="0">
                  <c:v>总收入 = 一般公共预算财政拨款收入</c:v>
                </c:pt>
              </c:strCache>
            </c:strRef>
          </c:cat>
          <c:val>
            <c:numRef>
              <c:f>Sheet1!$B$2</c:f>
              <c:numCache>
                <c:formatCode>General</c:formatCode>
                <c:ptCount val="1"/>
                <c:pt idx="0">
                  <c:v>7025.29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legend>
    <c:plotVisOnly val="1"/>
    <c:dispBlanksAs val="gap"/>
    <c:showDLblsOverMax val="0"/>
    <c:extLst>
      <c:ext uri="{0b15fc19-7d7d-44ad-8c2d-2c3a37ce22c3}">
        <chartProps xmlns="https://web.wps.cn/et/2018/main" chartId="{0d1d3367-0347-4eef-88f7-f6f6652d15c3}"/>
      </c:ext>
    </c:extLst>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财政拨款收、支变动情况</a:t>
            </a:r>
          </a:p>
        </c:rich>
      </c:tx>
      <c:layout/>
      <c:overlay val="0"/>
      <c:spPr>
        <a:noFill/>
        <a:ln>
          <a:noFill/>
        </a:ln>
        <a:effectLst/>
      </c:spPr>
    </c:title>
    <c:autoTitleDeleted val="0"/>
    <c:plotArea>
      <c:layout/>
      <c:barChart>
        <c:barDir val="col"/>
        <c:grouping val="clustered"/>
        <c:varyColors val="0"/>
        <c:ser>
          <c:idx val="0"/>
          <c:order val="0"/>
          <c:tx>
            <c:strRef>
              <c:f>Sheet1!$A$2</c:f>
              <c:strCache>
                <c:ptCount val="1"/>
                <c:pt idx="0">
                  <c:v>2024</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Sheet1!$B$1:$C$1</c:f>
              <c:strCache>
                <c:ptCount val="2"/>
                <c:pt idx="0">
                  <c:v>财政拨款收入</c:v>
                </c:pt>
                <c:pt idx="1">
                  <c:v>财政拨款支出</c:v>
                </c:pt>
              </c:strCache>
            </c:strRef>
          </c:cat>
          <c:val>
            <c:numRef>
              <c:f>Sheet1!$B$2:$C$2</c:f>
              <c:numCache>
                <c:formatCode>General</c:formatCode>
                <c:ptCount val="2"/>
                <c:pt idx="0">
                  <c:v>4026.61</c:v>
                </c:pt>
                <c:pt idx="1">
                  <c:v>4026.61</c:v>
                </c:pt>
              </c:numCache>
            </c:numRef>
          </c:val>
        </c:ser>
        <c:ser>
          <c:idx val="1"/>
          <c:order val="1"/>
          <c:tx>
            <c:strRef>
              <c:f>Sheet1!$A$3</c:f>
              <c:strCache>
                <c:ptCount val="1"/>
                <c:pt idx="0">
                  <c:v>2025</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Sheet1!$B$1:$C$1</c:f>
              <c:strCache>
                <c:ptCount val="2"/>
                <c:pt idx="0">
                  <c:v>财政拨款收入</c:v>
                </c:pt>
                <c:pt idx="1">
                  <c:v>财政拨款支出</c:v>
                </c:pt>
              </c:strCache>
            </c:strRef>
          </c:cat>
          <c:val>
            <c:numRef>
              <c:f>Sheet1!$B$3:$C$3</c:f>
              <c:numCache>
                <c:formatCode>General</c:formatCode>
                <c:ptCount val="2"/>
                <c:pt idx="0">
                  <c:v>7025.29</c:v>
                </c:pt>
                <c:pt idx="1">
                  <c:v>7025.29</c:v>
                </c:pt>
              </c:numCache>
            </c:numRef>
          </c:val>
        </c:ser>
        <c:dLbls>
          <c:showLegendKey val="0"/>
          <c:showVal val="1"/>
          <c:showCatName val="0"/>
          <c:showSerName val="0"/>
          <c:showPercent val="0"/>
          <c:showBubbleSize val="0"/>
        </c:dLbls>
        <c:gapWidth val="246"/>
        <c:overlap val="-28"/>
        <c:axId val="762288281"/>
        <c:axId val="392641963"/>
      </c:barChart>
      <c:catAx>
        <c:axId val="7622882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2641963"/>
        <c:crosses val="autoZero"/>
        <c:auto val="1"/>
        <c:lblAlgn val="ctr"/>
        <c:lblOffset val="100"/>
        <c:noMultiLvlLbl val="0"/>
      </c:catAx>
      <c:valAx>
        <c:axId val="39264196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28828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ec4ef07-0442-43c1-b970-c444e9959b8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一般公共预算财政拨款支出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Sheet1!$B$2:$B$3</c:f>
              <c:numCache>
                <c:formatCode>General</c:formatCode>
                <c:ptCount val="2"/>
                <c:pt idx="0">
                  <c:v>4026.61</c:v>
                </c:pt>
                <c:pt idx="1">
                  <c:v>7025.29</c:v>
                </c:pt>
              </c:numCache>
            </c:numRef>
          </c:val>
        </c:ser>
        <c:dLbls>
          <c:showLegendKey val="0"/>
          <c:showVal val="1"/>
          <c:showCatName val="0"/>
          <c:showSerName val="0"/>
          <c:showPercent val="0"/>
          <c:showBubbleSize val="0"/>
        </c:dLbls>
        <c:gapWidth val="246"/>
        <c:overlap val="-28"/>
        <c:axId val="14179112"/>
        <c:axId val="646031535"/>
      </c:barChart>
      <c:catAx>
        <c:axId val="1417911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6031535"/>
        <c:crosses val="autoZero"/>
        <c:auto val="1"/>
        <c:lblAlgn val="ctr"/>
        <c:lblOffset val="100"/>
        <c:noMultiLvlLbl val="0"/>
      </c:catAx>
      <c:valAx>
        <c:axId val="64603153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1791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28b2b41-2860-4e4e-9636-ae728bd6b9c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Sheet1!$A$2</c:f>
              <c:strCache>
                <c:ptCount val="1"/>
                <c:pt idx="0">
                  <c:v>一般公共预算财政拨款支出情况</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00329728208156626"/>
                  <c:y val="-0.04755540378967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0505771869791144"/>
                  <c:y val="-0.031570911766640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148731266191619"/>
                  <c:y val="0.00248359924834135"/>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380944396658121"/>
                  <c:y val="-0.0212582671588437"/>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5"/>
              <c:layout>
                <c:manualLayout>
                  <c:x val="-0.134873331013014"/>
                  <c:y val="0.0157924937680946"/>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Sheet1!$B$1:$G$1</c:f>
              <c:strCache>
                <c:ptCount val="6"/>
                <c:pt idx="0">
                  <c:v>社会保障和就业支出</c:v>
                </c:pt>
                <c:pt idx="1">
                  <c:v>卫生健康支出</c:v>
                </c:pt>
                <c:pt idx="2">
                  <c:v>节能环保支出</c:v>
                </c:pt>
                <c:pt idx="3">
                  <c:v>自然资源海洋气象支出</c:v>
                </c:pt>
                <c:pt idx="4">
                  <c:v>住房保障支出</c:v>
                </c:pt>
                <c:pt idx="5">
                  <c:v>灾害防治及应急管理支出</c:v>
                </c:pt>
              </c:strCache>
            </c:strRef>
          </c:cat>
          <c:val>
            <c:numRef>
              <c:f>Sheet1!$B$2:$G$2</c:f>
              <c:numCache>
                <c:formatCode>General</c:formatCode>
                <c:ptCount val="6"/>
                <c:pt idx="0">
                  <c:v>137.37</c:v>
                </c:pt>
                <c:pt idx="1">
                  <c:v>47.06</c:v>
                </c:pt>
                <c:pt idx="2">
                  <c:v>45</c:v>
                </c:pt>
                <c:pt idx="3">
                  <c:v>6691</c:v>
                </c:pt>
                <c:pt idx="4">
                  <c:v>64.49</c:v>
                </c:pt>
                <c:pt idx="5">
                  <c:v>40.37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0767693696016501"/>
          <c:y val="0.12851589297964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9241d54-50fc-440d-9cac-df1c25fc92b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1" i="0" u="none" strike="noStrike" kern="1200" baseline="0">
                <a:solidFill>
                  <a:sysClr val="windowText" lastClr="000000">
                    <a:lumMod val="75000"/>
                    <a:lumOff val="25000"/>
                  </a:sysClr>
                </a:solidFill>
                <a:latin typeface="+mn-lt"/>
                <a:ea typeface="+mn-ea"/>
                <a:cs typeface="+mn-cs"/>
              </a:defRPr>
            </a:pPr>
            <a:r>
              <a:t>“三公”经费支出结构</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rgbClr val="4F81BD"/>
              </a:solidFill>
              <a:ln>
                <a:solidFill>
                  <a:sysClr val="window" lastClr="FFFFFF"/>
                </a:solidFill>
              </a:ln>
              <a:effectLst/>
            </c:spPr>
          </c:dPt>
          <c:dPt>
            <c:idx val="1"/>
            <c:bubble3D val="0"/>
            <c:spPr>
              <a:solidFill>
                <a:srgbClr val="C0504D"/>
              </a:solidFill>
              <a:ln>
                <a:solidFill>
                  <a:sysClr val="window" lastClr="FFFFFF"/>
                </a:solidFill>
              </a:ln>
              <a:effectLst/>
            </c:spPr>
          </c:dPt>
          <c:dPt>
            <c:idx val="2"/>
            <c:bubble3D val="0"/>
            <c:spPr>
              <a:solidFill>
                <a:srgbClr val="9BBB59"/>
              </a:solidFill>
              <a:ln>
                <a:solidFill>
                  <a:sysClr val="window" lastClr="FFFFFF"/>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Sheet1!$A$2:$A$4</c:f>
              <c:strCache>
                <c:ptCount val="3"/>
                <c:pt idx="0">
                  <c:v>因公出国（境）费</c:v>
                </c:pt>
                <c:pt idx="1">
                  <c:v>公务用车购置及运行维护费</c:v>
                </c:pt>
                <c:pt idx="2">
                  <c:v>公务接待费</c:v>
                </c:pt>
              </c:strCache>
            </c:strRef>
          </c:cat>
          <c:val>
            <c:numRef>
              <c:f>Sheet1!$B$2:$B$4</c:f>
              <c:numCache>
                <c:formatCode>General</c:formatCode>
                <c:ptCount val="3"/>
                <c:pt idx="0">
                  <c:v>0</c:v>
                </c:pt>
                <c:pt idx="1">
                  <c:v>215.41</c:v>
                </c:pt>
                <c:pt idx="2">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legend>
    <c:plotVisOnly val="1"/>
    <c:dispBlanksAs val="gap"/>
    <c:showDLblsOverMax val="0"/>
    <c:extLst>
      <c:ext uri="{0b15fc19-7d7d-44ad-8c2d-2c3a37ce22c3}">
        <chartProps xmlns="https://web.wps.cn/et/2018/main" chartId="{c26abcb5-c113-4131-8fbe-b6968f3dbaa5}"/>
      </c:ext>
    </c:extLst>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9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ysClr val="windowText" lastClr="000000"/>
    </cs:fontRef>
    <cs:spPr>
      <a:ln>
        <a:solidFill>
          <a:sysClr val="window" lastClr="FFFFFF"/>
        </a:solidFill>
      </a:ln>
      <a:effectLst/>
    </cs:spPr>
  </cs:dataPoint>
  <cs:dataPoint3D>
    <cs:lnRef idx="0"/>
    <cs:fillRef idx="1">
      <cs:styleClr val="auto"/>
    </cs:fillRef>
    <cs:effectRef idx="0"/>
    <cs:fontRef idx="minor">
      <a:sysClr val="windowText" lastClr="000000"/>
    </cs:fontRef>
    <cs:spPr>
      <a:ln w="25400">
        <a:solidFill>
          <a:sysClr val="window" lastClr="FFFFFF"/>
        </a:solidFill>
      </a:ln>
    </cs:spPr>
  </cs:dataPoint3D>
  <cs:dataPointLine>
    <cs:lnRef idx="0">
      <cs:styleClr val="auto"/>
    </cs:lnRef>
    <cs:fillRef idx="0"/>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0"/>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75000"/>
          <a:lumOff val="25000"/>
        </a:sysClr>
      </a:solidFill>
      <a:ln w="9525" cap="flat" cmpd="sng" algn="ctr">
        <a:solidFill>
          <a:sysClr val="windowText" lastClr="000000">
            <a:lumMod val="65000"/>
            <a:lumOff val="35000"/>
          </a:sysClr>
        </a:solidFill>
        <a:round/>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50000"/>
            <a:lumOff val="50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cap="flat" cmpd="sng" algn="ctr">
        <a:solidFill>
          <a:sysClr val="windowText" lastClr="000000">
            <a:lumMod val="65000"/>
            <a:lumOff val="35000"/>
          </a:sysClr>
        </a:solidFill>
        <a:round/>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9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ysClr val="windowText" lastClr="000000"/>
    </cs:fontRef>
    <cs:spPr>
      <a:ln>
        <a:solidFill>
          <a:sysClr val="window" lastClr="FFFFFF"/>
        </a:solidFill>
      </a:ln>
      <a:effectLst/>
    </cs:spPr>
  </cs:dataPoint>
  <cs:dataPoint3D>
    <cs:lnRef idx="0"/>
    <cs:fillRef idx="1">
      <cs:styleClr val="auto"/>
    </cs:fillRef>
    <cs:effectRef idx="0"/>
    <cs:fontRef idx="minor">
      <a:sysClr val="windowText" lastClr="000000"/>
    </cs:fontRef>
    <cs:spPr>
      <a:ln w="25400">
        <a:solidFill>
          <a:sysClr val="window" lastClr="FFFFFF"/>
        </a:solidFill>
      </a:ln>
    </cs:spPr>
  </cs:dataPoint3D>
  <cs:dataPointLine>
    <cs:lnRef idx="0">
      <cs:styleClr val="auto"/>
    </cs:lnRef>
    <cs:fillRef idx="0"/>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0"/>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75000"/>
          <a:lumOff val="25000"/>
        </a:sysClr>
      </a:solidFill>
      <a:ln w="9525" cap="flat" cmpd="sng" algn="ctr">
        <a:solidFill>
          <a:sysClr val="windowText" lastClr="000000">
            <a:lumMod val="65000"/>
            <a:lumOff val="35000"/>
          </a:sysClr>
        </a:solidFill>
        <a:round/>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50000"/>
            <a:lumOff val="50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cap="flat" cmpd="sng" algn="ctr">
        <a:solidFill>
          <a:sysClr val="windowText" lastClr="000000">
            <a:lumMod val="65000"/>
            <a:lumOff val="35000"/>
          </a:sysClr>
        </a:solidFill>
        <a:round/>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42</Pages>
  <Words>17336</Words>
  <Characters>18750</Characters>
  <Lines>61</Lines>
  <Paragraphs>17</Paragraphs>
  <TotalTime>9</TotalTime>
  <ScaleCrop>false</ScaleCrop>
  <LinksUpToDate>false</LinksUpToDate>
  <CharactersWithSpaces>18788</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2020-08-09T17:49:00Z</dcterms:created>
  <dc:creator>曹颖</dc:creator>
  <cp:lastModifiedBy>user</cp:lastModifiedBy>
  <cp:lastPrinted>2026-08-04T09:27:00Z</cp:lastPrinted>
  <dcterms:modified xsi:type="dcterms:W3CDTF">2026-09-17T09:20:34Z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3BF536824C220DA3E40E8B68BA118B1C_42</vt:lpwstr>
  </property>
  <property fmtid="{D5CDD505-2E9C-101B-9397-08002B2CF9AE}" pid="4" name="KSOTemplateDocerSaveRecord">
    <vt:lpwstr>eyJoZGlkIjoiZDY5ZjMxMDVkMjA3MDNkMTg0NDIyYmI2OGJmMGMzODUiLCJ1c2VySWQiOiI2MTU0NDAyNDAifQ==</vt:lpwstr>
  </property>
</Properties>
</file>